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67E6" w14:textId="1B3F67E0" w:rsidR="00C82BCF" w:rsidRPr="00A67545" w:rsidRDefault="00C82BCF" w:rsidP="00B60D80">
      <w:pPr>
        <w:spacing w:after="0" w:line="240" w:lineRule="auto"/>
        <w:jc w:val="center"/>
        <w:rPr>
          <w:b/>
          <w:szCs w:val="28"/>
        </w:rPr>
      </w:pPr>
      <w:r w:rsidRPr="00A67545">
        <w:rPr>
          <w:b/>
          <w:szCs w:val="28"/>
          <w:lang w:val="vi-VN"/>
        </w:rPr>
        <w:t>TỔNG QUAN</w:t>
      </w:r>
      <w:r w:rsidR="00071544" w:rsidRPr="00A67545">
        <w:rPr>
          <w:b/>
          <w:szCs w:val="28"/>
        </w:rPr>
        <w:t xml:space="preserve"> </w:t>
      </w:r>
    </w:p>
    <w:p w14:paraId="5E38C6E2" w14:textId="0CF87200" w:rsidR="00C82BCF" w:rsidRPr="00A67545" w:rsidRDefault="00C54E3A" w:rsidP="00B60D80">
      <w:pPr>
        <w:spacing w:after="0" w:line="240" w:lineRule="auto"/>
        <w:jc w:val="center"/>
        <w:rPr>
          <w:sz w:val="30"/>
          <w:szCs w:val="30"/>
          <w:lang w:val="vi-VN"/>
        </w:rPr>
      </w:pPr>
      <w:r w:rsidRPr="00A67545">
        <w:rPr>
          <w:b/>
          <w:spacing w:val="-10"/>
          <w:sz w:val="27"/>
          <w:szCs w:val="27"/>
          <w:lang w:val="vi-VN"/>
        </w:rPr>
        <w:t xml:space="preserve">DỰ BÁO TÌNH HÌNH KINH TẾ THẾ GIỚI QUÝ </w:t>
      </w:r>
      <w:r w:rsidR="008F54EA" w:rsidRPr="00A67545">
        <w:rPr>
          <w:b/>
          <w:spacing w:val="-10"/>
          <w:sz w:val="27"/>
          <w:szCs w:val="27"/>
          <w:lang w:val="vi-VN"/>
        </w:rPr>
        <w:t>I</w:t>
      </w:r>
      <w:r w:rsidRPr="00A67545">
        <w:rPr>
          <w:b/>
          <w:spacing w:val="-10"/>
          <w:sz w:val="27"/>
          <w:szCs w:val="27"/>
          <w:lang w:val="vi-VN"/>
        </w:rPr>
        <w:t xml:space="preserve"> NĂM 202</w:t>
      </w:r>
      <w:r w:rsidR="000271CA" w:rsidRPr="00A67545">
        <w:rPr>
          <w:b/>
          <w:spacing w:val="-10"/>
          <w:sz w:val="27"/>
          <w:szCs w:val="27"/>
        </w:rPr>
        <w:t>5</w:t>
      </w:r>
      <w:r w:rsidRPr="00A67545">
        <w:rPr>
          <w:rStyle w:val="FootnoteReference"/>
          <w:b/>
          <w:sz w:val="30"/>
          <w:szCs w:val="30"/>
          <w:lang w:val="vi-VN"/>
        </w:rPr>
        <w:footnoteReference w:id="1"/>
      </w:r>
    </w:p>
    <w:p w14:paraId="3758186E" w14:textId="30D9F931" w:rsidR="00C556D4" w:rsidRPr="00A67545" w:rsidRDefault="00C556D4" w:rsidP="001B6049">
      <w:pPr>
        <w:spacing w:before="240" w:after="100" w:line="240" w:lineRule="auto"/>
        <w:ind w:firstLine="720"/>
        <w:jc w:val="both"/>
        <w:rPr>
          <w:i/>
          <w:spacing w:val="-4"/>
        </w:rPr>
      </w:pPr>
      <w:r w:rsidRPr="00A67545">
        <w:rPr>
          <w:i/>
          <w:spacing w:val="-4"/>
          <w:lang w:val="vi-VN"/>
        </w:rPr>
        <w:t xml:space="preserve">Tại thời điểm </w:t>
      </w:r>
      <w:r w:rsidR="00D260AF" w:rsidRPr="00A67545">
        <w:rPr>
          <w:i/>
          <w:spacing w:val="-4"/>
        </w:rPr>
        <w:t>tháng 3</w:t>
      </w:r>
      <w:r w:rsidRPr="00A67545">
        <w:rPr>
          <w:i/>
          <w:spacing w:val="-4"/>
        </w:rPr>
        <w:t>/2025</w:t>
      </w:r>
      <w:r w:rsidRPr="00A67545">
        <w:rPr>
          <w:i/>
          <w:spacing w:val="-4"/>
          <w:lang w:val="vi-VN"/>
        </w:rPr>
        <w:t xml:space="preserve">, </w:t>
      </w:r>
      <w:r w:rsidR="003C5827" w:rsidRPr="00A67545">
        <w:rPr>
          <w:i/>
          <w:spacing w:val="-4"/>
          <w:lang w:val="vi-VN"/>
        </w:rPr>
        <w:t>các tổ chức quốc tế</w:t>
      </w:r>
      <w:r w:rsidR="003C5827" w:rsidRPr="00A67545">
        <w:rPr>
          <w:i/>
          <w:spacing w:val="-4"/>
        </w:rPr>
        <w:t xml:space="preserve"> gồm</w:t>
      </w:r>
      <w:r w:rsidR="003C5827" w:rsidRPr="00A67545">
        <w:rPr>
          <w:i/>
          <w:spacing w:val="-4"/>
          <w:lang w:val="vi-VN"/>
        </w:rPr>
        <w:t xml:space="preserve"> </w:t>
      </w:r>
      <w:r w:rsidR="003C5827" w:rsidRPr="00A67545">
        <w:rPr>
          <w:i/>
          <w:spacing w:val="-4"/>
        </w:rPr>
        <w:t>T</w:t>
      </w:r>
      <w:r w:rsidR="003C5827" w:rsidRPr="00A67545">
        <w:rPr>
          <w:i/>
          <w:spacing w:val="-4"/>
          <w:lang w:val="vi-VN"/>
        </w:rPr>
        <w:t>ổ chức Hợp tác và Phát triển kinh tế (OECD)</w:t>
      </w:r>
      <w:r w:rsidR="003C5827" w:rsidRPr="00A67545">
        <w:rPr>
          <w:rStyle w:val="FootnoteReference"/>
          <w:i/>
          <w:spacing w:val="-4"/>
          <w:lang w:val="vi-VN"/>
        </w:rPr>
        <w:footnoteReference w:id="2"/>
      </w:r>
      <w:r w:rsidR="003C5827" w:rsidRPr="00A67545">
        <w:rPr>
          <w:i/>
          <w:spacing w:val="-4"/>
          <w:lang w:val="vi-VN"/>
        </w:rPr>
        <w:t>, Fitch Ratings (FR)</w:t>
      </w:r>
      <w:r w:rsidR="003C5827" w:rsidRPr="00A67545">
        <w:rPr>
          <w:rStyle w:val="FootnoteReference"/>
          <w:i/>
          <w:spacing w:val="-4"/>
          <w:lang w:val="vi-VN"/>
        </w:rPr>
        <w:footnoteReference w:id="3"/>
      </w:r>
      <w:r w:rsidR="003C5827" w:rsidRPr="00A67545">
        <w:rPr>
          <w:i/>
          <w:spacing w:val="-4"/>
          <w:lang w:val="vi-VN"/>
        </w:rPr>
        <w:t xml:space="preserve">, </w:t>
      </w:r>
      <w:r w:rsidR="003C5827" w:rsidRPr="00A67545">
        <w:rPr>
          <w:i/>
          <w:spacing w:val="-4"/>
        </w:rPr>
        <w:t>Liên hợp quốc (UN)</w:t>
      </w:r>
      <w:r w:rsidR="003C5827" w:rsidRPr="00A67545">
        <w:rPr>
          <w:rStyle w:val="FootnoteReference"/>
          <w:i/>
          <w:spacing w:val="-4"/>
        </w:rPr>
        <w:footnoteReference w:id="4"/>
      </w:r>
      <w:r w:rsidR="003C5827" w:rsidRPr="00A67545">
        <w:rPr>
          <w:i/>
          <w:spacing w:val="-4"/>
        </w:rPr>
        <w:t xml:space="preserve"> </w:t>
      </w:r>
      <w:r w:rsidR="003C5827" w:rsidRPr="00A67545">
        <w:rPr>
          <w:i/>
          <w:spacing w:val="-4"/>
          <w:lang w:val="vi-VN"/>
        </w:rPr>
        <w:t xml:space="preserve">và </w:t>
      </w:r>
      <w:r w:rsidR="003C5827" w:rsidRPr="00A67545">
        <w:rPr>
          <w:i/>
          <w:spacing w:val="-4"/>
        </w:rPr>
        <w:t>Ngân hàng Thế giới (WB)</w:t>
      </w:r>
      <w:r w:rsidR="003C5827" w:rsidRPr="00A67545">
        <w:rPr>
          <w:rStyle w:val="FootnoteReference"/>
          <w:i/>
        </w:rPr>
        <w:footnoteReference w:id="5"/>
      </w:r>
      <w:r w:rsidR="003C5827" w:rsidRPr="00A67545">
        <w:rPr>
          <w:i/>
          <w:spacing w:val="-4"/>
        </w:rPr>
        <w:t xml:space="preserve"> </w:t>
      </w:r>
      <w:r w:rsidR="003C5827" w:rsidRPr="00A67545">
        <w:rPr>
          <w:i/>
          <w:spacing w:val="-4"/>
          <w:lang w:val="vi-VN"/>
        </w:rPr>
        <w:t>điều chỉnh giảm hoặc giữ nguyên tăng trưởng</w:t>
      </w:r>
      <w:bookmarkStart w:id="0" w:name="_GoBack"/>
      <w:bookmarkEnd w:id="0"/>
      <w:r w:rsidR="003C5827" w:rsidRPr="00A67545">
        <w:rPr>
          <w:i/>
          <w:spacing w:val="-4"/>
          <w:lang w:val="vi-VN"/>
        </w:rPr>
        <w:t xml:space="preserve"> kinh tế toàn cầu năm 2025 so với dự báo trước đó, riêng Quỹ Tiền tệ quốc tế (IMF)</w:t>
      </w:r>
      <w:r w:rsidR="003C5827" w:rsidRPr="00A67545">
        <w:rPr>
          <w:rStyle w:val="FootnoteReference"/>
          <w:i/>
          <w:spacing w:val="-4"/>
          <w:lang w:val="vi-VN"/>
        </w:rPr>
        <w:footnoteReference w:id="6"/>
      </w:r>
      <w:r w:rsidR="003C5827" w:rsidRPr="00A67545">
        <w:rPr>
          <w:i/>
        </w:rPr>
        <w:t xml:space="preserve"> </w:t>
      </w:r>
      <w:r w:rsidR="003C5827" w:rsidRPr="00A67545">
        <w:rPr>
          <w:i/>
          <w:spacing w:val="-4"/>
          <w:lang w:val="vi-VN"/>
        </w:rPr>
        <w:t>điều chỉnh tăng nhẹ</w:t>
      </w:r>
      <w:r w:rsidR="003C5827" w:rsidRPr="00A67545">
        <w:rPr>
          <w:i/>
          <w:spacing w:val="-4"/>
        </w:rPr>
        <w:t xml:space="preserve">. Cụ thể, </w:t>
      </w:r>
      <w:r w:rsidR="00B31EAB" w:rsidRPr="00A67545">
        <w:rPr>
          <w:i/>
          <w:spacing w:val="-4"/>
          <w:lang w:val="vi-VN"/>
        </w:rPr>
        <w:t xml:space="preserve">OECD </w:t>
      </w:r>
      <w:r w:rsidR="00B31EAB" w:rsidRPr="00A67545">
        <w:rPr>
          <w:i/>
          <w:spacing w:val="-4"/>
        </w:rPr>
        <w:t>và</w:t>
      </w:r>
      <w:r w:rsidR="00B31EAB" w:rsidRPr="00A67545">
        <w:rPr>
          <w:i/>
          <w:spacing w:val="-4"/>
          <w:lang w:val="vi-VN"/>
        </w:rPr>
        <w:t xml:space="preserve"> FR</w:t>
      </w:r>
      <w:r w:rsidR="00B31EAB" w:rsidRPr="00A67545">
        <w:rPr>
          <w:i/>
          <w:spacing w:val="-4"/>
        </w:rPr>
        <w:t xml:space="preserve"> điều chỉnh giảm 0,2 và 0,3 điểm phần trăm so với dự báo trong tháng 12/2024, đạt mức </w:t>
      </w:r>
      <w:r w:rsidR="00B31EAB" w:rsidRPr="00A67545">
        <w:rPr>
          <w:i/>
          <w:spacing w:val="2"/>
          <w:lang w:val="vi-VN"/>
        </w:rPr>
        <w:t>3,1%</w:t>
      </w:r>
      <w:r w:rsidR="00B31EAB" w:rsidRPr="00A67545">
        <w:rPr>
          <w:i/>
          <w:spacing w:val="2"/>
        </w:rPr>
        <w:t xml:space="preserve"> và </w:t>
      </w:r>
      <w:r w:rsidR="00B31EAB" w:rsidRPr="00A67545">
        <w:rPr>
          <w:i/>
          <w:spacing w:val="-2"/>
          <w:lang w:val="vi-VN"/>
        </w:rPr>
        <w:t>2,3%</w:t>
      </w:r>
      <w:r w:rsidR="00B31EAB" w:rsidRPr="00A67545">
        <w:rPr>
          <w:i/>
          <w:spacing w:val="-2"/>
        </w:rPr>
        <w:t xml:space="preserve">. </w:t>
      </w:r>
      <w:r w:rsidRPr="00A67545">
        <w:rPr>
          <w:i/>
          <w:spacing w:val="-4"/>
        </w:rPr>
        <w:t>UN và WB giữ nguyên</w:t>
      </w:r>
      <w:r w:rsidR="002D7197" w:rsidRPr="00A67545">
        <w:rPr>
          <w:i/>
          <w:spacing w:val="-4"/>
        </w:rPr>
        <w:t xml:space="preserve"> mức tăng trưởng</w:t>
      </w:r>
      <w:r w:rsidRPr="00A67545">
        <w:rPr>
          <w:i/>
          <w:spacing w:val="-4"/>
        </w:rPr>
        <w:t xml:space="preserve"> so với dự báo trong tháng 6/2024, lần lượt đạt 2,8% và 2,7%. </w:t>
      </w:r>
      <w:r w:rsidR="00B31EAB" w:rsidRPr="00A67545">
        <w:rPr>
          <w:i/>
          <w:spacing w:val="-4"/>
          <w:lang w:val="vi-VN"/>
        </w:rPr>
        <w:t>IMF</w:t>
      </w:r>
      <w:r w:rsidR="00B31EAB" w:rsidRPr="00A67545">
        <w:rPr>
          <w:i/>
        </w:rPr>
        <w:t xml:space="preserve"> </w:t>
      </w:r>
      <w:r w:rsidR="00B31EAB" w:rsidRPr="00A67545">
        <w:rPr>
          <w:i/>
          <w:spacing w:val="-4"/>
          <w:lang w:val="vi-VN"/>
        </w:rPr>
        <w:t xml:space="preserve">dự kiến tăng trưởng toàn cầu </w:t>
      </w:r>
      <w:r w:rsidR="00B31EAB" w:rsidRPr="00A67545">
        <w:rPr>
          <w:i/>
          <w:spacing w:val="-4"/>
        </w:rPr>
        <w:t xml:space="preserve">năm 2025 </w:t>
      </w:r>
      <w:r w:rsidR="00B31EAB" w:rsidRPr="00A67545">
        <w:rPr>
          <w:i/>
          <w:spacing w:val="-4"/>
          <w:lang w:val="vi-VN"/>
        </w:rPr>
        <w:t>sẽ vẫn ổn định</w:t>
      </w:r>
      <w:r w:rsidR="00B31EAB" w:rsidRPr="00A67545">
        <w:rPr>
          <w:i/>
          <w:spacing w:val="-4"/>
        </w:rPr>
        <w:t xml:space="preserve"> </w:t>
      </w:r>
      <w:r w:rsidR="00B31EAB" w:rsidRPr="00A67545">
        <w:rPr>
          <w:i/>
          <w:spacing w:val="-4"/>
          <w:lang w:val="vi-VN"/>
        </w:rPr>
        <w:t>ở mức 3,3% (tăng 0,1 điểm</w:t>
      </w:r>
      <w:r w:rsidR="00B31EAB" w:rsidRPr="00A67545">
        <w:rPr>
          <w:i/>
          <w:spacing w:val="-4"/>
        </w:rPr>
        <w:t xml:space="preserve"> phần trăm</w:t>
      </w:r>
      <w:r w:rsidR="00B31EAB" w:rsidRPr="00A67545">
        <w:rPr>
          <w:i/>
          <w:spacing w:val="-4"/>
          <w:lang w:val="vi-VN"/>
        </w:rPr>
        <w:t xml:space="preserve"> so với dự báo trong tháng 10/2024)</w:t>
      </w:r>
      <w:r w:rsidR="00B31EAB" w:rsidRPr="00A67545">
        <w:rPr>
          <w:i/>
          <w:spacing w:val="-4"/>
        </w:rPr>
        <w:t xml:space="preserve">. </w:t>
      </w:r>
    </w:p>
    <w:p w14:paraId="49ADF79F" w14:textId="085F1828" w:rsidR="00C556D4" w:rsidRPr="004F7F23" w:rsidRDefault="00C556D4" w:rsidP="00C556D4">
      <w:pPr>
        <w:spacing w:before="100" w:after="100" w:line="240" w:lineRule="auto"/>
        <w:ind w:firstLine="720"/>
        <w:jc w:val="both"/>
        <w:rPr>
          <w:rFonts w:ascii="Times New Roman Italic" w:hAnsi="Times New Roman Italic"/>
          <w:i/>
          <w:spacing w:val="2"/>
        </w:rPr>
      </w:pPr>
      <w:r w:rsidRPr="004F7F23">
        <w:rPr>
          <w:rFonts w:ascii="Times New Roman Italic" w:hAnsi="Times New Roman Italic"/>
          <w:i/>
          <w:spacing w:val="2"/>
        </w:rPr>
        <w:t>Văn phòng nghiên cứu kinh tế vĩ mô ASEAN+3 (AMRO)</w:t>
      </w:r>
      <w:r w:rsidRPr="004F7F23">
        <w:rPr>
          <w:rStyle w:val="FootnoteReference"/>
          <w:rFonts w:ascii="Times New Roman Italic" w:hAnsi="Times New Roman Italic"/>
          <w:i/>
          <w:spacing w:val="2"/>
        </w:rPr>
        <w:footnoteReference w:id="7"/>
      </w:r>
      <w:r w:rsidRPr="004F7F23">
        <w:rPr>
          <w:rFonts w:ascii="Times New Roman Italic" w:hAnsi="Times New Roman Italic"/>
          <w:i/>
          <w:spacing w:val="2"/>
        </w:rPr>
        <w:t xml:space="preserve">, WB và UN đều có </w:t>
      </w:r>
      <w:r w:rsidR="007A0BFD" w:rsidRPr="004F7F23">
        <w:rPr>
          <w:rFonts w:ascii="Times New Roman Italic" w:hAnsi="Times New Roman Italic"/>
          <w:i/>
          <w:spacing w:val="2"/>
        </w:rPr>
        <w:t>đánh giá</w:t>
      </w:r>
      <w:r w:rsidRPr="004F7F23">
        <w:rPr>
          <w:rFonts w:ascii="Times New Roman Italic" w:hAnsi="Times New Roman Italic"/>
          <w:i/>
          <w:spacing w:val="2"/>
        </w:rPr>
        <w:t xml:space="preserve"> lạc quan về tăng trưởng</w:t>
      </w:r>
      <w:r w:rsidR="007A0BFD" w:rsidRPr="004F7F23">
        <w:rPr>
          <w:rFonts w:ascii="Times New Roman Italic" w:hAnsi="Times New Roman Italic"/>
          <w:i/>
          <w:spacing w:val="2"/>
        </w:rPr>
        <w:t xml:space="preserve"> của</w:t>
      </w:r>
      <w:r w:rsidRPr="004F7F23">
        <w:rPr>
          <w:rFonts w:ascii="Times New Roman Italic" w:hAnsi="Times New Roman Italic"/>
          <w:i/>
          <w:spacing w:val="2"/>
        </w:rPr>
        <w:t xml:space="preserve"> khu vực Đông Nam Á trong năm 2025. Theo đó</w:t>
      </w:r>
      <w:r w:rsidR="007A0BFD" w:rsidRPr="004F7F23">
        <w:rPr>
          <w:rFonts w:ascii="Times New Roman Italic" w:hAnsi="Times New Roman Italic"/>
          <w:i/>
          <w:spacing w:val="2"/>
        </w:rPr>
        <w:t>,</w:t>
      </w:r>
      <w:r w:rsidRPr="004F7F23">
        <w:rPr>
          <w:rFonts w:ascii="Times New Roman Italic" w:hAnsi="Times New Roman Italic"/>
          <w:i/>
          <w:spacing w:val="2"/>
        </w:rPr>
        <w:t xml:space="preserve"> </w:t>
      </w:r>
      <w:r w:rsidR="007A0BFD" w:rsidRPr="004F7F23">
        <w:rPr>
          <w:rFonts w:ascii="Times New Roman Italic" w:hAnsi="Times New Roman Italic"/>
          <w:i/>
          <w:spacing w:val="2"/>
        </w:rPr>
        <w:t>ba</w:t>
      </w:r>
      <w:r w:rsidRPr="004F7F23">
        <w:rPr>
          <w:rFonts w:ascii="Times New Roman Italic" w:hAnsi="Times New Roman Italic"/>
          <w:i/>
          <w:spacing w:val="2"/>
        </w:rPr>
        <w:t xml:space="preserve"> tổ chức này</w:t>
      </w:r>
      <w:r w:rsidR="007A0BFD" w:rsidRPr="004F7F23">
        <w:rPr>
          <w:rFonts w:ascii="Times New Roman Italic" w:hAnsi="Times New Roman Italic"/>
          <w:i/>
          <w:spacing w:val="2"/>
        </w:rPr>
        <w:t xml:space="preserve"> đều</w:t>
      </w:r>
      <w:r w:rsidRPr="004F7F23">
        <w:rPr>
          <w:rFonts w:ascii="Times New Roman Italic" w:hAnsi="Times New Roman Italic"/>
          <w:i/>
          <w:spacing w:val="2"/>
        </w:rPr>
        <w:t xml:space="preserve"> nhận định tăng trưởng năm 2025 của Việt Nam cao nhất trong khu vực</w:t>
      </w:r>
      <w:r w:rsidR="007A0BFD" w:rsidRPr="004F7F23">
        <w:rPr>
          <w:rFonts w:ascii="Times New Roman Italic" w:hAnsi="Times New Roman Italic"/>
          <w:i/>
          <w:spacing w:val="2"/>
        </w:rPr>
        <w:t>, đạt</w:t>
      </w:r>
      <w:r w:rsidRPr="004F7F23">
        <w:rPr>
          <w:rFonts w:ascii="Times New Roman Italic" w:hAnsi="Times New Roman Italic"/>
          <w:i/>
          <w:spacing w:val="2"/>
        </w:rPr>
        <w:t xml:space="preserve"> từ 6,5</w:t>
      </w:r>
      <w:r w:rsidR="00B31EAB" w:rsidRPr="004F7F23">
        <w:rPr>
          <w:rFonts w:ascii="Times New Roman Italic" w:hAnsi="Times New Roman Italic"/>
          <w:i/>
          <w:spacing w:val="2"/>
        </w:rPr>
        <w:t>%</w:t>
      </w:r>
      <w:r w:rsidRPr="004F7F23">
        <w:rPr>
          <w:rFonts w:ascii="Times New Roman Italic" w:hAnsi="Times New Roman Italic"/>
          <w:i/>
          <w:spacing w:val="2"/>
        </w:rPr>
        <w:t>-6,</w:t>
      </w:r>
      <w:r w:rsidR="00624EC7" w:rsidRPr="004F7F23">
        <w:rPr>
          <w:rFonts w:ascii="Times New Roman Italic" w:hAnsi="Times New Roman Italic"/>
          <w:i/>
          <w:spacing w:val="2"/>
        </w:rPr>
        <w:t>8</w:t>
      </w:r>
      <w:r w:rsidRPr="004F7F23">
        <w:rPr>
          <w:rFonts w:ascii="Times New Roman Italic" w:hAnsi="Times New Roman Italic"/>
          <w:i/>
          <w:spacing w:val="2"/>
        </w:rPr>
        <w:t xml:space="preserve">%; tiếp theo là Phi-li-pin đạt từ 6,1-6,3% và </w:t>
      </w:r>
      <w:r w:rsidRPr="004F7F23">
        <w:rPr>
          <w:rFonts w:ascii="Times New Roman Italic" w:hAnsi="Times New Roman Italic"/>
          <w:i/>
          <w:spacing w:val="-4"/>
        </w:rPr>
        <w:t xml:space="preserve">Cam-pu-chia đạt từ 5,5-6,0%. </w:t>
      </w:r>
      <w:r w:rsidR="00AF470F" w:rsidRPr="004F7F23">
        <w:rPr>
          <w:rFonts w:ascii="Times New Roman Italic" w:hAnsi="Times New Roman Italic"/>
          <w:i/>
          <w:spacing w:val="-4"/>
        </w:rPr>
        <w:t>T</w:t>
      </w:r>
      <w:r w:rsidRPr="004F7F23">
        <w:rPr>
          <w:rFonts w:ascii="Times New Roman Italic" w:hAnsi="Times New Roman Italic"/>
          <w:i/>
          <w:spacing w:val="-4"/>
        </w:rPr>
        <w:t>ăng trưởng năm 2025 của Thái Lan và Xin-ga-po</w:t>
      </w:r>
      <w:r w:rsidRPr="004F7F23">
        <w:rPr>
          <w:rFonts w:ascii="Times New Roman Italic" w:hAnsi="Times New Roman Italic"/>
          <w:i/>
          <w:spacing w:val="2"/>
        </w:rPr>
        <w:t xml:space="preserve"> được dự báo thấp hơn, đạt lần lượt từ mứ</w:t>
      </w:r>
      <w:r w:rsidR="004F7F23">
        <w:rPr>
          <w:rFonts w:ascii="Times New Roman Italic" w:hAnsi="Times New Roman Italic"/>
          <w:i/>
          <w:spacing w:val="2"/>
        </w:rPr>
        <w:t>c 3,1</w:t>
      </w:r>
      <w:r w:rsidRPr="004F7F23">
        <w:rPr>
          <w:rFonts w:ascii="Times New Roman Italic" w:hAnsi="Times New Roman Italic"/>
          <w:i/>
          <w:spacing w:val="2"/>
        </w:rPr>
        <w:t>-3,</w:t>
      </w:r>
      <w:r w:rsidR="00D9751E" w:rsidRPr="004F7F23">
        <w:rPr>
          <w:rFonts w:ascii="Times New Roman Italic" w:hAnsi="Times New Roman Italic"/>
          <w:i/>
          <w:spacing w:val="2"/>
        </w:rPr>
        <w:t>3</w:t>
      </w:r>
      <w:r w:rsidRPr="004F7F23">
        <w:rPr>
          <w:rFonts w:ascii="Times New Roman Italic" w:hAnsi="Times New Roman Italic"/>
          <w:i/>
          <w:spacing w:val="2"/>
        </w:rPr>
        <w:t>% và 2,0-2,6%.</w:t>
      </w:r>
    </w:p>
    <w:p w14:paraId="3201696D" w14:textId="4B796A22" w:rsidR="00C556D4" w:rsidRPr="00A67545" w:rsidRDefault="00C556D4" w:rsidP="00C556D4">
      <w:pPr>
        <w:spacing w:before="100" w:after="100" w:line="240" w:lineRule="auto"/>
        <w:ind w:firstLine="720"/>
        <w:jc w:val="both"/>
        <w:rPr>
          <w:i/>
          <w:lang w:val="vi-VN"/>
        </w:rPr>
      </w:pPr>
      <w:r w:rsidRPr="00A67545">
        <w:rPr>
          <w:i/>
        </w:rPr>
        <w:t>C</w:t>
      </w:r>
      <w:r w:rsidRPr="00A67545">
        <w:rPr>
          <w:i/>
          <w:lang w:val="vi-VN"/>
        </w:rPr>
        <w:t xml:space="preserve">ác tổ chức quốc tế đều nhận định tăng trưởng của Việt Nam năm 2024 </w:t>
      </w:r>
      <w:r w:rsidRPr="00A67545">
        <w:rPr>
          <w:i/>
        </w:rPr>
        <w:t>đạt</w:t>
      </w:r>
      <w:r w:rsidRPr="00A67545">
        <w:rPr>
          <w:i/>
          <w:lang w:val="vi-VN"/>
        </w:rPr>
        <w:t xml:space="preserve"> trên 6</w:t>
      </w:r>
      <w:r w:rsidRPr="00A67545">
        <w:rPr>
          <w:i/>
        </w:rPr>
        <w:t>,0</w:t>
      </w:r>
      <w:r w:rsidRPr="00A67545">
        <w:rPr>
          <w:i/>
          <w:lang w:val="vi-VN"/>
        </w:rPr>
        <w:t xml:space="preserve">% và xu hướng này vẫn được duy trì trong năm 2025. Cụ thể, WB dự báo tăng trưởng năm 2025 của Việt Nam cao nhất ở mức 6,8%, tiếp theo là AMRO 6,6% và UN dự báo </w:t>
      </w:r>
      <w:r w:rsidR="004F7F23">
        <w:rPr>
          <w:i/>
        </w:rPr>
        <w:t>đạt</w:t>
      </w:r>
      <w:r w:rsidRPr="00A67545">
        <w:rPr>
          <w:i/>
          <w:lang w:val="vi-VN"/>
        </w:rPr>
        <w:t xml:space="preserve"> 6,5%.</w:t>
      </w:r>
    </w:p>
    <w:p w14:paraId="7B364C31" w14:textId="77777777" w:rsidR="00C556D4" w:rsidRPr="00A67545" w:rsidRDefault="00C556D4" w:rsidP="00C556D4">
      <w:pPr>
        <w:spacing w:before="80" w:after="80" w:line="240" w:lineRule="auto"/>
        <w:ind w:firstLine="567"/>
        <w:jc w:val="both"/>
        <w:rPr>
          <w:b/>
          <w:szCs w:val="28"/>
          <w:lang w:val="vi-VN"/>
        </w:rPr>
      </w:pPr>
      <w:r w:rsidRPr="00A67545">
        <w:rPr>
          <w:b/>
          <w:szCs w:val="28"/>
          <w:lang w:val="vi-VN"/>
        </w:rPr>
        <w:t>I. DỰ BÁO KINH TẾ TOÀN CẦU</w:t>
      </w:r>
    </w:p>
    <w:p w14:paraId="6D15EC95" w14:textId="42C70A82" w:rsidR="00C556D4" w:rsidRPr="00A67545" w:rsidRDefault="00C556D4" w:rsidP="00C556D4">
      <w:pPr>
        <w:spacing w:before="80" w:after="80" w:line="240" w:lineRule="auto"/>
        <w:ind w:firstLine="567"/>
        <w:jc w:val="both"/>
        <w:rPr>
          <w:b/>
          <w:spacing w:val="-12"/>
        </w:rPr>
      </w:pPr>
      <w:r w:rsidRPr="00A67545">
        <w:rPr>
          <w:b/>
          <w:spacing w:val="-12"/>
          <w:lang w:val="vi-VN"/>
        </w:rPr>
        <w:t xml:space="preserve">1. </w:t>
      </w:r>
      <w:r w:rsidR="004C337F" w:rsidRPr="00A67545">
        <w:rPr>
          <w:b/>
          <w:spacing w:val="-12"/>
        </w:rPr>
        <w:t>Nhận định tăng trưởng kinh toàn cầu năm 2025 của c</w:t>
      </w:r>
      <w:r w:rsidRPr="00A67545">
        <w:rPr>
          <w:b/>
          <w:spacing w:val="-12"/>
          <w:lang w:val="vi-VN"/>
        </w:rPr>
        <w:t xml:space="preserve">ác tổ chức quốc tế </w:t>
      </w:r>
    </w:p>
    <w:p w14:paraId="7D2208D6" w14:textId="7F8E1DA0" w:rsidR="00C556D4" w:rsidRPr="00A67545" w:rsidRDefault="00C556D4" w:rsidP="00C556D4">
      <w:pPr>
        <w:spacing w:before="80" w:after="80" w:line="240" w:lineRule="auto"/>
        <w:ind w:firstLine="720"/>
        <w:jc w:val="both"/>
      </w:pPr>
      <w:r w:rsidRPr="00A67545">
        <w:rPr>
          <w:lang w:val="vi-VN"/>
        </w:rPr>
        <w:t>T</w:t>
      </w:r>
      <w:r w:rsidR="002F41FC" w:rsidRPr="00A67545">
        <w:t>ại thời điểm tháng 3/2025</w:t>
      </w:r>
      <w:r w:rsidRPr="00A67545">
        <w:rPr>
          <w:lang w:val="vi-VN"/>
        </w:rPr>
        <w:t xml:space="preserve">, các tổ chức quốc tế </w:t>
      </w:r>
      <w:r w:rsidRPr="00A67545">
        <w:t xml:space="preserve">OECD, </w:t>
      </w:r>
      <w:r w:rsidR="002F41FC" w:rsidRPr="00A67545">
        <w:t xml:space="preserve">FR, </w:t>
      </w:r>
      <w:r w:rsidRPr="00A67545">
        <w:t>UN</w:t>
      </w:r>
      <w:r w:rsidR="002F41FC" w:rsidRPr="00A67545">
        <w:t xml:space="preserve"> và</w:t>
      </w:r>
      <w:r w:rsidRPr="00A67545">
        <w:t xml:space="preserve"> WB </w:t>
      </w:r>
      <w:r w:rsidRPr="00A67545">
        <w:rPr>
          <w:lang w:val="vi-VN"/>
        </w:rPr>
        <w:t xml:space="preserve">điều chỉnh </w:t>
      </w:r>
      <w:r w:rsidRPr="00A67545">
        <w:t>giảm</w:t>
      </w:r>
      <w:r w:rsidRPr="00A67545" w:rsidDel="00B6737D">
        <w:rPr>
          <w:lang w:val="vi-VN"/>
        </w:rPr>
        <w:t xml:space="preserve"> </w:t>
      </w:r>
      <w:r w:rsidRPr="00A67545">
        <w:t xml:space="preserve">hoặc giữ nguyên </w:t>
      </w:r>
      <w:r w:rsidRPr="00A67545">
        <w:rPr>
          <w:lang w:val="vi-VN"/>
        </w:rPr>
        <w:t>tăng trưởng kinh tế toàn cầu năm 202</w:t>
      </w:r>
      <w:r w:rsidRPr="00A67545">
        <w:t>5</w:t>
      </w:r>
      <w:r w:rsidRPr="00A67545">
        <w:rPr>
          <w:lang w:val="vi-VN"/>
        </w:rPr>
        <w:t xml:space="preserve"> so với dự báo trước đó</w:t>
      </w:r>
      <w:r w:rsidR="004C337F" w:rsidRPr="00A67545">
        <w:t>, riêng IMF điều chỉnh tăng nhẹ</w:t>
      </w:r>
      <w:r w:rsidRPr="00A67545">
        <w:rPr>
          <w:lang w:val="vi-VN"/>
        </w:rPr>
        <w:t>.</w:t>
      </w:r>
      <w:r w:rsidR="002F41FC" w:rsidRPr="00A67545">
        <w:t xml:space="preserve"> Cụ thể:</w:t>
      </w:r>
    </w:p>
    <w:p w14:paraId="1DB9EB90" w14:textId="77777777" w:rsidR="00C556D4" w:rsidRPr="00A67545" w:rsidRDefault="00C556D4" w:rsidP="00C556D4">
      <w:pPr>
        <w:spacing w:before="120" w:after="120" w:line="240" w:lineRule="auto"/>
        <w:ind w:firstLine="720"/>
        <w:jc w:val="both"/>
        <w:rPr>
          <w:i/>
          <w:spacing w:val="-4"/>
          <w:lang w:val="vi-VN"/>
        </w:rPr>
      </w:pPr>
      <w:r w:rsidRPr="00A67545">
        <w:rPr>
          <w:i/>
          <w:spacing w:val="-4"/>
          <w:lang w:val="vi-VN"/>
        </w:rPr>
        <w:t>Quỹ Tiền tệ quốc tế (IMF)</w:t>
      </w:r>
    </w:p>
    <w:p w14:paraId="008EA37F" w14:textId="063D8864" w:rsidR="00C556D4" w:rsidRPr="00A67545" w:rsidRDefault="00C556D4" w:rsidP="00B31EAB">
      <w:pPr>
        <w:spacing w:before="140" w:after="120" w:line="240" w:lineRule="auto"/>
        <w:ind w:firstLine="720"/>
        <w:jc w:val="both"/>
        <w:rPr>
          <w:spacing w:val="-4"/>
          <w:lang w:val="vi-VN"/>
        </w:rPr>
      </w:pPr>
      <w:r w:rsidRPr="00A67545">
        <w:rPr>
          <w:spacing w:val="-4"/>
          <w:lang w:val="vi-VN"/>
        </w:rPr>
        <w:t xml:space="preserve">Theo báo cáo Triển vọng kinh tế thế giới cập nhật tháng </w:t>
      </w:r>
      <w:r w:rsidRPr="00A67545">
        <w:rPr>
          <w:spacing w:val="-4"/>
        </w:rPr>
        <w:t>01</w:t>
      </w:r>
      <w:r w:rsidRPr="00A67545">
        <w:rPr>
          <w:spacing w:val="-4"/>
          <w:lang w:val="vi-VN"/>
        </w:rPr>
        <w:t>/202</w:t>
      </w:r>
      <w:r w:rsidRPr="00A67545">
        <w:rPr>
          <w:spacing w:val="-4"/>
        </w:rPr>
        <w:t>5</w:t>
      </w:r>
      <w:r w:rsidRPr="00A67545">
        <w:rPr>
          <w:spacing w:val="-4"/>
          <w:lang w:val="vi-VN"/>
        </w:rPr>
        <w:t xml:space="preserve"> của IMF, tăng trưởng toàn cầu </w:t>
      </w:r>
      <w:r w:rsidR="001910D1" w:rsidRPr="00A67545">
        <w:rPr>
          <w:spacing w:val="-4"/>
        </w:rPr>
        <w:t xml:space="preserve">được </w:t>
      </w:r>
      <w:r w:rsidRPr="00A67545">
        <w:rPr>
          <w:spacing w:val="-4"/>
          <w:lang w:val="vi-VN"/>
        </w:rPr>
        <w:t xml:space="preserve">dự </w:t>
      </w:r>
      <w:r w:rsidR="001910D1" w:rsidRPr="00A67545">
        <w:rPr>
          <w:spacing w:val="-4"/>
        </w:rPr>
        <w:t>báo</w:t>
      </w:r>
      <w:r w:rsidRPr="00A67545">
        <w:rPr>
          <w:spacing w:val="-4"/>
          <w:lang w:val="vi-VN"/>
        </w:rPr>
        <w:t xml:space="preserve"> </w:t>
      </w:r>
      <w:r w:rsidR="00AF470F" w:rsidRPr="00A67545">
        <w:rPr>
          <w:spacing w:val="-4"/>
        </w:rPr>
        <w:t>đạt</w:t>
      </w:r>
      <w:r w:rsidRPr="00A67545">
        <w:rPr>
          <w:spacing w:val="-4"/>
          <w:lang w:val="vi-VN"/>
        </w:rPr>
        <w:t xml:space="preserve"> 3,3% trong năm 2025 (tăng 0,1 điểm</w:t>
      </w:r>
      <w:r w:rsidR="00B31EAB" w:rsidRPr="00A67545">
        <w:rPr>
          <w:spacing w:val="-4"/>
        </w:rPr>
        <w:t xml:space="preserve"> phần trăm</w:t>
      </w:r>
      <w:r w:rsidRPr="00A67545">
        <w:rPr>
          <w:spacing w:val="-4"/>
          <w:lang w:val="vi-VN"/>
        </w:rPr>
        <w:t xml:space="preserve"> so với dự báo trong tháng 10/2024), thấp hơn mức trung bình lịch sử </w:t>
      </w:r>
      <w:r w:rsidR="00AF470F" w:rsidRPr="00A67545">
        <w:rPr>
          <w:spacing w:val="-4"/>
          <w:lang w:val="vi-VN"/>
        </w:rPr>
        <w:t>3,7%</w:t>
      </w:r>
      <w:r w:rsidR="00AF470F" w:rsidRPr="00A67545" w:rsidDel="00AF470F">
        <w:rPr>
          <w:spacing w:val="-4"/>
          <w:lang w:val="vi-VN"/>
        </w:rPr>
        <w:t xml:space="preserve"> </w:t>
      </w:r>
      <w:r w:rsidR="00AF470F" w:rsidRPr="00A67545">
        <w:rPr>
          <w:spacing w:val="-4"/>
        </w:rPr>
        <w:t xml:space="preserve">của </w:t>
      </w:r>
      <w:r w:rsidR="001910D1" w:rsidRPr="00A67545">
        <w:rPr>
          <w:spacing w:val="-4"/>
        </w:rPr>
        <w:t xml:space="preserve">giai đoạn </w:t>
      </w:r>
      <w:r w:rsidRPr="00A67545">
        <w:rPr>
          <w:spacing w:val="-4"/>
          <w:lang w:val="vi-VN"/>
        </w:rPr>
        <w:lastRenderedPageBreak/>
        <w:t>2000</w:t>
      </w:r>
      <w:r w:rsidR="00AF470F" w:rsidRPr="00A67545">
        <w:rPr>
          <w:spacing w:val="-4"/>
        </w:rPr>
        <w:t xml:space="preserve"> - </w:t>
      </w:r>
      <w:r w:rsidR="001910D1" w:rsidRPr="00A67545">
        <w:rPr>
          <w:spacing w:val="-4"/>
        </w:rPr>
        <w:t>20</w:t>
      </w:r>
      <w:r w:rsidRPr="00A67545">
        <w:rPr>
          <w:spacing w:val="-4"/>
          <w:lang w:val="vi-VN"/>
        </w:rPr>
        <w:t>19. Tuy nhiên, bức tranh toàn cảnh</w:t>
      </w:r>
      <w:r w:rsidR="001910D1" w:rsidRPr="00A67545">
        <w:rPr>
          <w:spacing w:val="-4"/>
        </w:rPr>
        <w:t xml:space="preserve"> kinh tế thế giới </w:t>
      </w:r>
      <w:r w:rsidRPr="00A67545">
        <w:rPr>
          <w:spacing w:val="-4"/>
          <w:lang w:val="vi-VN"/>
        </w:rPr>
        <w:t xml:space="preserve">ẩn chứa </w:t>
      </w:r>
      <w:r w:rsidR="001910D1" w:rsidRPr="00A67545">
        <w:rPr>
          <w:spacing w:val="-4"/>
        </w:rPr>
        <w:t xml:space="preserve">nhiều gam màu </w:t>
      </w:r>
      <w:r w:rsidRPr="00A67545">
        <w:rPr>
          <w:spacing w:val="-4"/>
          <w:lang w:val="vi-VN"/>
        </w:rPr>
        <w:t>khác nhau giữa các nền kinh tế và triển vọng tăng trưởng toàn cầu bấp bênh.</w:t>
      </w:r>
    </w:p>
    <w:p w14:paraId="7B22EABE" w14:textId="77777777" w:rsidR="00C556D4" w:rsidRPr="00A67545" w:rsidRDefault="00C556D4" w:rsidP="00B31EAB">
      <w:pPr>
        <w:spacing w:before="140" w:after="120" w:line="240" w:lineRule="auto"/>
        <w:ind w:firstLine="720"/>
        <w:jc w:val="both"/>
        <w:rPr>
          <w:i/>
          <w:lang w:val="vi-VN"/>
        </w:rPr>
      </w:pPr>
      <w:r w:rsidRPr="00A67545">
        <w:rPr>
          <w:i/>
          <w:lang w:val="vi-VN"/>
        </w:rPr>
        <w:t>Tổ chức Hợp tác và Phát triển kinh tế (OECD)</w:t>
      </w:r>
    </w:p>
    <w:p w14:paraId="0594704B" w14:textId="7278E591" w:rsidR="00C556D4" w:rsidRPr="00A67545" w:rsidRDefault="00C556D4" w:rsidP="00B31EAB">
      <w:pPr>
        <w:spacing w:before="140" w:after="120" w:line="240" w:lineRule="auto"/>
        <w:ind w:firstLine="720"/>
        <w:jc w:val="both"/>
        <w:rPr>
          <w:spacing w:val="2"/>
          <w:lang w:val="vi-VN"/>
        </w:rPr>
      </w:pPr>
      <w:r w:rsidRPr="00A67545">
        <w:rPr>
          <w:spacing w:val="2"/>
          <w:lang w:val="vi-VN"/>
        </w:rPr>
        <w:t>Trong báo cáo kinh tế sơ bộ “Vượt qua sự không chắc chắn” phát hành tháng 03/2025, OECD dự báo tăng trưởng GDP toàn cầu đạt 3,1% năm 2025, giảm 0,2 điể</w:t>
      </w:r>
      <w:r w:rsidR="001910D1" w:rsidRPr="00A67545">
        <w:rPr>
          <w:spacing w:val="2"/>
        </w:rPr>
        <w:t>m phần trăm</w:t>
      </w:r>
      <w:r w:rsidRPr="00A67545">
        <w:rPr>
          <w:spacing w:val="2"/>
          <w:lang w:val="vi-VN"/>
        </w:rPr>
        <w:t xml:space="preserve"> so với dự báo trong tháng 12/2024, do các rào cản thương mại cao hơn ở một số nền kinh tế </w:t>
      </w:r>
      <w:r w:rsidR="001910D1" w:rsidRPr="00A67545">
        <w:rPr>
          <w:spacing w:val="2"/>
        </w:rPr>
        <w:t xml:space="preserve">thuộc nhóm </w:t>
      </w:r>
      <w:r w:rsidRPr="00A67545">
        <w:rPr>
          <w:spacing w:val="2"/>
          <w:lang w:val="vi-VN"/>
        </w:rPr>
        <w:t>G20</w:t>
      </w:r>
      <w:r w:rsidR="00AF470F" w:rsidRPr="00A67545">
        <w:rPr>
          <w:spacing w:val="2"/>
        </w:rPr>
        <w:t>,</w:t>
      </w:r>
      <w:r w:rsidRPr="00A67545">
        <w:rPr>
          <w:spacing w:val="2"/>
          <w:lang w:val="vi-VN"/>
        </w:rPr>
        <w:t xml:space="preserve"> sự gia tăng bất ổn về địa chính trị</w:t>
      </w:r>
      <w:r w:rsidR="00AF470F" w:rsidRPr="00A67545">
        <w:rPr>
          <w:spacing w:val="2"/>
        </w:rPr>
        <w:t>,</w:t>
      </w:r>
      <w:r w:rsidRPr="00A67545">
        <w:rPr>
          <w:spacing w:val="2"/>
          <w:lang w:val="vi-VN"/>
        </w:rPr>
        <w:t xml:space="preserve"> chính sách </w:t>
      </w:r>
      <w:r w:rsidR="00AF470F" w:rsidRPr="00A67545">
        <w:rPr>
          <w:spacing w:val="2"/>
        </w:rPr>
        <w:t xml:space="preserve">đã </w:t>
      </w:r>
      <w:r w:rsidRPr="00A67545">
        <w:rPr>
          <w:spacing w:val="2"/>
          <w:lang w:val="vi-VN"/>
        </w:rPr>
        <w:t xml:space="preserve">gây </w:t>
      </w:r>
      <w:r w:rsidR="001910D1" w:rsidRPr="00A67545">
        <w:rPr>
          <w:spacing w:val="2"/>
        </w:rPr>
        <w:t>áp lực lên</w:t>
      </w:r>
      <w:r w:rsidRPr="00A67545">
        <w:rPr>
          <w:spacing w:val="2"/>
          <w:lang w:val="vi-VN"/>
        </w:rPr>
        <w:t xml:space="preserve"> đầu tư và chi tiêu hộ gia đình.</w:t>
      </w:r>
    </w:p>
    <w:p w14:paraId="2AA4903D" w14:textId="77777777" w:rsidR="00C556D4" w:rsidRPr="00A67545" w:rsidRDefault="00C556D4" w:rsidP="00B31EAB">
      <w:pPr>
        <w:spacing w:before="140" w:after="120" w:line="240" w:lineRule="auto"/>
        <w:ind w:firstLine="720"/>
        <w:jc w:val="both"/>
        <w:rPr>
          <w:i/>
          <w:lang w:val="vi-VN"/>
        </w:rPr>
      </w:pPr>
      <w:r w:rsidRPr="00A67545">
        <w:rPr>
          <w:i/>
          <w:lang w:val="vi-VN"/>
        </w:rPr>
        <w:t>Liên hợp quốc (UN)</w:t>
      </w:r>
    </w:p>
    <w:p w14:paraId="063E4756" w14:textId="183D30D6" w:rsidR="00C556D4" w:rsidRPr="00A67545" w:rsidRDefault="00C556D4" w:rsidP="00B31EAB">
      <w:pPr>
        <w:spacing w:before="140" w:after="120" w:line="240" w:lineRule="auto"/>
        <w:ind w:firstLine="720"/>
        <w:jc w:val="both"/>
        <w:rPr>
          <w:spacing w:val="2"/>
          <w:lang w:val="vi-VN"/>
        </w:rPr>
      </w:pPr>
      <w:r w:rsidRPr="00A67545">
        <w:rPr>
          <w:lang w:val="vi-VN"/>
        </w:rPr>
        <w:t xml:space="preserve">Trong báo cáo </w:t>
      </w:r>
      <w:r w:rsidR="001910D1" w:rsidRPr="00A67545">
        <w:t>“</w:t>
      </w:r>
      <w:r w:rsidRPr="00A67545">
        <w:rPr>
          <w:lang w:val="vi-VN"/>
        </w:rPr>
        <w:t>Tình hình và triển vọng kinh tế thế giới</w:t>
      </w:r>
      <w:r w:rsidR="001910D1" w:rsidRPr="00A67545">
        <w:t xml:space="preserve">” </w:t>
      </w:r>
      <w:r w:rsidRPr="00A67545">
        <w:rPr>
          <w:lang w:val="vi-VN"/>
        </w:rPr>
        <w:t xml:space="preserve">tháng </w:t>
      </w:r>
      <w:r w:rsidRPr="00A67545">
        <w:t>01</w:t>
      </w:r>
      <w:r w:rsidRPr="00A67545">
        <w:rPr>
          <w:lang w:val="vi-VN"/>
        </w:rPr>
        <w:t>/202</w:t>
      </w:r>
      <w:r w:rsidRPr="00A67545">
        <w:t>5</w:t>
      </w:r>
      <w:r w:rsidRPr="00A67545">
        <w:rPr>
          <w:lang w:val="vi-VN"/>
        </w:rPr>
        <w:t xml:space="preserve">, UN nhận định </w:t>
      </w:r>
      <w:r w:rsidR="00B31EAB" w:rsidRPr="00A67545">
        <w:t>tăng trưởng</w:t>
      </w:r>
      <w:r w:rsidRPr="00A67545">
        <w:rPr>
          <w:lang w:val="vi-VN"/>
        </w:rPr>
        <w:t xml:space="preserve"> kinh tế toàn cầu năm 2025 đạt 2,8%, giữ nguyên so với dự báo trong tháng 6/2024. </w:t>
      </w:r>
      <w:r w:rsidR="00B31EAB" w:rsidRPr="00A67545">
        <w:t>L</w:t>
      </w:r>
      <w:r w:rsidRPr="00A67545">
        <w:rPr>
          <w:lang w:val="vi-VN"/>
        </w:rPr>
        <w:t xml:space="preserve">ạm phát tiếp tục giảm và nới lỏng tiền tệ sẽ thúc đẩy </w:t>
      </w:r>
      <w:r w:rsidR="0062748F" w:rsidRPr="00A67545">
        <w:t xml:space="preserve">tổng </w:t>
      </w:r>
      <w:r w:rsidRPr="00A67545">
        <w:rPr>
          <w:lang w:val="vi-VN"/>
        </w:rPr>
        <w:t>cầu, trong khi các cuộc xung đột và căng thẳng địa chính trị đang diễn ra có thể thách thức nguồn cung.</w:t>
      </w:r>
    </w:p>
    <w:p w14:paraId="1E43532F" w14:textId="77777777" w:rsidR="00C556D4" w:rsidRPr="00A67545" w:rsidRDefault="00C556D4" w:rsidP="00B31EAB">
      <w:pPr>
        <w:spacing w:before="140" w:after="120" w:line="240" w:lineRule="auto"/>
        <w:ind w:firstLine="720"/>
        <w:jc w:val="both"/>
        <w:rPr>
          <w:i/>
        </w:rPr>
      </w:pPr>
      <w:r w:rsidRPr="00A67545">
        <w:rPr>
          <w:i/>
        </w:rPr>
        <w:t>Ngân hàng Thế giới (WB)</w:t>
      </w:r>
    </w:p>
    <w:p w14:paraId="17DAFA9C" w14:textId="4A42CC23" w:rsidR="00C556D4" w:rsidRPr="00A67545" w:rsidRDefault="00C556D4" w:rsidP="00B31EAB">
      <w:pPr>
        <w:spacing w:before="140" w:after="120" w:line="240" w:lineRule="auto"/>
        <w:ind w:firstLine="720"/>
        <w:jc w:val="both"/>
        <w:rPr>
          <w:lang w:val="vi-VN"/>
        </w:rPr>
      </w:pPr>
      <w:r w:rsidRPr="00A67545">
        <w:rPr>
          <w:lang w:val="vi-VN"/>
        </w:rPr>
        <w:t xml:space="preserve">Theo báo cáo tháng 01/2025, WB dự báo tăng trưởng toàn cầu </w:t>
      </w:r>
      <w:r w:rsidR="006C2211" w:rsidRPr="00A67545">
        <w:t>đạt</w:t>
      </w:r>
      <w:r w:rsidRPr="00A67545">
        <w:rPr>
          <w:lang w:val="vi-VN"/>
        </w:rPr>
        <w:t xml:space="preserve"> 2,7% </w:t>
      </w:r>
      <w:r w:rsidR="00B31EAB" w:rsidRPr="00A67545">
        <w:t>trong</w:t>
      </w:r>
      <w:r w:rsidR="00B31EAB" w:rsidRPr="00A67545">
        <w:rPr>
          <w:lang w:val="vi-VN"/>
        </w:rPr>
        <w:t xml:space="preserve"> </w:t>
      </w:r>
      <w:r w:rsidRPr="00A67545">
        <w:rPr>
          <w:lang w:val="vi-VN"/>
        </w:rPr>
        <w:t xml:space="preserve">năm 2025, </w:t>
      </w:r>
      <w:r w:rsidR="006C2211" w:rsidRPr="00A67545">
        <w:t xml:space="preserve">giữ nguyên </w:t>
      </w:r>
      <w:r w:rsidRPr="00A67545">
        <w:rPr>
          <w:lang w:val="vi-VN"/>
        </w:rPr>
        <w:t>so với dự báo trong tháng 6/2024.</w:t>
      </w:r>
      <w:r w:rsidR="000327D5" w:rsidRPr="00A67545">
        <w:t xml:space="preserve"> </w:t>
      </w:r>
      <w:r w:rsidRPr="00A67545">
        <w:t>WB</w:t>
      </w:r>
      <w:r w:rsidRPr="00A67545">
        <w:rPr>
          <w:lang w:val="vi-VN"/>
        </w:rPr>
        <w:t xml:space="preserve"> cũng lưu ý bất ổn chính sách gia tăng, thay đổi chính sách thương mại bất lợi, căng thẳng địa chính trị, lạm phát dai dẳng và thảm họa thiên nhiên liên quan đến khí hậu </w:t>
      </w:r>
      <w:r w:rsidR="006C2211" w:rsidRPr="00A67545">
        <w:t xml:space="preserve">sẽ là </w:t>
      </w:r>
      <w:r w:rsidRPr="00A67545">
        <w:rPr>
          <w:lang w:val="vi-VN"/>
        </w:rPr>
        <w:t>những trở ngại tiềm tàng</w:t>
      </w:r>
      <w:r w:rsidR="006C2211" w:rsidRPr="00A67545">
        <w:t xml:space="preserve"> </w:t>
      </w:r>
      <w:r w:rsidR="00BA1541" w:rsidRPr="00A67545">
        <w:t>đối với</w:t>
      </w:r>
      <w:r w:rsidR="006C2211" w:rsidRPr="00A67545">
        <w:t xml:space="preserve"> tăng trưởng kinh tế</w:t>
      </w:r>
      <w:r w:rsidR="00BA1541" w:rsidRPr="00A67545">
        <w:t xml:space="preserve"> toàn cầu</w:t>
      </w:r>
      <w:r w:rsidR="006C2211" w:rsidRPr="00A67545">
        <w:t>.</w:t>
      </w:r>
    </w:p>
    <w:p w14:paraId="46CCDF8E" w14:textId="77777777" w:rsidR="00C556D4" w:rsidRPr="00A67545" w:rsidRDefault="00C556D4" w:rsidP="00B31EAB">
      <w:pPr>
        <w:spacing w:before="140" w:after="120" w:line="240" w:lineRule="auto"/>
        <w:ind w:firstLine="720"/>
        <w:jc w:val="both"/>
        <w:rPr>
          <w:i/>
          <w:lang w:val="vi-VN"/>
        </w:rPr>
      </w:pPr>
      <w:r w:rsidRPr="00A67545">
        <w:rPr>
          <w:i/>
          <w:lang w:val="vi-VN"/>
        </w:rPr>
        <w:t>Fitch Ratings (FR)</w:t>
      </w:r>
    </w:p>
    <w:p w14:paraId="3CA91CDC" w14:textId="0A5976C9" w:rsidR="00C556D4" w:rsidRPr="00A67545" w:rsidRDefault="00C556D4" w:rsidP="00B31EAB">
      <w:pPr>
        <w:spacing w:before="140" w:after="120" w:line="240" w:lineRule="auto"/>
        <w:ind w:firstLine="720"/>
        <w:jc w:val="both"/>
        <w:rPr>
          <w:spacing w:val="-2"/>
          <w:lang w:val="vi-VN"/>
        </w:rPr>
      </w:pPr>
      <w:r w:rsidRPr="00A67545">
        <w:rPr>
          <w:spacing w:val="-2"/>
          <w:lang w:val="vi-VN"/>
        </w:rPr>
        <w:t xml:space="preserve">Theo Báo cáo Triển vọng kinh tế toàn cầu tháng </w:t>
      </w:r>
      <w:r w:rsidRPr="00A67545">
        <w:rPr>
          <w:spacing w:val="-2"/>
        </w:rPr>
        <w:t>03</w:t>
      </w:r>
      <w:r w:rsidRPr="00A67545">
        <w:rPr>
          <w:spacing w:val="-2"/>
          <w:lang w:val="vi-VN"/>
        </w:rPr>
        <w:t>/202</w:t>
      </w:r>
      <w:r w:rsidRPr="00A67545">
        <w:rPr>
          <w:spacing w:val="-2"/>
        </w:rPr>
        <w:t>5</w:t>
      </w:r>
      <w:r w:rsidRPr="00A67545">
        <w:rPr>
          <w:spacing w:val="-2"/>
          <w:lang w:val="vi-VN"/>
        </w:rPr>
        <w:t xml:space="preserve">, FR dự báo GDP thế giới </w:t>
      </w:r>
      <w:r w:rsidRPr="00A67545">
        <w:rPr>
          <w:spacing w:val="-2"/>
        </w:rPr>
        <w:t>đạt</w:t>
      </w:r>
      <w:r w:rsidRPr="00A67545">
        <w:rPr>
          <w:spacing w:val="-2"/>
          <w:lang w:val="vi-VN"/>
        </w:rPr>
        <w:t xml:space="preserve"> 2,3% trong năm </w:t>
      </w:r>
      <w:r w:rsidRPr="00A67545">
        <w:rPr>
          <w:spacing w:val="-2"/>
        </w:rPr>
        <w:t>2025</w:t>
      </w:r>
      <w:r w:rsidRPr="00A67545">
        <w:rPr>
          <w:spacing w:val="-2"/>
          <w:lang w:val="vi-VN"/>
        </w:rPr>
        <w:t>, điều chỉnh giảm 0,3 điểm</w:t>
      </w:r>
      <w:r w:rsidR="006C2211" w:rsidRPr="00A67545">
        <w:rPr>
          <w:spacing w:val="-2"/>
        </w:rPr>
        <w:t xml:space="preserve"> phần trăm</w:t>
      </w:r>
      <w:r w:rsidRPr="00A67545">
        <w:rPr>
          <w:spacing w:val="-2"/>
          <w:lang w:val="vi-VN"/>
        </w:rPr>
        <w:t xml:space="preserve"> so với dự báo trong tháng 12/2</w:t>
      </w:r>
      <w:r w:rsidR="001E1376" w:rsidRPr="00A67545">
        <w:rPr>
          <w:spacing w:val="-2"/>
        </w:rPr>
        <w:t>0</w:t>
      </w:r>
      <w:r w:rsidRPr="00A67545">
        <w:rPr>
          <w:spacing w:val="-2"/>
          <w:lang w:val="vi-VN"/>
        </w:rPr>
        <w:t xml:space="preserve">24. Mức tăng trưởng này thấp hơn nhiều so với xu hướng và giảm so với mức 2,9% trong năm 2024 </w:t>
      </w:r>
      <w:r w:rsidR="006C2211" w:rsidRPr="00A67545">
        <w:rPr>
          <w:spacing w:val="-2"/>
        </w:rPr>
        <w:t xml:space="preserve">do </w:t>
      </w:r>
      <w:r w:rsidR="00B31EAB" w:rsidRPr="00A67545">
        <w:rPr>
          <w:spacing w:val="-2"/>
        </w:rPr>
        <w:t>hoạt động</w:t>
      </w:r>
      <w:r w:rsidRPr="00A67545">
        <w:rPr>
          <w:spacing w:val="-2"/>
          <w:lang w:val="vi-VN"/>
        </w:rPr>
        <w:t xml:space="preserve"> kinh tế có xu hướng giảm t</w:t>
      </w:r>
      <w:r w:rsidR="006C2211" w:rsidRPr="00A67545">
        <w:rPr>
          <w:spacing w:val="-2"/>
        </w:rPr>
        <w:t>ại</w:t>
      </w:r>
      <w:r w:rsidRPr="00A67545">
        <w:rPr>
          <w:spacing w:val="-2"/>
          <w:lang w:val="vi-VN"/>
        </w:rPr>
        <w:t xml:space="preserve"> các nền kinh tế phát triển và mới nổi.</w:t>
      </w:r>
    </w:p>
    <w:p w14:paraId="2311D880" w14:textId="6BCCFB7A" w:rsidR="00C556D4" w:rsidRPr="00A67545" w:rsidRDefault="00C556D4" w:rsidP="00C556D4">
      <w:pPr>
        <w:spacing w:before="120" w:after="120" w:line="240" w:lineRule="auto"/>
        <w:ind w:firstLine="720"/>
        <w:jc w:val="center"/>
        <w:rPr>
          <w:b/>
          <w:spacing w:val="-4"/>
          <w:lang w:val="vi-VN"/>
        </w:rPr>
      </w:pPr>
      <w:r w:rsidRPr="00A67545">
        <w:rPr>
          <w:b/>
          <w:spacing w:val="-4"/>
          <w:lang w:val="vi-VN"/>
        </w:rPr>
        <w:t xml:space="preserve">Hình 1. </w:t>
      </w:r>
      <w:r w:rsidR="00592020" w:rsidRPr="00A67545">
        <w:rPr>
          <w:b/>
          <w:spacing w:val="-4"/>
        </w:rPr>
        <w:t>T</w:t>
      </w:r>
      <w:r w:rsidRPr="00A67545">
        <w:rPr>
          <w:b/>
          <w:spacing w:val="-4"/>
          <w:lang w:val="vi-VN"/>
        </w:rPr>
        <w:t xml:space="preserve">ăng trưởng toàn cầu </w:t>
      </w:r>
      <w:r w:rsidR="00592020" w:rsidRPr="00A67545">
        <w:rPr>
          <w:b/>
          <w:spacing w:val="-4"/>
        </w:rPr>
        <w:t>giai đoạn 2020-</w:t>
      </w:r>
      <w:r w:rsidRPr="00A67545">
        <w:rPr>
          <w:b/>
          <w:spacing w:val="-4"/>
          <w:lang w:val="vi-VN"/>
        </w:rPr>
        <w:t>202</w:t>
      </w:r>
      <w:r w:rsidRPr="00A67545">
        <w:rPr>
          <w:b/>
          <w:spacing w:val="-4"/>
        </w:rPr>
        <w:t>4,</w:t>
      </w:r>
      <w:r w:rsidRPr="00A67545">
        <w:rPr>
          <w:b/>
          <w:spacing w:val="-4"/>
          <w:lang w:val="vi-VN"/>
        </w:rPr>
        <w:t xml:space="preserve"> dự báo </w:t>
      </w:r>
      <w:r w:rsidRPr="00A67545">
        <w:rPr>
          <w:b/>
          <w:spacing w:val="-4"/>
        </w:rPr>
        <w:t xml:space="preserve">tăng trưởng </w:t>
      </w:r>
      <w:r w:rsidRPr="00A67545">
        <w:rPr>
          <w:b/>
          <w:spacing w:val="-4"/>
          <w:lang w:val="vi-VN"/>
        </w:rPr>
        <w:t>năm 202</w:t>
      </w:r>
      <w:r w:rsidRPr="00A67545">
        <w:rPr>
          <w:b/>
          <w:spacing w:val="-4"/>
        </w:rPr>
        <w:t>5</w:t>
      </w:r>
      <w:r w:rsidRPr="00A67545">
        <w:rPr>
          <w:b/>
          <w:spacing w:val="-4"/>
          <w:lang w:val="vi-VN"/>
        </w:rPr>
        <w:t xml:space="preserve"> của các tổ chức quốc tế</w:t>
      </w:r>
    </w:p>
    <w:p w14:paraId="6E887996" w14:textId="31D8658B" w:rsidR="001E1376" w:rsidRPr="00A67545" w:rsidRDefault="00217409" w:rsidP="001E1376">
      <w:pPr>
        <w:pStyle w:val="NormalWeb"/>
        <w:jc w:val="center"/>
      </w:pPr>
      <w:r w:rsidRPr="00A67545">
        <w:rPr>
          <w:noProof/>
        </w:rPr>
        <w:drawing>
          <wp:inline distT="0" distB="0" distL="0" distR="0" wp14:anchorId="1B00910E" wp14:editId="4B1DF883">
            <wp:extent cx="5120005" cy="246449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8776" cy="2468715"/>
                    </a:xfrm>
                    <a:prstGeom prst="rect">
                      <a:avLst/>
                    </a:prstGeom>
                    <a:noFill/>
                  </pic:spPr>
                </pic:pic>
              </a:graphicData>
            </a:graphic>
          </wp:inline>
        </w:drawing>
      </w:r>
    </w:p>
    <w:p w14:paraId="12BDEE6C" w14:textId="77777777" w:rsidR="00C556D4" w:rsidRPr="00A67545" w:rsidRDefault="00C556D4" w:rsidP="00C556D4">
      <w:pPr>
        <w:tabs>
          <w:tab w:val="center" w:pos="4590"/>
          <w:tab w:val="left" w:pos="8322"/>
        </w:tabs>
        <w:spacing w:after="0" w:line="240" w:lineRule="auto"/>
        <w:jc w:val="right"/>
        <w:rPr>
          <w:i/>
          <w:sz w:val="24"/>
          <w:szCs w:val="24"/>
        </w:rPr>
      </w:pPr>
      <w:r w:rsidRPr="00A67545">
        <w:rPr>
          <w:i/>
          <w:sz w:val="24"/>
          <w:szCs w:val="24"/>
          <w:lang w:val="vi-VN"/>
        </w:rPr>
        <w:t xml:space="preserve">Nguồn: </w:t>
      </w:r>
      <w:r w:rsidRPr="00A67545">
        <w:rPr>
          <w:i/>
          <w:sz w:val="24"/>
          <w:szCs w:val="24"/>
        </w:rPr>
        <w:t>IMF, OECD, UN, WB và FR</w:t>
      </w:r>
    </w:p>
    <w:p w14:paraId="7CDE95F5" w14:textId="7FE6AF5E" w:rsidR="00B9760F" w:rsidRPr="00B9760F" w:rsidRDefault="00B9760F" w:rsidP="00C556D4">
      <w:pPr>
        <w:spacing w:before="90" w:after="90" w:line="240" w:lineRule="auto"/>
        <w:ind w:firstLine="720"/>
        <w:jc w:val="both"/>
        <w:rPr>
          <w:lang w:val="vi-VN"/>
        </w:rPr>
      </w:pPr>
      <w:r w:rsidRPr="00B9760F">
        <w:rPr>
          <w:lang w:val="vi-VN"/>
        </w:rPr>
        <w:lastRenderedPageBreak/>
        <w:t xml:space="preserve">Như vậy, xét theo báo cáo mới nhất của hai tổ chức OECD và FR phát hành vào tháng 3/2025, tăng trưởng toàn cầu năm 2025 điều chỉnh giảm so với các dự báo đưa ra vào tháng 12/2024 (OECD điều chỉnh giảm 0,2 điểm phần trăm, đạt 3,1%; FR điều chỉnh giảm 0,3 điểm phần trăm, chỉ đạt 2,3%) và thấp hơn tăng trưởng của năm 2024. Các tổ chức quốc tế như WB và UN giữ nguyên tăng trưởng kinh tế thế giới so với dự báo đưa ra trong tháng 6/2024, lần lượt đạt 2,7% -2,8%. Tổ chức IMF nhận định </w:t>
      </w:r>
      <w:r w:rsidR="00BA3A73">
        <w:t xml:space="preserve">tăng trưởng </w:t>
      </w:r>
      <w:r w:rsidRPr="00B9760F">
        <w:rPr>
          <w:lang w:val="vi-VN"/>
        </w:rPr>
        <w:t>kinh tế toàn cầu năm 2025 cao nhất, đạt 3,3%, điều chỉnh tăng 0,1 điểm phần trăm so với dự báo trong tháng 10/2024 và cao hơn tăng trưởng của năm 2024. Tuy nhiên, các dự báo của IMF, WB và UN đều là những dự báo tăng trưởng toàn cầu đưa ra từ tháng 01/2025, là thời điểm chưa có những thay đổi trong chính sách điều hành kinh tế và đối ngoại của Hoa Kỳ.</w:t>
      </w:r>
    </w:p>
    <w:p w14:paraId="3F671708" w14:textId="77777777" w:rsidR="00C556D4" w:rsidRPr="00A67545" w:rsidRDefault="00C556D4" w:rsidP="00C556D4">
      <w:pPr>
        <w:spacing w:before="90" w:after="90" w:line="240" w:lineRule="auto"/>
        <w:ind w:firstLine="720"/>
        <w:jc w:val="both"/>
        <w:rPr>
          <w:b/>
          <w:lang w:val="vi-VN"/>
        </w:rPr>
      </w:pPr>
      <w:r w:rsidRPr="00A67545">
        <w:rPr>
          <w:b/>
          <w:lang w:val="vi-VN"/>
        </w:rPr>
        <w:t xml:space="preserve">2. Tổng quan biến động thị trường thế giới </w:t>
      </w:r>
    </w:p>
    <w:p w14:paraId="70EB67E4" w14:textId="45560013" w:rsidR="00C556D4" w:rsidRPr="00A67545" w:rsidRDefault="00C556D4" w:rsidP="00C556D4">
      <w:pPr>
        <w:spacing w:before="90" w:after="90" w:line="240" w:lineRule="auto"/>
        <w:ind w:firstLine="720"/>
        <w:jc w:val="both"/>
        <w:rPr>
          <w:b/>
          <w:i/>
          <w:spacing w:val="-6"/>
          <w:lang w:val="vi-VN"/>
        </w:rPr>
      </w:pPr>
      <w:r w:rsidRPr="00A67545">
        <w:rPr>
          <w:b/>
          <w:i/>
          <w:spacing w:val="-6"/>
          <w:lang w:val="vi-VN"/>
        </w:rPr>
        <w:t>Thương mại hàng</w:t>
      </w:r>
      <w:r w:rsidR="00CD5A17" w:rsidRPr="00A67545">
        <w:rPr>
          <w:b/>
          <w:i/>
          <w:spacing w:val="-6"/>
        </w:rPr>
        <w:t xml:space="preserve"> hóa</w:t>
      </w:r>
      <w:r w:rsidRPr="00A67545">
        <w:rPr>
          <w:b/>
          <w:i/>
          <w:spacing w:val="-6"/>
          <w:lang w:val="vi-VN"/>
        </w:rPr>
        <w:t xml:space="preserve"> </w:t>
      </w:r>
      <w:r w:rsidR="00044E10">
        <w:rPr>
          <w:b/>
          <w:i/>
          <w:spacing w:val="-6"/>
        </w:rPr>
        <w:t xml:space="preserve">toàn cầu </w:t>
      </w:r>
      <w:r w:rsidRPr="00A67545">
        <w:rPr>
          <w:b/>
          <w:i/>
          <w:spacing w:val="-6"/>
        </w:rPr>
        <w:t xml:space="preserve">tăng trong bối cảnh </w:t>
      </w:r>
      <w:r w:rsidR="00044E10">
        <w:rPr>
          <w:b/>
          <w:i/>
          <w:spacing w:val="-6"/>
        </w:rPr>
        <w:t xml:space="preserve">bất ổn </w:t>
      </w:r>
      <w:r w:rsidRPr="00A67545">
        <w:rPr>
          <w:b/>
          <w:i/>
          <w:spacing w:val="-6"/>
        </w:rPr>
        <w:t xml:space="preserve">chính sách </w:t>
      </w:r>
    </w:p>
    <w:p w14:paraId="11FD9BCE" w14:textId="20E3F59B" w:rsidR="00C556D4" w:rsidRPr="00A67545" w:rsidRDefault="00C556D4" w:rsidP="00121DEA">
      <w:pPr>
        <w:spacing w:before="120" w:after="120" w:line="240" w:lineRule="auto"/>
        <w:ind w:firstLine="720"/>
        <w:jc w:val="both"/>
      </w:pPr>
      <w:r w:rsidRPr="00A67545">
        <w:rPr>
          <w:lang w:val="vi-VN"/>
        </w:rPr>
        <w:t>Theo Tổ chức Thương mại Thế giới (WTO)</w:t>
      </w:r>
      <w:r w:rsidRPr="00A67545">
        <w:rPr>
          <w:rStyle w:val="FootnoteReference"/>
          <w:lang w:val="vi-VN"/>
        </w:rPr>
        <w:footnoteReference w:id="8"/>
      </w:r>
      <w:r w:rsidRPr="00A67545">
        <w:t>, g</w:t>
      </w:r>
      <w:r w:rsidRPr="00A67545">
        <w:rPr>
          <w:lang w:val="vi-VN"/>
        </w:rPr>
        <w:t xml:space="preserve">iá trị </w:t>
      </w:r>
      <w:r w:rsidRPr="00A67545">
        <w:t>thước đo thương mại hàng hóa tháng 01/202</w:t>
      </w:r>
      <w:r w:rsidR="00CD5A17" w:rsidRPr="00A67545">
        <w:t>5</w:t>
      </w:r>
      <w:r w:rsidRPr="00A67545">
        <w:t xml:space="preserve"> </w:t>
      </w:r>
      <w:r w:rsidR="00D260AF" w:rsidRPr="00A67545">
        <w:t>đạt</w:t>
      </w:r>
      <w:r w:rsidR="00047859" w:rsidRPr="00A67545">
        <w:t xml:space="preserve"> </w:t>
      </w:r>
      <w:r w:rsidRPr="00A67545">
        <w:rPr>
          <w:lang w:val="vi-VN"/>
        </w:rPr>
        <w:t>102,8</w:t>
      </w:r>
      <w:r w:rsidRPr="00A67545">
        <w:t>, tăng 0,1 điểm phần trăm so với tháng 12/2024.</w:t>
      </w:r>
      <w:r w:rsidRPr="00A67545">
        <w:rPr>
          <w:lang w:val="vi-VN"/>
        </w:rPr>
        <w:t xml:space="preserve"> Điều này </w:t>
      </w:r>
      <w:r w:rsidRPr="00A67545">
        <w:t>cho thấy</w:t>
      </w:r>
      <w:r w:rsidRPr="00A67545">
        <w:rPr>
          <w:lang w:val="vi-VN"/>
        </w:rPr>
        <w:t xml:space="preserve"> thương mại hàng hóa</w:t>
      </w:r>
      <w:r w:rsidRPr="00A67545">
        <w:t xml:space="preserve"> có xu hướng tăng trong đầu năm 2025. Nguyên nhân chính có thể do </w:t>
      </w:r>
      <w:r w:rsidRPr="00A67545">
        <w:rPr>
          <w:lang w:val="vi-VN"/>
        </w:rPr>
        <w:t>sự gia tăng bất ổn về chính sách thương mại đã thúc đẩy</w:t>
      </w:r>
      <w:r w:rsidRPr="00A67545">
        <w:t xml:space="preserve"> thương mại trong ngắn hạn </w:t>
      </w:r>
      <w:r w:rsidRPr="00A67545">
        <w:rPr>
          <w:lang w:val="vi-VN"/>
        </w:rPr>
        <w:t xml:space="preserve">khi các doanh nghiệp và người tiêu dùng </w:t>
      </w:r>
      <w:r w:rsidRPr="00A67545">
        <w:t xml:space="preserve">tăng cường </w:t>
      </w:r>
      <w:r w:rsidRPr="00A67545">
        <w:rPr>
          <w:lang w:val="vi-VN"/>
        </w:rPr>
        <w:t>nhập khẩu tr</w:t>
      </w:r>
      <w:r w:rsidR="00BA3A73">
        <w:t>ong bối cảnh</w:t>
      </w:r>
      <w:r w:rsidR="00576B2C" w:rsidRPr="00A67545">
        <w:t xml:space="preserve"> không chắc chắn về chính sách thương mại</w:t>
      </w:r>
      <w:r w:rsidRPr="00A67545">
        <w:t>. Tuy nhiên</w:t>
      </w:r>
      <w:r w:rsidR="00D260AF" w:rsidRPr="00A67545">
        <w:t>,</w:t>
      </w:r>
      <w:r w:rsidRPr="00A67545">
        <w:t xml:space="preserve"> xu hướng này có thể giảm vào cuối năm 2025.</w:t>
      </w:r>
    </w:p>
    <w:p w14:paraId="494ED89F" w14:textId="398FC382" w:rsidR="00C556D4" w:rsidRPr="00A67545" w:rsidRDefault="00D260AF" w:rsidP="00C556D4">
      <w:pPr>
        <w:spacing w:before="90" w:after="90" w:line="240" w:lineRule="auto"/>
        <w:ind w:firstLine="720"/>
        <w:jc w:val="both"/>
      </w:pPr>
      <w:r w:rsidRPr="00A67545">
        <w:t>Theo WTO,</w:t>
      </w:r>
      <w:r w:rsidR="00C556D4" w:rsidRPr="00A67545">
        <w:t xml:space="preserve"> t</w:t>
      </w:r>
      <w:r w:rsidR="00C556D4" w:rsidRPr="00A67545">
        <w:rPr>
          <w:lang w:val="vi-VN"/>
        </w:rPr>
        <w:t xml:space="preserve">ất cả các chỉ số thành phần của </w:t>
      </w:r>
      <w:r w:rsidR="00C556D4" w:rsidRPr="00A67545">
        <w:t>thước đo</w:t>
      </w:r>
      <w:r w:rsidR="00C556D4" w:rsidRPr="00A67545">
        <w:rPr>
          <w:lang w:val="vi-VN"/>
        </w:rPr>
        <w:t xml:space="preserve"> đang </w:t>
      </w:r>
      <w:r w:rsidR="008B5EE3">
        <w:t>tăng</w:t>
      </w:r>
      <w:r w:rsidR="008B5EE3" w:rsidRPr="00A67545">
        <w:rPr>
          <w:lang w:val="vi-VN"/>
        </w:rPr>
        <w:t xml:space="preserve"> </w:t>
      </w:r>
      <w:r w:rsidR="00C556D4" w:rsidRPr="00A67545">
        <w:rPr>
          <w:lang w:val="vi-VN"/>
        </w:rPr>
        <w:t>hoặc vượt xu hướng. Đơn đặt hàng xuất khẩu (101,0), linh kiện điện tử (102,3) và nguyên liệu thô (101,6) đang theo xu hướng, trong khi các chỉ số cho sản phẩm ô tô (105,5), vận chuyển container (103,7) và vận tải hàng không (102,7) đang trên xu hướng ở các mức độ khác nhau. Đơn đặt hàng xuất khẩu</w:t>
      </w:r>
      <w:r w:rsidRPr="00A67545">
        <w:t xml:space="preserve"> </w:t>
      </w:r>
      <w:r w:rsidR="00C556D4" w:rsidRPr="00A67545">
        <w:rPr>
          <w:lang w:val="vi-VN"/>
        </w:rPr>
        <w:t xml:space="preserve">vẫn gần với giá trị cơ sở là 100. </w:t>
      </w:r>
      <w:r w:rsidRPr="00A67545">
        <w:t>Tuy nhiên, c</w:t>
      </w:r>
      <w:r w:rsidR="00C556D4" w:rsidRPr="00A67545">
        <w:rPr>
          <w:lang w:val="vi-VN"/>
        </w:rPr>
        <w:t xml:space="preserve">hỉ số này cần được theo dõi chặt chẽ để phát hiện </w:t>
      </w:r>
      <w:r w:rsidRPr="00A67545">
        <w:t>các</w:t>
      </w:r>
      <w:r w:rsidR="00C556D4" w:rsidRPr="00A67545">
        <w:rPr>
          <w:lang w:val="vi-VN"/>
        </w:rPr>
        <w:t xml:space="preserve"> dấu hiệu suy thoái thương mại </w:t>
      </w:r>
      <w:r w:rsidR="00C556D4" w:rsidRPr="00A67545">
        <w:t>trong thời gian tới.</w:t>
      </w:r>
    </w:p>
    <w:p w14:paraId="70D91ABC" w14:textId="62FB5E17" w:rsidR="00C556D4" w:rsidRPr="00A67545" w:rsidRDefault="00C556D4" w:rsidP="00C556D4">
      <w:pPr>
        <w:spacing w:before="90" w:after="90" w:line="240" w:lineRule="auto"/>
        <w:ind w:firstLine="720"/>
        <w:jc w:val="both"/>
        <w:rPr>
          <w:lang w:val="vi-VN"/>
        </w:rPr>
      </w:pPr>
      <w:r w:rsidRPr="00A67545">
        <w:rPr>
          <w:lang w:val="vi-VN"/>
        </w:rPr>
        <w:t>WB dự báo tăng trưởng thương mại toàn cầu sẽ tăng lên mức trung bình khoảng 3,1% trong giai đoạn 2025-</w:t>
      </w:r>
      <w:r w:rsidR="00F83C2C" w:rsidRPr="00A67545">
        <w:t>20</w:t>
      </w:r>
      <w:r w:rsidRPr="00A67545">
        <w:rPr>
          <w:lang w:val="vi-VN"/>
        </w:rPr>
        <w:t>26</w:t>
      </w:r>
      <w:r w:rsidR="00DF3D94" w:rsidRPr="00A67545">
        <w:t>, tăng 0,4 điểm phần trăm so với mức 2,7% trong năm 2024</w:t>
      </w:r>
      <w:r w:rsidRPr="00A67545">
        <w:rPr>
          <w:lang w:val="vi-VN"/>
        </w:rPr>
        <w:t xml:space="preserve">. UN dự báo tăng trưởng </w:t>
      </w:r>
      <w:r w:rsidR="00052C4D" w:rsidRPr="00A67545">
        <w:t xml:space="preserve">khối lượng </w:t>
      </w:r>
      <w:r w:rsidRPr="00A67545">
        <w:rPr>
          <w:lang w:val="vi-VN"/>
        </w:rPr>
        <w:t>thương mại toàn cầu đạt 3,2% trong năm 2025</w:t>
      </w:r>
      <w:r w:rsidR="00C917FB" w:rsidRPr="00A67545">
        <w:t>, thấp hơn 0,1 điểm phần trăm so với mức tăng 3,3% năm 2024</w:t>
      </w:r>
      <w:r w:rsidRPr="00A67545">
        <w:rPr>
          <w:lang w:val="vi-VN"/>
        </w:rPr>
        <w:t xml:space="preserve">. Theo các tổ chức quốc tế, </w:t>
      </w:r>
      <w:r w:rsidR="00A817DF" w:rsidRPr="00A67545">
        <w:rPr>
          <w:lang w:val="vi-VN"/>
        </w:rPr>
        <w:t>thương mại toàn cầu năm 2025</w:t>
      </w:r>
      <w:r w:rsidRPr="00A67545">
        <w:rPr>
          <w:lang w:val="vi-VN"/>
        </w:rPr>
        <w:t xml:space="preserve"> </w:t>
      </w:r>
      <w:r w:rsidR="00A817DF" w:rsidRPr="00A67545">
        <w:t xml:space="preserve">có </w:t>
      </w:r>
      <w:r w:rsidRPr="00A67545">
        <w:rPr>
          <w:lang w:val="vi-VN"/>
        </w:rPr>
        <w:t>mức độ bất ổn cao. Sự bất ổn này phần lớn là do</w:t>
      </w:r>
      <w:r w:rsidR="00CD5A17" w:rsidRPr="00A67545">
        <w:t xml:space="preserve"> những nguyên nhân sau</w:t>
      </w:r>
      <w:r w:rsidRPr="00A67545">
        <w:rPr>
          <w:lang w:val="vi-VN"/>
        </w:rPr>
        <w:t>:</w:t>
      </w:r>
    </w:p>
    <w:p w14:paraId="53E3895E" w14:textId="5BC53104" w:rsidR="00C556D4" w:rsidRPr="00121DEA" w:rsidRDefault="00C556D4" w:rsidP="00C556D4">
      <w:pPr>
        <w:spacing w:before="90" w:after="90" w:line="240" w:lineRule="auto"/>
        <w:ind w:firstLine="720"/>
        <w:jc w:val="both"/>
        <w:rPr>
          <w:spacing w:val="-4"/>
          <w:lang w:val="vi-VN"/>
        </w:rPr>
      </w:pPr>
      <w:r w:rsidRPr="00121DEA">
        <w:rPr>
          <w:i/>
          <w:spacing w:val="-4"/>
          <w:lang w:val="vi-VN"/>
        </w:rPr>
        <w:t>Thứ nhất, căng thẳng địa chính trị gia tăng</w:t>
      </w:r>
      <w:r w:rsidRPr="00121DEA">
        <w:rPr>
          <w:spacing w:val="-4"/>
          <w:lang w:val="vi-VN"/>
        </w:rPr>
        <w:t>. Căng thẳng địa chính trị gia tăng</w:t>
      </w:r>
      <w:r w:rsidR="00A817DF" w:rsidRPr="00121DEA">
        <w:rPr>
          <w:spacing w:val="-4"/>
        </w:rPr>
        <w:t xml:space="preserve"> </w:t>
      </w:r>
      <w:r w:rsidR="00A817DF" w:rsidRPr="00513A21">
        <w:rPr>
          <w:spacing w:val="-8"/>
        </w:rPr>
        <w:t>khiến</w:t>
      </w:r>
      <w:r w:rsidRPr="00513A21">
        <w:rPr>
          <w:spacing w:val="-8"/>
          <w:lang w:val="vi-VN"/>
        </w:rPr>
        <w:t xml:space="preserve"> giá hàng hóa tăng đột biến trở lại. Các cuộc xung đột ở Trung Đông và </w:t>
      </w:r>
      <w:r w:rsidR="00CD5A17" w:rsidRPr="00513A21">
        <w:rPr>
          <w:spacing w:val="-8"/>
        </w:rPr>
        <w:t>U-crai-na</w:t>
      </w:r>
      <w:r w:rsidRPr="00121DEA">
        <w:rPr>
          <w:spacing w:val="-4"/>
          <w:lang w:val="vi-VN"/>
        </w:rPr>
        <w:t xml:space="preserve"> có thể trở nên tồi tệ hơn, ảnh hưởng trực tiếp đến các tuyến đường thương mại cũng như giá lương thực và năng lượng. Các quốc gia nhập khẩu hàng hóa có thể bị ảnh hưởng đặc biệt, </w:t>
      </w:r>
      <w:r w:rsidR="00A817DF" w:rsidRPr="00121DEA">
        <w:rPr>
          <w:spacing w:val="-4"/>
        </w:rPr>
        <w:t>do</w:t>
      </w:r>
      <w:r w:rsidR="00A817DF" w:rsidRPr="00121DEA">
        <w:rPr>
          <w:spacing w:val="-4"/>
          <w:lang w:val="vi-VN"/>
        </w:rPr>
        <w:t xml:space="preserve"> </w:t>
      </w:r>
      <w:r w:rsidRPr="00121DEA">
        <w:rPr>
          <w:spacing w:val="-4"/>
          <w:lang w:val="vi-VN"/>
        </w:rPr>
        <w:t>tác động của giá hàng hóa cao hơn cùng với đồng đô la tăng giá.</w:t>
      </w:r>
    </w:p>
    <w:p w14:paraId="5B19CAB7" w14:textId="5B4C3102" w:rsidR="00C556D4" w:rsidRPr="00A67545" w:rsidRDefault="00C556D4" w:rsidP="00F96709">
      <w:pPr>
        <w:spacing w:before="120" w:after="90" w:line="240" w:lineRule="auto"/>
        <w:ind w:firstLine="720"/>
        <w:jc w:val="both"/>
        <w:rPr>
          <w:lang w:val="vi-VN"/>
        </w:rPr>
      </w:pPr>
      <w:r w:rsidRPr="00A67545">
        <w:rPr>
          <w:i/>
          <w:lang w:val="vi-VN"/>
        </w:rPr>
        <w:t>Thứ hai, các rào cản thương mại mới nổi và khả năng gia tăng các hạn chế thương mại, đặc biệt là những hạn chế liên quan đến Hoa Kỳ và Trung Quốc</w:t>
      </w:r>
      <w:r w:rsidRPr="00A67545">
        <w:rPr>
          <w:lang w:val="vi-VN"/>
        </w:rPr>
        <w:t xml:space="preserve">. Việc áp dụng thuế quan song phương mới và </w:t>
      </w:r>
      <w:r w:rsidR="000673F5" w:rsidRPr="00A67545">
        <w:t>các</w:t>
      </w:r>
      <w:r w:rsidR="000673F5" w:rsidRPr="00A67545">
        <w:rPr>
          <w:lang w:val="vi-VN"/>
        </w:rPr>
        <w:t xml:space="preserve"> </w:t>
      </w:r>
      <w:r w:rsidRPr="00A67545">
        <w:rPr>
          <w:lang w:val="vi-VN"/>
        </w:rPr>
        <w:t xml:space="preserve">bất ổn dự kiến sẽ cản trở thương mại. </w:t>
      </w:r>
      <w:r w:rsidRPr="00A67545">
        <w:rPr>
          <w:lang w:val="vi-VN"/>
        </w:rPr>
        <w:lastRenderedPageBreak/>
        <w:t xml:space="preserve">Các hạn chế thương mại được thực hiện vào năm 2024 đã cao hơn đáng kể so với mức trung bình </w:t>
      </w:r>
      <w:r w:rsidR="00BB4136" w:rsidRPr="00A67545">
        <w:t xml:space="preserve">giai đoạn </w:t>
      </w:r>
      <w:r w:rsidRPr="00A67545">
        <w:rPr>
          <w:lang w:val="vi-VN"/>
        </w:rPr>
        <w:t>2010-</w:t>
      </w:r>
      <w:r w:rsidR="00BB4136" w:rsidRPr="00A67545">
        <w:t>20</w:t>
      </w:r>
      <w:r w:rsidRPr="00A67545">
        <w:rPr>
          <w:lang w:val="vi-VN"/>
        </w:rPr>
        <w:t>19.</w:t>
      </w:r>
    </w:p>
    <w:p w14:paraId="0782BA15" w14:textId="2A5199BF" w:rsidR="00C556D4" w:rsidRPr="00A67545" w:rsidRDefault="00C556D4" w:rsidP="00F96709">
      <w:pPr>
        <w:spacing w:before="120" w:after="90" w:line="240" w:lineRule="auto"/>
        <w:ind w:firstLine="720"/>
        <w:jc w:val="both"/>
        <w:rPr>
          <w:lang w:val="vi-VN"/>
        </w:rPr>
      </w:pPr>
      <w:r w:rsidRPr="00A67545">
        <w:rPr>
          <w:i/>
          <w:lang w:val="vi-VN"/>
        </w:rPr>
        <w:t xml:space="preserve">Thứ ba, bất ổn về chính sách thương mại liên quan đến các thay đổi chính sách sau bầu cử và </w:t>
      </w:r>
      <w:r w:rsidR="000673F5" w:rsidRPr="00A67545">
        <w:rPr>
          <w:i/>
        </w:rPr>
        <w:t xml:space="preserve">áp đặt </w:t>
      </w:r>
      <w:r w:rsidRPr="00A67545">
        <w:rPr>
          <w:i/>
          <w:lang w:val="vi-VN"/>
        </w:rPr>
        <w:t>thuế quan của Hoa Kỳ</w:t>
      </w:r>
      <w:r w:rsidRPr="00A67545">
        <w:rPr>
          <w:lang w:val="vi-VN"/>
        </w:rPr>
        <w:t xml:space="preserve">. Sự bất ổn này dự kiến sẽ gây tổn hại đến đầu tư vào các công ty </w:t>
      </w:r>
      <w:r w:rsidR="00576B2C" w:rsidRPr="00A67545">
        <w:t>phụ thuộc nhiều vào hoạt động</w:t>
      </w:r>
      <w:r w:rsidRPr="00A67545">
        <w:rPr>
          <w:lang w:val="vi-VN"/>
        </w:rPr>
        <w:t xml:space="preserve"> thương mại</w:t>
      </w:r>
      <w:r w:rsidR="00DF3D94" w:rsidRPr="00A67545">
        <w:t xml:space="preserve"> quốc tế</w:t>
      </w:r>
      <w:r w:rsidRPr="00A67545">
        <w:rPr>
          <w:lang w:val="vi-VN"/>
        </w:rPr>
        <w:t>.</w:t>
      </w:r>
    </w:p>
    <w:p w14:paraId="3D2964D0" w14:textId="467140E4" w:rsidR="00C556D4" w:rsidRPr="00A67545" w:rsidRDefault="00C556D4" w:rsidP="00F96709">
      <w:pPr>
        <w:spacing w:before="120" w:after="90" w:line="240" w:lineRule="auto"/>
        <w:ind w:firstLine="720"/>
        <w:jc w:val="both"/>
        <w:rPr>
          <w:spacing w:val="-2"/>
          <w:lang w:val="vi-VN"/>
        </w:rPr>
      </w:pPr>
      <w:r w:rsidRPr="00A67545">
        <w:rPr>
          <w:i/>
          <w:lang w:val="vi-VN"/>
        </w:rPr>
        <w:t xml:space="preserve">Thứ </w:t>
      </w:r>
      <w:r w:rsidR="00576B2C" w:rsidRPr="00A67545">
        <w:rPr>
          <w:i/>
        </w:rPr>
        <w:t>tư</w:t>
      </w:r>
      <w:r w:rsidRPr="00A67545">
        <w:rPr>
          <w:i/>
          <w:lang w:val="vi-VN"/>
        </w:rPr>
        <w:t>, thương mại dịch vụ</w:t>
      </w:r>
      <w:r w:rsidRPr="00A67545">
        <w:rPr>
          <w:i/>
        </w:rPr>
        <w:t xml:space="preserve"> </w:t>
      </w:r>
      <w:r w:rsidRPr="00A67545">
        <w:rPr>
          <w:i/>
          <w:lang w:val="vi-VN"/>
        </w:rPr>
        <w:t>suy yếu</w:t>
      </w:r>
      <w:r w:rsidRPr="00A67545">
        <w:rPr>
          <w:lang w:val="vi-VN"/>
        </w:rPr>
        <w:t>. Thương mại dịch vụ đã tăng trưởng nhanh hơn thương mại hàng hóa</w:t>
      </w:r>
      <w:r w:rsidRPr="00A67545">
        <w:t xml:space="preserve"> </w:t>
      </w:r>
      <w:r w:rsidRPr="00A67545">
        <w:rPr>
          <w:lang w:val="vi-VN"/>
        </w:rPr>
        <w:t>và hiện chiếm khoảng 25% lưu lượng thương mại toàn cầu. Mặc dù thương mại dịch vụ là một phân khúc năng động, nhưng tốc độ tăng trưởng của dịch vụ du lịch đang chậm lại khi du lịch tiến gần đến mức trước đại dịch.</w:t>
      </w:r>
    </w:p>
    <w:p w14:paraId="780D4757" w14:textId="77777777" w:rsidR="00C556D4" w:rsidRPr="00A67545" w:rsidRDefault="00C556D4" w:rsidP="00C556D4">
      <w:pPr>
        <w:spacing w:before="140" w:after="120" w:line="240" w:lineRule="auto"/>
        <w:ind w:firstLine="720"/>
        <w:jc w:val="both"/>
        <w:rPr>
          <w:i/>
          <w:lang w:val="vi-VN"/>
        </w:rPr>
      </w:pPr>
      <w:r w:rsidRPr="00A67545">
        <w:rPr>
          <w:b/>
          <w:i/>
          <w:lang w:val="vi-VN"/>
        </w:rPr>
        <w:t xml:space="preserve">Lạm phát </w:t>
      </w:r>
      <w:r w:rsidRPr="00A67545">
        <w:rPr>
          <w:b/>
          <w:i/>
        </w:rPr>
        <w:t xml:space="preserve">tiếp tục </w:t>
      </w:r>
      <w:r w:rsidRPr="00A67545">
        <w:rPr>
          <w:b/>
          <w:i/>
          <w:lang w:val="vi-VN"/>
        </w:rPr>
        <w:t xml:space="preserve">giảm </w:t>
      </w:r>
    </w:p>
    <w:p w14:paraId="3076D542" w14:textId="37652869" w:rsidR="00C556D4" w:rsidRPr="00A67545" w:rsidRDefault="00C556D4" w:rsidP="00C556D4">
      <w:pPr>
        <w:spacing w:before="140" w:after="120" w:line="240" w:lineRule="auto"/>
        <w:ind w:firstLine="720"/>
        <w:jc w:val="both"/>
      </w:pPr>
      <w:r w:rsidRPr="00A67545">
        <w:t>L</w:t>
      </w:r>
      <w:r w:rsidRPr="00A67545">
        <w:rPr>
          <w:lang w:val="vi-VN"/>
        </w:rPr>
        <w:t>ạm phát toàn cầu được dự báo sẽ giảm vào năm 2025 so với những năm trước, tốc độ và mức độ giảm này vẫn chưa chắc chắn và chịu nhiều rủi ro khác nhau.</w:t>
      </w:r>
      <w:r w:rsidRPr="00A67545">
        <w:t xml:space="preserve"> Theo UN, lạm phát toàn cầu sẽ giảm từ mức 4</w:t>
      </w:r>
      <w:r w:rsidR="000673F5" w:rsidRPr="00A67545">
        <w:t>,0</w:t>
      </w:r>
      <w:r w:rsidRPr="00A67545">
        <w:t xml:space="preserve">% trong năm 2024 xuống 3,4% năm 2025. </w:t>
      </w:r>
      <w:r w:rsidR="000673F5" w:rsidRPr="00A67545">
        <w:t>Dự báo l</w:t>
      </w:r>
      <w:r w:rsidRPr="00A67545">
        <w:t xml:space="preserve">ạm phát ở các nền kinh tế phát triển </w:t>
      </w:r>
      <w:r w:rsidR="000673F5" w:rsidRPr="00A67545">
        <w:t>là</w:t>
      </w:r>
      <w:r w:rsidRPr="00A67545">
        <w:t xml:space="preserve"> 2,2%, trong khi </w:t>
      </w:r>
      <w:r w:rsidR="000673F5" w:rsidRPr="00A67545">
        <w:t>con số này của</w:t>
      </w:r>
      <w:r w:rsidRPr="00A67545">
        <w:t xml:space="preserve"> các nền kinh tế đang phát triển </w:t>
      </w:r>
      <w:r w:rsidR="000673F5" w:rsidRPr="00A67545">
        <w:t>là</w:t>
      </w:r>
      <w:r w:rsidRPr="00A67545">
        <w:t xml:space="preserve"> 5,1%. IMF nhận định </w:t>
      </w:r>
      <w:r w:rsidR="001541AD" w:rsidRPr="00A67545">
        <w:t xml:space="preserve">lạm </w:t>
      </w:r>
      <w:r w:rsidRPr="00A67545">
        <w:t xml:space="preserve">phát toàn cầu giảm xuống </w:t>
      </w:r>
      <w:r w:rsidR="000673F5" w:rsidRPr="00A67545">
        <w:t xml:space="preserve">còn </w:t>
      </w:r>
      <w:r w:rsidRPr="00A67545">
        <w:t xml:space="preserve">4,2% </w:t>
      </w:r>
      <w:r w:rsidR="000673F5" w:rsidRPr="00A67545">
        <w:t xml:space="preserve">trong </w:t>
      </w:r>
      <w:r w:rsidRPr="00A67545">
        <w:t>năm 2025 so với mức 5,8%</w:t>
      </w:r>
      <w:r w:rsidR="00052C4D" w:rsidRPr="00A67545">
        <w:t xml:space="preserve"> trong năm 2024</w:t>
      </w:r>
      <w:r w:rsidRPr="00A67545">
        <w:t>. Tuy nhiên, lạm phát dịch vụ vẫn cao hơn lạm phát hàng hóa, đặc biệt ở các nền kinh tế phát triển và thị trường mới nổi. Lạm phát vừa phải được dự kiến ​​ở hầu hết các khu vực, nhưng triển vọng tăng trưởng ngắn hạn</w:t>
      </w:r>
      <w:r w:rsidR="001F5910" w:rsidRPr="00A67545">
        <w:t xml:space="preserve"> gia tăng</w:t>
      </w:r>
      <w:r w:rsidRPr="00A67545">
        <w:t xml:space="preserve"> ở Hoa Kỳ đi kèm với sự gia tăng đáng kể </w:t>
      </w:r>
      <w:r w:rsidR="000673F5" w:rsidRPr="00A67545">
        <w:t xml:space="preserve">về </w:t>
      </w:r>
      <w:r w:rsidRPr="00A67545">
        <w:t>kỳ vọng lạm phát. Theo OECD, lạm phát chung cho các nền kinh tế G20 sẽ giảm từ 3,8% năm 2025 xuống còn 3,2% năm 2026. Lạm phát cơ bản dự kiến ​​sẽ vẫn cao hơn mục tiêu của ngân hàng trung ương tại nhiều quốc gia, bao gồm cả Hoa Kỳ, vào năm 2026.</w:t>
      </w:r>
    </w:p>
    <w:p w14:paraId="59E01A2B" w14:textId="56117039" w:rsidR="00C556D4" w:rsidRPr="00A67545" w:rsidRDefault="00C556D4" w:rsidP="00C556D4">
      <w:pPr>
        <w:spacing w:before="140" w:after="120" w:line="240" w:lineRule="auto"/>
        <w:ind w:firstLine="720"/>
        <w:jc w:val="both"/>
      </w:pPr>
      <w:r w:rsidRPr="00A67545">
        <w:t xml:space="preserve">Các yếu tố dự kiến sẽ ảnh hưởng </w:t>
      </w:r>
      <w:r w:rsidR="000673F5" w:rsidRPr="00A67545">
        <w:t xml:space="preserve">khác nhau </w:t>
      </w:r>
      <w:r w:rsidRPr="00A67545">
        <w:t>đến lạm phát toàn cầu năm 2025</w:t>
      </w:r>
      <w:r w:rsidR="000673F5" w:rsidRPr="00A67545">
        <w:t>,</w:t>
      </w:r>
      <w:r w:rsidRPr="00A67545">
        <w:t xml:space="preserve"> gồm: giá năng lượng và thực phẩm giảm; tác động trễ của chính sách tiền tệ thắt chặt; khả năng thay đổi chính sách thương mại và tăng thuế quan có thể làm tăng lạm phát; bất ổn và xung đột địa chính trị có thể dẫn đến cú sốc cung và giá hàng hóa tăng cao hơn; phục hồi trong lĩnh vực dịch vụ có thể khiến lạm phát tăng cao hơn; tăng trưởng tiền lương mạnh mẽ ở một số nền kinh tế có khả năng gây áp lực lạm phát.</w:t>
      </w:r>
    </w:p>
    <w:p w14:paraId="0558D19F" w14:textId="25676AC5" w:rsidR="00C556D4" w:rsidRPr="00A67545" w:rsidRDefault="00C556D4" w:rsidP="00C556D4">
      <w:pPr>
        <w:spacing w:before="140" w:after="120" w:line="240" w:lineRule="auto"/>
        <w:ind w:firstLine="720"/>
        <w:jc w:val="both"/>
        <w:rPr>
          <w:spacing w:val="-4"/>
        </w:rPr>
      </w:pPr>
      <w:r w:rsidRPr="00A67545">
        <w:rPr>
          <w:spacing w:val="-4"/>
          <w:lang w:val="vi-VN"/>
        </w:rPr>
        <w:t>Báo cáo Toàn cầu hàng tháng của WB</w:t>
      </w:r>
      <w:r w:rsidRPr="00A67545">
        <w:rPr>
          <w:rStyle w:val="FootnoteReference"/>
          <w:spacing w:val="-4"/>
          <w:lang w:val="vi-VN"/>
        </w:rPr>
        <w:footnoteReference w:id="9"/>
      </w:r>
      <w:r w:rsidRPr="00A67545">
        <w:rPr>
          <w:spacing w:val="-4"/>
          <w:lang w:val="vi-VN"/>
        </w:rPr>
        <w:t xml:space="preserve"> số ra tháng </w:t>
      </w:r>
      <w:r w:rsidRPr="00A67545">
        <w:rPr>
          <w:spacing w:val="-4"/>
        </w:rPr>
        <w:t>02</w:t>
      </w:r>
      <w:r w:rsidRPr="00A67545">
        <w:rPr>
          <w:spacing w:val="-4"/>
          <w:lang w:val="vi-VN"/>
        </w:rPr>
        <w:t>/202</w:t>
      </w:r>
      <w:r w:rsidRPr="00A67545">
        <w:rPr>
          <w:spacing w:val="-4"/>
        </w:rPr>
        <w:t>5</w:t>
      </w:r>
      <w:r w:rsidRPr="00A67545">
        <w:rPr>
          <w:spacing w:val="-4"/>
          <w:lang w:val="vi-VN"/>
        </w:rPr>
        <w:t xml:space="preserve"> nhận định </w:t>
      </w:r>
      <w:r w:rsidRPr="00A67545">
        <w:rPr>
          <w:spacing w:val="-4"/>
        </w:rPr>
        <w:t>giá hàng hóa tăng 5</w:t>
      </w:r>
      <w:r w:rsidR="000673F5" w:rsidRPr="00A67545">
        <w:rPr>
          <w:spacing w:val="-4"/>
        </w:rPr>
        <w:t>,0</w:t>
      </w:r>
      <w:r w:rsidRPr="00A67545">
        <w:rPr>
          <w:spacing w:val="-4"/>
        </w:rPr>
        <w:t>% trong tháng 01/2025 so với cùng kỳ tháng trước, chủ yếu do giá năng lượng tăng 7</w:t>
      </w:r>
      <w:r w:rsidR="000673F5" w:rsidRPr="00A67545">
        <w:rPr>
          <w:spacing w:val="-4"/>
        </w:rPr>
        <w:t>,0</w:t>
      </w:r>
      <w:r w:rsidRPr="00A67545">
        <w:rPr>
          <w:spacing w:val="-4"/>
        </w:rPr>
        <w:t xml:space="preserve">%, trong khi giá hàng hóa phi năng lượng vẫn ổn định. Sau khi tăng trên 80 đô la/thùng vào đầu tháng 01/2025, giá dầu thô Brent đã giảm xuống còn khoảng 75 đô la/thùng vào tháng 02/2025, chủ yếu là do lượng dầu thô dự trữ của Hoa Kỳ tăng đáng kể. </w:t>
      </w:r>
    </w:p>
    <w:p w14:paraId="3B6E66C0" w14:textId="5D246DBF" w:rsidR="00C556D4" w:rsidRPr="00A67545" w:rsidRDefault="00C556D4" w:rsidP="00C556D4">
      <w:pPr>
        <w:spacing w:before="140" w:after="120" w:line="240" w:lineRule="auto"/>
        <w:ind w:firstLine="720"/>
        <w:jc w:val="both"/>
        <w:rPr>
          <w:spacing w:val="-4"/>
        </w:rPr>
      </w:pPr>
      <w:r w:rsidRPr="00A67545">
        <w:rPr>
          <w:spacing w:val="-4"/>
        </w:rPr>
        <w:t xml:space="preserve">Giá khí đốt tự nhiên của Hoa Kỳ tăng </w:t>
      </w:r>
      <w:r w:rsidR="000673F5" w:rsidRPr="00A67545">
        <w:rPr>
          <w:spacing w:val="-4"/>
        </w:rPr>
        <w:t xml:space="preserve">mạnh </w:t>
      </w:r>
      <w:r w:rsidRPr="00A67545">
        <w:rPr>
          <w:spacing w:val="-4"/>
        </w:rPr>
        <w:t xml:space="preserve">hơn 35% trong tháng 01/2025 (so với cùng kỳ tháng trước), phản ánh </w:t>
      </w:r>
      <w:r w:rsidR="001F5910" w:rsidRPr="00A67545">
        <w:rPr>
          <w:spacing w:val="-4"/>
        </w:rPr>
        <w:t>thời tiết</w:t>
      </w:r>
      <w:r w:rsidRPr="00A67545">
        <w:rPr>
          <w:spacing w:val="-4"/>
        </w:rPr>
        <w:t xml:space="preserve"> lạnh và lượng dự trữ giảm mạnh hơn dự kiến, trong khi giá khí đốt tại </w:t>
      </w:r>
      <w:r w:rsidR="001541AD" w:rsidRPr="00A67545">
        <w:rPr>
          <w:spacing w:val="-4"/>
        </w:rPr>
        <w:t>c</w:t>
      </w:r>
      <w:r w:rsidRPr="00A67545">
        <w:rPr>
          <w:spacing w:val="-4"/>
        </w:rPr>
        <w:t>hâu Âu chỉ tăng 6</w:t>
      </w:r>
      <w:r w:rsidR="000673F5" w:rsidRPr="00A67545">
        <w:rPr>
          <w:spacing w:val="-4"/>
        </w:rPr>
        <w:t>,0</w:t>
      </w:r>
      <w:r w:rsidRPr="00A67545">
        <w:rPr>
          <w:spacing w:val="-4"/>
        </w:rPr>
        <w:t xml:space="preserve">%. </w:t>
      </w:r>
    </w:p>
    <w:p w14:paraId="1568B11D" w14:textId="599311B3" w:rsidR="00C556D4" w:rsidRPr="00A67545" w:rsidRDefault="00C556D4" w:rsidP="00C556D4">
      <w:pPr>
        <w:spacing w:before="140" w:after="120" w:line="240" w:lineRule="auto"/>
        <w:ind w:firstLine="720"/>
        <w:jc w:val="both"/>
        <w:rPr>
          <w:spacing w:val="-4"/>
        </w:rPr>
      </w:pPr>
      <w:r w:rsidRPr="00A67545">
        <w:rPr>
          <w:spacing w:val="-4"/>
        </w:rPr>
        <w:lastRenderedPageBreak/>
        <w:t xml:space="preserve">Giá kim loại hầu như không thay đổi, </w:t>
      </w:r>
      <w:r w:rsidR="000673F5" w:rsidRPr="00A67545">
        <w:rPr>
          <w:spacing w:val="-4"/>
        </w:rPr>
        <w:t xml:space="preserve">do </w:t>
      </w:r>
      <w:r w:rsidRPr="00A67545">
        <w:rPr>
          <w:spacing w:val="-4"/>
        </w:rPr>
        <w:t>giá thiếc, đồng và nhôm tăng được bù đắp bởi giá kẽm, chì và quặng sắt giảm. Giá vàng tiếp tục phá vỡ kỷ lục, do nhu cầu trú ẩn an toàn trong bối cảnh bất ổn thương mại và địa chính trị gia tăng.</w:t>
      </w:r>
    </w:p>
    <w:p w14:paraId="6C5F6572" w14:textId="23F73F80" w:rsidR="00C556D4" w:rsidRPr="00A67545" w:rsidRDefault="00C556D4" w:rsidP="00C556D4">
      <w:pPr>
        <w:spacing w:before="140" w:after="120" w:line="240" w:lineRule="auto"/>
        <w:ind w:firstLine="720"/>
        <w:jc w:val="both"/>
        <w:rPr>
          <w:lang w:val="vi-VN"/>
        </w:rPr>
      </w:pPr>
      <w:r w:rsidRPr="00A67545">
        <w:rPr>
          <w:spacing w:val="-4"/>
        </w:rPr>
        <w:t>Giá nông sản ổn định, với giá đồ uống tăng được bù đắp bởi giá nguyên liệu nông nghiệp giảm. Chỉ số giá lương thực, thực phẩm của FAO (FFPI) đạt trung bình 127,1 điểm vào tháng 02/2025, tăng 2,0 điểm (1,6</w:t>
      </w:r>
      <w:r w:rsidR="001541AD" w:rsidRPr="00A67545">
        <w:rPr>
          <w:spacing w:val="-4"/>
        </w:rPr>
        <w:t>%</w:t>
      </w:r>
      <w:r w:rsidRPr="00A67545">
        <w:rPr>
          <w:spacing w:val="-4"/>
        </w:rPr>
        <w:t xml:space="preserve">) so với tháng 01/2025. Trong khi chỉ số giá thịt vẫn ổn định, các chỉ số giá khác tăng, với mức tăng đáng kể nhất được ghi nhận đối với đường, sữa và dầu thực vật. Chỉ số giá lương thực, thực phẩm trong tháng </w:t>
      </w:r>
      <w:r w:rsidR="001541AD" w:rsidRPr="00A67545">
        <w:rPr>
          <w:spacing w:val="-4"/>
        </w:rPr>
        <w:t>0</w:t>
      </w:r>
      <w:r w:rsidRPr="00A67545">
        <w:rPr>
          <w:spacing w:val="-4"/>
        </w:rPr>
        <w:t>2/2025 cao hơn 9,7 điểm (8,2%) so với cùng kỳ năm trước và thấp hơn 33,1 điểm (20,7%) so với mức đỉ</w:t>
      </w:r>
      <w:r w:rsidR="001541AD" w:rsidRPr="00A67545">
        <w:rPr>
          <w:spacing w:val="-4"/>
        </w:rPr>
        <w:t>nh trong tháng 3/</w:t>
      </w:r>
      <w:r w:rsidRPr="00A67545">
        <w:rPr>
          <w:spacing w:val="-4"/>
        </w:rPr>
        <w:t>2022.</w:t>
      </w:r>
    </w:p>
    <w:p w14:paraId="22C3C44C" w14:textId="77777777" w:rsidR="00C556D4" w:rsidRPr="00A67545" w:rsidRDefault="00C556D4" w:rsidP="00C556D4">
      <w:pPr>
        <w:spacing w:before="140" w:after="120" w:line="240" w:lineRule="auto"/>
        <w:ind w:firstLine="720"/>
        <w:jc w:val="both"/>
        <w:rPr>
          <w:b/>
          <w:i/>
        </w:rPr>
      </w:pPr>
      <w:r w:rsidRPr="00A67545">
        <w:rPr>
          <w:b/>
          <w:i/>
          <w:lang w:val="vi-VN"/>
        </w:rPr>
        <w:t xml:space="preserve">Điều kiện thị trường tài chính </w:t>
      </w:r>
      <w:r w:rsidRPr="00A67545">
        <w:rPr>
          <w:b/>
          <w:i/>
        </w:rPr>
        <w:t>dần</w:t>
      </w:r>
      <w:r w:rsidRPr="00A67545">
        <w:rPr>
          <w:b/>
          <w:i/>
          <w:lang w:val="vi-VN"/>
        </w:rPr>
        <w:t xml:space="preserve"> nới lỏng</w:t>
      </w:r>
      <w:r w:rsidRPr="00A67545">
        <w:rPr>
          <w:b/>
          <w:i/>
        </w:rPr>
        <w:t xml:space="preserve"> trong năm 2025</w:t>
      </w:r>
    </w:p>
    <w:p w14:paraId="4B4E5114" w14:textId="263FB01A" w:rsidR="00C556D4" w:rsidRPr="00121DEA" w:rsidRDefault="00C556D4" w:rsidP="00C556D4">
      <w:pPr>
        <w:spacing w:before="140" w:after="120" w:line="240" w:lineRule="auto"/>
        <w:ind w:firstLine="720"/>
        <w:jc w:val="both"/>
        <w:rPr>
          <w:spacing w:val="-4"/>
        </w:rPr>
      </w:pPr>
      <w:r w:rsidRPr="00121DEA">
        <w:rPr>
          <w:spacing w:val="-4"/>
          <w:lang w:val="vi-VN"/>
        </w:rPr>
        <w:t>Điều kiện tài chính toàn cầ</w:t>
      </w:r>
      <w:r w:rsidR="001E1376" w:rsidRPr="00121DEA">
        <w:rPr>
          <w:spacing w:val="-4"/>
          <w:lang w:val="vi-VN"/>
        </w:rPr>
        <w:t xml:space="preserve">u </w:t>
      </w:r>
      <w:r w:rsidRPr="00121DEA">
        <w:rPr>
          <w:spacing w:val="-4"/>
          <w:lang w:val="vi-VN"/>
        </w:rPr>
        <w:t xml:space="preserve">năm 2025 </w:t>
      </w:r>
      <w:r w:rsidR="007A510B" w:rsidRPr="00121DEA">
        <w:rPr>
          <w:spacing w:val="-4"/>
        </w:rPr>
        <w:t>được</w:t>
      </w:r>
      <w:r w:rsidRPr="00121DEA">
        <w:rPr>
          <w:spacing w:val="-4"/>
          <w:lang w:val="vi-VN"/>
        </w:rPr>
        <w:t xml:space="preserve"> nới lỏng dần ở các nền kinh tế phát triển cùng với sự cảnh giác </w:t>
      </w:r>
      <w:r w:rsidR="007A510B" w:rsidRPr="00121DEA">
        <w:rPr>
          <w:spacing w:val="-4"/>
        </w:rPr>
        <w:t>cao</w:t>
      </w:r>
      <w:r w:rsidRPr="00121DEA">
        <w:rPr>
          <w:spacing w:val="-4"/>
          <w:lang w:val="vi-VN"/>
        </w:rPr>
        <w:t xml:space="preserve"> về lạm phát, trong khi các nền kinh tế mới nổi và </w:t>
      </w:r>
      <w:r w:rsidRPr="00121DEA">
        <w:rPr>
          <w:spacing w:val="-4"/>
        </w:rPr>
        <w:t>đang phát triển</w:t>
      </w:r>
      <w:r w:rsidRPr="00121DEA">
        <w:rPr>
          <w:spacing w:val="-4"/>
          <w:lang w:val="vi-VN"/>
        </w:rPr>
        <w:t xml:space="preserve"> phải đối mặt với các điều kiện chặt chẽ hơn và tình trạng dễ bị tổn thương dai dẳng. Các ngân hàng trung ương ở nhiều nền kinh tế phát triển</w:t>
      </w:r>
      <w:r w:rsidR="007A510B" w:rsidRPr="00121DEA">
        <w:rPr>
          <w:spacing w:val="-4"/>
        </w:rPr>
        <w:t>,</w:t>
      </w:r>
      <w:r w:rsidRPr="00121DEA">
        <w:rPr>
          <w:spacing w:val="-4"/>
          <w:lang w:val="vi-VN"/>
        </w:rPr>
        <w:t xml:space="preserve"> các nền kinh tế mới nổi và </w:t>
      </w:r>
      <w:r w:rsidRPr="00121DEA">
        <w:rPr>
          <w:spacing w:val="-4"/>
        </w:rPr>
        <w:t>đang phát triển</w:t>
      </w:r>
      <w:r w:rsidRPr="00121DEA">
        <w:rPr>
          <w:spacing w:val="-4"/>
          <w:lang w:val="vi-VN"/>
        </w:rPr>
        <w:t xml:space="preserve"> đã giảm lãi suất chính sách trong năm </w:t>
      </w:r>
      <w:r w:rsidRPr="00121DEA">
        <w:rPr>
          <w:spacing w:val="-4"/>
        </w:rPr>
        <w:t>2025</w:t>
      </w:r>
      <w:r w:rsidRPr="00121DEA">
        <w:rPr>
          <w:spacing w:val="-4"/>
          <w:lang w:val="vi-VN"/>
        </w:rPr>
        <w:t xml:space="preserve">. Ngược lại, Cục Dự trữ Liên bang Hoa Kỳ giữ nguyên lãi suất chính sách vào tháng </w:t>
      </w:r>
      <w:r w:rsidRPr="00121DEA">
        <w:rPr>
          <w:spacing w:val="-4"/>
        </w:rPr>
        <w:t>0</w:t>
      </w:r>
      <w:r w:rsidRPr="00121DEA">
        <w:rPr>
          <w:spacing w:val="-4"/>
          <w:lang w:val="vi-VN"/>
        </w:rPr>
        <w:t>1</w:t>
      </w:r>
      <w:r w:rsidRPr="00121DEA">
        <w:rPr>
          <w:spacing w:val="-4"/>
        </w:rPr>
        <w:t>/2025</w:t>
      </w:r>
      <w:r w:rsidR="007A510B" w:rsidRPr="00121DEA">
        <w:rPr>
          <w:spacing w:val="-4"/>
        </w:rPr>
        <w:t>,</w:t>
      </w:r>
      <w:r w:rsidRPr="00121DEA">
        <w:rPr>
          <w:spacing w:val="-4"/>
        </w:rPr>
        <w:t xml:space="preserve"> đi ngược với kỳ vọng của </w:t>
      </w:r>
      <w:r w:rsidRPr="00121DEA">
        <w:rPr>
          <w:spacing w:val="-4"/>
          <w:lang w:val="vi-VN"/>
        </w:rPr>
        <w:t xml:space="preserve">thị trường tài chính </w:t>
      </w:r>
      <w:r w:rsidRPr="00121DEA">
        <w:rPr>
          <w:spacing w:val="-4"/>
        </w:rPr>
        <w:t>về</w:t>
      </w:r>
      <w:r w:rsidRPr="00121DEA">
        <w:rPr>
          <w:spacing w:val="-4"/>
          <w:lang w:val="vi-VN"/>
        </w:rPr>
        <w:t xml:space="preserve"> một đến hai lần cắt giảm 25 điểm cơ bản trong năm </w:t>
      </w:r>
      <w:r w:rsidRPr="00121DEA">
        <w:rPr>
          <w:spacing w:val="-4"/>
        </w:rPr>
        <w:t>2025</w:t>
      </w:r>
      <w:r w:rsidRPr="00121DEA">
        <w:rPr>
          <w:spacing w:val="-4"/>
          <w:lang w:val="vi-VN"/>
        </w:rPr>
        <w:t xml:space="preserve">. Lợi suất trái phiếu của Hoa Kỳ biến động, bị ảnh hưởng bởi sự không chắc chắn về chính sách thương mại và lạm phát tăng. Sự </w:t>
      </w:r>
      <w:r w:rsidR="009B475B" w:rsidRPr="00121DEA">
        <w:rPr>
          <w:spacing w:val="-4"/>
          <w:lang w:val="vi-VN"/>
        </w:rPr>
        <w:t xml:space="preserve">gia tăng </w:t>
      </w:r>
      <w:r w:rsidR="009B475B" w:rsidRPr="00121DEA">
        <w:rPr>
          <w:spacing w:val="-4"/>
        </w:rPr>
        <w:t xml:space="preserve">bất ổn </w:t>
      </w:r>
      <w:r w:rsidRPr="00121DEA">
        <w:rPr>
          <w:spacing w:val="-4"/>
          <w:lang w:val="vi-VN"/>
        </w:rPr>
        <w:t xml:space="preserve">về chính sách cũng </w:t>
      </w:r>
      <w:r w:rsidRPr="00121DEA">
        <w:rPr>
          <w:spacing w:val="-4"/>
        </w:rPr>
        <w:t xml:space="preserve">khiến </w:t>
      </w:r>
      <w:r w:rsidRPr="00121DEA">
        <w:rPr>
          <w:spacing w:val="-4"/>
          <w:lang w:val="vi-VN"/>
        </w:rPr>
        <w:t xml:space="preserve">giao dịch </w:t>
      </w:r>
      <w:r w:rsidRPr="00121DEA">
        <w:rPr>
          <w:spacing w:val="-4"/>
        </w:rPr>
        <w:t xml:space="preserve">trên </w:t>
      </w:r>
      <w:r w:rsidR="00AE1B93" w:rsidRPr="00121DEA">
        <w:rPr>
          <w:spacing w:val="-4"/>
        </w:rPr>
        <w:t xml:space="preserve">thị </w:t>
      </w:r>
      <w:r w:rsidRPr="00121DEA">
        <w:rPr>
          <w:spacing w:val="-4"/>
          <w:lang w:val="vi-VN"/>
        </w:rPr>
        <w:t xml:space="preserve">trường chứng khoán </w:t>
      </w:r>
      <w:r w:rsidRPr="00121DEA">
        <w:rPr>
          <w:spacing w:val="-4"/>
        </w:rPr>
        <w:t xml:space="preserve">của quốc gia này </w:t>
      </w:r>
      <w:r w:rsidRPr="00121DEA">
        <w:rPr>
          <w:spacing w:val="-4"/>
          <w:lang w:val="vi-VN"/>
        </w:rPr>
        <w:t>đi ngang</w:t>
      </w:r>
      <w:r w:rsidRPr="00121DEA">
        <w:rPr>
          <w:spacing w:val="-4"/>
        </w:rPr>
        <w:t xml:space="preserve">, trong khi </w:t>
      </w:r>
      <w:r w:rsidRPr="00121DEA">
        <w:rPr>
          <w:spacing w:val="-4"/>
          <w:lang w:val="vi-VN"/>
        </w:rPr>
        <w:t>khu vực đồ</w:t>
      </w:r>
      <w:r w:rsidR="001541AD" w:rsidRPr="00121DEA">
        <w:rPr>
          <w:spacing w:val="-4"/>
          <w:lang w:val="vi-VN"/>
        </w:rPr>
        <w:t xml:space="preserve">ng </w:t>
      </w:r>
      <w:r w:rsidR="001541AD" w:rsidRPr="00121DEA">
        <w:rPr>
          <w:spacing w:val="-4"/>
        </w:rPr>
        <w:t>E</w:t>
      </w:r>
      <w:r w:rsidRPr="00121DEA">
        <w:rPr>
          <w:spacing w:val="-4"/>
          <w:lang w:val="vi-VN"/>
        </w:rPr>
        <w:t>uro đã được cải thiện kể từ đầu năm</w:t>
      </w:r>
      <w:r w:rsidRPr="00121DEA">
        <w:rPr>
          <w:spacing w:val="-4"/>
        </w:rPr>
        <w:t xml:space="preserve"> 2025.</w:t>
      </w:r>
    </w:p>
    <w:p w14:paraId="16895252" w14:textId="126D65CD" w:rsidR="00C556D4" w:rsidRPr="00A67545" w:rsidRDefault="001E1376" w:rsidP="00C556D4">
      <w:pPr>
        <w:spacing w:before="140" w:after="120" w:line="240" w:lineRule="auto"/>
        <w:ind w:firstLine="720"/>
        <w:jc w:val="both"/>
      </w:pPr>
      <w:r w:rsidRPr="00A67545">
        <w:t xml:space="preserve">Dự kiến </w:t>
      </w:r>
      <w:r w:rsidR="00C556D4" w:rsidRPr="00A67545">
        <w:t xml:space="preserve">nới lỏng tiền tệ ​​của các ngân hàng trung ương của các nước phát triển là một yếu tố chính ảnh hưởng đến chi phí tài trợ và điều kiện kinh tế nói chung trên toàn cầu. </w:t>
      </w:r>
      <w:r w:rsidR="00C556D4" w:rsidRPr="00A67545">
        <w:rPr>
          <w:lang w:val="vi-VN"/>
        </w:rPr>
        <w:t xml:space="preserve">Trong số các nền kinh tế mới nổi và </w:t>
      </w:r>
      <w:r w:rsidR="00C556D4" w:rsidRPr="00A67545">
        <w:t>đang phát triển</w:t>
      </w:r>
      <w:r w:rsidR="00C556D4" w:rsidRPr="00A67545">
        <w:rPr>
          <w:lang w:val="vi-VN"/>
        </w:rPr>
        <w:t xml:space="preserve"> lớn, Ấn Độ, M</w:t>
      </w:r>
      <w:r w:rsidR="00AE1B93" w:rsidRPr="00A67545">
        <w:t>ê-hi-cô</w:t>
      </w:r>
      <w:r w:rsidR="00C556D4" w:rsidRPr="00A67545">
        <w:rPr>
          <w:lang w:val="vi-VN"/>
        </w:rPr>
        <w:t xml:space="preserve"> và Thổ Nhĩ Kỳ đã hạ lãi suất chính sách trong bối cảnh triển vọng tăng trưởng yếu đi và áp lực lạm phát giảm bớt, với kỳ vọng sẽ có thêm những lần cắt giảm. Kể từ đầu năm, sự bất ổn về chính sách thương mại và kỳ vọng về lãi suất của Hoa Kỳ đã </w:t>
      </w:r>
      <w:r w:rsidR="00C556D4" w:rsidRPr="00A67545">
        <w:t xml:space="preserve">khiến tiền tệ của các nền kinh tế thị trường mới nổi và đang phát triển trở nên biến động hơn, một số đồng tiền mất giá đáng kể so với </w:t>
      </w:r>
      <w:r w:rsidR="00F96709" w:rsidRPr="00A67545">
        <w:t xml:space="preserve">đồng </w:t>
      </w:r>
      <w:r w:rsidR="00C556D4" w:rsidRPr="00A67545">
        <w:t>đô la Mỹ trong Quý IV/2024 khiến dòng nợ</w:t>
      </w:r>
      <w:r w:rsidR="00C556D4" w:rsidRPr="00A67545">
        <w:rPr>
          <w:lang w:val="vi-VN"/>
        </w:rPr>
        <w:t xml:space="preserve"> và vốn chủ sở hữu chảy ra khỏi nền kinh tế mới nổi và </w:t>
      </w:r>
      <w:r w:rsidR="00C556D4" w:rsidRPr="00A67545">
        <w:t>đang phát triển</w:t>
      </w:r>
      <w:r w:rsidR="00C556D4" w:rsidRPr="00A67545">
        <w:rPr>
          <w:lang w:val="vi-VN"/>
        </w:rPr>
        <w:t xml:space="preserve"> </w:t>
      </w:r>
      <w:r w:rsidR="00C556D4" w:rsidRPr="00A67545">
        <w:t>(</w:t>
      </w:r>
      <w:r w:rsidR="00C556D4" w:rsidRPr="00A67545">
        <w:rPr>
          <w:lang w:val="vi-VN"/>
        </w:rPr>
        <w:t>không bao gồm Trung Quốc</w:t>
      </w:r>
      <w:r w:rsidR="00C556D4" w:rsidRPr="00A67545">
        <w:t>).</w:t>
      </w:r>
    </w:p>
    <w:p w14:paraId="2D27D667" w14:textId="02B43F88" w:rsidR="00C556D4" w:rsidRPr="00A67545" w:rsidRDefault="00C556D4" w:rsidP="00C556D4">
      <w:pPr>
        <w:spacing w:before="90" w:after="0" w:line="240" w:lineRule="auto"/>
        <w:ind w:firstLine="720"/>
        <w:jc w:val="both"/>
        <w:rPr>
          <w:b/>
          <w:i/>
          <w:lang w:val="vi-VN"/>
        </w:rPr>
      </w:pPr>
      <w:r w:rsidRPr="00A67545">
        <w:rPr>
          <w:b/>
          <w:i/>
        </w:rPr>
        <w:t>Điều kiện thị t</w:t>
      </w:r>
      <w:r w:rsidRPr="00A67545">
        <w:rPr>
          <w:b/>
          <w:i/>
          <w:lang w:val="vi-VN"/>
        </w:rPr>
        <w:t xml:space="preserve">rường lao động </w:t>
      </w:r>
      <w:r w:rsidR="001E1376" w:rsidRPr="00A67545">
        <w:rPr>
          <w:b/>
          <w:i/>
        </w:rPr>
        <w:t xml:space="preserve">nhìn chung </w:t>
      </w:r>
      <w:r w:rsidRPr="00A67545">
        <w:rPr>
          <w:b/>
          <w:i/>
        </w:rPr>
        <w:t>thuận lợi</w:t>
      </w:r>
    </w:p>
    <w:p w14:paraId="6C58F340" w14:textId="5A2CAE0C" w:rsidR="00C556D4" w:rsidRPr="00A67545" w:rsidRDefault="001E1376" w:rsidP="00C556D4">
      <w:pPr>
        <w:spacing w:before="90" w:after="0" w:line="240" w:lineRule="auto"/>
        <w:ind w:firstLine="720"/>
        <w:jc w:val="both"/>
        <w:rPr>
          <w:spacing w:val="-4"/>
          <w:lang w:val="vi-VN"/>
        </w:rPr>
      </w:pPr>
      <w:r w:rsidRPr="00A67545">
        <w:rPr>
          <w:spacing w:val="-4"/>
        </w:rPr>
        <w:t xml:space="preserve">Theo </w:t>
      </w:r>
      <w:r w:rsidR="00C556D4" w:rsidRPr="00A67545">
        <w:rPr>
          <w:spacing w:val="-4"/>
          <w:lang w:val="vi-VN"/>
        </w:rPr>
        <w:t>Tổ chức Lao động Quốc tế (ILO)</w:t>
      </w:r>
      <w:r w:rsidR="007A510B" w:rsidRPr="00A67545">
        <w:rPr>
          <w:spacing w:val="-4"/>
        </w:rPr>
        <w:t>,</w:t>
      </w:r>
      <w:r w:rsidR="00C556D4" w:rsidRPr="00A67545">
        <w:rPr>
          <w:rStyle w:val="FootnoteReference"/>
        </w:rPr>
        <w:footnoteReference w:id="10"/>
      </w:r>
      <w:r w:rsidR="00C556D4" w:rsidRPr="00A67545">
        <w:rPr>
          <w:spacing w:val="-4"/>
          <w:lang w:val="vi-VN"/>
        </w:rPr>
        <w:t xml:space="preserve"> tỷ lệ thất nghiệp toàn cầu dự kiến vẫn tương đối ổn định ở mức khoảng gần 5</w:t>
      </w:r>
      <w:r w:rsidR="007A510B" w:rsidRPr="00A67545">
        <w:rPr>
          <w:spacing w:val="-4"/>
        </w:rPr>
        <w:t>,0</w:t>
      </w:r>
      <w:r w:rsidR="00C556D4" w:rsidRPr="00A67545">
        <w:rPr>
          <w:spacing w:val="-4"/>
          <w:lang w:val="vi-VN"/>
        </w:rPr>
        <w:t xml:space="preserve">%, tương tự như năm 2023 và 2024. </w:t>
      </w:r>
      <w:r w:rsidR="00C556D4" w:rsidRPr="00A67545">
        <w:rPr>
          <w:spacing w:val="-4"/>
        </w:rPr>
        <w:t>OECD cùng nhận định khi cho rằng m</w:t>
      </w:r>
      <w:r w:rsidR="00C556D4" w:rsidRPr="00A67545">
        <w:rPr>
          <w:spacing w:val="-4"/>
          <w:lang w:val="vi-VN"/>
        </w:rPr>
        <w:t xml:space="preserve">ặc dù tăng trưởng việc làm chậm lại đôi chút trong nửa cuối năm 2024, nhưng vẫn vững chắc và tỷ lệ thất nghiệp nhìn chung thấp so với giai đoạn trước đại dịch. Tỷ lệ thất nghiệp trung bình của OECD vẫn thấp hơn 0,5 điểm phần trăm so với mức trung bình </w:t>
      </w:r>
      <w:r w:rsidR="0097246C" w:rsidRPr="00A67545">
        <w:rPr>
          <w:spacing w:val="-4"/>
        </w:rPr>
        <w:t xml:space="preserve">giai đoạn </w:t>
      </w:r>
      <w:r w:rsidR="00C556D4" w:rsidRPr="00A67545">
        <w:rPr>
          <w:spacing w:val="-4"/>
          <w:lang w:val="vi-VN"/>
        </w:rPr>
        <w:t>2018-</w:t>
      </w:r>
      <w:r w:rsidR="0097246C" w:rsidRPr="00A67545">
        <w:rPr>
          <w:spacing w:val="-4"/>
        </w:rPr>
        <w:t>20</w:t>
      </w:r>
      <w:r w:rsidR="00C556D4" w:rsidRPr="00A67545">
        <w:rPr>
          <w:spacing w:val="-4"/>
          <w:lang w:val="vi-VN"/>
        </w:rPr>
        <w:t>19.</w:t>
      </w:r>
      <w:r w:rsidR="00C556D4" w:rsidRPr="00A67545">
        <w:rPr>
          <w:spacing w:val="-4"/>
        </w:rPr>
        <w:t xml:space="preserve"> </w:t>
      </w:r>
      <w:r w:rsidR="00C556D4" w:rsidRPr="00A67545">
        <w:rPr>
          <w:spacing w:val="-4"/>
          <w:lang w:val="vi-VN"/>
        </w:rPr>
        <w:t xml:space="preserve">Mặc dù tình trạng thất nghiệp đã ổn định ở mức thấp, nhưng việc làm phi chính thức, khoảng cách giới tính và tình </w:t>
      </w:r>
      <w:r w:rsidR="00C556D4" w:rsidRPr="00A67545">
        <w:rPr>
          <w:spacing w:val="-4"/>
          <w:lang w:val="vi-VN"/>
        </w:rPr>
        <w:lastRenderedPageBreak/>
        <w:t>trạng nghèo đói trong lao động cho thấy ít hoặc không có sự cải thiện nào sau khi trở lại xu hướng trước đại dịch.</w:t>
      </w:r>
    </w:p>
    <w:p w14:paraId="2B78C32E" w14:textId="494F21F8" w:rsidR="00C556D4" w:rsidRPr="00A67545" w:rsidRDefault="00C556D4" w:rsidP="00C556D4">
      <w:pPr>
        <w:spacing w:before="90" w:after="0" w:line="240" w:lineRule="auto"/>
        <w:ind w:firstLine="720"/>
        <w:jc w:val="both"/>
        <w:rPr>
          <w:spacing w:val="-4"/>
          <w:lang w:val="vi-VN"/>
        </w:rPr>
      </w:pPr>
      <w:r w:rsidRPr="00A67545">
        <w:rPr>
          <w:spacing w:val="-4"/>
          <w:lang w:val="vi-VN"/>
        </w:rPr>
        <w:t>Tăng trưởng việc làm toàn cầu dự kiến sẽ tiếp tục, nhưng với tốc độ chậm và không đồng đều giữa các nhóm quốc gia. Các quốc gia có thu nhập cao dự kiến sẽ chứng kiến mức tăng trưởng việc làm khiêm tốn. Tuy nhiên, các quốc gia có thu nhập trung bình thấp dự kiến sẽ có mức tăng trưởng việc làm cao hơn.</w:t>
      </w:r>
      <w:r w:rsidRPr="00A67545">
        <w:rPr>
          <w:spacing w:val="-4"/>
        </w:rPr>
        <w:t xml:space="preserve"> </w:t>
      </w:r>
      <w:r w:rsidRPr="00A67545">
        <w:rPr>
          <w:spacing w:val="-4"/>
          <w:lang w:val="vi-VN"/>
        </w:rPr>
        <w:t>Việc áp dụng trí tuệ nhân tạo và công nghệ kỹ thuật số có thể gia tăng khoảng cách giới ở một số khu vực. Quá trình chuyển đổi sang nền kinh tế xanh hơn, chẳng hạn như chuyển sang xe điện, sẽ có tác động đến tạo việc làm nhưng cũng dẫn đến sự gián đoạn trong nhiều lĩnh vực kinh tế khác.</w:t>
      </w:r>
    </w:p>
    <w:p w14:paraId="52E488F6" w14:textId="77777777" w:rsidR="00C556D4" w:rsidRPr="00A67545" w:rsidRDefault="00C556D4" w:rsidP="00C556D4">
      <w:pPr>
        <w:spacing w:before="90" w:after="0" w:line="240" w:lineRule="auto"/>
        <w:ind w:firstLine="720"/>
        <w:jc w:val="both"/>
        <w:rPr>
          <w:rFonts w:eastAsia="Times New Roman"/>
          <w:b/>
          <w:spacing w:val="-2"/>
          <w:szCs w:val="28"/>
          <w:lang w:val="vi-VN"/>
        </w:rPr>
      </w:pPr>
      <w:r w:rsidRPr="00A67545">
        <w:rPr>
          <w:rFonts w:eastAsia="Times New Roman"/>
          <w:b/>
          <w:spacing w:val="-2"/>
          <w:szCs w:val="28"/>
          <w:lang w:val="vi-VN"/>
        </w:rPr>
        <w:t>3. Một số nhân tố rủi ro tác động tới triển vọng kinh tế thế giới</w:t>
      </w:r>
    </w:p>
    <w:p w14:paraId="28C0D55A" w14:textId="7B22625B" w:rsidR="00590BA6" w:rsidRPr="00A67545" w:rsidRDefault="00590BA6" w:rsidP="00C556D4">
      <w:pPr>
        <w:spacing w:before="90" w:after="0" w:line="240" w:lineRule="auto"/>
        <w:ind w:firstLine="720"/>
        <w:jc w:val="both"/>
        <w:rPr>
          <w:rFonts w:eastAsia="Times New Roman"/>
          <w:szCs w:val="28"/>
        </w:rPr>
      </w:pPr>
      <w:r w:rsidRPr="00A67545">
        <w:rPr>
          <w:rFonts w:eastAsia="Times New Roman"/>
          <w:szCs w:val="28"/>
        </w:rPr>
        <w:t>Các tổ chức quốc tế nhận định có năm rủi ro chính đối với tăng trưởng kinh tế toàn cầu trong thời gian tới, bao gồm:</w:t>
      </w:r>
    </w:p>
    <w:p w14:paraId="246729A0" w14:textId="5198A6AE" w:rsidR="00C556D4" w:rsidRPr="00A67545" w:rsidRDefault="00C556D4" w:rsidP="00C556D4">
      <w:pPr>
        <w:spacing w:before="90" w:after="0" w:line="240" w:lineRule="auto"/>
        <w:ind w:firstLine="720"/>
        <w:jc w:val="both"/>
        <w:rPr>
          <w:rFonts w:eastAsia="Times New Roman"/>
          <w:szCs w:val="28"/>
        </w:rPr>
      </w:pPr>
      <w:r w:rsidRPr="00A67545">
        <w:rPr>
          <w:rFonts w:eastAsia="Times New Roman"/>
          <w:i/>
          <w:szCs w:val="28"/>
        </w:rPr>
        <w:t xml:space="preserve">Thứ nhất, rào cản thương mại gia tăng và sự phân mảnh </w:t>
      </w:r>
      <w:r w:rsidR="00FA23E6" w:rsidRPr="00A67545">
        <w:rPr>
          <w:rFonts w:eastAsia="Times New Roman"/>
          <w:i/>
          <w:szCs w:val="28"/>
        </w:rPr>
        <w:t xml:space="preserve">nhiều </w:t>
      </w:r>
      <w:r w:rsidRPr="00A67545">
        <w:rPr>
          <w:rFonts w:eastAsia="Times New Roman"/>
          <w:i/>
          <w:szCs w:val="28"/>
        </w:rPr>
        <w:t xml:space="preserve">hơn của nền kinh tế toàn cầu sẽ tác động tiêu cực đến tăng trưởng toàn </w:t>
      </w:r>
      <w:r w:rsidR="007A510B" w:rsidRPr="00A67545">
        <w:rPr>
          <w:rFonts w:eastAsia="Times New Roman"/>
          <w:i/>
          <w:szCs w:val="28"/>
        </w:rPr>
        <w:t>cầu</w:t>
      </w:r>
      <w:r w:rsidRPr="00A67545">
        <w:rPr>
          <w:rFonts w:eastAsia="Times New Roman"/>
          <w:i/>
          <w:szCs w:val="28"/>
        </w:rPr>
        <w:t xml:space="preserve"> và góp phần gây ra lạm phát</w:t>
      </w:r>
      <w:r w:rsidRPr="00A67545">
        <w:rPr>
          <w:rFonts w:eastAsia="Times New Roman"/>
          <w:szCs w:val="28"/>
        </w:rPr>
        <w:t xml:space="preserve">. Sự gia tăng các rào cản thương mại, chủ yếu là của các nền kinh tế phát triển thường ảnh hưởng </w:t>
      </w:r>
      <w:r w:rsidR="00590BA6" w:rsidRPr="00A67545">
        <w:rPr>
          <w:rFonts w:eastAsia="Times New Roman"/>
          <w:szCs w:val="28"/>
        </w:rPr>
        <w:t>khác nhau</w:t>
      </w:r>
      <w:r w:rsidRPr="00A67545">
        <w:rPr>
          <w:rFonts w:eastAsia="Times New Roman"/>
          <w:szCs w:val="28"/>
        </w:rPr>
        <w:t xml:space="preserve"> đến các </w:t>
      </w:r>
      <w:r w:rsidRPr="00A67545">
        <w:t>nền kinh tế thị trường mới nổi và đang phát triển</w:t>
      </w:r>
      <w:r w:rsidRPr="00A67545">
        <w:rPr>
          <w:rFonts w:eastAsia="Times New Roman"/>
          <w:szCs w:val="28"/>
        </w:rPr>
        <w:t xml:space="preserve">, gây rủi ro cho hoạt động kinh tế và thương mại toàn cầu. Việc Hoa Kỳ tăng 10 điểm phần trăm thuế quan đối với tất cả các đối tác thương mại vào năm 2025, nếu không có hành động trả đũa, có thể làm giảm </w:t>
      </w:r>
      <w:r w:rsidR="00FA23E6" w:rsidRPr="00A67545">
        <w:rPr>
          <w:rFonts w:eastAsia="Times New Roman"/>
          <w:szCs w:val="28"/>
        </w:rPr>
        <w:t xml:space="preserve">0,2 điểm phần trăm </w:t>
      </w:r>
      <w:r w:rsidRPr="00A67545">
        <w:rPr>
          <w:rFonts w:eastAsia="Times New Roman"/>
          <w:szCs w:val="28"/>
        </w:rPr>
        <w:t xml:space="preserve">tăng trưởng toàn cầu </w:t>
      </w:r>
      <w:r w:rsidR="00590BA6" w:rsidRPr="00A67545">
        <w:rPr>
          <w:rFonts w:eastAsia="Times New Roman"/>
          <w:szCs w:val="28"/>
        </w:rPr>
        <w:t xml:space="preserve">so với dự báo cơ sở; </w:t>
      </w:r>
      <w:r w:rsidRPr="00A67545">
        <w:rPr>
          <w:rFonts w:eastAsia="Times New Roman"/>
          <w:szCs w:val="28"/>
        </w:rPr>
        <w:t xml:space="preserve">nếu có hành động trả đũa tương ứng, có thể làm </w:t>
      </w:r>
      <w:r w:rsidR="00590BA6" w:rsidRPr="00A67545">
        <w:rPr>
          <w:rFonts w:eastAsia="Times New Roman"/>
          <w:szCs w:val="28"/>
        </w:rPr>
        <w:t xml:space="preserve">tăng trưởng toàn cầu thấp hơn mức cơ sở </w:t>
      </w:r>
      <w:r w:rsidRPr="00A67545">
        <w:rPr>
          <w:rFonts w:eastAsia="Times New Roman"/>
          <w:szCs w:val="28"/>
        </w:rPr>
        <w:t>0,3 điểm phần trăm. Căng thẳng thương mại gia tăng vào năm 2024, với việc Hoa Kỳ, Ca</w:t>
      </w:r>
      <w:r w:rsidR="00FA23E6" w:rsidRPr="00A67545">
        <w:rPr>
          <w:rFonts w:eastAsia="Times New Roman"/>
          <w:szCs w:val="28"/>
        </w:rPr>
        <w:t>-na-đa</w:t>
      </w:r>
      <w:r w:rsidRPr="00A67545">
        <w:rPr>
          <w:rFonts w:eastAsia="Times New Roman"/>
          <w:szCs w:val="28"/>
        </w:rPr>
        <w:t xml:space="preserve"> và EU áp đặt thuế quan mới đối với một số mặt hàng nhập khẩu từ Trung Quốc và Hoa Kỳ có ý định</w:t>
      </w:r>
      <w:r w:rsidR="007505BE" w:rsidRPr="00A67545">
        <w:rPr>
          <w:rFonts w:eastAsia="Times New Roman"/>
          <w:szCs w:val="28"/>
        </w:rPr>
        <w:t xml:space="preserve"> áp</w:t>
      </w:r>
      <w:r w:rsidRPr="00A67545">
        <w:rPr>
          <w:rFonts w:eastAsia="Times New Roman"/>
          <w:szCs w:val="28"/>
        </w:rPr>
        <w:t xml:space="preserve"> thuế quan</w:t>
      </w:r>
      <w:r w:rsidR="007505BE" w:rsidRPr="00A67545">
        <w:rPr>
          <w:rFonts w:eastAsia="Times New Roman"/>
          <w:szCs w:val="28"/>
        </w:rPr>
        <w:t xml:space="preserve"> cao hơn</w:t>
      </w:r>
      <w:r w:rsidRPr="00A67545">
        <w:rPr>
          <w:rFonts w:eastAsia="Times New Roman"/>
          <w:szCs w:val="28"/>
        </w:rPr>
        <w:t xml:space="preserve"> đối với một số đối tác thương mại chính, tạo ra sự bất ổn. </w:t>
      </w:r>
      <w:r w:rsidR="00D66A3D">
        <w:rPr>
          <w:rFonts w:eastAsia="Times New Roman"/>
          <w:szCs w:val="28"/>
        </w:rPr>
        <w:t>FR</w:t>
      </w:r>
      <w:r w:rsidRPr="00A67545">
        <w:rPr>
          <w:rFonts w:eastAsia="Times New Roman"/>
          <w:szCs w:val="28"/>
        </w:rPr>
        <w:t xml:space="preserve"> đã cắt giảm dự báo tăng trưởng toàn cầu năm 2025 một phần do rủi ro về cú sốc thuế quan lớn hơn từ cuộc chiến thương mại toàn cầu đang leo thang.</w:t>
      </w:r>
    </w:p>
    <w:p w14:paraId="24B493F4" w14:textId="686249E0" w:rsidR="00C556D4" w:rsidRPr="00121DEA" w:rsidRDefault="00C556D4" w:rsidP="00C556D4">
      <w:pPr>
        <w:spacing w:before="90" w:after="0" w:line="240" w:lineRule="auto"/>
        <w:ind w:firstLine="720"/>
        <w:jc w:val="both"/>
        <w:rPr>
          <w:rFonts w:eastAsia="Times New Roman"/>
          <w:spacing w:val="-6"/>
          <w:szCs w:val="28"/>
        </w:rPr>
      </w:pPr>
      <w:r w:rsidRPr="00121DEA">
        <w:rPr>
          <w:rFonts w:eastAsia="Times New Roman"/>
          <w:i/>
          <w:spacing w:val="-6"/>
          <w:szCs w:val="28"/>
        </w:rPr>
        <w:t>Thứ hai, bất ổn địa chính trị và chính sách có khả năng kìm hãm tăng trưởng</w:t>
      </w:r>
      <w:r w:rsidRPr="00121DEA">
        <w:rPr>
          <w:rFonts w:eastAsia="Times New Roman"/>
          <w:spacing w:val="-6"/>
          <w:szCs w:val="28"/>
        </w:rPr>
        <w:t>. Xung đột và căng thẳng địa chính trị leo thang, bao gồm cuộc xung đột tại U</w:t>
      </w:r>
      <w:r w:rsidR="00682D5D" w:rsidRPr="00121DEA">
        <w:rPr>
          <w:rFonts w:eastAsia="Times New Roman"/>
          <w:spacing w:val="-6"/>
          <w:szCs w:val="28"/>
        </w:rPr>
        <w:t>-crai-na</w:t>
      </w:r>
      <w:r w:rsidRPr="00121DEA">
        <w:rPr>
          <w:rFonts w:eastAsia="Times New Roman"/>
          <w:spacing w:val="-6"/>
          <w:szCs w:val="28"/>
        </w:rPr>
        <w:t xml:space="preserve">, các sự kiện ở Trung Đông và bất ổn ở những </w:t>
      </w:r>
      <w:r w:rsidR="00D66A3D" w:rsidRPr="00121DEA">
        <w:rPr>
          <w:rFonts w:eastAsia="Times New Roman"/>
          <w:spacing w:val="-6"/>
          <w:szCs w:val="28"/>
        </w:rPr>
        <w:t>khu vực</w:t>
      </w:r>
      <w:r w:rsidRPr="00121DEA">
        <w:rPr>
          <w:rFonts w:eastAsia="Times New Roman"/>
          <w:spacing w:val="-6"/>
          <w:szCs w:val="28"/>
        </w:rPr>
        <w:t xml:space="preserve"> khác, có thể làm gián đoạn thị trường thương mại và hàng hóa toàn cầu, gây </w:t>
      </w:r>
      <w:r w:rsidR="00590BA6" w:rsidRPr="00121DEA">
        <w:rPr>
          <w:rFonts w:eastAsia="Times New Roman"/>
          <w:spacing w:val="-6"/>
          <w:szCs w:val="28"/>
        </w:rPr>
        <w:t>ảnh hưởng</w:t>
      </w:r>
      <w:r w:rsidRPr="00121DEA">
        <w:rPr>
          <w:rFonts w:eastAsia="Times New Roman"/>
          <w:spacing w:val="-6"/>
          <w:szCs w:val="28"/>
        </w:rPr>
        <w:t xml:space="preserve"> đến tăng trưởng. Bùng nổ xung đột có thể làm chậm lại các mục tiêu phát triển</w:t>
      </w:r>
      <w:r w:rsidR="007A510B" w:rsidRPr="00121DEA">
        <w:rPr>
          <w:rFonts w:eastAsia="Times New Roman"/>
          <w:spacing w:val="-6"/>
          <w:szCs w:val="28"/>
        </w:rPr>
        <w:t>,</w:t>
      </w:r>
      <w:r w:rsidRPr="00121DEA">
        <w:rPr>
          <w:rFonts w:eastAsia="Times New Roman"/>
          <w:spacing w:val="-6"/>
          <w:szCs w:val="28"/>
        </w:rPr>
        <w:t xml:space="preserve"> dẫn đến giảm sản lượng ở các </w:t>
      </w:r>
      <w:r w:rsidRPr="00121DEA">
        <w:rPr>
          <w:spacing w:val="-6"/>
        </w:rPr>
        <w:t>nền kinh tế thị trường mới nổi và đang phát triển</w:t>
      </w:r>
      <w:r w:rsidRPr="00121DEA">
        <w:rPr>
          <w:rFonts w:eastAsia="Times New Roman"/>
          <w:spacing w:val="-6"/>
          <w:szCs w:val="28"/>
        </w:rPr>
        <w:t>. Ngoài ra, căng thẳng địa chính trị gia tăng làm tăng mạnh các biện pháp bảo hộ và sự phân mảnh địa chính trị trên toàn cầu.</w:t>
      </w:r>
    </w:p>
    <w:p w14:paraId="3E9CAD4A" w14:textId="5B7307AA" w:rsidR="00C556D4" w:rsidRPr="00A67545" w:rsidRDefault="00C556D4" w:rsidP="00C556D4">
      <w:pPr>
        <w:spacing w:before="90" w:after="0" w:line="240" w:lineRule="auto"/>
        <w:ind w:firstLine="720"/>
        <w:jc w:val="both"/>
        <w:rPr>
          <w:rFonts w:eastAsia="Times New Roman"/>
          <w:szCs w:val="28"/>
        </w:rPr>
      </w:pPr>
      <w:r w:rsidRPr="00A67545">
        <w:rPr>
          <w:rFonts w:eastAsia="Times New Roman"/>
          <w:i/>
          <w:szCs w:val="28"/>
        </w:rPr>
        <w:t xml:space="preserve">Thứ ba, lạm phát cao hơn dự kiến sẽ </w:t>
      </w:r>
      <w:r w:rsidR="00590BA6" w:rsidRPr="00A67545">
        <w:rPr>
          <w:rFonts w:eastAsia="Times New Roman"/>
          <w:i/>
          <w:szCs w:val="28"/>
        </w:rPr>
        <w:t>khiến</w:t>
      </w:r>
      <w:r w:rsidRPr="00A67545">
        <w:rPr>
          <w:rFonts w:eastAsia="Times New Roman"/>
          <w:i/>
          <w:szCs w:val="28"/>
        </w:rPr>
        <w:t xml:space="preserve"> chính sách tiền tệ </w:t>
      </w:r>
      <w:r w:rsidR="00590BA6" w:rsidRPr="00A67545">
        <w:rPr>
          <w:rFonts w:eastAsia="Times New Roman"/>
          <w:i/>
          <w:szCs w:val="28"/>
        </w:rPr>
        <w:t>thắt chặt</w:t>
      </w:r>
      <w:r w:rsidRPr="00A67545">
        <w:rPr>
          <w:rFonts w:eastAsia="Times New Roman"/>
          <w:i/>
          <w:szCs w:val="28"/>
        </w:rPr>
        <w:t xml:space="preserve"> hơn và có thể dẫn đến việc định giá lại gây gián đoạn trên thị trường tài chính</w:t>
      </w:r>
      <w:r w:rsidRPr="00A67545">
        <w:rPr>
          <w:rFonts w:eastAsia="Times New Roman"/>
          <w:szCs w:val="28"/>
        </w:rPr>
        <w:t xml:space="preserve">. Áp lực lạm phát tái phát có thể khiến lãi suất tăng cao trong thời gian dài hơn, </w:t>
      </w:r>
      <w:r w:rsidR="007F18D6" w:rsidRPr="00A67545">
        <w:rPr>
          <w:rFonts w:eastAsia="Times New Roman"/>
          <w:szCs w:val="28"/>
        </w:rPr>
        <w:t>gia</w:t>
      </w:r>
      <w:r w:rsidRPr="00A67545">
        <w:rPr>
          <w:rFonts w:eastAsia="Times New Roman"/>
          <w:szCs w:val="28"/>
        </w:rPr>
        <w:t xml:space="preserve"> tăng gánh nặng trả nợ. Lạm phát toàn cầu dai dẳng và tình hình tài chính toàn cầu thắt chặt là </w:t>
      </w:r>
      <w:r w:rsidR="007F18D6" w:rsidRPr="00A67545">
        <w:rPr>
          <w:rFonts w:eastAsia="Times New Roman"/>
          <w:szCs w:val="28"/>
        </w:rPr>
        <w:t>nguy cơ</w:t>
      </w:r>
      <w:r w:rsidRPr="00A67545">
        <w:rPr>
          <w:rFonts w:eastAsia="Times New Roman"/>
          <w:szCs w:val="28"/>
        </w:rPr>
        <w:t xml:space="preserve"> giảm tăng trưởng, đặc biệt đối với các nước nhập khẩu dầu. Lạm phát giảm chậm, do giá nhà ở và các dịch vụ khác ở các nền kinh tế phát triển tăng cao, có thể khiến các ngân hàng trung ương chậm nới lỏng chính sách tiền tệ hoặc giữ lãi suất ở mức cao trong thời gian dài hơn.</w:t>
      </w:r>
    </w:p>
    <w:p w14:paraId="1BB0CBD3" w14:textId="19BAD7CC" w:rsidR="00C556D4" w:rsidRPr="00A67545" w:rsidRDefault="00C556D4" w:rsidP="00C556D4">
      <w:pPr>
        <w:spacing w:before="90" w:after="0" w:line="240" w:lineRule="auto"/>
        <w:ind w:firstLine="720"/>
        <w:jc w:val="both"/>
        <w:rPr>
          <w:rFonts w:eastAsia="Times New Roman"/>
          <w:spacing w:val="-4"/>
          <w:szCs w:val="28"/>
        </w:rPr>
      </w:pPr>
      <w:r w:rsidRPr="00A67545">
        <w:rPr>
          <w:rFonts w:eastAsia="Times New Roman"/>
          <w:i/>
          <w:spacing w:val="-4"/>
          <w:szCs w:val="28"/>
        </w:rPr>
        <w:t>Thứ tư, tăng trưởng yếu hơn ở các nền kinh tế lớn, chẳng hạn như Trung Quốc và Hoa Kỳ, gây rủi ro giảm tăng trưởng toàn cầu</w:t>
      </w:r>
      <w:r w:rsidRPr="00A67545">
        <w:rPr>
          <w:rFonts w:eastAsia="Times New Roman"/>
          <w:spacing w:val="-4"/>
          <w:szCs w:val="28"/>
        </w:rPr>
        <w:t xml:space="preserve">. Tại Hoa Kỳ, thị trường lao động </w:t>
      </w:r>
      <w:r w:rsidRPr="00A67545">
        <w:rPr>
          <w:rFonts w:eastAsia="Times New Roman"/>
          <w:spacing w:val="-4"/>
          <w:szCs w:val="28"/>
        </w:rPr>
        <w:lastRenderedPageBreak/>
        <w:t xml:space="preserve">có thể hạ nhiệt nhanh chóng, dẫn đến mức tiêu dùng yếu hơn dự kiến và những thay đổi đáng kể trong chính sách thương mại có thể làm giảm tăng trưởng. </w:t>
      </w:r>
      <w:r w:rsidR="005A5957">
        <w:rPr>
          <w:rFonts w:eastAsia="Times New Roman"/>
          <w:spacing w:val="-4"/>
          <w:szCs w:val="28"/>
        </w:rPr>
        <w:t>S</w:t>
      </w:r>
      <w:r w:rsidRPr="00A67545">
        <w:rPr>
          <w:rFonts w:eastAsia="Times New Roman"/>
          <w:spacing w:val="-4"/>
          <w:szCs w:val="28"/>
        </w:rPr>
        <w:t xml:space="preserve">uy thoái sâu hơn hoặc kéo dài hơn của lĩnh vực bất động sản hoặc sự yếu kém dai dẳng trong tiêu dùng có thể làm suy yếu tăng trưởng của Trung Quốc. </w:t>
      </w:r>
      <w:r w:rsidRPr="00A67545">
        <w:rPr>
          <w:spacing w:val="-4"/>
        </w:rPr>
        <w:t>Lạm phát tăng trở lại hoặc bất ngờ giảm tăng trưởng kinh tế có thể gây ra sự định giá lại nhanh chóng trên thị trường tài chính và sự gia tăng hơn nữa biến động thị trường.</w:t>
      </w:r>
    </w:p>
    <w:p w14:paraId="6FE63AC4" w14:textId="5A90B162" w:rsidR="00C556D4" w:rsidRPr="00A67545" w:rsidRDefault="00C556D4" w:rsidP="00C556D4">
      <w:pPr>
        <w:spacing w:before="120" w:after="120" w:line="240" w:lineRule="auto"/>
        <w:ind w:firstLine="720"/>
        <w:jc w:val="both"/>
        <w:rPr>
          <w:rFonts w:eastAsia="Times New Roman"/>
          <w:szCs w:val="28"/>
        </w:rPr>
      </w:pPr>
      <w:r w:rsidRPr="00A67545">
        <w:rPr>
          <w:rFonts w:eastAsia="Times New Roman"/>
          <w:i/>
          <w:szCs w:val="28"/>
        </w:rPr>
        <w:t>Thứ năm, các thảm họa thiên nhiên liên quan đến biến đổi khí hậu</w:t>
      </w:r>
      <w:r w:rsidR="00895B84" w:rsidRPr="00A67545">
        <w:rPr>
          <w:rFonts w:eastAsia="Times New Roman"/>
          <w:i/>
          <w:szCs w:val="28"/>
        </w:rPr>
        <w:t xml:space="preserve"> xảy ra</w:t>
      </w:r>
      <w:r w:rsidRPr="00A67545">
        <w:rPr>
          <w:rFonts w:eastAsia="Times New Roman"/>
          <w:i/>
          <w:szCs w:val="28"/>
        </w:rPr>
        <w:t xml:space="preserve"> thường xuyên và t</w:t>
      </w:r>
      <w:r w:rsidR="00843C37">
        <w:rPr>
          <w:rFonts w:eastAsia="Times New Roman"/>
          <w:i/>
          <w:szCs w:val="28"/>
        </w:rPr>
        <w:t>hiệt hại nhiều</w:t>
      </w:r>
      <w:r w:rsidRPr="00A67545">
        <w:rPr>
          <w:rFonts w:eastAsia="Times New Roman"/>
          <w:i/>
          <w:szCs w:val="28"/>
        </w:rPr>
        <w:t xml:space="preserve"> hơn gây rủi ro giảm tăng trưởng khi có thể tác động đáng kể đến nền kinh tế thế giới</w:t>
      </w:r>
      <w:r w:rsidRPr="00A67545">
        <w:rPr>
          <w:rFonts w:eastAsia="Times New Roman"/>
          <w:szCs w:val="28"/>
        </w:rPr>
        <w:t>. Biến đổi khí hậu tiếp tục đe dọa các khu vực, bao gồm khả năng dòng hải lưu chuyển sang La Niña, có thể gây hạn hán ở những khu vực phụ thuộc nhiều vào nông nghiệp. Các cú sốc liên quan đến khí hậu, bao gồm nắng nóng, hạn hán và lượng mưa không đều, dự kiến ​​sẽ ảnh hưởng đến sản lượng nông nghiệp và làm tăng giá lương thực vào năm 2025, đặc biệt ở các khu vực như Nam Á. Các thảm họa thiên nhiên thường xuyên và lan rộng hơn có thể gây ra tình trạng giá lương thực tăng đột biến</w:t>
      </w:r>
      <w:r w:rsidR="00DA5D98" w:rsidRPr="00A67545">
        <w:rPr>
          <w:rFonts w:eastAsia="Times New Roman"/>
          <w:szCs w:val="28"/>
        </w:rPr>
        <w:t>,</w:t>
      </w:r>
      <w:r w:rsidRPr="00A67545">
        <w:rPr>
          <w:rFonts w:eastAsia="Times New Roman"/>
          <w:szCs w:val="28"/>
        </w:rPr>
        <w:t xml:space="preserve"> làm trầm trọng thêm tình trạng nghèo đói và mất an ninh lương thực, đặc biệt </w:t>
      </w:r>
      <w:r w:rsidR="00DA5D98" w:rsidRPr="00A67545">
        <w:rPr>
          <w:rFonts w:eastAsia="Times New Roman"/>
          <w:szCs w:val="28"/>
        </w:rPr>
        <w:t xml:space="preserve">tại </w:t>
      </w:r>
      <w:r w:rsidRPr="00A67545">
        <w:rPr>
          <w:rFonts w:eastAsia="Times New Roman"/>
          <w:szCs w:val="28"/>
        </w:rPr>
        <w:t>các nền kinh kế kém phát triển</w:t>
      </w:r>
      <w:r w:rsidR="00895B84" w:rsidRPr="00A67545">
        <w:rPr>
          <w:rFonts w:eastAsia="Times New Roman"/>
          <w:szCs w:val="28"/>
        </w:rPr>
        <w:t>.</w:t>
      </w:r>
    </w:p>
    <w:p w14:paraId="0A42FD45" w14:textId="6E6954EE" w:rsidR="00C82BCF" w:rsidRPr="00A67545" w:rsidRDefault="00C82BCF" w:rsidP="00C556D4">
      <w:pPr>
        <w:spacing w:before="120" w:after="120" w:line="240" w:lineRule="auto"/>
        <w:ind w:firstLine="720"/>
        <w:rPr>
          <w:b/>
          <w:szCs w:val="28"/>
          <w:lang w:val="vi-VN"/>
        </w:rPr>
      </w:pPr>
      <w:r w:rsidRPr="00A67545">
        <w:rPr>
          <w:b/>
          <w:szCs w:val="28"/>
          <w:lang w:val="vi-VN"/>
        </w:rPr>
        <w:t>II. TĂNG TRƯỞNG CỦA MỘT SỐ NỀN KINH TẾ</w:t>
      </w:r>
    </w:p>
    <w:p w14:paraId="46FAF1AB" w14:textId="77777777" w:rsidR="00FA4E92" w:rsidRPr="00A67545" w:rsidRDefault="00FA4E92" w:rsidP="00060AE9">
      <w:pPr>
        <w:spacing w:before="120" w:after="120" w:line="240" w:lineRule="auto"/>
        <w:ind w:firstLine="720"/>
        <w:jc w:val="both"/>
        <w:rPr>
          <w:b/>
          <w:szCs w:val="28"/>
          <w:lang w:val="vi-VN"/>
        </w:rPr>
      </w:pPr>
      <w:r w:rsidRPr="00A67545">
        <w:rPr>
          <w:b/>
          <w:szCs w:val="28"/>
          <w:lang w:val="vi-VN"/>
        </w:rPr>
        <w:t>1. Hoa Kỳ</w:t>
      </w:r>
    </w:p>
    <w:p w14:paraId="5C7C052C" w14:textId="77777777" w:rsidR="00836B85" w:rsidRPr="00A67545" w:rsidRDefault="00836B85" w:rsidP="00836B85">
      <w:pPr>
        <w:spacing w:before="120" w:after="120" w:line="240" w:lineRule="auto"/>
        <w:ind w:firstLine="720"/>
        <w:jc w:val="both"/>
      </w:pPr>
      <w:r w:rsidRPr="00A67545">
        <w:rPr>
          <w:i/>
        </w:rPr>
        <w:t>IMF</w:t>
      </w:r>
      <w:r w:rsidRPr="00A67545">
        <w:t xml:space="preserve"> dự báo nền kinh tế Hoa Kỳ đạt 2,7% năm 2025, điều chỉnh tăng 0,5 điểm phần trăm so với dự báo trong tháng 10/2024, một phần phản ánh động lực tăng trưởng kinh tế năm 2024 tiếp tục được duy trì và kéo sang năm 2025 cũng như thị trường lao động mạnh mẽ và đầu tư tăng tốc, kết hợp với các dấu hiệu tăng trưởng khác trong năm 2025. Tuy nhiên, mức tăng trưởng này của năm 2025 vẫn thấp hơn 0,1 điểm phần trăm so với tăng trưởng năm 2024 (2,8%).</w:t>
      </w:r>
    </w:p>
    <w:p w14:paraId="1CDF6059" w14:textId="77777777" w:rsidR="00836B85" w:rsidRPr="00A67545" w:rsidRDefault="00836B85" w:rsidP="00836B85">
      <w:pPr>
        <w:spacing w:before="120" w:after="120" w:line="240" w:lineRule="auto"/>
        <w:ind w:firstLine="720"/>
        <w:jc w:val="both"/>
      </w:pPr>
      <w:r w:rsidRPr="00A67545">
        <w:rPr>
          <w:i/>
        </w:rPr>
        <w:t>Theo WB</w:t>
      </w:r>
      <w:r w:rsidRPr="00A67545">
        <w:t xml:space="preserve">, chi tiêu tiêu dùng của Hoa Kỳ chậm lại khi các hộ gia đình điều chỉnh chi tiêu theo thị trường lao động đang hạ nhiệt và tăng trưởng thu nhập khả dụng chậm lại. Bên cạnh đó, tỷ lệ tiết kiệm cá nhân ở mức thấp hơn mức trước đại dịch kể từ đầu năm 2022, dẫn đến lượng tiết kiệm dư thừa tích lũy trong đại dịch dần giảm đi. Theo đó, tăng trưởng GDP của Hoa Kỳ dự báo ​​sẽ giảm xuống còn 2,3% năm 2025. Tuy nhiên WB vẫn điều chỉnh triển vọng tăng trưởng của Hoa Kỳ năm 2025 tăng 0,5 điểm phần trăm so với dự báo trong tháng 6/2024, phản ánh tác động tích cực lan tỏa từ hoạt động chi tiêu dùng mạnh hơn dự kiến ​​trong năm 2024 kéo sang năm 2025. </w:t>
      </w:r>
    </w:p>
    <w:p w14:paraId="407FF75F" w14:textId="77777777" w:rsidR="00836B85" w:rsidRPr="00A67545" w:rsidRDefault="00836B85" w:rsidP="00836B85">
      <w:pPr>
        <w:spacing w:before="120" w:after="120" w:line="240" w:lineRule="auto"/>
        <w:ind w:firstLine="720"/>
        <w:jc w:val="both"/>
      </w:pPr>
      <w:r w:rsidRPr="00A67545">
        <w:rPr>
          <w:i/>
        </w:rPr>
        <w:t>OECD</w:t>
      </w:r>
      <w:r w:rsidRPr="00A67545">
        <w:t xml:space="preserve"> nhận định tăng trưởng GDP của Hoa Kỳ ​​sẽ chậm lại từ mức 2,8% năm 2024 xuống còn 2,2% năm 2025, điều chỉnh giảm 0,2 điểm phần trăm so với dự báo trong tháng 12/2024 do tác động tiêu cực từ việc Ca-na-đa, Mê-hi-cô, và Trung Quốc tăng thuế suất song phương nhằm đáp trả Hoa Kỳ tăng thuế suất đối với hàng hóa nhập khẩu từ những quốc gia này. Những tác động này sẽ chỉ được bù đắp một phần nhờ nới lỏng chính sách tiền tệ.</w:t>
      </w:r>
    </w:p>
    <w:p w14:paraId="0841C478" w14:textId="77777777" w:rsidR="00836B85" w:rsidRPr="00A67545" w:rsidRDefault="00836B85" w:rsidP="00836B85">
      <w:pPr>
        <w:spacing w:before="120" w:after="120" w:line="240" w:lineRule="auto"/>
        <w:ind w:firstLine="720"/>
        <w:jc w:val="both"/>
      </w:pPr>
      <w:r w:rsidRPr="00A67545">
        <w:rPr>
          <w:i/>
        </w:rPr>
        <w:t>Theo UN</w:t>
      </w:r>
      <w:r w:rsidRPr="00A67545">
        <w:t xml:space="preserve">, tăng trưởng GDP của Hoa Kỳ đạt 2,8% năm 2024, vượt xa kỳ vọng nhờ chi tiêu dùng tư nhân, chi tiêu của khu vực công và đầu tư ngoài dân cư tăng mạnh. Tuy nhiên, tăng trưởng được dự báo ​​sẽ giảm xuống còn 1,9% năm 2025 </w:t>
      </w:r>
      <w:r w:rsidRPr="00A67545">
        <w:lastRenderedPageBreak/>
        <w:t>sau khi đã điều chỉnh dự báo tăng 0,2 điểm phần trăm so với dự báo đưa ra vào tháng 6/2024 trong bối cảnh hiệu suất thị trường lao động yếu đi, tăng trưởng thu nhập khiêm tốn và chi tiêu công ngày càng cắt giảm.</w:t>
      </w:r>
    </w:p>
    <w:p w14:paraId="5E1AD19C" w14:textId="1F365BF0" w:rsidR="00836B85" w:rsidRPr="00A67545" w:rsidRDefault="00836B85" w:rsidP="00836B85">
      <w:pPr>
        <w:spacing w:before="120" w:after="120" w:line="240" w:lineRule="auto"/>
        <w:ind w:firstLine="720"/>
        <w:jc w:val="both"/>
      </w:pPr>
      <w:r w:rsidRPr="00A67545">
        <w:rPr>
          <w:i/>
        </w:rPr>
        <w:t>Theo Trading Economics</w:t>
      </w:r>
      <w:r w:rsidRPr="00A67545">
        <w:t xml:space="preserve">, chỉ số PMI tổng hợp của Hoa Kỳ tháng 3/2025 đạt 53,5 điểm, tăng 1,9 điểm so với mức 51,6 điểm của tháng 02/2025, phản ánh mức tăng trưởng nhanh nhất kể từ tháng 12/2024. Tăng trưởng mạnh của ngành dịch vụ do phục hồi các hoạt động kinh doanh sau khi bị gián đoạn do thời tiết trong tháng 01 và tháng 02/2025 đã đóng góp chính cho mức tăng trưởng chung PMI tổng hợp (PMI dịch vụ đạt 54,3 điểm, tăng 3,3 điểm so với tháng 02/2025). PMI chế biến chế tạo của Hoa Kỳ đạt </w:t>
      </w:r>
      <w:r w:rsidR="00D05988" w:rsidRPr="00513A21">
        <w:t>50,2</w:t>
      </w:r>
      <w:r w:rsidRPr="00513A21">
        <w:t xml:space="preserve"> </w:t>
      </w:r>
      <w:r w:rsidRPr="00A67545">
        <w:t xml:space="preserve">điểm trong tháng 3/2025, giảm </w:t>
      </w:r>
      <w:r w:rsidRPr="00513A21">
        <w:t>2,</w:t>
      </w:r>
      <w:r w:rsidR="00D05988" w:rsidRPr="00513A21">
        <w:t>5</w:t>
      </w:r>
      <w:r w:rsidRPr="00513A21">
        <w:t xml:space="preserve"> </w:t>
      </w:r>
      <w:r w:rsidRPr="00A67545">
        <w:t xml:space="preserve">điểm so với tháng 02/2025 khi sản lượng sản xuất giảm do tác động của việc áp dụng các mức thuế quan và đơn đặt hàng mới gần như đình trệ.  </w:t>
      </w:r>
    </w:p>
    <w:p w14:paraId="45E83958" w14:textId="77777777" w:rsidR="00836B85" w:rsidRPr="00A67545" w:rsidRDefault="00836B85" w:rsidP="00836B85">
      <w:pPr>
        <w:spacing w:before="120" w:after="120" w:line="240" w:lineRule="auto"/>
        <w:ind w:firstLine="720"/>
        <w:jc w:val="both"/>
        <w:rPr>
          <w:szCs w:val="28"/>
        </w:rPr>
      </w:pPr>
      <w:r w:rsidRPr="00A67545">
        <w:rPr>
          <w:i/>
          <w:szCs w:val="28"/>
        </w:rPr>
        <w:t>Trading Economics</w:t>
      </w:r>
      <w:r w:rsidRPr="00A67545">
        <w:rPr>
          <w:rStyle w:val="FootnoteReference"/>
        </w:rPr>
        <w:footnoteReference w:id="11"/>
      </w:r>
      <w:r w:rsidRPr="00A67545">
        <w:rPr>
          <w:szCs w:val="28"/>
        </w:rPr>
        <w:t xml:space="preserve"> dự báo tăng trưởng GDP Quý I/2025 của Hoa Kỳ tăng 0,9% so với quý trước và tăng 2,5% so với cùng kỳ năm 2024.</w:t>
      </w:r>
    </w:p>
    <w:p w14:paraId="78ECBF7B" w14:textId="77777777" w:rsidR="00836B85" w:rsidRPr="00A67545" w:rsidRDefault="00836B85" w:rsidP="00836B85">
      <w:pPr>
        <w:spacing w:before="120" w:after="120" w:line="240" w:lineRule="auto"/>
        <w:jc w:val="center"/>
        <w:rPr>
          <w:b/>
          <w:szCs w:val="28"/>
        </w:rPr>
      </w:pPr>
      <w:r w:rsidRPr="00A67545">
        <w:rPr>
          <w:b/>
          <w:szCs w:val="28"/>
        </w:rPr>
        <w:t>Hình 2. Tăng trưởng của Hoa Kỳ giai đoạn 2020-2024 và dự báo tăng trưởng năm 2025 theo các tổ chức quốc tế</w:t>
      </w:r>
    </w:p>
    <w:p w14:paraId="2D7ABBB5" w14:textId="75309905" w:rsidR="00836B85" w:rsidRPr="00A67545" w:rsidRDefault="00CB6BF5" w:rsidP="00836B85">
      <w:pPr>
        <w:spacing w:before="120" w:after="120" w:line="240" w:lineRule="auto"/>
        <w:jc w:val="center"/>
        <w:rPr>
          <w:b/>
          <w:szCs w:val="28"/>
        </w:rPr>
      </w:pPr>
      <w:r>
        <w:rPr>
          <w:b/>
          <w:noProof/>
          <w:szCs w:val="28"/>
        </w:rPr>
        <w:drawing>
          <wp:inline distT="0" distB="0" distL="0" distR="0" wp14:anchorId="0841CC68" wp14:editId="4EB02AFA">
            <wp:extent cx="3467558" cy="1781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9053" cy="1781943"/>
                    </a:xfrm>
                    <a:prstGeom prst="rect">
                      <a:avLst/>
                    </a:prstGeom>
                    <a:noFill/>
                  </pic:spPr>
                </pic:pic>
              </a:graphicData>
            </a:graphic>
          </wp:inline>
        </w:drawing>
      </w:r>
    </w:p>
    <w:p w14:paraId="6DAF5AE7" w14:textId="77777777" w:rsidR="00836B85" w:rsidRPr="00A67545" w:rsidRDefault="00836B85" w:rsidP="00836B85">
      <w:pPr>
        <w:spacing w:before="120" w:after="120" w:line="240" w:lineRule="auto"/>
        <w:jc w:val="right"/>
        <w:rPr>
          <w:sz w:val="24"/>
          <w:szCs w:val="28"/>
        </w:rPr>
      </w:pPr>
      <w:r w:rsidRPr="00A67545">
        <w:rPr>
          <w:i/>
          <w:sz w:val="24"/>
          <w:szCs w:val="28"/>
        </w:rPr>
        <w:t xml:space="preserve">Nguồn: IMF, WB, OECD, UN </w:t>
      </w:r>
    </w:p>
    <w:p w14:paraId="7B3F4900" w14:textId="59ED5837" w:rsidR="00836B85" w:rsidRPr="00121DEA" w:rsidRDefault="00836B85" w:rsidP="00836B85">
      <w:pPr>
        <w:spacing w:before="80" w:after="0" w:line="240" w:lineRule="auto"/>
        <w:ind w:firstLine="720"/>
        <w:jc w:val="both"/>
        <w:rPr>
          <w:spacing w:val="-6"/>
          <w:szCs w:val="28"/>
        </w:rPr>
      </w:pPr>
      <w:r w:rsidRPr="00121DEA">
        <w:rPr>
          <w:spacing w:val="-6"/>
          <w:szCs w:val="28"/>
        </w:rPr>
        <w:t xml:space="preserve">Biểu đồ trên cho thấy các tổ chức IMF, WB, OECD và UN đều nhận định tăng trưởng kinh kế của Hoa Kỳ năm 2025 giảm so với mức tăng trưởng 2,8% của năm 2024. Tuy vậy, hầu hết các tổ chức quốc tế vẫn điều chỉnh tăng GDP năm 2025 so với dự báo đưa ra trước đó. Cụ thể, </w:t>
      </w:r>
      <w:r w:rsidR="00B174C4" w:rsidRPr="00121DEA">
        <w:rPr>
          <w:color w:val="000000" w:themeColor="text1"/>
          <w:spacing w:val="-6"/>
          <w:szCs w:val="28"/>
        </w:rPr>
        <w:t xml:space="preserve">UN, WB và IMF </w:t>
      </w:r>
      <w:r w:rsidRPr="00121DEA">
        <w:rPr>
          <w:spacing w:val="-6"/>
          <w:szCs w:val="28"/>
        </w:rPr>
        <w:t xml:space="preserve">nhận định tăng trưởng kinh tế của Hoa Kỳ năm 2025 dự báo đạt từ 1,9% đến 2,7%, điều chỉnh tăng từ 0,2 - 0,5 điểm phần trăm so với dự báo đưa ra năm 2024. Nguyên nhân của điều chỉnh tăng có thể là do các báo cáo của ba tổ chức này được phát hành vào tháng 01/2025, thời điểm Hoa Kỳ chưa áp dụng các chính sách áp đặt thuế đối với </w:t>
      </w:r>
      <w:r w:rsidRPr="00121DEA">
        <w:rPr>
          <w:spacing w:val="-6"/>
        </w:rPr>
        <w:t xml:space="preserve">Ca-na-đa, Mê-hi-cô, và Trung Quốc. </w:t>
      </w:r>
      <w:r w:rsidRPr="00121DEA">
        <w:rPr>
          <w:spacing w:val="-6"/>
          <w:szCs w:val="28"/>
        </w:rPr>
        <w:t>Riêng OECD, tổ chức phát hành báo cáo vào tháng 3/2025, điều chỉnh giảm dự báo năm 2025 xuống 0,2 điểm phần trăm so với dự báo trong tháng 12/2024, theo đó tăng trưởng của Hoa Kỳ đạt 2,2%, thấp hơn 0,6 điểm phần trăm so với GDP năm 2024 (2,8%).</w:t>
      </w:r>
    </w:p>
    <w:p w14:paraId="45E07338" w14:textId="77777777" w:rsidR="00836B85" w:rsidRPr="00A67545" w:rsidRDefault="00836B85" w:rsidP="00836B85">
      <w:pPr>
        <w:spacing w:before="80" w:after="0" w:line="240" w:lineRule="auto"/>
        <w:ind w:firstLine="720"/>
        <w:jc w:val="both"/>
        <w:rPr>
          <w:b/>
          <w:szCs w:val="28"/>
          <w:lang w:val="vi-VN"/>
        </w:rPr>
      </w:pPr>
      <w:r w:rsidRPr="00A67545">
        <w:rPr>
          <w:b/>
          <w:szCs w:val="28"/>
          <w:lang w:val="vi-VN"/>
        </w:rPr>
        <w:t>2. Khu vực đồng Euro</w:t>
      </w:r>
    </w:p>
    <w:p w14:paraId="4EB10CAD" w14:textId="759FA86D" w:rsidR="00836B85" w:rsidRPr="00A67545" w:rsidRDefault="00836B85" w:rsidP="00836B85">
      <w:pPr>
        <w:spacing w:before="120" w:after="120" w:line="240" w:lineRule="auto"/>
        <w:ind w:firstLine="720"/>
        <w:jc w:val="both"/>
      </w:pPr>
      <w:r w:rsidRPr="00A67545">
        <w:rPr>
          <w:i/>
        </w:rPr>
        <w:t>Theo UN</w:t>
      </w:r>
      <w:r w:rsidRPr="00A67545">
        <w:t xml:space="preserve">, tăng trưởng kinh tế khu vực đồng Euro sẽ dần phục hồi trong năm 2025 và 2026 sau khi hoạt động kinh tế yếu hơn dự kiến trong năm 2024. Lạm phát thấp hơn, điều kiện tài chính nới lỏng và thị trường lao động phục hồi ​​sẽ hỗ trợ tiêu dùng và đầu tư tư nhân. Tuy nhiên, khả năng củng cố tài chính yếu, đi kèm với bất </w:t>
      </w:r>
      <w:r w:rsidRPr="00A67545">
        <w:lastRenderedPageBreak/>
        <w:t>ổn địa chính trị và những thách thức lâu dài về mặt cấu trúc như già hóa dân số và tăng năng suất yếu sẽ hạn chế tốc độ tăng trưởng của khu vực này. Theo đó, UN dự báo tăng trưởng GDP khu vực đồng Euro đạt 1,1% năm 2025, điều chỉnh giảm 0,3 điểm phần trăm so với dự báo trong tháng 6/2024, sau khi đạt 0,7% năm 2024.</w:t>
      </w:r>
    </w:p>
    <w:p w14:paraId="794020CF" w14:textId="77777777" w:rsidR="00836B85" w:rsidRPr="00A67545" w:rsidRDefault="00836B85" w:rsidP="00836B85">
      <w:pPr>
        <w:spacing w:before="120" w:after="120" w:line="240" w:lineRule="auto"/>
        <w:ind w:firstLine="720"/>
        <w:jc w:val="both"/>
        <w:rPr>
          <w:spacing w:val="-4"/>
        </w:rPr>
      </w:pPr>
      <w:r w:rsidRPr="00A67545">
        <w:rPr>
          <w:i/>
          <w:spacing w:val="-4"/>
        </w:rPr>
        <w:t>IMF</w:t>
      </w:r>
      <w:r w:rsidRPr="00A67545">
        <w:rPr>
          <w:spacing w:val="-4"/>
        </w:rPr>
        <w:t xml:space="preserve"> dự báo tăng trưởng kinh tế khu vực đồng Euro năm 2025 sẽ phục hồi với tốc độ chậm hơn so với dự báo đưa ra trong tháng 10/2024 do căng thẳng địa chính trị tiếp tục gây áp lực lên tâm lý người dân. Động lực phát triển yếu hơn dự kiến ​​vào cuối năm 2024, đặc biệt trong lĩnh vực sản xuất, bất ổn chính trị và chính sách ngày càng tăng là những nguyên nhân khiến IMF điều chỉnh giảm 0,2 điểm phần trăm dự báo tăng trưởng GDP năm 2025, đạt 1,0%.</w:t>
      </w:r>
    </w:p>
    <w:p w14:paraId="2C37AED8" w14:textId="77777777" w:rsidR="00836B85" w:rsidRPr="00A67545" w:rsidRDefault="00836B85" w:rsidP="00836B85">
      <w:pPr>
        <w:spacing w:before="120" w:after="120" w:line="240" w:lineRule="auto"/>
        <w:ind w:firstLine="720"/>
        <w:jc w:val="both"/>
        <w:rPr>
          <w:spacing w:val="-4"/>
        </w:rPr>
      </w:pPr>
      <w:r w:rsidRPr="00A67545">
        <w:rPr>
          <w:i/>
          <w:spacing w:val="-4"/>
        </w:rPr>
        <w:t>OECD</w:t>
      </w:r>
      <w:r w:rsidRPr="00A67545">
        <w:rPr>
          <w:spacing w:val="-4"/>
        </w:rPr>
        <w:t xml:space="preserve"> nhận định khu vực đồng Euro sẽ ít chịu tác động kinh tế trực tiếp từ các biện pháp thuế quan do chính quyền Donald Trump áp đặt đối với hàng nhập khẩu nhưng gia tăng bất ổn về địa chính trị và chính sách vẫn có khả năng kìm hãm tăng trưởng của khu vực này. OECD dự báo tăng trưởng của khu vực đồng Euro ​​sẽ tăng nhẹ từ 0,7% năm 2024 lên 1,0% năm 2025, điều chỉnh giảm 0,3 điểm phần trăm so với dự báo trong tháng 12/2024.</w:t>
      </w:r>
    </w:p>
    <w:p w14:paraId="6F3B61DE" w14:textId="20CA4373" w:rsidR="00836B85" w:rsidRPr="00A67545" w:rsidRDefault="00836B85" w:rsidP="00836B85">
      <w:pPr>
        <w:spacing w:before="120" w:after="120" w:line="240" w:lineRule="auto"/>
        <w:ind w:firstLine="720"/>
        <w:jc w:val="both"/>
        <w:rPr>
          <w:spacing w:val="-4"/>
        </w:rPr>
      </w:pPr>
      <w:r w:rsidRPr="00A67545">
        <w:rPr>
          <w:i/>
          <w:spacing w:val="-4"/>
        </w:rPr>
        <w:t>Theo WB</w:t>
      </w:r>
      <w:r w:rsidRPr="00A67545">
        <w:rPr>
          <w:spacing w:val="-4"/>
        </w:rPr>
        <w:t>,</w:t>
      </w:r>
      <w:r w:rsidRPr="00A67545" w:rsidDel="003F3D46">
        <w:rPr>
          <w:spacing w:val="-4"/>
        </w:rPr>
        <w:t xml:space="preserve"> </w:t>
      </w:r>
      <w:r w:rsidRPr="00A67545">
        <w:rPr>
          <w:spacing w:val="-4"/>
        </w:rPr>
        <w:t>tăng trưởng kinh tế khu vực đồng Euro năm 2024 yếu do tiêu dùng, đầu tư kinh doanh và hoạt động công nghiệp yếu, trong đó hoạt động công nghiệp phần nào phản ánh tác động làm giảm sức cạnh tranh xuất khẩu và tiêu dùng do giá năng lượng cao. Các chỉ số tần suất cao cho thấy sản xuất công nghiệp và sản xuất chế tạo vẫn yếu, đặc biệt là ở Đức chiếm gần 30% GDP của khu vực đồng Euro. Do đó, tăng trưởng GDP năm 2024 của khu vực đồng Euro chỉ đạt 0,7%. Năm 2025, triển vọng của khu vực này vẫn chưa chắc chắn, chủ yếu dựa trên sự cải thiện về tăng đầu tư và thương mại, trong khi hai lĩnh vực này đều yếu kém trong những năm gần đây. Sau khi suy giảm trong năm 2024, đầu tư dự kiến ​​sẽ được hưởng lợi từ việc lãi suất tiếp tục giảm. Nếu không có thay đổi lớn nào trong quan hệ thương mại với Hoa Kỳ, tăng trưởng thương mại dự kiến ​​sẽ vững chắc, khi xuất khẩu tăng cùng với hoạt động sản xuất toàn cầu đang cải thiện và nhập khẩu được hỗ trợ bởi nhu cầu trong nước tăng mạnh. Tăng trưởng của khu vực đồng Euro dự kiến ​​sẽ được hỗ trợ bởi tăng trưởng của lĩnh vực dịch vụ, chi tiêu dùng khi thu nhập thực tế tiếp tục phục hồi sau sự suy giảm trước đó do lạm phát cao. WB dự báo tăng trưởng khu vực đồng Euro năm 2025 đạt 1,0%, điều chỉnh giảm 0,4 điểm phần trăm so với dự báo đưa ra trong tháng 6/2024.</w:t>
      </w:r>
    </w:p>
    <w:p w14:paraId="542673D7" w14:textId="77777777" w:rsidR="00836B85" w:rsidRPr="00A67545" w:rsidRDefault="00836B85" w:rsidP="00836B85">
      <w:pPr>
        <w:spacing w:before="120" w:after="120" w:line="240" w:lineRule="auto"/>
        <w:ind w:firstLine="720"/>
        <w:jc w:val="both"/>
        <w:rPr>
          <w:spacing w:val="-4"/>
        </w:rPr>
      </w:pPr>
      <w:r w:rsidRPr="00A67545">
        <w:rPr>
          <w:spacing w:val="-4"/>
        </w:rPr>
        <w:t xml:space="preserve">Chỉ số PMI tổng hợp của khu vực đồng Euro trong tháng 3/2025 đạt 50,4 điểm, tăng nhẹ 0,2 điểm so với tháng 02/2025, đánh dấu tháng thứ ba liên tiếp tăng trưởng khiêm tốn của hoạt động dịch vụ trong toàn khu vực, sản lượng sản xuất đã tăng trưởng trở lại sau hai năm đình trệ, ghi nhận mức tăng mạnh nhất kể từ tháng 5/2022. PMI chế biến chế tạo đạt 48,7 điểm trong tháng 3/2025, tăng 1,1 điểm so với mức 47,6 điểm của tháng 02/2025. Chỉ số PMI dịch vụ trong tháng 3/2025 đạt 50,4 điểm, giảm 0,2 điểm so với tháng 02/2025 (50,6 điểm). Mặc dù đây là tháng thứ tư liên tiếp lĩnh vực dịch vụ đạt tăng trưởng nhưng tốc độ giảm dần, đi kèm với đơn đặt hàng mới giảm là những nguyên nhân khiến chỉ số PMI dịch vụ giảm. </w:t>
      </w:r>
    </w:p>
    <w:p w14:paraId="6236D20D" w14:textId="77777777" w:rsidR="00836B85" w:rsidRPr="00A67545" w:rsidRDefault="00836B85" w:rsidP="00836B85">
      <w:pPr>
        <w:spacing w:before="120" w:after="120" w:line="240" w:lineRule="auto"/>
        <w:ind w:firstLine="720"/>
        <w:jc w:val="both"/>
        <w:rPr>
          <w:spacing w:val="-4"/>
        </w:rPr>
      </w:pPr>
      <w:r w:rsidRPr="00A67545">
        <w:rPr>
          <w:i/>
          <w:spacing w:val="-4"/>
        </w:rPr>
        <w:t>Theo Trading Economics</w:t>
      </w:r>
      <w:r w:rsidRPr="00A67545">
        <w:rPr>
          <w:spacing w:val="-4"/>
        </w:rPr>
        <w:t>, GDP Quý I/2025 của khu vực đồng Euro dự báo tăng 0,2% so với Quý IV/2024 và tăng 0,9% so với cùng kỳ năm trước.</w:t>
      </w:r>
    </w:p>
    <w:p w14:paraId="6C25197B" w14:textId="77777777" w:rsidR="00836B85" w:rsidRPr="00A67545" w:rsidRDefault="00836B85" w:rsidP="00836B85">
      <w:pPr>
        <w:shd w:val="clear" w:color="auto" w:fill="FFFFFF"/>
        <w:spacing w:before="120" w:after="240" w:line="240" w:lineRule="auto"/>
        <w:jc w:val="center"/>
        <w:rPr>
          <w:b/>
          <w:szCs w:val="28"/>
        </w:rPr>
      </w:pPr>
      <w:r w:rsidRPr="00A67545">
        <w:rPr>
          <w:b/>
          <w:szCs w:val="28"/>
        </w:rPr>
        <w:lastRenderedPageBreak/>
        <w:t xml:space="preserve">Hình 3. Tăng trưởng của khu vực đồng Euro giai đoạn 2020-2024 và dự báo tăng trưởng năm 2025 </w:t>
      </w:r>
      <w:r w:rsidRPr="00A67545">
        <w:rPr>
          <w:b/>
          <w:spacing w:val="-4"/>
        </w:rPr>
        <w:t>theo</w:t>
      </w:r>
      <w:r w:rsidRPr="00A67545">
        <w:rPr>
          <w:b/>
          <w:spacing w:val="-4"/>
          <w:lang w:val="vi-VN"/>
        </w:rPr>
        <w:t xml:space="preserve"> các tổ chức quốc tế</w:t>
      </w:r>
      <w:r w:rsidRPr="00A67545">
        <w:rPr>
          <w:b/>
          <w:szCs w:val="28"/>
        </w:rPr>
        <w:t xml:space="preserve">  </w:t>
      </w:r>
    </w:p>
    <w:p w14:paraId="664F7EF0" w14:textId="304CB3C5" w:rsidR="00836B85" w:rsidRPr="00A67545" w:rsidRDefault="00CB6BF5" w:rsidP="00836B85">
      <w:pPr>
        <w:shd w:val="clear" w:color="auto" w:fill="FFFFFF"/>
        <w:spacing w:before="120" w:after="240" w:line="240" w:lineRule="auto"/>
        <w:jc w:val="center"/>
        <w:rPr>
          <w:b/>
          <w:szCs w:val="28"/>
        </w:rPr>
      </w:pPr>
      <w:r>
        <w:rPr>
          <w:b/>
          <w:noProof/>
          <w:szCs w:val="28"/>
        </w:rPr>
        <w:drawing>
          <wp:inline distT="0" distB="0" distL="0" distR="0" wp14:anchorId="5A3BDB06" wp14:editId="5602CB26">
            <wp:extent cx="3493433" cy="173168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6385" cy="1767848"/>
                    </a:xfrm>
                    <a:prstGeom prst="rect">
                      <a:avLst/>
                    </a:prstGeom>
                    <a:noFill/>
                  </pic:spPr>
                </pic:pic>
              </a:graphicData>
            </a:graphic>
          </wp:inline>
        </w:drawing>
      </w:r>
    </w:p>
    <w:p w14:paraId="45DA4431" w14:textId="77777777" w:rsidR="00836B85" w:rsidRPr="00A67545" w:rsidRDefault="00836B85" w:rsidP="00836B85">
      <w:pPr>
        <w:shd w:val="clear" w:color="auto" w:fill="FFFFFF"/>
        <w:spacing w:before="120" w:after="240" w:line="240" w:lineRule="auto"/>
        <w:jc w:val="right"/>
        <w:rPr>
          <w:i/>
          <w:sz w:val="24"/>
          <w:szCs w:val="28"/>
        </w:rPr>
      </w:pPr>
      <w:r w:rsidRPr="00A67545">
        <w:rPr>
          <w:i/>
          <w:sz w:val="24"/>
          <w:szCs w:val="28"/>
        </w:rPr>
        <w:t>Nguồn: UN, IMF, OECD, WB</w:t>
      </w:r>
    </w:p>
    <w:p w14:paraId="6176E38A" w14:textId="2C76D37A" w:rsidR="00836B85" w:rsidRPr="00A67545" w:rsidRDefault="00836B85" w:rsidP="00836B85">
      <w:pPr>
        <w:tabs>
          <w:tab w:val="left" w:pos="9072"/>
        </w:tabs>
        <w:spacing w:before="120" w:after="120" w:line="240" w:lineRule="auto"/>
        <w:ind w:firstLine="720"/>
        <w:jc w:val="both"/>
        <w:rPr>
          <w:spacing w:val="-4"/>
        </w:rPr>
      </w:pPr>
      <w:r w:rsidRPr="00A67545">
        <w:rPr>
          <w:spacing w:val="-4"/>
        </w:rPr>
        <w:t>Như vậy, các tổ chức quốc tế IMF, OECD, và WB đều dự báo tăng trưởng GDP năm 2025 của khu vực đồng Euro đạt 1,0%, tăng khoảng 0,2 - 0,3 điểm phần trăm so với tăng trưởng GDP năm 2024 (0,7%-0,8%). Riêng UN dự báo tăng trưởng năm 2025 của khu vực này đạt 1,1%. Mặc dù tăng trưởng của khu vực này cao hơn năm 2024 nhưng các tổ chức đều điều chỉnh giảm dự báo tăng trưởng năm 2025 khoảng 0,</w:t>
      </w:r>
      <w:r w:rsidR="00832AA5">
        <w:rPr>
          <w:spacing w:val="-4"/>
        </w:rPr>
        <w:t>2</w:t>
      </w:r>
      <w:r w:rsidRPr="00A67545">
        <w:rPr>
          <w:spacing w:val="-4"/>
        </w:rPr>
        <w:t xml:space="preserve"> - 0,4 điểm phần trăm so với dự báo đưa ra trong năm 2024.</w:t>
      </w:r>
    </w:p>
    <w:p w14:paraId="290419DF" w14:textId="77777777" w:rsidR="00836B85" w:rsidRPr="00A67545" w:rsidRDefault="00836B85" w:rsidP="00836B85">
      <w:pPr>
        <w:tabs>
          <w:tab w:val="left" w:pos="9072"/>
        </w:tabs>
        <w:spacing w:before="120" w:after="120" w:line="240" w:lineRule="auto"/>
        <w:ind w:firstLine="720"/>
        <w:jc w:val="both"/>
        <w:rPr>
          <w:b/>
          <w:szCs w:val="28"/>
          <w:lang w:val="vi-VN"/>
        </w:rPr>
      </w:pPr>
      <w:r w:rsidRPr="00A67545">
        <w:rPr>
          <w:spacing w:val="-4"/>
        </w:rPr>
        <w:t xml:space="preserve"> </w:t>
      </w:r>
      <w:r w:rsidRPr="00A67545">
        <w:rPr>
          <w:b/>
          <w:szCs w:val="28"/>
          <w:lang w:val="vi-VN"/>
        </w:rPr>
        <w:t>3. Nhật Bản</w:t>
      </w:r>
    </w:p>
    <w:p w14:paraId="1D6159B4" w14:textId="3A3F12BB" w:rsidR="00836B85" w:rsidRPr="00A67545" w:rsidRDefault="00836B85" w:rsidP="00836B85">
      <w:pPr>
        <w:spacing w:before="120" w:after="120" w:line="240" w:lineRule="auto"/>
        <w:ind w:firstLine="720"/>
        <w:jc w:val="both"/>
        <w:rPr>
          <w:szCs w:val="28"/>
        </w:rPr>
      </w:pPr>
      <w:r w:rsidRPr="00A67545">
        <w:rPr>
          <w:i/>
          <w:szCs w:val="28"/>
        </w:rPr>
        <w:t>Theo WB</w:t>
      </w:r>
      <w:r w:rsidRPr="00A67545">
        <w:rPr>
          <w:szCs w:val="28"/>
        </w:rPr>
        <w:t xml:space="preserve">, kinh tế Nhật Bản năm 2024 đình trệ, tăng trưởng GDP đạt 0,0% do tình trạng đóng cửa nhà máy ô tô lâu hơn dự kiến ​​và chi tiêu dùng thấp trong bối cảnh niềm tin của người tiêu dùng bị kìm hãm, mặc dù tiền lương tăng. WB dự báo tăng trưởng GDP </w:t>
      </w:r>
      <w:r w:rsidR="00B11817">
        <w:rPr>
          <w:szCs w:val="28"/>
        </w:rPr>
        <w:t xml:space="preserve">năm 2025 </w:t>
      </w:r>
      <w:r w:rsidRPr="00A67545">
        <w:rPr>
          <w:szCs w:val="28"/>
        </w:rPr>
        <w:t>của quốc gia này đạt 1,2% khi vốn đầu tư tăng và chi tiêu tiêu dùng cải thiện theo mức tăng lương, điều chỉnh tăng 0,2 điểm phần trăm so với dự báo trong tháng 6/2024.</w:t>
      </w:r>
    </w:p>
    <w:p w14:paraId="3ABB1220" w14:textId="6340C5E0" w:rsidR="00836B85" w:rsidRPr="00A67545" w:rsidRDefault="00836B85" w:rsidP="00836B85">
      <w:pPr>
        <w:spacing w:before="120" w:after="120" w:line="240" w:lineRule="auto"/>
        <w:ind w:firstLine="720"/>
        <w:jc w:val="both"/>
        <w:rPr>
          <w:szCs w:val="28"/>
        </w:rPr>
      </w:pPr>
      <w:r w:rsidRPr="00A67545">
        <w:rPr>
          <w:i/>
          <w:szCs w:val="28"/>
        </w:rPr>
        <w:t>OECD</w:t>
      </w:r>
      <w:r w:rsidRPr="00A67545">
        <w:rPr>
          <w:szCs w:val="28"/>
        </w:rPr>
        <w:t xml:space="preserve"> nhận định tiền lương và lợi nhuận doanh nghiệp tăng trưởng mạnh là </w:t>
      </w:r>
      <w:r w:rsidRPr="00A67545">
        <w:rPr>
          <w:spacing w:val="-4"/>
        </w:rPr>
        <w:t xml:space="preserve">động lực thúc đẩy hoạt động kinh tế </w:t>
      </w:r>
      <w:r w:rsidRPr="00A67545">
        <w:rPr>
          <w:szCs w:val="28"/>
        </w:rPr>
        <w:t xml:space="preserve">trong năm 2025 </w:t>
      </w:r>
      <w:r w:rsidRPr="00A67545">
        <w:rPr>
          <w:spacing w:val="-4"/>
        </w:rPr>
        <w:t>của Nhật Bản, giúp tăng trưởng GDP của quốc gia này tăng từ 0,1% năm 2024 lên 1,1% năm 2025. Mặc dù dự báo tăng trưởng GDP của Nhật Bản năm 2025 cao hơn nhiều so với năm 2024 nhưng OECD vẫn điều chỉnh giảm 0,4 điểm phần trăm so với dự báo trong tháng 12/2024.</w:t>
      </w:r>
      <w:r w:rsidRPr="00A67545">
        <w:rPr>
          <w:szCs w:val="28"/>
        </w:rPr>
        <w:t xml:space="preserve"> </w:t>
      </w:r>
    </w:p>
    <w:p w14:paraId="35B33742" w14:textId="77777777" w:rsidR="00836B85" w:rsidRPr="00A67545" w:rsidRDefault="00836B85" w:rsidP="00836B85">
      <w:pPr>
        <w:spacing w:before="120" w:after="120" w:line="240" w:lineRule="auto"/>
        <w:ind w:firstLine="720"/>
        <w:jc w:val="both"/>
        <w:rPr>
          <w:szCs w:val="28"/>
        </w:rPr>
      </w:pPr>
      <w:r w:rsidRPr="00A67545">
        <w:rPr>
          <w:i/>
          <w:szCs w:val="28"/>
        </w:rPr>
        <w:t>IMF</w:t>
      </w:r>
      <w:r w:rsidRPr="00A67545">
        <w:rPr>
          <w:szCs w:val="28"/>
        </w:rPr>
        <w:t xml:space="preserve"> dự báo tốc độ tăng trưởng kinh tế của Nhật Bản phục hồi mạnh mẽ từ mức tăng trưởng -0,2% năm 2024 lên mức 1,1% năm 2025, giữ nguyên mức dự báo đã đưa ra trong tháng 10/2024. </w:t>
      </w:r>
    </w:p>
    <w:p w14:paraId="375BAC74" w14:textId="77777777" w:rsidR="00836B85" w:rsidRPr="00A67545" w:rsidRDefault="00836B85" w:rsidP="00836B85">
      <w:pPr>
        <w:spacing w:before="120" w:after="120" w:line="240" w:lineRule="auto"/>
        <w:ind w:firstLine="720"/>
        <w:jc w:val="both"/>
        <w:rPr>
          <w:spacing w:val="-4"/>
        </w:rPr>
      </w:pPr>
      <w:r w:rsidRPr="00A67545">
        <w:rPr>
          <w:i/>
          <w:szCs w:val="28"/>
        </w:rPr>
        <w:t>Theo UN</w:t>
      </w:r>
      <w:r w:rsidRPr="00A67545">
        <w:rPr>
          <w:szCs w:val="28"/>
        </w:rPr>
        <w:t xml:space="preserve">, nền kinh tế Nhật Bản đã sẵn sàng cho sự phục hồi tăng trưởng trong năm 2025. </w:t>
      </w:r>
      <w:r w:rsidRPr="00A67545">
        <w:rPr>
          <w:spacing w:val="-4"/>
        </w:rPr>
        <w:t>Tăng trưởng tiêu dùng tư nhân dự báo sẽ phục hồi dần trong khi đầu tư được tăng cường. Mặc dù Ngân hàng Nhật Bản đang phải đối mặt với tình thế tiến thoái lưỡng nan về chính sách, đó là thắt chặt tiền tệ quá mức có thể đẩy nền kinh tế trở lại tình trạng giảm phát bằng cách làm chậm tăng trưởng tiền lương, vốn chỉ mới bắt đầu tăng tốc gần đây, nhưng tăng trưởng GDP của quốc gia này được dự báo sẽ tăng từ mức -0,2% năm 2024 lên 1,0% năm 2025, điều chỉnh giảm 0,1 điểm phần trăm so với dự báo trong tháng 6/2024.</w:t>
      </w:r>
    </w:p>
    <w:p w14:paraId="52F3B0F0" w14:textId="77777777" w:rsidR="00836B85" w:rsidRPr="00A67545" w:rsidRDefault="00836B85" w:rsidP="00836B85">
      <w:pPr>
        <w:spacing w:before="120" w:after="120" w:line="240" w:lineRule="auto"/>
        <w:ind w:firstLine="720"/>
        <w:jc w:val="both"/>
        <w:rPr>
          <w:szCs w:val="28"/>
        </w:rPr>
      </w:pPr>
      <w:r w:rsidRPr="00A67545">
        <w:rPr>
          <w:szCs w:val="28"/>
        </w:rPr>
        <w:lastRenderedPageBreak/>
        <w:t>Chỉ số PMI tổng hợp tháng 3/2025 của Nhật Bản giảm xuống 48,5 điểm, giảm 3,5 điểm so với mức 52,0 điểm trong tháng 02/2025, phản ánh tháng giảm đầu tiên của hoạt động kinh tế khu vực tư nhân kể từ tháng 10/2024, đồng thời là tháng giảm mạnh nhất của khu vực này kể từ tháng 02/2022. Khu vực dịch vụ lần đầu giảm trong 5 tháng qua trong khi lĩnh vực chế biến chế tạo ghi nhận tháng thứ chín giảm liên tiếp kết hợp với việc đơn đặt hàng mới giảm sau khi tăng trưởng trong tháng 02/2025 là những nguyên nhân khiến chỉ số PMI tổng hợp giảm mạnh cũng như các chỉ số PMI thành phần (PMI chế biến chế tạo đạt 48,3 điểm, giảm 0,7 điểm so với mức 49,0 điểm trong tháng 02/2025, PMI dịch vụ giảm từ mức 53,7 điểm trong tháng 02/2025 xuống còn 49,5 điểm trong tháng 3/2025).</w:t>
      </w:r>
    </w:p>
    <w:p w14:paraId="69D7B603" w14:textId="77777777" w:rsidR="00836B85" w:rsidRPr="00A67545" w:rsidRDefault="00836B85" w:rsidP="00836B85">
      <w:pPr>
        <w:spacing w:before="120" w:after="120" w:line="240" w:lineRule="auto"/>
        <w:ind w:firstLine="720"/>
        <w:jc w:val="both"/>
        <w:rPr>
          <w:szCs w:val="28"/>
        </w:rPr>
      </w:pPr>
      <w:r w:rsidRPr="00A67545">
        <w:rPr>
          <w:i/>
          <w:szCs w:val="28"/>
        </w:rPr>
        <w:t>Trading Economics</w:t>
      </w:r>
      <w:r w:rsidRPr="00A67545">
        <w:rPr>
          <w:szCs w:val="28"/>
        </w:rPr>
        <w:t xml:space="preserve"> dự báo GDP Quý I/2025 của nền kinh tế Nhật Bản tăng 0,6% so với quý trước và tăng 1,0% so với cùng kỳ năm trước.</w:t>
      </w:r>
    </w:p>
    <w:p w14:paraId="136E6E3B" w14:textId="77777777" w:rsidR="00836B85" w:rsidRPr="00A67545" w:rsidRDefault="00836B85" w:rsidP="00836B85">
      <w:pPr>
        <w:spacing w:before="120" w:after="120" w:line="240" w:lineRule="auto"/>
        <w:jc w:val="center"/>
        <w:rPr>
          <w:b/>
          <w:szCs w:val="28"/>
        </w:rPr>
      </w:pPr>
      <w:r w:rsidRPr="00A67545">
        <w:rPr>
          <w:b/>
          <w:szCs w:val="28"/>
        </w:rPr>
        <w:t xml:space="preserve">Hình 4. Tăng trưởng của Nhật Bản giai đoạn 2020-2024 và dự báo tăng trưởng năm 2025 </w:t>
      </w:r>
      <w:r w:rsidRPr="00A67545">
        <w:rPr>
          <w:b/>
          <w:spacing w:val="-4"/>
        </w:rPr>
        <w:t>theo</w:t>
      </w:r>
      <w:r w:rsidRPr="00A67545">
        <w:rPr>
          <w:b/>
          <w:spacing w:val="-4"/>
          <w:lang w:val="vi-VN"/>
        </w:rPr>
        <w:t xml:space="preserve"> các tổ chức quốc tế</w:t>
      </w:r>
      <w:r w:rsidRPr="00A67545">
        <w:rPr>
          <w:b/>
          <w:szCs w:val="28"/>
        </w:rPr>
        <w:t xml:space="preserve"> </w:t>
      </w:r>
    </w:p>
    <w:p w14:paraId="0E877872" w14:textId="3346650A" w:rsidR="00836B85" w:rsidRPr="00A67545" w:rsidRDefault="00CB6BF5" w:rsidP="00836B85">
      <w:pPr>
        <w:spacing w:before="120" w:after="120" w:line="240" w:lineRule="auto"/>
        <w:jc w:val="center"/>
        <w:rPr>
          <w:b/>
          <w:szCs w:val="28"/>
        </w:rPr>
      </w:pPr>
      <w:r>
        <w:rPr>
          <w:b/>
          <w:noProof/>
          <w:szCs w:val="28"/>
        </w:rPr>
        <w:drawing>
          <wp:inline distT="0" distB="0" distL="0" distR="0" wp14:anchorId="31696E0F" wp14:editId="3DB1B145">
            <wp:extent cx="3415162" cy="1898839"/>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7041" cy="1916564"/>
                    </a:xfrm>
                    <a:prstGeom prst="rect">
                      <a:avLst/>
                    </a:prstGeom>
                    <a:noFill/>
                  </pic:spPr>
                </pic:pic>
              </a:graphicData>
            </a:graphic>
          </wp:inline>
        </w:drawing>
      </w:r>
    </w:p>
    <w:p w14:paraId="32E4613D" w14:textId="77777777" w:rsidR="00836B85" w:rsidRPr="00A67545" w:rsidRDefault="00836B85" w:rsidP="00836B85">
      <w:pPr>
        <w:spacing w:before="120" w:after="120" w:line="240" w:lineRule="auto"/>
        <w:jc w:val="right"/>
        <w:rPr>
          <w:i/>
          <w:sz w:val="24"/>
          <w:szCs w:val="28"/>
        </w:rPr>
      </w:pPr>
      <w:r w:rsidRPr="00A67545">
        <w:rPr>
          <w:i/>
          <w:sz w:val="24"/>
          <w:szCs w:val="28"/>
        </w:rPr>
        <w:t>Nguồn: WB, OECD, IMF, UN</w:t>
      </w:r>
    </w:p>
    <w:p w14:paraId="7E733B38" w14:textId="77777777" w:rsidR="00836B85" w:rsidRPr="00A67545" w:rsidRDefault="00836B85" w:rsidP="00836B85">
      <w:pPr>
        <w:spacing w:before="120" w:after="120" w:line="240" w:lineRule="auto"/>
        <w:ind w:firstLine="720"/>
        <w:jc w:val="both"/>
        <w:rPr>
          <w:szCs w:val="28"/>
        </w:rPr>
      </w:pPr>
      <w:r w:rsidRPr="00A67545">
        <w:rPr>
          <w:szCs w:val="28"/>
        </w:rPr>
        <w:t>Theo biểu đồ trên, các tổ chức quốc tế như WB, OECD, IMF và UN đều đưa ra nhận định khả quan về nền kinh tế Nhật Bản năm 2025, dự báo phục hồi ở mức 1,0% -1,2% sau khi tăng trưởng kinh tế của quốc gia này đình trệ trong năm 2024.</w:t>
      </w:r>
    </w:p>
    <w:p w14:paraId="25B3E049" w14:textId="77777777" w:rsidR="00836B85" w:rsidRPr="00A67545" w:rsidRDefault="00836B85" w:rsidP="009C0D4E">
      <w:pPr>
        <w:spacing w:before="140" w:after="120" w:line="240" w:lineRule="auto"/>
        <w:ind w:firstLine="720"/>
        <w:jc w:val="both"/>
        <w:rPr>
          <w:b/>
          <w:szCs w:val="28"/>
          <w:lang w:val="vi-VN"/>
        </w:rPr>
      </w:pPr>
      <w:r w:rsidRPr="00A67545">
        <w:rPr>
          <w:b/>
          <w:szCs w:val="28"/>
          <w:lang w:val="vi-VN"/>
        </w:rPr>
        <w:t>4. Trung Quốc</w:t>
      </w:r>
    </w:p>
    <w:p w14:paraId="00B01DA0" w14:textId="3E44A71B" w:rsidR="00836B85" w:rsidRPr="00A67545" w:rsidRDefault="00836B85" w:rsidP="009C0D4E">
      <w:pPr>
        <w:tabs>
          <w:tab w:val="left" w:pos="567"/>
        </w:tabs>
        <w:spacing w:before="140" w:after="120" w:line="240" w:lineRule="auto"/>
        <w:ind w:firstLine="720"/>
        <w:jc w:val="both"/>
        <w:rPr>
          <w:spacing w:val="-4"/>
          <w:szCs w:val="28"/>
        </w:rPr>
      </w:pPr>
      <w:r w:rsidRPr="00A67545">
        <w:rPr>
          <w:i/>
          <w:spacing w:val="-4"/>
          <w:szCs w:val="28"/>
        </w:rPr>
        <w:t>Theo UN</w:t>
      </w:r>
      <w:r w:rsidRPr="00A67545">
        <w:rPr>
          <w:spacing w:val="-4"/>
          <w:szCs w:val="28"/>
        </w:rPr>
        <w:t xml:space="preserve">, triển vọng tăng trưởng của nền kinh tế Trung Quốc đang giảm dần, với mức tăng trưởng đạt 4,9% năm 2024 và dự báo đạt 4,8% năm 2025, điều chỉnh tăng 0,3 điểm phần trăm so với dự báo trong tháng 6/2024. Đầu tư công và </w:t>
      </w:r>
      <w:r w:rsidR="00832AA5">
        <w:rPr>
          <w:spacing w:val="-4"/>
          <w:szCs w:val="28"/>
        </w:rPr>
        <w:t>hoạt động</w:t>
      </w:r>
      <w:r w:rsidRPr="00A67545">
        <w:rPr>
          <w:spacing w:val="-4"/>
          <w:szCs w:val="28"/>
        </w:rPr>
        <w:t xml:space="preserve"> xuất khẩu mạnh mẽ bù đắp một phần cho tăng trưởng tiêu dùng chậm lại và sự yếu kém kéo dài trong lĩnh vực bất động sản. Chính quyền Trung Quốc đã tăng cường hỗ trợ chính sách để thúc đẩy thị trường bất động sản, giải quyết các thách thức về nợ của chính quyền địa phương và thúc đẩy nhu cầu trong nước. Dân số giảm, căng thẳng thương mại và công nghệ gia tăng, nếu không được giải quyết, có thể làm suy yếu triển vọng tăng trưởng trung hạn.</w:t>
      </w:r>
    </w:p>
    <w:p w14:paraId="7F6D3313" w14:textId="77777777" w:rsidR="00836B85" w:rsidRPr="00A67545" w:rsidRDefault="00836B85" w:rsidP="009C0D4E">
      <w:pPr>
        <w:tabs>
          <w:tab w:val="left" w:pos="567"/>
        </w:tabs>
        <w:spacing w:before="140" w:after="120" w:line="240" w:lineRule="auto"/>
        <w:ind w:firstLine="720"/>
        <w:jc w:val="both"/>
        <w:rPr>
          <w:spacing w:val="-4"/>
          <w:szCs w:val="28"/>
        </w:rPr>
      </w:pPr>
      <w:r w:rsidRPr="00A67545">
        <w:rPr>
          <w:i/>
          <w:spacing w:val="-4"/>
          <w:szCs w:val="28"/>
        </w:rPr>
        <w:t>OECD</w:t>
      </w:r>
      <w:r w:rsidRPr="00A67545">
        <w:rPr>
          <w:spacing w:val="-4"/>
          <w:szCs w:val="28"/>
        </w:rPr>
        <w:t xml:space="preserve"> dự báo tăng trưởng kinh tế Trung Quốc đạt 4,8% năm 2025, điều chỉnh tăng 0,1 điểm phần trăm so với dự báo đưa ra trong tháng 12/2024 nhưng vẫn thấp hơn 0,2 điểm phần trăm so với  mức tăng trưởng 5,0% của năm 2024, mặc dù những tác động tiêu cực của chính sách thuế quan phần lớn đã được bù đắp bằng sự hỗ trợ chính sách mạnh mẽ hơn.</w:t>
      </w:r>
    </w:p>
    <w:p w14:paraId="1B4D69B3" w14:textId="77777777" w:rsidR="00836B85" w:rsidRPr="00A67545" w:rsidRDefault="00836B85" w:rsidP="009C0D4E">
      <w:pPr>
        <w:tabs>
          <w:tab w:val="left" w:pos="567"/>
        </w:tabs>
        <w:spacing w:before="140" w:after="120" w:line="240" w:lineRule="auto"/>
        <w:ind w:firstLine="720"/>
        <w:jc w:val="both"/>
        <w:rPr>
          <w:spacing w:val="-4"/>
          <w:szCs w:val="28"/>
        </w:rPr>
      </w:pPr>
      <w:r w:rsidRPr="00A67545">
        <w:rPr>
          <w:i/>
          <w:spacing w:val="-4"/>
          <w:szCs w:val="28"/>
        </w:rPr>
        <w:lastRenderedPageBreak/>
        <w:t>IMF</w:t>
      </w:r>
      <w:r w:rsidRPr="00A67545">
        <w:rPr>
          <w:spacing w:val="-4"/>
          <w:szCs w:val="28"/>
        </w:rPr>
        <w:t xml:space="preserve"> điều chỉnh tăng nhẹ 0,1 điểm phần trăm tăng trưởng kinh tế Trung Quốc năm 2025 so với dự báo trong tháng 10/2024, lên mức 4,6%. Điều chỉnh này phản ánh những kết quả tích cực được chuyển tiếp từ năm 2024 sang và gói tài chính được công bố vào tháng 11/2024 bù đắp phần lớn cho tác động tiêu cực lên đầu tư do sự bất ổn chính sách thương mại gia tăng và sự đình trệ của thị trường bất động sản. </w:t>
      </w:r>
    </w:p>
    <w:p w14:paraId="03DCB88B" w14:textId="77777777" w:rsidR="00836B85" w:rsidRPr="00A67545" w:rsidRDefault="00836B85" w:rsidP="009C0D4E">
      <w:pPr>
        <w:tabs>
          <w:tab w:val="left" w:pos="567"/>
        </w:tabs>
        <w:spacing w:before="140" w:after="120" w:line="240" w:lineRule="auto"/>
        <w:ind w:firstLine="720"/>
        <w:jc w:val="both"/>
        <w:rPr>
          <w:szCs w:val="28"/>
        </w:rPr>
      </w:pPr>
      <w:r w:rsidRPr="00A67545">
        <w:rPr>
          <w:i/>
          <w:spacing w:val="-4"/>
          <w:szCs w:val="28"/>
        </w:rPr>
        <w:t>Theo WB</w:t>
      </w:r>
      <w:r w:rsidRPr="00A67545">
        <w:rPr>
          <w:spacing w:val="-4"/>
          <w:szCs w:val="28"/>
        </w:rPr>
        <w:t>, tăng trưởng kinh tế Trung Quốc đạt 4,9% năm 2024. Đây là tốc độ tăng trưởng chậm nhất trong hơn ba thập kỷ (</w:t>
      </w:r>
      <w:r w:rsidRPr="00A67545">
        <w:rPr>
          <w:szCs w:val="28"/>
        </w:rPr>
        <w:t>không tính những năm bị ảnh hưởng do đại dịch Covid- 19). Hoạt động kinh tế chậm lại trong nửa cuối năm 2024, đầu tư bất động sản tiếp tục sụt giảm và tăng trưởng tiêu dùng chậm hơn trong bối cảnh niềm tin của người tiêu dùng yếu là những nguyên nhân chính khiến tốc độ tăng trưởng kinh tế Trung Quốc chậm lại. Năm 2025, tăng trưởng GDP của Trung Quốc dự báo sẽ tiếp tục giảm, chỉ đạt 4,5%, thấp hơn 0,4 điểm phần trăm so với năm 2024 mặc dù đã điều chỉnh tăng 0,4 điểm phần trăm so với dự báo trong tháng 6/2024, chủ yếu nhờ các biện pháp hỗ trợ gần đây và động lực xuất khẩu mạnh mẽ vào cuối năm 2024. Tiêu dùng dự kiến ​​vẫn yếu do điều kiện thị trường lao động yếu, niềm tin người tiêu dùng giảm và tác động gia tăng của cải từ giá bất động sản giảm. Bên cạnh đó, triển vọng tăng trưởng của Trung Quốc đang phải đối mặt với một số rủi ro, đáng chú ý nhất là gia tăng căng thẳng thương mại với Hoa Kỳ.</w:t>
      </w:r>
    </w:p>
    <w:p w14:paraId="45A06F08" w14:textId="4E717501" w:rsidR="00836B85" w:rsidRPr="00513A21" w:rsidRDefault="00836B85" w:rsidP="009C0D4E">
      <w:pPr>
        <w:tabs>
          <w:tab w:val="left" w:pos="567"/>
        </w:tabs>
        <w:spacing w:before="140" w:after="120" w:line="240" w:lineRule="auto"/>
        <w:ind w:firstLine="720"/>
        <w:jc w:val="both"/>
        <w:rPr>
          <w:spacing w:val="-4"/>
        </w:rPr>
      </w:pPr>
      <w:r w:rsidRPr="00A67545">
        <w:rPr>
          <w:spacing w:val="-4"/>
          <w:szCs w:val="28"/>
        </w:rPr>
        <w:t xml:space="preserve"> </w:t>
      </w:r>
      <w:r w:rsidRPr="00513A21">
        <w:rPr>
          <w:spacing w:val="-4"/>
        </w:rPr>
        <w:t>Chỉ số PMI tổng hợp</w:t>
      </w:r>
      <w:r w:rsidR="00B34EDB" w:rsidRPr="00513A21">
        <w:rPr>
          <w:rStyle w:val="FootnoteReference"/>
          <w:spacing w:val="-4"/>
        </w:rPr>
        <w:footnoteReference w:id="12"/>
      </w:r>
      <w:r w:rsidRPr="00513A21">
        <w:rPr>
          <w:spacing w:val="-4"/>
        </w:rPr>
        <w:t xml:space="preserve"> của Trung Quốc trong tháng </w:t>
      </w:r>
      <w:r w:rsidR="00F4110E" w:rsidRPr="00513A21">
        <w:rPr>
          <w:spacing w:val="-4"/>
        </w:rPr>
        <w:t>3</w:t>
      </w:r>
      <w:r w:rsidRPr="00513A21">
        <w:rPr>
          <w:spacing w:val="-4"/>
        </w:rPr>
        <w:t>/2025 đạt 51,</w:t>
      </w:r>
      <w:r w:rsidR="00F4110E" w:rsidRPr="00513A21">
        <w:rPr>
          <w:spacing w:val="-4"/>
        </w:rPr>
        <w:t>8</w:t>
      </w:r>
      <w:r w:rsidRPr="00513A21">
        <w:rPr>
          <w:spacing w:val="-4"/>
        </w:rPr>
        <w:t xml:space="preserve"> điểm, tăng 0,</w:t>
      </w:r>
      <w:r w:rsidR="00F4110E" w:rsidRPr="00513A21">
        <w:rPr>
          <w:spacing w:val="-4"/>
        </w:rPr>
        <w:t>3</w:t>
      </w:r>
      <w:r w:rsidRPr="00513A21">
        <w:rPr>
          <w:spacing w:val="-4"/>
        </w:rPr>
        <w:t xml:space="preserve"> điểm so với chỉ số </w:t>
      </w:r>
      <w:r w:rsidR="00F4110E" w:rsidRPr="00513A21">
        <w:rPr>
          <w:spacing w:val="-4"/>
        </w:rPr>
        <w:t xml:space="preserve">51,5 </w:t>
      </w:r>
      <w:r w:rsidRPr="00513A21">
        <w:rPr>
          <w:spacing w:val="-4"/>
        </w:rPr>
        <w:t xml:space="preserve">của tháng trước đó, phản ánh tháng tăng trưởng </w:t>
      </w:r>
      <w:r w:rsidR="00F4110E" w:rsidRPr="00513A21">
        <w:rPr>
          <w:spacing w:val="-4"/>
        </w:rPr>
        <w:t>cao nhất kể từ tháng 11/2024</w:t>
      </w:r>
      <w:r w:rsidR="00CA072F" w:rsidRPr="00513A21">
        <w:rPr>
          <w:spacing w:val="-4"/>
        </w:rPr>
        <w:t>,</w:t>
      </w:r>
      <w:r w:rsidR="00F4110E" w:rsidRPr="00513A21">
        <w:rPr>
          <w:spacing w:val="-4"/>
        </w:rPr>
        <w:t xml:space="preserve"> đồng thời là tháng </w:t>
      </w:r>
      <w:r w:rsidR="001C17A4" w:rsidRPr="00513A21">
        <w:rPr>
          <w:spacing w:val="-4"/>
        </w:rPr>
        <w:t xml:space="preserve">thứ 17 </w:t>
      </w:r>
      <w:r w:rsidR="00F4110E" w:rsidRPr="00513A21">
        <w:rPr>
          <w:spacing w:val="-4"/>
        </w:rPr>
        <w:t xml:space="preserve">tăng </w:t>
      </w:r>
      <w:r w:rsidRPr="00513A21">
        <w:rPr>
          <w:spacing w:val="-4"/>
        </w:rPr>
        <w:t xml:space="preserve">liên tiếp của hoạt động khu vực tư nhân. PMI chế biến chế tạo của Trung Quốc trong tháng </w:t>
      </w:r>
      <w:r w:rsidR="00B34EDB" w:rsidRPr="00513A21">
        <w:rPr>
          <w:spacing w:val="-4"/>
        </w:rPr>
        <w:t>3</w:t>
      </w:r>
      <w:r w:rsidRPr="00513A21">
        <w:rPr>
          <w:spacing w:val="-4"/>
        </w:rPr>
        <w:t xml:space="preserve">/2025 đạt </w:t>
      </w:r>
      <w:r w:rsidR="00B34EDB" w:rsidRPr="00513A21">
        <w:rPr>
          <w:spacing w:val="-4"/>
        </w:rPr>
        <w:t>51,2</w:t>
      </w:r>
      <w:r w:rsidRPr="00513A21">
        <w:rPr>
          <w:spacing w:val="-4"/>
        </w:rPr>
        <w:t xml:space="preserve"> điểm, tăng 0,</w:t>
      </w:r>
      <w:r w:rsidR="00B34EDB" w:rsidRPr="00513A21">
        <w:rPr>
          <w:spacing w:val="-4"/>
        </w:rPr>
        <w:t>4</w:t>
      </w:r>
      <w:r w:rsidRPr="00513A21">
        <w:rPr>
          <w:spacing w:val="-4"/>
        </w:rPr>
        <w:t xml:space="preserve"> điểm so với 50,</w:t>
      </w:r>
      <w:r w:rsidR="00B34EDB" w:rsidRPr="00513A21">
        <w:rPr>
          <w:spacing w:val="-4"/>
        </w:rPr>
        <w:t>8</w:t>
      </w:r>
      <w:r w:rsidRPr="00513A21">
        <w:rPr>
          <w:spacing w:val="-4"/>
        </w:rPr>
        <w:t xml:space="preserve"> điểm củ</w:t>
      </w:r>
      <w:r w:rsidR="00B34EDB" w:rsidRPr="00513A21">
        <w:rPr>
          <w:spacing w:val="-4"/>
        </w:rPr>
        <w:t>a tháng 02</w:t>
      </w:r>
      <w:r w:rsidRPr="00513A21">
        <w:rPr>
          <w:spacing w:val="-4"/>
        </w:rPr>
        <w:t>/2025. PMI dịch vụ cũng tăng từ mức 51,</w:t>
      </w:r>
      <w:r w:rsidR="00B34EDB" w:rsidRPr="00513A21">
        <w:rPr>
          <w:spacing w:val="-4"/>
        </w:rPr>
        <w:t>4</w:t>
      </w:r>
      <w:r w:rsidRPr="00513A21">
        <w:rPr>
          <w:spacing w:val="-4"/>
        </w:rPr>
        <w:t xml:space="preserve"> điểm trong tháng 0</w:t>
      </w:r>
      <w:r w:rsidR="00B34EDB" w:rsidRPr="00513A21">
        <w:rPr>
          <w:spacing w:val="-4"/>
        </w:rPr>
        <w:t>2</w:t>
      </w:r>
      <w:r w:rsidRPr="00513A21">
        <w:rPr>
          <w:spacing w:val="-4"/>
        </w:rPr>
        <w:t>/2025 lên 51,</w:t>
      </w:r>
      <w:r w:rsidR="00B34EDB" w:rsidRPr="00513A21">
        <w:rPr>
          <w:spacing w:val="-4"/>
        </w:rPr>
        <w:t>9</w:t>
      </w:r>
      <w:r w:rsidRPr="00513A21">
        <w:rPr>
          <w:spacing w:val="-4"/>
        </w:rPr>
        <w:t xml:space="preserve"> điểm trong tháng 0</w:t>
      </w:r>
      <w:r w:rsidR="00B34EDB" w:rsidRPr="00513A21">
        <w:rPr>
          <w:spacing w:val="-4"/>
        </w:rPr>
        <w:t>3</w:t>
      </w:r>
      <w:r w:rsidRPr="00513A21">
        <w:rPr>
          <w:spacing w:val="-4"/>
        </w:rPr>
        <w:t>/2025.</w:t>
      </w:r>
    </w:p>
    <w:p w14:paraId="36D06B23" w14:textId="77777777" w:rsidR="00836B85" w:rsidRPr="00A67545" w:rsidRDefault="00836B85" w:rsidP="009C0D4E">
      <w:pPr>
        <w:tabs>
          <w:tab w:val="left" w:pos="567"/>
        </w:tabs>
        <w:spacing w:before="140" w:after="120" w:line="240" w:lineRule="auto"/>
        <w:ind w:firstLine="720"/>
        <w:jc w:val="both"/>
      </w:pPr>
      <w:r w:rsidRPr="00A67545">
        <w:rPr>
          <w:i/>
        </w:rPr>
        <w:t>Theo Trading Economics</w:t>
      </w:r>
      <w:r w:rsidRPr="00A67545">
        <w:t xml:space="preserve">, GDP Quý I/2025 của nền kinh tế Trung Quốc dự báo tăng 0,9% so với Quý IV/2024 và tăng 5,2% so với cùng kỳ năm 2024. </w:t>
      </w:r>
    </w:p>
    <w:p w14:paraId="74AAE066" w14:textId="77777777" w:rsidR="00836B85" w:rsidRPr="00A67545" w:rsidRDefault="00836B85" w:rsidP="00836B85">
      <w:pPr>
        <w:spacing w:before="120" w:after="0" w:line="240" w:lineRule="auto"/>
        <w:jc w:val="center"/>
        <w:rPr>
          <w:b/>
          <w:spacing w:val="-4"/>
          <w:lang w:val="vi-VN"/>
        </w:rPr>
      </w:pPr>
      <w:r w:rsidRPr="00A67545">
        <w:rPr>
          <w:b/>
          <w:szCs w:val="28"/>
        </w:rPr>
        <w:t xml:space="preserve">Hình 5. Tăng trưởng của Trung Quốc giai đoạn 2020-2024 và dự báo tăng trưởng năm 2025 </w:t>
      </w:r>
      <w:r w:rsidRPr="00A67545">
        <w:rPr>
          <w:b/>
          <w:spacing w:val="-4"/>
        </w:rPr>
        <w:t>theo</w:t>
      </w:r>
      <w:r w:rsidRPr="00A67545">
        <w:rPr>
          <w:b/>
          <w:spacing w:val="-4"/>
          <w:lang w:val="vi-VN"/>
        </w:rPr>
        <w:t xml:space="preserve"> các tổ chức quốc tế</w:t>
      </w:r>
    </w:p>
    <w:p w14:paraId="5A6F9C38" w14:textId="7AD737A8" w:rsidR="00836B85" w:rsidRPr="00A67545" w:rsidRDefault="00CB6BF5" w:rsidP="00836B85">
      <w:pPr>
        <w:spacing w:before="120" w:after="0" w:line="240" w:lineRule="auto"/>
        <w:jc w:val="center"/>
        <w:rPr>
          <w:b/>
          <w:spacing w:val="-4"/>
          <w:lang w:val="vi-VN"/>
        </w:rPr>
      </w:pPr>
      <w:r>
        <w:rPr>
          <w:b/>
          <w:noProof/>
          <w:spacing w:val="-4"/>
        </w:rPr>
        <w:drawing>
          <wp:inline distT="0" distB="0" distL="0" distR="0" wp14:anchorId="6A5D98EA" wp14:editId="2ACD06F7">
            <wp:extent cx="3853044" cy="197892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1425" cy="2003773"/>
                    </a:xfrm>
                    <a:prstGeom prst="rect">
                      <a:avLst/>
                    </a:prstGeom>
                    <a:noFill/>
                  </pic:spPr>
                </pic:pic>
              </a:graphicData>
            </a:graphic>
          </wp:inline>
        </w:drawing>
      </w:r>
    </w:p>
    <w:p w14:paraId="20650080" w14:textId="77777777" w:rsidR="00836B85" w:rsidRPr="00A67545" w:rsidRDefault="00836B85" w:rsidP="00836B85">
      <w:pPr>
        <w:spacing w:before="120" w:after="0" w:line="240" w:lineRule="auto"/>
        <w:jc w:val="right"/>
        <w:rPr>
          <w:i/>
          <w:sz w:val="24"/>
          <w:szCs w:val="28"/>
        </w:rPr>
      </w:pPr>
      <w:r w:rsidRPr="00A67545">
        <w:rPr>
          <w:i/>
          <w:sz w:val="24"/>
          <w:szCs w:val="28"/>
        </w:rPr>
        <w:t>Nguồn: UN, OECD, IMF, WB</w:t>
      </w:r>
    </w:p>
    <w:p w14:paraId="4C358A0E" w14:textId="64C4997D" w:rsidR="00205B6C" w:rsidRPr="0015276F" w:rsidRDefault="00836B85" w:rsidP="00B471F7">
      <w:pPr>
        <w:tabs>
          <w:tab w:val="left" w:pos="567"/>
        </w:tabs>
        <w:spacing w:before="120" w:after="120" w:line="240" w:lineRule="auto"/>
        <w:ind w:firstLine="720"/>
        <w:jc w:val="both"/>
        <w:rPr>
          <w:spacing w:val="-2"/>
        </w:rPr>
      </w:pPr>
      <w:r w:rsidRPr="0015276F">
        <w:rPr>
          <w:spacing w:val="-2"/>
        </w:rPr>
        <w:t xml:space="preserve">Tăng trưởng kinh tế Trung Quốc năm 2025 do các tổ chức quốc tế (UN, OECD, IMF và WB) đưa ra đều thấp hơn tăng trưởng GDP năm 2024 (4,8% - 5,0%) </w:t>
      </w:r>
      <w:r w:rsidRPr="0015276F">
        <w:rPr>
          <w:spacing w:val="-2"/>
        </w:rPr>
        <w:lastRenderedPageBreak/>
        <w:t>từ 0,1- 0,4 điểm phần trăm mặc dù đã điều chỉnh tăng từ 0,1 - 0,4 điểm phần trăm so với dự báo đưa ra trước đó. Theo đó, các tổ chức dự báo tăng trưởng GDP của Trung Quốc năm 2025 đạt từ 4,5% - 4,8%.</w:t>
      </w:r>
    </w:p>
    <w:p w14:paraId="33184852" w14:textId="2A507415" w:rsidR="002B16AD" w:rsidRPr="00A67545" w:rsidRDefault="006B7E72">
      <w:pPr>
        <w:tabs>
          <w:tab w:val="left" w:pos="567"/>
        </w:tabs>
        <w:spacing w:before="120" w:after="120" w:line="240" w:lineRule="auto"/>
        <w:ind w:firstLine="720"/>
        <w:jc w:val="both"/>
        <w:rPr>
          <w:b/>
          <w:szCs w:val="28"/>
          <w:lang w:val="vi-VN"/>
        </w:rPr>
      </w:pPr>
      <w:r w:rsidRPr="00A67545">
        <w:rPr>
          <w:b/>
          <w:szCs w:val="28"/>
        </w:rPr>
        <w:t>5</w:t>
      </w:r>
      <w:r w:rsidR="002B16AD" w:rsidRPr="00A67545">
        <w:rPr>
          <w:b/>
          <w:szCs w:val="28"/>
          <w:lang w:val="vi-VN"/>
        </w:rPr>
        <w:t>. Đông Nam Á</w:t>
      </w:r>
    </w:p>
    <w:p w14:paraId="488E56B4" w14:textId="593F19C4" w:rsidR="00C556D4" w:rsidRPr="00A67545" w:rsidRDefault="00C556D4" w:rsidP="00C556D4">
      <w:pPr>
        <w:spacing w:before="140" w:after="0" w:line="240" w:lineRule="auto"/>
        <w:ind w:firstLine="720"/>
        <w:jc w:val="both"/>
        <w:rPr>
          <w:spacing w:val="-4"/>
          <w:szCs w:val="28"/>
          <w:lang w:val="vi-VN"/>
        </w:rPr>
      </w:pPr>
      <w:r w:rsidRPr="00A67545">
        <w:rPr>
          <w:i/>
          <w:spacing w:val="-4"/>
          <w:szCs w:val="28"/>
          <w:lang w:val="vi-VN"/>
        </w:rPr>
        <w:t>Theo báo cáo</w:t>
      </w:r>
      <w:r w:rsidR="00CA072F">
        <w:rPr>
          <w:i/>
          <w:spacing w:val="-4"/>
          <w:szCs w:val="28"/>
        </w:rPr>
        <w:t xml:space="preserve"> của</w:t>
      </w:r>
      <w:r w:rsidRPr="00A67545">
        <w:rPr>
          <w:i/>
          <w:spacing w:val="-4"/>
          <w:szCs w:val="28"/>
          <w:lang w:val="vi-VN"/>
        </w:rPr>
        <w:t xml:space="preserve"> Văn phòng nghiên cứu kinh tế vĩ mô ASEAN+3 (AMRO)</w:t>
      </w:r>
      <w:r w:rsidR="003E41C2" w:rsidRPr="00A67545">
        <w:rPr>
          <w:spacing w:val="-4"/>
          <w:szCs w:val="28"/>
        </w:rPr>
        <w:t>,</w:t>
      </w:r>
      <w:r w:rsidRPr="00A67545">
        <w:rPr>
          <w:rStyle w:val="FootnoteReference"/>
        </w:rPr>
        <w:footnoteReference w:id="13"/>
      </w:r>
      <w:r w:rsidRPr="00A67545">
        <w:rPr>
          <w:spacing w:val="-4"/>
          <w:szCs w:val="28"/>
          <w:lang w:val="vi-VN"/>
        </w:rPr>
        <w:t xml:space="preserve">  tăng trưởng chung của ASEAN+3 (Cơ chế hợp tác giữa ASEAN và ba quốc gia Đông Bắc Á gồm Nhật Bản, Hàn Quốc và Trung Quốc) đạt 4,2% vào năm 2024 và dự kiến </w:t>
      </w:r>
      <w:r w:rsidR="00B70D8F" w:rsidRPr="00A67545">
        <w:rPr>
          <w:spacing w:val="-4"/>
          <w:szCs w:val="28"/>
        </w:rPr>
        <w:t xml:space="preserve">tốc độ </w:t>
      </w:r>
      <w:r w:rsidR="00CA072F">
        <w:rPr>
          <w:spacing w:val="-4"/>
          <w:szCs w:val="28"/>
        </w:rPr>
        <w:t xml:space="preserve">tăng trưởng </w:t>
      </w:r>
      <w:r w:rsidR="00B70D8F" w:rsidRPr="00A67545">
        <w:rPr>
          <w:spacing w:val="-4"/>
          <w:szCs w:val="28"/>
        </w:rPr>
        <w:t xml:space="preserve">này </w:t>
      </w:r>
      <w:r w:rsidRPr="00A67545">
        <w:rPr>
          <w:spacing w:val="-4"/>
          <w:szCs w:val="28"/>
          <w:lang w:val="vi-VN"/>
        </w:rPr>
        <w:t xml:space="preserve">sẽ duy trì vào năm 2025. Tăng trưởng yếu hơn dự kiến ở các nền kinh tế </w:t>
      </w:r>
      <w:r w:rsidRPr="00A67545">
        <w:rPr>
          <w:spacing w:val="-4"/>
          <w:szCs w:val="28"/>
        </w:rPr>
        <w:t>+</w:t>
      </w:r>
      <w:r w:rsidRPr="00A67545">
        <w:rPr>
          <w:spacing w:val="-4"/>
          <w:szCs w:val="28"/>
          <w:lang w:val="vi-VN"/>
        </w:rPr>
        <w:t>3 được bù đắp bởi hiệu suất mạnh hơn ở các nền kinh tế ASEAN. Tạ</w:t>
      </w:r>
      <w:r w:rsidR="002610E2" w:rsidRPr="00A67545">
        <w:rPr>
          <w:spacing w:val="-4"/>
          <w:szCs w:val="28"/>
          <w:lang w:val="vi-VN"/>
        </w:rPr>
        <w:t xml:space="preserve">i ASEAN, </w:t>
      </w:r>
      <w:r w:rsidR="002610E2" w:rsidRPr="00A67545">
        <w:rPr>
          <w:spacing w:val="-4"/>
          <w:szCs w:val="28"/>
        </w:rPr>
        <w:t>t</w:t>
      </w:r>
      <w:r w:rsidRPr="00A67545">
        <w:rPr>
          <w:spacing w:val="-4"/>
          <w:szCs w:val="28"/>
          <w:lang w:val="vi-VN"/>
        </w:rPr>
        <w:t xml:space="preserve">iêu dùng tư nhân vững chắc và những cải thiện trong đầu tư tiếp tục là động lực tăng trưởng </w:t>
      </w:r>
      <w:r w:rsidRPr="00A67545">
        <w:rPr>
          <w:spacing w:val="-4"/>
          <w:szCs w:val="28"/>
        </w:rPr>
        <w:t>của</w:t>
      </w:r>
      <w:r w:rsidRPr="00A67545">
        <w:rPr>
          <w:spacing w:val="-4"/>
          <w:szCs w:val="28"/>
          <w:lang w:val="vi-VN"/>
        </w:rPr>
        <w:t xml:space="preserve"> khu vực, </w:t>
      </w:r>
      <w:r w:rsidRPr="00A67545">
        <w:rPr>
          <w:spacing w:val="-4"/>
          <w:szCs w:val="28"/>
        </w:rPr>
        <w:t xml:space="preserve">được </w:t>
      </w:r>
      <w:r w:rsidRPr="00A67545">
        <w:rPr>
          <w:spacing w:val="-4"/>
          <w:szCs w:val="28"/>
          <w:lang w:val="vi-VN"/>
        </w:rPr>
        <w:t xml:space="preserve">hỗ trợ </w:t>
      </w:r>
      <w:r w:rsidRPr="00A67545">
        <w:rPr>
          <w:spacing w:val="-4"/>
          <w:szCs w:val="28"/>
        </w:rPr>
        <w:t xml:space="preserve">bởi </w:t>
      </w:r>
      <w:r w:rsidRPr="00A67545">
        <w:rPr>
          <w:spacing w:val="-4"/>
          <w:szCs w:val="28"/>
          <w:lang w:val="vi-VN"/>
        </w:rPr>
        <w:t>nhu cầu bên ngoài</w:t>
      </w:r>
      <w:r w:rsidR="003E41C2" w:rsidRPr="00A67545">
        <w:rPr>
          <w:spacing w:val="-4"/>
          <w:szCs w:val="28"/>
        </w:rPr>
        <w:t xml:space="preserve"> mạnh</w:t>
      </w:r>
      <w:r w:rsidRPr="00A67545">
        <w:rPr>
          <w:spacing w:val="-4"/>
          <w:szCs w:val="28"/>
          <w:lang w:val="vi-VN"/>
        </w:rPr>
        <w:t>. Một số nền kinh tế ASEAN, chẳng hạn như Bru</w:t>
      </w:r>
      <w:r w:rsidR="00B70D8F" w:rsidRPr="00A67545">
        <w:rPr>
          <w:spacing w:val="-4"/>
          <w:szCs w:val="28"/>
        </w:rPr>
        <w:t>-nây</w:t>
      </w:r>
      <w:r w:rsidRPr="00A67545">
        <w:rPr>
          <w:spacing w:val="-4"/>
          <w:szCs w:val="28"/>
          <w:lang w:val="vi-VN"/>
        </w:rPr>
        <w:t xml:space="preserve">, Cam-pu-chia, Ma-lai-xi-a và Thái Lan, có thể phải đối mặt với mức tăng nhẹ về lạm phát do nhu cầu trong nước mạnh hơn và điều chỉnh về phía cung. </w:t>
      </w:r>
      <w:r w:rsidR="003E41C2" w:rsidRPr="00A67545">
        <w:rPr>
          <w:spacing w:val="-4"/>
          <w:szCs w:val="28"/>
        </w:rPr>
        <w:t>Á</w:t>
      </w:r>
      <w:r w:rsidRPr="00A67545">
        <w:rPr>
          <w:spacing w:val="-4"/>
          <w:szCs w:val="28"/>
          <w:lang w:val="vi-VN"/>
        </w:rPr>
        <w:t>p lực lạm phát vẫn được kiểm soát tốt trong khu vực.</w:t>
      </w:r>
      <w:r w:rsidRPr="00A67545">
        <w:rPr>
          <w:spacing w:val="-4"/>
          <w:szCs w:val="28"/>
        </w:rPr>
        <w:t xml:space="preserve"> </w:t>
      </w:r>
      <w:r w:rsidRPr="00A67545">
        <w:rPr>
          <w:spacing w:val="-4"/>
          <w:szCs w:val="28"/>
          <w:lang w:val="vi-VN"/>
        </w:rPr>
        <w:t>Dự kiến tăng trưởng của một số quốc gia trong khu vực năm 2025</w:t>
      </w:r>
      <w:r w:rsidR="00B70D8F" w:rsidRPr="00A67545">
        <w:rPr>
          <w:spacing w:val="-4"/>
          <w:szCs w:val="28"/>
        </w:rPr>
        <w:t xml:space="preserve"> như sau</w:t>
      </w:r>
      <w:r w:rsidRPr="00A67545">
        <w:rPr>
          <w:spacing w:val="-4"/>
          <w:szCs w:val="28"/>
          <w:lang w:val="vi-VN"/>
        </w:rPr>
        <w:t>:</w:t>
      </w:r>
      <w:r w:rsidRPr="00A67545">
        <w:rPr>
          <w:spacing w:val="-4"/>
          <w:szCs w:val="28"/>
        </w:rPr>
        <w:t xml:space="preserve"> </w:t>
      </w:r>
      <w:r w:rsidRPr="00A67545">
        <w:rPr>
          <w:spacing w:val="-4"/>
          <w:szCs w:val="28"/>
          <w:lang w:val="vi-VN"/>
        </w:rPr>
        <w:t>Việt Nam</w:t>
      </w:r>
      <w:r w:rsidR="00B70D8F" w:rsidRPr="00A67545">
        <w:rPr>
          <w:spacing w:val="-4"/>
          <w:szCs w:val="28"/>
        </w:rPr>
        <w:t>:</w:t>
      </w:r>
      <w:r w:rsidRPr="00A67545">
        <w:rPr>
          <w:spacing w:val="-4"/>
          <w:szCs w:val="28"/>
          <w:lang w:val="vi-VN"/>
        </w:rPr>
        <w:t xml:space="preserve"> 6,6%</w:t>
      </w:r>
      <w:r w:rsidRPr="00A67545">
        <w:rPr>
          <w:spacing w:val="-4"/>
          <w:szCs w:val="28"/>
        </w:rPr>
        <w:t xml:space="preserve">; </w:t>
      </w:r>
      <w:r w:rsidRPr="00A67545">
        <w:rPr>
          <w:spacing w:val="-4"/>
          <w:szCs w:val="28"/>
          <w:lang w:val="vi-VN"/>
        </w:rPr>
        <w:t>Phi-li-pin: 6,3%;</w:t>
      </w:r>
      <w:r w:rsidRPr="00A67545">
        <w:rPr>
          <w:spacing w:val="-4"/>
          <w:szCs w:val="28"/>
        </w:rPr>
        <w:t xml:space="preserve"> </w:t>
      </w:r>
      <w:r w:rsidRPr="00A67545">
        <w:rPr>
          <w:spacing w:val="-4"/>
          <w:szCs w:val="28"/>
          <w:lang w:val="vi-VN"/>
        </w:rPr>
        <w:t>Cam-pu-chia: 5,</w:t>
      </w:r>
      <w:r w:rsidRPr="00A67545">
        <w:rPr>
          <w:spacing w:val="-4"/>
          <w:szCs w:val="28"/>
        </w:rPr>
        <w:t xml:space="preserve">9%; </w:t>
      </w:r>
      <w:r w:rsidRPr="00A67545">
        <w:rPr>
          <w:spacing w:val="-4"/>
          <w:szCs w:val="28"/>
          <w:lang w:val="vi-VN"/>
        </w:rPr>
        <w:t>In-đô-nê-xi-a: 5,2%;</w:t>
      </w:r>
      <w:r w:rsidRPr="00A67545">
        <w:rPr>
          <w:spacing w:val="-4"/>
          <w:szCs w:val="28"/>
        </w:rPr>
        <w:t xml:space="preserve"> </w:t>
      </w:r>
      <w:r w:rsidRPr="00A67545">
        <w:rPr>
          <w:spacing w:val="-4"/>
          <w:szCs w:val="28"/>
          <w:lang w:val="vi-VN"/>
        </w:rPr>
        <w:t>Ma-lai-xi-a: 4,9%;</w:t>
      </w:r>
      <w:r w:rsidRPr="00A67545">
        <w:rPr>
          <w:spacing w:val="-4"/>
          <w:szCs w:val="28"/>
        </w:rPr>
        <w:t xml:space="preserve"> </w:t>
      </w:r>
      <w:r w:rsidRPr="00A67545">
        <w:rPr>
          <w:spacing w:val="-4"/>
          <w:szCs w:val="28"/>
          <w:lang w:val="vi-VN"/>
        </w:rPr>
        <w:t xml:space="preserve">Cộng hòa Dân chủ Nhân dân Lào: 4,6%; Thái Lan: 3,3%; </w:t>
      </w:r>
      <w:r w:rsidR="00B70D8F" w:rsidRPr="00A67545">
        <w:rPr>
          <w:spacing w:val="-4"/>
          <w:szCs w:val="28"/>
        </w:rPr>
        <w:t>Xin-ga-po</w:t>
      </w:r>
      <w:r w:rsidRPr="00A67545">
        <w:rPr>
          <w:spacing w:val="-4"/>
          <w:szCs w:val="28"/>
          <w:lang w:val="vi-VN"/>
        </w:rPr>
        <w:t>: 2,0%</w:t>
      </w:r>
      <w:r w:rsidRPr="00A67545">
        <w:rPr>
          <w:spacing w:val="-4"/>
          <w:szCs w:val="28"/>
        </w:rPr>
        <w:t>.</w:t>
      </w:r>
      <w:r w:rsidRPr="00A67545">
        <w:rPr>
          <w:spacing w:val="-4"/>
          <w:szCs w:val="28"/>
          <w:lang w:val="vi-VN"/>
        </w:rPr>
        <w:t xml:space="preserve"> </w:t>
      </w:r>
    </w:p>
    <w:p w14:paraId="17A11E58" w14:textId="0B699E48" w:rsidR="00C556D4" w:rsidRPr="00A67545" w:rsidRDefault="002610E2" w:rsidP="00C556D4">
      <w:pPr>
        <w:spacing w:before="140" w:after="0" w:line="240" w:lineRule="auto"/>
        <w:ind w:firstLine="720"/>
        <w:jc w:val="both"/>
        <w:rPr>
          <w:spacing w:val="-4"/>
          <w:szCs w:val="28"/>
        </w:rPr>
      </w:pPr>
      <w:r w:rsidRPr="00A67545">
        <w:rPr>
          <w:i/>
          <w:spacing w:val="-4"/>
          <w:szCs w:val="28"/>
          <w:lang w:val="vi-VN"/>
        </w:rPr>
        <w:t>Theo WB</w:t>
      </w:r>
      <w:r w:rsidRPr="00A67545">
        <w:rPr>
          <w:spacing w:val="-4"/>
          <w:szCs w:val="28"/>
          <w:lang w:val="vi-VN"/>
        </w:rPr>
        <w:t xml:space="preserve">, </w:t>
      </w:r>
      <w:r w:rsidRPr="00A67545">
        <w:rPr>
          <w:spacing w:val="-4"/>
          <w:szCs w:val="28"/>
        </w:rPr>
        <w:t>k</w:t>
      </w:r>
      <w:r w:rsidR="00C556D4" w:rsidRPr="00A67545">
        <w:rPr>
          <w:spacing w:val="-4"/>
          <w:szCs w:val="28"/>
          <w:lang w:val="vi-VN"/>
        </w:rPr>
        <w:t xml:space="preserve">hu vực Đông Á và Thái Bình Dương (EAP), bao gồm hầu hết các nước ASEAN, dự kiến </w:t>
      </w:r>
      <w:r w:rsidR="00B70D8F" w:rsidRPr="00A67545">
        <w:rPr>
          <w:spacing w:val="-4"/>
          <w:szCs w:val="28"/>
        </w:rPr>
        <w:t xml:space="preserve">tăng trưởng </w:t>
      </w:r>
      <w:r w:rsidR="00C556D4" w:rsidRPr="00A67545">
        <w:rPr>
          <w:spacing w:val="-4"/>
          <w:szCs w:val="28"/>
          <w:lang w:val="vi-VN"/>
        </w:rPr>
        <w:t>sẽ chậm lại</w:t>
      </w:r>
      <w:r w:rsidR="00B70D8F" w:rsidRPr="00A67545">
        <w:rPr>
          <w:spacing w:val="-4"/>
          <w:szCs w:val="28"/>
        </w:rPr>
        <w:t>, đạt</w:t>
      </w:r>
      <w:r w:rsidR="00C556D4" w:rsidRPr="00A67545">
        <w:rPr>
          <w:spacing w:val="-4"/>
          <w:szCs w:val="28"/>
          <w:lang w:val="vi-VN"/>
        </w:rPr>
        <w:t xml:space="preserve"> 4,6% vào năm 2025, giảm so với mức 4,9% </w:t>
      </w:r>
      <w:r w:rsidR="003E41C2" w:rsidRPr="00A67545">
        <w:rPr>
          <w:spacing w:val="-4"/>
          <w:szCs w:val="28"/>
        </w:rPr>
        <w:t xml:space="preserve">của </w:t>
      </w:r>
      <w:r w:rsidR="00C556D4" w:rsidRPr="00A67545">
        <w:rPr>
          <w:spacing w:val="-4"/>
          <w:szCs w:val="28"/>
          <w:lang w:val="vi-VN"/>
        </w:rPr>
        <w:t>năm 2024. Dự báo tăng trưởng</w:t>
      </w:r>
      <w:r w:rsidR="00B70D8F" w:rsidRPr="00A67545">
        <w:rPr>
          <w:spacing w:val="-4"/>
          <w:szCs w:val="28"/>
        </w:rPr>
        <w:t xml:space="preserve"> năm</w:t>
      </w:r>
      <w:r w:rsidR="00C556D4" w:rsidRPr="00A67545">
        <w:rPr>
          <w:spacing w:val="-4"/>
          <w:szCs w:val="28"/>
          <w:lang w:val="vi-VN"/>
        </w:rPr>
        <w:t xml:space="preserve"> 2025 của một số quốc gia ASEAN</w:t>
      </w:r>
      <w:r w:rsidR="00B70D8F" w:rsidRPr="00A67545">
        <w:rPr>
          <w:spacing w:val="-4"/>
          <w:szCs w:val="28"/>
        </w:rPr>
        <w:t xml:space="preserve"> như sau</w:t>
      </w:r>
      <w:r w:rsidR="00C556D4" w:rsidRPr="00A67545">
        <w:rPr>
          <w:spacing w:val="-4"/>
          <w:szCs w:val="28"/>
          <w:lang w:val="vi-VN"/>
        </w:rPr>
        <w:t>: Việt Nam: 6,8%</w:t>
      </w:r>
      <w:r w:rsidR="00C556D4" w:rsidRPr="00A67545">
        <w:rPr>
          <w:spacing w:val="-4"/>
          <w:szCs w:val="28"/>
        </w:rPr>
        <w:t xml:space="preserve">; </w:t>
      </w:r>
      <w:r w:rsidR="00C556D4" w:rsidRPr="00A67545">
        <w:rPr>
          <w:spacing w:val="-4"/>
          <w:szCs w:val="28"/>
          <w:lang w:val="vi-VN"/>
        </w:rPr>
        <w:t>Phi-li-pin: 6,</w:t>
      </w:r>
      <w:r w:rsidR="008D32AA" w:rsidRPr="00A67545">
        <w:rPr>
          <w:spacing w:val="-4"/>
          <w:szCs w:val="28"/>
        </w:rPr>
        <w:t>1</w:t>
      </w:r>
      <w:r w:rsidR="00C556D4" w:rsidRPr="00A67545">
        <w:rPr>
          <w:spacing w:val="-4"/>
          <w:szCs w:val="28"/>
          <w:lang w:val="vi-VN"/>
        </w:rPr>
        <w:t>%;</w:t>
      </w:r>
      <w:r w:rsidR="00C556D4" w:rsidRPr="00A67545">
        <w:rPr>
          <w:spacing w:val="-4"/>
          <w:szCs w:val="28"/>
        </w:rPr>
        <w:t xml:space="preserve"> </w:t>
      </w:r>
      <w:r w:rsidR="00C556D4" w:rsidRPr="00A67545">
        <w:rPr>
          <w:spacing w:val="-4"/>
          <w:szCs w:val="28"/>
          <w:lang w:val="vi-VN"/>
        </w:rPr>
        <w:t>Cam-pu-chia: 5,5%;</w:t>
      </w:r>
      <w:r w:rsidR="00C556D4" w:rsidRPr="00A67545">
        <w:rPr>
          <w:spacing w:val="-4"/>
          <w:szCs w:val="28"/>
        </w:rPr>
        <w:t xml:space="preserve"> </w:t>
      </w:r>
      <w:r w:rsidR="00C556D4" w:rsidRPr="00A67545">
        <w:rPr>
          <w:spacing w:val="-4"/>
          <w:szCs w:val="28"/>
          <w:lang w:val="vi-VN"/>
        </w:rPr>
        <w:t>In-đô-nê-xi-a: 5,1%;</w:t>
      </w:r>
      <w:r w:rsidR="00C556D4" w:rsidRPr="00A67545">
        <w:rPr>
          <w:spacing w:val="-4"/>
          <w:szCs w:val="28"/>
        </w:rPr>
        <w:t xml:space="preserve"> </w:t>
      </w:r>
      <w:r w:rsidR="00C556D4" w:rsidRPr="00A67545">
        <w:rPr>
          <w:spacing w:val="-4"/>
          <w:szCs w:val="28"/>
          <w:lang w:val="vi-VN"/>
        </w:rPr>
        <w:t>Ma-lai-xi-a: 4,</w:t>
      </w:r>
      <w:r w:rsidR="008D32AA" w:rsidRPr="00A67545">
        <w:rPr>
          <w:spacing w:val="-4"/>
          <w:szCs w:val="28"/>
        </w:rPr>
        <w:t>5</w:t>
      </w:r>
      <w:r w:rsidR="00C556D4" w:rsidRPr="00A67545">
        <w:rPr>
          <w:spacing w:val="-4"/>
          <w:szCs w:val="28"/>
          <w:lang w:val="vi-VN"/>
        </w:rPr>
        <w:t>%</w:t>
      </w:r>
      <w:r w:rsidR="00C556D4" w:rsidRPr="00A67545">
        <w:rPr>
          <w:spacing w:val="-4"/>
          <w:szCs w:val="28"/>
        </w:rPr>
        <w:t xml:space="preserve">; </w:t>
      </w:r>
      <w:r w:rsidR="00C556D4" w:rsidRPr="00A67545">
        <w:rPr>
          <w:spacing w:val="-4"/>
          <w:szCs w:val="28"/>
          <w:lang w:val="vi-VN"/>
        </w:rPr>
        <w:t xml:space="preserve">Cộng hòa Dân chủ Nhân dân Lào: 3,7%, Thái Lan: </w:t>
      </w:r>
      <w:r w:rsidR="008D32AA" w:rsidRPr="00A67545">
        <w:rPr>
          <w:spacing w:val="-4"/>
          <w:szCs w:val="28"/>
        </w:rPr>
        <w:t>2</w:t>
      </w:r>
      <w:r w:rsidR="00C556D4" w:rsidRPr="00A67545">
        <w:rPr>
          <w:spacing w:val="-4"/>
          <w:szCs w:val="28"/>
          <w:lang w:val="vi-VN"/>
        </w:rPr>
        <w:t>,</w:t>
      </w:r>
      <w:r w:rsidR="008D32AA" w:rsidRPr="00A67545">
        <w:rPr>
          <w:spacing w:val="-4"/>
          <w:szCs w:val="28"/>
        </w:rPr>
        <w:t>9</w:t>
      </w:r>
      <w:r w:rsidR="00C556D4" w:rsidRPr="00A67545">
        <w:rPr>
          <w:spacing w:val="-4"/>
          <w:szCs w:val="28"/>
          <w:lang w:val="vi-VN"/>
        </w:rPr>
        <w:t>%</w:t>
      </w:r>
      <w:r w:rsidR="00C556D4" w:rsidRPr="00A67545">
        <w:rPr>
          <w:spacing w:val="-4"/>
          <w:szCs w:val="28"/>
        </w:rPr>
        <w:t>.</w:t>
      </w:r>
    </w:p>
    <w:p w14:paraId="1B15DF7A" w14:textId="57F35090" w:rsidR="00C556D4" w:rsidRPr="0015276F" w:rsidRDefault="00C556D4" w:rsidP="00C556D4">
      <w:pPr>
        <w:spacing w:before="140" w:after="0" w:line="240" w:lineRule="auto"/>
        <w:ind w:firstLine="720"/>
        <w:jc w:val="both"/>
        <w:rPr>
          <w:spacing w:val="-2"/>
          <w:szCs w:val="28"/>
        </w:rPr>
      </w:pPr>
      <w:r w:rsidRPr="0015276F">
        <w:rPr>
          <w:i/>
          <w:spacing w:val="-2"/>
          <w:szCs w:val="28"/>
        </w:rPr>
        <w:t>UN</w:t>
      </w:r>
      <w:r w:rsidRPr="0015276F">
        <w:rPr>
          <w:spacing w:val="-2"/>
          <w:szCs w:val="28"/>
        </w:rPr>
        <w:t xml:space="preserve"> dự báo tăng trưởng GDP của một số quốc gia trong khu vực Đông Nam Á như sau: Việt Nam: 6,5%, Phi-li-pin: 6,1%; Cam-pu-chia: 6,0%; In-đô-nê-xi-a: 5,2%; Ma-lai-xi-a: 4,6%; </w:t>
      </w:r>
      <w:r w:rsidR="003E41C2" w:rsidRPr="0015276F">
        <w:rPr>
          <w:spacing w:val="-2"/>
          <w:szCs w:val="28"/>
          <w:lang w:val="vi-VN"/>
        </w:rPr>
        <w:t xml:space="preserve">Cộng hòa Dân chủ Nhân dân </w:t>
      </w:r>
      <w:r w:rsidRPr="0015276F">
        <w:rPr>
          <w:spacing w:val="-2"/>
          <w:szCs w:val="28"/>
        </w:rPr>
        <w:t>Lào: 3,7%; Thái Lan: 3,1</w:t>
      </w:r>
      <w:r w:rsidR="00AD7B98" w:rsidRPr="0015276F">
        <w:rPr>
          <w:spacing w:val="-2"/>
          <w:szCs w:val="28"/>
        </w:rPr>
        <w:t>%</w:t>
      </w:r>
      <w:r w:rsidRPr="0015276F">
        <w:rPr>
          <w:spacing w:val="-2"/>
          <w:szCs w:val="28"/>
        </w:rPr>
        <w:t xml:space="preserve"> và Xin-ga-po: 2,6%.</w:t>
      </w:r>
    </w:p>
    <w:p w14:paraId="312B0611" w14:textId="77777777" w:rsidR="00C556D4" w:rsidRPr="00A67545" w:rsidRDefault="00C556D4" w:rsidP="00C556D4">
      <w:pPr>
        <w:spacing w:before="100" w:after="0" w:line="240" w:lineRule="auto"/>
        <w:jc w:val="center"/>
        <w:rPr>
          <w:b/>
          <w:spacing w:val="-2"/>
          <w:lang w:val="vi-VN"/>
        </w:rPr>
      </w:pPr>
      <w:r w:rsidRPr="00A67545">
        <w:rPr>
          <w:b/>
          <w:spacing w:val="-2"/>
          <w:lang w:val="vi-VN"/>
        </w:rPr>
        <w:t xml:space="preserve">Hình 6. </w:t>
      </w:r>
      <w:r w:rsidRPr="00A67545">
        <w:rPr>
          <w:b/>
          <w:spacing w:val="-2"/>
        </w:rPr>
        <w:t>D</w:t>
      </w:r>
      <w:r w:rsidRPr="00A67545">
        <w:rPr>
          <w:b/>
          <w:szCs w:val="28"/>
          <w:lang w:val="vi-VN"/>
        </w:rPr>
        <w:t xml:space="preserve">ự báo tăng trưởng năm </w:t>
      </w:r>
      <w:r w:rsidRPr="00A67545">
        <w:rPr>
          <w:b/>
          <w:szCs w:val="28"/>
        </w:rPr>
        <w:t>2025</w:t>
      </w:r>
      <w:r w:rsidRPr="00A67545">
        <w:rPr>
          <w:b/>
          <w:szCs w:val="28"/>
          <w:lang w:val="vi-VN"/>
        </w:rPr>
        <w:t xml:space="preserve"> </w:t>
      </w:r>
      <w:r w:rsidRPr="00A67545">
        <w:rPr>
          <w:b/>
          <w:spacing w:val="-2"/>
          <w:lang w:val="vi-VN"/>
        </w:rPr>
        <w:t xml:space="preserve">của </w:t>
      </w:r>
      <w:r w:rsidRPr="00A67545">
        <w:rPr>
          <w:b/>
          <w:spacing w:val="-2"/>
        </w:rPr>
        <w:t>một số</w:t>
      </w:r>
      <w:r w:rsidRPr="00A67545">
        <w:rPr>
          <w:b/>
          <w:spacing w:val="-2"/>
          <w:lang w:val="vi-VN"/>
        </w:rPr>
        <w:t xml:space="preserve"> quốc gia ASEAN</w:t>
      </w:r>
    </w:p>
    <w:p w14:paraId="49E7A28C" w14:textId="7BF8558B" w:rsidR="00074BB1" w:rsidRPr="00A67545" w:rsidRDefault="00074BB1" w:rsidP="007E3663">
      <w:pPr>
        <w:pStyle w:val="NormalWeb"/>
        <w:jc w:val="center"/>
      </w:pPr>
      <w:r w:rsidRPr="00A67545">
        <w:rPr>
          <w:noProof/>
        </w:rPr>
        <w:drawing>
          <wp:inline distT="0" distB="0" distL="0" distR="0" wp14:anchorId="5D7418C8" wp14:editId="7C425C0A">
            <wp:extent cx="3705367" cy="2093808"/>
            <wp:effectExtent l="0" t="0" r="0" b="1905"/>
            <wp:docPr id="25" name="Picture 25" descr="E:\BAO CAO KTTG\2025\QUY I\BAO CAO\4378b7fc5410e44eb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BAO CAO KTTG\2025\QUY I\BAO CAO\4378b7fc5410e44ebd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6459" cy="2128330"/>
                    </a:xfrm>
                    <a:prstGeom prst="rect">
                      <a:avLst/>
                    </a:prstGeom>
                    <a:noFill/>
                    <a:ln>
                      <a:noFill/>
                    </a:ln>
                  </pic:spPr>
                </pic:pic>
              </a:graphicData>
            </a:graphic>
          </wp:inline>
        </w:drawing>
      </w:r>
    </w:p>
    <w:p w14:paraId="0D955672" w14:textId="77777777" w:rsidR="00C556D4" w:rsidRPr="00A67545" w:rsidRDefault="00C556D4" w:rsidP="00C556D4">
      <w:pPr>
        <w:spacing w:before="120" w:after="0" w:line="240" w:lineRule="auto"/>
        <w:jc w:val="right"/>
        <w:rPr>
          <w:i/>
          <w:spacing w:val="-2"/>
          <w:sz w:val="24"/>
          <w:szCs w:val="24"/>
        </w:rPr>
      </w:pPr>
      <w:r w:rsidRPr="00A67545">
        <w:rPr>
          <w:i/>
          <w:spacing w:val="-2"/>
          <w:sz w:val="24"/>
          <w:szCs w:val="24"/>
          <w:lang w:val="vi-VN"/>
        </w:rPr>
        <w:t xml:space="preserve">Nguồn: </w:t>
      </w:r>
      <w:r w:rsidRPr="00A67545">
        <w:rPr>
          <w:i/>
          <w:spacing w:val="-2"/>
          <w:sz w:val="24"/>
          <w:szCs w:val="24"/>
        </w:rPr>
        <w:t>AMRO, WB và UN</w:t>
      </w:r>
    </w:p>
    <w:p w14:paraId="3521F941" w14:textId="1F65831E" w:rsidR="00C556D4" w:rsidRPr="00A67545" w:rsidRDefault="00C556D4" w:rsidP="00121DEA">
      <w:pPr>
        <w:spacing w:before="80" w:after="0" w:line="240" w:lineRule="auto"/>
        <w:ind w:firstLine="720"/>
        <w:jc w:val="both"/>
        <w:rPr>
          <w:szCs w:val="28"/>
        </w:rPr>
      </w:pPr>
      <w:r w:rsidRPr="00A67545">
        <w:rPr>
          <w:szCs w:val="28"/>
          <w:lang w:val="vi-VN"/>
        </w:rPr>
        <w:t xml:space="preserve">Theo Hình </w:t>
      </w:r>
      <w:r w:rsidRPr="00A67545">
        <w:rPr>
          <w:szCs w:val="28"/>
        </w:rPr>
        <w:t>6</w:t>
      </w:r>
      <w:r w:rsidRPr="00A67545">
        <w:rPr>
          <w:szCs w:val="28"/>
          <w:lang w:val="vi-VN"/>
        </w:rPr>
        <w:t xml:space="preserve">, </w:t>
      </w:r>
      <w:r w:rsidRPr="00A67545">
        <w:rPr>
          <w:szCs w:val="28"/>
        </w:rPr>
        <w:t>các tổ chức quốc tế gồm AMRO, WB và UN</w:t>
      </w:r>
      <w:r w:rsidR="002C0D6C" w:rsidRPr="00A67545">
        <w:rPr>
          <w:szCs w:val="28"/>
        </w:rPr>
        <w:t xml:space="preserve"> đều</w:t>
      </w:r>
      <w:r w:rsidRPr="00A67545">
        <w:rPr>
          <w:szCs w:val="28"/>
        </w:rPr>
        <w:t xml:space="preserve"> dự báo </w:t>
      </w:r>
      <w:r w:rsidRPr="00A67545">
        <w:rPr>
          <w:szCs w:val="28"/>
          <w:lang w:val="vi-VN"/>
        </w:rPr>
        <w:t xml:space="preserve">tăng trưởng </w:t>
      </w:r>
      <w:r w:rsidRPr="00A67545">
        <w:rPr>
          <w:szCs w:val="28"/>
        </w:rPr>
        <w:t>năm 2025 của Việt Nam cao nhất trong khu vực</w:t>
      </w:r>
      <w:r w:rsidR="003E41C2" w:rsidRPr="00A67545">
        <w:rPr>
          <w:szCs w:val="28"/>
        </w:rPr>
        <w:t>,</w:t>
      </w:r>
      <w:r w:rsidRPr="00A67545">
        <w:rPr>
          <w:szCs w:val="28"/>
        </w:rPr>
        <w:t xml:space="preserve"> lần lượt ở mức từ 6,5-</w:t>
      </w:r>
      <w:r w:rsidRPr="00A67545">
        <w:rPr>
          <w:szCs w:val="28"/>
        </w:rPr>
        <w:lastRenderedPageBreak/>
        <w:t>6,</w:t>
      </w:r>
      <w:r w:rsidR="007E3663" w:rsidRPr="00A67545">
        <w:rPr>
          <w:szCs w:val="28"/>
        </w:rPr>
        <w:t>8</w:t>
      </w:r>
      <w:r w:rsidRPr="00A67545">
        <w:rPr>
          <w:szCs w:val="28"/>
        </w:rPr>
        <w:t xml:space="preserve">%; tiếp theo là Phi-li-pin đạt từ 6,1-6,3% và Cam-pu-chia đạt từ 5,5-6,0%. </w:t>
      </w:r>
      <w:r w:rsidR="00624EC7" w:rsidRPr="00A67545">
        <w:rPr>
          <w:szCs w:val="28"/>
        </w:rPr>
        <w:t>D</w:t>
      </w:r>
      <w:r w:rsidRPr="00A67545">
        <w:rPr>
          <w:szCs w:val="28"/>
        </w:rPr>
        <w:t>ự báo tăng trưởng năm 2025 của Thái Lan được</w:t>
      </w:r>
      <w:r w:rsidR="002C0D6C" w:rsidRPr="00A67545">
        <w:rPr>
          <w:szCs w:val="28"/>
        </w:rPr>
        <w:t xml:space="preserve"> AMRO và UN</w:t>
      </w:r>
      <w:r w:rsidRPr="00A67545">
        <w:rPr>
          <w:szCs w:val="28"/>
        </w:rPr>
        <w:t xml:space="preserve"> dự báo </w:t>
      </w:r>
      <w:r w:rsidR="00B174C4">
        <w:rPr>
          <w:szCs w:val="28"/>
        </w:rPr>
        <w:t>đạt thấp, 3,3% và 3,1%; Xin-ga-po</w:t>
      </w:r>
      <w:r w:rsidRPr="00A67545">
        <w:rPr>
          <w:szCs w:val="28"/>
        </w:rPr>
        <w:t xml:space="preserve"> đạt 2,0</w:t>
      </w:r>
      <w:r w:rsidR="00B174C4">
        <w:rPr>
          <w:szCs w:val="28"/>
        </w:rPr>
        <w:t xml:space="preserve"> và </w:t>
      </w:r>
      <w:r w:rsidRPr="00A67545">
        <w:rPr>
          <w:szCs w:val="28"/>
        </w:rPr>
        <w:t>2,6%.</w:t>
      </w:r>
    </w:p>
    <w:p w14:paraId="73640209" w14:textId="77777777" w:rsidR="00C556D4" w:rsidRPr="00A67545" w:rsidRDefault="00C556D4" w:rsidP="00121DEA">
      <w:pPr>
        <w:spacing w:before="80" w:after="0" w:line="240" w:lineRule="auto"/>
        <w:ind w:firstLine="720"/>
        <w:jc w:val="both"/>
        <w:rPr>
          <w:spacing w:val="-2"/>
          <w:szCs w:val="28"/>
          <w:lang w:val="vi-VN"/>
        </w:rPr>
      </w:pPr>
      <w:r w:rsidRPr="00A67545">
        <w:rPr>
          <w:i/>
          <w:spacing w:val="-2"/>
          <w:szCs w:val="28"/>
          <w:lang w:val="vi-VN"/>
        </w:rPr>
        <w:t>Theo Trading Economics</w:t>
      </w:r>
      <w:r w:rsidRPr="00A67545">
        <w:rPr>
          <w:spacing w:val="-2"/>
          <w:szCs w:val="28"/>
          <w:lang w:val="vi-VN"/>
        </w:rPr>
        <w:t xml:space="preserve">, dự báo tăng trưởng Quý </w:t>
      </w:r>
      <w:r w:rsidRPr="00A67545">
        <w:rPr>
          <w:spacing w:val="-2"/>
          <w:szCs w:val="28"/>
        </w:rPr>
        <w:t>I</w:t>
      </w:r>
      <w:r w:rsidRPr="00A67545">
        <w:rPr>
          <w:spacing w:val="-2"/>
          <w:szCs w:val="28"/>
          <w:lang w:val="vi-VN"/>
        </w:rPr>
        <w:t>/202</w:t>
      </w:r>
      <w:r w:rsidRPr="00A67545">
        <w:rPr>
          <w:spacing w:val="-2"/>
          <w:szCs w:val="28"/>
        </w:rPr>
        <w:t>5</w:t>
      </w:r>
      <w:r w:rsidRPr="00A67545">
        <w:rPr>
          <w:spacing w:val="-2"/>
          <w:szCs w:val="28"/>
          <w:lang w:val="vi-VN"/>
        </w:rPr>
        <w:t xml:space="preserve"> so với cùng kỳ năm trước của Phi-li-pin đạt </w:t>
      </w:r>
      <w:r w:rsidRPr="00A67545">
        <w:rPr>
          <w:spacing w:val="-2"/>
          <w:szCs w:val="28"/>
        </w:rPr>
        <w:t>5,9</w:t>
      </w:r>
      <w:r w:rsidRPr="00A67545">
        <w:rPr>
          <w:spacing w:val="-2"/>
          <w:szCs w:val="28"/>
          <w:lang w:val="vi-VN"/>
        </w:rPr>
        <w:t xml:space="preserve">%; In-đô-nê-xi-a </w:t>
      </w:r>
      <w:r w:rsidRPr="00A67545">
        <w:rPr>
          <w:szCs w:val="28"/>
        </w:rPr>
        <w:t>4,9</w:t>
      </w:r>
      <w:r w:rsidRPr="00A67545">
        <w:rPr>
          <w:spacing w:val="-2"/>
          <w:szCs w:val="28"/>
          <w:lang w:val="vi-VN"/>
        </w:rPr>
        <w:t xml:space="preserve">%; Ma-lai-xi-a </w:t>
      </w:r>
      <w:r w:rsidRPr="00A67545">
        <w:rPr>
          <w:spacing w:val="-2"/>
          <w:szCs w:val="28"/>
        </w:rPr>
        <w:t>5,2</w:t>
      </w:r>
      <w:r w:rsidRPr="00A67545">
        <w:rPr>
          <w:spacing w:val="-2"/>
          <w:szCs w:val="28"/>
          <w:lang w:val="vi-VN"/>
        </w:rPr>
        <w:t xml:space="preserve">%; Thái Lan </w:t>
      </w:r>
      <w:r w:rsidRPr="00A67545">
        <w:rPr>
          <w:spacing w:val="-2"/>
          <w:szCs w:val="28"/>
        </w:rPr>
        <w:t>3,0</w:t>
      </w:r>
      <w:r w:rsidRPr="00A67545">
        <w:rPr>
          <w:spacing w:val="-2"/>
          <w:szCs w:val="28"/>
          <w:lang w:val="vi-VN"/>
        </w:rPr>
        <w:t xml:space="preserve">%, Xin-ga-po </w:t>
      </w:r>
      <w:r w:rsidRPr="00A67545">
        <w:rPr>
          <w:spacing w:val="-2"/>
          <w:szCs w:val="28"/>
        </w:rPr>
        <w:t>4,4</w:t>
      </w:r>
      <w:r w:rsidRPr="00A67545">
        <w:rPr>
          <w:spacing w:val="-2"/>
          <w:szCs w:val="28"/>
          <w:lang w:val="vi-VN"/>
        </w:rPr>
        <w:t xml:space="preserve">%. Tăng trưởng Quý </w:t>
      </w:r>
      <w:r w:rsidRPr="00A67545">
        <w:rPr>
          <w:spacing w:val="-2"/>
          <w:szCs w:val="28"/>
        </w:rPr>
        <w:t>I</w:t>
      </w:r>
      <w:r w:rsidRPr="00A67545">
        <w:rPr>
          <w:spacing w:val="-2"/>
          <w:szCs w:val="28"/>
          <w:lang w:val="vi-VN"/>
        </w:rPr>
        <w:t>/202</w:t>
      </w:r>
      <w:r w:rsidRPr="00A67545">
        <w:rPr>
          <w:spacing w:val="-2"/>
          <w:szCs w:val="28"/>
        </w:rPr>
        <w:t>5</w:t>
      </w:r>
      <w:r w:rsidRPr="00A67545">
        <w:rPr>
          <w:spacing w:val="-2"/>
          <w:szCs w:val="28"/>
          <w:lang w:val="vi-VN"/>
        </w:rPr>
        <w:t xml:space="preserve"> so với quý trước của các quốc gia trên lần lượt là </w:t>
      </w:r>
      <w:r w:rsidRPr="00A67545">
        <w:rPr>
          <w:spacing w:val="-2"/>
          <w:szCs w:val="28"/>
        </w:rPr>
        <w:t>1,2</w:t>
      </w:r>
      <w:r w:rsidRPr="00A67545">
        <w:rPr>
          <w:spacing w:val="-2"/>
          <w:szCs w:val="28"/>
          <w:lang w:val="vi-VN"/>
        </w:rPr>
        <w:t xml:space="preserve">%; </w:t>
      </w:r>
      <w:r w:rsidRPr="00A67545">
        <w:rPr>
          <w:spacing w:val="-2"/>
          <w:szCs w:val="28"/>
        </w:rPr>
        <w:t>-0,7</w:t>
      </w:r>
      <w:r w:rsidRPr="00A67545">
        <w:rPr>
          <w:spacing w:val="-2"/>
          <w:szCs w:val="28"/>
          <w:lang w:val="vi-VN"/>
        </w:rPr>
        <w:t xml:space="preserve">%; </w:t>
      </w:r>
      <w:r w:rsidRPr="00A67545">
        <w:rPr>
          <w:spacing w:val="-2"/>
          <w:szCs w:val="28"/>
        </w:rPr>
        <w:t>1,5</w:t>
      </w:r>
      <w:r w:rsidRPr="00A67545">
        <w:rPr>
          <w:spacing w:val="-2"/>
          <w:szCs w:val="28"/>
          <w:lang w:val="vi-VN"/>
        </w:rPr>
        <w:t xml:space="preserve">%; </w:t>
      </w:r>
      <w:r w:rsidRPr="00A67545">
        <w:rPr>
          <w:spacing w:val="-2"/>
          <w:szCs w:val="28"/>
        </w:rPr>
        <w:t>0</w:t>
      </w:r>
      <w:r w:rsidRPr="00A67545">
        <w:rPr>
          <w:spacing w:val="-2"/>
          <w:szCs w:val="28"/>
          <w:lang w:val="vi-VN"/>
        </w:rPr>
        <w:t>,</w:t>
      </w:r>
      <w:r w:rsidRPr="00A67545">
        <w:rPr>
          <w:spacing w:val="-2"/>
          <w:szCs w:val="28"/>
        </w:rPr>
        <w:t>9</w:t>
      </w:r>
      <w:r w:rsidRPr="00A67545">
        <w:rPr>
          <w:spacing w:val="-2"/>
          <w:szCs w:val="28"/>
          <w:lang w:val="vi-VN"/>
        </w:rPr>
        <w:t xml:space="preserve">% và </w:t>
      </w:r>
      <w:r w:rsidRPr="00A67545">
        <w:rPr>
          <w:spacing w:val="-2"/>
          <w:szCs w:val="28"/>
        </w:rPr>
        <w:t>1,1</w:t>
      </w:r>
      <w:r w:rsidRPr="00A67545">
        <w:rPr>
          <w:spacing w:val="-2"/>
          <w:szCs w:val="28"/>
          <w:lang w:val="vi-VN"/>
        </w:rPr>
        <w:t>%.</w:t>
      </w:r>
    </w:p>
    <w:p w14:paraId="5EAF01CA" w14:textId="77777777" w:rsidR="00C556D4" w:rsidRPr="00A67545" w:rsidRDefault="00C556D4" w:rsidP="00121DEA">
      <w:pPr>
        <w:spacing w:before="80" w:after="0" w:line="240" w:lineRule="auto"/>
        <w:ind w:firstLine="720"/>
        <w:jc w:val="both"/>
        <w:rPr>
          <w:b/>
          <w:szCs w:val="28"/>
          <w:lang w:val="vi-VN"/>
        </w:rPr>
      </w:pPr>
      <w:r w:rsidRPr="00A67545">
        <w:rPr>
          <w:b/>
          <w:szCs w:val="28"/>
          <w:lang w:val="vi-VN"/>
        </w:rPr>
        <w:t>6. Việt Nam</w:t>
      </w:r>
    </w:p>
    <w:p w14:paraId="7AE47939" w14:textId="41403363" w:rsidR="00C556D4" w:rsidRPr="00A67545" w:rsidRDefault="00C556D4" w:rsidP="00121DEA">
      <w:pPr>
        <w:spacing w:before="80" w:after="0" w:line="240" w:lineRule="auto"/>
        <w:ind w:firstLine="720"/>
        <w:jc w:val="both"/>
        <w:rPr>
          <w:b/>
          <w:i/>
          <w:szCs w:val="28"/>
          <w:lang w:val="vi-VN"/>
        </w:rPr>
      </w:pPr>
      <w:r w:rsidRPr="00A67545">
        <w:rPr>
          <w:b/>
          <w:i/>
          <w:szCs w:val="28"/>
          <w:lang w:val="vi-VN"/>
        </w:rPr>
        <w:t>WB</w:t>
      </w:r>
      <w:r w:rsidRPr="00A67545">
        <w:rPr>
          <w:rStyle w:val="FootnoteReference"/>
          <w:b/>
          <w:i/>
          <w:szCs w:val="28"/>
          <w:lang w:val="vi-VN"/>
        </w:rPr>
        <w:footnoteReference w:id="14"/>
      </w:r>
      <w:r w:rsidRPr="00A67545">
        <w:rPr>
          <w:b/>
          <w:i/>
          <w:szCs w:val="28"/>
          <w:lang w:val="vi-VN"/>
        </w:rPr>
        <w:t xml:space="preserve"> </w:t>
      </w:r>
    </w:p>
    <w:p w14:paraId="2A0B6D8E" w14:textId="1717A7E3" w:rsidR="00C556D4" w:rsidRPr="00A67545" w:rsidRDefault="00C556D4" w:rsidP="00121DEA">
      <w:pPr>
        <w:spacing w:before="80" w:after="0" w:line="240" w:lineRule="auto"/>
        <w:ind w:firstLine="720"/>
        <w:jc w:val="both"/>
        <w:rPr>
          <w:spacing w:val="-4"/>
          <w:lang w:val="vi-VN"/>
        </w:rPr>
      </w:pPr>
      <w:r w:rsidRPr="00A67545">
        <w:rPr>
          <w:spacing w:val="-4"/>
          <w:lang w:val="vi-VN"/>
        </w:rPr>
        <w:t xml:space="preserve">Tăng trưởng kinh tế của Việt Nam trong năm 2024 được hỗ trợ </w:t>
      </w:r>
      <w:r w:rsidR="003E41C2" w:rsidRPr="00A67545">
        <w:rPr>
          <w:spacing w:val="-4"/>
        </w:rPr>
        <w:t>bởi</w:t>
      </w:r>
      <w:r w:rsidRPr="00A67545">
        <w:rPr>
          <w:spacing w:val="-4"/>
          <w:lang w:val="vi-VN"/>
        </w:rPr>
        <w:t xml:space="preserve"> xuất khẩu</w:t>
      </w:r>
      <w:r w:rsidR="003E41C2" w:rsidRPr="00A67545">
        <w:rPr>
          <w:spacing w:val="-4"/>
        </w:rPr>
        <w:t xml:space="preserve"> phục hồi</w:t>
      </w:r>
      <w:r w:rsidRPr="00A67545">
        <w:rPr>
          <w:spacing w:val="-4"/>
          <w:lang w:val="vi-VN"/>
        </w:rPr>
        <w:t>, nhu cầu toàn cầu về các sản phẩm công nghệ gia tăng. Những bất ổn chính đối với triển vọng</w:t>
      </w:r>
      <w:r w:rsidRPr="00A67545">
        <w:rPr>
          <w:spacing w:val="-4"/>
        </w:rPr>
        <w:t xml:space="preserve"> </w:t>
      </w:r>
      <w:r w:rsidRPr="00A67545">
        <w:rPr>
          <w:spacing w:val="-4"/>
          <w:lang w:val="vi-VN"/>
        </w:rPr>
        <w:t>tăng trưởng bao gồm tăng trưởng toàn cầu chậm hơn dự kiến và gián đoạn thương</w:t>
      </w:r>
      <w:r w:rsidRPr="00A67545">
        <w:rPr>
          <w:spacing w:val="-4"/>
        </w:rPr>
        <w:t xml:space="preserve"> </w:t>
      </w:r>
      <w:r w:rsidRPr="00A67545">
        <w:rPr>
          <w:spacing w:val="-4"/>
          <w:lang w:val="vi-VN"/>
        </w:rPr>
        <w:t>mại, đặc biệt là giữa các đối tác thương mại lớn của Việt Nam.</w:t>
      </w:r>
    </w:p>
    <w:p w14:paraId="13769F27" w14:textId="0FC3DBB4" w:rsidR="00C556D4" w:rsidRPr="00A67545" w:rsidRDefault="00C556D4" w:rsidP="00121DEA">
      <w:pPr>
        <w:spacing w:before="80" w:after="0" w:line="240" w:lineRule="auto"/>
        <w:ind w:firstLine="720"/>
        <w:jc w:val="both"/>
        <w:rPr>
          <w:spacing w:val="-4"/>
        </w:rPr>
      </w:pPr>
      <w:r w:rsidRPr="00A67545">
        <w:rPr>
          <w:i/>
          <w:spacing w:val="-4"/>
        </w:rPr>
        <w:t>Theo WB</w:t>
      </w:r>
      <w:r w:rsidRPr="00A67545">
        <w:rPr>
          <w:spacing w:val="-4"/>
        </w:rPr>
        <w:t>,</w:t>
      </w:r>
      <w:r w:rsidRPr="00A67545">
        <w:rPr>
          <w:spacing w:val="-4"/>
          <w:lang w:val="vi-VN"/>
        </w:rPr>
        <w:t xml:space="preserve"> </w:t>
      </w:r>
      <w:r w:rsidRPr="00A67545">
        <w:rPr>
          <w:spacing w:val="-4"/>
        </w:rPr>
        <w:t>t</w:t>
      </w:r>
      <w:r w:rsidRPr="00A67545">
        <w:rPr>
          <w:spacing w:val="-4"/>
          <w:lang w:val="vi-VN"/>
        </w:rPr>
        <w:t>rong hai năm tới kinh tế Việt Nam được dự báo sẽ tiếp tục tăng trưởng mạnh</w:t>
      </w:r>
      <w:r w:rsidRPr="00A67545">
        <w:rPr>
          <w:spacing w:val="-4"/>
        </w:rPr>
        <w:t xml:space="preserve"> mẽ</w:t>
      </w:r>
      <w:r w:rsidRPr="00A67545">
        <w:rPr>
          <w:spacing w:val="-4"/>
          <w:lang w:val="vi-VN"/>
        </w:rPr>
        <w:t>. Đầu tư công thúc đẩy tăng trưởng, đặc biệt là trong</w:t>
      </w:r>
      <w:r w:rsidRPr="00A67545">
        <w:rPr>
          <w:spacing w:val="-4"/>
        </w:rPr>
        <w:t xml:space="preserve"> </w:t>
      </w:r>
      <w:r w:rsidRPr="00A67545">
        <w:rPr>
          <w:spacing w:val="-4"/>
          <w:lang w:val="vi-VN"/>
        </w:rPr>
        <w:t>lĩnh vực hạ tầng đô thị, giao thông và năng lượng sẽ rất quan trọng, với điều kiện chính</w:t>
      </w:r>
      <w:r w:rsidRPr="00A67545">
        <w:rPr>
          <w:spacing w:val="-4"/>
        </w:rPr>
        <w:t xml:space="preserve"> </w:t>
      </w:r>
      <w:r w:rsidRPr="00A67545">
        <w:rPr>
          <w:spacing w:val="-4"/>
          <w:lang w:val="vi-VN"/>
        </w:rPr>
        <w:t>quyền có thể tăng quy mô đầu tư công và đảm bảo chi tiêu hiệu quả</w:t>
      </w:r>
      <w:r w:rsidRPr="00A67545">
        <w:rPr>
          <w:spacing w:val="-4"/>
        </w:rPr>
        <w:t xml:space="preserve">. </w:t>
      </w:r>
      <w:r w:rsidRPr="00A67545">
        <w:rPr>
          <w:spacing w:val="-4"/>
          <w:lang w:val="vi-VN"/>
        </w:rPr>
        <w:t>Việt Nam có thể sử dụng dư địa tài khóa để chuẩn bị tốt hơn cho những</w:t>
      </w:r>
      <w:r w:rsidRPr="00A67545">
        <w:rPr>
          <w:spacing w:val="-4"/>
        </w:rPr>
        <w:t xml:space="preserve"> </w:t>
      </w:r>
      <w:r w:rsidRPr="00A67545">
        <w:rPr>
          <w:spacing w:val="-4"/>
          <w:lang w:val="vi-VN"/>
        </w:rPr>
        <w:t>bất ổn gia tăng</w:t>
      </w:r>
      <w:r w:rsidRPr="00A67545">
        <w:rPr>
          <w:spacing w:val="-4"/>
        </w:rPr>
        <w:t>. Theo đó, GDP của Việt Nam được dự báo sẽ tăng trưởng 6,8% vào năm 2025.</w:t>
      </w:r>
    </w:p>
    <w:p w14:paraId="1A2F3E3C" w14:textId="77777777" w:rsidR="005B3F4C" w:rsidRPr="00A67545" w:rsidRDefault="005B3F4C" w:rsidP="00121DEA">
      <w:pPr>
        <w:spacing w:before="80" w:after="0" w:line="240" w:lineRule="auto"/>
        <w:ind w:firstLine="720"/>
        <w:jc w:val="both"/>
        <w:rPr>
          <w:b/>
          <w:bCs/>
          <w:i/>
          <w:iCs/>
          <w:spacing w:val="-8"/>
        </w:rPr>
      </w:pPr>
      <w:r w:rsidRPr="00A67545">
        <w:rPr>
          <w:b/>
          <w:bCs/>
          <w:i/>
          <w:iCs/>
          <w:spacing w:val="-8"/>
        </w:rPr>
        <w:t>AMRO</w:t>
      </w:r>
    </w:p>
    <w:p w14:paraId="78FCED79" w14:textId="21734044" w:rsidR="005B3F4C" w:rsidRPr="00A67545" w:rsidRDefault="005B3F4C" w:rsidP="00121DEA">
      <w:pPr>
        <w:spacing w:before="80" w:after="0" w:line="240" w:lineRule="auto"/>
        <w:ind w:firstLine="720"/>
        <w:jc w:val="both"/>
        <w:rPr>
          <w:spacing w:val="-4"/>
        </w:rPr>
      </w:pPr>
      <w:r w:rsidRPr="00A67545">
        <w:rPr>
          <w:bCs/>
          <w:iCs/>
        </w:rPr>
        <w:t>Theo AMRO, nền kinh tế Việt Nam được dự báo tăng trưởng 6,6% năm 2025, trong bối cảnh triển vọng tăng trưởng chung ổn định cho khu vực ASEAN+3. Tuy nhiên, căng thẳng thương mại đặt ra rủi ro giảm tăng trưởng cho các nền kinh tế trong khu vực trong đó có Việt Nam trong thời gian tới.</w:t>
      </w:r>
    </w:p>
    <w:p w14:paraId="48C46858" w14:textId="779D3BA4" w:rsidR="00C556D4" w:rsidRPr="00A67545" w:rsidRDefault="00C556D4" w:rsidP="00121DEA">
      <w:pPr>
        <w:spacing w:before="80" w:after="0" w:line="240" w:lineRule="auto"/>
        <w:ind w:firstLine="720"/>
        <w:jc w:val="both"/>
        <w:rPr>
          <w:b/>
          <w:i/>
          <w:spacing w:val="-4"/>
        </w:rPr>
      </w:pPr>
      <w:r w:rsidRPr="00A67545">
        <w:rPr>
          <w:b/>
          <w:i/>
          <w:spacing w:val="-4"/>
        </w:rPr>
        <w:t>UN</w:t>
      </w:r>
    </w:p>
    <w:p w14:paraId="31E3D541" w14:textId="15D9A6EE" w:rsidR="00C556D4" w:rsidRPr="00A67545" w:rsidRDefault="00C556D4" w:rsidP="00121DEA">
      <w:pPr>
        <w:spacing w:before="80" w:after="0" w:line="240" w:lineRule="auto"/>
        <w:ind w:firstLine="720"/>
        <w:jc w:val="both"/>
      </w:pPr>
      <w:r w:rsidRPr="00A67545">
        <w:rPr>
          <w:lang w:val="vi-VN"/>
        </w:rPr>
        <w:t xml:space="preserve">Báo cáo </w:t>
      </w:r>
      <w:r w:rsidRPr="00A67545">
        <w:t>“</w:t>
      </w:r>
      <w:r w:rsidRPr="00A67545">
        <w:rPr>
          <w:lang w:val="vi-VN"/>
        </w:rPr>
        <w:t>Tình hình và triển vọng kinh tế thế giới năm 2025</w:t>
      </w:r>
      <w:r w:rsidRPr="00A67545">
        <w:t>”</w:t>
      </w:r>
      <w:r w:rsidRPr="00A67545">
        <w:rPr>
          <w:lang w:val="vi-VN"/>
        </w:rPr>
        <w:t xml:space="preserve"> của </w:t>
      </w:r>
      <w:r w:rsidRPr="00A67545">
        <w:t>UN</w:t>
      </w:r>
      <w:r w:rsidRPr="00A67545">
        <w:rPr>
          <w:lang w:val="vi-VN"/>
        </w:rPr>
        <w:t xml:space="preserve"> </w:t>
      </w:r>
      <w:r w:rsidR="003E41C2" w:rsidRPr="00A67545">
        <w:t xml:space="preserve">cho thấy </w:t>
      </w:r>
      <w:r w:rsidRPr="00A67545">
        <w:rPr>
          <w:lang w:val="vi-VN"/>
        </w:rPr>
        <w:t xml:space="preserve">Việt Nam đã duy trì đà tăng trưởng mạnh mẽ, với tăng trưởng dự kiến sẽ duy trì </w:t>
      </w:r>
      <w:r w:rsidRPr="00A67545">
        <w:t>ở mức 6,5% trong năm 2025</w:t>
      </w:r>
      <w:r w:rsidRPr="00A67545">
        <w:rPr>
          <w:lang w:val="vi-VN"/>
        </w:rPr>
        <w:t xml:space="preserve">. </w:t>
      </w:r>
      <w:r w:rsidRPr="00A67545">
        <w:t>T</w:t>
      </w:r>
      <w:r w:rsidRPr="00A67545">
        <w:rPr>
          <w:lang w:val="vi-VN"/>
        </w:rPr>
        <w:t>ăng trưởng dự kiến sẽ được thúc đẩy bởi các ngành công nghiệp hướng đến xuất khẩu và dòng vốn FDI tích cực</w:t>
      </w:r>
      <w:r w:rsidRPr="00A67545">
        <w:t>.</w:t>
      </w:r>
    </w:p>
    <w:p w14:paraId="3F0394AB" w14:textId="69CA1AFD" w:rsidR="00C556D4" w:rsidRPr="00A67545" w:rsidRDefault="00C556D4" w:rsidP="00121DEA">
      <w:pPr>
        <w:spacing w:before="80" w:after="0" w:line="240" w:lineRule="auto"/>
        <w:jc w:val="center"/>
        <w:rPr>
          <w:b/>
          <w:spacing w:val="-4"/>
          <w:lang w:val="vi-VN"/>
        </w:rPr>
      </w:pPr>
      <w:r w:rsidRPr="00A67545">
        <w:rPr>
          <w:bCs/>
          <w:iCs/>
        </w:rPr>
        <w:t xml:space="preserve"> </w:t>
      </w:r>
      <w:r w:rsidRPr="00A67545">
        <w:rPr>
          <w:b/>
          <w:spacing w:val="-4"/>
          <w:lang w:val="vi-VN"/>
        </w:rPr>
        <w:t>Hình 7. Đánh giá tăng trưởng năm 202</w:t>
      </w:r>
      <w:r w:rsidRPr="00A67545">
        <w:rPr>
          <w:b/>
          <w:spacing w:val="-4"/>
        </w:rPr>
        <w:t>4</w:t>
      </w:r>
      <w:r w:rsidRPr="00A67545">
        <w:rPr>
          <w:b/>
          <w:spacing w:val="-4"/>
          <w:lang w:val="vi-VN"/>
        </w:rPr>
        <w:t xml:space="preserve"> và dự báo tăng trưởng</w:t>
      </w:r>
      <w:r w:rsidR="00FC4A2A" w:rsidRPr="00A67545">
        <w:rPr>
          <w:b/>
          <w:spacing w:val="-4"/>
          <w:lang w:val="vi-VN"/>
        </w:rPr>
        <w:br/>
      </w:r>
      <w:r w:rsidR="006378D6">
        <w:rPr>
          <w:b/>
          <w:spacing w:val="-4"/>
        </w:rPr>
        <w:t>năm 2025</w:t>
      </w:r>
      <w:r w:rsidRPr="00A67545">
        <w:rPr>
          <w:b/>
          <w:spacing w:val="-4"/>
        </w:rPr>
        <w:t xml:space="preserve"> </w:t>
      </w:r>
      <w:r w:rsidRPr="00A67545">
        <w:rPr>
          <w:b/>
          <w:spacing w:val="-4"/>
          <w:lang w:val="vi-VN"/>
        </w:rPr>
        <w:t>của Việt Nam theo các tổ chức quốc tế</w:t>
      </w:r>
    </w:p>
    <w:p w14:paraId="076B3B57" w14:textId="28C94B45" w:rsidR="00C556D4" w:rsidRPr="00A67545" w:rsidRDefault="00B60753" w:rsidP="00C556D4">
      <w:pPr>
        <w:spacing w:before="120" w:after="120" w:line="240" w:lineRule="auto"/>
        <w:jc w:val="center"/>
        <w:rPr>
          <w:b/>
          <w:spacing w:val="-4"/>
          <w:lang w:val="vi-VN"/>
        </w:rPr>
      </w:pPr>
      <w:r>
        <w:rPr>
          <w:b/>
          <w:noProof/>
          <w:spacing w:val="-4"/>
        </w:rPr>
        <w:drawing>
          <wp:inline distT="0" distB="0" distL="0" distR="0" wp14:anchorId="6FA8CABE" wp14:editId="044E70C9">
            <wp:extent cx="3316311" cy="1762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6112" cy="1772646"/>
                    </a:xfrm>
                    <a:prstGeom prst="rect">
                      <a:avLst/>
                    </a:prstGeom>
                    <a:noFill/>
                  </pic:spPr>
                </pic:pic>
              </a:graphicData>
            </a:graphic>
          </wp:inline>
        </w:drawing>
      </w:r>
    </w:p>
    <w:p w14:paraId="37D03C91" w14:textId="3F8C711B" w:rsidR="00C556D4" w:rsidRPr="00A67545" w:rsidRDefault="00C556D4" w:rsidP="00C556D4">
      <w:pPr>
        <w:spacing w:before="120" w:after="120" w:line="240" w:lineRule="auto"/>
        <w:ind w:firstLine="720"/>
        <w:jc w:val="right"/>
        <w:rPr>
          <w:bCs/>
          <w:i/>
          <w:iCs/>
          <w:sz w:val="24"/>
          <w:szCs w:val="24"/>
        </w:rPr>
      </w:pPr>
      <w:r w:rsidRPr="00A67545">
        <w:rPr>
          <w:bCs/>
          <w:i/>
          <w:iCs/>
          <w:sz w:val="24"/>
          <w:szCs w:val="24"/>
          <w:lang w:val="vi-VN"/>
        </w:rPr>
        <w:lastRenderedPageBreak/>
        <w:t xml:space="preserve">Nguồn: WB, </w:t>
      </w:r>
      <w:r w:rsidR="00836DFE" w:rsidRPr="00A67545">
        <w:rPr>
          <w:bCs/>
          <w:i/>
          <w:iCs/>
          <w:sz w:val="24"/>
          <w:szCs w:val="24"/>
        </w:rPr>
        <w:t xml:space="preserve">AMRO và </w:t>
      </w:r>
      <w:r w:rsidRPr="00A67545">
        <w:rPr>
          <w:bCs/>
          <w:i/>
          <w:iCs/>
          <w:sz w:val="24"/>
          <w:szCs w:val="24"/>
        </w:rPr>
        <w:t>UN</w:t>
      </w:r>
    </w:p>
    <w:p w14:paraId="4AB056D9" w14:textId="6A117B51" w:rsidR="00C556D4" w:rsidRPr="00A67545" w:rsidRDefault="00C556D4" w:rsidP="00C556D4">
      <w:pPr>
        <w:spacing w:before="120" w:after="120" w:line="240" w:lineRule="auto"/>
        <w:ind w:firstLine="720"/>
        <w:jc w:val="both"/>
      </w:pPr>
      <w:r w:rsidRPr="00A67545">
        <w:rPr>
          <w:lang w:val="vi-VN"/>
        </w:rPr>
        <w:t xml:space="preserve">Theo </w:t>
      </w:r>
      <w:r w:rsidR="00BB05DF" w:rsidRPr="00A67545">
        <w:t>h</w:t>
      </w:r>
      <w:r w:rsidRPr="00A67545">
        <w:rPr>
          <w:lang w:val="vi-VN"/>
        </w:rPr>
        <w:t xml:space="preserve">ình trên, các tổ chức quốc tế đều nhận định tăng trưởng của Việt Nam </w:t>
      </w:r>
      <w:r w:rsidRPr="00A67545">
        <w:t xml:space="preserve">năm 2025 </w:t>
      </w:r>
      <w:r w:rsidR="00624EC7" w:rsidRPr="00A67545">
        <w:t xml:space="preserve">cao </w:t>
      </w:r>
      <w:r w:rsidRPr="00A67545">
        <w:t>trên 6</w:t>
      </w:r>
      <w:r w:rsidR="00836DFE" w:rsidRPr="00A67545">
        <w:t>,0</w:t>
      </w:r>
      <w:r w:rsidRPr="00A67545">
        <w:t xml:space="preserve">%. Cụ thể, WB dự báo tăng trưởng năm 2025 của Việt Nam cao nhất ở mức 6,8%, tiếp theo là AMRO 6,6% và UN </w:t>
      </w:r>
      <w:r w:rsidR="00836DFE" w:rsidRPr="00A67545">
        <w:t>là</w:t>
      </w:r>
      <w:r w:rsidRPr="00A67545">
        <w:t xml:space="preserve"> 6,5%.</w:t>
      </w:r>
    </w:p>
    <w:p w14:paraId="6A00AA4E" w14:textId="77777777" w:rsidR="00C556D4" w:rsidRPr="00A67545" w:rsidRDefault="00C556D4" w:rsidP="00C556D4">
      <w:pPr>
        <w:spacing w:before="120" w:after="120" w:line="240" w:lineRule="auto"/>
        <w:ind w:firstLine="720"/>
        <w:jc w:val="both"/>
        <w:rPr>
          <w:lang w:val="vi-VN"/>
        </w:rPr>
      </w:pPr>
      <w:r w:rsidRPr="00A67545" w:rsidDel="00D060FD">
        <w:rPr>
          <w:i/>
          <w:lang w:val="vi-VN"/>
        </w:rPr>
        <w:t>Theo Trading Economics</w:t>
      </w:r>
      <w:r w:rsidRPr="00A67545" w:rsidDel="00D060FD">
        <w:rPr>
          <w:lang w:val="vi-VN"/>
        </w:rPr>
        <w:t xml:space="preserve">, tăng trưởng Quý </w:t>
      </w:r>
      <w:r w:rsidRPr="00A67545">
        <w:t>I</w:t>
      </w:r>
      <w:r w:rsidRPr="00A67545" w:rsidDel="00D060FD">
        <w:rPr>
          <w:lang w:val="vi-VN"/>
        </w:rPr>
        <w:t>/202</w:t>
      </w:r>
      <w:r w:rsidRPr="00A67545">
        <w:t>5</w:t>
      </w:r>
      <w:r w:rsidRPr="00A67545" w:rsidDel="00D060FD">
        <w:rPr>
          <w:lang w:val="vi-VN"/>
        </w:rPr>
        <w:t xml:space="preserve"> của Việt Nam so với cùng kỳ năm trước đạt </w:t>
      </w:r>
      <w:r w:rsidRPr="00A67545">
        <w:t>6,8</w:t>
      </w:r>
      <w:r w:rsidRPr="00A67545" w:rsidDel="00D060FD">
        <w:rPr>
          <w:lang w:val="vi-VN"/>
        </w:rPr>
        <w:t>%</w:t>
      </w:r>
      <w:r w:rsidRPr="00A67545">
        <w:rPr>
          <w:lang w:val="vi-VN"/>
        </w:rPr>
        <w:t>.</w:t>
      </w:r>
    </w:p>
    <w:p w14:paraId="36926C9F" w14:textId="77777777" w:rsidR="00C556D4" w:rsidRPr="00A67545" w:rsidRDefault="00C556D4" w:rsidP="00C556D4">
      <w:pPr>
        <w:spacing w:after="0" w:line="240" w:lineRule="auto"/>
        <w:rPr>
          <w:lang w:val="vi-VN"/>
        </w:rPr>
      </w:pPr>
      <w:r w:rsidRPr="00A67545">
        <w:rPr>
          <w:lang w:val="vi-VN"/>
        </w:rPr>
        <w:br w:type="page"/>
      </w:r>
    </w:p>
    <w:p w14:paraId="1A93BFD7" w14:textId="77777777" w:rsidR="00BB05DF" w:rsidRPr="00A67545" w:rsidRDefault="00BB05DF" w:rsidP="00BB05DF">
      <w:pPr>
        <w:spacing w:before="120" w:after="120" w:line="240" w:lineRule="auto"/>
        <w:jc w:val="center"/>
        <w:rPr>
          <w:b/>
          <w:lang w:val="vi-VN"/>
        </w:rPr>
      </w:pPr>
      <w:r w:rsidRPr="00A67545">
        <w:rPr>
          <w:b/>
          <w:lang w:val="vi-VN"/>
        </w:rPr>
        <w:lastRenderedPageBreak/>
        <w:t xml:space="preserve">Biểu 1. Tốc độ tăng trưởng GDP Quý </w:t>
      </w:r>
      <w:r w:rsidRPr="00A67545">
        <w:rPr>
          <w:b/>
        </w:rPr>
        <w:t>I</w:t>
      </w:r>
      <w:r w:rsidRPr="00A67545">
        <w:rPr>
          <w:b/>
          <w:lang w:val="vi-VN"/>
        </w:rPr>
        <w:t xml:space="preserve"> năm 202</w:t>
      </w:r>
      <w:r w:rsidRPr="00A67545">
        <w:rPr>
          <w:b/>
        </w:rPr>
        <w:t>5</w:t>
      </w:r>
      <w:r w:rsidRPr="00A67545">
        <w:rPr>
          <w:b/>
          <w:lang w:val="vi-VN"/>
        </w:rPr>
        <w:t xml:space="preserve"> của một số quốc gia</w:t>
      </w:r>
    </w:p>
    <w:p w14:paraId="313359BF" w14:textId="77777777" w:rsidR="00BB05DF" w:rsidRPr="00A67545" w:rsidRDefault="00BB05DF" w:rsidP="00BB05DF">
      <w:pPr>
        <w:spacing w:before="120" w:after="120" w:line="240" w:lineRule="auto"/>
        <w:ind w:firstLine="720"/>
        <w:jc w:val="right"/>
        <w:rPr>
          <w:i/>
          <w:sz w:val="24"/>
          <w:szCs w:val="24"/>
          <w:lang w:val="vi-VN"/>
        </w:rPr>
      </w:pPr>
      <w:r w:rsidRPr="00A67545">
        <w:rPr>
          <w:i/>
          <w:sz w:val="24"/>
          <w:szCs w:val="24"/>
          <w:lang w:val="vi-VN"/>
        </w:rPr>
        <w:t>Đơn vị tính: %</w:t>
      </w:r>
    </w:p>
    <w:tbl>
      <w:tblPr>
        <w:tblStyle w:val="GridTable4-Accent11"/>
        <w:tblW w:w="5000" w:type="pct"/>
        <w:tblLayout w:type="fixed"/>
        <w:tblLook w:val="04A0" w:firstRow="1" w:lastRow="0" w:firstColumn="1" w:lastColumn="0" w:noHBand="0" w:noVBand="1"/>
      </w:tblPr>
      <w:tblGrid>
        <w:gridCol w:w="857"/>
        <w:gridCol w:w="2725"/>
        <w:gridCol w:w="2723"/>
        <w:gridCol w:w="2865"/>
      </w:tblGrid>
      <w:tr w:rsidR="00A67545" w:rsidRPr="00A67545" w14:paraId="6092C352" w14:textId="77777777" w:rsidTr="00E15E6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67" w:type="pct"/>
            <w:vMerge w:val="restart"/>
            <w:tcBorders>
              <w:right w:val="single" w:sz="4" w:space="0" w:color="4F81BD"/>
            </w:tcBorders>
            <w:noWrap/>
            <w:vAlign w:val="center"/>
            <w:hideMark/>
          </w:tcPr>
          <w:p w14:paraId="1A06C889" w14:textId="77777777" w:rsidR="00BB05DF" w:rsidRPr="00A67545" w:rsidRDefault="00BB05DF" w:rsidP="00E15E66">
            <w:pPr>
              <w:jc w:val="center"/>
              <w:rPr>
                <w:rFonts w:eastAsia="Calibri" w:cs="Times New Roman"/>
                <w:color w:val="auto"/>
                <w:szCs w:val="28"/>
                <w:lang w:val="vi-VN"/>
              </w:rPr>
            </w:pPr>
            <w:r w:rsidRPr="00A67545">
              <w:rPr>
                <w:rFonts w:eastAsia="Calibri" w:cs="Times New Roman"/>
                <w:color w:val="auto"/>
                <w:szCs w:val="28"/>
                <w:lang w:val="vi-VN"/>
              </w:rPr>
              <w:t>STT</w:t>
            </w:r>
          </w:p>
        </w:tc>
        <w:tc>
          <w:tcPr>
            <w:tcW w:w="1486" w:type="pct"/>
            <w:vMerge w:val="restart"/>
            <w:tcBorders>
              <w:left w:val="single" w:sz="4" w:space="0" w:color="4F81BD"/>
              <w:right w:val="single" w:sz="4" w:space="0" w:color="4F81BD"/>
            </w:tcBorders>
            <w:noWrap/>
            <w:vAlign w:val="center"/>
            <w:hideMark/>
          </w:tcPr>
          <w:p w14:paraId="1147E293" w14:textId="77777777" w:rsidR="00BB05DF" w:rsidRPr="00A67545" w:rsidRDefault="00BB05DF" w:rsidP="00E15E66">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8"/>
                <w:lang w:val="vi-VN"/>
              </w:rPr>
            </w:pPr>
            <w:r w:rsidRPr="00A67545">
              <w:rPr>
                <w:rFonts w:eastAsia="Calibri" w:cs="Times New Roman"/>
                <w:color w:val="auto"/>
                <w:szCs w:val="28"/>
                <w:lang w:val="vi-VN"/>
              </w:rPr>
              <w:t>Quốc gia</w:t>
            </w:r>
          </w:p>
        </w:tc>
        <w:tc>
          <w:tcPr>
            <w:tcW w:w="3047" w:type="pct"/>
            <w:gridSpan w:val="2"/>
            <w:tcBorders>
              <w:left w:val="single" w:sz="4" w:space="0" w:color="4F81BD"/>
            </w:tcBorders>
            <w:noWrap/>
            <w:vAlign w:val="center"/>
            <w:hideMark/>
          </w:tcPr>
          <w:p w14:paraId="0DCBDABA" w14:textId="77777777" w:rsidR="00BB05DF" w:rsidRPr="00A67545" w:rsidRDefault="00BB05DF" w:rsidP="00E15E66">
            <w:pPr>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rPr>
            </w:pPr>
            <w:r w:rsidRPr="00A67545">
              <w:rPr>
                <w:rFonts w:eastAsia="Times New Roman" w:cs="Times New Roman"/>
                <w:color w:val="auto"/>
                <w:szCs w:val="28"/>
                <w:lang w:val="vi-VN"/>
              </w:rPr>
              <w:t xml:space="preserve">Dự báo tăng trưởng GDP Quý </w:t>
            </w:r>
            <w:r w:rsidRPr="00A67545">
              <w:rPr>
                <w:rFonts w:eastAsia="Times New Roman" w:cs="Times New Roman"/>
                <w:color w:val="auto"/>
                <w:szCs w:val="28"/>
              </w:rPr>
              <w:t>I</w:t>
            </w:r>
            <w:r w:rsidRPr="00A67545">
              <w:rPr>
                <w:rFonts w:eastAsia="Times New Roman" w:cs="Times New Roman"/>
                <w:color w:val="auto"/>
                <w:szCs w:val="28"/>
                <w:lang w:val="vi-VN"/>
              </w:rPr>
              <w:t xml:space="preserve"> năm 202</w:t>
            </w:r>
            <w:r w:rsidRPr="00A67545">
              <w:rPr>
                <w:rFonts w:eastAsia="Times New Roman" w:cs="Times New Roman"/>
                <w:color w:val="auto"/>
                <w:szCs w:val="28"/>
              </w:rPr>
              <w:t>5</w:t>
            </w:r>
          </w:p>
        </w:tc>
      </w:tr>
      <w:tr w:rsidR="00A67545" w:rsidRPr="00A67545" w14:paraId="6376020C" w14:textId="77777777" w:rsidTr="00E15E66">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000" w:firstRow="0" w:lastRow="0" w:firstColumn="1" w:lastColumn="0" w:oddVBand="0" w:evenVBand="0" w:oddHBand="0" w:evenHBand="0" w:firstRowFirstColumn="0" w:firstRowLastColumn="0" w:lastRowFirstColumn="0" w:lastRowLastColumn="0"/>
            <w:tcW w:w="467" w:type="pct"/>
            <w:vMerge/>
            <w:tcBorders>
              <w:right w:val="single" w:sz="4" w:space="0" w:color="4F81BD"/>
            </w:tcBorders>
            <w:noWrap/>
            <w:vAlign w:val="center"/>
          </w:tcPr>
          <w:p w14:paraId="795C1201" w14:textId="77777777" w:rsidR="00BB05DF" w:rsidRPr="00A67545" w:rsidRDefault="00BB05DF" w:rsidP="00E15E66">
            <w:pPr>
              <w:jc w:val="center"/>
              <w:rPr>
                <w:rFonts w:eastAsia="Calibri" w:cs="Times New Roman"/>
                <w:i/>
                <w:color w:val="auto"/>
                <w:szCs w:val="28"/>
                <w:lang w:val="vi-VN"/>
              </w:rPr>
            </w:pPr>
          </w:p>
        </w:tc>
        <w:tc>
          <w:tcPr>
            <w:tcW w:w="1486" w:type="pct"/>
            <w:vMerge/>
            <w:tcBorders>
              <w:left w:val="single" w:sz="4" w:space="0" w:color="4F81BD"/>
              <w:right w:val="single" w:sz="4" w:space="0" w:color="4F81BD"/>
            </w:tcBorders>
            <w:noWrap/>
            <w:vAlign w:val="center"/>
          </w:tcPr>
          <w:p w14:paraId="5C2B9BCF" w14:textId="77777777" w:rsidR="00BB05DF" w:rsidRPr="00A67545" w:rsidRDefault="00BB05DF" w:rsidP="00E15E66">
            <w:pPr>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lang w:val="vi-VN"/>
              </w:rPr>
            </w:pPr>
          </w:p>
        </w:tc>
        <w:tc>
          <w:tcPr>
            <w:tcW w:w="1485" w:type="pct"/>
            <w:tcBorders>
              <w:left w:val="single" w:sz="4" w:space="0" w:color="4F81BD"/>
              <w:right w:val="single" w:sz="4" w:space="0" w:color="4F81BD"/>
            </w:tcBorders>
            <w:shd w:val="clear" w:color="auto" w:fill="365F91"/>
            <w:noWrap/>
            <w:vAlign w:val="center"/>
          </w:tcPr>
          <w:p w14:paraId="10054053" w14:textId="77777777" w:rsidR="00BB05DF" w:rsidRPr="00A67545" w:rsidRDefault="00BB05DF" w:rsidP="00E15E66">
            <w:pPr>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rPr>
            </w:pPr>
            <w:r w:rsidRPr="00A67545">
              <w:rPr>
                <w:rFonts w:eastAsia="Times New Roman" w:cs="Times New Roman"/>
                <w:color w:val="auto"/>
                <w:szCs w:val="28"/>
                <w:lang w:val="vi-VN"/>
              </w:rPr>
              <w:t xml:space="preserve">So với Quý </w:t>
            </w:r>
            <w:r w:rsidRPr="00A67545">
              <w:rPr>
                <w:rFonts w:eastAsia="Times New Roman" w:cs="Times New Roman"/>
                <w:color w:val="auto"/>
                <w:szCs w:val="28"/>
              </w:rPr>
              <w:t>I</w:t>
            </w:r>
            <w:r w:rsidRPr="00A67545">
              <w:rPr>
                <w:rFonts w:eastAsia="Times New Roman" w:cs="Times New Roman"/>
                <w:color w:val="auto"/>
                <w:szCs w:val="28"/>
                <w:lang w:val="vi-VN"/>
              </w:rPr>
              <w:t>/202</w:t>
            </w:r>
            <w:r w:rsidRPr="00A67545">
              <w:rPr>
                <w:rFonts w:eastAsia="Times New Roman" w:cs="Times New Roman"/>
                <w:color w:val="auto"/>
                <w:szCs w:val="28"/>
              </w:rPr>
              <w:t>4</w:t>
            </w:r>
          </w:p>
        </w:tc>
        <w:tc>
          <w:tcPr>
            <w:tcW w:w="1562" w:type="pct"/>
            <w:tcBorders>
              <w:left w:val="single" w:sz="4" w:space="0" w:color="4F81BD"/>
            </w:tcBorders>
            <w:shd w:val="clear" w:color="auto" w:fill="365F91"/>
            <w:noWrap/>
            <w:vAlign w:val="center"/>
          </w:tcPr>
          <w:p w14:paraId="348167C0" w14:textId="77777777" w:rsidR="00BB05DF" w:rsidRPr="00A67545" w:rsidRDefault="00BB05DF" w:rsidP="00E15E66">
            <w:pPr>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rPr>
            </w:pPr>
            <w:r w:rsidRPr="00A67545">
              <w:rPr>
                <w:rFonts w:eastAsia="Times New Roman" w:cs="Times New Roman"/>
                <w:color w:val="auto"/>
                <w:szCs w:val="28"/>
                <w:lang w:val="vi-VN"/>
              </w:rPr>
              <w:t>So với Quý I</w:t>
            </w:r>
            <w:r w:rsidRPr="00A67545">
              <w:rPr>
                <w:rFonts w:eastAsia="Times New Roman" w:cs="Times New Roman"/>
                <w:color w:val="auto"/>
                <w:szCs w:val="28"/>
              </w:rPr>
              <w:t>V</w:t>
            </w:r>
            <w:r w:rsidRPr="00A67545">
              <w:rPr>
                <w:rFonts w:eastAsia="Times New Roman" w:cs="Times New Roman"/>
                <w:color w:val="auto"/>
                <w:szCs w:val="28"/>
                <w:lang w:val="vi-VN"/>
              </w:rPr>
              <w:t>/202</w:t>
            </w:r>
            <w:r w:rsidRPr="00A67545">
              <w:rPr>
                <w:rFonts w:eastAsia="Times New Roman" w:cs="Times New Roman"/>
                <w:color w:val="auto"/>
                <w:szCs w:val="28"/>
              </w:rPr>
              <w:t>4</w:t>
            </w:r>
          </w:p>
        </w:tc>
      </w:tr>
      <w:tr w:rsidR="00A67545" w:rsidRPr="00A67545" w14:paraId="6D82DB76"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41396345"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w:t>
            </w:r>
          </w:p>
        </w:tc>
        <w:tc>
          <w:tcPr>
            <w:tcW w:w="1486" w:type="pct"/>
            <w:noWrap/>
            <w:hideMark/>
          </w:tcPr>
          <w:p w14:paraId="51A230E5"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rPr>
              <w:t>Ca-na-đa</w:t>
            </w:r>
          </w:p>
        </w:tc>
        <w:tc>
          <w:tcPr>
            <w:tcW w:w="1485" w:type="pct"/>
            <w:noWrap/>
          </w:tcPr>
          <w:p w14:paraId="563AB16F"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1,4</w:t>
            </w:r>
          </w:p>
        </w:tc>
        <w:tc>
          <w:tcPr>
            <w:tcW w:w="1562" w:type="pct"/>
            <w:noWrap/>
          </w:tcPr>
          <w:p w14:paraId="24B5CCE9"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0,2</w:t>
            </w:r>
          </w:p>
        </w:tc>
      </w:tr>
      <w:tr w:rsidR="00A67545" w:rsidRPr="00A67545" w14:paraId="7D376503" w14:textId="77777777" w:rsidTr="00E15E66">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502A2F62"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2</w:t>
            </w:r>
          </w:p>
        </w:tc>
        <w:tc>
          <w:tcPr>
            <w:tcW w:w="1486" w:type="pct"/>
            <w:noWrap/>
            <w:hideMark/>
          </w:tcPr>
          <w:p w14:paraId="7D68A3A1" w14:textId="77777777" w:rsidR="00BB05DF" w:rsidRPr="00A67545" w:rsidRDefault="00BB05DF" w:rsidP="00E15E66">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A67545">
              <w:rPr>
                <w:rFonts w:eastAsia="Calibri" w:cs="Times New Roman"/>
              </w:rPr>
              <w:t>Hoa Kỳ</w:t>
            </w:r>
          </w:p>
        </w:tc>
        <w:tc>
          <w:tcPr>
            <w:tcW w:w="1485" w:type="pct"/>
            <w:noWrap/>
          </w:tcPr>
          <w:p w14:paraId="325A604F" w14:textId="77777777" w:rsidR="00BB05DF" w:rsidRPr="00A67545" w:rsidRDefault="00BB05DF" w:rsidP="00E15E6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2,5</w:t>
            </w:r>
          </w:p>
        </w:tc>
        <w:tc>
          <w:tcPr>
            <w:tcW w:w="1562" w:type="pct"/>
            <w:noWrap/>
          </w:tcPr>
          <w:p w14:paraId="502D8440" w14:textId="77777777" w:rsidR="00BB05DF" w:rsidRPr="00A67545" w:rsidRDefault="00BB05DF" w:rsidP="00E15E6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0,9</w:t>
            </w:r>
          </w:p>
        </w:tc>
      </w:tr>
      <w:tr w:rsidR="00A67545" w:rsidRPr="00A67545" w14:paraId="3F697CAB"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512B1528"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3</w:t>
            </w:r>
          </w:p>
        </w:tc>
        <w:tc>
          <w:tcPr>
            <w:tcW w:w="1486" w:type="pct"/>
            <w:noWrap/>
            <w:hideMark/>
          </w:tcPr>
          <w:p w14:paraId="7CD77D1D"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rPr>
              <w:t>Anh</w:t>
            </w:r>
          </w:p>
        </w:tc>
        <w:tc>
          <w:tcPr>
            <w:tcW w:w="1485" w:type="pct"/>
            <w:noWrap/>
          </w:tcPr>
          <w:p w14:paraId="71E7BCB7"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0,9</w:t>
            </w:r>
          </w:p>
        </w:tc>
        <w:tc>
          <w:tcPr>
            <w:tcW w:w="1562" w:type="pct"/>
            <w:noWrap/>
          </w:tcPr>
          <w:p w14:paraId="623FA9FF"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0,3</w:t>
            </w:r>
          </w:p>
        </w:tc>
      </w:tr>
      <w:tr w:rsidR="00A67545" w:rsidRPr="00A67545" w14:paraId="7D8865F7" w14:textId="77777777" w:rsidTr="00E15E66">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4CE08E94"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4</w:t>
            </w:r>
          </w:p>
        </w:tc>
        <w:tc>
          <w:tcPr>
            <w:tcW w:w="1486" w:type="pct"/>
            <w:noWrap/>
            <w:hideMark/>
          </w:tcPr>
          <w:p w14:paraId="5DCA912A" w14:textId="77777777" w:rsidR="00BB05DF" w:rsidRPr="00A67545" w:rsidRDefault="00BB05DF" w:rsidP="00E15E66">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A67545">
              <w:rPr>
                <w:rFonts w:eastAsia="Calibri" w:cs="Times New Roman"/>
              </w:rPr>
              <w:t>Đức</w:t>
            </w:r>
          </w:p>
        </w:tc>
        <w:tc>
          <w:tcPr>
            <w:tcW w:w="1485" w:type="pct"/>
            <w:noWrap/>
          </w:tcPr>
          <w:p w14:paraId="3F2FEA73" w14:textId="77777777" w:rsidR="00BB05DF" w:rsidRPr="00A67545" w:rsidRDefault="00BB05DF" w:rsidP="00E15E6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-0,1</w:t>
            </w:r>
          </w:p>
        </w:tc>
        <w:tc>
          <w:tcPr>
            <w:tcW w:w="1562" w:type="pct"/>
            <w:noWrap/>
          </w:tcPr>
          <w:p w14:paraId="2C4210B9" w14:textId="77777777" w:rsidR="00BB05DF" w:rsidRPr="00A67545" w:rsidRDefault="00BB05DF" w:rsidP="00E15E6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0,2</w:t>
            </w:r>
          </w:p>
        </w:tc>
      </w:tr>
      <w:tr w:rsidR="00A67545" w:rsidRPr="00A67545" w14:paraId="14AB6290"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74BCAFFC"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5</w:t>
            </w:r>
          </w:p>
        </w:tc>
        <w:tc>
          <w:tcPr>
            <w:tcW w:w="1486" w:type="pct"/>
            <w:noWrap/>
            <w:hideMark/>
          </w:tcPr>
          <w:p w14:paraId="05B84F1C"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rPr>
              <w:t>Pháp</w:t>
            </w:r>
          </w:p>
        </w:tc>
        <w:tc>
          <w:tcPr>
            <w:tcW w:w="1485" w:type="pct"/>
            <w:noWrap/>
          </w:tcPr>
          <w:p w14:paraId="0ABFA2B1"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0,6</w:t>
            </w:r>
          </w:p>
        </w:tc>
        <w:tc>
          <w:tcPr>
            <w:tcW w:w="1562" w:type="pct"/>
            <w:noWrap/>
          </w:tcPr>
          <w:p w14:paraId="74D118A5"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0,1</w:t>
            </w:r>
          </w:p>
        </w:tc>
      </w:tr>
      <w:tr w:rsidR="00A67545" w:rsidRPr="00A67545" w14:paraId="159B27F6" w14:textId="77777777" w:rsidTr="00E15E66">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0DF0E217"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6</w:t>
            </w:r>
          </w:p>
        </w:tc>
        <w:tc>
          <w:tcPr>
            <w:tcW w:w="1486" w:type="pct"/>
            <w:noWrap/>
            <w:hideMark/>
          </w:tcPr>
          <w:p w14:paraId="6D1E5389" w14:textId="77777777" w:rsidR="00BB05DF" w:rsidRPr="00A67545" w:rsidRDefault="00BB05DF" w:rsidP="00E15E66">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A67545">
              <w:rPr>
                <w:rFonts w:eastAsia="Calibri" w:cs="Times New Roman"/>
              </w:rPr>
              <w:t>I-ta-li-a</w:t>
            </w:r>
          </w:p>
        </w:tc>
        <w:tc>
          <w:tcPr>
            <w:tcW w:w="1485" w:type="pct"/>
            <w:noWrap/>
          </w:tcPr>
          <w:p w14:paraId="3F779E0A" w14:textId="77777777" w:rsidR="00BB05DF" w:rsidRPr="00A67545" w:rsidRDefault="00BB05DF" w:rsidP="00E15E6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0,7</w:t>
            </w:r>
          </w:p>
        </w:tc>
        <w:tc>
          <w:tcPr>
            <w:tcW w:w="1562" w:type="pct"/>
            <w:noWrap/>
          </w:tcPr>
          <w:p w14:paraId="6AF6B56E" w14:textId="77777777" w:rsidR="00BB05DF" w:rsidRPr="00A67545" w:rsidRDefault="00BB05DF" w:rsidP="00E15E6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0,2</w:t>
            </w:r>
          </w:p>
        </w:tc>
      </w:tr>
      <w:tr w:rsidR="00A67545" w:rsidRPr="00A67545" w14:paraId="6F0E2A04"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7C58CA87"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7</w:t>
            </w:r>
          </w:p>
        </w:tc>
        <w:tc>
          <w:tcPr>
            <w:tcW w:w="1486" w:type="pct"/>
            <w:noWrap/>
            <w:hideMark/>
          </w:tcPr>
          <w:p w14:paraId="755E85CA"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rPr>
              <w:t>Tây Ban Nha</w:t>
            </w:r>
          </w:p>
        </w:tc>
        <w:tc>
          <w:tcPr>
            <w:tcW w:w="1485" w:type="pct"/>
            <w:noWrap/>
          </w:tcPr>
          <w:p w14:paraId="463F9430"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3,2</w:t>
            </w:r>
          </w:p>
        </w:tc>
        <w:tc>
          <w:tcPr>
            <w:tcW w:w="1562" w:type="pct"/>
            <w:noWrap/>
          </w:tcPr>
          <w:p w14:paraId="1024CE61"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0,7</w:t>
            </w:r>
          </w:p>
        </w:tc>
      </w:tr>
      <w:tr w:rsidR="00A67545" w:rsidRPr="00A67545" w14:paraId="2A0B4488" w14:textId="77777777" w:rsidTr="00E15E66">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0D6EBFEF"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8</w:t>
            </w:r>
          </w:p>
        </w:tc>
        <w:tc>
          <w:tcPr>
            <w:tcW w:w="1486" w:type="pct"/>
            <w:noWrap/>
            <w:hideMark/>
          </w:tcPr>
          <w:p w14:paraId="6CC5FDA0" w14:textId="77777777" w:rsidR="00BB05DF" w:rsidRPr="00A67545" w:rsidRDefault="00BB05DF" w:rsidP="00E15E66">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A67545">
              <w:rPr>
                <w:rFonts w:eastAsia="Calibri" w:cs="Times New Roman"/>
              </w:rPr>
              <w:t>Trung Quốc</w:t>
            </w:r>
          </w:p>
        </w:tc>
        <w:tc>
          <w:tcPr>
            <w:tcW w:w="1485" w:type="pct"/>
            <w:noWrap/>
          </w:tcPr>
          <w:p w14:paraId="029FE01C" w14:textId="77777777" w:rsidR="00BB05DF" w:rsidRPr="00A67545" w:rsidRDefault="00BB05DF" w:rsidP="00E15E6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5,2</w:t>
            </w:r>
          </w:p>
        </w:tc>
        <w:tc>
          <w:tcPr>
            <w:tcW w:w="1562" w:type="pct"/>
            <w:noWrap/>
          </w:tcPr>
          <w:p w14:paraId="4A6544C0" w14:textId="77777777" w:rsidR="00BB05DF" w:rsidRPr="00A67545" w:rsidRDefault="00BB05DF" w:rsidP="00E15E6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0,9</w:t>
            </w:r>
          </w:p>
        </w:tc>
      </w:tr>
      <w:tr w:rsidR="00A67545" w:rsidRPr="00A67545" w14:paraId="5D7AB9A0"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0D50EA87"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9</w:t>
            </w:r>
          </w:p>
        </w:tc>
        <w:tc>
          <w:tcPr>
            <w:tcW w:w="1486" w:type="pct"/>
            <w:noWrap/>
            <w:hideMark/>
          </w:tcPr>
          <w:p w14:paraId="7441FDB4"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rPr>
              <w:t>Ấn Độ</w:t>
            </w:r>
          </w:p>
        </w:tc>
        <w:tc>
          <w:tcPr>
            <w:tcW w:w="1485" w:type="pct"/>
            <w:noWrap/>
          </w:tcPr>
          <w:p w14:paraId="22AED93B"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6,0</w:t>
            </w:r>
          </w:p>
        </w:tc>
        <w:tc>
          <w:tcPr>
            <w:tcW w:w="1562" w:type="pct"/>
            <w:noWrap/>
          </w:tcPr>
          <w:p w14:paraId="28D06335"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1,1</w:t>
            </w:r>
          </w:p>
        </w:tc>
      </w:tr>
      <w:tr w:rsidR="00A67545" w:rsidRPr="00A67545" w14:paraId="1DBA9CAB" w14:textId="77777777" w:rsidTr="00E15E66">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48301301"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10</w:t>
            </w:r>
          </w:p>
        </w:tc>
        <w:tc>
          <w:tcPr>
            <w:tcW w:w="1486" w:type="pct"/>
            <w:noWrap/>
            <w:hideMark/>
          </w:tcPr>
          <w:p w14:paraId="7755EC12" w14:textId="77777777" w:rsidR="00BB05DF" w:rsidRPr="00A67545" w:rsidRDefault="00BB05DF" w:rsidP="00E15E66">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A67545">
              <w:rPr>
                <w:rFonts w:eastAsia="Calibri" w:cs="Times New Roman"/>
              </w:rPr>
              <w:t>Nhật Bản</w:t>
            </w:r>
          </w:p>
        </w:tc>
        <w:tc>
          <w:tcPr>
            <w:tcW w:w="1485" w:type="pct"/>
            <w:noWrap/>
          </w:tcPr>
          <w:p w14:paraId="364E5F28" w14:textId="77777777" w:rsidR="00BB05DF" w:rsidRPr="00A67545" w:rsidRDefault="00BB05DF" w:rsidP="00E15E6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1,0</w:t>
            </w:r>
          </w:p>
        </w:tc>
        <w:tc>
          <w:tcPr>
            <w:tcW w:w="1562" w:type="pct"/>
            <w:noWrap/>
          </w:tcPr>
          <w:p w14:paraId="77A55BAB" w14:textId="77777777" w:rsidR="00BB05DF" w:rsidRPr="00A67545" w:rsidRDefault="00BB05DF" w:rsidP="00E15E6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0,6</w:t>
            </w:r>
          </w:p>
        </w:tc>
      </w:tr>
      <w:tr w:rsidR="00A67545" w:rsidRPr="00A67545" w14:paraId="5B25D3E1"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1B19152E"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11</w:t>
            </w:r>
          </w:p>
        </w:tc>
        <w:tc>
          <w:tcPr>
            <w:tcW w:w="1486" w:type="pct"/>
            <w:noWrap/>
            <w:hideMark/>
          </w:tcPr>
          <w:p w14:paraId="2C4E3D02"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rPr>
              <w:t>Hàn Quốc</w:t>
            </w:r>
          </w:p>
        </w:tc>
        <w:tc>
          <w:tcPr>
            <w:tcW w:w="1485" w:type="pct"/>
            <w:noWrap/>
          </w:tcPr>
          <w:p w14:paraId="50875183"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0,8</w:t>
            </w:r>
          </w:p>
        </w:tc>
        <w:tc>
          <w:tcPr>
            <w:tcW w:w="1562" w:type="pct"/>
            <w:noWrap/>
          </w:tcPr>
          <w:p w14:paraId="724EFBFB"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0,6</w:t>
            </w:r>
          </w:p>
        </w:tc>
      </w:tr>
      <w:tr w:rsidR="00A67545" w:rsidRPr="00A67545" w14:paraId="5E4FDAAB" w14:textId="77777777" w:rsidTr="00E15E66">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553E36C7"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12</w:t>
            </w:r>
          </w:p>
        </w:tc>
        <w:tc>
          <w:tcPr>
            <w:tcW w:w="1486" w:type="pct"/>
            <w:noWrap/>
            <w:hideMark/>
          </w:tcPr>
          <w:p w14:paraId="4EC85A8A" w14:textId="77777777" w:rsidR="00BB05DF" w:rsidRPr="00A67545" w:rsidRDefault="00BB05DF" w:rsidP="00E15E66">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A67545">
              <w:rPr>
                <w:rFonts w:eastAsia="Calibri" w:cs="Times New Roman"/>
              </w:rPr>
              <w:t>Ô-xtrây-li-a</w:t>
            </w:r>
          </w:p>
        </w:tc>
        <w:tc>
          <w:tcPr>
            <w:tcW w:w="1485" w:type="pct"/>
            <w:noWrap/>
          </w:tcPr>
          <w:p w14:paraId="77464FB3" w14:textId="77777777" w:rsidR="00BB05DF" w:rsidRPr="00A67545" w:rsidRDefault="00BB05DF" w:rsidP="00E15E6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1,9</w:t>
            </w:r>
          </w:p>
        </w:tc>
        <w:tc>
          <w:tcPr>
            <w:tcW w:w="1562" w:type="pct"/>
            <w:noWrap/>
          </w:tcPr>
          <w:p w14:paraId="5F6C719F" w14:textId="77777777" w:rsidR="00BB05DF" w:rsidRPr="00A67545" w:rsidRDefault="00BB05DF" w:rsidP="00E15E6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0,4</w:t>
            </w:r>
          </w:p>
        </w:tc>
      </w:tr>
      <w:tr w:rsidR="00A67545" w:rsidRPr="00A67545" w14:paraId="33D8A989"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3884C044"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13</w:t>
            </w:r>
          </w:p>
        </w:tc>
        <w:tc>
          <w:tcPr>
            <w:tcW w:w="1486" w:type="pct"/>
            <w:noWrap/>
            <w:hideMark/>
          </w:tcPr>
          <w:p w14:paraId="57D0CAFE"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rPr>
              <w:t>In-đô-nê-xi-a</w:t>
            </w:r>
          </w:p>
        </w:tc>
        <w:tc>
          <w:tcPr>
            <w:tcW w:w="1485" w:type="pct"/>
            <w:noWrap/>
          </w:tcPr>
          <w:p w14:paraId="00084765"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4,9</w:t>
            </w:r>
          </w:p>
        </w:tc>
        <w:tc>
          <w:tcPr>
            <w:tcW w:w="1562" w:type="pct"/>
            <w:noWrap/>
          </w:tcPr>
          <w:p w14:paraId="58A7AE5A"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-0,7</w:t>
            </w:r>
          </w:p>
        </w:tc>
      </w:tr>
      <w:tr w:rsidR="00A67545" w:rsidRPr="00A67545" w14:paraId="5B18EDC9" w14:textId="77777777" w:rsidTr="00E15E66">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19ECB108"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14</w:t>
            </w:r>
          </w:p>
        </w:tc>
        <w:tc>
          <w:tcPr>
            <w:tcW w:w="1486" w:type="pct"/>
            <w:noWrap/>
            <w:hideMark/>
          </w:tcPr>
          <w:p w14:paraId="28504597" w14:textId="77777777" w:rsidR="00BB05DF" w:rsidRPr="00A67545" w:rsidRDefault="00BB05DF" w:rsidP="00E15E66">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A67545">
              <w:rPr>
                <w:rFonts w:eastAsia="Calibri" w:cs="Times New Roman"/>
              </w:rPr>
              <w:t>Thái Lan</w:t>
            </w:r>
          </w:p>
        </w:tc>
        <w:tc>
          <w:tcPr>
            <w:tcW w:w="1485" w:type="pct"/>
            <w:noWrap/>
          </w:tcPr>
          <w:p w14:paraId="2A8A88D9" w14:textId="77777777" w:rsidR="00BB05DF" w:rsidRPr="00A67545" w:rsidRDefault="00BB05DF" w:rsidP="00E15E6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3,0</w:t>
            </w:r>
          </w:p>
        </w:tc>
        <w:tc>
          <w:tcPr>
            <w:tcW w:w="1562" w:type="pct"/>
            <w:noWrap/>
          </w:tcPr>
          <w:p w14:paraId="1FB0C241" w14:textId="77777777" w:rsidR="00BB05DF" w:rsidRPr="00A67545" w:rsidRDefault="00BB05DF" w:rsidP="00E15E6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0,9</w:t>
            </w:r>
          </w:p>
        </w:tc>
      </w:tr>
      <w:tr w:rsidR="00A67545" w:rsidRPr="00A67545" w14:paraId="4F15E5EE"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66671E5F"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15</w:t>
            </w:r>
          </w:p>
        </w:tc>
        <w:tc>
          <w:tcPr>
            <w:tcW w:w="1486" w:type="pct"/>
            <w:noWrap/>
            <w:hideMark/>
          </w:tcPr>
          <w:p w14:paraId="1D050100"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rPr>
              <w:t>Ma-lai-xi-a</w:t>
            </w:r>
          </w:p>
        </w:tc>
        <w:tc>
          <w:tcPr>
            <w:tcW w:w="1485" w:type="pct"/>
            <w:noWrap/>
          </w:tcPr>
          <w:p w14:paraId="64041259"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5,2</w:t>
            </w:r>
          </w:p>
        </w:tc>
        <w:tc>
          <w:tcPr>
            <w:tcW w:w="1562" w:type="pct"/>
            <w:noWrap/>
          </w:tcPr>
          <w:p w14:paraId="0B40C6C3"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1,5</w:t>
            </w:r>
          </w:p>
        </w:tc>
      </w:tr>
      <w:tr w:rsidR="00A67545" w:rsidRPr="00A67545" w14:paraId="6AE3107D" w14:textId="77777777" w:rsidTr="00E15E66">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1622B30E"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16</w:t>
            </w:r>
          </w:p>
        </w:tc>
        <w:tc>
          <w:tcPr>
            <w:tcW w:w="1486" w:type="pct"/>
            <w:noWrap/>
            <w:hideMark/>
          </w:tcPr>
          <w:p w14:paraId="4C3BE086" w14:textId="77777777" w:rsidR="00BB05DF" w:rsidRPr="00A67545" w:rsidRDefault="00BB05DF" w:rsidP="00E15E66">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A67545">
              <w:rPr>
                <w:rFonts w:eastAsia="Calibri" w:cs="Times New Roman"/>
              </w:rPr>
              <w:t>Xin-ga-po</w:t>
            </w:r>
          </w:p>
        </w:tc>
        <w:tc>
          <w:tcPr>
            <w:tcW w:w="1485" w:type="pct"/>
            <w:noWrap/>
          </w:tcPr>
          <w:p w14:paraId="3021569D" w14:textId="77777777" w:rsidR="00BB05DF" w:rsidRPr="00A67545" w:rsidRDefault="00BB05DF" w:rsidP="00E15E6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4,4</w:t>
            </w:r>
          </w:p>
        </w:tc>
        <w:tc>
          <w:tcPr>
            <w:tcW w:w="1562" w:type="pct"/>
            <w:noWrap/>
          </w:tcPr>
          <w:p w14:paraId="0A048806" w14:textId="77777777" w:rsidR="00BB05DF" w:rsidRPr="00A67545" w:rsidRDefault="00BB05DF" w:rsidP="00E15E6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1,1</w:t>
            </w:r>
          </w:p>
        </w:tc>
      </w:tr>
      <w:tr w:rsidR="00A67545" w:rsidRPr="00A67545" w14:paraId="4E039D03"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23FC8219"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17</w:t>
            </w:r>
          </w:p>
        </w:tc>
        <w:tc>
          <w:tcPr>
            <w:tcW w:w="1486" w:type="pct"/>
            <w:noWrap/>
            <w:hideMark/>
          </w:tcPr>
          <w:p w14:paraId="2917C822"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rPr>
              <w:t>Bru-nây</w:t>
            </w:r>
          </w:p>
        </w:tc>
        <w:tc>
          <w:tcPr>
            <w:tcW w:w="1485" w:type="pct"/>
            <w:noWrap/>
          </w:tcPr>
          <w:p w14:paraId="10658C08"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-1,4</w:t>
            </w:r>
          </w:p>
        </w:tc>
        <w:tc>
          <w:tcPr>
            <w:tcW w:w="1562" w:type="pct"/>
            <w:noWrap/>
          </w:tcPr>
          <w:p w14:paraId="22B9D3EB"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p>
        </w:tc>
      </w:tr>
      <w:tr w:rsidR="00A67545" w:rsidRPr="00A67545" w14:paraId="7057FBAF" w14:textId="77777777" w:rsidTr="00E15E66">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tcPr>
          <w:p w14:paraId="7BAB503B"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18</w:t>
            </w:r>
          </w:p>
        </w:tc>
        <w:tc>
          <w:tcPr>
            <w:tcW w:w="1486" w:type="pct"/>
            <w:noWrap/>
          </w:tcPr>
          <w:p w14:paraId="7631E6F5" w14:textId="77777777" w:rsidR="00BB05DF" w:rsidRPr="00A67545" w:rsidRDefault="00BB05DF" w:rsidP="00E15E66">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A67545">
              <w:rPr>
                <w:rFonts w:eastAsia="Calibri" w:cs="Times New Roman"/>
              </w:rPr>
              <w:t>Phi-lip-pin</w:t>
            </w:r>
          </w:p>
        </w:tc>
        <w:tc>
          <w:tcPr>
            <w:tcW w:w="1485" w:type="pct"/>
            <w:noWrap/>
          </w:tcPr>
          <w:p w14:paraId="73764B33" w14:textId="77777777" w:rsidR="00BB05DF" w:rsidRPr="00A67545" w:rsidRDefault="00BB05DF" w:rsidP="00E15E6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5,9</w:t>
            </w:r>
          </w:p>
        </w:tc>
        <w:tc>
          <w:tcPr>
            <w:tcW w:w="1562" w:type="pct"/>
            <w:noWrap/>
          </w:tcPr>
          <w:p w14:paraId="1C2FC9A8" w14:textId="77777777" w:rsidR="00BB05DF" w:rsidRPr="00A67545" w:rsidRDefault="00BB05DF" w:rsidP="00E15E6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A67545">
              <w:t>1,2</w:t>
            </w:r>
          </w:p>
        </w:tc>
      </w:tr>
      <w:tr w:rsidR="00A67545" w:rsidRPr="00A67545" w14:paraId="16BF4CF6" w14:textId="77777777" w:rsidTr="00E15E6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tcPr>
          <w:p w14:paraId="7A5F579D" w14:textId="77777777" w:rsidR="00BB05DF" w:rsidRPr="00A67545" w:rsidRDefault="00BB05DF" w:rsidP="00E15E66">
            <w:pPr>
              <w:jc w:val="center"/>
              <w:rPr>
                <w:rFonts w:eastAsia="Calibri" w:cs="Times New Roman"/>
                <w:szCs w:val="28"/>
                <w:lang w:val="vi-VN"/>
              </w:rPr>
            </w:pPr>
            <w:r w:rsidRPr="00A67545">
              <w:rPr>
                <w:rFonts w:eastAsia="Calibri" w:cs="Times New Roman"/>
                <w:szCs w:val="28"/>
                <w:lang w:val="vi-VN"/>
              </w:rPr>
              <w:t>19</w:t>
            </w:r>
          </w:p>
        </w:tc>
        <w:tc>
          <w:tcPr>
            <w:tcW w:w="1486" w:type="pct"/>
            <w:noWrap/>
          </w:tcPr>
          <w:p w14:paraId="36B129BB" w14:textId="77777777" w:rsidR="00BB05DF" w:rsidRPr="00A67545" w:rsidRDefault="00BB05DF" w:rsidP="00E15E66">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A67545">
              <w:rPr>
                <w:rFonts w:eastAsia="Calibri" w:cs="Times New Roman"/>
                <w:lang w:val="vi-VN"/>
              </w:rPr>
              <w:t>Việt Nam</w:t>
            </w:r>
          </w:p>
        </w:tc>
        <w:tc>
          <w:tcPr>
            <w:tcW w:w="1485" w:type="pct"/>
            <w:noWrap/>
          </w:tcPr>
          <w:p w14:paraId="459AC2F9" w14:textId="77777777" w:rsidR="00BB05DF" w:rsidRPr="00A67545" w:rsidRDefault="00BB05DF" w:rsidP="00E15E6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A67545">
              <w:t>6,8</w:t>
            </w:r>
          </w:p>
        </w:tc>
        <w:tc>
          <w:tcPr>
            <w:tcW w:w="1562" w:type="pct"/>
            <w:noWrap/>
          </w:tcPr>
          <w:p w14:paraId="5D36B4B4" w14:textId="77777777" w:rsidR="00BB05DF" w:rsidRPr="00A67545" w:rsidRDefault="00BB05DF" w:rsidP="00E15E6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lang w:val="vi-VN"/>
              </w:rPr>
            </w:pPr>
          </w:p>
        </w:tc>
      </w:tr>
    </w:tbl>
    <w:p w14:paraId="43F83E9A" w14:textId="562BE847" w:rsidR="00BB05DF" w:rsidRPr="00A67545" w:rsidRDefault="00BB05DF" w:rsidP="00BB05DF">
      <w:pPr>
        <w:spacing w:before="120" w:after="120" w:line="240" w:lineRule="auto"/>
        <w:ind w:firstLine="720"/>
        <w:jc w:val="right"/>
        <w:rPr>
          <w:i/>
          <w:sz w:val="24"/>
          <w:lang w:val="vi-VN"/>
        </w:rPr>
      </w:pPr>
      <w:r w:rsidRPr="00A67545">
        <w:rPr>
          <w:i/>
          <w:sz w:val="24"/>
          <w:lang w:val="vi-VN"/>
        </w:rPr>
        <w:t xml:space="preserve">Nguồn: Trading Economics, cập nhật ngày </w:t>
      </w:r>
      <w:r w:rsidR="00E04392" w:rsidRPr="00A67545">
        <w:rPr>
          <w:i/>
          <w:sz w:val="24"/>
        </w:rPr>
        <w:t>31</w:t>
      </w:r>
      <w:r w:rsidRPr="00A67545">
        <w:rPr>
          <w:i/>
          <w:sz w:val="24"/>
          <w:lang w:val="vi-VN"/>
        </w:rPr>
        <w:t>/</w:t>
      </w:r>
      <w:r w:rsidRPr="00A67545">
        <w:rPr>
          <w:i/>
          <w:sz w:val="24"/>
        </w:rPr>
        <w:t>3</w:t>
      </w:r>
      <w:r w:rsidRPr="00A67545">
        <w:rPr>
          <w:i/>
          <w:sz w:val="24"/>
          <w:lang w:val="vi-VN"/>
        </w:rPr>
        <w:t>/202</w:t>
      </w:r>
      <w:r w:rsidRPr="00A67545">
        <w:rPr>
          <w:i/>
          <w:sz w:val="24"/>
        </w:rPr>
        <w:t>5</w:t>
      </w:r>
      <w:r w:rsidRPr="00A67545">
        <w:rPr>
          <w:i/>
          <w:sz w:val="24"/>
          <w:lang w:val="vi-VN"/>
        </w:rPr>
        <w:t>.</w:t>
      </w:r>
    </w:p>
    <w:p w14:paraId="11646BF9" w14:textId="44E3E021" w:rsidR="00C556D4" w:rsidRPr="00A67545" w:rsidRDefault="00BB05DF" w:rsidP="00C556D4">
      <w:pPr>
        <w:spacing w:after="0" w:line="240" w:lineRule="auto"/>
        <w:rPr>
          <w:b/>
          <w:lang w:val="vi-VN"/>
        </w:rPr>
        <w:sectPr w:rsidR="00C556D4" w:rsidRPr="00A67545" w:rsidSect="00B31EAB">
          <w:headerReference w:type="default" r:id="rId15"/>
          <w:pgSz w:w="11907" w:h="16839" w:code="9"/>
          <w:pgMar w:top="993" w:right="1196" w:bottom="851" w:left="1531" w:header="340" w:footer="340" w:gutter="0"/>
          <w:cols w:space="720"/>
          <w:titlePg/>
          <w:docGrid w:linePitch="381"/>
        </w:sectPr>
      </w:pPr>
      <w:r w:rsidRPr="00A67545">
        <w:rPr>
          <w:b/>
          <w:lang w:val="vi-VN"/>
        </w:rPr>
        <w:br w:type="page"/>
      </w:r>
    </w:p>
    <w:p w14:paraId="270F1356" w14:textId="77777777" w:rsidR="00BB05DF" w:rsidRPr="00A67545" w:rsidRDefault="00BB05DF" w:rsidP="00BB05DF">
      <w:pPr>
        <w:spacing w:after="0" w:line="240" w:lineRule="auto"/>
        <w:jc w:val="center"/>
        <w:rPr>
          <w:b/>
          <w:lang w:val="vi-VN"/>
        </w:rPr>
      </w:pPr>
      <w:r w:rsidRPr="00A67545">
        <w:rPr>
          <w:b/>
          <w:lang w:val="vi-VN"/>
        </w:rPr>
        <w:lastRenderedPageBreak/>
        <w:t xml:space="preserve">Biểu 2. </w:t>
      </w:r>
      <w:r w:rsidRPr="00A67545">
        <w:rPr>
          <w:b/>
          <w:spacing w:val="-4"/>
          <w:lang w:val="vi-VN"/>
        </w:rPr>
        <w:t xml:space="preserve">Đánh giá </w:t>
      </w:r>
      <w:r w:rsidRPr="00A67545">
        <w:rPr>
          <w:b/>
          <w:lang w:val="vi-VN"/>
        </w:rPr>
        <w:t>tốc độ tăng trưởng GDP năm 202</w:t>
      </w:r>
      <w:r w:rsidRPr="00A67545">
        <w:rPr>
          <w:b/>
        </w:rPr>
        <w:t>4</w:t>
      </w:r>
      <w:r w:rsidRPr="00A67545">
        <w:rPr>
          <w:b/>
          <w:lang w:val="vi-VN"/>
        </w:rPr>
        <w:t xml:space="preserve"> và dự báo tăng trưởng năm 202</w:t>
      </w:r>
      <w:r w:rsidRPr="00A67545">
        <w:rPr>
          <w:b/>
        </w:rPr>
        <w:t>5</w:t>
      </w:r>
      <w:r w:rsidRPr="00A67545">
        <w:rPr>
          <w:b/>
          <w:lang w:val="vi-VN"/>
        </w:rPr>
        <w:t xml:space="preserve"> </w:t>
      </w:r>
      <w:r w:rsidRPr="00A67545">
        <w:rPr>
          <w:b/>
        </w:rPr>
        <w:t xml:space="preserve">và 2026 </w:t>
      </w:r>
      <w:r w:rsidRPr="00A67545">
        <w:rPr>
          <w:b/>
        </w:rPr>
        <w:br/>
      </w:r>
      <w:r w:rsidRPr="00A67545">
        <w:rPr>
          <w:b/>
          <w:lang w:val="vi-VN"/>
        </w:rPr>
        <w:t>của toàn cầu và một số quốc gia trên thế giới</w:t>
      </w:r>
      <w:r w:rsidRPr="00A67545" w:rsidDel="00404FB8">
        <w:rPr>
          <w:b/>
          <w:lang w:val="vi-VN"/>
        </w:rPr>
        <w:t xml:space="preserve"> </w:t>
      </w:r>
    </w:p>
    <w:p w14:paraId="0865860A" w14:textId="77777777" w:rsidR="00BB05DF" w:rsidRPr="00A67545" w:rsidRDefault="00BB05DF" w:rsidP="00BB05DF">
      <w:pPr>
        <w:spacing w:before="120" w:after="120" w:line="240" w:lineRule="auto"/>
        <w:ind w:firstLine="720"/>
        <w:jc w:val="right"/>
        <w:rPr>
          <w:i/>
          <w:sz w:val="24"/>
          <w:szCs w:val="24"/>
          <w:lang w:val="vi-VN"/>
        </w:rPr>
      </w:pPr>
      <w:r w:rsidRPr="00A67545">
        <w:rPr>
          <w:i/>
          <w:sz w:val="24"/>
          <w:szCs w:val="24"/>
          <w:lang w:val="vi-VN"/>
        </w:rPr>
        <w:t>Đơn vị tính: %</w:t>
      </w:r>
    </w:p>
    <w:tbl>
      <w:tblPr>
        <w:tblStyle w:val="GridTable4-Accent5"/>
        <w:tblW w:w="5000" w:type="pct"/>
        <w:tblLook w:val="04A0" w:firstRow="1" w:lastRow="0" w:firstColumn="1" w:lastColumn="0" w:noHBand="0" w:noVBand="1"/>
      </w:tblPr>
      <w:tblGrid>
        <w:gridCol w:w="687"/>
        <w:gridCol w:w="1911"/>
        <w:gridCol w:w="1025"/>
        <w:gridCol w:w="1016"/>
        <w:gridCol w:w="1016"/>
        <w:gridCol w:w="950"/>
        <w:gridCol w:w="1130"/>
        <w:gridCol w:w="1016"/>
        <w:gridCol w:w="1016"/>
        <w:gridCol w:w="1017"/>
        <w:gridCol w:w="1113"/>
        <w:gridCol w:w="1017"/>
        <w:gridCol w:w="1017"/>
        <w:gridCol w:w="1026"/>
      </w:tblGrid>
      <w:tr w:rsidR="00A67545" w:rsidRPr="0015276F" w14:paraId="427EE01A" w14:textId="77777777" w:rsidTr="00E15E6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0" w:type="pct"/>
            <w:vMerge w:val="restart"/>
            <w:tcBorders>
              <w:top w:val="single" w:sz="4" w:space="0" w:color="auto"/>
              <w:left w:val="single" w:sz="4" w:space="0" w:color="auto"/>
              <w:bottom w:val="single" w:sz="4" w:space="0" w:color="auto"/>
              <w:right w:val="single" w:sz="4" w:space="0" w:color="auto"/>
            </w:tcBorders>
            <w:vAlign w:val="center"/>
          </w:tcPr>
          <w:p w14:paraId="39D3DF29" w14:textId="77777777" w:rsidR="00BB05DF" w:rsidRPr="0015276F" w:rsidRDefault="00BB05DF" w:rsidP="00E15E66">
            <w:pPr>
              <w:jc w:val="center"/>
              <w:rPr>
                <w:rFonts w:cs="Times New Roman"/>
                <w:color w:val="auto"/>
                <w:szCs w:val="28"/>
                <w:lang w:val="vi-VN"/>
              </w:rPr>
            </w:pPr>
            <w:r w:rsidRPr="0015276F">
              <w:rPr>
                <w:rFonts w:cs="Times New Roman"/>
                <w:color w:val="auto"/>
                <w:szCs w:val="28"/>
                <w:lang w:val="vi-VN"/>
              </w:rPr>
              <w:t>TT</w:t>
            </w:r>
          </w:p>
        </w:tc>
        <w:tc>
          <w:tcPr>
            <w:tcW w:w="639" w:type="pct"/>
            <w:vMerge w:val="restart"/>
            <w:tcBorders>
              <w:top w:val="single" w:sz="4" w:space="0" w:color="auto"/>
              <w:left w:val="single" w:sz="4" w:space="0" w:color="auto"/>
              <w:bottom w:val="single" w:sz="4" w:space="0" w:color="auto"/>
              <w:right w:val="single" w:sz="4" w:space="0" w:color="auto"/>
            </w:tcBorders>
            <w:vAlign w:val="center"/>
          </w:tcPr>
          <w:p w14:paraId="10250436" w14:textId="77777777" w:rsidR="00BB05DF" w:rsidRPr="0015276F" w:rsidRDefault="00BB05DF" w:rsidP="00E15E66">
            <w:pPr>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8"/>
                <w:lang w:val="vi-VN"/>
              </w:rPr>
            </w:pPr>
            <w:r w:rsidRPr="0015276F">
              <w:rPr>
                <w:rFonts w:cs="Times New Roman"/>
                <w:color w:val="auto"/>
                <w:szCs w:val="28"/>
                <w:lang w:val="vi-VN"/>
              </w:rPr>
              <w:t>Quốc gia</w:t>
            </w:r>
          </w:p>
        </w:tc>
        <w:tc>
          <w:tcPr>
            <w:tcW w:w="1338" w:type="pct"/>
            <w:gridSpan w:val="4"/>
            <w:tcBorders>
              <w:top w:val="single" w:sz="4" w:space="0" w:color="auto"/>
              <w:left w:val="single" w:sz="4" w:space="0" w:color="auto"/>
              <w:bottom w:val="single" w:sz="4" w:space="0" w:color="auto"/>
              <w:right w:val="single" w:sz="4" w:space="0" w:color="auto"/>
            </w:tcBorders>
          </w:tcPr>
          <w:p w14:paraId="771F36B3" w14:textId="77777777" w:rsidR="00BB05DF" w:rsidRPr="0015276F" w:rsidRDefault="00BB05DF" w:rsidP="00E15E66">
            <w:pPr>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8"/>
              </w:rPr>
            </w:pPr>
            <w:r w:rsidRPr="0015276F">
              <w:rPr>
                <w:rFonts w:cs="Times New Roman"/>
                <w:color w:val="auto"/>
                <w:szCs w:val="28"/>
                <w:lang w:val="vi-VN"/>
              </w:rPr>
              <w:t>Đánh giá năm 202</w:t>
            </w:r>
            <w:r w:rsidRPr="0015276F">
              <w:rPr>
                <w:rFonts w:cs="Times New Roman"/>
                <w:color w:val="auto"/>
                <w:szCs w:val="28"/>
              </w:rPr>
              <w:t>4</w:t>
            </w:r>
          </w:p>
        </w:tc>
        <w:tc>
          <w:tcPr>
            <w:tcW w:w="1398" w:type="pct"/>
            <w:gridSpan w:val="4"/>
            <w:tcBorders>
              <w:top w:val="single" w:sz="4" w:space="0" w:color="auto"/>
              <w:left w:val="single" w:sz="4" w:space="0" w:color="auto"/>
              <w:bottom w:val="single" w:sz="4" w:space="0" w:color="auto"/>
              <w:right w:val="single" w:sz="4" w:space="0" w:color="auto"/>
            </w:tcBorders>
          </w:tcPr>
          <w:p w14:paraId="03825BE1" w14:textId="77777777" w:rsidR="00BB05DF" w:rsidRPr="0015276F" w:rsidRDefault="00BB05DF" w:rsidP="00E15E66">
            <w:pPr>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8"/>
              </w:rPr>
            </w:pPr>
            <w:r w:rsidRPr="0015276F">
              <w:rPr>
                <w:rFonts w:cs="Times New Roman"/>
                <w:color w:val="auto"/>
                <w:szCs w:val="28"/>
                <w:lang w:val="vi-VN"/>
              </w:rPr>
              <w:t>Dự báo năm 202</w:t>
            </w:r>
            <w:r w:rsidRPr="0015276F">
              <w:rPr>
                <w:rFonts w:cs="Times New Roman"/>
                <w:color w:val="auto"/>
                <w:szCs w:val="28"/>
              </w:rPr>
              <w:t>5</w:t>
            </w:r>
          </w:p>
        </w:tc>
        <w:tc>
          <w:tcPr>
            <w:tcW w:w="1395" w:type="pct"/>
            <w:gridSpan w:val="4"/>
            <w:tcBorders>
              <w:top w:val="single" w:sz="4" w:space="0" w:color="auto"/>
              <w:left w:val="single" w:sz="4" w:space="0" w:color="auto"/>
              <w:bottom w:val="single" w:sz="4" w:space="0" w:color="auto"/>
              <w:right w:val="single" w:sz="4" w:space="0" w:color="auto"/>
            </w:tcBorders>
          </w:tcPr>
          <w:p w14:paraId="3B0B7B1D" w14:textId="77777777" w:rsidR="00BB05DF" w:rsidRPr="0015276F" w:rsidRDefault="00BB05DF" w:rsidP="00E15E66">
            <w:pPr>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8"/>
              </w:rPr>
            </w:pPr>
            <w:r w:rsidRPr="0015276F">
              <w:rPr>
                <w:rFonts w:cs="Times New Roman"/>
                <w:color w:val="auto"/>
                <w:szCs w:val="28"/>
                <w:lang w:val="vi-VN"/>
              </w:rPr>
              <w:t>Dự báo năm 202</w:t>
            </w:r>
            <w:r w:rsidRPr="0015276F">
              <w:rPr>
                <w:rFonts w:cs="Times New Roman"/>
                <w:color w:val="auto"/>
                <w:szCs w:val="28"/>
              </w:rPr>
              <w:t>6</w:t>
            </w:r>
          </w:p>
        </w:tc>
      </w:tr>
      <w:tr w:rsidR="00A67545" w:rsidRPr="0015276F" w14:paraId="625BBF9C" w14:textId="77777777" w:rsidTr="00E15E66">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30" w:type="pct"/>
            <w:vMerge/>
            <w:tcBorders>
              <w:top w:val="single" w:sz="4" w:space="0" w:color="auto"/>
              <w:left w:val="single" w:sz="4" w:space="0" w:color="auto"/>
              <w:bottom w:val="single" w:sz="4" w:space="0" w:color="auto"/>
              <w:right w:val="single" w:sz="4" w:space="0" w:color="auto"/>
            </w:tcBorders>
          </w:tcPr>
          <w:p w14:paraId="186813C0" w14:textId="77777777" w:rsidR="00BB05DF" w:rsidRPr="0015276F" w:rsidRDefault="00BB05DF" w:rsidP="00E15E66">
            <w:pPr>
              <w:jc w:val="center"/>
              <w:rPr>
                <w:rFonts w:cs="Times New Roman"/>
                <w:szCs w:val="28"/>
                <w:lang w:val="vi-VN"/>
              </w:rPr>
            </w:pPr>
          </w:p>
        </w:tc>
        <w:tc>
          <w:tcPr>
            <w:tcW w:w="639" w:type="pct"/>
            <w:vMerge/>
            <w:tcBorders>
              <w:top w:val="single" w:sz="4" w:space="0" w:color="auto"/>
              <w:left w:val="single" w:sz="4" w:space="0" w:color="auto"/>
              <w:bottom w:val="single" w:sz="4" w:space="0" w:color="auto"/>
              <w:right w:val="single" w:sz="4" w:space="0" w:color="auto"/>
            </w:tcBorders>
          </w:tcPr>
          <w:p w14:paraId="6BCA591B"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4CC94F07"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lang w:val="vi-VN"/>
              </w:rPr>
            </w:pPr>
            <w:r w:rsidRPr="0015276F">
              <w:rPr>
                <w:rFonts w:cs="Times New Roman"/>
                <w:b/>
                <w:szCs w:val="28"/>
                <w:lang w:val="vi-VN"/>
              </w:rPr>
              <w:t>OECD</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61E9A0E0"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lang w:val="vi-VN"/>
              </w:rPr>
            </w:pPr>
            <w:r w:rsidRPr="0015276F">
              <w:rPr>
                <w:rFonts w:cs="Times New Roman"/>
                <w:b/>
                <w:szCs w:val="28"/>
                <w:lang w:val="vi-VN"/>
              </w:rPr>
              <w:t>IMF</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5ACD8957"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15276F">
              <w:rPr>
                <w:rFonts w:cs="Times New Roman"/>
                <w:b/>
                <w:szCs w:val="28"/>
              </w:rPr>
              <w:t>UN</w:t>
            </w:r>
          </w:p>
        </w:tc>
        <w:tc>
          <w:tcPr>
            <w:tcW w:w="318" w:type="pct"/>
            <w:tcBorders>
              <w:top w:val="single" w:sz="4" w:space="0" w:color="auto"/>
              <w:left w:val="single" w:sz="4" w:space="0" w:color="auto"/>
              <w:bottom w:val="single" w:sz="4" w:space="0" w:color="auto"/>
              <w:right w:val="single" w:sz="4" w:space="0" w:color="auto"/>
            </w:tcBorders>
            <w:shd w:val="clear" w:color="auto" w:fill="4BACC6" w:themeFill="accent5"/>
          </w:tcPr>
          <w:p w14:paraId="1A1AB1E3"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15276F">
              <w:rPr>
                <w:rFonts w:cs="Times New Roman"/>
                <w:b/>
                <w:szCs w:val="28"/>
              </w:rPr>
              <w:t>WB</w:t>
            </w:r>
          </w:p>
        </w:tc>
        <w:tc>
          <w:tcPr>
            <w:tcW w:w="378" w:type="pct"/>
            <w:tcBorders>
              <w:top w:val="single" w:sz="4" w:space="0" w:color="auto"/>
              <w:left w:val="single" w:sz="4" w:space="0" w:color="auto"/>
              <w:bottom w:val="single" w:sz="4" w:space="0" w:color="auto"/>
              <w:right w:val="single" w:sz="4" w:space="0" w:color="auto"/>
            </w:tcBorders>
            <w:shd w:val="clear" w:color="auto" w:fill="4BACC6" w:themeFill="accent5"/>
          </w:tcPr>
          <w:p w14:paraId="0D271ECB"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lang w:val="vi-VN"/>
              </w:rPr>
            </w:pPr>
            <w:r w:rsidRPr="0015276F">
              <w:rPr>
                <w:rFonts w:cs="Times New Roman"/>
                <w:b/>
                <w:szCs w:val="28"/>
                <w:lang w:val="vi-VN"/>
              </w:rPr>
              <w:t>OECD</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30D5169B"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lang w:val="vi-VN"/>
              </w:rPr>
            </w:pPr>
            <w:r w:rsidRPr="0015276F">
              <w:rPr>
                <w:rFonts w:cs="Times New Roman"/>
                <w:b/>
                <w:szCs w:val="28"/>
                <w:lang w:val="vi-VN"/>
              </w:rPr>
              <w:t>IMF</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79D10F5F"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15276F">
              <w:rPr>
                <w:rFonts w:cs="Times New Roman"/>
                <w:b/>
                <w:szCs w:val="28"/>
              </w:rPr>
              <w:t>UN</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6447B242"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15276F">
              <w:rPr>
                <w:rFonts w:cs="Times New Roman"/>
                <w:b/>
                <w:szCs w:val="28"/>
              </w:rPr>
              <w:t>WB</w:t>
            </w:r>
          </w:p>
        </w:tc>
        <w:tc>
          <w:tcPr>
            <w:tcW w:w="372" w:type="pct"/>
            <w:tcBorders>
              <w:top w:val="single" w:sz="4" w:space="0" w:color="auto"/>
              <w:left w:val="single" w:sz="4" w:space="0" w:color="auto"/>
              <w:bottom w:val="single" w:sz="4" w:space="0" w:color="auto"/>
              <w:right w:val="single" w:sz="4" w:space="0" w:color="auto"/>
            </w:tcBorders>
            <w:shd w:val="clear" w:color="auto" w:fill="4BACC6" w:themeFill="accent5"/>
          </w:tcPr>
          <w:p w14:paraId="2D8E8CD5"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lang w:val="vi-VN"/>
              </w:rPr>
            </w:pPr>
            <w:r w:rsidRPr="0015276F">
              <w:rPr>
                <w:rFonts w:cs="Times New Roman"/>
                <w:b/>
                <w:szCs w:val="28"/>
                <w:lang w:val="vi-VN"/>
              </w:rPr>
              <w:t>OECD</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50BD8EB6"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lang w:val="vi-VN"/>
              </w:rPr>
            </w:pPr>
            <w:r w:rsidRPr="0015276F">
              <w:rPr>
                <w:rFonts w:cs="Times New Roman"/>
                <w:b/>
                <w:szCs w:val="28"/>
                <w:lang w:val="vi-VN"/>
              </w:rPr>
              <w:t>IMF</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1318B2F6"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15276F">
              <w:rPr>
                <w:rFonts w:cs="Times New Roman"/>
                <w:b/>
                <w:szCs w:val="28"/>
              </w:rPr>
              <w:t>UN</w:t>
            </w:r>
          </w:p>
        </w:tc>
        <w:tc>
          <w:tcPr>
            <w:tcW w:w="343" w:type="pct"/>
            <w:tcBorders>
              <w:top w:val="single" w:sz="4" w:space="0" w:color="auto"/>
              <w:left w:val="single" w:sz="4" w:space="0" w:color="auto"/>
              <w:bottom w:val="single" w:sz="4" w:space="0" w:color="auto"/>
              <w:right w:val="single" w:sz="4" w:space="0" w:color="auto"/>
            </w:tcBorders>
            <w:shd w:val="clear" w:color="auto" w:fill="4BACC6" w:themeFill="accent5"/>
          </w:tcPr>
          <w:p w14:paraId="35964EDA"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15276F">
              <w:rPr>
                <w:rFonts w:cs="Times New Roman"/>
                <w:b/>
                <w:szCs w:val="28"/>
              </w:rPr>
              <w:t>WB</w:t>
            </w:r>
          </w:p>
        </w:tc>
      </w:tr>
      <w:tr w:rsidR="00A67545" w:rsidRPr="0015276F" w14:paraId="2A790232" w14:textId="77777777" w:rsidTr="00E15E66">
        <w:trPr>
          <w:trHeight w:val="454"/>
        </w:trPr>
        <w:tc>
          <w:tcPr>
            <w:cnfStyle w:val="001000000000" w:firstRow="0" w:lastRow="0" w:firstColumn="1" w:lastColumn="0" w:oddVBand="0" w:evenVBand="0" w:oddHBand="0" w:evenHBand="0" w:firstRowFirstColumn="0" w:firstRowLastColumn="0" w:lastRowFirstColumn="0" w:lastRowLastColumn="0"/>
            <w:tcW w:w="230" w:type="pct"/>
            <w:tcBorders>
              <w:top w:val="single" w:sz="4" w:space="0" w:color="auto"/>
            </w:tcBorders>
            <w:vAlign w:val="center"/>
          </w:tcPr>
          <w:p w14:paraId="74D2A946" w14:textId="77777777" w:rsidR="00BB05DF" w:rsidRPr="0015276F" w:rsidRDefault="00BB05DF" w:rsidP="00E15E66">
            <w:pPr>
              <w:jc w:val="center"/>
              <w:rPr>
                <w:rFonts w:cs="Times New Roman"/>
                <w:szCs w:val="28"/>
                <w:lang w:val="vi-VN"/>
              </w:rPr>
            </w:pPr>
          </w:p>
        </w:tc>
        <w:tc>
          <w:tcPr>
            <w:tcW w:w="639" w:type="pct"/>
            <w:tcBorders>
              <w:top w:val="single" w:sz="4" w:space="0" w:color="auto"/>
            </w:tcBorders>
            <w:vAlign w:val="center"/>
          </w:tcPr>
          <w:p w14:paraId="50B4C7F5" w14:textId="77777777" w:rsidR="00BB05DF" w:rsidRPr="0015276F" w:rsidRDefault="00BB05DF" w:rsidP="00E15E66">
            <w:pPr>
              <w:cnfStyle w:val="000000000000" w:firstRow="0" w:lastRow="0" w:firstColumn="0" w:lastColumn="0" w:oddVBand="0" w:evenVBand="0" w:oddHBand="0" w:evenHBand="0" w:firstRowFirstColumn="0" w:firstRowLastColumn="0" w:lastRowFirstColumn="0" w:lastRowLastColumn="0"/>
              <w:rPr>
                <w:rFonts w:cs="Times New Roman"/>
                <w:b/>
                <w:szCs w:val="28"/>
                <w:lang w:val="vi-VN"/>
              </w:rPr>
            </w:pPr>
            <w:r w:rsidRPr="0015276F">
              <w:rPr>
                <w:rFonts w:cs="Times New Roman"/>
                <w:b/>
                <w:szCs w:val="28"/>
                <w:lang w:val="vi-VN"/>
              </w:rPr>
              <w:t>Toàn cầu</w:t>
            </w:r>
          </w:p>
        </w:tc>
        <w:tc>
          <w:tcPr>
            <w:tcW w:w="340" w:type="pct"/>
            <w:tcBorders>
              <w:top w:val="single" w:sz="4" w:space="0" w:color="auto"/>
            </w:tcBorders>
          </w:tcPr>
          <w:p w14:paraId="4267E0A3"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3,2</w:t>
            </w:r>
          </w:p>
        </w:tc>
        <w:tc>
          <w:tcPr>
            <w:tcW w:w="340" w:type="pct"/>
            <w:tcBorders>
              <w:top w:val="single" w:sz="4" w:space="0" w:color="auto"/>
            </w:tcBorders>
          </w:tcPr>
          <w:p w14:paraId="2621B6DE"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3,2</w:t>
            </w:r>
          </w:p>
        </w:tc>
        <w:tc>
          <w:tcPr>
            <w:tcW w:w="340" w:type="pct"/>
            <w:tcBorders>
              <w:top w:val="single" w:sz="4" w:space="0" w:color="auto"/>
            </w:tcBorders>
          </w:tcPr>
          <w:p w14:paraId="76711A78"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2,8</w:t>
            </w:r>
          </w:p>
        </w:tc>
        <w:tc>
          <w:tcPr>
            <w:tcW w:w="318" w:type="pct"/>
            <w:tcBorders>
              <w:top w:val="single" w:sz="4" w:space="0" w:color="auto"/>
            </w:tcBorders>
          </w:tcPr>
          <w:p w14:paraId="6C1153CB"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2,7</w:t>
            </w:r>
          </w:p>
        </w:tc>
        <w:tc>
          <w:tcPr>
            <w:tcW w:w="378" w:type="pct"/>
            <w:tcBorders>
              <w:top w:val="single" w:sz="4" w:space="0" w:color="auto"/>
            </w:tcBorders>
          </w:tcPr>
          <w:p w14:paraId="6FC889A8"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3,1</w:t>
            </w:r>
          </w:p>
        </w:tc>
        <w:tc>
          <w:tcPr>
            <w:tcW w:w="340" w:type="pct"/>
            <w:tcBorders>
              <w:top w:val="single" w:sz="4" w:space="0" w:color="auto"/>
            </w:tcBorders>
          </w:tcPr>
          <w:p w14:paraId="7B55D60F"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3,3</w:t>
            </w:r>
          </w:p>
        </w:tc>
        <w:tc>
          <w:tcPr>
            <w:tcW w:w="340" w:type="pct"/>
            <w:tcBorders>
              <w:top w:val="single" w:sz="4" w:space="0" w:color="auto"/>
            </w:tcBorders>
          </w:tcPr>
          <w:p w14:paraId="2701EA2C"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2,8</w:t>
            </w:r>
          </w:p>
        </w:tc>
        <w:tc>
          <w:tcPr>
            <w:tcW w:w="340" w:type="pct"/>
            <w:tcBorders>
              <w:top w:val="single" w:sz="4" w:space="0" w:color="auto"/>
            </w:tcBorders>
          </w:tcPr>
          <w:p w14:paraId="0F81630B"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2,7</w:t>
            </w:r>
          </w:p>
        </w:tc>
        <w:tc>
          <w:tcPr>
            <w:tcW w:w="372" w:type="pct"/>
            <w:tcBorders>
              <w:top w:val="single" w:sz="4" w:space="0" w:color="auto"/>
            </w:tcBorders>
          </w:tcPr>
          <w:p w14:paraId="71C1544A"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3,0</w:t>
            </w:r>
          </w:p>
        </w:tc>
        <w:tc>
          <w:tcPr>
            <w:tcW w:w="340" w:type="pct"/>
            <w:tcBorders>
              <w:top w:val="single" w:sz="4" w:space="0" w:color="auto"/>
            </w:tcBorders>
          </w:tcPr>
          <w:p w14:paraId="20CB9D09"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3,3</w:t>
            </w:r>
          </w:p>
        </w:tc>
        <w:tc>
          <w:tcPr>
            <w:tcW w:w="340" w:type="pct"/>
            <w:tcBorders>
              <w:top w:val="single" w:sz="4" w:space="0" w:color="auto"/>
            </w:tcBorders>
          </w:tcPr>
          <w:p w14:paraId="3E542960"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2,9</w:t>
            </w:r>
          </w:p>
        </w:tc>
        <w:tc>
          <w:tcPr>
            <w:tcW w:w="343" w:type="pct"/>
            <w:tcBorders>
              <w:top w:val="single" w:sz="4" w:space="0" w:color="auto"/>
            </w:tcBorders>
          </w:tcPr>
          <w:p w14:paraId="3DC4302D"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b/>
                <w:szCs w:val="28"/>
              </w:rPr>
            </w:pPr>
            <w:r w:rsidRPr="0015276F">
              <w:rPr>
                <w:szCs w:val="28"/>
              </w:rPr>
              <w:t>2,7</w:t>
            </w:r>
          </w:p>
        </w:tc>
      </w:tr>
      <w:tr w:rsidR="00A67545" w:rsidRPr="0015276F" w14:paraId="5FCFD743" w14:textId="77777777" w:rsidTr="00E15E6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7F55F574"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1</w:t>
            </w:r>
          </w:p>
        </w:tc>
        <w:tc>
          <w:tcPr>
            <w:tcW w:w="639" w:type="pct"/>
            <w:vAlign w:val="center"/>
          </w:tcPr>
          <w:p w14:paraId="1FB65350" w14:textId="77777777" w:rsidR="00BB05DF" w:rsidRPr="0015276F" w:rsidRDefault="00BB05DF" w:rsidP="00E15E66">
            <w:pP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rFonts w:cs="Times New Roman"/>
                <w:szCs w:val="28"/>
                <w:lang w:val="vi-VN"/>
              </w:rPr>
              <w:t>Hoa Kỳ</w:t>
            </w:r>
          </w:p>
        </w:tc>
        <w:tc>
          <w:tcPr>
            <w:tcW w:w="340" w:type="pct"/>
          </w:tcPr>
          <w:p w14:paraId="30A6D464"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2,8</w:t>
            </w:r>
          </w:p>
        </w:tc>
        <w:tc>
          <w:tcPr>
            <w:tcW w:w="340" w:type="pct"/>
          </w:tcPr>
          <w:p w14:paraId="0B2EE03D"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2,8</w:t>
            </w:r>
          </w:p>
        </w:tc>
        <w:tc>
          <w:tcPr>
            <w:tcW w:w="340" w:type="pct"/>
          </w:tcPr>
          <w:p w14:paraId="205D4AD2"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2,8</w:t>
            </w:r>
          </w:p>
        </w:tc>
        <w:tc>
          <w:tcPr>
            <w:tcW w:w="318" w:type="pct"/>
          </w:tcPr>
          <w:p w14:paraId="360C18C8"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2,8</w:t>
            </w:r>
          </w:p>
        </w:tc>
        <w:tc>
          <w:tcPr>
            <w:tcW w:w="378" w:type="pct"/>
          </w:tcPr>
          <w:p w14:paraId="091F76DE"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2,2</w:t>
            </w:r>
          </w:p>
        </w:tc>
        <w:tc>
          <w:tcPr>
            <w:tcW w:w="340" w:type="pct"/>
          </w:tcPr>
          <w:p w14:paraId="171FDDB2"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2,7</w:t>
            </w:r>
          </w:p>
        </w:tc>
        <w:tc>
          <w:tcPr>
            <w:tcW w:w="340" w:type="pct"/>
          </w:tcPr>
          <w:p w14:paraId="3C88AE3C"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1,9</w:t>
            </w:r>
          </w:p>
        </w:tc>
        <w:tc>
          <w:tcPr>
            <w:tcW w:w="340" w:type="pct"/>
          </w:tcPr>
          <w:p w14:paraId="629112F4"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2,3</w:t>
            </w:r>
          </w:p>
        </w:tc>
        <w:tc>
          <w:tcPr>
            <w:tcW w:w="372" w:type="pct"/>
          </w:tcPr>
          <w:p w14:paraId="72910EB4"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1,6</w:t>
            </w:r>
          </w:p>
        </w:tc>
        <w:tc>
          <w:tcPr>
            <w:tcW w:w="340" w:type="pct"/>
          </w:tcPr>
          <w:p w14:paraId="41EDF717"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2,1</w:t>
            </w:r>
          </w:p>
        </w:tc>
        <w:tc>
          <w:tcPr>
            <w:tcW w:w="340" w:type="pct"/>
          </w:tcPr>
          <w:p w14:paraId="612D162E"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2,1</w:t>
            </w:r>
          </w:p>
        </w:tc>
        <w:tc>
          <w:tcPr>
            <w:tcW w:w="343" w:type="pct"/>
          </w:tcPr>
          <w:p w14:paraId="19B8C0F9"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2,0</w:t>
            </w:r>
          </w:p>
        </w:tc>
      </w:tr>
      <w:tr w:rsidR="00A67545" w:rsidRPr="0015276F" w14:paraId="64375740" w14:textId="77777777" w:rsidTr="00E15E66">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43821821"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2</w:t>
            </w:r>
          </w:p>
        </w:tc>
        <w:tc>
          <w:tcPr>
            <w:tcW w:w="639" w:type="pct"/>
            <w:vAlign w:val="center"/>
          </w:tcPr>
          <w:p w14:paraId="70E48E51" w14:textId="77777777" w:rsidR="00BB05DF" w:rsidRPr="0015276F" w:rsidRDefault="00BB05DF" w:rsidP="00E15E66">
            <w:pP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rFonts w:cs="Times New Roman"/>
                <w:szCs w:val="28"/>
              </w:rPr>
              <w:t xml:space="preserve">Khu vực </w:t>
            </w:r>
            <w:r w:rsidRPr="0015276F">
              <w:rPr>
                <w:rFonts w:cs="Times New Roman"/>
                <w:szCs w:val="28"/>
                <w:lang w:val="vi-VN"/>
              </w:rPr>
              <w:t>EURO</w:t>
            </w:r>
          </w:p>
        </w:tc>
        <w:tc>
          <w:tcPr>
            <w:tcW w:w="340" w:type="pct"/>
          </w:tcPr>
          <w:p w14:paraId="0B349B96"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0,7</w:t>
            </w:r>
          </w:p>
        </w:tc>
        <w:tc>
          <w:tcPr>
            <w:tcW w:w="340" w:type="pct"/>
          </w:tcPr>
          <w:p w14:paraId="7C417B2B"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0,8</w:t>
            </w:r>
          </w:p>
        </w:tc>
        <w:tc>
          <w:tcPr>
            <w:tcW w:w="340" w:type="pct"/>
          </w:tcPr>
          <w:p w14:paraId="771F0ADE"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0,7</w:t>
            </w:r>
          </w:p>
        </w:tc>
        <w:tc>
          <w:tcPr>
            <w:tcW w:w="318" w:type="pct"/>
          </w:tcPr>
          <w:p w14:paraId="7CF0D65D"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0,7</w:t>
            </w:r>
          </w:p>
        </w:tc>
        <w:tc>
          <w:tcPr>
            <w:tcW w:w="378" w:type="pct"/>
          </w:tcPr>
          <w:p w14:paraId="3E5CA765"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1,0</w:t>
            </w:r>
          </w:p>
        </w:tc>
        <w:tc>
          <w:tcPr>
            <w:tcW w:w="340" w:type="pct"/>
          </w:tcPr>
          <w:p w14:paraId="038EA00B"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1,0</w:t>
            </w:r>
          </w:p>
        </w:tc>
        <w:tc>
          <w:tcPr>
            <w:tcW w:w="340" w:type="pct"/>
          </w:tcPr>
          <w:p w14:paraId="119E6B04"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1,1</w:t>
            </w:r>
          </w:p>
        </w:tc>
        <w:tc>
          <w:tcPr>
            <w:tcW w:w="340" w:type="pct"/>
          </w:tcPr>
          <w:p w14:paraId="057C2198"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1,0</w:t>
            </w:r>
          </w:p>
        </w:tc>
        <w:tc>
          <w:tcPr>
            <w:tcW w:w="372" w:type="pct"/>
          </w:tcPr>
          <w:p w14:paraId="06216CFC"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1,2</w:t>
            </w:r>
          </w:p>
        </w:tc>
        <w:tc>
          <w:tcPr>
            <w:tcW w:w="340" w:type="pct"/>
          </w:tcPr>
          <w:p w14:paraId="4B5EABD4"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1,4</w:t>
            </w:r>
          </w:p>
        </w:tc>
        <w:tc>
          <w:tcPr>
            <w:tcW w:w="340" w:type="pct"/>
          </w:tcPr>
          <w:p w14:paraId="09F2CB45"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1,3</w:t>
            </w:r>
          </w:p>
        </w:tc>
        <w:tc>
          <w:tcPr>
            <w:tcW w:w="343" w:type="pct"/>
          </w:tcPr>
          <w:p w14:paraId="426CD515"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1,2</w:t>
            </w:r>
          </w:p>
        </w:tc>
      </w:tr>
      <w:tr w:rsidR="00A67545" w:rsidRPr="0015276F" w14:paraId="79846719" w14:textId="77777777" w:rsidTr="00E15E6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3A1B1D2C"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3</w:t>
            </w:r>
          </w:p>
        </w:tc>
        <w:tc>
          <w:tcPr>
            <w:tcW w:w="639" w:type="pct"/>
            <w:vAlign w:val="center"/>
          </w:tcPr>
          <w:p w14:paraId="3D3B028B" w14:textId="77777777" w:rsidR="00BB05DF" w:rsidRPr="0015276F" w:rsidRDefault="00BB05DF" w:rsidP="00E15E66">
            <w:pP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rFonts w:cs="Times New Roman"/>
                <w:szCs w:val="28"/>
                <w:lang w:val="vi-VN"/>
              </w:rPr>
              <w:t>Nhật Bản</w:t>
            </w:r>
          </w:p>
        </w:tc>
        <w:tc>
          <w:tcPr>
            <w:tcW w:w="340" w:type="pct"/>
          </w:tcPr>
          <w:p w14:paraId="1BDD5502"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0,1</w:t>
            </w:r>
          </w:p>
        </w:tc>
        <w:tc>
          <w:tcPr>
            <w:tcW w:w="340" w:type="pct"/>
          </w:tcPr>
          <w:p w14:paraId="1512DE48"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-0,2</w:t>
            </w:r>
          </w:p>
        </w:tc>
        <w:tc>
          <w:tcPr>
            <w:tcW w:w="340" w:type="pct"/>
          </w:tcPr>
          <w:p w14:paraId="0FE63E9C"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-0,2</w:t>
            </w:r>
          </w:p>
        </w:tc>
        <w:tc>
          <w:tcPr>
            <w:tcW w:w="318" w:type="pct"/>
          </w:tcPr>
          <w:p w14:paraId="0EFCA0F8"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0,0</w:t>
            </w:r>
          </w:p>
        </w:tc>
        <w:tc>
          <w:tcPr>
            <w:tcW w:w="378" w:type="pct"/>
          </w:tcPr>
          <w:p w14:paraId="0CB809B6"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1,1</w:t>
            </w:r>
          </w:p>
        </w:tc>
        <w:tc>
          <w:tcPr>
            <w:tcW w:w="340" w:type="pct"/>
          </w:tcPr>
          <w:p w14:paraId="0B5946C3"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1,1</w:t>
            </w:r>
          </w:p>
        </w:tc>
        <w:tc>
          <w:tcPr>
            <w:tcW w:w="340" w:type="pct"/>
          </w:tcPr>
          <w:p w14:paraId="7AFC70CA"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1,0</w:t>
            </w:r>
          </w:p>
        </w:tc>
        <w:tc>
          <w:tcPr>
            <w:tcW w:w="340" w:type="pct"/>
          </w:tcPr>
          <w:p w14:paraId="4180004D"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1,2</w:t>
            </w:r>
          </w:p>
        </w:tc>
        <w:tc>
          <w:tcPr>
            <w:tcW w:w="372" w:type="pct"/>
          </w:tcPr>
          <w:p w14:paraId="66985AD1"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0,2</w:t>
            </w:r>
          </w:p>
        </w:tc>
        <w:tc>
          <w:tcPr>
            <w:tcW w:w="340" w:type="pct"/>
          </w:tcPr>
          <w:p w14:paraId="7DE103C0"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0,8</w:t>
            </w:r>
          </w:p>
        </w:tc>
        <w:tc>
          <w:tcPr>
            <w:tcW w:w="340" w:type="pct"/>
          </w:tcPr>
          <w:p w14:paraId="3C59D84F"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1,2</w:t>
            </w:r>
          </w:p>
        </w:tc>
        <w:tc>
          <w:tcPr>
            <w:tcW w:w="343" w:type="pct"/>
          </w:tcPr>
          <w:p w14:paraId="5DCC1667"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0,9</w:t>
            </w:r>
          </w:p>
        </w:tc>
      </w:tr>
      <w:tr w:rsidR="00A67545" w:rsidRPr="0015276F" w14:paraId="5BDEBCAE" w14:textId="77777777" w:rsidTr="00E15E66">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677429AF"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4</w:t>
            </w:r>
          </w:p>
        </w:tc>
        <w:tc>
          <w:tcPr>
            <w:tcW w:w="639" w:type="pct"/>
            <w:vAlign w:val="center"/>
          </w:tcPr>
          <w:p w14:paraId="6E70054C" w14:textId="77777777" w:rsidR="00BB05DF" w:rsidRPr="0015276F" w:rsidRDefault="00BB05DF" w:rsidP="00E15E66">
            <w:pP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rFonts w:cs="Times New Roman"/>
                <w:szCs w:val="28"/>
                <w:lang w:val="vi-VN"/>
              </w:rPr>
              <w:t>Trung Quốc</w:t>
            </w:r>
          </w:p>
        </w:tc>
        <w:tc>
          <w:tcPr>
            <w:tcW w:w="340" w:type="pct"/>
          </w:tcPr>
          <w:p w14:paraId="5A8835EF"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5,0</w:t>
            </w:r>
          </w:p>
        </w:tc>
        <w:tc>
          <w:tcPr>
            <w:tcW w:w="340" w:type="pct"/>
          </w:tcPr>
          <w:p w14:paraId="3689FF72"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4,8</w:t>
            </w:r>
          </w:p>
        </w:tc>
        <w:tc>
          <w:tcPr>
            <w:tcW w:w="340" w:type="pct"/>
          </w:tcPr>
          <w:p w14:paraId="67198849"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4,9</w:t>
            </w:r>
          </w:p>
        </w:tc>
        <w:tc>
          <w:tcPr>
            <w:tcW w:w="318" w:type="pct"/>
          </w:tcPr>
          <w:p w14:paraId="598E4A7C"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4,9</w:t>
            </w:r>
          </w:p>
        </w:tc>
        <w:tc>
          <w:tcPr>
            <w:tcW w:w="378" w:type="pct"/>
          </w:tcPr>
          <w:p w14:paraId="42CC5B73"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4,8</w:t>
            </w:r>
          </w:p>
        </w:tc>
        <w:tc>
          <w:tcPr>
            <w:tcW w:w="340" w:type="pct"/>
          </w:tcPr>
          <w:p w14:paraId="34DD33E7"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4,6</w:t>
            </w:r>
          </w:p>
        </w:tc>
        <w:tc>
          <w:tcPr>
            <w:tcW w:w="340" w:type="pct"/>
          </w:tcPr>
          <w:p w14:paraId="251CF8B1"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4,8</w:t>
            </w:r>
          </w:p>
        </w:tc>
        <w:tc>
          <w:tcPr>
            <w:tcW w:w="340" w:type="pct"/>
          </w:tcPr>
          <w:p w14:paraId="637D549F"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4,5</w:t>
            </w:r>
          </w:p>
        </w:tc>
        <w:tc>
          <w:tcPr>
            <w:tcW w:w="372" w:type="pct"/>
          </w:tcPr>
          <w:p w14:paraId="5A244C0D"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4,4</w:t>
            </w:r>
          </w:p>
        </w:tc>
        <w:tc>
          <w:tcPr>
            <w:tcW w:w="340" w:type="pct"/>
          </w:tcPr>
          <w:p w14:paraId="3D8664F7"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4,5</w:t>
            </w:r>
          </w:p>
        </w:tc>
        <w:tc>
          <w:tcPr>
            <w:tcW w:w="340" w:type="pct"/>
          </w:tcPr>
          <w:p w14:paraId="67DC3431"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4,5</w:t>
            </w:r>
          </w:p>
        </w:tc>
        <w:tc>
          <w:tcPr>
            <w:tcW w:w="343" w:type="pct"/>
          </w:tcPr>
          <w:p w14:paraId="05CB1B30"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4,0</w:t>
            </w:r>
          </w:p>
        </w:tc>
      </w:tr>
      <w:tr w:rsidR="00A67545" w:rsidRPr="0015276F" w14:paraId="5828BFFF" w14:textId="77777777" w:rsidTr="00E15E6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0AF93A8D"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5</w:t>
            </w:r>
          </w:p>
        </w:tc>
        <w:tc>
          <w:tcPr>
            <w:tcW w:w="639" w:type="pct"/>
            <w:vAlign w:val="center"/>
          </w:tcPr>
          <w:p w14:paraId="1647F6D0" w14:textId="77777777" w:rsidR="00BB05DF" w:rsidRPr="0015276F" w:rsidRDefault="00BB05DF" w:rsidP="00E15E66">
            <w:pP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rFonts w:cs="Times New Roman"/>
                <w:szCs w:val="28"/>
                <w:lang w:val="vi-VN"/>
              </w:rPr>
              <w:t>In-đô-nê-xi-a</w:t>
            </w:r>
          </w:p>
        </w:tc>
        <w:tc>
          <w:tcPr>
            <w:tcW w:w="340" w:type="pct"/>
          </w:tcPr>
          <w:p w14:paraId="61D436E4"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5,0</w:t>
            </w:r>
          </w:p>
        </w:tc>
        <w:tc>
          <w:tcPr>
            <w:tcW w:w="340" w:type="pct"/>
          </w:tcPr>
          <w:p w14:paraId="254AC4E9"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5,0</w:t>
            </w:r>
          </w:p>
        </w:tc>
        <w:tc>
          <w:tcPr>
            <w:tcW w:w="340" w:type="pct"/>
          </w:tcPr>
          <w:p w14:paraId="4070F0B1"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5,0</w:t>
            </w:r>
          </w:p>
        </w:tc>
        <w:tc>
          <w:tcPr>
            <w:tcW w:w="318" w:type="pct"/>
          </w:tcPr>
          <w:p w14:paraId="47CE8C2B"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5,0</w:t>
            </w:r>
          </w:p>
        </w:tc>
        <w:tc>
          <w:tcPr>
            <w:tcW w:w="378" w:type="pct"/>
          </w:tcPr>
          <w:p w14:paraId="59E42D9A"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4,9</w:t>
            </w:r>
          </w:p>
        </w:tc>
        <w:tc>
          <w:tcPr>
            <w:tcW w:w="340" w:type="pct"/>
          </w:tcPr>
          <w:p w14:paraId="21B660F0"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5,1</w:t>
            </w:r>
          </w:p>
        </w:tc>
        <w:tc>
          <w:tcPr>
            <w:tcW w:w="340" w:type="pct"/>
          </w:tcPr>
          <w:p w14:paraId="6CB1918E"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5,2</w:t>
            </w:r>
          </w:p>
        </w:tc>
        <w:tc>
          <w:tcPr>
            <w:tcW w:w="340" w:type="pct"/>
          </w:tcPr>
          <w:p w14:paraId="7329E187"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5,1</w:t>
            </w:r>
          </w:p>
        </w:tc>
        <w:tc>
          <w:tcPr>
            <w:tcW w:w="372" w:type="pct"/>
          </w:tcPr>
          <w:p w14:paraId="28BDFC71"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5,0</w:t>
            </w:r>
          </w:p>
        </w:tc>
        <w:tc>
          <w:tcPr>
            <w:tcW w:w="340" w:type="pct"/>
          </w:tcPr>
          <w:p w14:paraId="1B8A5365"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5,1</w:t>
            </w:r>
          </w:p>
        </w:tc>
        <w:tc>
          <w:tcPr>
            <w:tcW w:w="340" w:type="pct"/>
          </w:tcPr>
          <w:p w14:paraId="24AE0317"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5,2</w:t>
            </w:r>
          </w:p>
        </w:tc>
        <w:tc>
          <w:tcPr>
            <w:tcW w:w="343" w:type="pct"/>
          </w:tcPr>
          <w:p w14:paraId="42B94214"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5,1</w:t>
            </w:r>
          </w:p>
        </w:tc>
      </w:tr>
      <w:tr w:rsidR="00A67545" w:rsidRPr="0015276F" w14:paraId="5D5B66C2" w14:textId="77777777" w:rsidTr="00E15E66">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2E5A8576"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6</w:t>
            </w:r>
          </w:p>
        </w:tc>
        <w:tc>
          <w:tcPr>
            <w:tcW w:w="639" w:type="pct"/>
            <w:vAlign w:val="center"/>
          </w:tcPr>
          <w:p w14:paraId="61BEC1F4" w14:textId="77777777" w:rsidR="00BB05DF" w:rsidRPr="0015276F" w:rsidRDefault="00BB05DF" w:rsidP="00E15E66">
            <w:pP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rFonts w:cs="Times New Roman"/>
                <w:szCs w:val="28"/>
                <w:lang w:val="vi-VN"/>
              </w:rPr>
              <w:t>Ma-lai-xi-a</w:t>
            </w:r>
          </w:p>
        </w:tc>
        <w:tc>
          <w:tcPr>
            <w:tcW w:w="340" w:type="pct"/>
            <w:vAlign w:val="center"/>
          </w:tcPr>
          <w:p w14:paraId="6E238F6B"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6541FDA5"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5,0</w:t>
            </w:r>
          </w:p>
        </w:tc>
        <w:tc>
          <w:tcPr>
            <w:tcW w:w="340" w:type="pct"/>
          </w:tcPr>
          <w:p w14:paraId="2FAC93DC"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5,0</w:t>
            </w:r>
          </w:p>
        </w:tc>
        <w:tc>
          <w:tcPr>
            <w:tcW w:w="318" w:type="pct"/>
          </w:tcPr>
          <w:p w14:paraId="0AB12E80"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4,9</w:t>
            </w:r>
          </w:p>
        </w:tc>
        <w:tc>
          <w:tcPr>
            <w:tcW w:w="378" w:type="pct"/>
            <w:vAlign w:val="center"/>
          </w:tcPr>
          <w:p w14:paraId="4A51943B"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36B069F6"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4,7</w:t>
            </w:r>
          </w:p>
        </w:tc>
        <w:tc>
          <w:tcPr>
            <w:tcW w:w="340" w:type="pct"/>
          </w:tcPr>
          <w:p w14:paraId="28DDC3A2"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4,6</w:t>
            </w:r>
          </w:p>
        </w:tc>
        <w:tc>
          <w:tcPr>
            <w:tcW w:w="340" w:type="pct"/>
          </w:tcPr>
          <w:p w14:paraId="5EA6D958"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4,5</w:t>
            </w:r>
          </w:p>
        </w:tc>
        <w:tc>
          <w:tcPr>
            <w:tcW w:w="372" w:type="pct"/>
            <w:vAlign w:val="center"/>
          </w:tcPr>
          <w:p w14:paraId="41ECE75A"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38742E21"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4,4</w:t>
            </w:r>
          </w:p>
        </w:tc>
        <w:tc>
          <w:tcPr>
            <w:tcW w:w="340" w:type="pct"/>
          </w:tcPr>
          <w:p w14:paraId="5C1A77EF"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4,5</w:t>
            </w:r>
          </w:p>
        </w:tc>
        <w:tc>
          <w:tcPr>
            <w:tcW w:w="343" w:type="pct"/>
          </w:tcPr>
          <w:p w14:paraId="7E7804C1"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4,3</w:t>
            </w:r>
          </w:p>
        </w:tc>
      </w:tr>
      <w:tr w:rsidR="00A67545" w:rsidRPr="0015276F" w14:paraId="5D7CC09A" w14:textId="77777777" w:rsidTr="00E15E6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16820A0E"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7</w:t>
            </w:r>
          </w:p>
        </w:tc>
        <w:tc>
          <w:tcPr>
            <w:tcW w:w="639" w:type="pct"/>
            <w:vAlign w:val="center"/>
          </w:tcPr>
          <w:p w14:paraId="15C86BF1" w14:textId="77777777" w:rsidR="00BB05DF" w:rsidRPr="0015276F" w:rsidRDefault="00BB05DF" w:rsidP="00E15E66">
            <w:pP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rFonts w:cs="Times New Roman"/>
                <w:szCs w:val="28"/>
                <w:lang w:val="vi-VN"/>
              </w:rPr>
              <w:t>Phi-li-pin</w:t>
            </w:r>
          </w:p>
        </w:tc>
        <w:tc>
          <w:tcPr>
            <w:tcW w:w="340" w:type="pct"/>
            <w:vAlign w:val="center"/>
          </w:tcPr>
          <w:p w14:paraId="44E1C083"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c>
          <w:tcPr>
            <w:tcW w:w="340" w:type="pct"/>
          </w:tcPr>
          <w:p w14:paraId="23A331C4"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5,8</w:t>
            </w:r>
          </w:p>
        </w:tc>
        <w:tc>
          <w:tcPr>
            <w:tcW w:w="340" w:type="pct"/>
          </w:tcPr>
          <w:p w14:paraId="46B8ED51"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5,6</w:t>
            </w:r>
          </w:p>
        </w:tc>
        <w:tc>
          <w:tcPr>
            <w:tcW w:w="318" w:type="pct"/>
          </w:tcPr>
          <w:p w14:paraId="3F751059"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5,9</w:t>
            </w:r>
          </w:p>
        </w:tc>
        <w:tc>
          <w:tcPr>
            <w:tcW w:w="378" w:type="pct"/>
            <w:vAlign w:val="center"/>
          </w:tcPr>
          <w:p w14:paraId="0900EA98"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c>
          <w:tcPr>
            <w:tcW w:w="340" w:type="pct"/>
          </w:tcPr>
          <w:p w14:paraId="03348EE8"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6,1</w:t>
            </w:r>
          </w:p>
        </w:tc>
        <w:tc>
          <w:tcPr>
            <w:tcW w:w="340" w:type="pct"/>
          </w:tcPr>
          <w:p w14:paraId="125B0AEA"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6,1</w:t>
            </w:r>
          </w:p>
        </w:tc>
        <w:tc>
          <w:tcPr>
            <w:tcW w:w="340" w:type="pct"/>
          </w:tcPr>
          <w:p w14:paraId="49BE6211"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6,1</w:t>
            </w:r>
          </w:p>
        </w:tc>
        <w:tc>
          <w:tcPr>
            <w:tcW w:w="372" w:type="pct"/>
            <w:vAlign w:val="center"/>
          </w:tcPr>
          <w:p w14:paraId="27C4F35B"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c>
          <w:tcPr>
            <w:tcW w:w="340" w:type="pct"/>
          </w:tcPr>
          <w:p w14:paraId="49B8A0FB"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sidRPr="0015276F">
              <w:rPr>
                <w:szCs w:val="28"/>
              </w:rPr>
              <w:t>6,3</w:t>
            </w:r>
          </w:p>
        </w:tc>
        <w:tc>
          <w:tcPr>
            <w:tcW w:w="340" w:type="pct"/>
          </w:tcPr>
          <w:p w14:paraId="4B049C7E"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6,2</w:t>
            </w:r>
          </w:p>
        </w:tc>
        <w:tc>
          <w:tcPr>
            <w:tcW w:w="343" w:type="pct"/>
          </w:tcPr>
          <w:p w14:paraId="0AF4696A"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6,0</w:t>
            </w:r>
          </w:p>
        </w:tc>
      </w:tr>
      <w:tr w:rsidR="00A67545" w:rsidRPr="0015276F" w14:paraId="0273A66B" w14:textId="77777777" w:rsidTr="00E15E66">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15F5BD86"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8</w:t>
            </w:r>
          </w:p>
        </w:tc>
        <w:tc>
          <w:tcPr>
            <w:tcW w:w="639" w:type="pct"/>
            <w:vAlign w:val="center"/>
          </w:tcPr>
          <w:p w14:paraId="0F746E89" w14:textId="77777777" w:rsidR="00BB05DF" w:rsidRPr="0015276F" w:rsidRDefault="00BB05DF" w:rsidP="00E15E66">
            <w:pP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rFonts w:cs="Times New Roman"/>
                <w:szCs w:val="28"/>
                <w:lang w:val="vi-VN"/>
              </w:rPr>
              <w:t>Thái Lan</w:t>
            </w:r>
          </w:p>
        </w:tc>
        <w:tc>
          <w:tcPr>
            <w:tcW w:w="340" w:type="pct"/>
            <w:vAlign w:val="center"/>
          </w:tcPr>
          <w:p w14:paraId="00C141BC"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1103731C"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2,7</w:t>
            </w:r>
          </w:p>
        </w:tc>
        <w:tc>
          <w:tcPr>
            <w:tcW w:w="340" w:type="pct"/>
          </w:tcPr>
          <w:p w14:paraId="4C63BA49"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2,6</w:t>
            </w:r>
          </w:p>
        </w:tc>
        <w:tc>
          <w:tcPr>
            <w:tcW w:w="318" w:type="pct"/>
          </w:tcPr>
          <w:p w14:paraId="28EE61F1"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2,6</w:t>
            </w:r>
          </w:p>
        </w:tc>
        <w:tc>
          <w:tcPr>
            <w:tcW w:w="378" w:type="pct"/>
            <w:vAlign w:val="center"/>
          </w:tcPr>
          <w:p w14:paraId="5C302D6C"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3F4B5E07"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2,9</w:t>
            </w:r>
          </w:p>
        </w:tc>
        <w:tc>
          <w:tcPr>
            <w:tcW w:w="340" w:type="pct"/>
          </w:tcPr>
          <w:p w14:paraId="49630B8F"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3,1</w:t>
            </w:r>
          </w:p>
        </w:tc>
        <w:tc>
          <w:tcPr>
            <w:tcW w:w="340" w:type="pct"/>
          </w:tcPr>
          <w:p w14:paraId="77BF3EB1"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2,9</w:t>
            </w:r>
          </w:p>
        </w:tc>
        <w:tc>
          <w:tcPr>
            <w:tcW w:w="372" w:type="pct"/>
            <w:vAlign w:val="center"/>
          </w:tcPr>
          <w:p w14:paraId="7ED51305"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4F47976F"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sidRPr="0015276F">
              <w:rPr>
                <w:szCs w:val="28"/>
              </w:rPr>
              <w:t>2,6</w:t>
            </w:r>
          </w:p>
        </w:tc>
        <w:tc>
          <w:tcPr>
            <w:tcW w:w="340" w:type="pct"/>
          </w:tcPr>
          <w:p w14:paraId="08895777"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3,2</w:t>
            </w:r>
          </w:p>
        </w:tc>
        <w:tc>
          <w:tcPr>
            <w:tcW w:w="343" w:type="pct"/>
          </w:tcPr>
          <w:p w14:paraId="17ED376A"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2,7</w:t>
            </w:r>
          </w:p>
        </w:tc>
      </w:tr>
      <w:tr w:rsidR="00A67545" w:rsidRPr="0015276F" w14:paraId="00945AC3" w14:textId="77777777" w:rsidTr="00E15E6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29C4003C"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9</w:t>
            </w:r>
          </w:p>
        </w:tc>
        <w:tc>
          <w:tcPr>
            <w:tcW w:w="639" w:type="pct"/>
            <w:vAlign w:val="center"/>
          </w:tcPr>
          <w:p w14:paraId="5F49BB77" w14:textId="77777777" w:rsidR="00BB05DF" w:rsidRPr="0015276F" w:rsidRDefault="00BB05DF" w:rsidP="00E15E66">
            <w:pP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rFonts w:cs="Times New Roman"/>
                <w:szCs w:val="28"/>
                <w:lang w:val="vi-VN"/>
              </w:rPr>
              <w:t>Xin-ga-po</w:t>
            </w:r>
          </w:p>
        </w:tc>
        <w:tc>
          <w:tcPr>
            <w:tcW w:w="340" w:type="pct"/>
            <w:vAlign w:val="center"/>
          </w:tcPr>
          <w:p w14:paraId="2AA9A185"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c>
          <w:tcPr>
            <w:tcW w:w="340" w:type="pct"/>
          </w:tcPr>
          <w:p w14:paraId="48A62443"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p>
        </w:tc>
        <w:tc>
          <w:tcPr>
            <w:tcW w:w="340" w:type="pct"/>
          </w:tcPr>
          <w:p w14:paraId="28C9F9FB"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3,0</w:t>
            </w:r>
          </w:p>
        </w:tc>
        <w:tc>
          <w:tcPr>
            <w:tcW w:w="318" w:type="pct"/>
          </w:tcPr>
          <w:p w14:paraId="6787CB47"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c>
          <w:tcPr>
            <w:tcW w:w="378" w:type="pct"/>
            <w:vAlign w:val="center"/>
          </w:tcPr>
          <w:p w14:paraId="5F8E4C5E"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c>
          <w:tcPr>
            <w:tcW w:w="340" w:type="pct"/>
          </w:tcPr>
          <w:p w14:paraId="7114895D"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p>
        </w:tc>
        <w:tc>
          <w:tcPr>
            <w:tcW w:w="340" w:type="pct"/>
          </w:tcPr>
          <w:p w14:paraId="3BE69F1C"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2,6</w:t>
            </w:r>
          </w:p>
        </w:tc>
        <w:tc>
          <w:tcPr>
            <w:tcW w:w="340" w:type="pct"/>
          </w:tcPr>
          <w:p w14:paraId="1972C56C"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c>
          <w:tcPr>
            <w:tcW w:w="372" w:type="pct"/>
            <w:vAlign w:val="center"/>
          </w:tcPr>
          <w:p w14:paraId="630C8850"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c>
          <w:tcPr>
            <w:tcW w:w="340" w:type="pct"/>
          </w:tcPr>
          <w:p w14:paraId="72D65B39"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p>
        </w:tc>
        <w:tc>
          <w:tcPr>
            <w:tcW w:w="340" w:type="pct"/>
          </w:tcPr>
          <w:p w14:paraId="247684B5"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r w:rsidRPr="0015276F">
              <w:rPr>
                <w:szCs w:val="28"/>
              </w:rPr>
              <w:t>2,5</w:t>
            </w:r>
          </w:p>
        </w:tc>
        <w:tc>
          <w:tcPr>
            <w:tcW w:w="343" w:type="pct"/>
          </w:tcPr>
          <w:p w14:paraId="71CDD5EA" w14:textId="77777777" w:rsidR="00BB05DF" w:rsidRPr="0015276F" w:rsidRDefault="00BB05DF" w:rsidP="00E15E66">
            <w:pPr>
              <w:jc w:val="center"/>
              <w:cnfStyle w:val="000000100000" w:firstRow="0" w:lastRow="0" w:firstColumn="0" w:lastColumn="0" w:oddVBand="0" w:evenVBand="0" w:oddHBand="1" w:evenHBand="0" w:firstRowFirstColumn="0" w:firstRowLastColumn="0" w:lastRowFirstColumn="0" w:lastRowLastColumn="0"/>
              <w:rPr>
                <w:rFonts w:cs="Times New Roman"/>
                <w:szCs w:val="28"/>
                <w:lang w:val="vi-VN"/>
              </w:rPr>
            </w:pPr>
          </w:p>
        </w:tc>
      </w:tr>
      <w:tr w:rsidR="00A67545" w:rsidRPr="0015276F" w14:paraId="14596FFA" w14:textId="77777777" w:rsidTr="00E15E66">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566A9BEB" w14:textId="77777777" w:rsidR="00BB05DF" w:rsidRPr="004F7F23" w:rsidRDefault="00BB05DF" w:rsidP="00E15E66">
            <w:pPr>
              <w:jc w:val="center"/>
              <w:rPr>
                <w:rFonts w:cs="Times New Roman"/>
                <w:b w:val="0"/>
                <w:szCs w:val="28"/>
                <w:lang w:val="vi-VN"/>
              </w:rPr>
            </w:pPr>
            <w:r w:rsidRPr="004F7F23">
              <w:rPr>
                <w:rFonts w:cs="Times New Roman"/>
                <w:b w:val="0"/>
                <w:szCs w:val="28"/>
                <w:lang w:val="vi-VN"/>
              </w:rPr>
              <w:t>10</w:t>
            </w:r>
          </w:p>
        </w:tc>
        <w:tc>
          <w:tcPr>
            <w:tcW w:w="639" w:type="pct"/>
            <w:vAlign w:val="center"/>
          </w:tcPr>
          <w:p w14:paraId="52EC5F3D" w14:textId="77777777" w:rsidR="00BB05DF" w:rsidRPr="0015276F" w:rsidRDefault="00BB05DF" w:rsidP="00E15E66">
            <w:pP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rFonts w:cs="Times New Roman"/>
                <w:szCs w:val="28"/>
                <w:lang w:val="vi-VN"/>
              </w:rPr>
              <w:t>Việt Nam</w:t>
            </w:r>
          </w:p>
        </w:tc>
        <w:tc>
          <w:tcPr>
            <w:tcW w:w="340" w:type="pct"/>
            <w:vAlign w:val="center"/>
          </w:tcPr>
          <w:p w14:paraId="510E766F"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32E260E8"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31AC834B"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6,1</w:t>
            </w:r>
          </w:p>
        </w:tc>
        <w:tc>
          <w:tcPr>
            <w:tcW w:w="318" w:type="pct"/>
          </w:tcPr>
          <w:p w14:paraId="42359403" w14:textId="5BE7DD83" w:rsidR="00BB05DF" w:rsidRPr="0015276F" w:rsidRDefault="00805C85"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7,1</w:t>
            </w:r>
          </w:p>
        </w:tc>
        <w:tc>
          <w:tcPr>
            <w:tcW w:w="378" w:type="pct"/>
            <w:vAlign w:val="center"/>
          </w:tcPr>
          <w:p w14:paraId="1C7C00AC"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5C328832"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199FCB78"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6,5</w:t>
            </w:r>
          </w:p>
        </w:tc>
        <w:tc>
          <w:tcPr>
            <w:tcW w:w="340" w:type="pct"/>
          </w:tcPr>
          <w:p w14:paraId="224D8440" w14:textId="71CCC704" w:rsidR="00BB05DF" w:rsidRPr="0015276F" w:rsidRDefault="00BB05DF" w:rsidP="002D1048">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6,</w:t>
            </w:r>
            <w:r w:rsidR="002D1048" w:rsidRPr="0015276F">
              <w:rPr>
                <w:szCs w:val="28"/>
              </w:rPr>
              <w:t>8</w:t>
            </w:r>
          </w:p>
        </w:tc>
        <w:tc>
          <w:tcPr>
            <w:tcW w:w="372" w:type="pct"/>
            <w:vAlign w:val="center"/>
          </w:tcPr>
          <w:p w14:paraId="12D753EF"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69BBB2A4"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p>
        </w:tc>
        <w:tc>
          <w:tcPr>
            <w:tcW w:w="340" w:type="pct"/>
          </w:tcPr>
          <w:p w14:paraId="60C12DF8" w14:textId="77777777" w:rsidR="00BB05DF" w:rsidRPr="0015276F" w:rsidRDefault="00BB05DF" w:rsidP="00E15E66">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6,3</w:t>
            </w:r>
          </w:p>
        </w:tc>
        <w:tc>
          <w:tcPr>
            <w:tcW w:w="343" w:type="pct"/>
          </w:tcPr>
          <w:p w14:paraId="6E0D6E9D" w14:textId="57FBE8DA" w:rsidR="00BB05DF" w:rsidRPr="0015276F" w:rsidRDefault="00BB05DF" w:rsidP="002D1048">
            <w:pPr>
              <w:jc w:val="center"/>
              <w:cnfStyle w:val="000000000000" w:firstRow="0" w:lastRow="0" w:firstColumn="0" w:lastColumn="0" w:oddVBand="0" w:evenVBand="0" w:oddHBand="0" w:evenHBand="0" w:firstRowFirstColumn="0" w:firstRowLastColumn="0" w:lastRowFirstColumn="0" w:lastRowLastColumn="0"/>
              <w:rPr>
                <w:rFonts w:cs="Times New Roman"/>
                <w:szCs w:val="28"/>
                <w:lang w:val="vi-VN"/>
              </w:rPr>
            </w:pPr>
            <w:r w:rsidRPr="0015276F">
              <w:rPr>
                <w:szCs w:val="28"/>
              </w:rPr>
              <w:t>6,</w:t>
            </w:r>
            <w:r w:rsidR="002D1048" w:rsidRPr="0015276F">
              <w:rPr>
                <w:szCs w:val="28"/>
              </w:rPr>
              <w:t>5</w:t>
            </w:r>
          </w:p>
        </w:tc>
      </w:tr>
    </w:tbl>
    <w:p w14:paraId="462995DF" w14:textId="77777777" w:rsidR="00BB05DF" w:rsidRPr="00A67545" w:rsidRDefault="00BB05DF" w:rsidP="00BB05DF">
      <w:pPr>
        <w:spacing w:after="0" w:line="240" w:lineRule="auto"/>
        <w:jc w:val="right"/>
        <w:rPr>
          <w:i/>
          <w:sz w:val="24"/>
          <w:szCs w:val="28"/>
          <w:lang w:val="vi-VN"/>
        </w:rPr>
      </w:pPr>
    </w:p>
    <w:p w14:paraId="47C66E3D" w14:textId="7CC55B44" w:rsidR="00011FDB" w:rsidRPr="00A67545" w:rsidRDefault="00BB05DF" w:rsidP="00481506">
      <w:pPr>
        <w:spacing w:after="0" w:line="240" w:lineRule="auto"/>
        <w:jc w:val="right"/>
        <w:rPr>
          <w:b/>
          <w:lang w:val="vi-VN"/>
        </w:rPr>
      </w:pPr>
      <w:r w:rsidRPr="00A67545">
        <w:rPr>
          <w:i/>
          <w:sz w:val="24"/>
          <w:szCs w:val="28"/>
          <w:lang w:val="vi-VN"/>
        </w:rPr>
        <w:t xml:space="preserve">Nguồn: OECD, IMF, </w:t>
      </w:r>
      <w:r w:rsidRPr="00A67545">
        <w:rPr>
          <w:i/>
          <w:sz w:val="24"/>
          <w:szCs w:val="28"/>
        </w:rPr>
        <w:t>UN</w:t>
      </w:r>
      <w:r w:rsidRPr="00A67545">
        <w:rPr>
          <w:i/>
          <w:sz w:val="24"/>
          <w:szCs w:val="28"/>
          <w:lang w:val="vi-VN"/>
        </w:rPr>
        <w:t xml:space="preserve"> và </w:t>
      </w:r>
      <w:r w:rsidRPr="00A67545">
        <w:rPr>
          <w:i/>
          <w:sz w:val="24"/>
          <w:szCs w:val="28"/>
        </w:rPr>
        <w:t>WB</w:t>
      </w:r>
      <w:r w:rsidRPr="00A67545">
        <w:rPr>
          <w:i/>
          <w:sz w:val="24"/>
          <w:szCs w:val="28"/>
          <w:lang w:val="vi-VN"/>
        </w:rPr>
        <w:t xml:space="preserve"> cập nhật ngày </w:t>
      </w:r>
      <w:r w:rsidRPr="00A67545">
        <w:rPr>
          <w:i/>
          <w:sz w:val="24"/>
          <w:szCs w:val="28"/>
        </w:rPr>
        <w:t>27</w:t>
      </w:r>
      <w:r w:rsidRPr="00A67545">
        <w:rPr>
          <w:i/>
          <w:sz w:val="24"/>
          <w:szCs w:val="28"/>
          <w:lang w:val="vi-VN"/>
        </w:rPr>
        <w:t>/</w:t>
      </w:r>
      <w:r w:rsidRPr="00A67545">
        <w:rPr>
          <w:i/>
          <w:sz w:val="24"/>
          <w:szCs w:val="28"/>
        </w:rPr>
        <w:t>3</w:t>
      </w:r>
      <w:r w:rsidRPr="00A67545">
        <w:rPr>
          <w:i/>
          <w:sz w:val="24"/>
          <w:szCs w:val="28"/>
          <w:lang w:val="vi-VN"/>
        </w:rPr>
        <w:t>/202</w:t>
      </w:r>
      <w:r w:rsidRPr="00A67545">
        <w:rPr>
          <w:i/>
          <w:sz w:val="24"/>
          <w:szCs w:val="28"/>
        </w:rPr>
        <w:t>5.</w:t>
      </w:r>
    </w:p>
    <w:sectPr w:rsidR="00011FDB" w:rsidRPr="00A67545" w:rsidSect="00C556D4">
      <w:headerReference w:type="default" r:id="rId16"/>
      <w:pgSz w:w="16839" w:h="11907" w:orient="landscape" w:code="9"/>
      <w:pgMar w:top="1531" w:right="851" w:bottom="1196" w:left="1021"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E435D" w14:textId="77777777" w:rsidR="008838D0" w:rsidRDefault="008838D0" w:rsidP="00C82BCF">
      <w:pPr>
        <w:spacing w:after="0" w:line="240" w:lineRule="auto"/>
      </w:pPr>
      <w:r>
        <w:separator/>
      </w:r>
    </w:p>
  </w:endnote>
  <w:endnote w:type="continuationSeparator" w:id="0">
    <w:p w14:paraId="6F2415FF" w14:textId="77777777" w:rsidR="008838D0" w:rsidRDefault="008838D0" w:rsidP="00C8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A1136" w14:textId="77777777" w:rsidR="008838D0" w:rsidRDefault="008838D0" w:rsidP="00C82BCF">
      <w:pPr>
        <w:spacing w:after="0" w:line="240" w:lineRule="auto"/>
      </w:pPr>
      <w:r>
        <w:separator/>
      </w:r>
    </w:p>
  </w:footnote>
  <w:footnote w:type="continuationSeparator" w:id="0">
    <w:p w14:paraId="0D020E59" w14:textId="77777777" w:rsidR="008838D0" w:rsidRDefault="008838D0" w:rsidP="00C82BCF">
      <w:pPr>
        <w:spacing w:after="0" w:line="240" w:lineRule="auto"/>
      </w:pPr>
      <w:r>
        <w:continuationSeparator/>
      </w:r>
    </w:p>
  </w:footnote>
  <w:footnote w:id="1">
    <w:p w14:paraId="1EEA2213" w14:textId="43CEC693" w:rsidR="00F4110E" w:rsidRDefault="00F4110E" w:rsidP="000E2799">
      <w:pPr>
        <w:pStyle w:val="FootnoteText"/>
        <w:spacing w:before="60"/>
        <w:jc w:val="both"/>
      </w:pPr>
      <w:r>
        <w:rPr>
          <w:rStyle w:val="FootnoteReference"/>
        </w:rPr>
        <w:footnoteRef/>
      </w:r>
      <w:r>
        <w:t xml:space="preserve"> Báo cáo được cập nhật đến ngày 27/3/2025.</w:t>
      </w:r>
    </w:p>
  </w:footnote>
  <w:footnote w:id="2">
    <w:p w14:paraId="03B574D2" w14:textId="77777777" w:rsidR="00F4110E" w:rsidRPr="003F531A" w:rsidRDefault="00F4110E" w:rsidP="003C5827">
      <w:pPr>
        <w:pStyle w:val="FootnoteText"/>
        <w:spacing w:before="60"/>
        <w:jc w:val="both"/>
        <w:rPr>
          <w:spacing w:val="-8"/>
        </w:rPr>
      </w:pPr>
      <w:r>
        <w:rPr>
          <w:rStyle w:val="FootnoteReference"/>
        </w:rPr>
        <w:footnoteRef/>
      </w:r>
      <w:r>
        <w:t xml:space="preserve"> </w:t>
      </w:r>
      <w:r w:rsidRPr="003F531A">
        <w:rPr>
          <w:spacing w:val="-8"/>
        </w:rPr>
        <w:t xml:space="preserve">OECD (Tháng </w:t>
      </w:r>
      <w:r>
        <w:rPr>
          <w:spacing w:val="-8"/>
        </w:rPr>
        <w:t>3</w:t>
      </w:r>
      <w:r w:rsidRPr="003F531A">
        <w:rPr>
          <w:spacing w:val="-8"/>
        </w:rPr>
        <w:t>/202</w:t>
      </w:r>
      <w:r>
        <w:rPr>
          <w:spacing w:val="-8"/>
        </w:rPr>
        <w:t>5</w:t>
      </w:r>
      <w:r w:rsidRPr="003F531A">
        <w:rPr>
          <w:spacing w:val="-8"/>
        </w:rPr>
        <w:t>), “</w:t>
      </w:r>
      <w:r w:rsidRPr="00236155">
        <w:rPr>
          <w:spacing w:val="-8"/>
        </w:rPr>
        <w:t xml:space="preserve">, Báo cáo kinh tế sơ bộ “Vượt qua sự không chắc chắn”, </w:t>
      </w:r>
      <w:hyperlink r:id="rId1" w:history="1">
        <w:r w:rsidRPr="00B648CB">
          <w:rPr>
            <w:rStyle w:val="Hyperlink"/>
            <w:spacing w:val="-8"/>
          </w:rPr>
          <w:t>https://www.oecd.org/en/publications/oecd-economic-outlook-interim-report-march-2025_89af4857-en.html</w:t>
        </w:r>
      </w:hyperlink>
      <w:r>
        <w:rPr>
          <w:spacing w:val="-8"/>
        </w:rPr>
        <w:t xml:space="preserve">, </w:t>
      </w:r>
      <w:r w:rsidRPr="00236155">
        <w:rPr>
          <w:spacing w:val="-8"/>
        </w:rPr>
        <w:t>truy cập ngày 24/3/2025</w:t>
      </w:r>
      <w:r>
        <w:rPr>
          <w:spacing w:val="-8"/>
        </w:rPr>
        <w:t xml:space="preserve"> </w:t>
      </w:r>
    </w:p>
  </w:footnote>
  <w:footnote w:id="3">
    <w:p w14:paraId="3F3CCD57" w14:textId="349F7B38" w:rsidR="00F4110E" w:rsidRPr="003F531A" w:rsidRDefault="00F4110E" w:rsidP="003C5827">
      <w:pPr>
        <w:pStyle w:val="FootnoteText"/>
        <w:spacing w:before="60"/>
        <w:jc w:val="both"/>
        <w:rPr>
          <w:spacing w:val="-8"/>
        </w:rPr>
      </w:pPr>
      <w:r>
        <w:rPr>
          <w:rStyle w:val="FootnoteReference"/>
        </w:rPr>
        <w:footnoteRef/>
      </w:r>
      <w:r>
        <w:t xml:space="preserve"> </w:t>
      </w:r>
      <w:r w:rsidRPr="003F531A">
        <w:rPr>
          <w:spacing w:val="-8"/>
        </w:rPr>
        <w:t xml:space="preserve">FR (Tháng </w:t>
      </w:r>
      <w:r>
        <w:rPr>
          <w:spacing w:val="-8"/>
        </w:rPr>
        <w:t>3</w:t>
      </w:r>
      <w:r w:rsidRPr="003F531A">
        <w:rPr>
          <w:spacing w:val="-8"/>
        </w:rPr>
        <w:t>/202</w:t>
      </w:r>
      <w:r>
        <w:rPr>
          <w:spacing w:val="-8"/>
        </w:rPr>
        <w:t>5</w:t>
      </w:r>
      <w:r w:rsidRPr="003F531A">
        <w:rPr>
          <w:spacing w:val="-8"/>
        </w:rPr>
        <w:t xml:space="preserve">), “Triển vọng kinh tế toàn cầu tháng </w:t>
      </w:r>
      <w:r>
        <w:rPr>
          <w:spacing w:val="-8"/>
        </w:rPr>
        <w:t>3</w:t>
      </w:r>
      <w:r w:rsidRPr="003F531A">
        <w:rPr>
          <w:spacing w:val="-8"/>
        </w:rPr>
        <w:t>/202</w:t>
      </w:r>
      <w:r>
        <w:rPr>
          <w:spacing w:val="-8"/>
        </w:rPr>
        <w:t>5</w:t>
      </w:r>
      <w:r w:rsidRPr="003F531A">
        <w:rPr>
          <w:spacing w:val="-8"/>
        </w:rPr>
        <w:t>”,</w:t>
      </w:r>
      <w:r>
        <w:t xml:space="preserve"> </w:t>
      </w:r>
      <w:hyperlink r:id="rId2" w:history="1">
        <w:r w:rsidRPr="00EC6B70">
          <w:rPr>
            <w:rStyle w:val="Hyperlink"/>
          </w:rPr>
          <w:t>https://www.fitchratings.com/research/sovereigns/global-economic-outlook-march-2025-18-03-2025</w:t>
        </w:r>
      </w:hyperlink>
      <w:r>
        <w:t>, truy cập ngày 24/3/2025</w:t>
      </w:r>
    </w:p>
  </w:footnote>
  <w:footnote w:id="4">
    <w:p w14:paraId="7EDCCCDD" w14:textId="77777777" w:rsidR="00F4110E" w:rsidRPr="003F531A" w:rsidRDefault="00F4110E" w:rsidP="003C5827">
      <w:pPr>
        <w:pStyle w:val="FootnoteText"/>
        <w:spacing w:before="60"/>
        <w:jc w:val="both"/>
        <w:rPr>
          <w:spacing w:val="-10"/>
        </w:rPr>
      </w:pPr>
      <w:r>
        <w:rPr>
          <w:rStyle w:val="FootnoteReference"/>
        </w:rPr>
        <w:footnoteRef/>
      </w:r>
      <w:r>
        <w:t xml:space="preserve"> </w:t>
      </w:r>
      <w:r w:rsidRPr="003F531A">
        <w:rPr>
          <w:spacing w:val="-10"/>
        </w:rPr>
        <w:t xml:space="preserve">UN (Tháng </w:t>
      </w:r>
      <w:r>
        <w:rPr>
          <w:spacing w:val="-10"/>
        </w:rPr>
        <w:t>01</w:t>
      </w:r>
      <w:r w:rsidRPr="003F531A">
        <w:rPr>
          <w:spacing w:val="-10"/>
        </w:rPr>
        <w:t>/202</w:t>
      </w:r>
      <w:r>
        <w:rPr>
          <w:spacing w:val="-10"/>
        </w:rPr>
        <w:t>5</w:t>
      </w:r>
      <w:r w:rsidRPr="003F531A">
        <w:rPr>
          <w:spacing w:val="-10"/>
        </w:rPr>
        <w:t>), “Tình hình và triển vọng kinh tế thế giớ</w:t>
      </w:r>
      <w:r>
        <w:rPr>
          <w:spacing w:val="-10"/>
        </w:rPr>
        <w:t xml:space="preserve">i </w:t>
      </w:r>
      <w:r w:rsidRPr="003F531A">
        <w:rPr>
          <w:spacing w:val="-10"/>
        </w:rPr>
        <w:t xml:space="preserve">tháng </w:t>
      </w:r>
      <w:r>
        <w:rPr>
          <w:spacing w:val="-10"/>
        </w:rPr>
        <w:t>01</w:t>
      </w:r>
      <w:r w:rsidRPr="003F531A">
        <w:rPr>
          <w:spacing w:val="-10"/>
        </w:rPr>
        <w:t>/202</w:t>
      </w:r>
      <w:r>
        <w:rPr>
          <w:spacing w:val="-10"/>
        </w:rPr>
        <w:t>5</w:t>
      </w:r>
      <w:r w:rsidRPr="003F531A">
        <w:rPr>
          <w:spacing w:val="-10"/>
        </w:rPr>
        <w:t>”,</w:t>
      </w:r>
      <w:r>
        <w:rPr>
          <w:spacing w:val="-10"/>
        </w:rPr>
        <w:t xml:space="preserve"> </w:t>
      </w:r>
      <w:hyperlink r:id="rId3" w:history="1">
        <w:r w:rsidRPr="00EC6B70">
          <w:rPr>
            <w:rStyle w:val="Hyperlink"/>
          </w:rPr>
          <w:t>https://www.un.org/development/desa/dpad/publication/world-economic-situation-and-prospects-2025/</w:t>
        </w:r>
      </w:hyperlink>
      <w:r>
        <w:t>, truy cập ngày 24/3/2025</w:t>
      </w:r>
    </w:p>
  </w:footnote>
  <w:footnote w:id="5">
    <w:p w14:paraId="7E9A19B6" w14:textId="6546D79A" w:rsidR="00F4110E" w:rsidRDefault="00F4110E" w:rsidP="003C5827">
      <w:pPr>
        <w:pStyle w:val="FootnoteText"/>
      </w:pPr>
      <w:r>
        <w:rPr>
          <w:rStyle w:val="FootnoteReference"/>
        </w:rPr>
        <w:footnoteRef/>
      </w:r>
      <w:r>
        <w:t xml:space="preserve"> WB, tháng 01/2025, “Triển vọng kinh tế toàn cầu tháng </w:t>
      </w:r>
      <w:r w:rsidR="00535C6E">
        <w:t>0</w:t>
      </w:r>
      <w:r>
        <w:t xml:space="preserve">1/2025”, </w:t>
      </w:r>
      <w:hyperlink r:id="rId4" w:history="1">
        <w:r w:rsidRPr="00EC6B70">
          <w:rPr>
            <w:rStyle w:val="Hyperlink"/>
          </w:rPr>
          <w:t>https://www.worldbank.org/en/publication/global-economic-prospects</w:t>
        </w:r>
      </w:hyperlink>
      <w:r>
        <w:t>, truy cập ngày 24/3/2025</w:t>
      </w:r>
    </w:p>
  </w:footnote>
  <w:footnote w:id="6">
    <w:p w14:paraId="14D8D537" w14:textId="77777777" w:rsidR="00F4110E" w:rsidRPr="003F531A" w:rsidRDefault="00F4110E" w:rsidP="003C5827">
      <w:pPr>
        <w:pStyle w:val="FootnoteText"/>
        <w:spacing w:before="60"/>
        <w:jc w:val="both"/>
        <w:rPr>
          <w:spacing w:val="-8"/>
        </w:rPr>
      </w:pPr>
      <w:r>
        <w:rPr>
          <w:rStyle w:val="FootnoteReference"/>
        </w:rPr>
        <w:footnoteRef/>
      </w:r>
      <w:r>
        <w:t xml:space="preserve"> </w:t>
      </w:r>
      <w:r w:rsidRPr="003F531A">
        <w:rPr>
          <w:spacing w:val="-8"/>
        </w:rPr>
        <w:t xml:space="preserve">IMF (Tháng </w:t>
      </w:r>
      <w:r>
        <w:rPr>
          <w:spacing w:val="-8"/>
        </w:rPr>
        <w:t>01</w:t>
      </w:r>
      <w:r w:rsidRPr="003F531A">
        <w:rPr>
          <w:spacing w:val="-8"/>
        </w:rPr>
        <w:t>/202</w:t>
      </w:r>
      <w:r>
        <w:rPr>
          <w:spacing w:val="-8"/>
        </w:rPr>
        <w:t>5</w:t>
      </w:r>
      <w:r w:rsidRPr="003F531A">
        <w:rPr>
          <w:spacing w:val="-8"/>
        </w:rPr>
        <w:t>), “Triển vọng kinh tế thế giớ</w:t>
      </w:r>
      <w:r>
        <w:rPr>
          <w:spacing w:val="-8"/>
        </w:rPr>
        <w:t xml:space="preserve">i cập nhật - </w:t>
      </w:r>
      <w:r w:rsidRPr="00236155">
        <w:rPr>
          <w:spacing w:val="-8"/>
        </w:rPr>
        <w:t xml:space="preserve">Tăng trưởng toàn cầu: Phân kỳ và không chắc chắn”, </w:t>
      </w:r>
      <w:hyperlink r:id="rId5" w:history="1">
        <w:r w:rsidRPr="00B648CB">
          <w:rPr>
            <w:rStyle w:val="Hyperlink"/>
            <w:spacing w:val="-8"/>
          </w:rPr>
          <w:t>https://www.imf.org/en/Publications/WEO/Issues/2025/01/17/world-economic-outlook-update-january-2025</w:t>
        </w:r>
      </w:hyperlink>
      <w:r w:rsidRPr="00236155">
        <w:rPr>
          <w:spacing w:val="-8"/>
        </w:rPr>
        <w:t>,</w:t>
      </w:r>
      <w:r>
        <w:rPr>
          <w:spacing w:val="-8"/>
        </w:rPr>
        <w:t xml:space="preserve"> </w:t>
      </w:r>
      <w:r w:rsidRPr="00236155">
        <w:rPr>
          <w:spacing w:val="-8"/>
        </w:rPr>
        <w:t>truy cập ngày 24/3/2025</w:t>
      </w:r>
    </w:p>
  </w:footnote>
  <w:footnote w:id="7">
    <w:p w14:paraId="7C6505C0" w14:textId="77777777" w:rsidR="00F4110E" w:rsidRDefault="00F4110E" w:rsidP="00C556D4">
      <w:pPr>
        <w:pStyle w:val="FootnoteText"/>
      </w:pPr>
      <w:r>
        <w:rPr>
          <w:rStyle w:val="FootnoteReference"/>
        </w:rPr>
        <w:footnoteRef/>
      </w:r>
      <w:r>
        <w:t xml:space="preserve"> AMRO (tháng 01/2025), </w:t>
      </w:r>
      <w:r w:rsidRPr="00931A1F">
        <w:t>Triển vọng kinh tế khu vực ASEAN+3</w:t>
      </w:r>
      <w:r>
        <w:t xml:space="preserve">, </w:t>
      </w:r>
      <w:hyperlink r:id="rId6" w:history="1">
        <w:r w:rsidRPr="00EC6B70">
          <w:rPr>
            <w:rStyle w:val="Hyperlink"/>
          </w:rPr>
          <w:t>https://amro-asia.org/asean3-regional-economic-outlook-areo/</w:t>
        </w:r>
      </w:hyperlink>
      <w:r>
        <w:t>, truy cập ngày 24/3/2025</w:t>
      </w:r>
    </w:p>
  </w:footnote>
  <w:footnote w:id="8">
    <w:p w14:paraId="4A9A8D23" w14:textId="77777777" w:rsidR="00F4110E" w:rsidRDefault="00F4110E" w:rsidP="00C556D4">
      <w:pPr>
        <w:pStyle w:val="FootnoteText"/>
        <w:spacing w:before="60"/>
        <w:jc w:val="both"/>
      </w:pPr>
      <w:r>
        <w:rPr>
          <w:rStyle w:val="FootnoteReference"/>
        </w:rPr>
        <w:footnoteRef/>
      </w:r>
      <w:r>
        <w:t xml:space="preserve"> WTO (Tháng 3/2025), “Thước đo thương mại hàng hóa tháng 01/2025”, </w:t>
      </w:r>
      <w:r w:rsidRPr="009E38B1">
        <w:rPr>
          <w:rStyle w:val="Hyperlink"/>
        </w:rPr>
        <w:t>https://www.wto.org/english/news_e/news25_e/wtoi_12mar25_e.pdf</w:t>
      </w:r>
      <w:r>
        <w:t>, truy cập ngày 24/3/2025.</w:t>
      </w:r>
    </w:p>
  </w:footnote>
  <w:footnote w:id="9">
    <w:p w14:paraId="26255142" w14:textId="77777777" w:rsidR="00F4110E" w:rsidRDefault="00F4110E" w:rsidP="00C556D4">
      <w:pPr>
        <w:pStyle w:val="FootnoteText"/>
      </w:pPr>
      <w:r>
        <w:rPr>
          <w:rStyle w:val="FootnoteReference"/>
        </w:rPr>
        <w:footnoteRef/>
      </w:r>
      <w:r>
        <w:t xml:space="preserve"> WB (Tháng 02/2025), “Báo cáo Toàn cầu hàng tháng, tháng 02/2025”, </w:t>
      </w:r>
      <w:r w:rsidRPr="00562AB9">
        <w:rPr>
          <w:rStyle w:val="Hyperlink"/>
        </w:rPr>
        <w:t>https://thedocs.worldbank.org/en/doc/de57f32fdf177170d1fe413327b553dd-0050012025/related/Global-Monthly-February-2025.pdf</w:t>
      </w:r>
      <w:r>
        <w:t>, truy cập ngày 24/3/2025</w:t>
      </w:r>
    </w:p>
  </w:footnote>
  <w:footnote w:id="10">
    <w:p w14:paraId="00AB06C7" w14:textId="77777777" w:rsidR="00F4110E" w:rsidRDefault="00F4110E" w:rsidP="00C556D4">
      <w:pPr>
        <w:pStyle w:val="FootnoteText"/>
      </w:pPr>
      <w:r>
        <w:rPr>
          <w:rStyle w:val="FootnoteReference"/>
        </w:rPr>
        <w:footnoteRef/>
      </w:r>
      <w:r>
        <w:t xml:space="preserve"> ILO tháng 01/2025, Triển vọng việc làm và xã hội thế giới: xu hướng 2025, </w:t>
      </w:r>
      <w:hyperlink r:id="rId7" w:history="1">
        <w:r w:rsidRPr="00EC6B70">
          <w:rPr>
            <w:rStyle w:val="Hyperlink"/>
          </w:rPr>
          <w:t>https://www.ilo.org/publications/flagship-reports/world-employment-and-social-outlook-trends-2025</w:t>
        </w:r>
      </w:hyperlink>
      <w:r>
        <w:t>, truy cập ngày 24/3/2025</w:t>
      </w:r>
    </w:p>
  </w:footnote>
  <w:footnote w:id="11">
    <w:p w14:paraId="60CA7218" w14:textId="77777777" w:rsidR="00F4110E" w:rsidRPr="00280932" w:rsidRDefault="00F4110E" w:rsidP="00836B85">
      <w:pPr>
        <w:pStyle w:val="FootnoteText"/>
        <w:spacing w:before="60"/>
        <w:rPr>
          <w:spacing w:val="-8"/>
        </w:rPr>
      </w:pPr>
      <w:r>
        <w:rPr>
          <w:rStyle w:val="FootnoteReference"/>
        </w:rPr>
        <w:footnoteRef/>
      </w:r>
      <w:r>
        <w:t xml:space="preserve"> </w:t>
      </w:r>
      <w:r w:rsidRPr="00280932">
        <w:rPr>
          <w:spacing w:val="-8"/>
        </w:rPr>
        <w:t xml:space="preserve">Trading Economics (Tháng </w:t>
      </w:r>
      <w:r>
        <w:rPr>
          <w:spacing w:val="-8"/>
        </w:rPr>
        <w:t>3</w:t>
      </w:r>
      <w:r w:rsidRPr="00280932">
        <w:rPr>
          <w:spacing w:val="-8"/>
        </w:rPr>
        <w:t>/202</w:t>
      </w:r>
      <w:r>
        <w:rPr>
          <w:spacing w:val="-8"/>
        </w:rPr>
        <w:t>5</w:t>
      </w:r>
      <w:r w:rsidRPr="00280932">
        <w:rPr>
          <w:spacing w:val="-8"/>
        </w:rPr>
        <w:t xml:space="preserve">), </w:t>
      </w:r>
      <w:r w:rsidRPr="003D4D15">
        <w:rPr>
          <w:rStyle w:val="Hyperlink"/>
        </w:rPr>
        <w:t>https://tradingeconomics.com/forecast/gdp-growth-rate</w:t>
      </w:r>
      <w:r w:rsidRPr="00280932">
        <w:rPr>
          <w:spacing w:val="-8"/>
        </w:rPr>
        <w:t xml:space="preserve"> truy cập ngày </w:t>
      </w:r>
      <w:r>
        <w:rPr>
          <w:spacing w:val="-8"/>
        </w:rPr>
        <w:t>31</w:t>
      </w:r>
      <w:r w:rsidRPr="00280932">
        <w:rPr>
          <w:spacing w:val="-8"/>
        </w:rPr>
        <w:t>/</w:t>
      </w:r>
      <w:r>
        <w:rPr>
          <w:spacing w:val="-8"/>
        </w:rPr>
        <w:t>3</w:t>
      </w:r>
      <w:r w:rsidRPr="00280932">
        <w:rPr>
          <w:spacing w:val="-8"/>
        </w:rPr>
        <w:t>/202</w:t>
      </w:r>
      <w:r>
        <w:rPr>
          <w:spacing w:val="-8"/>
        </w:rPr>
        <w:t>5</w:t>
      </w:r>
      <w:r w:rsidRPr="00280932">
        <w:rPr>
          <w:spacing w:val="-8"/>
        </w:rPr>
        <w:t>.</w:t>
      </w:r>
    </w:p>
  </w:footnote>
  <w:footnote w:id="12">
    <w:p w14:paraId="64CDC757" w14:textId="5063067B" w:rsidR="00B34EDB" w:rsidRDefault="00B34EDB">
      <w:pPr>
        <w:pStyle w:val="FootnoteText"/>
      </w:pPr>
      <w:r>
        <w:rPr>
          <w:rStyle w:val="FootnoteReference"/>
        </w:rPr>
        <w:footnoteRef/>
      </w:r>
      <w:r w:rsidR="00201FC7" w:rsidRPr="00280932">
        <w:rPr>
          <w:spacing w:val="-8"/>
        </w:rPr>
        <w:t xml:space="preserve">Trading Economics (Tháng </w:t>
      </w:r>
      <w:r w:rsidR="00201FC7">
        <w:rPr>
          <w:spacing w:val="-8"/>
        </w:rPr>
        <w:t>4</w:t>
      </w:r>
      <w:r w:rsidR="00201FC7" w:rsidRPr="00280932">
        <w:rPr>
          <w:spacing w:val="-8"/>
        </w:rPr>
        <w:t>/202</w:t>
      </w:r>
      <w:r w:rsidR="00201FC7">
        <w:rPr>
          <w:spacing w:val="-8"/>
        </w:rPr>
        <w:t>5</w:t>
      </w:r>
      <w:r w:rsidR="00201FC7" w:rsidRPr="00280932">
        <w:rPr>
          <w:spacing w:val="-8"/>
        </w:rPr>
        <w:t xml:space="preserve">), </w:t>
      </w:r>
      <w:r>
        <w:t xml:space="preserve"> </w:t>
      </w:r>
      <w:hyperlink r:id="rId8" w:history="1">
        <w:r w:rsidR="00201FC7" w:rsidRPr="008A1EBC">
          <w:rPr>
            <w:rStyle w:val="Hyperlink"/>
          </w:rPr>
          <w:t>https://tradingeconomics.com/china/composite-pmi</w:t>
        </w:r>
      </w:hyperlink>
      <w:r w:rsidR="00201FC7">
        <w:t xml:space="preserve">, cập nhật lúc 10:00 ngày 03/4/2025.  </w:t>
      </w:r>
    </w:p>
  </w:footnote>
  <w:footnote w:id="13">
    <w:p w14:paraId="52269633" w14:textId="77777777" w:rsidR="00F4110E" w:rsidRDefault="00F4110E" w:rsidP="00C556D4">
      <w:pPr>
        <w:pStyle w:val="FootnoteText"/>
      </w:pPr>
      <w:r>
        <w:rPr>
          <w:rStyle w:val="FootnoteReference"/>
        </w:rPr>
        <w:footnoteRef/>
      </w:r>
      <w:r>
        <w:t xml:space="preserve"> AMRO, tháng 01/2025, </w:t>
      </w:r>
      <w:r w:rsidRPr="00931A1F">
        <w:t>Triển vọng kinh tế khu vực ASEAN+3</w:t>
      </w:r>
      <w:r>
        <w:t xml:space="preserve">, </w:t>
      </w:r>
      <w:hyperlink r:id="rId9" w:history="1">
        <w:r w:rsidRPr="00EC6B70">
          <w:rPr>
            <w:rStyle w:val="Hyperlink"/>
          </w:rPr>
          <w:t>https://amro-asia.org/asean3-regional-economic-outlook-areo/</w:t>
        </w:r>
      </w:hyperlink>
      <w:r>
        <w:t>, truy cập ngày 24/3/2025</w:t>
      </w:r>
    </w:p>
  </w:footnote>
  <w:footnote w:id="14">
    <w:p w14:paraId="2D5CFEFE" w14:textId="77777777" w:rsidR="00F4110E" w:rsidRPr="00493EA5" w:rsidRDefault="00F4110E" w:rsidP="00C556D4">
      <w:pPr>
        <w:pStyle w:val="FootnoteText"/>
        <w:spacing w:before="60"/>
        <w:jc w:val="both"/>
      </w:pPr>
      <w:r>
        <w:rPr>
          <w:rStyle w:val="FootnoteReference"/>
        </w:rPr>
        <w:footnoteRef/>
      </w:r>
      <w:r>
        <w:t xml:space="preserve"> WB (</w:t>
      </w:r>
      <w:r w:rsidRPr="00493EA5">
        <w:t xml:space="preserve">tháng </w:t>
      </w:r>
      <w:r>
        <w:t>3</w:t>
      </w:r>
      <w:r w:rsidRPr="00493EA5">
        <w:t>/2024</w:t>
      </w:r>
      <w:r>
        <w:t>)</w:t>
      </w:r>
      <w:r w:rsidRPr="00493EA5">
        <w:t>, “</w:t>
      </w:r>
      <w:r>
        <w:t>Báo cáo điểm lại tháng 3/2025 – Hành trình bứt phá chuyển đổi sang xe điện tại Việt Nam</w:t>
      </w:r>
      <w:r w:rsidRPr="00493EA5">
        <w:t xml:space="preserve">”, </w:t>
      </w:r>
      <w:r w:rsidRPr="004647A2">
        <w:rPr>
          <w:rStyle w:val="Hyperlink"/>
        </w:rPr>
        <w:t>https://www.worldbank.org/vi/news/press-release/2025/03/12/viet-nam-s-economy-forecast-to-grow-6-8-percent-in-2025-wb</w:t>
      </w:r>
      <w:r w:rsidRPr="00493EA5">
        <w:t>,</w:t>
      </w:r>
      <w:r>
        <w:t xml:space="preserve"> </w:t>
      </w:r>
      <w:r w:rsidRPr="00493EA5">
        <w:t>truy cập ngày 2</w:t>
      </w:r>
      <w:r>
        <w:t>7</w:t>
      </w:r>
      <w:r w:rsidRPr="00493EA5">
        <w:t>/</w:t>
      </w:r>
      <w:r>
        <w:t>3</w:t>
      </w:r>
      <w:r w:rsidRPr="00493EA5">
        <w:t>/202</w:t>
      </w:r>
      <w:r>
        <w:t>5</w:t>
      </w:r>
      <w:r w:rsidRPr="00493EA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707240"/>
      <w:docPartObj>
        <w:docPartGallery w:val="Page Numbers (Top of Page)"/>
        <w:docPartUnique/>
      </w:docPartObj>
    </w:sdtPr>
    <w:sdtEndPr>
      <w:rPr>
        <w:noProof/>
      </w:rPr>
    </w:sdtEndPr>
    <w:sdtContent>
      <w:p w14:paraId="63AF0F4B" w14:textId="0ECF5322" w:rsidR="00F4110E" w:rsidRDefault="00F4110E" w:rsidP="00CB5420">
        <w:pPr>
          <w:pStyle w:val="Header"/>
          <w:jc w:val="center"/>
        </w:pPr>
        <w:r>
          <w:fldChar w:fldCharType="begin"/>
        </w:r>
        <w:r>
          <w:instrText xml:space="preserve"> PAGE   \* MERGEFORMAT </w:instrText>
        </w:r>
        <w:r>
          <w:fldChar w:fldCharType="separate"/>
        </w:r>
        <w:r w:rsidR="00535C6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42354"/>
      <w:docPartObj>
        <w:docPartGallery w:val="Page Numbers (Top of Page)"/>
        <w:docPartUnique/>
      </w:docPartObj>
    </w:sdtPr>
    <w:sdtEndPr>
      <w:rPr>
        <w:noProof/>
      </w:rPr>
    </w:sdtEndPr>
    <w:sdtContent>
      <w:p w14:paraId="2AD0E291" w14:textId="164A065B" w:rsidR="00F4110E" w:rsidRDefault="00F4110E" w:rsidP="00CB5420">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033E1"/>
    <w:multiLevelType w:val="multilevel"/>
    <w:tmpl w:val="EB6E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968B8"/>
    <w:multiLevelType w:val="multilevel"/>
    <w:tmpl w:val="52D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CF"/>
    <w:rsid w:val="00000369"/>
    <w:rsid w:val="00000CD3"/>
    <w:rsid w:val="00000F71"/>
    <w:rsid w:val="00001C20"/>
    <w:rsid w:val="0000215D"/>
    <w:rsid w:val="00002C64"/>
    <w:rsid w:val="00002DBC"/>
    <w:rsid w:val="0000328D"/>
    <w:rsid w:val="0000338F"/>
    <w:rsid w:val="000054A8"/>
    <w:rsid w:val="000060E5"/>
    <w:rsid w:val="00006629"/>
    <w:rsid w:val="000068E6"/>
    <w:rsid w:val="00007447"/>
    <w:rsid w:val="00007B20"/>
    <w:rsid w:val="000100D9"/>
    <w:rsid w:val="0001047A"/>
    <w:rsid w:val="00010C18"/>
    <w:rsid w:val="00010F9B"/>
    <w:rsid w:val="00011151"/>
    <w:rsid w:val="00011B2F"/>
    <w:rsid w:val="00011B3E"/>
    <w:rsid w:val="00011FDB"/>
    <w:rsid w:val="00012A94"/>
    <w:rsid w:val="00012C05"/>
    <w:rsid w:val="00012CBC"/>
    <w:rsid w:val="000131E9"/>
    <w:rsid w:val="00013615"/>
    <w:rsid w:val="00013F20"/>
    <w:rsid w:val="00013F62"/>
    <w:rsid w:val="0001449B"/>
    <w:rsid w:val="000149C1"/>
    <w:rsid w:val="00016EFE"/>
    <w:rsid w:val="00017DBB"/>
    <w:rsid w:val="0002064F"/>
    <w:rsid w:val="00020CA2"/>
    <w:rsid w:val="00021B0A"/>
    <w:rsid w:val="0002336D"/>
    <w:rsid w:val="00023986"/>
    <w:rsid w:val="00023ADE"/>
    <w:rsid w:val="00023FDD"/>
    <w:rsid w:val="00024190"/>
    <w:rsid w:val="000257C1"/>
    <w:rsid w:val="00025F49"/>
    <w:rsid w:val="00026DCC"/>
    <w:rsid w:val="00026ED3"/>
    <w:rsid w:val="000271CA"/>
    <w:rsid w:val="00027510"/>
    <w:rsid w:val="00027543"/>
    <w:rsid w:val="00027920"/>
    <w:rsid w:val="00027C41"/>
    <w:rsid w:val="000301DF"/>
    <w:rsid w:val="00031EAB"/>
    <w:rsid w:val="000327D5"/>
    <w:rsid w:val="000329F5"/>
    <w:rsid w:val="00032ED7"/>
    <w:rsid w:val="0003330E"/>
    <w:rsid w:val="00034232"/>
    <w:rsid w:val="00034285"/>
    <w:rsid w:val="00034A2D"/>
    <w:rsid w:val="00034C7A"/>
    <w:rsid w:val="0003502F"/>
    <w:rsid w:val="000350E1"/>
    <w:rsid w:val="0003541E"/>
    <w:rsid w:val="00035448"/>
    <w:rsid w:val="00036770"/>
    <w:rsid w:val="00036C20"/>
    <w:rsid w:val="00037235"/>
    <w:rsid w:val="000375E7"/>
    <w:rsid w:val="00037B6A"/>
    <w:rsid w:val="00037FAD"/>
    <w:rsid w:val="000409D6"/>
    <w:rsid w:val="00040B63"/>
    <w:rsid w:val="0004132C"/>
    <w:rsid w:val="00042675"/>
    <w:rsid w:val="0004273C"/>
    <w:rsid w:val="00042D9B"/>
    <w:rsid w:val="00042FB4"/>
    <w:rsid w:val="000433DB"/>
    <w:rsid w:val="00043732"/>
    <w:rsid w:val="0004389A"/>
    <w:rsid w:val="0004394C"/>
    <w:rsid w:val="00044E10"/>
    <w:rsid w:val="00046190"/>
    <w:rsid w:val="000462D5"/>
    <w:rsid w:val="000463AE"/>
    <w:rsid w:val="00046CB1"/>
    <w:rsid w:val="00046FE3"/>
    <w:rsid w:val="00047325"/>
    <w:rsid w:val="00047814"/>
    <w:rsid w:val="00047859"/>
    <w:rsid w:val="000479FB"/>
    <w:rsid w:val="00047E17"/>
    <w:rsid w:val="00047EA6"/>
    <w:rsid w:val="000505E4"/>
    <w:rsid w:val="00050636"/>
    <w:rsid w:val="000519B9"/>
    <w:rsid w:val="00051E55"/>
    <w:rsid w:val="00052368"/>
    <w:rsid w:val="00052C4D"/>
    <w:rsid w:val="0005548A"/>
    <w:rsid w:val="000557B7"/>
    <w:rsid w:val="00055894"/>
    <w:rsid w:val="00055C7F"/>
    <w:rsid w:val="00057282"/>
    <w:rsid w:val="00057523"/>
    <w:rsid w:val="000577A5"/>
    <w:rsid w:val="000577E1"/>
    <w:rsid w:val="00060A59"/>
    <w:rsid w:val="00060AE9"/>
    <w:rsid w:val="00060D74"/>
    <w:rsid w:val="00060D92"/>
    <w:rsid w:val="00061033"/>
    <w:rsid w:val="00061400"/>
    <w:rsid w:val="00063B15"/>
    <w:rsid w:val="000646CC"/>
    <w:rsid w:val="000650E3"/>
    <w:rsid w:val="0006510C"/>
    <w:rsid w:val="0006576B"/>
    <w:rsid w:val="00065FFB"/>
    <w:rsid w:val="00066BD4"/>
    <w:rsid w:val="00067098"/>
    <w:rsid w:val="000670DE"/>
    <w:rsid w:val="000673F5"/>
    <w:rsid w:val="00067795"/>
    <w:rsid w:val="000679CC"/>
    <w:rsid w:val="00067DCD"/>
    <w:rsid w:val="000713BD"/>
    <w:rsid w:val="00071544"/>
    <w:rsid w:val="00071C47"/>
    <w:rsid w:val="00072168"/>
    <w:rsid w:val="00072CA4"/>
    <w:rsid w:val="0007320B"/>
    <w:rsid w:val="00073F96"/>
    <w:rsid w:val="000744AC"/>
    <w:rsid w:val="000747E4"/>
    <w:rsid w:val="00074BB1"/>
    <w:rsid w:val="00074E24"/>
    <w:rsid w:val="000761E4"/>
    <w:rsid w:val="000778D1"/>
    <w:rsid w:val="0007793B"/>
    <w:rsid w:val="00080793"/>
    <w:rsid w:val="00080DD1"/>
    <w:rsid w:val="00081AF2"/>
    <w:rsid w:val="00082DF4"/>
    <w:rsid w:val="0008427C"/>
    <w:rsid w:val="00084B31"/>
    <w:rsid w:val="0008512E"/>
    <w:rsid w:val="000851ED"/>
    <w:rsid w:val="00085FA5"/>
    <w:rsid w:val="0008658E"/>
    <w:rsid w:val="00086DC4"/>
    <w:rsid w:val="00086EDD"/>
    <w:rsid w:val="00087802"/>
    <w:rsid w:val="00087C93"/>
    <w:rsid w:val="00090039"/>
    <w:rsid w:val="0009024E"/>
    <w:rsid w:val="00091845"/>
    <w:rsid w:val="0009292E"/>
    <w:rsid w:val="00093F80"/>
    <w:rsid w:val="000940EB"/>
    <w:rsid w:val="000942C6"/>
    <w:rsid w:val="000945A4"/>
    <w:rsid w:val="0009486D"/>
    <w:rsid w:val="00094F62"/>
    <w:rsid w:val="0009559E"/>
    <w:rsid w:val="000957F2"/>
    <w:rsid w:val="00095BC2"/>
    <w:rsid w:val="00095EE6"/>
    <w:rsid w:val="00096FEB"/>
    <w:rsid w:val="00097072"/>
    <w:rsid w:val="000973A2"/>
    <w:rsid w:val="00097A12"/>
    <w:rsid w:val="000A0505"/>
    <w:rsid w:val="000A07B4"/>
    <w:rsid w:val="000A0931"/>
    <w:rsid w:val="000A0F11"/>
    <w:rsid w:val="000A2A53"/>
    <w:rsid w:val="000A31EB"/>
    <w:rsid w:val="000A3701"/>
    <w:rsid w:val="000A3DBD"/>
    <w:rsid w:val="000A4035"/>
    <w:rsid w:val="000A4322"/>
    <w:rsid w:val="000A43AA"/>
    <w:rsid w:val="000A44AD"/>
    <w:rsid w:val="000A4D70"/>
    <w:rsid w:val="000A614B"/>
    <w:rsid w:val="000A669D"/>
    <w:rsid w:val="000A6E2C"/>
    <w:rsid w:val="000A70CF"/>
    <w:rsid w:val="000A7443"/>
    <w:rsid w:val="000B02FD"/>
    <w:rsid w:val="000B06D3"/>
    <w:rsid w:val="000B15BC"/>
    <w:rsid w:val="000B1C18"/>
    <w:rsid w:val="000B2CC7"/>
    <w:rsid w:val="000B4AC8"/>
    <w:rsid w:val="000B56EF"/>
    <w:rsid w:val="000B57B7"/>
    <w:rsid w:val="000B588E"/>
    <w:rsid w:val="000B6A29"/>
    <w:rsid w:val="000B6AAB"/>
    <w:rsid w:val="000B787E"/>
    <w:rsid w:val="000C2399"/>
    <w:rsid w:val="000C34DF"/>
    <w:rsid w:val="000C374E"/>
    <w:rsid w:val="000C38C6"/>
    <w:rsid w:val="000C3B94"/>
    <w:rsid w:val="000C42A8"/>
    <w:rsid w:val="000C43BD"/>
    <w:rsid w:val="000C4AE0"/>
    <w:rsid w:val="000C4B28"/>
    <w:rsid w:val="000C4C35"/>
    <w:rsid w:val="000C4F4A"/>
    <w:rsid w:val="000C4FC3"/>
    <w:rsid w:val="000C54E8"/>
    <w:rsid w:val="000C5A98"/>
    <w:rsid w:val="000C5B3A"/>
    <w:rsid w:val="000C5BFD"/>
    <w:rsid w:val="000C729C"/>
    <w:rsid w:val="000C76B8"/>
    <w:rsid w:val="000D056A"/>
    <w:rsid w:val="000D0A34"/>
    <w:rsid w:val="000D0EF9"/>
    <w:rsid w:val="000D1113"/>
    <w:rsid w:val="000D16FA"/>
    <w:rsid w:val="000D1B35"/>
    <w:rsid w:val="000D2BF3"/>
    <w:rsid w:val="000D3A3C"/>
    <w:rsid w:val="000D4D9A"/>
    <w:rsid w:val="000D5033"/>
    <w:rsid w:val="000D55B1"/>
    <w:rsid w:val="000D5768"/>
    <w:rsid w:val="000D5E1B"/>
    <w:rsid w:val="000D5FC6"/>
    <w:rsid w:val="000D773F"/>
    <w:rsid w:val="000E03BC"/>
    <w:rsid w:val="000E0A35"/>
    <w:rsid w:val="000E0E27"/>
    <w:rsid w:val="000E179C"/>
    <w:rsid w:val="000E1FA3"/>
    <w:rsid w:val="000E2799"/>
    <w:rsid w:val="000E2ED5"/>
    <w:rsid w:val="000E3C5F"/>
    <w:rsid w:val="000E49F8"/>
    <w:rsid w:val="000E5502"/>
    <w:rsid w:val="000E55C8"/>
    <w:rsid w:val="000E78F2"/>
    <w:rsid w:val="000E7ACB"/>
    <w:rsid w:val="000E7CDC"/>
    <w:rsid w:val="000F0906"/>
    <w:rsid w:val="000F0C62"/>
    <w:rsid w:val="000F0D8F"/>
    <w:rsid w:val="000F1382"/>
    <w:rsid w:val="000F1B05"/>
    <w:rsid w:val="000F1C32"/>
    <w:rsid w:val="000F26A4"/>
    <w:rsid w:val="000F2EDE"/>
    <w:rsid w:val="000F34A6"/>
    <w:rsid w:val="000F357D"/>
    <w:rsid w:val="000F424D"/>
    <w:rsid w:val="000F4FC8"/>
    <w:rsid w:val="000F502E"/>
    <w:rsid w:val="000F5C3A"/>
    <w:rsid w:val="000F6390"/>
    <w:rsid w:val="000F6647"/>
    <w:rsid w:val="000F6D94"/>
    <w:rsid w:val="0010086F"/>
    <w:rsid w:val="00101332"/>
    <w:rsid w:val="00101857"/>
    <w:rsid w:val="00101ACE"/>
    <w:rsid w:val="00101C16"/>
    <w:rsid w:val="00101C78"/>
    <w:rsid w:val="00102193"/>
    <w:rsid w:val="00102B14"/>
    <w:rsid w:val="00102B39"/>
    <w:rsid w:val="0010319F"/>
    <w:rsid w:val="00103D7F"/>
    <w:rsid w:val="00103EFB"/>
    <w:rsid w:val="001049D5"/>
    <w:rsid w:val="00104E5E"/>
    <w:rsid w:val="0010519C"/>
    <w:rsid w:val="001060C5"/>
    <w:rsid w:val="00106FED"/>
    <w:rsid w:val="00107211"/>
    <w:rsid w:val="00107830"/>
    <w:rsid w:val="001100D5"/>
    <w:rsid w:val="00110843"/>
    <w:rsid w:val="00110C08"/>
    <w:rsid w:val="00111571"/>
    <w:rsid w:val="0011169E"/>
    <w:rsid w:val="00111707"/>
    <w:rsid w:val="00111F98"/>
    <w:rsid w:val="001124C5"/>
    <w:rsid w:val="00113227"/>
    <w:rsid w:val="0011339D"/>
    <w:rsid w:val="00113485"/>
    <w:rsid w:val="00113B20"/>
    <w:rsid w:val="00114946"/>
    <w:rsid w:val="0011505E"/>
    <w:rsid w:val="001159F3"/>
    <w:rsid w:val="00115EDD"/>
    <w:rsid w:val="00116D7D"/>
    <w:rsid w:val="00116DA4"/>
    <w:rsid w:val="00116E8C"/>
    <w:rsid w:val="00116FB9"/>
    <w:rsid w:val="0011719E"/>
    <w:rsid w:val="00117B38"/>
    <w:rsid w:val="00117F17"/>
    <w:rsid w:val="001206E4"/>
    <w:rsid w:val="00120D0E"/>
    <w:rsid w:val="0012113C"/>
    <w:rsid w:val="00121C9E"/>
    <w:rsid w:val="00121DEA"/>
    <w:rsid w:val="00122C0A"/>
    <w:rsid w:val="00122F16"/>
    <w:rsid w:val="00122F4D"/>
    <w:rsid w:val="00123500"/>
    <w:rsid w:val="00123818"/>
    <w:rsid w:val="00124F60"/>
    <w:rsid w:val="00125688"/>
    <w:rsid w:val="00125AB2"/>
    <w:rsid w:val="001268A3"/>
    <w:rsid w:val="001268EA"/>
    <w:rsid w:val="001273AE"/>
    <w:rsid w:val="00127D28"/>
    <w:rsid w:val="00130148"/>
    <w:rsid w:val="00130559"/>
    <w:rsid w:val="0013076E"/>
    <w:rsid w:val="00130838"/>
    <w:rsid w:val="001315A6"/>
    <w:rsid w:val="00131A48"/>
    <w:rsid w:val="0013268E"/>
    <w:rsid w:val="001327DD"/>
    <w:rsid w:val="0013290F"/>
    <w:rsid w:val="00132D00"/>
    <w:rsid w:val="00133622"/>
    <w:rsid w:val="00133A86"/>
    <w:rsid w:val="001343DC"/>
    <w:rsid w:val="0013479B"/>
    <w:rsid w:val="00134970"/>
    <w:rsid w:val="00134A51"/>
    <w:rsid w:val="0013507A"/>
    <w:rsid w:val="00135084"/>
    <w:rsid w:val="00135B85"/>
    <w:rsid w:val="00135E31"/>
    <w:rsid w:val="00135F3F"/>
    <w:rsid w:val="00136722"/>
    <w:rsid w:val="0013697E"/>
    <w:rsid w:val="00136B30"/>
    <w:rsid w:val="001370BB"/>
    <w:rsid w:val="00137996"/>
    <w:rsid w:val="001379B6"/>
    <w:rsid w:val="00137E0C"/>
    <w:rsid w:val="0014121E"/>
    <w:rsid w:val="001422C5"/>
    <w:rsid w:val="00142907"/>
    <w:rsid w:val="00142FD0"/>
    <w:rsid w:val="0014320D"/>
    <w:rsid w:val="001434B8"/>
    <w:rsid w:val="00143E04"/>
    <w:rsid w:val="0014448C"/>
    <w:rsid w:val="00144492"/>
    <w:rsid w:val="001448F7"/>
    <w:rsid w:val="00144F78"/>
    <w:rsid w:val="00145453"/>
    <w:rsid w:val="0014548E"/>
    <w:rsid w:val="00146772"/>
    <w:rsid w:val="00146C1A"/>
    <w:rsid w:val="00146ECF"/>
    <w:rsid w:val="00147732"/>
    <w:rsid w:val="001479E6"/>
    <w:rsid w:val="00150093"/>
    <w:rsid w:val="00150109"/>
    <w:rsid w:val="001507DD"/>
    <w:rsid w:val="001508E5"/>
    <w:rsid w:val="00150A92"/>
    <w:rsid w:val="00151022"/>
    <w:rsid w:val="001514B6"/>
    <w:rsid w:val="0015180F"/>
    <w:rsid w:val="0015256A"/>
    <w:rsid w:val="001526DF"/>
    <w:rsid w:val="0015276F"/>
    <w:rsid w:val="001527C0"/>
    <w:rsid w:val="00152846"/>
    <w:rsid w:val="001529BF"/>
    <w:rsid w:val="00152AE8"/>
    <w:rsid w:val="00153815"/>
    <w:rsid w:val="001541AD"/>
    <w:rsid w:val="00154ADE"/>
    <w:rsid w:val="0015517C"/>
    <w:rsid w:val="0015518E"/>
    <w:rsid w:val="0015642A"/>
    <w:rsid w:val="0015670E"/>
    <w:rsid w:val="001571A9"/>
    <w:rsid w:val="001578BB"/>
    <w:rsid w:val="00157A0A"/>
    <w:rsid w:val="001601B3"/>
    <w:rsid w:val="001601FE"/>
    <w:rsid w:val="00160269"/>
    <w:rsid w:val="00160384"/>
    <w:rsid w:val="001626DF"/>
    <w:rsid w:val="0016343A"/>
    <w:rsid w:val="001636BB"/>
    <w:rsid w:val="00163824"/>
    <w:rsid w:val="0016433F"/>
    <w:rsid w:val="001658B4"/>
    <w:rsid w:val="00165CD8"/>
    <w:rsid w:val="001661FD"/>
    <w:rsid w:val="00167A36"/>
    <w:rsid w:val="00167AD8"/>
    <w:rsid w:val="00170108"/>
    <w:rsid w:val="00170DA7"/>
    <w:rsid w:val="00171769"/>
    <w:rsid w:val="00171B55"/>
    <w:rsid w:val="001726E1"/>
    <w:rsid w:val="001736F0"/>
    <w:rsid w:val="0017443D"/>
    <w:rsid w:val="001755C6"/>
    <w:rsid w:val="0017664E"/>
    <w:rsid w:val="00176A9D"/>
    <w:rsid w:val="00176CA2"/>
    <w:rsid w:val="00176D78"/>
    <w:rsid w:val="0017716B"/>
    <w:rsid w:val="001777D1"/>
    <w:rsid w:val="001809CF"/>
    <w:rsid w:val="00180A8C"/>
    <w:rsid w:val="00180F9B"/>
    <w:rsid w:val="001813E7"/>
    <w:rsid w:val="00181C64"/>
    <w:rsid w:val="00182191"/>
    <w:rsid w:val="00182CF7"/>
    <w:rsid w:val="00183856"/>
    <w:rsid w:val="00183D7C"/>
    <w:rsid w:val="00183E2D"/>
    <w:rsid w:val="001847BF"/>
    <w:rsid w:val="0018584E"/>
    <w:rsid w:val="00187368"/>
    <w:rsid w:val="0018742A"/>
    <w:rsid w:val="001902B4"/>
    <w:rsid w:val="0019046B"/>
    <w:rsid w:val="00190767"/>
    <w:rsid w:val="00190D5B"/>
    <w:rsid w:val="001910D1"/>
    <w:rsid w:val="00191775"/>
    <w:rsid w:val="0019192D"/>
    <w:rsid w:val="00192328"/>
    <w:rsid w:val="0019267D"/>
    <w:rsid w:val="001927E7"/>
    <w:rsid w:val="00193B4B"/>
    <w:rsid w:val="001973E5"/>
    <w:rsid w:val="00197F23"/>
    <w:rsid w:val="001A00C0"/>
    <w:rsid w:val="001A02DC"/>
    <w:rsid w:val="001A0AD8"/>
    <w:rsid w:val="001A0D74"/>
    <w:rsid w:val="001A113A"/>
    <w:rsid w:val="001A2F3A"/>
    <w:rsid w:val="001A3398"/>
    <w:rsid w:val="001A3446"/>
    <w:rsid w:val="001A3838"/>
    <w:rsid w:val="001A4621"/>
    <w:rsid w:val="001A49DD"/>
    <w:rsid w:val="001A54D7"/>
    <w:rsid w:val="001A5CCA"/>
    <w:rsid w:val="001A63A8"/>
    <w:rsid w:val="001A6CBA"/>
    <w:rsid w:val="001A6F22"/>
    <w:rsid w:val="001A71BB"/>
    <w:rsid w:val="001A7473"/>
    <w:rsid w:val="001A7778"/>
    <w:rsid w:val="001A79B5"/>
    <w:rsid w:val="001A7D2D"/>
    <w:rsid w:val="001A7FAB"/>
    <w:rsid w:val="001B1675"/>
    <w:rsid w:val="001B169C"/>
    <w:rsid w:val="001B18C9"/>
    <w:rsid w:val="001B1DE9"/>
    <w:rsid w:val="001B22E6"/>
    <w:rsid w:val="001B2C12"/>
    <w:rsid w:val="001B3AD6"/>
    <w:rsid w:val="001B3B78"/>
    <w:rsid w:val="001B3C94"/>
    <w:rsid w:val="001B5C69"/>
    <w:rsid w:val="001B5F93"/>
    <w:rsid w:val="001B6049"/>
    <w:rsid w:val="001B6331"/>
    <w:rsid w:val="001B64FF"/>
    <w:rsid w:val="001B677F"/>
    <w:rsid w:val="001B67D5"/>
    <w:rsid w:val="001B71C2"/>
    <w:rsid w:val="001C00C4"/>
    <w:rsid w:val="001C159F"/>
    <w:rsid w:val="001C17A4"/>
    <w:rsid w:val="001C2BA9"/>
    <w:rsid w:val="001C2DA8"/>
    <w:rsid w:val="001C3FFB"/>
    <w:rsid w:val="001C410A"/>
    <w:rsid w:val="001C4EEC"/>
    <w:rsid w:val="001C5234"/>
    <w:rsid w:val="001C5690"/>
    <w:rsid w:val="001C574D"/>
    <w:rsid w:val="001C590F"/>
    <w:rsid w:val="001C67B2"/>
    <w:rsid w:val="001C6975"/>
    <w:rsid w:val="001C7592"/>
    <w:rsid w:val="001C76C2"/>
    <w:rsid w:val="001C7DC7"/>
    <w:rsid w:val="001C7E84"/>
    <w:rsid w:val="001D176E"/>
    <w:rsid w:val="001D19F8"/>
    <w:rsid w:val="001D2908"/>
    <w:rsid w:val="001D2F6B"/>
    <w:rsid w:val="001D3B42"/>
    <w:rsid w:val="001D4001"/>
    <w:rsid w:val="001D433E"/>
    <w:rsid w:val="001D47CE"/>
    <w:rsid w:val="001D4A34"/>
    <w:rsid w:val="001D4D23"/>
    <w:rsid w:val="001D4E3F"/>
    <w:rsid w:val="001D4F67"/>
    <w:rsid w:val="001D5BB2"/>
    <w:rsid w:val="001D5E26"/>
    <w:rsid w:val="001D60A7"/>
    <w:rsid w:val="001D6322"/>
    <w:rsid w:val="001D63E1"/>
    <w:rsid w:val="001D67F3"/>
    <w:rsid w:val="001D71C5"/>
    <w:rsid w:val="001D789D"/>
    <w:rsid w:val="001E0529"/>
    <w:rsid w:val="001E0F95"/>
    <w:rsid w:val="001E1376"/>
    <w:rsid w:val="001E17A5"/>
    <w:rsid w:val="001E2597"/>
    <w:rsid w:val="001E2EE9"/>
    <w:rsid w:val="001E305B"/>
    <w:rsid w:val="001E320B"/>
    <w:rsid w:val="001E3CF1"/>
    <w:rsid w:val="001E6421"/>
    <w:rsid w:val="001E6509"/>
    <w:rsid w:val="001E68FA"/>
    <w:rsid w:val="001E6B90"/>
    <w:rsid w:val="001E6EF1"/>
    <w:rsid w:val="001E77D2"/>
    <w:rsid w:val="001E7D0A"/>
    <w:rsid w:val="001E7E94"/>
    <w:rsid w:val="001F08F7"/>
    <w:rsid w:val="001F0A52"/>
    <w:rsid w:val="001F0BCC"/>
    <w:rsid w:val="001F0EDA"/>
    <w:rsid w:val="001F120E"/>
    <w:rsid w:val="001F1298"/>
    <w:rsid w:val="001F16F0"/>
    <w:rsid w:val="001F18A6"/>
    <w:rsid w:val="001F223B"/>
    <w:rsid w:val="001F2249"/>
    <w:rsid w:val="001F2399"/>
    <w:rsid w:val="001F2884"/>
    <w:rsid w:val="001F30C3"/>
    <w:rsid w:val="001F319A"/>
    <w:rsid w:val="001F3266"/>
    <w:rsid w:val="001F34D4"/>
    <w:rsid w:val="001F34F0"/>
    <w:rsid w:val="001F4195"/>
    <w:rsid w:val="001F4213"/>
    <w:rsid w:val="001F47D1"/>
    <w:rsid w:val="001F571E"/>
    <w:rsid w:val="001F58A7"/>
    <w:rsid w:val="001F5910"/>
    <w:rsid w:val="001F69F2"/>
    <w:rsid w:val="001F6A3B"/>
    <w:rsid w:val="001F6F8F"/>
    <w:rsid w:val="001F709C"/>
    <w:rsid w:val="001F7620"/>
    <w:rsid w:val="002007DC"/>
    <w:rsid w:val="0020095F"/>
    <w:rsid w:val="00201593"/>
    <w:rsid w:val="00201B17"/>
    <w:rsid w:val="00201FC7"/>
    <w:rsid w:val="00201FEE"/>
    <w:rsid w:val="002020F2"/>
    <w:rsid w:val="0020295C"/>
    <w:rsid w:val="00202C19"/>
    <w:rsid w:val="00202C5A"/>
    <w:rsid w:val="00203D4C"/>
    <w:rsid w:val="00204030"/>
    <w:rsid w:val="00204A17"/>
    <w:rsid w:val="00205187"/>
    <w:rsid w:val="0020556F"/>
    <w:rsid w:val="0020561A"/>
    <w:rsid w:val="0020593C"/>
    <w:rsid w:val="00205A74"/>
    <w:rsid w:val="00205B6C"/>
    <w:rsid w:val="0020645B"/>
    <w:rsid w:val="00206499"/>
    <w:rsid w:val="00207062"/>
    <w:rsid w:val="0020724D"/>
    <w:rsid w:val="00207455"/>
    <w:rsid w:val="00207C8A"/>
    <w:rsid w:val="0021001F"/>
    <w:rsid w:val="002106F4"/>
    <w:rsid w:val="00211835"/>
    <w:rsid w:val="00211858"/>
    <w:rsid w:val="00211EB7"/>
    <w:rsid w:val="00211F91"/>
    <w:rsid w:val="002135E3"/>
    <w:rsid w:val="00213A16"/>
    <w:rsid w:val="00213DB6"/>
    <w:rsid w:val="00214298"/>
    <w:rsid w:val="0021440C"/>
    <w:rsid w:val="002173AA"/>
    <w:rsid w:val="00217409"/>
    <w:rsid w:val="00217758"/>
    <w:rsid w:val="00217FA7"/>
    <w:rsid w:val="00220EBE"/>
    <w:rsid w:val="00222411"/>
    <w:rsid w:val="0022245B"/>
    <w:rsid w:val="002230C8"/>
    <w:rsid w:val="002232D9"/>
    <w:rsid w:val="00223FAB"/>
    <w:rsid w:val="002242A1"/>
    <w:rsid w:val="002245EA"/>
    <w:rsid w:val="0022493B"/>
    <w:rsid w:val="002252D2"/>
    <w:rsid w:val="0022591A"/>
    <w:rsid w:val="00227A5E"/>
    <w:rsid w:val="00230D85"/>
    <w:rsid w:val="002311BF"/>
    <w:rsid w:val="002318FA"/>
    <w:rsid w:val="00232339"/>
    <w:rsid w:val="0023263D"/>
    <w:rsid w:val="0023286D"/>
    <w:rsid w:val="00232967"/>
    <w:rsid w:val="00232E8A"/>
    <w:rsid w:val="00233599"/>
    <w:rsid w:val="00234812"/>
    <w:rsid w:val="002352B3"/>
    <w:rsid w:val="002353E3"/>
    <w:rsid w:val="00236850"/>
    <w:rsid w:val="00236B42"/>
    <w:rsid w:val="0023703D"/>
    <w:rsid w:val="002371E0"/>
    <w:rsid w:val="0023770A"/>
    <w:rsid w:val="00240142"/>
    <w:rsid w:val="0024121B"/>
    <w:rsid w:val="002420B0"/>
    <w:rsid w:val="00242448"/>
    <w:rsid w:val="00242A53"/>
    <w:rsid w:val="00242B73"/>
    <w:rsid w:val="002446EC"/>
    <w:rsid w:val="00244A26"/>
    <w:rsid w:val="002464E2"/>
    <w:rsid w:val="00246600"/>
    <w:rsid w:val="002466B9"/>
    <w:rsid w:val="00246902"/>
    <w:rsid w:val="0024699F"/>
    <w:rsid w:val="00247E6B"/>
    <w:rsid w:val="00250143"/>
    <w:rsid w:val="0025056A"/>
    <w:rsid w:val="00250D7F"/>
    <w:rsid w:val="00251347"/>
    <w:rsid w:val="0025163D"/>
    <w:rsid w:val="00251812"/>
    <w:rsid w:val="00251A36"/>
    <w:rsid w:val="00251E46"/>
    <w:rsid w:val="00252273"/>
    <w:rsid w:val="00253471"/>
    <w:rsid w:val="00254777"/>
    <w:rsid w:val="002555E4"/>
    <w:rsid w:val="0025602A"/>
    <w:rsid w:val="00256175"/>
    <w:rsid w:val="002561BB"/>
    <w:rsid w:val="0025621F"/>
    <w:rsid w:val="002565E2"/>
    <w:rsid w:val="002568C4"/>
    <w:rsid w:val="00256C76"/>
    <w:rsid w:val="00260008"/>
    <w:rsid w:val="002602B0"/>
    <w:rsid w:val="0026045B"/>
    <w:rsid w:val="00260B78"/>
    <w:rsid w:val="002610E2"/>
    <w:rsid w:val="0026183A"/>
    <w:rsid w:val="00263F7D"/>
    <w:rsid w:val="0026464F"/>
    <w:rsid w:val="00264942"/>
    <w:rsid w:val="002654F0"/>
    <w:rsid w:val="0026588C"/>
    <w:rsid w:val="00265ADC"/>
    <w:rsid w:val="00265F9B"/>
    <w:rsid w:val="00266BBC"/>
    <w:rsid w:val="00267252"/>
    <w:rsid w:val="00267471"/>
    <w:rsid w:val="00267FC5"/>
    <w:rsid w:val="002700C7"/>
    <w:rsid w:val="002725BF"/>
    <w:rsid w:val="00272CC3"/>
    <w:rsid w:val="00273C92"/>
    <w:rsid w:val="002740A2"/>
    <w:rsid w:val="0027430E"/>
    <w:rsid w:val="0027457E"/>
    <w:rsid w:val="00274AB9"/>
    <w:rsid w:val="00276772"/>
    <w:rsid w:val="00277393"/>
    <w:rsid w:val="002775BB"/>
    <w:rsid w:val="002776C1"/>
    <w:rsid w:val="002776CA"/>
    <w:rsid w:val="002777D6"/>
    <w:rsid w:val="00277FC7"/>
    <w:rsid w:val="00280932"/>
    <w:rsid w:val="00281251"/>
    <w:rsid w:val="00282487"/>
    <w:rsid w:val="0028249C"/>
    <w:rsid w:val="002832BD"/>
    <w:rsid w:val="002853CA"/>
    <w:rsid w:val="00285C32"/>
    <w:rsid w:val="00285FEA"/>
    <w:rsid w:val="00286A7C"/>
    <w:rsid w:val="00290383"/>
    <w:rsid w:val="00290510"/>
    <w:rsid w:val="00290547"/>
    <w:rsid w:val="00290853"/>
    <w:rsid w:val="00290BF7"/>
    <w:rsid w:val="00293162"/>
    <w:rsid w:val="00293C46"/>
    <w:rsid w:val="002947CA"/>
    <w:rsid w:val="002948F7"/>
    <w:rsid w:val="00295141"/>
    <w:rsid w:val="00296A81"/>
    <w:rsid w:val="002A03F8"/>
    <w:rsid w:val="002A0A40"/>
    <w:rsid w:val="002A0F7B"/>
    <w:rsid w:val="002A2AE7"/>
    <w:rsid w:val="002A31C8"/>
    <w:rsid w:val="002A3425"/>
    <w:rsid w:val="002A363F"/>
    <w:rsid w:val="002A39E6"/>
    <w:rsid w:val="002A474D"/>
    <w:rsid w:val="002A51B5"/>
    <w:rsid w:val="002A579C"/>
    <w:rsid w:val="002A5AC5"/>
    <w:rsid w:val="002A5E6A"/>
    <w:rsid w:val="002A655C"/>
    <w:rsid w:val="002A6D45"/>
    <w:rsid w:val="002A6D47"/>
    <w:rsid w:val="002B0970"/>
    <w:rsid w:val="002B16AD"/>
    <w:rsid w:val="002B174E"/>
    <w:rsid w:val="002B1D32"/>
    <w:rsid w:val="002B244B"/>
    <w:rsid w:val="002B2483"/>
    <w:rsid w:val="002B32AE"/>
    <w:rsid w:val="002B4EC9"/>
    <w:rsid w:val="002B5475"/>
    <w:rsid w:val="002B584F"/>
    <w:rsid w:val="002B6677"/>
    <w:rsid w:val="002B6A02"/>
    <w:rsid w:val="002B736F"/>
    <w:rsid w:val="002B7C6D"/>
    <w:rsid w:val="002B7CE5"/>
    <w:rsid w:val="002C0D6C"/>
    <w:rsid w:val="002C1DF0"/>
    <w:rsid w:val="002C3160"/>
    <w:rsid w:val="002C335A"/>
    <w:rsid w:val="002C387B"/>
    <w:rsid w:val="002C4052"/>
    <w:rsid w:val="002C43B2"/>
    <w:rsid w:val="002C4666"/>
    <w:rsid w:val="002C61CC"/>
    <w:rsid w:val="002C6974"/>
    <w:rsid w:val="002C69A8"/>
    <w:rsid w:val="002C6F2D"/>
    <w:rsid w:val="002C73E4"/>
    <w:rsid w:val="002C7592"/>
    <w:rsid w:val="002C77C3"/>
    <w:rsid w:val="002D0775"/>
    <w:rsid w:val="002D1048"/>
    <w:rsid w:val="002D1592"/>
    <w:rsid w:val="002D19AE"/>
    <w:rsid w:val="002D25CD"/>
    <w:rsid w:val="002D2856"/>
    <w:rsid w:val="002D44C1"/>
    <w:rsid w:val="002D4F77"/>
    <w:rsid w:val="002D4FA1"/>
    <w:rsid w:val="002D5364"/>
    <w:rsid w:val="002D5F6C"/>
    <w:rsid w:val="002D7197"/>
    <w:rsid w:val="002D720B"/>
    <w:rsid w:val="002D747C"/>
    <w:rsid w:val="002D7797"/>
    <w:rsid w:val="002E0491"/>
    <w:rsid w:val="002E075E"/>
    <w:rsid w:val="002E0843"/>
    <w:rsid w:val="002E08CF"/>
    <w:rsid w:val="002E0FBC"/>
    <w:rsid w:val="002E0FE9"/>
    <w:rsid w:val="002E15BE"/>
    <w:rsid w:val="002E18B1"/>
    <w:rsid w:val="002E1A6C"/>
    <w:rsid w:val="002E1CBA"/>
    <w:rsid w:val="002E1F3E"/>
    <w:rsid w:val="002E3083"/>
    <w:rsid w:val="002E3609"/>
    <w:rsid w:val="002E3722"/>
    <w:rsid w:val="002E3C0F"/>
    <w:rsid w:val="002E4764"/>
    <w:rsid w:val="002E4BA1"/>
    <w:rsid w:val="002E4C81"/>
    <w:rsid w:val="002E515E"/>
    <w:rsid w:val="002E52F4"/>
    <w:rsid w:val="002E5526"/>
    <w:rsid w:val="002E581A"/>
    <w:rsid w:val="002E6869"/>
    <w:rsid w:val="002E6CA2"/>
    <w:rsid w:val="002E7E99"/>
    <w:rsid w:val="002F080F"/>
    <w:rsid w:val="002F09EF"/>
    <w:rsid w:val="002F0C93"/>
    <w:rsid w:val="002F232D"/>
    <w:rsid w:val="002F2700"/>
    <w:rsid w:val="002F3316"/>
    <w:rsid w:val="002F345B"/>
    <w:rsid w:val="002F41FC"/>
    <w:rsid w:val="002F431E"/>
    <w:rsid w:val="002F46F6"/>
    <w:rsid w:val="002F474B"/>
    <w:rsid w:val="002F4FA0"/>
    <w:rsid w:val="002F5011"/>
    <w:rsid w:val="002F6131"/>
    <w:rsid w:val="002F6B92"/>
    <w:rsid w:val="002F7278"/>
    <w:rsid w:val="002F7771"/>
    <w:rsid w:val="002F7984"/>
    <w:rsid w:val="003001AC"/>
    <w:rsid w:val="0030056F"/>
    <w:rsid w:val="003026EB"/>
    <w:rsid w:val="003027AA"/>
    <w:rsid w:val="003034B8"/>
    <w:rsid w:val="00304A21"/>
    <w:rsid w:val="00304A8C"/>
    <w:rsid w:val="00305129"/>
    <w:rsid w:val="0030565A"/>
    <w:rsid w:val="00305FD1"/>
    <w:rsid w:val="003061BA"/>
    <w:rsid w:val="0030630B"/>
    <w:rsid w:val="0030684D"/>
    <w:rsid w:val="00306CBE"/>
    <w:rsid w:val="003073D0"/>
    <w:rsid w:val="00310921"/>
    <w:rsid w:val="00311B84"/>
    <w:rsid w:val="003126F0"/>
    <w:rsid w:val="0031376D"/>
    <w:rsid w:val="0031423B"/>
    <w:rsid w:val="003152EA"/>
    <w:rsid w:val="0031585F"/>
    <w:rsid w:val="00315ABE"/>
    <w:rsid w:val="00315E16"/>
    <w:rsid w:val="003161E8"/>
    <w:rsid w:val="0031753C"/>
    <w:rsid w:val="0031799F"/>
    <w:rsid w:val="00317E37"/>
    <w:rsid w:val="00317EB6"/>
    <w:rsid w:val="0032012D"/>
    <w:rsid w:val="003205E3"/>
    <w:rsid w:val="00320632"/>
    <w:rsid w:val="00320CA7"/>
    <w:rsid w:val="0032120B"/>
    <w:rsid w:val="00321C59"/>
    <w:rsid w:val="00321F15"/>
    <w:rsid w:val="003221DC"/>
    <w:rsid w:val="003224D0"/>
    <w:rsid w:val="003225A9"/>
    <w:rsid w:val="003241B1"/>
    <w:rsid w:val="00325A88"/>
    <w:rsid w:val="00325E14"/>
    <w:rsid w:val="00326718"/>
    <w:rsid w:val="00326819"/>
    <w:rsid w:val="003274BA"/>
    <w:rsid w:val="003275D0"/>
    <w:rsid w:val="0032785B"/>
    <w:rsid w:val="00330C54"/>
    <w:rsid w:val="00331011"/>
    <w:rsid w:val="0033136C"/>
    <w:rsid w:val="00331795"/>
    <w:rsid w:val="00332F4B"/>
    <w:rsid w:val="00333560"/>
    <w:rsid w:val="00334288"/>
    <w:rsid w:val="0033471C"/>
    <w:rsid w:val="00334BFC"/>
    <w:rsid w:val="00335539"/>
    <w:rsid w:val="00335945"/>
    <w:rsid w:val="00335B0A"/>
    <w:rsid w:val="00335DE6"/>
    <w:rsid w:val="00335E6A"/>
    <w:rsid w:val="00335FBA"/>
    <w:rsid w:val="00340C8D"/>
    <w:rsid w:val="00340D1D"/>
    <w:rsid w:val="003412AB"/>
    <w:rsid w:val="00341E68"/>
    <w:rsid w:val="00341EB0"/>
    <w:rsid w:val="00342059"/>
    <w:rsid w:val="00342740"/>
    <w:rsid w:val="003431C9"/>
    <w:rsid w:val="00343F4F"/>
    <w:rsid w:val="003444C6"/>
    <w:rsid w:val="00344B37"/>
    <w:rsid w:val="0034552D"/>
    <w:rsid w:val="003467DA"/>
    <w:rsid w:val="00346D29"/>
    <w:rsid w:val="0034722A"/>
    <w:rsid w:val="0034741A"/>
    <w:rsid w:val="00347690"/>
    <w:rsid w:val="00347B0C"/>
    <w:rsid w:val="00347BB5"/>
    <w:rsid w:val="003511F7"/>
    <w:rsid w:val="00351976"/>
    <w:rsid w:val="003525E2"/>
    <w:rsid w:val="00353219"/>
    <w:rsid w:val="003534A4"/>
    <w:rsid w:val="003543BD"/>
    <w:rsid w:val="0035526E"/>
    <w:rsid w:val="003565DC"/>
    <w:rsid w:val="0035672A"/>
    <w:rsid w:val="0036036C"/>
    <w:rsid w:val="00360AAD"/>
    <w:rsid w:val="0036249C"/>
    <w:rsid w:val="0036255D"/>
    <w:rsid w:val="00364BCA"/>
    <w:rsid w:val="00364C22"/>
    <w:rsid w:val="00364C2A"/>
    <w:rsid w:val="003654EE"/>
    <w:rsid w:val="003661EF"/>
    <w:rsid w:val="00366FE1"/>
    <w:rsid w:val="00370B5D"/>
    <w:rsid w:val="00370BA8"/>
    <w:rsid w:val="00372105"/>
    <w:rsid w:val="003726DA"/>
    <w:rsid w:val="00372C98"/>
    <w:rsid w:val="00372E3D"/>
    <w:rsid w:val="00372FAA"/>
    <w:rsid w:val="00373D5E"/>
    <w:rsid w:val="003746E3"/>
    <w:rsid w:val="00374CA6"/>
    <w:rsid w:val="00375CB5"/>
    <w:rsid w:val="00377D4A"/>
    <w:rsid w:val="00377E20"/>
    <w:rsid w:val="003806BD"/>
    <w:rsid w:val="0038087F"/>
    <w:rsid w:val="003815C6"/>
    <w:rsid w:val="0038179F"/>
    <w:rsid w:val="00381A37"/>
    <w:rsid w:val="00381E01"/>
    <w:rsid w:val="0038213E"/>
    <w:rsid w:val="003825A1"/>
    <w:rsid w:val="00382712"/>
    <w:rsid w:val="00383550"/>
    <w:rsid w:val="00383667"/>
    <w:rsid w:val="0038497F"/>
    <w:rsid w:val="003849FC"/>
    <w:rsid w:val="003850CB"/>
    <w:rsid w:val="00385215"/>
    <w:rsid w:val="0038599F"/>
    <w:rsid w:val="00385D2B"/>
    <w:rsid w:val="00385E27"/>
    <w:rsid w:val="0038612A"/>
    <w:rsid w:val="0038646F"/>
    <w:rsid w:val="0038684B"/>
    <w:rsid w:val="003876AF"/>
    <w:rsid w:val="003876CD"/>
    <w:rsid w:val="00387BA7"/>
    <w:rsid w:val="003903C1"/>
    <w:rsid w:val="003905D0"/>
    <w:rsid w:val="00390A07"/>
    <w:rsid w:val="00390A66"/>
    <w:rsid w:val="003915B7"/>
    <w:rsid w:val="003921A7"/>
    <w:rsid w:val="0039278A"/>
    <w:rsid w:val="00392AFD"/>
    <w:rsid w:val="00392D4A"/>
    <w:rsid w:val="00393E0A"/>
    <w:rsid w:val="00393E79"/>
    <w:rsid w:val="003944CF"/>
    <w:rsid w:val="00395171"/>
    <w:rsid w:val="003951F0"/>
    <w:rsid w:val="00395714"/>
    <w:rsid w:val="00395B75"/>
    <w:rsid w:val="00396D56"/>
    <w:rsid w:val="00397CAC"/>
    <w:rsid w:val="003A001B"/>
    <w:rsid w:val="003A00F6"/>
    <w:rsid w:val="003A13A0"/>
    <w:rsid w:val="003A1E44"/>
    <w:rsid w:val="003A2353"/>
    <w:rsid w:val="003A30FC"/>
    <w:rsid w:val="003A3456"/>
    <w:rsid w:val="003A3677"/>
    <w:rsid w:val="003A3B20"/>
    <w:rsid w:val="003A3E8E"/>
    <w:rsid w:val="003A42DC"/>
    <w:rsid w:val="003A449D"/>
    <w:rsid w:val="003A47B0"/>
    <w:rsid w:val="003A4CA1"/>
    <w:rsid w:val="003A6445"/>
    <w:rsid w:val="003A65BB"/>
    <w:rsid w:val="003A6747"/>
    <w:rsid w:val="003A6D1C"/>
    <w:rsid w:val="003A6D76"/>
    <w:rsid w:val="003A727C"/>
    <w:rsid w:val="003A7CC4"/>
    <w:rsid w:val="003A7FD4"/>
    <w:rsid w:val="003B0212"/>
    <w:rsid w:val="003B03D9"/>
    <w:rsid w:val="003B058E"/>
    <w:rsid w:val="003B0CA5"/>
    <w:rsid w:val="003B0FB3"/>
    <w:rsid w:val="003B146D"/>
    <w:rsid w:val="003B1CB7"/>
    <w:rsid w:val="003B1FDF"/>
    <w:rsid w:val="003B203B"/>
    <w:rsid w:val="003B325B"/>
    <w:rsid w:val="003B3C7C"/>
    <w:rsid w:val="003B4CA2"/>
    <w:rsid w:val="003B5535"/>
    <w:rsid w:val="003B5777"/>
    <w:rsid w:val="003B59F2"/>
    <w:rsid w:val="003B5F42"/>
    <w:rsid w:val="003B627A"/>
    <w:rsid w:val="003B63B8"/>
    <w:rsid w:val="003B6A32"/>
    <w:rsid w:val="003B6C62"/>
    <w:rsid w:val="003B71A5"/>
    <w:rsid w:val="003B795D"/>
    <w:rsid w:val="003B7F66"/>
    <w:rsid w:val="003C05FB"/>
    <w:rsid w:val="003C068B"/>
    <w:rsid w:val="003C0EF4"/>
    <w:rsid w:val="003C0EFF"/>
    <w:rsid w:val="003C16AC"/>
    <w:rsid w:val="003C1AE7"/>
    <w:rsid w:val="003C2102"/>
    <w:rsid w:val="003C21C5"/>
    <w:rsid w:val="003C2B0B"/>
    <w:rsid w:val="003C30BD"/>
    <w:rsid w:val="003C57B7"/>
    <w:rsid w:val="003C5827"/>
    <w:rsid w:val="003C5E03"/>
    <w:rsid w:val="003C69B1"/>
    <w:rsid w:val="003C6D07"/>
    <w:rsid w:val="003C7218"/>
    <w:rsid w:val="003C7376"/>
    <w:rsid w:val="003C7DE9"/>
    <w:rsid w:val="003D0742"/>
    <w:rsid w:val="003D0C68"/>
    <w:rsid w:val="003D0D23"/>
    <w:rsid w:val="003D0D72"/>
    <w:rsid w:val="003D0E2D"/>
    <w:rsid w:val="003D1F8F"/>
    <w:rsid w:val="003D27E8"/>
    <w:rsid w:val="003D2A11"/>
    <w:rsid w:val="003D3A57"/>
    <w:rsid w:val="003D4765"/>
    <w:rsid w:val="003D59DE"/>
    <w:rsid w:val="003D5F02"/>
    <w:rsid w:val="003D68F6"/>
    <w:rsid w:val="003D71ED"/>
    <w:rsid w:val="003D724E"/>
    <w:rsid w:val="003D76EA"/>
    <w:rsid w:val="003E0CDD"/>
    <w:rsid w:val="003E14F3"/>
    <w:rsid w:val="003E1767"/>
    <w:rsid w:val="003E1794"/>
    <w:rsid w:val="003E18F6"/>
    <w:rsid w:val="003E19BD"/>
    <w:rsid w:val="003E20D7"/>
    <w:rsid w:val="003E2608"/>
    <w:rsid w:val="003E26C1"/>
    <w:rsid w:val="003E3296"/>
    <w:rsid w:val="003E41C2"/>
    <w:rsid w:val="003E42F1"/>
    <w:rsid w:val="003E4D59"/>
    <w:rsid w:val="003E4E15"/>
    <w:rsid w:val="003E57B7"/>
    <w:rsid w:val="003E60EB"/>
    <w:rsid w:val="003E72F0"/>
    <w:rsid w:val="003E74A6"/>
    <w:rsid w:val="003F03C5"/>
    <w:rsid w:val="003F115A"/>
    <w:rsid w:val="003F1655"/>
    <w:rsid w:val="003F26F8"/>
    <w:rsid w:val="003F2F89"/>
    <w:rsid w:val="003F2F99"/>
    <w:rsid w:val="003F3560"/>
    <w:rsid w:val="003F3D46"/>
    <w:rsid w:val="003F428B"/>
    <w:rsid w:val="003F4FA0"/>
    <w:rsid w:val="003F55C0"/>
    <w:rsid w:val="003F59D8"/>
    <w:rsid w:val="003F5B03"/>
    <w:rsid w:val="003F6023"/>
    <w:rsid w:val="003F6D15"/>
    <w:rsid w:val="003F6E2B"/>
    <w:rsid w:val="003F72C3"/>
    <w:rsid w:val="0040017D"/>
    <w:rsid w:val="0040031B"/>
    <w:rsid w:val="00401477"/>
    <w:rsid w:val="0040251B"/>
    <w:rsid w:val="00403324"/>
    <w:rsid w:val="004039AF"/>
    <w:rsid w:val="00403EE2"/>
    <w:rsid w:val="00404629"/>
    <w:rsid w:val="0040487B"/>
    <w:rsid w:val="00404B2E"/>
    <w:rsid w:val="00404D13"/>
    <w:rsid w:val="00404D4A"/>
    <w:rsid w:val="00404FB8"/>
    <w:rsid w:val="004069E4"/>
    <w:rsid w:val="00406AAE"/>
    <w:rsid w:val="00407352"/>
    <w:rsid w:val="00407480"/>
    <w:rsid w:val="004077E5"/>
    <w:rsid w:val="00410E2E"/>
    <w:rsid w:val="00411767"/>
    <w:rsid w:val="004120F3"/>
    <w:rsid w:val="004124A4"/>
    <w:rsid w:val="00412F18"/>
    <w:rsid w:val="00413494"/>
    <w:rsid w:val="00414607"/>
    <w:rsid w:val="00414E27"/>
    <w:rsid w:val="00415920"/>
    <w:rsid w:val="00415B23"/>
    <w:rsid w:val="004160E1"/>
    <w:rsid w:val="00416D8A"/>
    <w:rsid w:val="0041709A"/>
    <w:rsid w:val="00417424"/>
    <w:rsid w:val="00420828"/>
    <w:rsid w:val="00420920"/>
    <w:rsid w:val="004216D3"/>
    <w:rsid w:val="004218B0"/>
    <w:rsid w:val="00421C7C"/>
    <w:rsid w:val="00422909"/>
    <w:rsid w:val="00423F54"/>
    <w:rsid w:val="0042517F"/>
    <w:rsid w:val="00425408"/>
    <w:rsid w:val="0042556B"/>
    <w:rsid w:val="0042583C"/>
    <w:rsid w:val="004258C1"/>
    <w:rsid w:val="00426AF9"/>
    <w:rsid w:val="00427236"/>
    <w:rsid w:val="00427C39"/>
    <w:rsid w:val="00430442"/>
    <w:rsid w:val="004309EE"/>
    <w:rsid w:val="00430F13"/>
    <w:rsid w:val="004313EC"/>
    <w:rsid w:val="004315F6"/>
    <w:rsid w:val="0043199D"/>
    <w:rsid w:val="004319E2"/>
    <w:rsid w:val="004323B6"/>
    <w:rsid w:val="00433539"/>
    <w:rsid w:val="00433777"/>
    <w:rsid w:val="00433996"/>
    <w:rsid w:val="00434003"/>
    <w:rsid w:val="00434D23"/>
    <w:rsid w:val="004355CA"/>
    <w:rsid w:val="004357D3"/>
    <w:rsid w:val="004362D2"/>
    <w:rsid w:val="004366EE"/>
    <w:rsid w:val="00436C87"/>
    <w:rsid w:val="00436CB5"/>
    <w:rsid w:val="00436E55"/>
    <w:rsid w:val="004371DB"/>
    <w:rsid w:val="004373CC"/>
    <w:rsid w:val="004403C3"/>
    <w:rsid w:val="00440516"/>
    <w:rsid w:val="00442D71"/>
    <w:rsid w:val="00442E74"/>
    <w:rsid w:val="00442FC0"/>
    <w:rsid w:val="00443AB8"/>
    <w:rsid w:val="004440EA"/>
    <w:rsid w:val="004448A5"/>
    <w:rsid w:val="00444E6D"/>
    <w:rsid w:val="00445183"/>
    <w:rsid w:val="00445B95"/>
    <w:rsid w:val="00445D32"/>
    <w:rsid w:val="0044704E"/>
    <w:rsid w:val="00447366"/>
    <w:rsid w:val="00447DEE"/>
    <w:rsid w:val="00450521"/>
    <w:rsid w:val="00450729"/>
    <w:rsid w:val="0045114C"/>
    <w:rsid w:val="00451380"/>
    <w:rsid w:val="0045148E"/>
    <w:rsid w:val="00451C3A"/>
    <w:rsid w:val="00452397"/>
    <w:rsid w:val="00452444"/>
    <w:rsid w:val="00452618"/>
    <w:rsid w:val="004528AC"/>
    <w:rsid w:val="00452B4A"/>
    <w:rsid w:val="00452F8B"/>
    <w:rsid w:val="00453FD3"/>
    <w:rsid w:val="00455B48"/>
    <w:rsid w:val="00455F93"/>
    <w:rsid w:val="004562A4"/>
    <w:rsid w:val="00456993"/>
    <w:rsid w:val="00456C09"/>
    <w:rsid w:val="00456D45"/>
    <w:rsid w:val="004571A4"/>
    <w:rsid w:val="00457583"/>
    <w:rsid w:val="00461123"/>
    <w:rsid w:val="00461891"/>
    <w:rsid w:val="00461CB5"/>
    <w:rsid w:val="00462386"/>
    <w:rsid w:val="004636C9"/>
    <w:rsid w:val="00464AD2"/>
    <w:rsid w:val="004653F1"/>
    <w:rsid w:val="004654FD"/>
    <w:rsid w:val="00465B0E"/>
    <w:rsid w:val="00466D62"/>
    <w:rsid w:val="00466EF8"/>
    <w:rsid w:val="00466FC0"/>
    <w:rsid w:val="0046719E"/>
    <w:rsid w:val="00467518"/>
    <w:rsid w:val="004676A3"/>
    <w:rsid w:val="00470134"/>
    <w:rsid w:val="0047148D"/>
    <w:rsid w:val="00471783"/>
    <w:rsid w:val="00471A7C"/>
    <w:rsid w:val="00471E15"/>
    <w:rsid w:val="004729B3"/>
    <w:rsid w:val="00472F1F"/>
    <w:rsid w:val="004732FD"/>
    <w:rsid w:val="004734C1"/>
    <w:rsid w:val="004735CB"/>
    <w:rsid w:val="00474127"/>
    <w:rsid w:val="00475781"/>
    <w:rsid w:val="0047581C"/>
    <w:rsid w:val="00475D30"/>
    <w:rsid w:val="0047716B"/>
    <w:rsid w:val="004774E5"/>
    <w:rsid w:val="0047752E"/>
    <w:rsid w:val="00480D71"/>
    <w:rsid w:val="00480DB5"/>
    <w:rsid w:val="004813BB"/>
    <w:rsid w:val="00481506"/>
    <w:rsid w:val="004819DA"/>
    <w:rsid w:val="00482AB0"/>
    <w:rsid w:val="00482D36"/>
    <w:rsid w:val="00484253"/>
    <w:rsid w:val="00484A12"/>
    <w:rsid w:val="00486020"/>
    <w:rsid w:val="0048689F"/>
    <w:rsid w:val="00486D88"/>
    <w:rsid w:val="00486FF6"/>
    <w:rsid w:val="004875E8"/>
    <w:rsid w:val="0048789D"/>
    <w:rsid w:val="00490EFC"/>
    <w:rsid w:val="00491475"/>
    <w:rsid w:val="004928C4"/>
    <w:rsid w:val="00492B2D"/>
    <w:rsid w:val="004936E6"/>
    <w:rsid w:val="00494E35"/>
    <w:rsid w:val="004953D2"/>
    <w:rsid w:val="004954A6"/>
    <w:rsid w:val="00496732"/>
    <w:rsid w:val="0049678D"/>
    <w:rsid w:val="00496C72"/>
    <w:rsid w:val="00497210"/>
    <w:rsid w:val="004A028E"/>
    <w:rsid w:val="004A053C"/>
    <w:rsid w:val="004A1101"/>
    <w:rsid w:val="004A1593"/>
    <w:rsid w:val="004A1DCA"/>
    <w:rsid w:val="004A21F4"/>
    <w:rsid w:val="004A2E97"/>
    <w:rsid w:val="004A3BEA"/>
    <w:rsid w:val="004A4B68"/>
    <w:rsid w:val="004A5C37"/>
    <w:rsid w:val="004A78FB"/>
    <w:rsid w:val="004A7D22"/>
    <w:rsid w:val="004A7DB1"/>
    <w:rsid w:val="004A7F9B"/>
    <w:rsid w:val="004B06E9"/>
    <w:rsid w:val="004B09B4"/>
    <w:rsid w:val="004B0F2E"/>
    <w:rsid w:val="004B12C9"/>
    <w:rsid w:val="004B153E"/>
    <w:rsid w:val="004B1C40"/>
    <w:rsid w:val="004B1D7A"/>
    <w:rsid w:val="004B2615"/>
    <w:rsid w:val="004B2EEA"/>
    <w:rsid w:val="004B3808"/>
    <w:rsid w:val="004B458B"/>
    <w:rsid w:val="004B4753"/>
    <w:rsid w:val="004B49BA"/>
    <w:rsid w:val="004B5667"/>
    <w:rsid w:val="004B5B84"/>
    <w:rsid w:val="004B5DEE"/>
    <w:rsid w:val="004B632A"/>
    <w:rsid w:val="004B6419"/>
    <w:rsid w:val="004B6953"/>
    <w:rsid w:val="004B6F01"/>
    <w:rsid w:val="004B70D5"/>
    <w:rsid w:val="004B7C4A"/>
    <w:rsid w:val="004B7DDE"/>
    <w:rsid w:val="004B7DF5"/>
    <w:rsid w:val="004C0790"/>
    <w:rsid w:val="004C0D4A"/>
    <w:rsid w:val="004C0E35"/>
    <w:rsid w:val="004C1797"/>
    <w:rsid w:val="004C1FC5"/>
    <w:rsid w:val="004C25EA"/>
    <w:rsid w:val="004C2A10"/>
    <w:rsid w:val="004C337F"/>
    <w:rsid w:val="004C36B6"/>
    <w:rsid w:val="004C3EE1"/>
    <w:rsid w:val="004C4943"/>
    <w:rsid w:val="004C4D08"/>
    <w:rsid w:val="004C5742"/>
    <w:rsid w:val="004C59A7"/>
    <w:rsid w:val="004C5EA7"/>
    <w:rsid w:val="004C63B9"/>
    <w:rsid w:val="004C7105"/>
    <w:rsid w:val="004C73B9"/>
    <w:rsid w:val="004C73E9"/>
    <w:rsid w:val="004C7827"/>
    <w:rsid w:val="004C7C8D"/>
    <w:rsid w:val="004D05E5"/>
    <w:rsid w:val="004D1742"/>
    <w:rsid w:val="004D1B63"/>
    <w:rsid w:val="004D22D0"/>
    <w:rsid w:val="004D2E85"/>
    <w:rsid w:val="004D350B"/>
    <w:rsid w:val="004D36E4"/>
    <w:rsid w:val="004D4111"/>
    <w:rsid w:val="004D4B73"/>
    <w:rsid w:val="004D4E01"/>
    <w:rsid w:val="004D5346"/>
    <w:rsid w:val="004D5673"/>
    <w:rsid w:val="004D5AC3"/>
    <w:rsid w:val="004D6081"/>
    <w:rsid w:val="004D6088"/>
    <w:rsid w:val="004D6391"/>
    <w:rsid w:val="004D6FFC"/>
    <w:rsid w:val="004D7777"/>
    <w:rsid w:val="004E0014"/>
    <w:rsid w:val="004E09CD"/>
    <w:rsid w:val="004E0E1D"/>
    <w:rsid w:val="004E1002"/>
    <w:rsid w:val="004E195B"/>
    <w:rsid w:val="004E1E0A"/>
    <w:rsid w:val="004E2A2B"/>
    <w:rsid w:val="004E3A07"/>
    <w:rsid w:val="004E3D73"/>
    <w:rsid w:val="004E477C"/>
    <w:rsid w:val="004E492E"/>
    <w:rsid w:val="004E5697"/>
    <w:rsid w:val="004E7518"/>
    <w:rsid w:val="004E7A50"/>
    <w:rsid w:val="004E7B08"/>
    <w:rsid w:val="004F07FC"/>
    <w:rsid w:val="004F2254"/>
    <w:rsid w:val="004F2930"/>
    <w:rsid w:val="004F4031"/>
    <w:rsid w:val="004F4462"/>
    <w:rsid w:val="004F46BE"/>
    <w:rsid w:val="004F5BD5"/>
    <w:rsid w:val="004F6BF1"/>
    <w:rsid w:val="004F6CC0"/>
    <w:rsid w:val="004F6E13"/>
    <w:rsid w:val="004F72EE"/>
    <w:rsid w:val="004F7657"/>
    <w:rsid w:val="004F7915"/>
    <w:rsid w:val="004F7F23"/>
    <w:rsid w:val="00500D07"/>
    <w:rsid w:val="00501B2B"/>
    <w:rsid w:val="00501F55"/>
    <w:rsid w:val="00502197"/>
    <w:rsid w:val="00502D8D"/>
    <w:rsid w:val="00502E4E"/>
    <w:rsid w:val="00502FE5"/>
    <w:rsid w:val="00503AA4"/>
    <w:rsid w:val="00504487"/>
    <w:rsid w:val="005047A7"/>
    <w:rsid w:val="0050490A"/>
    <w:rsid w:val="005051C8"/>
    <w:rsid w:val="005065C0"/>
    <w:rsid w:val="00506AA9"/>
    <w:rsid w:val="00506C73"/>
    <w:rsid w:val="00506D3B"/>
    <w:rsid w:val="00507011"/>
    <w:rsid w:val="005073D5"/>
    <w:rsid w:val="00507DBB"/>
    <w:rsid w:val="00507F0B"/>
    <w:rsid w:val="00510DA2"/>
    <w:rsid w:val="0051106F"/>
    <w:rsid w:val="00511EA7"/>
    <w:rsid w:val="005128E1"/>
    <w:rsid w:val="00513715"/>
    <w:rsid w:val="00513A21"/>
    <w:rsid w:val="00513BAD"/>
    <w:rsid w:val="005155A6"/>
    <w:rsid w:val="005156CC"/>
    <w:rsid w:val="0051593C"/>
    <w:rsid w:val="005160FD"/>
    <w:rsid w:val="00516571"/>
    <w:rsid w:val="0051666E"/>
    <w:rsid w:val="00517719"/>
    <w:rsid w:val="00517756"/>
    <w:rsid w:val="00520198"/>
    <w:rsid w:val="005206C6"/>
    <w:rsid w:val="0052070F"/>
    <w:rsid w:val="00520807"/>
    <w:rsid w:val="00521ED0"/>
    <w:rsid w:val="00522219"/>
    <w:rsid w:val="0052228A"/>
    <w:rsid w:val="0052238A"/>
    <w:rsid w:val="0052262F"/>
    <w:rsid w:val="00522F37"/>
    <w:rsid w:val="00522F6F"/>
    <w:rsid w:val="005231C0"/>
    <w:rsid w:val="00523945"/>
    <w:rsid w:val="00524629"/>
    <w:rsid w:val="00524B41"/>
    <w:rsid w:val="00525943"/>
    <w:rsid w:val="00526420"/>
    <w:rsid w:val="005302CC"/>
    <w:rsid w:val="0053084C"/>
    <w:rsid w:val="00530C71"/>
    <w:rsid w:val="00531560"/>
    <w:rsid w:val="00531A51"/>
    <w:rsid w:val="00531F1F"/>
    <w:rsid w:val="00532737"/>
    <w:rsid w:val="00533070"/>
    <w:rsid w:val="00533BEB"/>
    <w:rsid w:val="00533E11"/>
    <w:rsid w:val="00533F58"/>
    <w:rsid w:val="00534088"/>
    <w:rsid w:val="0053435A"/>
    <w:rsid w:val="0053483C"/>
    <w:rsid w:val="00534972"/>
    <w:rsid w:val="00534DDC"/>
    <w:rsid w:val="00534DEC"/>
    <w:rsid w:val="00535084"/>
    <w:rsid w:val="005351E0"/>
    <w:rsid w:val="005357E7"/>
    <w:rsid w:val="00535870"/>
    <w:rsid w:val="00535C6E"/>
    <w:rsid w:val="00541262"/>
    <w:rsid w:val="00541454"/>
    <w:rsid w:val="00541C45"/>
    <w:rsid w:val="00542E5C"/>
    <w:rsid w:val="00544A00"/>
    <w:rsid w:val="005451F6"/>
    <w:rsid w:val="00545635"/>
    <w:rsid w:val="00545A7D"/>
    <w:rsid w:val="00545F8C"/>
    <w:rsid w:val="005462CC"/>
    <w:rsid w:val="00546329"/>
    <w:rsid w:val="00546A4D"/>
    <w:rsid w:val="00546C84"/>
    <w:rsid w:val="00546EA9"/>
    <w:rsid w:val="0054704F"/>
    <w:rsid w:val="00547362"/>
    <w:rsid w:val="00547642"/>
    <w:rsid w:val="00547DBA"/>
    <w:rsid w:val="00550074"/>
    <w:rsid w:val="00550B66"/>
    <w:rsid w:val="005523A3"/>
    <w:rsid w:val="00552F0B"/>
    <w:rsid w:val="00553378"/>
    <w:rsid w:val="00553684"/>
    <w:rsid w:val="00553A27"/>
    <w:rsid w:val="00554B59"/>
    <w:rsid w:val="005551AE"/>
    <w:rsid w:val="00555554"/>
    <w:rsid w:val="005556A7"/>
    <w:rsid w:val="00555837"/>
    <w:rsid w:val="00555E37"/>
    <w:rsid w:val="0055696D"/>
    <w:rsid w:val="00556A59"/>
    <w:rsid w:val="00556F1B"/>
    <w:rsid w:val="00557D14"/>
    <w:rsid w:val="00557E7C"/>
    <w:rsid w:val="00560682"/>
    <w:rsid w:val="00560CC4"/>
    <w:rsid w:val="005615E9"/>
    <w:rsid w:val="00561918"/>
    <w:rsid w:val="00561F0A"/>
    <w:rsid w:val="00562246"/>
    <w:rsid w:val="005634B6"/>
    <w:rsid w:val="00564CD8"/>
    <w:rsid w:val="005651A4"/>
    <w:rsid w:val="00565262"/>
    <w:rsid w:val="0056552E"/>
    <w:rsid w:val="00565E16"/>
    <w:rsid w:val="00565FF3"/>
    <w:rsid w:val="00567076"/>
    <w:rsid w:val="005674FB"/>
    <w:rsid w:val="005700EB"/>
    <w:rsid w:val="00570367"/>
    <w:rsid w:val="0057064E"/>
    <w:rsid w:val="00570658"/>
    <w:rsid w:val="0057088C"/>
    <w:rsid w:val="00571351"/>
    <w:rsid w:val="005715F5"/>
    <w:rsid w:val="00572794"/>
    <w:rsid w:val="00573182"/>
    <w:rsid w:val="00573360"/>
    <w:rsid w:val="005737A9"/>
    <w:rsid w:val="00573F59"/>
    <w:rsid w:val="00573F8B"/>
    <w:rsid w:val="005741A4"/>
    <w:rsid w:val="005747F5"/>
    <w:rsid w:val="00574876"/>
    <w:rsid w:val="00574A20"/>
    <w:rsid w:val="00574ED4"/>
    <w:rsid w:val="00575364"/>
    <w:rsid w:val="0057585F"/>
    <w:rsid w:val="0057621A"/>
    <w:rsid w:val="00576B2C"/>
    <w:rsid w:val="0057774D"/>
    <w:rsid w:val="0058090A"/>
    <w:rsid w:val="00580C46"/>
    <w:rsid w:val="00581024"/>
    <w:rsid w:val="00581A93"/>
    <w:rsid w:val="00582D8B"/>
    <w:rsid w:val="0058368F"/>
    <w:rsid w:val="00583EB1"/>
    <w:rsid w:val="005850F5"/>
    <w:rsid w:val="005853D9"/>
    <w:rsid w:val="005857A5"/>
    <w:rsid w:val="00585C86"/>
    <w:rsid w:val="005862C9"/>
    <w:rsid w:val="00586B18"/>
    <w:rsid w:val="0058705B"/>
    <w:rsid w:val="00590AD3"/>
    <w:rsid w:val="00590BA6"/>
    <w:rsid w:val="00590C27"/>
    <w:rsid w:val="00590CE0"/>
    <w:rsid w:val="005918F6"/>
    <w:rsid w:val="00591EF9"/>
    <w:rsid w:val="00592020"/>
    <w:rsid w:val="005923A1"/>
    <w:rsid w:val="005932A7"/>
    <w:rsid w:val="0059347A"/>
    <w:rsid w:val="005935B3"/>
    <w:rsid w:val="005936FE"/>
    <w:rsid w:val="005941B1"/>
    <w:rsid w:val="005946E3"/>
    <w:rsid w:val="005949AB"/>
    <w:rsid w:val="00594B84"/>
    <w:rsid w:val="00595474"/>
    <w:rsid w:val="005956CC"/>
    <w:rsid w:val="005956FA"/>
    <w:rsid w:val="0059574C"/>
    <w:rsid w:val="00596037"/>
    <w:rsid w:val="00596679"/>
    <w:rsid w:val="00597ABA"/>
    <w:rsid w:val="005A0559"/>
    <w:rsid w:val="005A0DB5"/>
    <w:rsid w:val="005A0EE0"/>
    <w:rsid w:val="005A1A7D"/>
    <w:rsid w:val="005A1AA1"/>
    <w:rsid w:val="005A1EAE"/>
    <w:rsid w:val="005A2243"/>
    <w:rsid w:val="005A2480"/>
    <w:rsid w:val="005A2C0F"/>
    <w:rsid w:val="005A319E"/>
    <w:rsid w:val="005A4855"/>
    <w:rsid w:val="005A4900"/>
    <w:rsid w:val="005A4A8C"/>
    <w:rsid w:val="005A5685"/>
    <w:rsid w:val="005A58FE"/>
    <w:rsid w:val="005A5957"/>
    <w:rsid w:val="005A5F80"/>
    <w:rsid w:val="005A638F"/>
    <w:rsid w:val="005A73F4"/>
    <w:rsid w:val="005B00BE"/>
    <w:rsid w:val="005B09A9"/>
    <w:rsid w:val="005B1427"/>
    <w:rsid w:val="005B216B"/>
    <w:rsid w:val="005B2291"/>
    <w:rsid w:val="005B2DBC"/>
    <w:rsid w:val="005B300C"/>
    <w:rsid w:val="005B3427"/>
    <w:rsid w:val="005B38E5"/>
    <w:rsid w:val="005B3EEB"/>
    <w:rsid w:val="005B3F4C"/>
    <w:rsid w:val="005B45D4"/>
    <w:rsid w:val="005B4D1C"/>
    <w:rsid w:val="005B5150"/>
    <w:rsid w:val="005B54E7"/>
    <w:rsid w:val="005B5862"/>
    <w:rsid w:val="005B5A29"/>
    <w:rsid w:val="005B66D7"/>
    <w:rsid w:val="005B7215"/>
    <w:rsid w:val="005B7C4A"/>
    <w:rsid w:val="005B7CF4"/>
    <w:rsid w:val="005C0494"/>
    <w:rsid w:val="005C0BD7"/>
    <w:rsid w:val="005C0DD7"/>
    <w:rsid w:val="005C1682"/>
    <w:rsid w:val="005C2073"/>
    <w:rsid w:val="005C302A"/>
    <w:rsid w:val="005C373C"/>
    <w:rsid w:val="005C3B25"/>
    <w:rsid w:val="005C3D2D"/>
    <w:rsid w:val="005C53DE"/>
    <w:rsid w:val="005C64C5"/>
    <w:rsid w:val="005C7C22"/>
    <w:rsid w:val="005C7D02"/>
    <w:rsid w:val="005D01ED"/>
    <w:rsid w:val="005D0EE5"/>
    <w:rsid w:val="005D0F1D"/>
    <w:rsid w:val="005D141C"/>
    <w:rsid w:val="005D1911"/>
    <w:rsid w:val="005D3501"/>
    <w:rsid w:val="005D3515"/>
    <w:rsid w:val="005D38BE"/>
    <w:rsid w:val="005D3B39"/>
    <w:rsid w:val="005D3C14"/>
    <w:rsid w:val="005D3C1E"/>
    <w:rsid w:val="005D4252"/>
    <w:rsid w:val="005D47A4"/>
    <w:rsid w:val="005D54A9"/>
    <w:rsid w:val="005D7E7D"/>
    <w:rsid w:val="005E02EC"/>
    <w:rsid w:val="005E038D"/>
    <w:rsid w:val="005E060A"/>
    <w:rsid w:val="005E0972"/>
    <w:rsid w:val="005E1107"/>
    <w:rsid w:val="005E140C"/>
    <w:rsid w:val="005E1D3B"/>
    <w:rsid w:val="005E2145"/>
    <w:rsid w:val="005E23EE"/>
    <w:rsid w:val="005E30C0"/>
    <w:rsid w:val="005E362D"/>
    <w:rsid w:val="005E367C"/>
    <w:rsid w:val="005E50FC"/>
    <w:rsid w:val="005E589F"/>
    <w:rsid w:val="005E5AFD"/>
    <w:rsid w:val="005E5F26"/>
    <w:rsid w:val="005E5F53"/>
    <w:rsid w:val="005E64E3"/>
    <w:rsid w:val="005E64F1"/>
    <w:rsid w:val="005E6B9C"/>
    <w:rsid w:val="005E7145"/>
    <w:rsid w:val="005E7668"/>
    <w:rsid w:val="005E7B57"/>
    <w:rsid w:val="005E7D04"/>
    <w:rsid w:val="005F02E7"/>
    <w:rsid w:val="005F1C25"/>
    <w:rsid w:val="005F2C07"/>
    <w:rsid w:val="005F3731"/>
    <w:rsid w:val="005F3E05"/>
    <w:rsid w:val="005F486D"/>
    <w:rsid w:val="005F53EE"/>
    <w:rsid w:val="005F57C7"/>
    <w:rsid w:val="005F7029"/>
    <w:rsid w:val="005F7D0C"/>
    <w:rsid w:val="0060097B"/>
    <w:rsid w:val="00600CFA"/>
    <w:rsid w:val="0060178E"/>
    <w:rsid w:val="006026D2"/>
    <w:rsid w:val="00602759"/>
    <w:rsid w:val="00602B2F"/>
    <w:rsid w:val="00603606"/>
    <w:rsid w:val="0060382F"/>
    <w:rsid w:val="00603BEF"/>
    <w:rsid w:val="006045C1"/>
    <w:rsid w:val="00605992"/>
    <w:rsid w:val="006061A6"/>
    <w:rsid w:val="006075DB"/>
    <w:rsid w:val="0060772A"/>
    <w:rsid w:val="006079B2"/>
    <w:rsid w:val="00607AEE"/>
    <w:rsid w:val="00607B0D"/>
    <w:rsid w:val="00607B36"/>
    <w:rsid w:val="0061103C"/>
    <w:rsid w:val="00611165"/>
    <w:rsid w:val="006116A5"/>
    <w:rsid w:val="00611E67"/>
    <w:rsid w:val="00612B9B"/>
    <w:rsid w:val="00612C9C"/>
    <w:rsid w:val="006133FD"/>
    <w:rsid w:val="00613517"/>
    <w:rsid w:val="00613A7A"/>
    <w:rsid w:val="006144CC"/>
    <w:rsid w:val="006150A7"/>
    <w:rsid w:val="006159E6"/>
    <w:rsid w:val="006163C9"/>
    <w:rsid w:val="0061668F"/>
    <w:rsid w:val="00616F5F"/>
    <w:rsid w:val="00617627"/>
    <w:rsid w:val="006179E3"/>
    <w:rsid w:val="00617FA3"/>
    <w:rsid w:val="00620293"/>
    <w:rsid w:val="0062043E"/>
    <w:rsid w:val="006207CB"/>
    <w:rsid w:val="0062097B"/>
    <w:rsid w:val="00620FD6"/>
    <w:rsid w:val="00621349"/>
    <w:rsid w:val="00621943"/>
    <w:rsid w:val="006227B9"/>
    <w:rsid w:val="0062288B"/>
    <w:rsid w:val="00622BCB"/>
    <w:rsid w:val="006245D1"/>
    <w:rsid w:val="00624EC7"/>
    <w:rsid w:val="0062500F"/>
    <w:rsid w:val="00625570"/>
    <w:rsid w:val="006255F0"/>
    <w:rsid w:val="00625866"/>
    <w:rsid w:val="00625D33"/>
    <w:rsid w:val="006265BE"/>
    <w:rsid w:val="0062748F"/>
    <w:rsid w:val="006305D5"/>
    <w:rsid w:val="006313CD"/>
    <w:rsid w:val="00631C66"/>
    <w:rsid w:val="006325E6"/>
    <w:rsid w:val="006332E1"/>
    <w:rsid w:val="00634374"/>
    <w:rsid w:val="0063517D"/>
    <w:rsid w:val="00635D18"/>
    <w:rsid w:val="00635EA6"/>
    <w:rsid w:val="0063616A"/>
    <w:rsid w:val="006378D6"/>
    <w:rsid w:val="00637CE4"/>
    <w:rsid w:val="00640789"/>
    <w:rsid w:val="00641054"/>
    <w:rsid w:val="006410A6"/>
    <w:rsid w:val="0064135C"/>
    <w:rsid w:val="00642FA3"/>
    <w:rsid w:val="00643F57"/>
    <w:rsid w:val="00644591"/>
    <w:rsid w:val="00644F4E"/>
    <w:rsid w:val="00645236"/>
    <w:rsid w:val="0064576D"/>
    <w:rsid w:val="00645A08"/>
    <w:rsid w:val="00645CB5"/>
    <w:rsid w:val="0064642D"/>
    <w:rsid w:val="00646B18"/>
    <w:rsid w:val="00646E59"/>
    <w:rsid w:val="00647133"/>
    <w:rsid w:val="00647268"/>
    <w:rsid w:val="006475BD"/>
    <w:rsid w:val="00647A24"/>
    <w:rsid w:val="00650111"/>
    <w:rsid w:val="00650991"/>
    <w:rsid w:val="00651EA2"/>
    <w:rsid w:val="006525CD"/>
    <w:rsid w:val="00652728"/>
    <w:rsid w:val="006531D9"/>
    <w:rsid w:val="00653D6B"/>
    <w:rsid w:val="00654007"/>
    <w:rsid w:val="0065419E"/>
    <w:rsid w:val="00654970"/>
    <w:rsid w:val="00655020"/>
    <w:rsid w:val="0065698C"/>
    <w:rsid w:val="00656C27"/>
    <w:rsid w:val="006572DA"/>
    <w:rsid w:val="00657307"/>
    <w:rsid w:val="00657C88"/>
    <w:rsid w:val="0066074D"/>
    <w:rsid w:val="00662542"/>
    <w:rsid w:val="006630FF"/>
    <w:rsid w:val="00663A49"/>
    <w:rsid w:val="006645F3"/>
    <w:rsid w:val="00664C11"/>
    <w:rsid w:val="00666F82"/>
    <w:rsid w:val="006671FA"/>
    <w:rsid w:val="0066778F"/>
    <w:rsid w:val="006708F4"/>
    <w:rsid w:val="00670C4C"/>
    <w:rsid w:val="00671800"/>
    <w:rsid w:val="00671838"/>
    <w:rsid w:val="00671DBD"/>
    <w:rsid w:val="00672128"/>
    <w:rsid w:val="00673C45"/>
    <w:rsid w:val="00673C6B"/>
    <w:rsid w:val="0067463C"/>
    <w:rsid w:val="00675A10"/>
    <w:rsid w:val="00675D23"/>
    <w:rsid w:val="00675DC0"/>
    <w:rsid w:val="00675E17"/>
    <w:rsid w:val="006763DD"/>
    <w:rsid w:val="00676CF2"/>
    <w:rsid w:val="00676F23"/>
    <w:rsid w:val="00677402"/>
    <w:rsid w:val="006776AD"/>
    <w:rsid w:val="006778E8"/>
    <w:rsid w:val="00680A5E"/>
    <w:rsid w:val="00681BC9"/>
    <w:rsid w:val="00681C7D"/>
    <w:rsid w:val="00682D5D"/>
    <w:rsid w:val="006837D0"/>
    <w:rsid w:val="006839A4"/>
    <w:rsid w:val="0068439C"/>
    <w:rsid w:val="006850AB"/>
    <w:rsid w:val="00685E7C"/>
    <w:rsid w:val="006870BD"/>
    <w:rsid w:val="006871EC"/>
    <w:rsid w:val="00690A84"/>
    <w:rsid w:val="00690DB1"/>
    <w:rsid w:val="006917A6"/>
    <w:rsid w:val="00692A4A"/>
    <w:rsid w:val="0069382A"/>
    <w:rsid w:val="00693B09"/>
    <w:rsid w:val="00695C47"/>
    <w:rsid w:val="00696500"/>
    <w:rsid w:val="006972C6"/>
    <w:rsid w:val="00697313"/>
    <w:rsid w:val="00697CF0"/>
    <w:rsid w:val="00697D44"/>
    <w:rsid w:val="006A0322"/>
    <w:rsid w:val="006A064E"/>
    <w:rsid w:val="006A0CDB"/>
    <w:rsid w:val="006A227A"/>
    <w:rsid w:val="006A2A64"/>
    <w:rsid w:val="006A38F0"/>
    <w:rsid w:val="006A3CCE"/>
    <w:rsid w:val="006A465D"/>
    <w:rsid w:val="006A4896"/>
    <w:rsid w:val="006A48AE"/>
    <w:rsid w:val="006A4DA4"/>
    <w:rsid w:val="006A4EC2"/>
    <w:rsid w:val="006A5295"/>
    <w:rsid w:val="006A5D75"/>
    <w:rsid w:val="006A6B89"/>
    <w:rsid w:val="006A746F"/>
    <w:rsid w:val="006A76A8"/>
    <w:rsid w:val="006B034A"/>
    <w:rsid w:val="006B14F9"/>
    <w:rsid w:val="006B1BF3"/>
    <w:rsid w:val="006B2503"/>
    <w:rsid w:val="006B28FC"/>
    <w:rsid w:val="006B31B7"/>
    <w:rsid w:val="006B4480"/>
    <w:rsid w:val="006B462F"/>
    <w:rsid w:val="006B466A"/>
    <w:rsid w:val="006B46C3"/>
    <w:rsid w:val="006B47C7"/>
    <w:rsid w:val="006B4D52"/>
    <w:rsid w:val="006B4D7C"/>
    <w:rsid w:val="006B5F87"/>
    <w:rsid w:val="006B65CA"/>
    <w:rsid w:val="006B7E07"/>
    <w:rsid w:val="006B7E72"/>
    <w:rsid w:val="006C00A1"/>
    <w:rsid w:val="006C061F"/>
    <w:rsid w:val="006C06CD"/>
    <w:rsid w:val="006C096C"/>
    <w:rsid w:val="006C2211"/>
    <w:rsid w:val="006C31C5"/>
    <w:rsid w:val="006C320A"/>
    <w:rsid w:val="006C3E7B"/>
    <w:rsid w:val="006C401B"/>
    <w:rsid w:val="006C446A"/>
    <w:rsid w:val="006C456F"/>
    <w:rsid w:val="006C523D"/>
    <w:rsid w:val="006C601E"/>
    <w:rsid w:val="006C60B6"/>
    <w:rsid w:val="006C660D"/>
    <w:rsid w:val="006C6DD4"/>
    <w:rsid w:val="006C6E54"/>
    <w:rsid w:val="006C6EA6"/>
    <w:rsid w:val="006C7651"/>
    <w:rsid w:val="006D06CE"/>
    <w:rsid w:val="006D1095"/>
    <w:rsid w:val="006D1A56"/>
    <w:rsid w:val="006D2507"/>
    <w:rsid w:val="006D36A9"/>
    <w:rsid w:val="006D3A14"/>
    <w:rsid w:val="006D4655"/>
    <w:rsid w:val="006D5CF7"/>
    <w:rsid w:val="006D61F0"/>
    <w:rsid w:val="006E0D9A"/>
    <w:rsid w:val="006E2C10"/>
    <w:rsid w:val="006E3A13"/>
    <w:rsid w:val="006E3FE0"/>
    <w:rsid w:val="006E4005"/>
    <w:rsid w:val="006E50BC"/>
    <w:rsid w:val="006E5B45"/>
    <w:rsid w:val="006E60AE"/>
    <w:rsid w:val="006E641F"/>
    <w:rsid w:val="006E6E06"/>
    <w:rsid w:val="006E775E"/>
    <w:rsid w:val="006F029A"/>
    <w:rsid w:val="006F099E"/>
    <w:rsid w:val="006F0DC8"/>
    <w:rsid w:val="006F115A"/>
    <w:rsid w:val="006F191F"/>
    <w:rsid w:val="006F1DD4"/>
    <w:rsid w:val="006F21AA"/>
    <w:rsid w:val="006F2452"/>
    <w:rsid w:val="006F293E"/>
    <w:rsid w:val="006F3439"/>
    <w:rsid w:val="006F3ABE"/>
    <w:rsid w:val="006F498F"/>
    <w:rsid w:val="006F6051"/>
    <w:rsid w:val="006F6529"/>
    <w:rsid w:val="006F6AF2"/>
    <w:rsid w:val="006F6D04"/>
    <w:rsid w:val="006F6E2B"/>
    <w:rsid w:val="006F70CD"/>
    <w:rsid w:val="006F70E0"/>
    <w:rsid w:val="00701E28"/>
    <w:rsid w:val="00702246"/>
    <w:rsid w:val="0070233B"/>
    <w:rsid w:val="007032BF"/>
    <w:rsid w:val="007044D5"/>
    <w:rsid w:val="007051FB"/>
    <w:rsid w:val="00705260"/>
    <w:rsid w:val="007052EF"/>
    <w:rsid w:val="00705D02"/>
    <w:rsid w:val="00705FFE"/>
    <w:rsid w:val="007074D4"/>
    <w:rsid w:val="00707EF6"/>
    <w:rsid w:val="007106F1"/>
    <w:rsid w:val="007107D2"/>
    <w:rsid w:val="00710EE5"/>
    <w:rsid w:val="00711CB2"/>
    <w:rsid w:val="007130E1"/>
    <w:rsid w:val="007135BD"/>
    <w:rsid w:val="00713678"/>
    <w:rsid w:val="00713B93"/>
    <w:rsid w:val="00713C38"/>
    <w:rsid w:val="00714144"/>
    <w:rsid w:val="007154AC"/>
    <w:rsid w:val="00715699"/>
    <w:rsid w:val="0071632C"/>
    <w:rsid w:val="00716682"/>
    <w:rsid w:val="0071795D"/>
    <w:rsid w:val="00720837"/>
    <w:rsid w:val="00720FB1"/>
    <w:rsid w:val="007216BC"/>
    <w:rsid w:val="00721966"/>
    <w:rsid w:val="007226A9"/>
    <w:rsid w:val="007230E4"/>
    <w:rsid w:val="00723697"/>
    <w:rsid w:val="007239F2"/>
    <w:rsid w:val="00724E7E"/>
    <w:rsid w:val="0072522D"/>
    <w:rsid w:val="00725600"/>
    <w:rsid w:val="0072649B"/>
    <w:rsid w:val="00727B79"/>
    <w:rsid w:val="0073041B"/>
    <w:rsid w:val="00730563"/>
    <w:rsid w:val="007326A7"/>
    <w:rsid w:val="00732702"/>
    <w:rsid w:val="00732F64"/>
    <w:rsid w:val="007335AF"/>
    <w:rsid w:val="00733EF2"/>
    <w:rsid w:val="00733F81"/>
    <w:rsid w:val="0073408B"/>
    <w:rsid w:val="007342B6"/>
    <w:rsid w:val="007342E2"/>
    <w:rsid w:val="00736B71"/>
    <w:rsid w:val="0073710D"/>
    <w:rsid w:val="007376D1"/>
    <w:rsid w:val="00737998"/>
    <w:rsid w:val="00740598"/>
    <w:rsid w:val="007410B4"/>
    <w:rsid w:val="007424BB"/>
    <w:rsid w:val="00742D12"/>
    <w:rsid w:val="00742E67"/>
    <w:rsid w:val="00743D10"/>
    <w:rsid w:val="00743F5B"/>
    <w:rsid w:val="0074455E"/>
    <w:rsid w:val="00744F0E"/>
    <w:rsid w:val="007451D2"/>
    <w:rsid w:val="007463DF"/>
    <w:rsid w:val="00746552"/>
    <w:rsid w:val="007501E3"/>
    <w:rsid w:val="0075027F"/>
    <w:rsid w:val="007505A2"/>
    <w:rsid w:val="007505BE"/>
    <w:rsid w:val="007506A7"/>
    <w:rsid w:val="00750D06"/>
    <w:rsid w:val="00751455"/>
    <w:rsid w:val="007527FF"/>
    <w:rsid w:val="007528A2"/>
    <w:rsid w:val="00752A81"/>
    <w:rsid w:val="00753667"/>
    <w:rsid w:val="00753BDC"/>
    <w:rsid w:val="0075424D"/>
    <w:rsid w:val="00754ADD"/>
    <w:rsid w:val="00755DE5"/>
    <w:rsid w:val="00756BAE"/>
    <w:rsid w:val="00756D35"/>
    <w:rsid w:val="00756E09"/>
    <w:rsid w:val="00757232"/>
    <w:rsid w:val="0075736E"/>
    <w:rsid w:val="00757AD1"/>
    <w:rsid w:val="00757FF6"/>
    <w:rsid w:val="0076020B"/>
    <w:rsid w:val="0076078E"/>
    <w:rsid w:val="00760FF7"/>
    <w:rsid w:val="0076241C"/>
    <w:rsid w:val="00762894"/>
    <w:rsid w:val="00762E63"/>
    <w:rsid w:val="00762F82"/>
    <w:rsid w:val="007641FC"/>
    <w:rsid w:val="0076446C"/>
    <w:rsid w:val="00764982"/>
    <w:rsid w:val="00764BA8"/>
    <w:rsid w:val="00765185"/>
    <w:rsid w:val="007652FA"/>
    <w:rsid w:val="00765BE7"/>
    <w:rsid w:val="00766055"/>
    <w:rsid w:val="00767934"/>
    <w:rsid w:val="00771360"/>
    <w:rsid w:val="00771607"/>
    <w:rsid w:val="00771B37"/>
    <w:rsid w:val="00771B7A"/>
    <w:rsid w:val="00771D95"/>
    <w:rsid w:val="00772958"/>
    <w:rsid w:val="00773046"/>
    <w:rsid w:val="00773440"/>
    <w:rsid w:val="0077373D"/>
    <w:rsid w:val="00774E2F"/>
    <w:rsid w:val="00775F2D"/>
    <w:rsid w:val="00777C78"/>
    <w:rsid w:val="007806ED"/>
    <w:rsid w:val="00780AE8"/>
    <w:rsid w:val="0078128C"/>
    <w:rsid w:val="00781CA0"/>
    <w:rsid w:val="00781D82"/>
    <w:rsid w:val="007826DB"/>
    <w:rsid w:val="00782C05"/>
    <w:rsid w:val="00782C24"/>
    <w:rsid w:val="00782D6B"/>
    <w:rsid w:val="00783057"/>
    <w:rsid w:val="007832FE"/>
    <w:rsid w:val="00783C84"/>
    <w:rsid w:val="00784233"/>
    <w:rsid w:val="007845D9"/>
    <w:rsid w:val="007852F0"/>
    <w:rsid w:val="007857D7"/>
    <w:rsid w:val="00786B32"/>
    <w:rsid w:val="00787A29"/>
    <w:rsid w:val="00790301"/>
    <w:rsid w:val="0079031B"/>
    <w:rsid w:val="0079067B"/>
    <w:rsid w:val="007906AB"/>
    <w:rsid w:val="00791072"/>
    <w:rsid w:val="00791496"/>
    <w:rsid w:val="00791BB2"/>
    <w:rsid w:val="0079250C"/>
    <w:rsid w:val="007945AF"/>
    <w:rsid w:val="00794BE8"/>
    <w:rsid w:val="00795B32"/>
    <w:rsid w:val="00795F0E"/>
    <w:rsid w:val="00796556"/>
    <w:rsid w:val="00796A82"/>
    <w:rsid w:val="007970A7"/>
    <w:rsid w:val="007979B7"/>
    <w:rsid w:val="00797DAD"/>
    <w:rsid w:val="007A083C"/>
    <w:rsid w:val="007A0BFD"/>
    <w:rsid w:val="007A1173"/>
    <w:rsid w:val="007A15D3"/>
    <w:rsid w:val="007A17F8"/>
    <w:rsid w:val="007A2200"/>
    <w:rsid w:val="007A318F"/>
    <w:rsid w:val="007A3687"/>
    <w:rsid w:val="007A510B"/>
    <w:rsid w:val="007A52A8"/>
    <w:rsid w:val="007A538C"/>
    <w:rsid w:val="007A5426"/>
    <w:rsid w:val="007A551D"/>
    <w:rsid w:val="007A557F"/>
    <w:rsid w:val="007A601A"/>
    <w:rsid w:val="007B0095"/>
    <w:rsid w:val="007B170E"/>
    <w:rsid w:val="007B194E"/>
    <w:rsid w:val="007B2220"/>
    <w:rsid w:val="007B4AA4"/>
    <w:rsid w:val="007B4DF0"/>
    <w:rsid w:val="007B4F4A"/>
    <w:rsid w:val="007B72F7"/>
    <w:rsid w:val="007B75BB"/>
    <w:rsid w:val="007B7CBE"/>
    <w:rsid w:val="007C03A0"/>
    <w:rsid w:val="007C11F7"/>
    <w:rsid w:val="007C1E1B"/>
    <w:rsid w:val="007C21B4"/>
    <w:rsid w:val="007C2675"/>
    <w:rsid w:val="007C3125"/>
    <w:rsid w:val="007C35B8"/>
    <w:rsid w:val="007C48BD"/>
    <w:rsid w:val="007C4A5D"/>
    <w:rsid w:val="007C4B79"/>
    <w:rsid w:val="007C6419"/>
    <w:rsid w:val="007C66C5"/>
    <w:rsid w:val="007C67E8"/>
    <w:rsid w:val="007C72DB"/>
    <w:rsid w:val="007C791B"/>
    <w:rsid w:val="007C7971"/>
    <w:rsid w:val="007C7FD8"/>
    <w:rsid w:val="007D028F"/>
    <w:rsid w:val="007D038F"/>
    <w:rsid w:val="007D122F"/>
    <w:rsid w:val="007D1E1B"/>
    <w:rsid w:val="007D2CC5"/>
    <w:rsid w:val="007D42F8"/>
    <w:rsid w:val="007D459E"/>
    <w:rsid w:val="007D4AAE"/>
    <w:rsid w:val="007D4DE4"/>
    <w:rsid w:val="007D58A2"/>
    <w:rsid w:val="007E089C"/>
    <w:rsid w:val="007E0F4B"/>
    <w:rsid w:val="007E12C3"/>
    <w:rsid w:val="007E1767"/>
    <w:rsid w:val="007E1821"/>
    <w:rsid w:val="007E2052"/>
    <w:rsid w:val="007E22D0"/>
    <w:rsid w:val="007E2908"/>
    <w:rsid w:val="007E2C7F"/>
    <w:rsid w:val="007E3663"/>
    <w:rsid w:val="007E4154"/>
    <w:rsid w:val="007E5121"/>
    <w:rsid w:val="007E543E"/>
    <w:rsid w:val="007E61E5"/>
    <w:rsid w:val="007E6621"/>
    <w:rsid w:val="007E699B"/>
    <w:rsid w:val="007E7208"/>
    <w:rsid w:val="007E7723"/>
    <w:rsid w:val="007E778C"/>
    <w:rsid w:val="007E7F40"/>
    <w:rsid w:val="007F0775"/>
    <w:rsid w:val="007F0FB8"/>
    <w:rsid w:val="007F1339"/>
    <w:rsid w:val="007F18D6"/>
    <w:rsid w:val="007F2047"/>
    <w:rsid w:val="007F260F"/>
    <w:rsid w:val="007F26BB"/>
    <w:rsid w:val="007F2B62"/>
    <w:rsid w:val="007F317C"/>
    <w:rsid w:val="007F3488"/>
    <w:rsid w:val="007F365D"/>
    <w:rsid w:val="007F40B7"/>
    <w:rsid w:val="007F4586"/>
    <w:rsid w:val="007F4DF7"/>
    <w:rsid w:val="007F5B7E"/>
    <w:rsid w:val="007F6B8F"/>
    <w:rsid w:val="007F6E80"/>
    <w:rsid w:val="00801D83"/>
    <w:rsid w:val="00802164"/>
    <w:rsid w:val="008022AC"/>
    <w:rsid w:val="008032A9"/>
    <w:rsid w:val="00803304"/>
    <w:rsid w:val="008047E4"/>
    <w:rsid w:val="008049FD"/>
    <w:rsid w:val="00805C85"/>
    <w:rsid w:val="00807AB5"/>
    <w:rsid w:val="00811936"/>
    <w:rsid w:val="00811BB9"/>
    <w:rsid w:val="008120B2"/>
    <w:rsid w:val="008127C9"/>
    <w:rsid w:val="00814337"/>
    <w:rsid w:val="008143D8"/>
    <w:rsid w:val="0081468C"/>
    <w:rsid w:val="008146C1"/>
    <w:rsid w:val="00814C6B"/>
    <w:rsid w:val="00814F74"/>
    <w:rsid w:val="00815A69"/>
    <w:rsid w:val="00815B96"/>
    <w:rsid w:val="00815BA0"/>
    <w:rsid w:val="00816ADF"/>
    <w:rsid w:val="00816C64"/>
    <w:rsid w:val="008177BD"/>
    <w:rsid w:val="00820442"/>
    <w:rsid w:val="00820678"/>
    <w:rsid w:val="008220AA"/>
    <w:rsid w:val="00822229"/>
    <w:rsid w:val="00822F4B"/>
    <w:rsid w:val="008234DC"/>
    <w:rsid w:val="00823FC1"/>
    <w:rsid w:val="0082400C"/>
    <w:rsid w:val="00824425"/>
    <w:rsid w:val="00824AA0"/>
    <w:rsid w:val="008250D3"/>
    <w:rsid w:val="00825563"/>
    <w:rsid w:val="00825946"/>
    <w:rsid w:val="00825AD8"/>
    <w:rsid w:val="0082602D"/>
    <w:rsid w:val="0082696E"/>
    <w:rsid w:val="00826E40"/>
    <w:rsid w:val="00827113"/>
    <w:rsid w:val="00827709"/>
    <w:rsid w:val="008279A6"/>
    <w:rsid w:val="008314C2"/>
    <w:rsid w:val="00831CA4"/>
    <w:rsid w:val="00832214"/>
    <w:rsid w:val="00832864"/>
    <w:rsid w:val="00832AA5"/>
    <w:rsid w:val="00833391"/>
    <w:rsid w:val="00833C0F"/>
    <w:rsid w:val="0083462B"/>
    <w:rsid w:val="008347E8"/>
    <w:rsid w:val="008357C0"/>
    <w:rsid w:val="00835E63"/>
    <w:rsid w:val="008360C6"/>
    <w:rsid w:val="00836AF9"/>
    <w:rsid w:val="00836B85"/>
    <w:rsid w:val="00836DFE"/>
    <w:rsid w:val="0083717C"/>
    <w:rsid w:val="00837A97"/>
    <w:rsid w:val="00837CE2"/>
    <w:rsid w:val="0084033E"/>
    <w:rsid w:val="00840A26"/>
    <w:rsid w:val="00840B86"/>
    <w:rsid w:val="00840EC7"/>
    <w:rsid w:val="00841109"/>
    <w:rsid w:val="0084152B"/>
    <w:rsid w:val="0084165E"/>
    <w:rsid w:val="008420C7"/>
    <w:rsid w:val="00842758"/>
    <w:rsid w:val="00842904"/>
    <w:rsid w:val="00843C37"/>
    <w:rsid w:val="00843D48"/>
    <w:rsid w:val="00843E7F"/>
    <w:rsid w:val="0084451C"/>
    <w:rsid w:val="008457F8"/>
    <w:rsid w:val="00845ED5"/>
    <w:rsid w:val="008467BC"/>
    <w:rsid w:val="00846A14"/>
    <w:rsid w:val="00847057"/>
    <w:rsid w:val="00847C52"/>
    <w:rsid w:val="008500FE"/>
    <w:rsid w:val="0085058F"/>
    <w:rsid w:val="00850CB5"/>
    <w:rsid w:val="00851900"/>
    <w:rsid w:val="00851B54"/>
    <w:rsid w:val="00852B0F"/>
    <w:rsid w:val="00853217"/>
    <w:rsid w:val="00853372"/>
    <w:rsid w:val="00853AFB"/>
    <w:rsid w:val="00853D25"/>
    <w:rsid w:val="00854337"/>
    <w:rsid w:val="0085464C"/>
    <w:rsid w:val="008547B9"/>
    <w:rsid w:val="00854EFD"/>
    <w:rsid w:val="008559F7"/>
    <w:rsid w:val="00855FD5"/>
    <w:rsid w:val="0085653A"/>
    <w:rsid w:val="00856850"/>
    <w:rsid w:val="00856F58"/>
    <w:rsid w:val="008573E8"/>
    <w:rsid w:val="00857420"/>
    <w:rsid w:val="0085761F"/>
    <w:rsid w:val="008577CE"/>
    <w:rsid w:val="008577D8"/>
    <w:rsid w:val="008616C2"/>
    <w:rsid w:val="008616EC"/>
    <w:rsid w:val="008619AD"/>
    <w:rsid w:val="00861B61"/>
    <w:rsid w:val="00862960"/>
    <w:rsid w:val="00862EAE"/>
    <w:rsid w:val="0086318E"/>
    <w:rsid w:val="00863442"/>
    <w:rsid w:val="008635B3"/>
    <w:rsid w:val="00863679"/>
    <w:rsid w:val="00863DCF"/>
    <w:rsid w:val="00865315"/>
    <w:rsid w:val="0086659E"/>
    <w:rsid w:val="008670AD"/>
    <w:rsid w:val="00871038"/>
    <w:rsid w:val="008715C9"/>
    <w:rsid w:val="00871D5B"/>
    <w:rsid w:val="0087279D"/>
    <w:rsid w:val="00872876"/>
    <w:rsid w:val="00872A85"/>
    <w:rsid w:val="00872C7A"/>
    <w:rsid w:val="0087316A"/>
    <w:rsid w:val="00873618"/>
    <w:rsid w:val="00875013"/>
    <w:rsid w:val="0087521C"/>
    <w:rsid w:val="0087572D"/>
    <w:rsid w:val="00875CE9"/>
    <w:rsid w:val="0087615E"/>
    <w:rsid w:val="0087659E"/>
    <w:rsid w:val="00876BAF"/>
    <w:rsid w:val="00876D8C"/>
    <w:rsid w:val="00876EA9"/>
    <w:rsid w:val="00877128"/>
    <w:rsid w:val="00877C5F"/>
    <w:rsid w:val="00877DA9"/>
    <w:rsid w:val="008803E8"/>
    <w:rsid w:val="008804AD"/>
    <w:rsid w:val="00880930"/>
    <w:rsid w:val="00881D4D"/>
    <w:rsid w:val="008824FB"/>
    <w:rsid w:val="00882664"/>
    <w:rsid w:val="0088286F"/>
    <w:rsid w:val="00882B98"/>
    <w:rsid w:val="0088305E"/>
    <w:rsid w:val="008830FE"/>
    <w:rsid w:val="00883407"/>
    <w:rsid w:val="0088375B"/>
    <w:rsid w:val="008838D0"/>
    <w:rsid w:val="00884194"/>
    <w:rsid w:val="00884351"/>
    <w:rsid w:val="00885ACD"/>
    <w:rsid w:val="00885BD0"/>
    <w:rsid w:val="00886843"/>
    <w:rsid w:val="0088706D"/>
    <w:rsid w:val="00890270"/>
    <w:rsid w:val="00890E06"/>
    <w:rsid w:val="00891143"/>
    <w:rsid w:val="0089119B"/>
    <w:rsid w:val="0089157A"/>
    <w:rsid w:val="00891F28"/>
    <w:rsid w:val="00892480"/>
    <w:rsid w:val="00892AA7"/>
    <w:rsid w:val="00892C78"/>
    <w:rsid w:val="00893371"/>
    <w:rsid w:val="0089359D"/>
    <w:rsid w:val="008939BA"/>
    <w:rsid w:val="0089479E"/>
    <w:rsid w:val="00894A35"/>
    <w:rsid w:val="00894A3C"/>
    <w:rsid w:val="00894EB0"/>
    <w:rsid w:val="00895A3D"/>
    <w:rsid w:val="00895B84"/>
    <w:rsid w:val="00897491"/>
    <w:rsid w:val="008978BE"/>
    <w:rsid w:val="00897A70"/>
    <w:rsid w:val="00897B95"/>
    <w:rsid w:val="008A03B8"/>
    <w:rsid w:val="008A0A6F"/>
    <w:rsid w:val="008A0D45"/>
    <w:rsid w:val="008A0E56"/>
    <w:rsid w:val="008A107F"/>
    <w:rsid w:val="008A2640"/>
    <w:rsid w:val="008A2661"/>
    <w:rsid w:val="008A27F6"/>
    <w:rsid w:val="008A2EDF"/>
    <w:rsid w:val="008A3541"/>
    <w:rsid w:val="008A3779"/>
    <w:rsid w:val="008A393A"/>
    <w:rsid w:val="008A3B0B"/>
    <w:rsid w:val="008A45C4"/>
    <w:rsid w:val="008A4E5A"/>
    <w:rsid w:val="008A4FD4"/>
    <w:rsid w:val="008A5E74"/>
    <w:rsid w:val="008A6181"/>
    <w:rsid w:val="008A656A"/>
    <w:rsid w:val="008A6D66"/>
    <w:rsid w:val="008A6FB7"/>
    <w:rsid w:val="008A71E6"/>
    <w:rsid w:val="008B0122"/>
    <w:rsid w:val="008B03F5"/>
    <w:rsid w:val="008B0DA7"/>
    <w:rsid w:val="008B12D1"/>
    <w:rsid w:val="008B2457"/>
    <w:rsid w:val="008B277B"/>
    <w:rsid w:val="008B2DE5"/>
    <w:rsid w:val="008B38D5"/>
    <w:rsid w:val="008B4631"/>
    <w:rsid w:val="008B4D78"/>
    <w:rsid w:val="008B5A17"/>
    <w:rsid w:val="008B5D02"/>
    <w:rsid w:val="008B5D08"/>
    <w:rsid w:val="008B5EE3"/>
    <w:rsid w:val="008B614F"/>
    <w:rsid w:val="008B721C"/>
    <w:rsid w:val="008C048D"/>
    <w:rsid w:val="008C09E1"/>
    <w:rsid w:val="008C100C"/>
    <w:rsid w:val="008C1407"/>
    <w:rsid w:val="008C153C"/>
    <w:rsid w:val="008C169A"/>
    <w:rsid w:val="008C16BA"/>
    <w:rsid w:val="008C24E5"/>
    <w:rsid w:val="008C26B9"/>
    <w:rsid w:val="008C29A6"/>
    <w:rsid w:val="008C2DD4"/>
    <w:rsid w:val="008C325B"/>
    <w:rsid w:val="008C327A"/>
    <w:rsid w:val="008C3370"/>
    <w:rsid w:val="008C3E16"/>
    <w:rsid w:val="008C3F62"/>
    <w:rsid w:val="008C4753"/>
    <w:rsid w:val="008C4E0F"/>
    <w:rsid w:val="008C5A86"/>
    <w:rsid w:val="008C5F5A"/>
    <w:rsid w:val="008C6929"/>
    <w:rsid w:val="008C6955"/>
    <w:rsid w:val="008C698E"/>
    <w:rsid w:val="008C6B0F"/>
    <w:rsid w:val="008C76F9"/>
    <w:rsid w:val="008D025F"/>
    <w:rsid w:val="008D0F3C"/>
    <w:rsid w:val="008D1A6C"/>
    <w:rsid w:val="008D219D"/>
    <w:rsid w:val="008D23D3"/>
    <w:rsid w:val="008D32AA"/>
    <w:rsid w:val="008D3853"/>
    <w:rsid w:val="008D4315"/>
    <w:rsid w:val="008D57F7"/>
    <w:rsid w:val="008D5A22"/>
    <w:rsid w:val="008D6261"/>
    <w:rsid w:val="008D6C41"/>
    <w:rsid w:val="008D7EFA"/>
    <w:rsid w:val="008E07A7"/>
    <w:rsid w:val="008E124F"/>
    <w:rsid w:val="008E1C2C"/>
    <w:rsid w:val="008E1F21"/>
    <w:rsid w:val="008E2251"/>
    <w:rsid w:val="008E2290"/>
    <w:rsid w:val="008E28DC"/>
    <w:rsid w:val="008E32F3"/>
    <w:rsid w:val="008E33AE"/>
    <w:rsid w:val="008E3655"/>
    <w:rsid w:val="008E36EB"/>
    <w:rsid w:val="008E49DD"/>
    <w:rsid w:val="008E4DF7"/>
    <w:rsid w:val="008E5501"/>
    <w:rsid w:val="008E55EA"/>
    <w:rsid w:val="008E57B9"/>
    <w:rsid w:val="008E5D0E"/>
    <w:rsid w:val="008E60CB"/>
    <w:rsid w:val="008E64E1"/>
    <w:rsid w:val="008E66BA"/>
    <w:rsid w:val="008F03AD"/>
    <w:rsid w:val="008F0C15"/>
    <w:rsid w:val="008F10ED"/>
    <w:rsid w:val="008F11C6"/>
    <w:rsid w:val="008F13D2"/>
    <w:rsid w:val="008F19C9"/>
    <w:rsid w:val="008F1AE7"/>
    <w:rsid w:val="008F2F1B"/>
    <w:rsid w:val="008F3108"/>
    <w:rsid w:val="008F318F"/>
    <w:rsid w:val="008F3194"/>
    <w:rsid w:val="008F31A7"/>
    <w:rsid w:val="008F32DF"/>
    <w:rsid w:val="008F34E9"/>
    <w:rsid w:val="008F358F"/>
    <w:rsid w:val="008F3FDA"/>
    <w:rsid w:val="008F460D"/>
    <w:rsid w:val="008F4ABD"/>
    <w:rsid w:val="008F516B"/>
    <w:rsid w:val="008F5392"/>
    <w:rsid w:val="008F54EA"/>
    <w:rsid w:val="008F5DB9"/>
    <w:rsid w:val="008F76BF"/>
    <w:rsid w:val="008F7CFC"/>
    <w:rsid w:val="0090005F"/>
    <w:rsid w:val="009013AF"/>
    <w:rsid w:val="00901F64"/>
    <w:rsid w:val="009029EA"/>
    <w:rsid w:val="0090310F"/>
    <w:rsid w:val="00903C42"/>
    <w:rsid w:val="009042C8"/>
    <w:rsid w:val="00905B0C"/>
    <w:rsid w:val="00906078"/>
    <w:rsid w:val="00906624"/>
    <w:rsid w:val="009066A7"/>
    <w:rsid w:val="00906FA4"/>
    <w:rsid w:val="009108A1"/>
    <w:rsid w:val="0091147E"/>
    <w:rsid w:val="009118F9"/>
    <w:rsid w:val="009121DE"/>
    <w:rsid w:val="009132AB"/>
    <w:rsid w:val="00913657"/>
    <w:rsid w:val="00913A9C"/>
    <w:rsid w:val="00914273"/>
    <w:rsid w:val="00914279"/>
    <w:rsid w:val="00914A59"/>
    <w:rsid w:val="00914D5B"/>
    <w:rsid w:val="00914F9A"/>
    <w:rsid w:val="00915502"/>
    <w:rsid w:val="0091554D"/>
    <w:rsid w:val="00916610"/>
    <w:rsid w:val="0091675E"/>
    <w:rsid w:val="00916B36"/>
    <w:rsid w:val="00916B9D"/>
    <w:rsid w:val="00917728"/>
    <w:rsid w:val="00920155"/>
    <w:rsid w:val="009206A3"/>
    <w:rsid w:val="00920B37"/>
    <w:rsid w:val="00920D2F"/>
    <w:rsid w:val="00920DC0"/>
    <w:rsid w:val="009212A6"/>
    <w:rsid w:val="009218A2"/>
    <w:rsid w:val="00921E70"/>
    <w:rsid w:val="009228C9"/>
    <w:rsid w:val="00923ADF"/>
    <w:rsid w:val="00923D78"/>
    <w:rsid w:val="00923E87"/>
    <w:rsid w:val="00924E29"/>
    <w:rsid w:val="0092559F"/>
    <w:rsid w:val="00927171"/>
    <w:rsid w:val="00927422"/>
    <w:rsid w:val="009275B2"/>
    <w:rsid w:val="00927BD6"/>
    <w:rsid w:val="00927D40"/>
    <w:rsid w:val="00927E9B"/>
    <w:rsid w:val="00930293"/>
    <w:rsid w:val="009305C6"/>
    <w:rsid w:val="00930964"/>
    <w:rsid w:val="00930D1A"/>
    <w:rsid w:val="009319A1"/>
    <w:rsid w:val="00932506"/>
    <w:rsid w:val="00932C8C"/>
    <w:rsid w:val="00932F6F"/>
    <w:rsid w:val="00933033"/>
    <w:rsid w:val="00933B48"/>
    <w:rsid w:val="00933DC3"/>
    <w:rsid w:val="0093506F"/>
    <w:rsid w:val="00935A12"/>
    <w:rsid w:val="00935BC5"/>
    <w:rsid w:val="00936045"/>
    <w:rsid w:val="009370BC"/>
    <w:rsid w:val="00937CC0"/>
    <w:rsid w:val="0094030B"/>
    <w:rsid w:val="00940755"/>
    <w:rsid w:val="00940BF4"/>
    <w:rsid w:val="009414E9"/>
    <w:rsid w:val="00941AE3"/>
    <w:rsid w:val="00942427"/>
    <w:rsid w:val="00942C71"/>
    <w:rsid w:val="00946ECA"/>
    <w:rsid w:val="009474A3"/>
    <w:rsid w:val="00947567"/>
    <w:rsid w:val="009477C7"/>
    <w:rsid w:val="009478CD"/>
    <w:rsid w:val="00947C67"/>
    <w:rsid w:val="009501D6"/>
    <w:rsid w:val="009508D3"/>
    <w:rsid w:val="00951370"/>
    <w:rsid w:val="00951694"/>
    <w:rsid w:val="00951970"/>
    <w:rsid w:val="00951CDD"/>
    <w:rsid w:val="00951F73"/>
    <w:rsid w:val="00953035"/>
    <w:rsid w:val="00953D86"/>
    <w:rsid w:val="00954491"/>
    <w:rsid w:val="0095506D"/>
    <w:rsid w:val="009556FE"/>
    <w:rsid w:val="009559A6"/>
    <w:rsid w:val="00956568"/>
    <w:rsid w:val="00960B3B"/>
    <w:rsid w:val="00960C0A"/>
    <w:rsid w:val="00961068"/>
    <w:rsid w:val="0096175C"/>
    <w:rsid w:val="00961A71"/>
    <w:rsid w:val="00961CD3"/>
    <w:rsid w:val="009622C5"/>
    <w:rsid w:val="00962C2A"/>
    <w:rsid w:val="009642FD"/>
    <w:rsid w:val="00964426"/>
    <w:rsid w:val="00964492"/>
    <w:rsid w:val="00964F35"/>
    <w:rsid w:val="00965420"/>
    <w:rsid w:val="00965B16"/>
    <w:rsid w:val="0096610A"/>
    <w:rsid w:val="00966257"/>
    <w:rsid w:val="009666D4"/>
    <w:rsid w:val="009670A5"/>
    <w:rsid w:val="0096762D"/>
    <w:rsid w:val="00967B0F"/>
    <w:rsid w:val="009701B5"/>
    <w:rsid w:val="00970387"/>
    <w:rsid w:val="00971764"/>
    <w:rsid w:val="00971FDB"/>
    <w:rsid w:val="0097246C"/>
    <w:rsid w:val="009728AE"/>
    <w:rsid w:val="00973083"/>
    <w:rsid w:val="00973241"/>
    <w:rsid w:val="00973CF2"/>
    <w:rsid w:val="00974075"/>
    <w:rsid w:val="009743C5"/>
    <w:rsid w:val="0097445F"/>
    <w:rsid w:val="00974C73"/>
    <w:rsid w:val="00974D16"/>
    <w:rsid w:val="009758CD"/>
    <w:rsid w:val="009763CE"/>
    <w:rsid w:val="00976430"/>
    <w:rsid w:val="0097661D"/>
    <w:rsid w:val="00976857"/>
    <w:rsid w:val="00977DEA"/>
    <w:rsid w:val="00981458"/>
    <w:rsid w:val="00981B8C"/>
    <w:rsid w:val="009832A7"/>
    <w:rsid w:val="00983816"/>
    <w:rsid w:val="009846B0"/>
    <w:rsid w:val="0098495E"/>
    <w:rsid w:val="009854CB"/>
    <w:rsid w:val="0098581D"/>
    <w:rsid w:val="00985919"/>
    <w:rsid w:val="009863BF"/>
    <w:rsid w:val="00986666"/>
    <w:rsid w:val="00986B26"/>
    <w:rsid w:val="00986FD2"/>
    <w:rsid w:val="009900E4"/>
    <w:rsid w:val="00990334"/>
    <w:rsid w:val="00991071"/>
    <w:rsid w:val="0099116F"/>
    <w:rsid w:val="009941D3"/>
    <w:rsid w:val="00994280"/>
    <w:rsid w:val="00994578"/>
    <w:rsid w:val="009957B0"/>
    <w:rsid w:val="00995999"/>
    <w:rsid w:val="00995AEE"/>
    <w:rsid w:val="00996E2C"/>
    <w:rsid w:val="00996F05"/>
    <w:rsid w:val="00997713"/>
    <w:rsid w:val="00997721"/>
    <w:rsid w:val="00997C7A"/>
    <w:rsid w:val="009A055E"/>
    <w:rsid w:val="009A07AB"/>
    <w:rsid w:val="009A08E3"/>
    <w:rsid w:val="009A144F"/>
    <w:rsid w:val="009A1926"/>
    <w:rsid w:val="009A1C14"/>
    <w:rsid w:val="009A2357"/>
    <w:rsid w:val="009A2537"/>
    <w:rsid w:val="009A261F"/>
    <w:rsid w:val="009A4D5A"/>
    <w:rsid w:val="009A535A"/>
    <w:rsid w:val="009A60FC"/>
    <w:rsid w:val="009A6787"/>
    <w:rsid w:val="009A6960"/>
    <w:rsid w:val="009A7191"/>
    <w:rsid w:val="009B0C76"/>
    <w:rsid w:val="009B1D6A"/>
    <w:rsid w:val="009B1D8A"/>
    <w:rsid w:val="009B20B9"/>
    <w:rsid w:val="009B23DC"/>
    <w:rsid w:val="009B2E4A"/>
    <w:rsid w:val="009B34D2"/>
    <w:rsid w:val="009B386F"/>
    <w:rsid w:val="009B3F39"/>
    <w:rsid w:val="009B475B"/>
    <w:rsid w:val="009B4A5F"/>
    <w:rsid w:val="009B4DC1"/>
    <w:rsid w:val="009B575D"/>
    <w:rsid w:val="009B5B48"/>
    <w:rsid w:val="009B6198"/>
    <w:rsid w:val="009B658C"/>
    <w:rsid w:val="009B750B"/>
    <w:rsid w:val="009C0AF9"/>
    <w:rsid w:val="009C0D11"/>
    <w:rsid w:val="009C0D4E"/>
    <w:rsid w:val="009C1391"/>
    <w:rsid w:val="009C1779"/>
    <w:rsid w:val="009C1E87"/>
    <w:rsid w:val="009C29FF"/>
    <w:rsid w:val="009C2ACA"/>
    <w:rsid w:val="009C2AFC"/>
    <w:rsid w:val="009C33DE"/>
    <w:rsid w:val="009C37B1"/>
    <w:rsid w:val="009C3C1A"/>
    <w:rsid w:val="009C4DE1"/>
    <w:rsid w:val="009C510F"/>
    <w:rsid w:val="009C56B0"/>
    <w:rsid w:val="009C6615"/>
    <w:rsid w:val="009C6F45"/>
    <w:rsid w:val="009C7068"/>
    <w:rsid w:val="009C72C5"/>
    <w:rsid w:val="009C7675"/>
    <w:rsid w:val="009C777F"/>
    <w:rsid w:val="009C7C81"/>
    <w:rsid w:val="009C7D3B"/>
    <w:rsid w:val="009C7D9A"/>
    <w:rsid w:val="009D00A9"/>
    <w:rsid w:val="009D0872"/>
    <w:rsid w:val="009D0AF6"/>
    <w:rsid w:val="009D127C"/>
    <w:rsid w:val="009D13A7"/>
    <w:rsid w:val="009D144D"/>
    <w:rsid w:val="009D1900"/>
    <w:rsid w:val="009D1CD4"/>
    <w:rsid w:val="009D1E2C"/>
    <w:rsid w:val="009D266D"/>
    <w:rsid w:val="009D2720"/>
    <w:rsid w:val="009D28E3"/>
    <w:rsid w:val="009D3474"/>
    <w:rsid w:val="009D3F52"/>
    <w:rsid w:val="009D4E0F"/>
    <w:rsid w:val="009D5482"/>
    <w:rsid w:val="009D57A7"/>
    <w:rsid w:val="009D5B0E"/>
    <w:rsid w:val="009D6AE0"/>
    <w:rsid w:val="009D6B7F"/>
    <w:rsid w:val="009D6EF1"/>
    <w:rsid w:val="009D6F3C"/>
    <w:rsid w:val="009D7004"/>
    <w:rsid w:val="009E0262"/>
    <w:rsid w:val="009E0FAB"/>
    <w:rsid w:val="009E1703"/>
    <w:rsid w:val="009E2510"/>
    <w:rsid w:val="009E270B"/>
    <w:rsid w:val="009E2C94"/>
    <w:rsid w:val="009E2F05"/>
    <w:rsid w:val="009E2F26"/>
    <w:rsid w:val="009E2F83"/>
    <w:rsid w:val="009E3778"/>
    <w:rsid w:val="009E4AC7"/>
    <w:rsid w:val="009E6FF2"/>
    <w:rsid w:val="009E7680"/>
    <w:rsid w:val="009E7C6B"/>
    <w:rsid w:val="009F007B"/>
    <w:rsid w:val="009F00E9"/>
    <w:rsid w:val="009F0D6D"/>
    <w:rsid w:val="009F1634"/>
    <w:rsid w:val="009F2287"/>
    <w:rsid w:val="009F2C6C"/>
    <w:rsid w:val="009F35F2"/>
    <w:rsid w:val="009F3984"/>
    <w:rsid w:val="009F43A5"/>
    <w:rsid w:val="009F4A4A"/>
    <w:rsid w:val="009F4CA8"/>
    <w:rsid w:val="009F4EE4"/>
    <w:rsid w:val="009F5CB7"/>
    <w:rsid w:val="009F63B2"/>
    <w:rsid w:val="009F6A0B"/>
    <w:rsid w:val="009F6CEA"/>
    <w:rsid w:val="009F6F68"/>
    <w:rsid w:val="009F7CE3"/>
    <w:rsid w:val="00A002D2"/>
    <w:rsid w:val="00A003EC"/>
    <w:rsid w:val="00A00947"/>
    <w:rsid w:val="00A00FF3"/>
    <w:rsid w:val="00A011D9"/>
    <w:rsid w:val="00A0177E"/>
    <w:rsid w:val="00A027D9"/>
    <w:rsid w:val="00A0384E"/>
    <w:rsid w:val="00A047CA"/>
    <w:rsid w:val="00A05124"/>
    <w:rsid w:val="00A05562"/>
    <w:rsid w:val="00A05920"/>
    <w:rsid w:val="00A059C7"/>
    <w:rsid w:val="00A05AF0"/>
    <w:rsid w:val="00A06127"/>
    <w:rsid w:val="00A07360"/>
    <w:rsid w:val="00A0743C"/>
    <w:rsid w:val="00A077B4"/>
    <w:rsid w:val="00A10222"/>
    <w:rsid w:val="00A103E0"/>
    <w:rsid w:val="00A10D6E"/>
    <w:rsid w:val="00A1217A"/>
    <w:rsid w:val="00A137E2"/>
    <w:rsid w:val="00A146AC"/>
    <w:rsid w:val="00A14893"/>
    <w:rsid w:val="00A1554F"/>
    <w:rsid w:val="00A157D7"/>
    <w:rsid w:val="00A16346"/>
    <w:rsid w:val="00A164CB"/>
    <w:rsid w:val="00A17CA4"/>
    <w:rsid w:val="00A204E7"/>
    <w:rsid w:val="00A21296"/>
    <w:rsid w:val="00A23AC5"/>
    <w:rsid w:val="00A24060"/>
    <w:rsid w:val="00A241F3"/>
    <w:rsid w:val="00A25CA6"/>
    <w:rsid w:val="00A26672"/>
    <w:rsid w:val="00A26E22"/>
    <w:rsid w:val="00A26E3A"/>
    <w:rsid w:val="00A26FCE"/>
    <w:rsid w:val="00A271BF"/>
    <w:rsid w:val="00A27699"/>
    <w:rsid w:val="00A27F2C"/>
    <w:rsid w:val="00A30277"/>
    <w:rsid w:val="00A31242"/>
    <w:rsid w:val="00A323C7"/>
    <w:rsid w:val="00A32734"/>
    <w:rsid w:val="00A34D34"/>
    <w:rsid w:val="00A34FC0"/>
    <w:rsid w:val="00A35836"/>
    <w:rsid w:val="00A35C8C"/>
    <w:rsid w:val="00A35F49"/>
    <w:rsid w:val="00A36658"/>
    <w:rsid w:val="00A369E9"/>
    <w:rsid w:val="00A36CC0"/>
    <w:rsid w:val="00A36CDF"/>
    <w:rsid w:val="00A37006"/>
    <w:rsid w:val="00A4040D"/>
    <w:rsid w:val="00A405C6"/>
    <w:rsid w:val="00A408D8"/>
    <w:rsid w:val="00A41F81"/>
    <w:rsid w:val="00A42669"/>
    <w:rsid w:val="00A42EBD"/>
    <w:rsid w:val="00A43675"/>
    <w:rsid w:val="00A43D17"/>
    <w:rsid w:val="00A44DDF"/>
    <w:rsid w:val="00A44ECE"/>
    <w:rsid w:val="00A450A6"/>
    <w:rsid w:val="00A4577A"/>
    <w:rsid w:val="00A46741"/>
    <w:rsid w:val="00A47B6A"/>
    <w:rsid w:val="00A47F92"/>
    <w:rsid w:val="00A5116B"/>
    <w:rsid w:val="00A522EC"/>
    <w:rsid w:val="00A526A9"/>
    <w:rsid w:val="00A527D3"/>
    <w:rsid w:val="00A544B4"/>
    <w:rsid w:val="00A546E4"/>
    <w:rsid w:val="00A54DD6"/>
    <w:rsid w:val="00A54DD8"/>
    <w:rsid w:val="00A54EDB"/>
    <w:rsid w:val="00A55E16"/>
    <w:rsid w:val="00A565DB"/>
    <w:rsid w:val="00A5741E"/>
    <w:rsid w:val="00A5760A"/>
    <w:rsid w:val="00A57FAA"/>
    <w:rsid w:val="00A605DC"/>
    <w:rsid w:val="00A60E4C"/>
    <w:rsid w:val="00A611F0"/>
    <w:rsid w:val="00A61CB4"/>
    <w:rsid w:val="00A61CE9"/>
    <w:rsid w:val="00A62218"/>
    <w:rsid w:val="00A62DAE"/>
    <w:rsid w:val="00A638A8"/>
    <w:rsid w:val="00A63B38"/>
    <w:rsid w:val="00A640D0"/>
    <w:rsid w:val="00A642B1"/>
    <w:rsid w:val="00A66171"/>
    <w:rsid w:val="00A662EA"/>
    <w:rsid w:val="00A66926"/>
    <w:rsid w:val="00A66BB1"/>
    <w:rsid w:val="00A66E0F"/>
    <w:rsid w:val="00A6713D"/>
    <w:rsid w:val="00A67545"/>
    <w:rsid w:val="00A67CBB"/>
    <w:rsid w:val="00A718AF"/>
    <w:rsid w:val="00A72B59"/>
    <w:rsid w:val="00A72E08"/>
    <w:rsid w:val="00A72EA6"/>
    <w:rsid w:val="00A73099"/>
    <w:rsid w:val="00A736B4"/>
    <w:rsid w:val="00A73759"/>
    <w:rsid w:val="00A739C1"/>
    <w:rsid w:val="00A74D3A"/>
    <w:rsid w:val="00A74FD4"/>
    <w:rsid w:val="00A7542F"/>
    <w:rsid w:val="00A75B03"/>
    <w:rsid w:val="00A761CE"/>
    <w:rsid w:val="00A762E7"/>
    <w:rsid w:val="00A76599"/>
    <w:rsid w:val="00A76989"/>
    <w:rsid w:val="00A771A4"/>
    <w:rsid w:val="00A80BE4"/>
    <w:rsid w:val="00A8119C"/>
    <w:rsid w:val="00A817DF"/>
    <w:rsid w:val="00A85315"/>
    <w:rsid w:val="00A8578E"/>
    <w:rsid w:val="00A85B11"/>
    <w:rsid w:val="00A85C6C"/>
    <w:rsid w:val="00A8618E"/>
    <w:rsid w:val="00A874AA"/>
    <w:rsid w:val="00A87C0C"/>
    <w:rsid w:val="00A87EAF"/>
    <w:rsid w:val="00A90387"/>
    <w:rsid w:val="00A9134E"/>
    <w:rsid w:val="00A91555"/>
    <w:rsid w:val="00A92133"/>
    <w:rsid w:val="00A928B7"/>
    <w:rsid w:val="00A9402A"/>
    <w:rsid w:val="00A940C5"/>
    <w:rsid w:val="00A948A7"/>
    <w:rsid w:val="00A951B8"/>
    <w:rsid w:val="00A9525D"/>
    <w:rsid w:val="00A9603B"/>
    <w:rsid w:val="00A967C8"/>
    <w:rsid w:val="00A975B9"/>
    <w:rsid w:val="00A976CC"/>
    <w:rsid w:val="00AA0857"/>
    <w:rsid w:val="00AA0BB8"/>
    <w:rsid w:val="00AA0FF8"/>
    <w:rsid w:val="00AA122B"/>
    <w:rsid w:val="00AA28A8"/>
    <w:rsid w:val="00AA2CF7"/>
    <w:rsid w:val="00AA2D1A"/>
    <w:rsid w:val="00AA3076"/>
    <w:rsid w:val="00AA351B"/>
    <w:rsid w:val="00AA403A"/>
    <w:rsid w:val="00AA4B98"/>
    <w:rsid w:val="00AA542D"/>
    <w:rsid w:val="00AA5D3A"/>
    <w:rsid w:val="00AA6240"/>
    <w:rsid w:val="00AA69D9"/>
    <w:rsid w:val="00AA7BC4"/>
    <w:rsid w:val="00AB1790"/>
    <w:rsid w:val="00AB1F47"/>
    <w:rsid w:val="00AB1F91"/>
    <w:rsid w:val="00AB286F"/>
    <w:rsid w:val="00AB2C90"/>
    <w:rsid w:val="00AB2E1B"/>
    <w:rsid w:val="00AB4FEB"/>
    <w:rsid w:val="00AB59C6"/>
    <w:rsid w:val="00AC05D4"/>
    <w:rsid w:val="00AC07E8"/>
    <w:rsid w:val="00AC1656"/>
    <w:rsid w:val="00AC1B0D"/>
    <w:rsid w:val="00AC1B76"/>
    <w:rsid w:val="00AC2075"/>
    <w:rsid w:val="00AC226E"/>
    <w:rsid w:val="00AC2898"/>
    <w:rsid w:val="00AC338B"/>
    <w:rsid w:val="00AC3419"/>
    <w:rsid w:val="00AC3568"/>
    <w:rsid w:val="00AC3A8A"/>
    <w:rsid w:val="00AC41AD"/>
    <w:rsid w:val="00AC5B6A"/>
    <w:rsid w:val="00AC5BEB"/>
    <w:rsid w:val="00AC685A"/>
    <w:rsid w:val="00AC7F0C"/>
    <w:rsid w:val="00AD033D"/>
    <w:rsid w:val="00AD0596"/>
    <w:rsid w:val="00AD0E78"/>
    <w:rsid w:val="00AD15AB"/>
    <w:rsid w:val="00AD21BE"/>
    <w:rsid w:val="00AD261E"/>
    <w:rsid w:val="00AD274C"/>
    <w:rsid w:val="00AD290A"/>
    <w:rsid w:val="00AD461C"/>
    <w:rsid w:val="00AD4F53"/>
    <w:rsid w:val="00AD5166"/>
    <w:rsid w:val="00AD55DF"/>
    <w:rsid w:val="00AD57A2"/>
    <w:rsid w:val="00AD6484"/>
    <w:rsid w:val="00AD71D9"/>
    <w:rsid w:val="00AD73EC"/>
    <w:rsid w:val="00AD7538"/>
    <w:rsid w:val="00AD7B98"/>
    <w:rsid w:val="00AD7E75"/>
    <w:rsid w:val="00AE07F0"/>
    <w:rsid w:val="00AE1B93"/>
    <w:rsid w:val="00AE35A6"/>
    <w:rsid w:val="00AE3890"/>
    <w:rsid w:val="00AE4ED3"/>
    <w:rsid w:val="00AE52E4"/>
    <w:rsid w:val="00AE5CB0"/>
    <w:rsid w:val="00AE609F"/>
    <w:rsid w:val="00AE63DF"/>
    <w:rsid w:val="00AE6453"/>
    <w:rsid w:val="00AE721D"/>
    <w:rsid w:val="00AE7F26"/>
    <w:rsid w:val="00AF0DDA"/>
    <w:rsid w:val="00AF14E5"/>
    <w:rsid w:val="00AF1F23"/>
    <w:rsid w:val="00AF2DEF"/>
    <w:rsid w:val="00AF2E4D"/>
    <w:rsid w:val="00AF369C"/>
    <w:rsid w:val="00AF450F"/>
    <w:rsid w:val="00AF461A"/>
    <w:rsid w:val="00AF470F"/>
    <w:rsid w:val="00AF4FAC"/>
    <w:rsid w:val="00AF4FEB"/>
    <w:rsid w:val="00AF5E93"/>
    <w:rsid w:val="00AF5FB8"/>
    <w:rsid w:val="00AF6095"/>
    <w:rsid w:val="00AF6239"/>
    <w:rsid w:val="00AF62ED"/>
    <w:rsid w:val="00AF65E4"/>
    <w:rsid w:val="00AF67F6"/>
    <w:rsid w:val="00AF71B4"/>
    <w:rsid w:val="00AF7784"/>
    <w:rsid w:val="00B00055"/>
    <w:rsid w:val="00B00601"/>
    <w:rsid w:val="00B00EDD"/>
    <w:rsid w:val="00B00F8E"/>
    <w:rsid w:val="00B01866"/>
    <w:rsid w:val="00B0197A"/>
    <w:rsid w:val="00B020C5"/>
    <w:rsid w:val="00B02E44"/>
    <w:rsid w:val="00B02ECE"/>
    <w:rsid w:val="00B0381E"/>
    <w:rsid w:val="00B04A7B"/>
    <w:rsid w:val="00B04BCB"/>
    <w:rsid w:val="00B04BD3"/>
    <w:rsid w:val="00B05031"/>
    <w:rsid w:val="00B053C8"/>
    <w:rsid w:val="00B06728"/>
    <w:rsid w:val="00B0689C"/>
    <w:rsid w:val="00B06A46"/>
    <w:rsid w:val="00B071EB"/>
    <w:rsid w:val="00B0735B"/>
    <w:rsid w:val="00B073E2"/>
    <w:rsid w:val="00B07418"/>
    <w:rsid w:val="00B0751B"/>
    <w:rsid w:val="00B11100"/>
    <w:rsid w:val="00B11817"/>
    <w:rsid w:val="00B11AF7"/>
    <w:rsid w:val="00B11C9E"/>
    <w:rsid w:val="00B1213F"/>
    <w:rsid w:val="00B12BD8"/>
    <w:rsid w:val="00B12E0D"/>
    <w:rsid w:val="00B13A46"/>
    <w:rsid w:val="00B1408F"/>
    <w:rsid w:val="00B14C20"/>
    <w:rsid w:val="00B160F4"/>
    <w:rsid w:val="00B164AA"/>
    <w:rsid w:val="00B16874"/>
    <w:rsid w:val="00B16E06"/>
    <w:rsid w:val="00B174C4"/>
    <w:rsid w:val="00B20114"/>
    <w:rsid w:val="00B20DDD"/>
    <w:rsid w:val="00B213BB"/>
    <w:rsid w:val="00B21477"/>
    <w:rsid w:val="00B21865"/>
    <w:rsid w:val="00B21ABC"/>
    <w:rsid w:val="00B22E61"/>
    <w:rsid w:val="00B22F45"/>
    <w:rsid w:val="00B232F3"/>
    <w:rsid w:val="00B237ED"/>
    <w:rsid w:val="00B23DEB"/>
    <w:rsid w:val="00B24095"/>
    <w:rsid w:val="00B240B6"/>
    <w:rsid w:val="00B24506"/>
    <w:rsid w:val="00B255A9"/>
    <w:rsid w:val="00B25CA1"/>
    <w:rsid w:val="00B26AE1"/>
    <w:rsid w:val="00B271B6"/>
    <w:rsid w:val="00B272F5"/>
    <w:rsid w:val="00B2742B"/>
    <w:rsid w:val="00B275ED"/>
    <w:rsid w:val="00B27A8E"/>
    <w:rsid w:val="00B30312"/>
    <w:rsid w:val="00B30EA7"/>
    <w:rsid w:val="00B31155"/>
    <w:rsid w:val="00B31EAB"/>
    <w:rsid w:val="00B33EF2"/>
    <w:rsid w:val="00B341A7"/>
    <w:rsid w:val="00B34EDB"/>
    <w:rsid w:val="00B35A43"/>
    <w:rsid w:val="00B35EC8"/>
    <w:rsid w:val="00B361C7"/>
    <w:rsid w:val="00B407DA"/>
    <w:rsid w:val="00B40A36"/>
    <w:rsid w:val="00B40C33"/>
    <w:rsid w:val="00B419E3"/>
    <w:rsid w:val="00B41C2C"/>
    <w:rsid w:val="00B42619"/>
    <w:rsid w:val="00B426CA"/>
    <w:rsid w:val="00B43136"/>
    <w:rsid w:val="00B434E9"/>
    <w:rsid w:val="00B437ED"/>
    <w:rsid w:val="00B43F75"/>
    <w:rsid w:val="00B4443E"/>
    <w:rsid w:val="00B4632E"/>
    <w:rsid w:val="00B471F7"/>
    <w:rsid w:val="00B4785C"/>
    <w:rsid w:val="00B47C7D"/>
    <w:rsid w:val="00B47D96"/>
    <w:rsid w:val="00B50DAE"/>
    <w:rsid w:val="00B5105B"/>
    <w:rsid w:val="00B5113E"/>
    <w:rsid w:val="00B52B77"/>
    <w:rsid w:val="00B52F54"/>
    <w:rsid w:val="00B530A0"/>
    <w:rsid w:val="00B537AA"/>
    <w:rsid w:val="00B538B8"/>
    <w:rsid w:val="00B541FF"/>
    <w:rsid w:val="00B54289"/>
    <w:rsid w:val="00B55122"/>
    <w:rsid w:val="00B55582"/>
    <w:rsid w:val="00B55BFF"/>
    <w:rsid w:val="00B56486"/>
    <w:rsid w:val="00B56BE7"/>
    <w:rsid w:val="00B56C74"/>
    <w:rsid w:val="00B6017F"/>
    <w:rsid w:val="00B6038F"/>
    <w:rsid w:val="00B60753"/>
    <w:rsid w:val="00B60D80"/>
    <w:rsid w:val="00B60E5C"/>
    <w:rsid w:val="00B60E5E"/>
    <w:rsid w:val="00B60F1F"/>
    <w:rsid w:val="00B6114C"/>
    <w:rsid w:val="00B6246C"/>
    <w:rsid w:val="00B62B09"/>
    <w:rsid w:val="00B62F12"/>
    <w:rsid w:val="00B63D5F"/>
    <w:rsid w:val="00B644DA"/>
    <w:rsid w:val="00B64CEF"/>
    <w:rsid w:val="00B64F09"/>
    <w:rsid w:val="00B64FAE"/>
    <w:rsid w:val="00B65552"/>
    <w:rsid w:val="00B65A82"/>
    <w:rsid w:val="00B666CD"/>
    <w:rsid w:val="00B66DCA"/>
    <w:rsid w:val="00B67D75"/>
    <w:rsid w:val="00B7036D"/>
    <w:rsid w:val="00B70D8F"/>
    <w:rsid w:val="00B7209C"/>
    <w:rsid w:val="00B722E6"/>
    <w:rsid w:val="00B723EB"/>
    <w:rsid w:val="00B72402"/>
    <w:rsid w:val="00B73133"/>
    <w:rsid w:val="00B744DF"/>
    <w:rsid w:val="00B74796"/>
    <w:rsid w:val="00B74804"/>
    <w:rsid w:val="00B74A30"/>
    <w:rsid w:val="00B74B20"/>
    <w:rsid w:val="00B75C14"/>
    <w:rsid w:val="00B761AB"/>
    <w:rsid w:val="00B763F8"/>
    <w:rsid w:val="00B76ADC"/>
    <w:rsid w:val="00B76BA8"/>
    <w:rsid w:val="00B8005A"/>
    <w:rsid w:val="00B80EA4"/>
    <w:rsid w:val="00B81562"/>
    <w:rsid w:val="00B835B6"/>
    <w:rsid w:val="00B83FDF"/>
    <w:rsid w:val="00B842E6"/>
    <w:rsid w:val="00B8575B"/>
    <w:rsid w:val="00B85906"/>
    <w:rsid w:val="00B85F8A"/>
    <w:rsid w:val="00B86551"/>
    <w:rsid w:val="00B871BE"/>
    <w:rsid w:val="00B902DC"/>
    <w:rsid w:val="00B90348"/>
    <w:rsid w:val="00B90B3F"/>
    <w:rsid w:val="00B91273"/>
    <w:rsid w:val="00B91609"/>
    <w:rsid w:val="00B91E3A"/>
    <w:rsid w:val="00B92A52"/>
    <w:rsid w:val="00B92BCA"/>
    <w:rsid w:val="00B92FB9"/>
    <w:rsid w:val="00B9347E"/>
    <w:rsid w:val="00B939FA"/>
    <w:rsid w:val="00B93A6C"/>
    <w:rsid w:val="00B946BC"/>
    <w:rsid w:val="00B951B7"/>
    <w:rsid w:val="00B95230"/>
    <w:rsid w:val="00B95B76"/>
    <w:rsid w:val="00B9614D"/>
    <w:rsid w:val="00B9660F"/>
    <w:rsid w:val="00B9760F"/>
    <w:rsid w:val="00B97B25"/>
    <w:rsid w:val="00BA0F03"/>
    <w:rsid w:val="00BA1541"/>
    <w:rsid w:val="00BA1CC4"/>
    <w:rsid w:val="00BA22C5"/>
    <w:rsid w:val="00BA3A73"/>
    <w:rsid w:val="00BA43AF"/>
    <w:rsid w:val="00BA45E9"/>
    <w:rsid w:val="00BA4C7F"/>
    <w:rsid w:val="00BA55E6"/>
    <w:rsid w:val="00BA6AE0"/>
    <w:rsid w:val="00BA7127"/>
    <w:rsid w:val="00BA799C"/>
    <w:rsid w:val="00BA7BBC"/>
    <w:rsid w:val="00BA7D30"/>
    <w:rsid w:val="00BB02CE"/>
    <w:rsid w:val="00BB05DF"/>
    <w:rsid w:val="00BB097B"/>
    <w:rsid w:val="00BB0A21"/>
    <w:rsid w:val="00BB0DFE"/>
    <w:rsid w:val="00BB0EB2"/>
    <w:rsid w:val="00BB1073"/>
    <w:rsid w:val="00BB3284"/>
    <w:rsid w:val="00BB389B"/>
    <w:rsid w:val="00BB397B"/>
    <w:rsid w:val="00BB3C4A"/>
    <w:rsid w:val="00BB3FD0"/>
    <w:rsid w:val="00BB4136"/>
    <w:rsid w:val="00BB42A0"/>
    <w:rsid w:val="00BB5E56"/>
    <w:rsid w:val="00BB61A4"/>
    <w:rsid w:val="00BB68D1"/>
    <w:rsid w:val="00BB6C9A"/>
    <w:rsid w:val="00BC130A"/>
    <w:rsid w:val="00BC1410"/>
    <w:rsid w:val="00BC1B65"/>
    <w:rsid w:val="00BC1E5D"/>
    <w:rsid w:val="00BC21ED"/>
    <w:rsid w:val="00BC2686"/>
    <w:rsid w:val="00BC32E4"/>
    <w:rsid w:val="00BC3970"/>
    <w:rsid w:val="00BC438A"/>
    <w:rsid w:val="00BC5766"/>
    <w:rsid w:val="00BC58E7"/>
    <w:rsid w:val="00BC7E2F"/>
    <w:rsid w:val="00BD00B9"/>
    <w:rsid w:val="00BD01C0"/>
    <w:rsid w:val="00BD0615"/>
    <w:rsid w:val="00BD0711"/>
    <w:rsid w:val="00BD1381"/>
    <w:rsid w:val="00BD15C9"/>
    <w:rsid w:val="00BD1700"/>
    <w:rsid w:val="00BD19AC"/>
    <w:rsid w:val="00BD1D56"/>
    <w:rsid w:val="00BD200F"/>
    <w:rsid w:val="00BD2C20"/>
    <w:rsid w:val="00BD2ED8"/>
    <w:rsid w:val="00BD2F2E"/>
    <w:rsid w:val="00BD3CF4"/>
    <w:rsid w:val="00BD40BA"/>
    <w:rsid w:val="00BD4198"/>
    <w:rsid w:val="00BD5518"/>
    <w:rsid w:val="00BD69FD"/>
    <w:rsid w:val="00BE08E9"/>
    <w:rsid w:val="00BE0919"/>
    <w:rsid w:val="00BE099A"/>
    <w:rsid w:val="00BE0CB3"/>
    <w:rsid w:val="00BE0E20"/>
    <w:rsid w:val="00BE1801"/>
    <w:rsid w:val="00BE19B0"/>
    <w:rsid w:val="00BE2637"/>
    <w:rsid w:val="00BE38D2"/>
    <w:rsid w:val="00BE391D"/>
    <w:rsid w:val="00BE3B0A"/>
    <w:rsid w:val="00BE3DE5"/>
    <w:rsid w:val="00BE3EB5"/>
    <w:rsid w:val="00BE4E6A"/>
    <w:rsid w:val="00BE5410"/>
    <w:rsid w:val="00BE5607"/>
    <w:rsid w:val="00BE58A8"/>
    <w:rsid w:val="00BE59F5"/>
    <w:rsid w:val="00BE606B"/>
    <w:rsid w:val="00BE792A"/>
    <w:rsid w:val="00BF0F31"/>
    <w:rsid w:val="00BF152E"/>
    <w:rsid w:val="00BF1918"/>
    <w:rsid w:val="00BF1BE4"/>
    <w:rsid w:val="00BF22EB"/>
    <w:rsid w:val="00BF3272"/>
    <w:rsid w:val="00BF33D4"/>
    <w:rsid w:val="00BF3488"/>
    <w:rsid w:val="00BF4178"/>
    <w:rsid w:val="00BF48B2"/>
    <w:rsid w:val="00BF4B90"/>
    <w:rsid w:val="00BF6F50"/>
    <w:rsid w:val="00BF70D8"/>
    <w:rsid w:val="00BF772B"/>
    <w:rsid w:val="00BF7823"/>
    <w:rsid w:val="00BF7D89"/>
    <w:rsid w:val="00C0063E"/>
    <w:rsid w:val="00C00A01"/>
    <w:rsid w:val="00C010F9"/>
    <w:rsid w:val="00C01FB1"/>
    <w:rsid w:val="00C03534"/>
    <w:rsid w:val="00C03D1A"/>
    <w:rsid w:val="00C0425D"/>
    <w:rsid w:val="00C04F7B"/>
    <w:rsid w:val="00C054CF"/>
    <w:rsid w:val="00C05CD0"/>
    <w:rsid w:val="00C06330"/>
    <w:rsid w:val="00C065D0"/>
    <w:rsid w:val="00C06FE7"/>
    <w:rsid w:val="00C100B6"/>
    <w:rsid w:val="00C10B55"/>
    <w:rsid w:val="00C12F29"/>
    <w:rsid w:val="00C133DB"/>
    <w:rsid w:val="00C13B1F"/>
    <w:rsid w:val="00C1411E"/>
    <w:rsid w:val="00C154E4"/>
    <w:rsid w:val="00C1589A"/>
    <w:rsid w:val="00C167B8"/>
    <w:rsid w:val="00C17055"/>
    <w:rsid w:val="00C17471"/>
    <w:rsid w:val="00C1776D"/>
    <w:rsid w:val="00C17923"/>
    <w:rsid w:val="00C20290"/>
    <w:rsid w:val="00C20465"/>
    <w:rsid w:val="00C20A5E"/>
    <w:rsid w:val="00C20DB7"/>
    <w:rsid w:val="00C2174E"/>
    <w:rsid w:val="00C2206E"/>
    <w:rsid w:val="00C2219E"/>
    <w:rsid w:val="00C223A6"/>
    <w:rsid w:val="00C22C64"/>
    <w:rsid w:val="00C23046"/>
    <w:rsid w:val="00C24544"/>
    <w:rsid w:val="00C24F0D"/>
    <w:rsid w:val="00C25C13"/>
    <w:rsid w:val="00C25CB4"/>
    <w:rsid w:val="00C261B8"/>
    <w:rsid w:val="00C26835"/>
    <w:rsid w:val="00C26CDC"/>
    <w:rsid w:val="00C27375"/>
    <w:rsid w:val="00C273B5"/>
    <w:rsid w:val="00C274CE"/>
    <w:rsid w:val="00C27F6E"/>
    <w:rsid w:val="00C30143"/>
    <w:rsid w:val="00C31724"/>
    <w:rsid w:val="00C3234F"/>
    <w:rsid w:val="00C32881"/>
    <w:rsid w:val="00C3351D"/>
    <w:rsid w:val="00C3442B"/>
    <w:rsid w:val="00C35092"/>
    <w:rsid w:val="00C35161"/>
    <w:rsid w:val="00C35273"/>
    <w:rsid w:val="00C3781A"/>
    <w:rsid w:val="00C3793B"/>
    <w:rsid w:val="00C402D9"/>
    <w:rsid w:val="00C40F7B"/>
    <w:rsid w:val="00C41012"/>
    <w:rsid w:val="00C412EC"/>
    <w:rsid w:val="00C41A30"/>
    <w:rsid w:val="00C41D67"/>
    <w:rsid w:val="00C4254B"/>
    <w:rsid w:val="00C42AD9"/>
    <w:rsid w:val="00C42E64"/>
    <w:rsid w:val="00C42FAD"/>
    <w:rsid w:val="00C4365A"/>
    <w:rsid w:val="00C43ADB"/>
    <w:rsid w:val="00C4423E"/>
    <w:rsid w:val="00C442BB"/>
    <w:rsid w:val="00C449A8"/>
    <w:rsid w:val="00C44ACC"/>
    <w:rsid w:val="00C44D90"/>
    <w:rsid w:val="00C45CE3"/>
    <w:rsid w:val="00C45D8A"/>
    <w:rsid w:val="00C460AB"/>
    <w:rsid w:val="00C47032"/>
    <w:rsid w:val="00C47228"/>
    <w:rsid w:val="00C47F61"/>
    <w:rsid w:val="00C53F6D"/>
    <w:rsid w:val="00C5463D"/>
    <w:rsid w:val="00C548A8"/>
    <w:rsid w:val="00C54D69"/>
    <w:rsid w:val="00C54E3A"/>
    <w:rsid w:val="00C556D4"/>
    <w:rsid w:val="00C6088A"/>
    <w:rsid w:val="00C60C4D"/>
    <w:rsid w:val="00C60F34"/>
    <w:rsid w:val="00C6175A"/>
    <w:rsid w:val="00C625CC"/>
    <w:rsid w:val="00C62F0C"/>
    <w:rsid w:val="00C63340"/>
    <w:rsid w:val="00C63746"/>
    <w:rsid w:val="00C638E1"/>
    <w:rsid w:val="00C63BCB"/>
    <w:rsid w:val="00C64935"/>
    <w:rsid w:val="00C6570B"/>
    <w:rsid w:val="00C65780"/>
    <w:rsid w:val="00C66651"/>
    <w:rsid w:val="00C66AB4"/>
    <w:rsid w:val="00C66E96"/>
    <w:rsid w:val="00C7061D"/>
    <w:rsid w:val="00C709AA"/>
    <w:rsid w:val="00C7139E"/>
    <w:rsid w:val="00C71BA8"/>
    <w:rsid w:val="00C72BB1"/>
    <w:rsid w:val="00C72CFB"/>
    <w:rsid w:val="00C74596"/>
    <w:rsid w:val="00C74888"/>
    <w:rsid w:val="00C753AD"/>
    <w:rsid w:val="00C75839"/>
    <w:rsid w:val="00C76529"/>
    <w:rsid w:val="00C77560"/>
    <w:rsid w:val="00C77C03"/>
    <w:rsid w:val="00C77ED8"/>
    <w:rsid w:val="00C8005E"/>
    <w:rsid w:val="00C8022D"/>
    <w:rsid w:val="00C8025E"/>
    <w:rsid w:val="00C82036"/>
    <w:rsid w:val="00C82BCF"/>
    <w:rsid w:val="00C83953"/>
    <w:rsid w:val="00C83B5D"/>
    <w:rsid w:val="00C8413F"/>
    <w:rsid w:val="00C842FA"/>
    <w:rsid w:val="00C84F5A"/>
    <w:rsid w:val="00C84F66"/>
    <w:rsid w:val="00C85354"/>
    <w:rsid w:val="00C861C7"/>
    <w:rsid w:val="00C86ED6"/>
    <w:rsid w:val="00C878A2"/>
    <w:rsid w:val="00C90027"/>
    <w:rsid w:val="00C9034A"/>
    <w:rsid w:val="00C906A9"/>
    <w:rsid w:val="00C90A1E"/>
    <w:rsid w:val="00C90A26"/>
    <w:rsid w:val="00C90C3F"/>
    <w:rsid w:val="00C9119E"/>
    <w:rsid w:val="00C915CA"/>
    <w:rsid w:val="00C9165F"/>
    <w:rsid w:val="00C917FB"/>
    <w:rsid w:val="00C918E3"/>
    <w:rsid w:val="00C9190E"/>
    <w:rsid w:val="00C921CE"/>
    <w:rsid w:val="00C92A65"/>
    <w:rsid w:val="00C92D3E"/>
    <w:rsid w:val="00C9351F"/>
    <w:rsid w:val="00C93FDB"/>
    <w:rsid w:val="00C96175"/>
    <w:rsid w:val="00C9766D"/>
    <w:rsid w:val="00C97DD2"/>
    <w:rsid w:val="00CA004C"/>
    <w:rsid w:val="00CA072F"/>
    <w:rsid w:val="00CA098B"/>
    <w:rsid w:val="00CA0D23"/>
    <w:rsid w:val="00CA1028"/>
    <w:rsid w:val="00CA113F"/>
    <w:rsid w:val="00CA1A39"/>
    <w:rsid w:val="00CA201D"/>
    <w:rsid w:val="00CA3A5C"/>
    <w:rsid w:val="00CA42C8"/>
    <w:rsid w:val="00CA53C6"/>
    <w:rsid w:val="00CA5816"/>
    <w:rsid w:val="00CA5872"/>
    <w:rsid w:val="00CA5F9F"/>
    <w:rsid w:val="00CA6A46"/>
    <w:rsid w:val="00CA6D72"/>
    <w:rsid w:val="00CA79D3"/>
    <w:rsid w:val="00CB03D4"/>
    <w:rsid w:val="00CB06AA"/>
    <w:rsid w:val="00CB148C"/>
    <w:rsid w:val="00CB29E2"/>
    <w:rsid w:val="00CB2E8C"/>
    <w:rsid w:val="00CB3537"/>
    <w:rsid w:val="00CB37AD"/>
    <w:rsid w:val="00CB4095"/>
    <w:rsid w:val="00CB45CB"/>
    <w:rsid w:val="00CB48BE"/>
    <w:rsid w:val="00CB51C9"/>
    <w:rsid w:val="00CB5420"/>
    <w:rsid w:val="00CB5421"/>
    <w:rsid w:val="00CB5D68"/>
    <w:rsid w:val="00CB6435"/>
    <w:rsid w:val="00CB645C"/>
    <w:rsid w:val="00CB65A3"/>
    <w:rsid w:val="00CB67C6"/>
    <w:rsid w:val="00CB6BF5"/>
    <w:rsid w:val="00CC0653"/>
    <w:rsid w:val="00CC13A8"/>
    <w:rsid w:val="00CC1E9B"/>
    <w:rsid w:val="00CC535C"/>
    <w:rsid w:val="00CC5A61"/>
    <w:rsid w:val="00CC5C6F"/>
    <w:rsid w:val="00CC6860"/>
    <w:rsid w:val="00CC6A6E"/>
    <w:rsid w:val="00CC7D05"/>
    <w:rsid w:val="00CD0366"/>
    <w:rsid w:val="00CD0BAC"/>
    <w:rsid w:val="00CD1293"/>
    <w:rsid w:val="00CD1DE3"/>
    <w:rsid w:val="00CD2AEE"/>
    <w:rsid w:val="00CD2BF7"/>
    <w:rsid w:val="00CD3040"/>
    <w:rsid w:val="00CD408C"/>
    <w:rsid w:val="00CD41A3"/>
    <w:rsid w:val="00CD464B"/>
    <w:rsid w:val="00CD5A17"/>
    <w:rsid w:val="00CD5B03"/>
    <w:rsid w:val="00CD61FD"/>
    <w:rsid w:val="00CD6C73"/>
    <w:rsid w:val="00CD731A"/>
    <w:rsid w:val="00CE0E7D"/>
    <w:rsid w:val="00CE11E9"/>
    <w:rsid w:val="00CE1FB9"/>
    <w:rsid w:val="00CE2C95"/>
    <w:rsid w:val="00CE4A41"/>
    <w:rsid w:val="00CE4EB1"/>
    <w:rsid w:val="00CE57C8"/>
    <w:rsid w:val="00CE661F"/>
    <w:rsid w:val="00CE7996"/>
    <w:rsid w:val="00CF0180"/>
    <w:rsid w:val="00CF34AF"/>
    <w:rsid w:val="00CF39EE"/>
    <w:rsid w:val="00CF5047"/>
    <w:rsid w:val="00CF5FC6"/>
    <w:rsid w:val="00CF6A8A"/>
    <w:rsid w:val="00CF7CEE"/>
    <w:rsid w:val="00D00216"/>
    <w:rsid w:val="00D00732"/>
    <w:rsid w:val="00D00AD5"/>
    <w:rsid w:val="00D01AD9"/>
    <w:rsid w:val="00D02157"/>
    <w:rsid w:val="00D021E9"/>
    <w:rsid w:val="00D024DD"/>
    <w:rsid w:val="00D025BF"/>
    <w:rsid w:val="00D046C6"/>
    <w:rsid w:val="00D054BD"/>
    <w:rsid w:val="00D057BD"/>
    <w:rsid w:val="00D05988"/>
    <w:rsid w:val="00D060FD"/>
    <w:rsid w:val="00D06C76"/>
    <w:rsid w:val="00D07E75"/>
    <w:rsid w:val="00D07F07"/>
    <w:rsid w:val="00D07F43"/>
    <w:rsid w:val="00D11248"/>
    <w:rsid w:val="00D115AB"/>
    <w:rsid w:val="00D1180F"/>
    <w:rsid w:val="00D118E0"/>
    <w:rsid w:val="00D11C32"/>
    <w:rsid w:val="00D11C36"/>
    <w:rsid w:val="00D12251"/>
    <w:rsid w:val="00D1280E"/>
    <w:rsid w:val="00D12B4F"/>
    <w:rsid w:val="00D131A8"/>
    <w:rsid w:val="00D135D2"/>
    <w:rsid w:val="00D14099"/>
    <w:rsid w:val="00D145B8"/>
    <w:rsid w:val="00D14A7E"/>
    <w:rsid w:val="00D15011"/>
    <w:rsid w:val="00D16D23"/>
    <w:rsid w:val="00D172F4"/>
    <w:rsid w:val="00D204C6"/>
    <w:rsid w:val="00D207BB"/>
    <w:rsid w:val="00D20B59"/>
    <w:rsid w:val="00D223E7"/>
    <w:rsid w:val="00D22C34"/>
    <w:rsid w:val="00D2309F"/>
    <w:rsid w:val="00D23B77"/>
    <w:rsid w:val="00D23F14"/>
    <w:rsid w:val="00D23FC9"/>
    <w:rsid w:val="00D24539"/>
    <w:rsid w:val="00D24775"/>
    <w:rsid w:val="00D24BEB"/>
    <w:rsid w:val="00D24EC9"/>
    <w:rsid w:val="00D260AF"/>
    <w:rsid w:val="00D266F1"/>
    <w:rsid w:val="00D273D2"/>
    <w:rsid w:val="00D279B5"/>
    <w:rsid w:val="00D30D69"/>
    <w:rsid w:val="00D30E31"/>
    <w:rsid w:val="00D31A6B"/>
    <w:rsid w:val="00D31F24"/>
    <w:rsid w:val="00D32448"/>
    <w:rsid w:val="00D3256D"/>
    <w:rsid w:val="00D3342B"/>
    <w:rsid w:val="00D33D82"/>
    <w:rsid w:val="00D34A0D"/>
    <w:rsid w:val="00D3631C"/>
    <w:rsid w:val="00D364FF"/>
    <w:rsid w:val="00D36E2A"/>
    <w:rsid w:val="00D372B2"/>
    <w:rsid w:val="00D37D0C"/>
    <w:rsid w:val="00D400ED"/>
    <w:rsid w:val="00D406C2"/>
    <w:rsid w:val="00D40B0C"/>
    <w:rsid w:val="00D413EA"/>
    <w:rsid w:val="00D413F5"/>
    <w:rsid w:val="00D42167"/>
    <w:rsid w:val="00D42A75"/>
    <w:rsid w:val="00D42E8C"/>
    <w:rsid w:val="00D433CE"/>
    <w:rsid w:val="00D444FB"/>
    <w:rsid w:val="00D44E95"/>
    <w:rsid w:val="00D451A8"/>
    <w:rsid w:val="00D4560E"/>
    <w:rsid w:val="00D456F8"/>
    <w:rsid w:val="00D45DD9"/>
    <w:rsid w:val="00D46EF1"/>
    <w:rsid w:val="00D508C2"/>
    <w:rsid w:val="00D50A21"/>
    <w:rsid w:val="00D50EBA"/>
    <w:rsid w:val="00D51C6F"/>
    <w:rsid w:val="00D51E9C"/>
    <w:rsid w:val="00D5214A"/>
    <w:rsid w:val="00D52E75"/>
    <w:rsid w:val="00D532FE"/>
    <w:rsid w:val="00D53CCB"/>
    <w:rsid w:val="00D542BB"/>
    <w:rsid w:val="00D54390"/>
    <w:rsid w:val="00D543C5"/>
    <w:rsid w:val="00D544FC"/>
    <w:rsid w:val="00D54616"/>
    <w:rsid w:val="00D55558"/>
    <w:rsid w:val="00D55783"/>
    <w:rsid w:val="00D5680D"/>
    <w:rsid w:val="00D56C6E"/>
    <w:rsid w:val="00D56D76"/>
    <w:rsid w:val="00D574D4"/>
    <w:rsid w:val="00D57FAE"/>
    <w:rsid w:val="00D601BE"/>
    <w:rsid w:val="00D60928"/>
    <w:rsid w:val="00D60A5C"/>
    <w:rsid w:val="00D61206"/>
    <w:rsid w:val="00D618DD"/>
    <w:rsid w:val="00D6226D"/>
    <w:rsid w:val="00D62796"/>
    <w:rsid w:val="00D62A9E"/>
    <w:rsid w:val="00D62EE5"/>
    <w:rsid w:val="00D636F5"/>
    <w:rsid w:val="00D63A05"/>
    <w:rsid w:val="00D64413"/>
    <w:rsid w:val="00D64587"/>
    <w:rsid w:val="00D64595"/>
    <w:rsid w:val="00D651E9"/>
    <w:rsid w:val="00D65CBE"/>
    <w:rsid w:val="00D660BE"/>
    <w:rsid w:val="00D669B8"/>
    <w:rsid w:val="00D669CA"/>
    <w:rsid w:val="00D66A3D"/>
    <w:rsid w:val="00D66BA6"/>
    <w:rsid w:val="00D66C5B"/>
    <w:rsid w:val="00D70198"/>
    <w:rsid w:val="00D70917"/>
    <w:rsid w:val="00D70DBF"/>
    <w:rsid w:val="00D7154E"/>
    <w:rsid w:val="00D729AB"/>
    <w:rsid w:val="00D72AE8"/>
    <w:rsid w:val="00D72E3D"/>
    <w:rsid w:val="00D73C6C"/>
    <w:rsid w:val="00D73E05"/>
    <w:rsid w:val="00D73F8E"/>
    <w:rsid w:val="00D74085"/>
    <w:rsid w:val="00D74BA0"/>
    <w:rsid w:val="00D75303"/>
    <w:rsid w:val="00D758AC"/>
    <w:rsid w:val="00D760E7"/>
    <w:rsid w:val="00D761C8"/>
    <w:rsid w:val="00D761CB"/>
    <w:rsid w:val="00D76EF8"/>
    <w:rsid w:val="00D77B4C"/>
    <w:rsid w:val="00D77BD6"/>
    <w:rsid w:val="00D80834"/>
    <w:rsid w:val="00D8127C"/>
    <w:rsid w:val="00D816A9"/>
    <w:rsid w:val="00D81915"/>
    <w:rsid w:val="00D82017"/>
    <w:rsid w:val="00D82C0B"/>
    <w:rsid w:val="00D82EBB"/>
    <w:rsid w:val="00D8316A"/>
    <w:rsid w:val="00D84335"/>
    <w:rsid w:val="00D84874"/>
    <w:rsid w:val="00D84ACE"/>
    <w:rsid w:val="00D850D8"/>
    <w:rsid w:val="00D85134"/>
    <w:rsid w:val="00D8556E"/>
    <w:rsid w:val="00D8590C"/>
    <w:rsid w:val="00D86418"/>
    <w:rsid w:val="00D87A38"/>
    <w:rsid w:val="00D87CF9"/>
    <w:rsid w:val="00D87F6E"/>
    <w:rsid w:val="00D90068"/>
    <w:rsid w:val="00D90E3C"/>
    <w:rsid w:val="00D914D2"/>
    <w:rsid w:val="00D91C23"/>
    <w:rsid w:val="00D91D66"/>
    <w:rsid w:val="00D92248"/>
    <w:rsid w:val="00D9224D"/>
    <w:rsid w:val="00D9344C"/>
    <w:rsid w:val="00D93B28"/>
    <w:rsid w:val="00D9415E"/>
    <w:rsid w:val="00D96540"/>
    <w:rsid w:val="00D96762"/>
    <w:rsid w:val="00D96B91"/>
    <w:rsid w:val="00D97369"/>
    <w:rsid w:val="00D9751E"/>
    <w:rsid w:val="00D97636"/>
    <w:rsid w:val="00D9782F"/>
    <w:rsid w:val="00DA020F"/>
    <w:rsid w:val="00DA0569"/>
    <w:rsid w:val="00DA1A0F"/>
    <w:rsid w:val="00DA2199"/>
    <w:rsid w:val="00DA2734"/>
    <w:rsid w:val="00DA2AA7"/>
    <w:rsid w:val="00DA2C0D"/>
    <w:rsid w:val="00DA2C1C"/>
    <w:rsid w:val="00DA2C56"/>
    <w:rsid w:val="00DA433F"/>
    <w:rsid w:val="00DA4B0C"/>
    <w:rsid w:val="00DA5041"/>
    <w:rsid w:val="00DA5698"/>
    <w:rsid w:val="00DA5D98"/>
    <w:rsid w:val="00DA609C"/>
    <w:rsid w:val="00DA734A"/>
    <w:rsid w:val="00DA79AF"/>
    <w:rsid w:val="00DB026F"/>
    <w:rsid w:val="00DB04F8"/>
    <w:rsid w:val="00DB0E2B"/>
    <w:rsid w:val="00DB1052"/>
    <w:rsid w:val="00DB1C65"/>
    <w:rsid w:val="00DB20F0"/>
    <w:rsid w:val="00DB21C0"/>
    <w:rsid w:val="00DB2276"/>
    <w:rsid w:val="00DB2B0A"/>
    <w:rsid w:val="00DB31AC"/>
    <w:rsid w:val="00DB3303"/>
    <w:rsid w:val="00DB3CD0"/>
    <w:rsid w:val="00DB4681"/>
    <w:rsid w:val="00DB4D87"/>
    <w:rsid w:val="00DB5271"/>
    <w:rsid w:val="00DB54BC"/>
    <w:rsid w:val="00DB55B3"/>
    <w:rsid w:val="00DB6621"/>
    <w:rsid w:val="00DB67D3"/>
    <w:rsid w:val="00DB6953"/>
    <w:rsid w:val="00DB7748"/>
    <w:rsid w:val="00DB7A9C"/>
    <w:rsid w:val="00DC1031"/>
    <w:rsid w:val="00DC1058"/>
    <w:rsid w:val="00DC15FC"/>
    <w:rsid w:val="00DC2C1A"/>
    <w:rsid w:val="00DC3158"/>
    <w:rsid w:val="00DC3B23"/>
    <w:rsid w:val="00DC3E02"/>
    <w:rsid w:val="00DC4C4B"/>
    <w:rsid w:val="00DC5034"/>
    <w:rsid w:val="00DC531B"/>
    <w:rsid w:val="00DC5CA6"/>
    <w:rsid w:val="00DC5F52"/>
    <w:rsid w:val="00DC6802"/>
    <w:rsid w:val="00DC6943"/>
    <w:rsid w:val="00DC6CA5"/>
    <w:rsid w:val="00DC720A"/>
    <w:rsid w:val="00DC7C80"/>
    <w:rsid w:val="00DD0165"/>
    <w:rsid w:val="00DD0EF6"/>
    <w:rsid w:val="00DD0F38"/>
    <w:rsid w:val="00DD1E13"/>
    <w:rsid w:val="00DD20F3"/>
    <w:rsid w:val="00DD25C7"/>
    <w:rsid w:val="00DD25EF"/>
    <w:rsid w:val="00DD3D63"/>
    <w:rsid w:val="00DD4618"/>
    <w:rsid w:val="00DD47EE"/>
    <w:rsid w:val="00DD4D87"/>
    <w:rsid w:val="00DD4DB6"/>
    <w:rsid w:val="00DD56F6"/>
    <w:rsid w:val="00DD734F"/>
    <w:rsid w:val="00DD75F4"/>
    <w:rsid w:val="00DD7AE2"/>
    <w:rsid w:val="00DE0755"/>
    <w:rsid w:val="00DE0782"/>
    <w:rsid w:val="00DE0C74"/>
    <w:rsid w:val="00DE117E"/>
    <w:rsid w:val="00DE1599"/>
    <w:rsid w:val="00DE16CB"/>
    <w:rsid w:val="00DE1BF2"/>
    <w:rsid w:val="00DE2959"/>
    <w:rsid w:val="00DE2DD4"/>
    <w:rsid w:val="00DE3216"/>
    <w:rsid w:val="00DE3927"/>
    <w:rsid w:val="00DE3A61"/>
    <w:rsid w:val="00DE4D58"/>
    <w:rsid w:val="00DE4D5F"/>
    <w:rsid w:val="00DE5810"/>
    <w:rsid w:val="00DE6295"/>
    <w:rsid w:val="00DE661F"/>
    <w:rsid w:val="00DE6A2B"/>
    <w:rsid w:val="00DE70DE"/>
    <w:rsid w:val="00DF13C7"/>
    <w:rsid w:val="00DF16E5"/>
    <w:rsid w:val="00DF1EDC"/>
    <w:rsid w:val="00DF1F50"/>
    <w:rsid w:val="00DF2741"/>
    <w:rsid w:val="00DF28DF"/>
    <w:rsid w:val="00DF33CD"/>
    <w:rsid w:val="00DF36C2"/>
    <w:rsid w:val="00DF3CBC"/>
    <w:rsid w:val="00DF3CE9"/>
    <w:rsid w:val="00DF3D94"/>
    <w:rsid w:val="00DF49B1"/>
    <w:rsid w:val="00DF5352"/>
    <w:rsid w:val="00DF636B"/>
    <w:rsid w:val="00DF6B4E"/>
    <w:rsid w:val="00DF73D1"/>
    <w:rsid w:val="00E002D5"/>
    <w:rsid w:val="00E00AA5"/>
    <w:rsid w:val="00E00B31"/>
    <w:rsid w:val="00E00F46"/>
    <w:rsid w:val="00E011FB"/>
    <w:rsid w:val="00E01552"/>
    <w:rsid w:val="00E02BA7"/>
    <w:rsid w:val="00E02D85"/>
    <w:rsid w:val="00E02E4B"/>
    <w:rsid w:val="00E03619"/>
    <w:rsid w:val="00E04383"/>
    <w:rsid w:val="00E04392"/>
    <w:rsid w:val="00E05845"/>
    <w:rsid w:val="00E061E1"/>
    <w:rsid w:val="00E06770"/>
    <w:rsid w:val="00E067D6"/>
    <w:rsid w:val="00E06A3F"/>
    <w:rsid w:val="00E06B8A"/>
    <w:rsid w:val="00E07024"/>
    <w:rsid w:val="00E07139"/>
    <w:rsid w:val="00E07296"/>
    <w:rsid w:val="00E07865"/>
    <w:rsid w:val="00E07BB1"/>
    <w:rsid w:val="00E07CF3"/>
    <w:rsid w:val="00E107EA"/>
    <w:rsid w:val="00E1171E"/>
    <w:rsid w:val="00E11951"/>
    <w:rsid w:val="00E12BA9"/>
    <w:rsid w:val="00E135EA"/>
    <w:rsid w:val="00E13765"/>
    <w:rsid w:val="00E13EAD"/>
    <w:rsid w:val="00E151C1"/>
    <w:rsid w:val="00E1520C"/>
    <w:rsid w:val="00E15C4B"/>
    <w:rsid w:val="00E15E49"/>
    <w:rsid w:val="00E15E66"/>
    <w:rsid w:val="00E161B1"/>
    <w:rsid w:val="00E16478"/>
    <w:rsid w:val="00E16AA9"/>
    <w:rsid w:val="00E16FB8"/>
    <w:rsid w:val="00E20510"/>
    <w:rsid w:val="00E20713"/>
    <w:rsid w:val="00E21359"/>
    <w:rsid w:val="00E21732"/>
    <w:rsid w:val="00E21A23"/>
    <w:rsid w:val="00E21D21"/>
    <w:rsid w:val="00E21DEA"/>
    <w:rsid w:val="00E224D0"/>
    <w:rsid w:val="00E22691"/>
    <w:rsid w:val="00E22814"/>
    <w:rsid w:val="00E23234"/>
    <w:rsid w:val="00E2349B"/>
    <w:rsid w:val="00E2432A"/>
    <w:rsid w:val="00E24342"/>
    <w:rsid w:val="00E2463A"/>
    <w:rsid w:val="00E24DF7"/>
    <w:rsid w:val="00E254D6"/>
    <w:rsid w:val="00E2601C"/>
    <w:rsid w:val="00E26840"/>
    <w:rsid w:val="00E26894"/>
    <w:rsid w:val="00E26E90"/>
    <w:rsid w:val="00E26F29"/>
    <w:rsid w:val="00E272D8"/>
    <w:rsid w:val="00E276E8"/>
    <w:rsid w:val="00E277C2"/>
    <w:rsid w:val="00E27F67"/>
    <w:rsid w:val="00E306F1"/>
    <w:rsid w:val="00E30A9E"/>
    <w:rsid w:val="00E30AA4"/>
    <w:rsid w:val="00E3132B"/>
    <w:rsid w:val="00E31693"/>
    <w:rsid w:val="00E3272F"/>
    <w:rsid w:val="00E329DD"/>
    <w:rsid w:val="00E32BF4"/>
    <w:rsid w:val="00E33013"/>
    <w:rsid w:val="00E3304C"/>
    <w:rsid w:val="00E33ADD"/>
    <w:rsid w:val="00E349DE"/>
    <w:rsid w:val="00E356E1"/>
    <w:rsid w:val="00E359CA"/>
    <w:rsid w:val="00E35A36"/>
    <w:rsid w:val="00E36022"/>
    <w:rsid w:val="00E362FE"/>
    <w:rsid w:val="00E36745"/>
    <w:rsid w:val="00E401BE"/>
    <w:rsid w:val="00E40876"/>
    <w:rsid w:val="00E40984"/>
    <w:rsid w:val="00E40C75"/>
    <w:rsid w:val="00E412D0"/>
    <w:rsid w:val="00E416EC"/>
    <w:rsid w:val="00E425ED"/>
    <w:rsid w:val="00E42F5E"/>
    <w:rsid w:val="00E45AFE"/>
    <w:rsid w:val="00E45B0C"/>
    <w:rsid w:val="00E45D21"/>
    <w:rsid w:val="00E46184"/>
    <w:rsid w:val="00E4618F"/>
    <w:rsid w:val="00E47E8A"/>
    <w:rsid w:val="00E47FE1"/>
    <w:rsid w:val="00E50179"/>
    <w:rsid w:val="00E50CAB"/>
    <w:rsid w:val="00E511E3"/>
    <w:rsid w:val="00E51A29"/>
    <w:rsid w:val="00E5387E"/>
    <w:rsid w:val="00E53E09"/>
    <w:rsid w:val="00E542B0"/>
    <w:rsid w:val="00E54DFD"/>
    <w:rsid w:val="00E573D1"/>
    <w:rsid w:val="00E60384"/>
    <w:rsid w:val="00E621E5"/>
    <w:rsid w:val="00E624A0"/>
    <w:rsid w:val="00E629A3"/>
    <w:rsid w:val="00E631F4"/>
    <w:rsid w:val="00E63CA1"/>
    <w:rsid w:val="00E63F2A"/>
    <w:rsid w:val="00E6443E"/>
    <w:rsid w:val="00E64612"/>
    <w:rsid w:val="00E64B21"/>
    <w:rsid w:val="00E65C3C"/>
    <w:rsid w:val="00E66021"/>
    <w:rsid w:val="00E661AB"/>
    <w:rsid w:val="00E662F3"/>
    <w:rsid w:val="00E663EA"/>
    <w:rsid w:val="00E664BD"/>
    <w:rsid w:val="00E664D9"/>
    <w:rsid w:val="00E674DB"/>
    <w:rsid w:val="00E676FE"/>
    <w:rsid w:val="00E67A85"/>
    <w:rsid w:val="00E70B69"/>
    <w:rsid w:val="00E70C2D"/>
    <w:rsid w:val="00E70E64"/>
    <w:rsid w:val="00E71394"/>
    <w:rsid w:val="00E7169D"/>
    <w:rsid w:val="00E719AC"/>
    <w:rsid w:val="00E72862"/>
    <w:rsid w:val="00E729B5"/>
    <w:rsid w:val="00E72AB6"/>
    <w:rsid w:val="00E72D41"/>
    <w:rsid w:val="00E73593"/>
    <w:rsid w:val="00E735EC"/>
    <w:rsid w:val="00E73EB5"/>
    <w:rsid w:val="00E749EC"/>
    <w:rsid w:val="00E74F6C"/>
    <w:rsid w:val="00E75010"/>
    <w:rsid w:val="00E7517F"/>
    <w:rsid w:val="00E760F8"/>
    <w:rsid w:val="00E76967"/>
    <w:rsid w:val="00E76D32"/>
    <w:rsid w:val="00E77189"/>
    <w:rsid w:val="00E7730F"/>
    <w:rsid w:val="00E7786B"/>
    <w:rsid w:val="00E77B11"/>
    <w:rsid w:val="00E77CD8"/>
    <w:rsid w:val="00E77D72"/>
    <w:rsid w:val="00E77FFB"/>
    <w:rsid w:val="00E80322"/>
    <w:rsid w:val="00E80C2B"/>
    <w:rsid w:val="00E80C39"/>
    <w:rsid w:val="00E815D3"/>
    <w:rsid w:val="00E8189F"/>
    <w:rsid w:val="00E81B65"/>
    <w:rsid w:val="00E81FD0"/>
    <w:rsid w:val="00E8204B"/>
    <w:rsid w:val="00E8270A"/>
    <w:rsid w:val="00E83452"/>
    <w:rsid w:val="00E8393B"/>
    <w:rsid w:val="00E839AB"/>
    <w:rsid w:val="00E83DCB"/>
    <w:rsid w:val="00E84043"/>
    <w:rsid w:val="00E842C1"/>
    <w:rsid w:val="00E843BA"/>
    <w:rsid w:val="00E848EC"/>
    <w:rsid w:val="00E84CB3"/>
    <w:rsid w:val="00E8508E"/>
    <w:rsid w:val="00E853BC"/>
    <w:rsid w:val="00E87049"/>
    <w:rsid w:val="00E87571"/>
    <w:rsid w:val="00E87BFB"/>
    <w:rsid w:val="00E87E38"/>
    <w:rsid w:val="00E87EDF"/>
    <w:rsid w:val="00E900A1"/>
    <w:rsid w:val="00E9019A"/>
    <w:rsid w:val="00E90C02"/>
    <w:rsid w:val="00E90D4D"/>
    <w:rsid w:val="00E9156C"/>
    <w:rsid w:val="00E919F3"/>
    <w:rsid w:val="00E91AD4"/>
    <w:rsid w:val="00E92572"/>
    <w:rsid w:val="00E92BA4"/>
    <w:rsid w:val="00E93F1E"/>
    <w:rsid w:val="00E94871"/>
    <w:rsid w:val="00E949BC"/>
    <w:rsid w:val="00E95047"/>
    <w:rsid w:val="00E96714"/>
    <w:rsid w:val="00E9714D"/>
    <w:rsid w:val="00E975FA"/>
    <w:rsid w:val="00E976C7"/>
    <w:rsid w:val="00E97BD3"/>
    <w:rsid w:val="00E97E14"/>
    <w:rsid w:val="00EA053B"/>
    <w:rsid w:val="00EA09C1"/>
    <w:rsid w:val="00EA0AE5"/>
    <w:rsid w:val="00EA0DC2"/>
    <w:rsid w:val="00EA11CA"/>
    <w:rsid w:val="00EA16C3"/>
    <w:rsid w:val="00EA1F76"/>
    <w:rsid w:val="00EA3EB1"/>
    <w:rsid w:val="00EA3EC3"/>
    <w:rsid w:val="00EA526F"/>
    <w:rsid w:val="00EA5442"/>
    <w:rsid w:val="00EA55EA"/>
    <w:rsid w:val="00EA69BF"/>
    <w:rsid w:val="00EA7DA5"/>
    <w:rsid w:val="00EB150A"/>
    <w:rsid w:val="00EB2452"/>
    <w:rsid w:val="00EB24F5"/>
    <w:rsid w:val="00EB3828"/>
    <w:rsid w:val="00EB4153"/>
    <w:rsid w:val="00EB4325"/>
    <w:rsid w:val="00EB48D6"/>
    <w:rsid w:val="00EB5D68"/>
    <w:rsid w:val="00EB617E"/>
    <w:rsid w:val="00EB6D83"/>
    <w:rsid w:val="00EB75B8"/>
    <w:rsid w:val="00EC10BB"/>
    <w:rsid w:val="00EC1163"/>
    <w:rsid w:val="00EC142C"/>
    <w:rsid w:val="00EC1643"/>
    <w:rsid w:val="00EC23B3"/>
    <w:rsid w:val="00EC2426"/>
    <w:rsid w:val="00EC338A"/>
    <w:rsid w:val="00EC3DA0"/>
    <w:rsid w:val="00EC4BA2"/>
    <w:rsid w:val="00EC54D1"/>
    <w:rsid w:val="00EC56DC"/>
    <w:rsid w:val="00EC7B4D"/>
    <w:rsid w:val="00EC7CFD"/>
    <w:rsid w:val="00EC7F39"/>
    <w:rsid w:val="00ED0137"/>
    <w:rsid w:val="00ED0449"/>
    <w:rsid w:val="00ED0845"/>
    <w:rsid w:val="00ED0E32"/>
    <w:rsid w:val="00ED111B"/>
    <w:rsid w:val="00ED1DFD"/>
    <w:rsid w:val="00ED209B"/>
    <w:rsid w:val="00ED3637"/>
    <w:rsid w:val="00ED3658"/>
    <w:rsid w:val="00ED3AC7"/>
    <w:rsid w:val="00ED4783"/>
    <w:rsid w:val="00ED5799"/>
    <w:rsid w:val="00ED6F07"/>
    <w:rsid w:val="00ED74DF"/>
    <w:rsid w:val="00ED7B16"/>
    <w:rsid w:val="00EE03F5"/>
    <w:rsid w:val="00EE0AF1"/>
    <w:rsid w:val="00EE0D8D"/>
    <w:rsid w:val="00EE15F7"/>
    <w:rsid w:val="00EE1C79"/>
    <w:rsid w:val="00EE21F8"/>
    <w:rsid w:val="00EE24F0"/>
    <w:rsid w:val="00EE26BB"/>
    <w:rsid w:val="00EE30CA"/>
    <w:rsid w:val="00EE33F9"/>
    <w:rsid w:val="00EE34B9"/>
    <w:rsid w:val="00EE3D3C"/>
    <w:rsid w:val="00EE4A20"/>
    <w:rsid w:val="00EE4D39"/>
    <w:rsid w:val="00EE5302"/>
    <w:rsid w:val="00EE5B4A"/>
    <w:rsid w:val="00EE5B96"/>
    <w:rsid w:val="00EE6276"/>
    <w:rsid w:val="00EE643A"/>
    <w:rsid w:val="00EE6532"/>
    <w:rsid w:val="00EE676F"/>
    <w:rsid w:val="00EE6AEF"/>
    <w:rsid w:val="00EF015E"/>
    <w:rsid w:val="00EF0478"/>
    <w:rsid w:val="00EF0920"/>
    <w:rsid w:val="00EF15BD"/>
    <w:rsid w:val="00EF16AD"/>
    <w:rsid w:val="00EF16D4"/>
    <w:rsid w:val="00EF1B06"/>
    <w:rsid w:val="00EF22C6"/>
    <w:rsid w:val="00EF2D9E"/>
    <w:rsid w:val="00EF2DAB"/>
    <w:rsid w:val="00EF3567"/>
    <w:rsid w:val="00EF42F1"/>
    <w:rsid w:val="00EF4C44"/>
    <w:rsid w:val="00EF5888"/>
    <w:rsid w:val="00EF5B23"/>
    <w:rsid w:val="00EF5D76"/>
    <w:rsid w:val="00EF6074"/>
    <w:rsid w:val="00EF6E41"/>
    <w:rsid w:val="00EF773F"/>
    <w:rsid w:val="00F013FD"/>
    <w:rsid w:val="00F014F6"/>
    <w:rsid w:val="00F02108"/>
    <w:rsid w:val="00F03F4C"/>
    <w:rsid w:val="00F04190"/>
    <w:rsid w:val="00F04966"/>
    <w:rsid w:val="00F04EFA"/>
    <w:rsid w:val="00F05445"/>
    <w:rsid w:val="00F0648A"/>
    <w:rsid w:val="00F06FFC"/>
    <w:rsid w:val="00F0703E"/>
    <w:rsid w:val="00F079F1"/>
    <w:rsid w:val="00F07D4D"/>
    <w:rsid w:val="00F10A2D"/>
    <w:rsid w:val="00F10C2D"/>
    <w:rsid w:val="00F128A1"/>
    <w:rsid w:val="00F128A2"/>
    <w:rsid w:val="00F12955"/>
    <w:rsid w:val="00F12D1E"/>
    <w:rsid w:val="00F12E27"/>
    <w:rsid w:val="00F12F3E"/>
    <w:rsid w:val="00F137FA"/>
    <w:rsid w:val="00F138B4"/>
    <w:rsid w:val="00F13B93"/>
    <w:rsid w:val="00F13F39"/>
    <w:rsid w:val="00F14A28"/>
    <w:rsid w:val="00F16352"/>
    <w:rsid w:val="00F1669B"/>
    <w:rsid w:val="00F17047"/>
    <w:rsid w:val="00F217D1"/>
    <w:rsid w:val="00F21E73"/>
    <w:rsid w:val="00F21E82"/>
    <w:rsid w:val="00F22D3A"/>
    <w:rsid w:val="00F2332B"/>
    <w:rsid w:val="00F237A8"/>
    <w:rsid w:val="00F248FA"/>
    <w:rsid w:val="00F24FD4"/>
    <w:rsid w:val="00F25488"/>
    <w:rsid w:val="00F2782E"/>
    <w:rsid w:val="00F27DC6"/>
    <w:rsid w:val="00F309D6"/>
    <w:rsid w:val="00F31352"/>
    <w:rsid w:val="00F322A8"/>
    <w:rsid w:val="00F32D6E"/>
    <w:rsid w:val="00F3408E"/>
    <w:rsid w:val="00F363A5"/>
    <w:rsid w:val="00F3714D"/>
    <w:rsid w:val="00F37A65"/>
    <w:rsid w:val="00F37E67"/>
    <w:rsid w:val="00F402C8"/>
    <w:rsid w:val="00F40CEE"/>
    <w:rsid w:val="00F4110E"/>
    <w:rsid w:val="00F4141A"/>
    <w:rsid w:val="00F4167E"/>
    <w:rsid w:val="00F416F0"/>
    <w:rsid w:val="00F41854"/>
    <w:rsid w:val="00F42B19"/>
    <w:rsid w:val="00F42DAB"/>
    <w:rsid w:val="00F42F17"/>
    <w:rsid w:val="00F42FBC"/>
    <w:rsid w:val="00F4358E"/>
    <w:rsid w:val="00F4501A"/>
    <w:rsid w:val="00F4544F"/>
    <w:rsid w:val="00F45DBE"/>
    <w:rsid w:val="00F4649D"/>
    <w:rsid w:val="00F4720A"/>
    <w:rsid w:val="00F474A3"/>
    <w:rsid w:val="00F478A9"/>
    <w:rsid w:val="00F478C6"/>
    <w:rsid w:val="00F47B9F"/>
    <w:rsid w:val="00F50116"/>
    <w:rsid w:val="00F501B3"/>
    <w:rsid w:val="00F50345"/>
    <w:rsid w:val="00F51126"/>
    <w:rsid w:val="00F5289E"/>
    <w:rsid w:val="00F52A20"/>
    <w:rsid w:val="00F5325B"/>
    <w:rsid w:val="00F53A14"/>
    <w:rsid w:val="00F54A68"/>
    <w:rsid w:val="00F550A6"/>
    <w:rsid w:val="00F550C9"/>
    <w:rsid w:val="00F55637"/>
    <w:rsid w:val="00F55CA4"/>
    <w:rsid w:val="00F56EAB"/>
    <w:rsid w:val="00F6079D"/>
    <w:rsid w:val="00F60DFB"/>
    <w:rsid w:val="00F61B3E"/>
    <w:rsid w:val="00F62168"/>
    <w:rsid w:val="00F62304"/>
    <w:rsid w:val="00F6284C"/>
    <w:rsid w:val="00F632D8"/>
    <w:rsid w:val="00F63E46"/>
    <w:rsid w:val="00F63E56"/>
    <w:rsid w:val="00F63F29"/>
    <w:rsid w:val="00F648A2"/>
    <w:rsid w:val="00F64A53"/>
    <w:rsid w:val="00F64A77"/>
    <w:rsid w:val="00F64CF1"/>
    <w:rsid w:val="00F65E62"/>
    <w:rsid w:val="00F65ED6"/>
    <w:rsid w:val="00F66158"/>
    <w:rsid w:val="00F66705"/>
    <w:rsid w:val="00F667E0"/>
    <w:rsid w:val="00F67338"/>
    <w:rsid w:val="00F67617"/>
    <w:rsid w:val="00F67EFB"/>
    <w:rsid w:val="00F70569"/>
    <w:rsid w:val="00F70794"/>
    <w:rsid w:val="00F707A6"/>
    <w:rsid w:val="00F7093E"/>
    <w:rsid w:val="00F7107A"/>
    <w:rsid w:val="00F71163"/>
    <w:rsid w:val="00F71378"/>
    <w:rsid w:val="00F71A8C"/>
    <w:rsid w:val="00F71BBB"/>
    <w:rsid w:val="00F72B67"/>
    <w:rsid w:val="00F73137"/>
    <w:rsid w:val="00F74950"/>
    <w:rsid w:val="00F752C4"/>
    <w:rsid w:val="00F753AE"/>
    <w:rsid w:val="00F757A2"/>
    <w:rsid w:val="00F758AA"/>
    <w:rsid w:val="00F75F58"/>
    <w:rsid w:val="00F760A9"/>
    <w:rsid w:val="00F76A62"/>
    <w:rsid w:val="00F7728B"/>
    <w:rsid w:val="00F77C05"/>
    <w:rsid w:val="00F77F01"/>
    <w:rsid w:val="00F77FFA"/>
    <w:rsid w:val="00F817D1"/>
    <w:rsid w:val="00F81E32"/>
    <w:rsid w:val="00F82DE9"/>
    <w:rsid w:val="00F82F5B"/>
    <w:rsid w:val="00F82F64"/>
    <w:rsid w:val="00F8332B"/>
    <w:rsid w:val="00F83C2C"/>
    <w:rsid w:val="00F83F2D"/>
    <w:rsid w:val="00F843B0"/>
    <w:rsid w:val="00F84BDA"/>
    <w:rsid w:val="00F85467"/>
    <w:rsid w:val="00F85A98"/>
    <w:rsid w:val="00F86DFC"/>
    <w:rsid w:val="00F873C6"/>
    <w:rsid w:val="00F8787F"/>
    <w:rsid w:val="00F90D83"/>
    <w:rsid w:val="00F910E6"/>
    <w:rsid w:val="00F924D5"/>
    <w:rsid w:val="00F92807"/>
    <w:rsid w:val="00F9319B"/>
    <w:rsid w:val="00F94255"/>
    <w:rsid w:val="00F9484F"/>
    <w:rsid w:val="00F9520E"/>
    <w:rsid w:val="00F959FD"/>
    <w:rsid w:val="00F95DBB"/>
    <w:rsid w:val="00F964B2"/>
    <w:rsid w:val="00F96709"/>
    <w:rsid w:val="00F96814"/>
    <w:rsid w:val="00F9716F"/>
    <w:rsid w:val="00FA0B08"/>
    <w:rsid w:val="00FA0BAD"/>
    <w:rsid w:val="00FA23E6"/>
    <w:rsid w:val="00FA261A"/>
    <w:rsid w:val="00FA2DE6"/>
    <w:rsid w:val="00FA327E"/>
    <w:rsid w:val="00FA32C8"/>
    <w:rsid w:val="00FA3AB1"/>
    <w:rsid w:val="00FA3EF3"/>
    <w:rsid w:val="00FA4E92"/>
    <w:rsid w:val="00FA568D"/>
    <w:rsid w:val="00FA690F"/>
    <w:rsid w:val="00FA69D1"/>
    <w:rsid w:val="00FA6A33"/>
    <w:rsid w:val="00FA7FD9"/>
    <w:rsid w:val="00FB077A"/>
    <w:rsid w:val="00FB0948"/>
    <w:rsid w:val="00FB0FF7"/>
    <w:rsid w:val="00FB17DB"/>
    <w:rsid w:val="00FB1E97"/>
    <w:rsid w:val="00FB26D6"/>
    <w:rsid w:val="00FB3F64"/>
    <w:rsid w:val="00FB3F72"/>
    <w:rsid w:val="00FB491B"/>
    <w:rsid w:val="00FB4DDA"/>
    <w:rsid w:val="00FB530C"/>
    <w:rsid w:val="00FB5E2C"/>
    <w:rsid w:val="00FB6DE6"/>
    <w:rsid w:val="00FB75DD"/>
    <w:rsid w:val="00FB7E00"/>
    <w:rsid w:val="00FC0722"/>
    <w:rsid w:val="00FC1926"/>
    <w:rsid w:val="00FC33DD"/>
    <w:rsid w:val="00FC3744"/>
    <w:rsid w:val="00FC3987"/>
    <w:rsid w:val="00FC44F3"/>
    <w:rsid w:val="00FC450A"/>
    <w:rsid w:val="00FC473F"/>
    <w:rsid w:val="00FC4A2A"/>
    <w:rsid w:val="00FC4AA8"/>
    <w:rsid w:val="00FC59ED"/>
    <w:rsid w:val="00FC5B4C"/>
    <w:rsid w:val="00FC5C03"/>
    <w:rsid w:val="00FC60FE"/>
    <w:rsid w:val="00FC6C03"/>
    <w:rsid w:val="00FC73F5"/>
    <w:rsid w:val="00FC79C8"/>
    <w:rsid w:val="00FC7E0B"/>
    <w:rsid w:val="00FD0623"/>
    <w:rsid w:val="00FD2BC9"/>
    <w:rsid w:val="00FD2DAA"/>
    <w:rsid w:val="00FD2F81"/>
    <w:rsid w:val="00FD359D"/>
    <w:rsid w:val="00FD37EE"/>
    <w:rsid w:val="00FD3989"/>
    <w:rsid w:val="00FD555D"/>
    <w:rsid w:val="00FD5A46"/>
    <w:rsid w:val="00FD5B69"/>
    <w:rsid w:val="00FD6CF6"/>
    <w:rsid w:val="00FD747C"/>
    <w:rsid w:val="00FD7657"/>
    <w:rsid w:val="00FD7C6F"/>
    <w:rsid w:val="00FD7D48"/>
    <w:rsid w:val="00FD7D64"/>
    <w:rsid w:val="00FD7E6B"/>
    <w:rsid w:val="00FE053D"/>
    <w:rsid w:val="00FE117C"/>
    <w:rsid w:val="00FE1233"/>
    <w:rsid w:val="00FE2D3F"/>
    <w:rsid w:val="00FE3B1D"/>
    <w:rsid w:val="00FE4D89"/>
    <w:rsid w:val="00FE5217"/>
    <w:rsid w:val="00FE57C9"/>
    <w:rsid w:val="00FE5EF1"/>
    <w:rsid w:val="00FE708B"/>
    <w:rsid w:val="00FF074B"/>
    <w:rsid w:val="00FF1DC3"/>
    <w:rsid w:val="00FF2E26"/>
    <w:rsid w:val="00FF33B3"/>
    <w:rsid w:val="00FF42C6"/>
    <w:rsid w:val="00FF4D44"/>
    <w:rsid w:val="00FF55DF"/>
    <w:rsid w:val="00FF699D"/>
    <w:rsid w:val="00FF7446"/>
    <w:rsid w:val="00FF7457"/>
    <w:rsid w:val="00FF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4561B"/>
  <w15:docId w15:val="{E5284147-ADC3-4581-9F85-00BA6766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CF"/>
    <w:pPr>
      <w:spacing w:after="160" w:line="259" w:lineRule="auto"/>
    </w:pPr>
    <w:rPr>
      <w:rFonts w:ascii="Times New Roman" w:hAnsi="Times New Roman"/>
      <w:sz w:val="28"/>
      <w:szCs w:val="22"/>
    </w:rPr>
  </w:style>
  <w:style w:type="paragraph" w:styleId="Heading2">
    <w:name w:val="heading 2"/>
    <w:basedOn w:val="Normal"/>
    <w:link w:val="Heading2Char"/>
    <w:uiPriority w:val="9"/>
    <w:qFormat/>
    <w:rsid w:val="00074E2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C82BCF"/>
    <w:rPr>
      <w:rFonts w:ascii="Times New Roman" w:hAnsi="Times New Roman"/>
      <w:sz w:val="20"/>
      <w:szCs w:val="20"/>
    </w:rPr>
  </w:style>
  <w:style w:type="paragraph" w:styleId="FootnoteText">
    <w:name w:val="footnote text"/>
    <w:basedOn w:val="Normal"/>
    <w:link w:val="FootnoteTextChar"/>
    <w:uiPriority w:val="99"/>
    <w:unhideWhenUsed/>
    <w:rsid w:val="00C82BCF"/>
    <w:pPr>
      <w:spacing w:after="0" w:line="240" w:lineRule="auto"/>
    </w:pPr>
    <w:rPr>
      <w:sz w:val="20"/>
      <w:szCs w:val="20"/>
    </w:rPr>
  </w:style>
  <w:style w:type="character" w:customStyle="1" w:styleId="HeaderChar">
    <w:name w:val="Header Char"/>
    <w:link w:val="Header"/>
    <w:uiPriority w:val="99"/>
    <w:rsid w:val="00C82BCF"/>
    <w:rPr>
      <w:rFonts w:ascii="Times New Roman" w:hAnsi="Times New Roman"/>
      <w:sz w:val="28"/>
    </w:rPr>
  </w:style>
  <w:style w:type="paragraph" w:styleId="Header">
    <w:name w:val="header"/>
    <w:basedOn w:val="Normal"/>
    <w:link w:val="HeaderChar"/>
    <w:uiPriority w:val="99"/>
    <w:unhideWhenUsed/>
    <w:rsid w:val="00C82BCF"/>
    <w:pPr>
      <w:tabs>
        <w:tab w:val="center" w:pos="4680"/>
        <w:tab w:val="right" w:pos="9360"/>
      </w:tabs>
      <w:spacing w:after="0" w:line="240" w:lineRule="auto"/>
    </w:pPr>
    <w:rPr>
      <w:szCs w:val="20"/>
    </w:rPr>
  </w:style>
  <w:style w:type="character" w:customStyle="1" w:styleId="FooterChar">
    <w:name w:val="Footer Char"/>
    <w:link w:val="Footer"/>
    <w:uiPriority w:val="99"/>
    <w:rsid w:val="00C82BCF"/>
    <w:rPr>
      <w:rFonts w:ascii="Times New Roman" w:hAnsi="Times New Roman"/>
      <w:sz w:val="28"/>
    </w:rPr>
  </w:style>
  <w:style w:type="paragraph" w:styleId="Footer">
    <w:name w:val="footer"/>
    <w:basedOn w:val="Normal"/>
    <w:link w:val="FooterChar"/>
    <w:uiPriority w:val="99"/>
    <w:unhideWhenUsed/>
    <w:rsid w:val="00C82BCF"/>
    <w:pPr>
      <w:tabs>
        <w:tab w:val="center" w:pos="4680"/>
        <w:tab w:val="right" w:pos="9360"/>
      </w:tabs>
      <w:spacing w:after="0" w:line="240" w:lineRule="auto"/>
    </w:pPr>
    <w:rPr>
      <w:szCs w:val="20"/>
    </w:rPr>
  </w:style>
  <w:style w:type="character" w:customStyle="1" w:styleId="CommentTextChar">
    <w:name w:val="Comment Text Char"/>
    <w:link w:val="CommentText"/>
    <w:uiPriority w:val="99"/>
    <w:rsid w:val="00C82BCF"/>
    <w:rPr>
      <w:rFonts w:ascii="Times New Roman" w:hAnsi="Times New Roman"/>
      <w:sz w:val="20"/>
      <w:szCs w:val="20"/>
    </w:rPr>
  </w:style>
  <w:style w:type="paragraph" w:styleId="CommentText">
    <w:name w:val="annotation text"/>
    <w:basedOn w:val="Normal"/>
    <w:link w:val="CommentTextChar"/>
    <w:uiPriority w:val="99"/>
    <w:unhideWhenUsed/>
    <w:rsid w:val="00C82BCF"/>
    <w:pPr>
      <w:spacing w:line="240" w:lineRule="auto"/>
    </w:pPr>
    <w:rPr>
      <w:sz w:val="20"/>
      <w:szCs w:val="20"/>
    </w:rPr>
  </w:style>
  <w:style w:type="character" w:customStyle="1" w:styleId="CommentSubjectChar">
    <w:name w:val="Comment Subject Char"/>
    <w:link w:val="CommentSubject"/>
    <w:uiPriority w:val="99"/>
    <w:semiHidden/>
    <w:rsid w:val="00C82BCF"/>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C82BCF"/>
    <w:rPr>
      <w:b/>
      <w:bCs/>
    </w:rPr>
  </w:style>
  <w:style w:type="character" w:customStyle="1" w:styleId="BalloonTextChar">
    <w:name w:val="Balloon Text Char"/>
    <w:link w:val="BalloonText"/>
    <w:uiPriority w:val="99"/>
    <w:semiHidden/>
    <w:rsid w:val="00C82BCF"/>
    <w:rPr>
      <w:rFonts w:ascii="Tahoma" w:hAnsi="Tahoma" w:cs="Tahoma"/>
      <w:sz w:val="16"/>
      <w:szCs w:val="16"/>
    </w:rPr>
  </w:style>
  <w:style w:type="paragraph" w:styleId="BalloonText">
    <w:name w:val="Balloon Text"/>
    <w:basedOn w:val="Normal"/>
    <w:link w:val="BalloonTextChar"/>
    <w:uiPriority w:val="99"/>
    <w:semiHidden/>
    <w:unhideWhenUsed/>
    <w:rsid w:val="00C82BCF"/>
    <w:pPr>
      <w:spacing w:after="0" w:line="240" w:lineRule="auto"/>
    </w:pPr>
    <w:rPr>
      <w:rFonts w:ascii="Tahoma" w:hAnsi="Tahoma"/>
      <w:sz w:val="16"/>
      <w:szCs w:val="16"/>
    </w:rPr>
  </w:style>
  <w:style w:type="character" w:styleId="FootnoteReference">
    <w:name w:val="footnote reference"/>
    <w:uiPriority w:val="99"/>
    <w:semiHidden/>
    <w:unhideWhenUsed/>
    <w:rsid w:val="00C82BCF"/>
    <w:rPr>
      <w:vertAlign w:val="superscript"/>
    </w:rPr>
  </w:style>
  <w:style w:type="table" w:customStyle="1" w:styleId="GridTable6Colorful-Accent11">
    <w:name w:val="Grid Table 6 Colorful - Accent 11"/>
    <w:basedOn w:val="TableNormal"/>
    <w:uiPriority w:val="51"/>
    <w:rsid w:val="00947C67"/>
    <w:rPr>
      <w:rFonts w:ascii="Times New Roman" w:hAnsi="Times New Roman"/>
      <w:color w:val="365F91"/>
      <w:sz w:val="28"/>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Paragraph">
    <w:name w:val="List Paragraph"/>
    <w:basedOn w:val="Normal"/>
    <w:uiPriority w:val="34"/>
    <w:qFormat/>
    <w:rsid w:val="002020F2"/>
    <w:pPr>
      <w:ind w:left="720"/>
      <w:contextualSpacing/>
    </w:pPr>
  </w:style>
  <w:style w:type="table" w:styleId="TableGrid">
    <w:name w:val="Table Grid"/>
    <w:basedOn w:val="TableNormal"/>
    <w:uiPriority w:val="39"/>
    <w:rsid w:val="00565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10C2D"/>
    <w:rPr>
      <w:sz w:val="16"/>
      <w:szCs w:val="16"/>
    </w:rPr>
  </w:style>
  <w:style w:type="paragraph" w:styleId="Revision">
    <w:name w:val="Revision"/>
    <w:hidden/>
    <w:uiPriority w:val="99"/>
    <w:semiHidden/>
    <w:rsid w:val="00F10C2D"/>
    <w:rPr>
      <w:rFonts w:ascii="Times New Roman" w:hAnsi="Times New Roman"/>
      <w:sz w:val="28"/>
      <w:szCs w:val="22"/>
    </w:rPr>
  </w:style>
  <w:style w:type="table" w:customStyle="1" w:styleId="GridTable4-Accent11">
    <w:name w:val="Grid Table 4 - Accent 11"/>
    <w:basedOn w:val="TableNormal"/>
    <w:uiPriority w:val="49"/>
    <w:rsid w:val="00486020"/>
    <w:rPr>
      <w:rFonts w:ascii="Times New Roman" w:eastAsiaTheme="minorHAnsi" w:hAnsi="Times New Roman" w:cstheme="minorBidi"/>
      <w:sz w:val="28"/>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F05445"/>
    <w:pPr>
      <w:spacing w:before="100" w:beforeAutospacing="1" w:after="100" w:afterAutospacing="1" w:line="240" w:lineRule="auto"/>
    </w:pPr>
    <w:rPr>
      <w:rFonts w:eastAsia="Times New Roman"/>
      <w:sz w:val="24"/>
      <w:szCs w:val="24"/>
    </w:rPr>
  </w:style>
  <w:style w:type="table" w:customStyle="1" w:styleId="GridTable4-Accent21">
    <w:name w:val="Grid Table 4 - Accent 21"/>
    <w:basedOn w:val="TableNormal"/>
    <w:uiPriority w:val="49"/>
    <w:rsid w:val="00532737"/>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163824"/>
    <w:rPr>
      <w:color w:val="0000FF"/>
      <w:u w:val="single"/>
    </w:rPr>
  </w:style>
  <w:style w:type="character" w:customStyle="1" w:styleId="fontstyle01">
    <w:name w:val="fontstyle01"/>
    <w:basedOn w:val="DefaultParagraphFont"/>
    <w:rsid w:val="00823FC1"/>
    <w:rPr>
      <w:rFonts w:ascii="ArialMT" w:hAnsi="ArialMT" w:hint="default"/>
      <w:b w:val="0"/>
      <w:bCs w:val="0"/>
      <w:i w:val="0"/>
      <w:iCs w:val="0"/>
      <w:color w:val="000000"/>
      <w:sz w:val="20"/>
      <w:szCs w:val="20"/>
    </w:rPr>
  </w:style>
  <w:style w:type="table" w:customStyle="1" w:styleId="GridTable6Colorful-Accent12">
    <w:name w:val="Grid Table 6 Colorful - Accent 12"/>
    <w:basedOn w:val="TableNormal"/>
    <w:uiPriority w:val="51"/>
    <w:rsid w:val="00FA4E92"/>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074E24"/>
    <w:rPr>
      <w:rFonts w:ascii="Times New Roman" w:eastAsia="Times New Roman" w:hAnsi="Times New Roman"/>
      <w:b/>
      <w:bCs/>
      <w:sz w:val="36"/>
      <w:szCs w:val="36"/>
    </w:rPr>
  </w:style>
  <w:style w:type="table" w:customStyle="1" w:styleId="GridTable6Colorful-Accent13">
    <w:name w:val="Grid Table 6 Colorful - Accent 13"/>
    <w:basedOn w:val="TableNormal"/>
    <w:uiPriority w:val="51"/>
    <w:rsid w:val="00B8005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D279B5"/>
    <w:rPr>
      <w:color w:val="800080" w:themeColor="followedHyperlink"/>
      <w:u w:val="single"/>
    </w:rPr>
  </w:style>
  <w:style w:type="table" w:styleId="GridTable6Colorful-Accent1">
    <w:name w:val="Grid Table 6 Colorful Accent 1"/>
    <w:basedOn w:val="TableNormal"/>
    <w:uiPriority w:val="51"/>
    <w:rsid w:val="00C1589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5F7029"/>
    <w:rPr>
      <w:rFonts w:ascii="Times New Roman" w:eastAsiaTheme="minorHAnsi" w:hAnsi="Times New Roman" w:cstheme="minorBidi"/>
      <w:sz w:val="28"/>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932A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C556D4"/>
    <w:rPr>
      <w:rFonts w:ascii="Times New Roman" w:eastAsiaTheme="minorHAnsi" w:hAnsi="Times New Roman" w:cstheme="minorBidi"/>
      <w:sz w:val="28"/>
      <w:szCs w:val="2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5474">
      <w:bodyDiv w:val="1"/>
      <w:marLeft w:val="0"/>
      <w:marRight w:val="0"/>
      <w:marTop w:val="0"/>
      <w:marBottom w:val="0"/>
      <w:divBdr>
        <w:top w:val="none" w:sz="0" w:space="0" w:color="auto"/>
        <w:left w:val="none" w:sz="0" w:space="0" w:color="auto"/>
        <w:bottom w:val="none" w:sz="0" w:space="0" w:color="auto"/>
        <w:right w:val="none" w:sz="0" w:space="0" w:color="auto"/>
      </w:divBdr>
    </w:div>
    <w:div w:id="116723268">
      <w:bodyDiv w:val="1"/>
      <w:marLeft w:val="0"/>
      <w:marRight w:val="0"/>
      <w:marTop w:val="0"/>
      <w:marBottom w:val="0"/>
      <w:divBdr>
        <w:top w:val="none" w:sz="0" w:space="0" w:color="auto"/>
        <w:left w:val="none" w:sz="0" w:space="0" w:color="auto"/>
        <w:bottom w:val="none" w:sz="0" w:space="0" w:color="auto"/>
        <w:right w:val="none" w:sz="0" w:space="0" w:color="auto"/>
      </w:divBdr>
    </w:div>
    <w:div w:id="132144413">
      <w:bodyDiv w:val="1"/>
      <w:marLeft w:val="0"/>
      <w:marRight w:val="0"/>
      <w:marTop w:val="0"/>
      <w:marBottom w:val="0"/>
      <w:divBdr>
        <w:top w:val="none" w:sz="0" w:space="0" w:color="auto"/>
        <w:left w:val="none" w:sz="0" w:space="0" w:color="auto"/>
        <w:bottom w:val="none" w:sz="0" w:space="0" w:color="auto"/>
        <w:right w:val="none" w:sz="0" w:space="0" w:color="auto"/>
      </w:divBdr>
    </w:div>
    <w:div w:id="135413109">
      <w:bodyDiv w:val="1"/>
      <w:marLeft w:val="0"/>
      <w:marRight w:val="0"/>
      <w:marTop w:val="0"/>
      <w:marBottom w:val="0"/>
      <w:divBdr>
        <w:top w:val="none" w:sz="0" w:space="0" w:color="auto"/>
        <w:left w:val="none" w:sz="0" w:space="0" w:color="auto"/>
        <w:bottom w:val="none" w:sz="0" w:space="0" w:color="auto"/>
        <w:right w:val="none" w:sz="0" w:space="0" w:color="auto"/>
      </w:divBdr>
    </w:div>
    <w:div w:id="139735324">
      <w:bodyDiv w:val="1"/>
      <w:marLeft w:val="0"/>
      <w:marRight w:val="0"/>
      <w:marTop w:val="0"/>
      <w:marBottom w:val="0"/>
      <w:divBdr>
        <w:top w:val="none" w:sz="0" w:space="0" w:color="auto"/>
        <w:left w:val="none" w:sz="0" w:space="0" w:color="auto"/>
        <w:bottom w:val="none" w:sz="0" w:space="0" w:color="auto"/>
        <w:right w:val="none" w:sz="0" w:space="0" w:color="auto"/>
      </w:divBdr>
    </w:div>
    <w:div w:id="158665556">
      <w:bodyDiv w:val="1"/>
      <w:marLeft w:val="0"/>
      <w:marRight w:val="0"/>
      <w:marTop w:val="0"/>
      <w:marBottom w:val="0"/>
      <w:divBdr>
        <w:top w:val="none" w:sz="0" w:space="0" w:color="auto"/>
        <w:left w:val="none" w:sz="0" w:space="0" w:color="auto"/>
        <w:bottom w:val="none" w:sz="0" w:space="0" w:color="auto"/>
        <w:right w:val="none" w:sz="0" w:space="0" w:color="auto"/>
      </w:divBdr>
    </w:div>
    <w:div w:id="230432665">
      <w:bodyDiv w:val="1"/>
      <w:marLeft w:val="0"/>
      <w:marRight w:val="0"/>
      <w:marTop w:val="0"/>
      <w:marBottom w:val="0"/>
      <w:divBdr>
        <w:top w:val="none" w:sz="0" w:space="0" w:color="auto"/>
        <w:left w:val="none" w:sz="0" w:space="0" w:color="auto"/>
        <w:bottom w:val="none" w:sz="0" w:space="0" w:color="auto"/>
        <w:right w:val="none" w:sz="0" w:space="0" w:color="auto"/>
      </w:divBdr>
    </w:div>
    <w:div w:id="249511961">
      <w:bodyDiv w:val="1"/>
      <w:marLeft w:val="0"/>
      <w:marRight w:val="0"/>
      <w:marTop w:val="0"/>
      <w:marBottom w:val="0"/>
      <w:divBdr>
        <w:top w:val="none" w:sz="0" w:space="0" w:color="auto"/>
        <w:left w:val="none" w:sz="0" w:space="0" w:color="auto"/>
        <w:bottom w:val="none" w:sz="0" w:space="0" w:color="auto"/>
        <w:right w:val="none" w:sz="0" w:space="0" w:color="auto"/>
      </w:divBdr>
    </w:div>
    <w:div w:id="268896401">
      <w:bodyDiv w:val="1"/>
      <w:marLeft w:val="0"/>
      <w:marRight w:val="0"/>
      <w:marTop w:val="0"/>
      <w:marBottom w:val="0"/>
      <w:divBdr>
        <w:top w:val="none" w:sz="0" w:space="0" w:color="auto"/>
        <w:left w:val="none" w:sz="0" w:space="0" w:color="auto"/>
        <w:bottom w:val="none" w:sz="0" w:space="0" w:color="auto"/>
        <w:right w:val="none" w:sz="0" w:space="0" w:color="auto"/>
      </w:divBdr>
    </w:div>
    <w:div w:id="312024393">
      <w:bodyDiv w:val="1"/>
      <w:marLeft w:val="0"/>
      <w:marRight w:val="0"/>
      <w:marTop w:val="0"/>
      <w:marBottom w:val="0"/>
      <w:divBdr>
        <w:top w:val="none" w:sz="0" w:space="0" w:color="auto"/>
        <w:left w:val="none" w:sz="0" w:space="0" w:color="auto"/>
        <w:bottom w:val="none" w:sz="0" w:space="0" w:color="auto"/>
        <w:right w:val="none" w:sz="0" w:space="0" w:color="auto"/>
      </w:divBdr>
      <w:divsChild>
        <w:div w:id="94597055">
          <w:marLeft w:val="0"/>
          <w:marRight w:val="0"/>
          <w:marTop w:val="0"/>
          <w:marBottom w:val="0"/>
          <w:divBdr>
            <w:top w:val="none" w:sz="0" w:space="0" w:color="auto"/>
            <w:left w:val="none" w:sz="0" w:space="0" w:color="auto"/>
            <w:bottom w:val="none" w:sz="0" w:space="0" w:color="auto"/>
            <w:right w:val="none" w:sz="0" w:space="0" w:color="auto"/>
          </w:divBdr>
          <w:divsChild>
            <w:div w:id="479689359">
              <w:marLeft w:val="0"/>
              <w:marRight w:val="0"/>
              <w:marTop w:val="360"/>
              <w:marBottom w:val="0"/>
              <w:divBdr>
                <w:top w:val="none" w:sz="0" w:space="0" w:color="auto"/>
                <w:left w:val="none" w:sz="0" w:space="0" w:color="auto"/>
                <w:bottom w:val="none" w:sz="0" w:space="0" w:color="auto"/>
                <w:right w:val="none" w:sz="0" w:space="0" w:color="auto"/>
              </w:divBdr>
            </w:div>
            <w:div w:id="575746455">
              <w:marLeft w:val="0"/>
              <w:marRight w:val="0"/>
              <w:marTop w:val="150"/>
              <w:marBottom w:val="0"/>
              <w:divBdr>
                <w:top w:val="none" w:sz="0" w:space="0" w:color="auto"/>
                <w:left w:val="none" w:sz="0" w:space="0" w:color="auto"/>
                <w:bottom w:val="none" w:sz="0" w:space="0" w:color="auto"/>
                <w:right w:val="none" w:sz="0" w:space="0" w:color="auto"/>
              </w:divBdr>
              <w:divsChild>
                <w:div w:id="3162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377">
          <w:marLeft w:val="0"/>
          <w:marRight w:val="0"/>
          <w:marTop w:val="0"/>
          <w:marBottom w:val="0"/>
          <w:divBdr>
            <w:top w:val="none" w:sz="0" w:space="0" w:color="auto"/>
            <w:left w:val="none" w:sz="0" w:space="0" w:color="auto"/>
            <w:bottom w:val="single" w:sz="6" w:space="11" w:color="D9D9D9"/>
            <w:right w:val="none" w:sz="0" w:space="0" w:color="auto"/>
          </w:divBdr>
          <w:divsChild>
            <w:div w:id="323243172">
              <w:marLeft w:val="0"/>
              <w:marRight w:val="0"/>
              <w:marTop w:val="0"/>
              <w:marBottom w:val="0"/>
              <w:divBdr>
                <w:top w:val="none" w:sz="0" w:space="0" w:color="auto"/>
                <w:left w:val="none" w:sz="0" w:space="0" w:color="auto"/>
                <w:bottom w:val="none" w:sz="0" w:space="0" w:color="auto"/>
                <w:right w:val="none" w:sz="0" w:space="0" w:color="auto"/>
              </w:divBdr>
            </w:div>
            <w:div w:id="1012806621">
              <w:marLeft w:val="0"/>
              <w:marRight w:val="0"/>
              <w:marTop w:val="0"/>
              <w:marBottom w:val="0"/>
              <w:divBdr>
                <w:top w:val="none" w:sz="0" w:space="0" w:color="auto"/>
                <w:left w:val="none" w:sz="0" w:space="0" w:color="auto"/>
                <w:bottom w:val="none" w:sz="0" w:space="0" w:color="auto"/>
                <w:right w:val="none" w:sz="0" w:space="0" w:color="auto"/>
              </w:divBdr>
              <w:divsChild>
                <w:div w:id="630407287">
                  <w:marLeft w:val="0"/>
                  <w:marRight w:val="0"/>
                  <w:marTop w:val="0"/>
                  <w:marBottom w:val="0"/>
                  <w:divBdr>
                    <w:top w:val="none" w:sz="0" w:space="0" w:color="auto"/>
                    <w:left w:val="none" w:sz="0" w:space="0" w:color="auto"/>
                    <w:bottom w:val="none" w:sz="0" w:space="0" w:color="auto"/>
                    <w:right w:val="none" w:sz="0" w:space="0" w:color="auto"/>
                  </w:divBdr>
                  <w:divsChild>
                    <w:div w:id="1212303476">
                      <w:marLeft w:val="0"/>
                      <w:marRight w:val="0"/>
                      <w:marTop w:val="0"/>
                      <w:marBottom w:val="0"/>
                      <w:divBdr>
                        <w:top w:val="none" w:sz="0" w:space="0" w:color="auto"/>
                        <w:left w:val="none" w:sz="0" w:space="0" w:color="auto"/>
                        <w:bottom w:val="none" w:sz="0" w:space="0" w:color="auto"/>
                        <w:right w:val="none" w:sz="0" w:space="0" w:color="auto"/>
                      </w:divBdr>
                      <w:divsChild>
                        <w:div w:id="1116799255">
                          <w:marLeft w:val="0"/>
                          <w:marRight w:val="0"/>
                          <w:marTop w:val="0"/>
                          <w:marBottom w:val="0"/>
                          <w:divBdr>
                            <w:top w:val="none" w:sz="0" w:space="0" w:color="auto"/>
                            <w:left w:val="none" w:sz="0" w:space="0" w:color="auto"/>
                            <w:bottom w:val="none" w:sz="0" w:space="0" w:color="auto"/>
                            <w:right w:val="none" w:sz="0" w:space="0" w:color="auto"/>
                          </w:divBdr>
                          <w:divsChild>
                            <w:div w:id="907688449">
                              <w:marLeft w:val="0"/>
                              <w:marRight w:val="0"/>
                              <w:marTop w:val="0"/>
                              <w:marBottom w:val="0"/>
                              <w:divBdr>
                                <w:top w:val="none" w:sz="0" w:space="0" w:color="auto"/>
                                <w:left w:val="none" w:sz="0" w:space="0" w:color="auto"/>
                                <w:bottom w:val="none" w:sz="0" w:space="0" w:color="auto"/>
                                <w:right w:val="none" w:sz="0" w:space="0" w:color="auto"/>
                              </w:divBdr>
                              <w:divsChild>
                                <w:div w:id="1106578267">
                                  <w:marLeft w:val="0"/>
                                  <w:marRight w:val="0"/>
                                  <w:marTop w:val="0"/>
                                  <w:marBottom w:val="0"/>
                                  <w:divBdr>
                                    <w:top w:val="none" w:sz="0" w:space="0" w:color="auto"/>
                                    <w:left w:val="none" w:sz="0" w:space="0" w:color="auto"/>
                                    <w:bottom w:val="none" w:sz="0" w:space="0" w:color="auto"/>
                                    <w:right w:val="none" w:sz="0" w:space="0" w:color="auto"/>
                                  </w:divBdr>
                                  <w:divsChild>
                                    <w:div w:id="1992174039">
                                      <w:marLeft w:val="0"/>
                                      <w:marRight w:val="0"/>
                                      <w:marTop w:val="0"/>
                                      <w:marBottom w:val="0"/>
                                      <w:divBdr>
                                        <w:top w:val="none" w:sz="0" w:space="0" w:color="auto"/>
                                        <w:left w:val="none" w:sz="0" w:space="0" w:color="auto"/>
                                        <w:bottom w:val="none" w:sz="0" w:space="0" w:color="auto"/>
                                        <w:right w:val="none" w:sz="0" w:space="0" w:color="auto"/>
                                      </w:divBdr>
                                      <w:divsChild>
                                        <w:div w:id="596908143">
                                          <w:marLeft w:val="0"/>
                                          <w:marRight w:val="0"/>
                                          <w:marTop w:val="0"/>
                                          <w:marBottom w:val="0"/>
                                          <w:divBdr>
                                            <w:top w:val="none" w:sz="0" w:space="0" w:color="auto"/>
                                            <w:left w:val="none" w:sz="0" w:space="0" w:color="auto"/>
                                            <w:bottom w:val="none" w:sz="0" w:space="0" w:color="auto"/>
                                            <w:right w:val="none" w:sz="0" w:space="0" w:color="auto"/>
                                          </w:divBdr>
                                          <w:divsChild>
                                            <w:div w:id="11938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30014">
      <w:bodyDiv w:val="1"/>
      <w:marLeft w:val="0"/>
      <w:marRight w:val="0"/>
      <w:marTop w:val="0"/>
      <w:marBottom w:val="0"/>
      <w:divBdr>
        <w:top w:val="none" w:sz="0" w:space="0" w:color="auto"/>
        <w:left w:val="none" w:sz="0" w:space="0" w:color="auto"/>
        <w:bottom w:val="none" w:sz="0" w:space="0" w:color="auto"/>
        <w:right w:val="none" w:sz="0" w:space="0" w:color="auto"/>
      </w:divBdr>
    </w:div>
    <w:div w:id="322852386">
      <w:bodyDiv w:val="1"/>
      <w:marLeft w:val="0"/>
      <w:marRight w:val="0"/>
      <w:marTop w:val="0"/>
      <w:marBottom w:val="0"/>
      <w:divBdr>
        <w:top w:val="none" w:sz="0" w:space="0" w:color="auto"/>
        <w:left w:val="none" w:sz="0" w:space="0" w:color="auto"/>
        <w:bottom w:val="none" w:sz="0" w:space="0" w:color="auto"/>
        <w:right w:val="none" w:sz="0" w:space="0" w:color="auto"/>
      </w:divBdr>
    </w:div>
    <w:div w:id="330304722">
      <w:bodyDiv w:val="1"/>
      <w:marLeft w:val="0"/>
      <w:marRight w:val="0"/>
      <w:marTop w:val="0"/>
      <w:marBottom w:val="0"/>
      <w:divBdr>
        <w:top w:val="none" w:sz="0" w:space="0" w:color="auto"/>
        <w:left w:val="none" w:sz="0" w:space="0" w:color="auto"/>
        <w:bottom w:val="none" w:sz="0" w:space="0" w:color="auto"/>
        <w:right w:val="none" w:sz="0" w:space="0" w:color="auto"/>
      </w:divBdr>
    </w:div>
    <w:div w:id="332730194">
      <w:bodyDiv w:val="1"/>
      <w:marLeft w:val="0"/>
      <w:marRight w:val="0"/>
      <w:marTop w:val="0"/>
      <w:marBottom w:val="0"/>
      <w:divBdr>
        <w:top w:val="none" w:sz="0" w:space="0" w:color="auto"/>
        <w:left w:val="none" w:sz="0" w:space="0" w:color="auto"/>
        <w:bottom w:val="none" w:sz="0" w:space="0" w:color="auto"/>
        <w:right w:val="none" w:sz="0" w:space="0" w:color="auto"/>
      </w:divBdr>
    </w:div>
    <w:div w:id="363600813">
      <w:bodyDiv w:val="1"/>
      <w:marLeft w:val="0"/>
      <w:marRight w:val="0"/>
      <w:marTop w:val="0"/>
      <w:marBottom w:val="0"/>
      <w:divBdr>
        <w:top w:val="none" w:sz="0" w:space="0" w:color="auto"/>
        <w:left w:val="none" w:sz="0" w:space="0" w:color="auto"/>
        <w:bottom w:val="none" w:sz="0" w:space="0" w:color="auto"/>
        <w:right w:val="none" w:sz="0" w:space="0" w:color="auto"/>
      </w:divBdr>
    </w:div>
    <w:div w:id="366028537">
      <w:bodyDiv w:val="1"/>
      <w:marLeft w:val="0"/>
      <w:marRight w:val="0"/>
      <w:marTop w:val="0"/>
      <w:marBottom w:val="0"/>
      <w:divBdr>
        <w:top w:val="none" w:sz="0" w:space="0" w:color="auto"/>
        <w:left w:val="none" w:sz="0" w:space="0" w:color="auto"/>
        <w:bottom w:val="none" w:sz="0" w:space="0" w:color="auto"/>
        <w:right w:val="none" w:sz="0" w:space="0" w:color="auto"/>
      </w:divBdr>
    </w:div>
    <w:div w:id="371882953">
      <w:bodyDiv w:val="1"/>
      <w:marLeft w:val="0"/>
      <w:marRight w:val="0"/>
      <w:marTop w:val="0"/>
      <w:marBottom w:val="0"/>
      <w:divBdr>
        <w:top w:val="none" w:sz="0" w:space="0" w:color="auto"/>
        <w:left w:val="none" w:sz="0" w:space="0" w:color="auto"/>
        <w:bottom w:val="none" w:sz="0" w:space="0" w:color="auto"/>
        <w:right w:val="none" w:sz="0" w:space="0" w:color="auto"/>
      </w:divBdr>
    </w:div>
    <w:div w:id="385229026">
      <w:bodyDiv w:val="1"/>
      <w:marLeft w:val="0"/>
      <w:marRight w:val="0"/>
      <w:marTop w:val="0"/>
      <w:marBottom w:val="0"/>
      <w:divBdr>
        <w:top w:val="none" w:sz="0" w:space="0" w:color="auto"/>
        <w:left w:val="none" w:sz="0" w:space="0" w:color="auto"/>
        <w:bottom w:val="none" w:sz="0" w:space="0" w:color="auto"/>
        <w:right w:val="none" w:sz="0" w:space="0" w:color="auto"/>
      </w:divBdr>
    </w:div>
    <w:div w:id="428697808">
      <w:bodyDiv w:val="1"/>
      <w:marLeft w:val="0"/>
      <w:marRight w:val="0"/>
      <w:marTop w:val="0"/>
      <w:marBottom w:val="0"/>
      <w:divBdr>
        <w:top w:val="none" w:sz="0" w:space="0" w:color="auto"/>
        <w:left w:val="none" w:sz="0" w:space="0" w:color="auto"/>
        <w:bottom w:val="none" w:sz="0" w:space="0" w:color="auto"/>
        <w:right w:val="none" w:sz="0" w:space="0" w:color="auto"/>
      </w:divBdr>
    </w:div>
    <w:div w:id="489518301">
      <w:bodyDiv w:val="1"/>
      <w:marLeft w:val="0"/>
      <w:marRight w:val="0"/>
      <w:marTop w:val="0"/>
      <w:marBottom w:val="0"/>
      <w:divBdr>
        <w:top w:val="none" w:sz="0" w:space="0" w:color="auto"/>
        <w:left w:val="none" w:sz="0" w:space="0" w:color="auto"/>
        <w:bottom w:val="none" w:sz="0" w:space="0" w:color="auto"/>
        <w:right w:val="none" w:sz="0" w:space="0" w:color="auto"/>
      </w:divBdr>
    </w:div>
    <w:div w:id="491869582">
      <w:bodyDiv w:val="1"/>
      <w:marLeft w:val="0"/>
      <w:marRight w:val="0"/>
      <w:marTop w:val="0"/>
      <w:marBottom w:val="0"/>
      <w:divBdr>
        <w:top w:val="none" w:sz="0" w:space="0" w:color="auto"/>
        <w:left w:val="none" w:sz="0" w:space="0" w:color="auto"/>
        <w:bottom w:val="none" w:sz="0" w:space="0" w:color="auto"/>
        <w:right w:val="none" w:sz="0" w:space="0" w:color="auto"/>
      </w:divBdr>
    </w:div>
    <w:div w:id="507645076">
      <w:bodyDiv w:val="1"/>
      <w:marLeft w:val="0"/>
      <w:marRight w:val="0"/>
      <w:marTop w:val="0"/>
      <w:marBottom w:val="0"/>
      <w:divBdr>
        <w:top w:val="none" w:sz="0" w:space="0" w:color="auto"/>
        <w:left w:val="none" w:sz="0" w:space="0" w:color="auto"/>
        <w:bottom w:val="none" w:sz="0" w:space="0" w:color="auto"/>
        <w:right w:val="none" w:sz="0" w:space="0" w:color="auto"/>
      </w:divBdr>
    </w:div>
    <w:div w:id="543249983">
      <w:bodyDiv w:val="1"/>
      <w:marLeft w:val="0"/>
      <w:marRight w:val="0"/>
      <w:marTop w:val="0"/>
      <w:marBottom w:val="0"/>
      <w:divBdr>
        <w:top w:val="none" w:sz="0" w:space="0" w:color="auto"/>
        <w:left w:val="none" w:sz="0" w:space="0" w:color="auto"/>
        <w:bottom w:val="none" w:sz="0" w:space="0" w:color="auto"/>
        <w:right w:val="none" w:sz="0" w:space="0" w:color="auto"/>
      </w:divBdr>
    </w:div>
    <w:div w:id="591813811">
      <w:bodyDiv w:val="1"/>
      <w:marLeft w:val="0"/>
      <w:marRight w:val="0"/>
      <w:marTop w:val="0"/>
      <w:marBottom w:val="0"/>
      <w:divBdr>
        <w:top w:val="none" w:sz="0" w:space="0" w:color="auto"/>
        <w:left w:val="none" w:sz="0" w:space="0" w:color="auto"/>
        <w:bottom w:val="none" w:sz="0" w:space="0" w:color="auto"/>
        <w:right w:val="none" w:sz="0" w:space="0" w:color="auto"/>
      </w:divBdr>
    </w:div>
    <w:div w:id="667947412">
      <w:bodyDiv w:val="1"/>
      <w:marLeft w:val="0"/>
      <w:marRight w:val="0"/>
      <w:marTop w:val="0"/>
      <w:marBottom w:val="0"/>
      <w:divBdr>
        <w:top w:val="none" w:sz="0" w:space="0" w:color="auto"/>
        <w:left w:val="none" w:sz="0" w:space="0" w:color="auto"/>
        <w:bottom w:val="none" w:sz="0" w:space="0" w:color="auto"/>
        <w:right w:val="none" w:sz="0" w:space="0" w:color="auto"/>
      </w:divBdr>
    </w:div>
    <w:div w:id="676424606">
      <w:bodyDiv w:val="1"/>
      <w:marLeft w:val="0"/>
      <w:marRight w:val="0"/>
      <w:marTop w:val="0"/>
      <w:marBottom w:val="0"/>
      <w:divBdr>
        <w:top w:val="none" w:sz="0" w:space="0" w:color="auto"/>
        <w:left w:val="none" w:sz="0" w:space="0" w:color="auto"/>
        <w:bottom w:val="none" w:sz="0" w:space="0" w:color="auto"/>
        <w:right w:val="none" w:sz="0" w:space="0" w:color="auto"/>
      </w:divBdr>
    </w:div>
    <w:div w:id="704140909">
      <w:bodyDiv w:val="1"/>
      <w:marLeft w:val="0"/>
      <w:marRight w:val="0"/>
      <w:marTop w:val="0"/>
      <w:marBottom w:val="0"/>
      <w:divBdr>
        <w:top w:val="none" w:sz="0" w:space="0" w:color="auto"/>
        <w:left w:val="none" w:sz="0" w:space="0" w:color="auto"/>
        <w:bottom w:val="none" w:sz="0" w:space="0" w:color="auto"/>
        <w:right w:val="none" w:sz="0" w:space="0" w:color="auto"/>
      </w:divBdr>
    </w:div>
    <w:div w:id="708727384">
      <w:bodyDiv w:val="1"/>
      <w:marLeft w:val="0"/>
      <w:marRight w:val="0"/>
      <w:marTop w:val="0"/>
      <w:marBottom w:val="0"/>
      <w:divBdr>
        <w:top w:val="none" w:sz="0" w:space="0" w:color="auto"/>
        <w:left w:val="none" w:sz="0" w:space="0" w:color="auto"/>
        <w:bottom w:val="none" w:sz="0" w:space="0" w:color="auto"/>
        <w:right w:val="none" w:sz="0" w:space="0" w:color="auto"/>
      </w:divBdr>
    </w:div>
    <w:div w:id="710542755">
      <w:bodyDiv w:val="1"/>
      <w:marLeft w:val="0"/>
      <w:marRight w:val="0"/>
      <w:marTop w:val="0"/>
      <w:marBottom w:val="0"/>
      <w:divBdr>
        <w:top w:val="none" w:sz="0" w:space="0" w:color="auto"/>
        <w:left w:val="none" w:sz="0" w:space="0" w:color="auto"/>
        <w:bottom w:val="none" w:sz="0" w:space="0" w:color="auto"/>
        <w:right w:val="none" w:sz="0" w:space="0" w:color="auto"/>
      </w:divBdr>
    </w:div>
    <w:div w:id="728960721">
      <w:bodyDiv w:val="1"/>
      <w:marLeft w:val="0"/>
      <w:marRight w:val="0"/>
      <w:marTop w:val="0"/>
      <w:marBottom w:val="0"/>
      <w:divBdr>
        <w:top w:val="none" w:sz="0" w:space="0" w:color="auto"/>
        <w:left w:val="none" w:sz="0" w:space="0" w:color="auto"/>
        <w:bottom w:val="none" w:sz="0" w:space="0" w:color="auto"/>
        <w:right w:val="none" w:sz="0" w:space="0" w:color="auto"/>
      </w:divBdr>
    </w:div>
    <w:div w:id="746536371">
      <w:bodyDiv w:val="1"/>
      <w:marLeft w:val="0"/>
      <w:marRight w:val="0"/>
      <w:marTop w:val="0"/>
      <w:marBottom w:val="0"/>
      <w:divBdr>
        <w:top w:val="none" w:sz="0" w:space="0" w:color="auto"/>
        <w:left w:val="none" w:sz="0" w:space="0" w:color="auto"/>
        <w:bottom w:val="none" w:sz="0" w:space="0" w:color="auto"/>
        <w:right w:val="none" w:sz="0" w:space="0" w:color="auto"/>
      </w:divBdr>
    </w:div>
    <w:div w:id="751970276">
      <w:bodyDiv w:val="1"/>
      <w:marLeft w:val="0"/>
      <w:marRight w:val="0"/>
      <w:marTop w:val="0"/>
      <w:marBottom w:val="0"/>
      <w:divBdr>
        <w:top w:val="none" w:sz="0" w:space="0" w:color="auto"/>
        <w:left w:val="none" w:sz="0" w:space="0" w:color="auto"/>
        <w:bottom w:val="none" w:sz="0" w:space="0" w:color="auto"/>
        <w:right w:val="none" w:sz="0" w:space="0" w:color="auto"/>
      </w:divBdr>
    </w:div>
    <w:div w:id="812648161">
      <w:bodyDiv w:val="1"/>
      <w:marLeft w:val="0"/>
      <w:marRight w:val="0"/>
      <w:marTop w:val="0"/>
      <w:marBottom w:val="0"/>
      <w:divBdr>
        <w:top w:val="none" w:sz="0" w:space="0" w:color="auto"/>
        <w:left w:val="none" w:sz="0" w:space="0" w:color="auto"/>
        <w:bottom w:val="none" w:sz="0" w:space="0" w:color="auto"/>
        <w:right w:val="none" w:sz="0" w:space="0" w:color="auto"/>
      </w:divBdr>
    </w:div>
    <w:div w:id="836383912">
      <w:bodyDiv w:val="1"/>
      <w:marLeft w:val="0"/>
      <w:marRight w:val="0"/>
      <w:marTop w:val="0"/>
      <w:marBottom w:val="0"/>
      <w:divBdr>
        <w:top w:val="none" w:sz="0" w:space="0" w:color="auto"/>
        <w:left w:val="none" w:sz="0" w:space="0" w:color="auto"/>
        <w:bottom w:val="none" w:sz="0" w:space="0" w:color="auto"/>
        <w:right w:val="none" w:sz="0" w:space="0" w:color="auto"/>
      </w:divBdr>
      <w:divsChild>
        <w:div w:id="159784036">
          <w:marLeft w:val="0"/>
          <w:marRight w:val="0"/>
          <w:marTop w:val="0"/>
          <w:marBottom w:val="0"/>
          <w:divBdr>
            <w:top w:val="none" w:sz="0" w:space="0" w:color="auto"/>
            <w:left w:val="none" w:sz="0" w:space="0" w:color="auto"/>
            <w:bottom w:val="none" w:sz="0" w:space="0" w:color="auto"/>
            <w:right w:val="none" w:sz="0" w:space="0" w:color="auto"/>
          </w:divBdr>
          <w:divsChild>
            <w:div w:id="12362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523">
      <w:bodyDiv w:val="1"/>
      <w:marLeft w:val="0"/>
      <w:marRight w:val="0"/>
      <w:marTop w:val="0"/>
      <w:marBottom w:val="0"/>
      <w:divBdr>
        <w:top w:val="none" w:sz="0" w:space="0" w:color="auto"/>
        <w:left w:val="none" w:sz="0" w:space="0" w:color="auto"/>
        <w:bottom w:val="none" w:sz="0" w:space="0" w:color="auto"/>
        <w:right w:val="none" w:sz="0" w:space="0" w:color="auto"/>
      </w:divBdr>
    </w:div>
    <w:div w:id="902258944">
      <w:bodyDiv w:val="1"/>
      <w:marLeft w:val="0"/>
      <w:marRight w:val="0"/>
      <w:marTop w:val="0"/>
      <w:marBottom w:val="0"/>
      <w:divBdr>
        <w:top w:val="none" w:sz="0" w:space="0" w:color="auto"/>
        <w:left w:val="none" w:sz="0" w:space="0" w:color="auto"/>
        <w:bottom w:val="none" w:sz="0" w:space="0" w:color="auto"/>
        <w:right w:val="none" w:sz="0" w:space="0" w:color="auto"/>
      </w:divBdr>
    </w:div>
    <w:div w:id="920601287">
      <w:bodyDiv w:val="1"/>
      <w:marLeft w:val="0"/>
      <w:marRight w:val="0"/>
      <w:marTop w:val="0"/>
      <w:marBottom w:val="0"/>
      <w:divBdr>
        <w:top w:val="none" w:sz="0" w:space="0" w:color="auto"/>
        <w:left w:val="none" w:sz="0" w:space="0" w:color="auto"/>
        <w:bottom w:val="none" w:sz="0" w:space="0" w:color="auto"/>
        <w:right w:val="none" w:sz="0" w:space="0" w:color="auto"/>
      </w:divBdr>
    </w:div>
    <w:div w:id="951402829">
      <w:bodyDiv w:val="1"/>
      <w:marLeft w:val="0"/>
      <w:marRight w:val="0"/>
      <w:marTop w:val="0"/>
      <w:marBottom w:val="0"/>
      <w:divBdr>
        <w:top w:val="none" w:sz="0" w:space="0" w:color="auto"/>
        <w:left w:val="none" w:sz="0" w:space="0" w:color="auto"/>
        <w:bottom w:val="none" w:sz="0" w:space="0" w:color="auto"/>
        <w:right w:val="none" w:sz="0" w:space="0" w:color="auto"/>
      </w:divBdr>
    </w:div>
    <w:div w:id="961156798">
      <w:bodyDiv w:val="1"/>
      <w:marLeft w:val="0"/>
      <w:marRight w:val="0"/>
      <w:marTop w:val="0"/>
      <w:marBottom w:val="0"/>
      <w:divBdr>
        <w:top w:val="none" w:sz="0" w:space="0" w:color="auto"/>
        <w:left w:val="none" w:sz="0" w:space="0" w:color="auto"/>
        <w:bottom w:val="none" w:sz="0" w:space="0" w:color="auto"/>
        <w:right w:val="none" w:sz="0" w:space="0" w:color="auto"/>
      </w:divBdr>
    </w:div>
    <w:div w:id="995454857">
      <w:bodyDiv w:val="1"/>
      <w:marLeft w:val="0"/>
      <w:marRight w:val="0"/>
      <w:marTop w:val="0"/>
      <w:marBottom w:val="0"/>
      <w:divBdr>
        <w:top w:val="none" w:sz="0" w:space="0" w:color="auto"/>
        <w:left w:val="none" w:sz="0" w:space="0" w:color="auto"/>
        <w:bottom w:val="none" w:sz="0" w:space="0" w:color="auto"/>
        <w:right w:val="none" w:sz="0" w:space="0" w:color="auto"/>
      </w:divBdr>
    </w:div>
    <w:div w:id="1030958353">
      <w:bodyDiv w:val="1"/>
      <w:marLeft w:val="0"/>
      <w:marRight w:val="0"/>
      <w:marTop w:val="0"/>
      <w:marBottom w:val="0"/>
      <w:divBdr>
        <w:top w:val="none" w:sz="0" w:space="0" w:color="auto"/>
        <w:left w:val="none" w:sz="0" w:space="0" w:color="auto"/>
        <w:bottom w:val="none" w:sz="0" w:space="0" w:color="auto"/>
        <w:right w:val="none" w:sz="0" w:space="0" w:color="auto"/>
      </w:divBdr>
    </w:div>
    <w:div w:id="1038816988">
      <w:bodyDiv w:val="1"/>
      <w:marLeft w:val="0"/>
      <w:marRight w:val="0"/>
      <w:marTop w:val="0"/>
      <w:marBottom w:val="0"/>
      <w:divBdr>
        <w:top w:val="none" w:sz="0" w:space="0" w:color="auto"/>
        <w:left w:val="none" w:sz="0" w:space="0" w:color="auto"/>
        <w:bottom w:val="none" w:sz="0" w:space="0" w:color="auto"/>
        <w:right w:val="none" w:sz="0" w:space="0" w:color="auto"/>
      </w:divBdr>
    </w:div>
    <w:div w:id="1066104554">
      <w:bodyDiv w:val="1"/>
      <w:marLeft w:val="0"/>
      <w:marRight w:val="0"/>
      <w:marTop w:val="0"/>
      <w:marBottom w:val="0"/>
      <w:divBdr>
        <w:top w:val="none" w:sz="0" w:space="0" w:color="auto"/>
        <w:left w:val="none" w:sz="0" w:space="0" w:color="auto"/>
        <w:bottom w:val="none" w:sz="0" w:space="0" w:color="auto"/>
        <w:right w:val="none" w:sz="0" w:space="0" w:color="auto"/>
      </w:divBdr>
    </w:div>
    <w:div w:id="1082064976">
      <w:bodyDiv w:val="1"/>
      <w:marLeft w:val="0"/>
      <w:marRight w:val="0"/>
      <w:marTop w:val="0"/>
      <w:marBottom w:val="0"/>
      <w:divBdr>
        <w:top w:val="none" w:sz="0" w:space="0" w:color="auto"/>
        <w:left w:val="none" w:sz="0" w:space="0" w:color="auto"/>
        <w:bottom w:val="none" w:sz="0" w:space="0" w:color="auto"/>
        <w:right w:val="none" w:sz="0" w:space="0" w:color="auto"/>
      </w:divBdr>
    </w:div>
    <w:div w:id="1090614729">
      <w:bodyDiv w:val="1"/>
      <w:marLeft w:val="0"/>
      <w:marRight w:val="0"/>
      <w:marTop w:val="0"/>
      <w:marBottom w:val="0"/>
      <w:divBdr>
        <w:top w:val="none" w:sz="0" w:space="0" w:color="auto"/>
        <w:left w:val="none" w:sz="0" w:space="0" w:color="auto"/>
        <w:bottom w:val="none" w:sz="0" w:space="0" w:color="auto"/>
        <w:right w:val="none" w:sz="0" w:space="0" w:color="auto"/>
      </w:divBdr>
    </w:div>
    <w:div w:id="1131633943">
      <w:bodyDiv w:val="1"/>
      <w:marLeft w:val="0"/>
      <w:marRight w:val="0"/>
      <w:marTop w:val="0"/>
      <w:marBottom w:val="0"/>
      <w:divBdr>
        <w:top w:val="none" w:sz="0" w:space="0" w:color="auto"/>
        <w:left w:val="none" w:sz="0" w:space="0" w:color="auto"/>
        <w:bottom w:val="none" w:sz="0" w:space="0" w:color="auto"/>
        <w:right w:val="none" w:sz="0" w:space="0" w:color="auto"/>
      </w:divBdr>
    </w:div>
    <w:div w:id="1160847919">
      <w:bodyDiv w:val="1"/>
      <w:marLeft w:val="0"/>
      <w:marRight w:val="0"/>
      <w:marTop w:val="0"/>
      <w:marBottom w:val="0"/>
      <w:divBdr>
        <w:top w:val="none" w:sz="0" w:space="0" w:color="auto"/>
        <w:left w:val="none" w:sz="0" w:space="0" w:color="auto"/>
        <w:bottom w:val="none" w:sz="0" w:space="0" w:color="auto"/>
        <w:right w:val="none" w:sz="0" w:space="0" w:color="auto"/>
      </w:divBdr>
    </w:div>
    <w:div w:id="1172991877">
      <w:bodyDiv w:val="1"/>
      <w:marLeft w:val="0"/>
      <w:marRight w:val="0"/>
      <w:marTop w:val="0"/>
      <w:marBottom w:val="0"/>
      <w:divBdr>
        <w:top w:val="none" w:sz="0" w:space="0" w:color="auto"/>
        <w:left w:val="none" w:sz="0" w:space="0" w:color="auto"/>
        <w:bottom w:val="none" w:sz="0" w:space="0" w:color="auto"/>
        <w:right w:val="none" w:sz="0" w:space="0" w:color="auto"/>
      </w:divBdr>
    </w:div>
    <w:div w:id="1180195520">
      <w:bodyDiv w:val="1"/>
      <w:marLeft w:val="0"/>
      <w:marRight w:val="0"/>
      <w:marTop w:val="0"/>
      <w:marBottom w:val="0"/>
      <w:divBdr>
        <w:top w:val="none" w:sz="0" w:space="0" w:color="auto"/>
        <w:left w:val="none" w:sz="0" w:space="0" w:color="auto"/>
        <w:bottom w:val="none" w:sz="0" w:space="0" w:color="auto"/>
        <w:right w:val="none" w:sz="0" w:space="0" w:color="auto"/>
      </w:divBdr>
    </w:div>
    <w:div w:id="1231499910">
      <w:bodyDiv w:val="1"/>
      <w:marLeft w:val="0"/>
      <w:marRight w:val="0"/>
      <w:marTop w:val="0"/>
      <w:marBottom w:val="0"/>
      <w:divBdr>
        <w:top w:val="none" w:sz="0" w:space="0" w:color="auto"/>
        <w:left w:val="none" w:sz="0" w:space="0" w:color="auto"/>
        <w:bottom w:val="none" w:sz="0" w:space="0" w:color="auto"/>
        <w:right w:val="none" w:sz="0" w:space="0" w:color="auto"/>
      </w:divBdr>
    </w:div>
    <w:div w:id="1232538461">
      <w:bodyDiv w:val="1"/>
      <w:marLeft w:val="0"/>
      <w:marRight w:val="0"/>
      <w:marTop w:val="0"/>
      <w:marBottom w:val="0"/>
      <w:divBdr>
        <w:top w:val="none" w:sz="0" w:space="0" w:color="auto"/>
        <w:left w:val="none" w:sz="0" w:space="0" w:color="auto"/>
        <w:bottom w:val="none" w:sz="0" w:space="0" w:color="auto"/>
        <w:right w:val="none" w:sz="0" w:space="0" w:color="auto"/>
      </w:divBdr>
    </w:div>
    <w:div w:id="1248032883">
      <w:bodyDiv w:val="1"/>
      <w:marLeft w:val="0"/>
      <w:marRight w:val="0"/>
      <w:marTop w:val="0"/>
      <w:marBottom w:val="0"/>
      <w:divBdr>
        <w:top w:val="none" w:sz="0" w:space="0" w:color="auto"/>
        <w:left w:val="none" w:sz="0" w:space="0" w:color="auto"/>
        <w:bottom w:val="none" w:sz="0" w:space="0" w:color="auto"/>
        <w:right w:val="none" w:sz="0" w:space="0" w:color="auto"/>
      </w:divBdr>
    </w:div>
    <w:div w:id="1275165741">
      <w:bodyDiv w:val="1"/>
      <w:marLeft w:val="0"/>
      <w:marRight w:val="0"/>
      <w:marTop w:val="0"/>
      <w:marBottom w:val="0"/>
      <w:divBdr>
        <w:top w:val="none" w:sz="0" w:space="0" w:color="auto"/>
        <w:left w:val="none" w:sz="0" w:space="0" w:color="auto"/>
        <w:bottom w:val="none" w:sz="0" w:space="0" w:color="auto"/>
        <w:right w:val="none" w:sz="0" w:space="0" w:color="auto"/>
      </w:divBdr>
    </w:div>
    <w:div w:id="1349985146">
      <w:bodyDiv w:val="1"/>
      <w:marLeft w:val="0"/>
      <w:marRight w:val="0"/>
      <w:marTop w:val="0"/>
      <w:marBottom w:val="0"/>
      <w:divBdr>
        <w:top w:val="none" w:sz="0" w:space="0" w:color="auto"/>
        <w:left w:val="none" w:sz="0" w:space="0" w:color="auto"/>
        <w:bottom w:val="none" w:sz="0" w:space="0" w:color="auto"/>
        <w:right w:val="none" w:sz="0" w:space="0" w:color="auto"/>
      </w:divBdr>
    </w:div>
    <w:div w:id="1386903917">
      <w:bodyDiv w:val="1"/>
      <w:marLeft w:val="0"/>
      <w:marRight w:val="0"/>
      <w:marTop w:val="0"/>
      <w:marBottom w:val="0"/>
      <w:divBdr>
        <w:top w:val="none" w:sz="0" w:space="0" w:color="auto"/>
        <w:left w:val="none" w:sz="0" w:space="0" w:color="auto"/>
        <w:bottom w:val="none" w:sz="0" w:space="0" w:color="auto"/>
        <w:right w:val="none" w:sz="0" w:space="0" w:color="auto"/>
      </w:divBdr>
    </w:div>
    <w:div w:id="1442148871">
      <w:bodyDiv w:val="1"/>
      <w:marLeft w:val="0"/>
      <w:marRight w:val="0"/>
      <w:marTop w:val="0"/>
      <w:marBottom w:val="0"/>
      <w:divBdr>
        <w:top w:val="none" w:sz="0" w:space="0" w:color="auto"/>
        <w:left w:val="none" w:sz="0" w:space="0" w:color="auto"/>
        <w:bottom w:val="none" w:sz="0" w:space="0" w:color="auto"/>
        <w:right w:val="none" w:sz="0" w:space="0" w:color="auto"/>
      </w:divBdr>
    </w:div>
    <w:div w:id="1446652824">
      <w:bodyDiv w:val="1"/>
      <w:marLeft w:val="0"/>
      <w:marRight w:val="0"/>
      <w:marTop w:val="0"/>
      <w:marBottom w:val="0"/>
      <w:divBdr>
        <w:top w:val="none" w:sz="0" w:space="0" w:color="auto"/>
        <w:left w:val="none" w:sz="0" w:space="0" w:color="auto"/>
        <w:bottom w:val="none" w:sz="0" w:space="0" w:color="auto"/>
        <w:right w:val="none" w:sz="0" w:space="0" w:color="auto"/>
      </w:divBdr>
    </w:div>
    <w:div w:id="1459638741">
      <w:bodyDiv w:val="1"/>
      <w:marLeft w:val="0"/>
      <w:marRight w:val="0"/>
      <w:marTop w:val="0"/>
      <w:marBottom w:val="0"/>
      <w:divBdr>
        <w:top w:val="none" w:sz="0" w:space="0" w:color="auto"/>
        <w:left w:val="none" w:sz="0" w:space="0" w:color="auto"/>
        <w:bottom w:val="none" w:sz="0" w:space="0" w:color="auto"/>
        <w:right w:val="none" w:sz="0" w:space="0" w:color="auto"/>
      </w:divBdr>
    </w:div>
    <w:div w:id="1473475412">
      <w:bodyDiv w:val="1"/>
      <w:marLeft w:val="0"/>
      <w:marRight w:val="0"/>
      <w:marTop w:val="0"/>
      <w:marBottom w:val="0"/>
      <w:divBdr>
        <w:top w:val="none" w:sz="0" w:space="0" w:color="auto"/>
        <w:left w:val="none" w:sz="0" w:space="0" w:color="auto"/>
        <w:bottom w:val="none" w:sz="0" w:space="0" w:color="auto"/>
        <w:right w:val="none" w:sz="0" w:space="0" w:color="auto"/>
      </w:divBdr>
    </w:div>
    <w:div w:id="1490630257">
      <w:bodyDiv w:val="1"/>
      <w:marLeft w:val="0"/>
      <w:marRight w:val="0"/>
      <w:marTop w:val="0"/>
      <w:marBottom w:val="0"/>
      <w:divBdr>
        <w:top w:val="none" w:sz="0" w:space="0" w:color="auto"/>
        <w:left w:val="none" w:sz="0" w:space="0" w:color="auto"/>
        <w:bottom w:val="none" w:sz="0" w:space="0" w:color="auto"/>
        <w:right w:val="none" w:sz="0" w:space="0" w:color="auto"/>
      </w:divBdr>
    </w:div>
    <w:div w:id="1520394333">
      <w:bodyDiv w:val="1"/>
      <w:marLeft w:val="0"/>
      <w:marRight w:val="0"/>
      <w:marTop w:val="0"/>
      <w:marBottom w:val="0"/>
      <w:divBdr>
        <w:top w:val="none" w:sz="0" w:space="0" w:color="auto"/>
        <w:left w:val="none" w:sz="0" w:space="0" w:color="auto"/>
        <w:bottom w:val="none" w:sz="0" w:space="0" w:color="auto"/>
        <w:right w:val="none" w:sz="0" w:space="0" w:color="auto"/>
      </w:divBdr>
    </w:div>
    <w:div w:id="1521165048">
      <w:bodyDiv w:val="1"/>
      <w:marLeft w:val="0"/>
      <w:marRight w:val="0"/>
      <w:marTop w:val="0"/>
      <w:marBottom w:val="0"/>
      <w:divBdr>
        <w:top w:val="none" w:sz="0" w:space="0" w:color="auto"/>
        <w:left w:val="none" w:sz="0" w:space="0" w:color="auto"/>
        <w:bottom w:val="none" w:sz="0" w:space="0" w:color="auto"/>
        <w:right w:val="none" w:sz="0" w:space="0" w:color="auto"/>
      </w:divBdr>
    </w:div>
    <w:div w:id="1525829738">
      <w:bodyDiv w:val="1"/>
      <w:marLeft w:val="0"/>
      <w:marRight w:val="0"/>
      <w:marTop w:val="0"/>
      <w:marBottom w:val="0"/>
      <w:divBdr>
        <w:top w:val="none" w:sz="0" w:space="0" w:color="auto"/>
        <w:left w:val="none" w:sz="0" w:space="0" w:color="auto"/>
        <w:bottom w:val="none" w:sz="0" w:space="0" w:color="auto"/>
        <w:right w:val="none" w:sz="0" w:space="0" w:color="auto"/>
      </w:divBdr>
    </w:div>
    <w:div w:id="1635326601">
      <w:bodyDiv w:val="1"/>
      <w:marLeft w:val="0"/>
      <w:marRight w:val="0"/>
      <w:marTop w:val="0"/>
      <w:marBottom w:val="0"/>
      <w:divBdr>
        <w:top w:val="none" w:sz="0" w:space="0" w:color="auto"/>
        <w:left w:val="none" w:sz="0" w:space="0" w:color="auto"/>
        <w:bottom w:val="none" w:sz="0" w:space="0" w:color="auto"/>
        <w:right w:val="none" w:sz="0" w:space="0" w:color="auto"/>
      </w:divBdr>
    </w:div>
    <w:div w:id="1718699450">
      <w:bodyDiv w:val="1"/>
      <w:marLeft w:val="0"/>
      <w:marRight w:val="0"/>
      <w:marTop w:val="0"/>
      <w:marBottom w:val="0"/>
      <w:divBdr>
        <w:top w:val="none" w:sz="0" w:space="0" w:color="auto"/>
        <w:left w:val="none" w:sz="0" w:space="0" w:color="auto"/>
        <w:bottom w:val="none" w:sz="0" w:space="0" w:color="auto"/>
        <w:right w:val="none" w:sz="0" w:space="0" w:color="auto"/>
      </w:divBdr>
    </w:div>
    <w:div w:id="1739739821">
      <w:bodyDiv w:val="1"/>
      <w:marLeft w:val="0"/>
      <w:marRight w:val="0"/>
      <w:marTop w:val="0"/>
      <w:marBottom w:val="0"/>
      <w:divBdr>
        <w:top w:val="none" w:sz="0" w:space="0" w:color="auto"/>
        <w:left w:val="none" w:sz="0" w:space="0" w:color="auto"/>
        <w:bottom w:val="none" w:sz="0" w:space="0" w:color="auto"/>
        <w:right w:val="none" w:sz="0" w:space="0" w:color="auto"/>
      </w:divBdr>
    </w:div>
    <w:div w:id="1788041181">
      <w:bodyDiv w:val="1"/>
      <w:marLeft w:val="0"/>
      <w:marRight w:val="0"/>
      <w:marTop w:val="0"/>
      <w:marBottom w:val="0"/>
      <w:divBdr>
        <w:top w:val="none" w:sz="0" w:space="0" w:color="auto"/>
        <w:left w:val="none" w:sz="0" w:space="0" w:color="auto"/>
        <w:bottom w:val="none" w:sz="0" w:space="0" w:color="auto"/>
        <w:right w:val="none" w:sz="0" w:space="0" w:color="auto"/>
      </w:divBdr>
    </w:div>
    <w:div w:id="1871531604">
      <w:bodyDiv w:val="1"/>
      <w:marLeft w:val="0"/>
      <w:marRight w:val="0"/>
      <w:marTop w:val="0"/>
      <w:marBottom w:val="0"/>
      <w:divBdr>
        <w:top w:val="none" w:sz="0" w:space="0" w:color="auto"/>
        <w:left w:val="none" w:sz="0" w:space="0" w:color="auto"/>
        <w:bottom w:val="none" w:sz="0" w:space="0" w:color="auto"/>
        <w:right w:val="none" w:sz="0" w:space="0" w:color="auto"/>
      </w:divBdr>
    </w:div>
    <w:div w:id="1878811465">
      <w:bodyDiv w:val="1"/>
      <w:marLeft w:val="0"/>
      <w:marRight w:val="0"/>
      <w:marTop w:val="0"/>
      <w:marBottom w:val="0"/>
      <w:divBdr>
        <w:top w:val="none" w:sz="0" w:space="0" w:color="auto"/>
        <w:left w:val="none" w:sz="0" w:space="0" w:color="auto"/>
        <w:bottom w:val="none" w:sz="0" w:space="0" w:color="auto"/>
        <w:right w:val="none" w:sz="0" w:space="0" w:color="auto"/>
      </w:divBdr>
    </w:div>
    <w:div w:id="1915048885">
      <w:bodyDiv w:val="1"/>
      <w:marLeft w:val="0"/>
      <w:marRight w:val="0"/>
      <w:marTop w:val="0"/>
      <w:marBottom w:val="0"/>
      <w:divBdr>
        <w:top w:val="none" w:sz="0" w:space="0" w:color="auto"/>
        <w:left w:val="none" w:sz="0" w:space="0" w:color="auto"/>
        <w:bottom w:val="none" w:sz="0" w:space="0" w:color="auto"/>
        <w:right w:val="none" w:sz="0" w:space="0" w:color="auto"/>
      </w:divBdr>
    </w:div>
    <w:div w:id="1973974777">
      <w:bodyDiv w:val="1"/>
      <w:marLeft w:val="0"/>
      <w:marRight w:val="0"/>
      <w:marTop w:val="0"/>
      <w:marBottom w:val="0"/>
      <w:divBdr>
        <w:top w:val="none" w:sz="0" w:space="0" w:color="auto"/>
        <w:left w:val="none" w:sz="0" w:space="0" w:color="auto"/>
        <w:bottom w:val="none" w:sz="0" w:space="0" w:color="auto"/>
        <w:right w:val="none" w:sz="0" w:space="0" w:color="auto"/>
      </w:divBdr>
    </w:div>
    <w:div w:id="1991208803">
      <w:bodyDiv w:val="1"/>
      <w:marLeft w:val="0"/>
      <w:marRight w:val="0"/>
      <w:marTop w:val="0"/>
      <w:marBottom w:val="0"/>
      <w:divBdr>
        <w:top w:val="none" w:sz="0" w:space="0" w:color="auto"/>
        <w:left w:val="none" w:sz="0" w:space="0" w:color="auto"/>
        <w:bottom w:val="none" w:sz="0" w:space="0" w:color="auto"/>
        <w:right w:val="none" w:sz="0" w:space="0" w:color="auto"/>
      </w:divBdr>
    </w:div>
    <w:div w:id="2056273418">
      <w:bodyDiv w:val="1"/>
      <w:marLeft w:val="0"/>
      <w:marRight w:val="0"/>
      <w:marTop w:val="0"/>
      <w:marBottom w:val="0"/>
      <w:divBdr>
        <w:top w:val="none" w:sz="0" w:space="0" w:color="auto"/>
        <w:left w:val="none" w:sz="0" w:space="0" w:color="auto"/>
        <w:bottom w:val="none" w:sz="0" w:space="0" w:color="auto"/>
        <w:right w:val="none" w:sz="0" w:space="0" w:color="auto"/>
      </w:divBdr>
    </w:div>
    <w:div w:id="2088257562">
      <w:bodyDiv w:val="1"/>
      <w:marLeft w:val="0"/>
      <w:marRight w:val="0"/>
      <w:marTop w:val="0"/>
      <w:marBottom w:val="0"/>
      <w:divBdr>
        <w:top w:val="none" w:sz="0" w:space="0" w:color="auto"/>
        <w:left w:val="none" w:sz="0" w:space="0" w:color="auto"/>
        <w:bottom w:val="none" w:sz="0" w:space="0" w:color="auto"/>
        <w:right w:val="none" w:sz="0" w:space="0" w:color="auto"/>
      </w:divBdr>
    </w:div>
    <w:div w:id="2105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tradingeconomics.com/china/composite-pmi" TargetMode="External"/><Relationship Id="rId3" Type="http://schemas.openxmlformats.org/officeDocument/2006/relationships/hyperlink" Target="https://www.un.org/development/desa/dpad/publication/world-economic-situation-and-prospects-2025/" TargetMode="External"/><Relationship Id="rId7" Type="http://schemas.openxmlformats.org/officeDocument/2006/relationships/hyperlink" Target="https://www.ilo.org/publications/flagship-reports/world-employment-and-social-outlook-trends-2025" TargetMode="External"/><Relationship Id="rId2" Type="http://schemas.openxmlformats.org/officeDocument/2006/relationships/hyperlink" Target="https://www.fitchratings.com/research/sovereigns/global-economic-outlook-march-2025-18-03-2025" TargetMode="External"/><Relationship Id="rId1" Type="http://schemas.openxmlformats.org/officeDocument/2006/relationships/hyperlink" Target="https://www.oecd.org/en/publications/oecd-economic-outlook-interim-report-march-2025_89af4857-en.html" TargetMode="External"/><Relationship Id="rId6" Type="http://schemas.openxmlformats.org/officeDocument/2006/relationships/hyperlink" Target="https://amro-asia.org/asean3-regional-economic-outlook-areo/" TargetMode="External"/><Relationship Id="rId5" Type="http://schemas.openxmlformats.org/officeDocument/2006/relationships/hyperlink" Target="https://www.imf.org/en/Publications/WEO/Issues/2025/01/17/world-economic-outlook-update-january-2025" TargetMode="External"/><Relationship Id="rId4" Type="http://schemas.openxmlformats.org/officeDocument/2006/relationships/hyperlink" Target="https://www.worldbank.org/en/publication/global-economic-prospects" TargetMode="External"/><Relationship Id="rId9" Type="http://schemas.openxmlformats.org/officeDocument/2006/relationships/hyperlink" Target="https://amro-asia.org/asean3-regional-economic-outlook-ar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F3AE-7FCC-415C-A53B-8F40DA87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5608</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ltthuyen</dc:creator>
  <cp:keywords/>
  <dc:description/>
  <cp:lastModifiedBy>Hoàng Thị Thanh Hà</cp:lastModifiedBy>
  <cp:revision>2</cp:revision>
  <cp:lastPrinted>2023-12-26T04:23:00Z</cp:lastPrinted>
  <dcterms:created xsi:type="dcterms:W3CDTF">2025-04-05T10:23:00Z</dcterms:created>
  <dcterms:modified xsi:type="dcterms:W3CDTF">2025-04-05T10:23:00Z</dcterms:modified>
</cp:coreProperties>
</file>