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64" w:type="dxa"/>
        <w:tblInd w:w="-106" w:type="dxa"/>
        <w:tblLayout w:type="fixed"/>
        <w:tblLook w:val="0000" w:firstRow="0" w:lastRow="0" w:firstColumn="0" w:lastColumn="0" w:noHBand="0" w:noVBand="0"/>
      </w:tblPr>
      <w:tblGrid>
        <w:gridCol w:w="3364"/>
        <w:gridCol w:w="6300"/>
      </w:tblGrid>
      <w:tr w:rsidR="00C30E94" w:rsidRPr="00C30E94" w14:paraId="5095AF65" w14:textId="77777777" w:rsidTr="00206E2F">
        <w:tc>
          <w:tcPr>
            <w:tcW w:w="3364" w:type="dxa"/>
          </w:tcPr>
          <w:p w14:paraId="792DFFF5" w14:textId="30DF8829" w:rsidR="003A35EA" w:rsidRPr="00C30E94" w:rsidRDefault="003A35EA" w:rsidP="00376242">
            <w:pPr>
              <w:ind w:left="14" w:right="-14"/>
              <w:jc w:val="center"/>
              <w:rPr>
                <w:spacing w:val="-6"/>
                <w:sz w:val="26"/>
                <w:szCs w:val="26"/>
              </w:rPr>
            </w:pPr>
            <w:r w:rsidRPr="00C30E94">
              <w:rPr>
                <w:spacing w:val="-6"/>
                <w:sz w:val="26"/>
                <w:szCs w:val="26"/>
              </w:rPr>
              <w:t xml:space="preserve">BỘ </w:t>
            </w:r>
            <w:r w:rsidR="00C832CB" w:rsidRPr="00C30E94">
              <w:rPr>
                <w:spacing w:val="-6"/>
                <w:sz w:val="26"/>
                <w:szCs w:val="26"/>
                <w:lang w:val="en-US"/>
              </w:rPr>
              <w:t>TÀI CHÍNH</w:t>
            </w:r>
          </w:p>
          <w:p w14:paraId="74C14ED0" w14:textId="319E346D" w:rsidR="003A35EA" w:rsidRPr="00C30E94" w:rsidRDefault="003A35EA" w:rsidP="00F359E0">
            <w:pPr>
              <w:spacing w:before="20"/>
              <w:ind w:left="16" w:right="-18"/>
              <w:jc w:val="center"/>
              <w:rPr>
                <w:b/>
                <w:bCs/>
                <w:spacing w:val="-6"/>
                <w:sz w:val="26"/>
                <w:szCs w:val="26"/>
              </w:rPr>
            </w:pPr>
            <w:r w:rsidRPr="00C30E94">
              <w:rPr>
                <w:b/>
                <w:bCs/>
                <w:spacing w:val="-6"/>
                <w:sz w:val="26"/>
                <w:szCs w:val="26"/>
              </w:rPr>
              <w:t>CỤC THỐNG KÊ</w:t>
            </w:r>
          </w:p>
          <w:p w14:paraId="36F988A9" w14:textId="77777777" w:rsidR="003A35EA" w:rsidRPr="00C30E94" w:rsidRDefault="00287F87" w:rsidP="00F359E0">
            <w:pPr>
              <w:spacing w:before="120"/>
              <w:ind w:left="16" w:right="-18"/>
              <w:jc w:val="both"/>
              <w:rPr>
                <w:sz w:val="12"/>
                <w:szCs w:val="26"/>
              </w:rPr>
            </w:pPr>
            <w:r w:rsidRPr="00C30E94">
              <w:rPr>
                <w:noProof/>
                <w:sz w:val="24"/>
                <w:lang w:val="en-US"/>
              </w:rPr>
              <mc:AlternateContent>
                <mc:Choice Requires="wps">
                  <w:drawing>
                    <wp:anchor distT="4294967295" distB="4294967295" distL="114300" distR="114300" simplePos="0" relativeHeight="251656704" behindDoc="0" locked="0" layoutInCell="1" allowOverlap="1" wp14:anchorId="77F540A0" wp14:editId="16BD1F6E">
                      <wp:simplePos x="0" y="0"/>
                      <wp:positionH relativeFrom="column">
                        <wp:posOffset>507365</wp:posOffset>
                      </wp:positionH>
                      <wp:positionV relativeFrom="paragraph">
                        <wp:posOffset>8255</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0C0F95E" id="Line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95pt,.65pt" to="11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" strokeweight="1pt"/>
                  </w:pict>
                </mc:Fallback>
              </mc:AlternateContent>
            </w:r>
          </w:p>
          <w:p w14:paraId="1DFC820E" w14:textId="4E5AB751" w:rsidR="003A35EA" w:rsidRPr="00C30E94" w:rsidRDefault="003A35EA" w:rsidP="002F276E">
            <w:pPr>
              <w:ind w:left="14" w:right="-14"/>
              <w:jc w:val="center"/>
            </w:pPr>
            <w:r w:rsidRPr="000F0802">
              <w:rPr>
                <w:sz w:val="26"/>
                <w:szCs w:val="26"/>
              </w:rPr>
              <w:t>Số</w:t>
            </w:r>
            <w:r w:rsidR="002558D1" w:rsidRPr="000F0802">
              <w:rPr>
                <w:sz w:val="26"/>
                <w:szCs w:val="26"/>
              </w:rPr>
              <w:t xml:space="preserve">: </w:t>
            </w:r>
            <w:r w:rsidR="000F0802">
              <w:rPr>
                <w:sz w:val="26"/>
                <w:szCs w:val="26"/>
                <w:lang w:val="en-US"/>
              </w:rPr>
              <w:t>01</w:t>
            </w:r>
            <w:r w:rsidR="009241D2" w:rsidRPr="000F0802">
              <w:rPr>
                <w:sz w:val="26"/>
                <w:szCs w:val="26"/>
              </w:rPr>
              <w:t>/</w:t>
            </w:r>
            <w:r w:rsidRPr="000F0802">
              <w:rPr>
                <w:sz w:val="26"/>
                <w:szCs w:val="26"/>
              </w:rPr>
              <w:t>BC-CTK</w:t>
            </w:r>
          </w:p>
        </w:tc>
        <w:tc>
          <w:tcPr>
            <w:tcW w:w="6300" w:type="dxa"/>
          </w:tcPr>
          <w:p w14:paraId="7B161193" w14:textId="77777777" w:rsidR="003A35EA" w:rsidRPr="00C30E94" w:rsidRDefault="003A35EA" w:rsidP="00376242">
            <w:pPr>
              <w:ind w:left="72"/>
              <w:jc w:val="center"/>
              <w:rPr>
                <w:b/>
                <w:bCs/>
                <w:sz w:val="26"/>
                <w:szCs w:val="26"/>
              </w:rPr>
            </w:pPr>
            <w:r w:rsidRPr="00C30E94">
              <w:rPr>
                <w:b/>
                <w:bCs/>
                <w:sz w:val="26"/>
                <w:szCs w:val="26"/>
              </w:rPr>
              <w:t>C</w:t>
            </w:r>
            <w:r w:rsidR="00CF457B" w:rsidRPr="00C30E94">
              <w:rPr>
                <w:b/>
                <w:bCs/>
                <w:sz w:val="26"/>
                <w:szCs w:val="26"/>
              </w:rPr>
              <w:t>ỘNG HÒA</w:t>
            </w:r>
            <w:r w:rsidRPr="00C30E94">
              <w:rPr>
                <w:b/>
                <w:bCs/>
                <w:sz w:val="26"/>
                <w:szCs w:val="26"/>
              </w:rPr>
              <w:t xml:space="preserve"> XÃ HỘI CHỦ NGHĨA VIỆT NAM</w:t>
            </w:r>
          </w:p>
          <w:p w14:paraId="18AD20FA" w14:textId="50ACBA8D" w:rsidR="003A35EA" w:rsidRPr="00C30E94" w:rsidRDefault="003A35EA" w:rsidP="00F359E0">
            <w:pPr>
              <w:spacing w:before="20"/>
              <w:ind w:left="72"/>
              <w:jc w:val="center"/>
              <w:rPr>
                <w:b/>
                <w:bCs/>
                <w:sz w:val="27"/>
                <w:szCs w:val="27"/>
                <w:lang w:val="en-US"/>
              </w:rPr>
            </w:pPr>
            <w:r w:rsidRPr="00C30E94">
              <w:rPr>
                <w:b/>
                <w:bCs/>
                <w:sz w:val="27"/>
                <w:szCs w:val="27"/>
              </w:rPr>
              <w:t>Độc lập</w:t>
            </w:r>
            <w:r w:rsidR="00CF457B" w:rsidRPr="00C30E94">
              <w:rPr>
                <w:b/>
                <w:bCs/>
                <w:sz w:val="27"/>
                <w:szCs w:val="27"/>
              </w:rPr>
              <w:t xml:space="preserve"> </w:t>
            </w:r>
            <w:r w:rsidRPr="00C30E94">
              <w:rPr>
                <w:b/>
                <w:bCs/>
                <w:sz w:val="27"/>
                <w:szCs w:val="27"/>
              </w:rPr>
              <w:t>-</w:t>
            </w:r>
            <w:r w:rsidR="00CF457B" w:rsidRPr="00C30E94">
              <w:rPr>
                <w:b/>
                <w:bCs/>
                <w:sz w:val="27"/>
                <w:szCs w:val="27"/>
              </w:rPr>
              <w:t xml:space="preserve"> </w:t>
            </w:r>
            <w:r w:rsidRPr="00C30E94">
              <w:rPr>
                <w:b/>
                <w:bCs/>
                <w:sz w:val="27"/>
                <w:szCs w:val="27"/>
              </w:rPr>
              <w:t>Tự do</w:t>
            </w:r>
            <w:r w:rsidR="00CF457B" w:rsidRPr="00C30E94">
              <w:rPr>
                <w:b/>
                <w:bCs/>
                <w:sz w:val="27"/>
                <w:szCs w:val="27"/>
              </w:rPr>
              <w:t xml:space="preserve"> </w:t>
            </w:r>
            <w:r w:rsidRPr="00C30E94">
              <w:rPr>
                <w:b/>
                <w:bCs/>
                <w:sz w:val="27"/>
                <w:szCs w:val="27"/>
              </w:rPr>
              <w:t>-</w:t>
            </w:r>
            <w:r w:rsidR="00CF457B" w:rsidRPr="00C30E94">
              <w:rPr>
                <w:b/>
                <w:bCs/>
                <w:sz w:val="27"/>
                <w:szCs w:val="27"/>
              </w:rPr>
              <w:t xml:space="preserve"> </w:t>
            </w:r>
            <w:r w:rsidRPr="00C30E94">
              <w:rPr>
                <w:b/>
                <w:bCs/>
                <w:sz w:val="27"/>
                <w:szCs w:val="27"/>
              </w:rPr>
              <w:t>Hạnh phúc</w:t>
            </w:r>
          </w:p>
          <w:p w14:paraId="44D6D1F0" w14:textId="77777777" w:rsidR="003A35EA" w:rsidRPr="00C30E94" w:rsidRDefault="00D849F4" w:rsidP="00F359E0">
            <w:pPr>
              <w:spacing w:before="120"/>
              <w:ind w:left="72"/>
              <w:jc w:val="center"/>
              <w:rPr>
                <w:i/>
                <w:iCs/>
                <w:sz w:val="12"/>
                <w:szCs w:val="26"/>
              </w:rPr>
            </w:pPr>
            <w:r w:rsidRPr="00C30E94">
              <w:rPr>
                <w:noProof/>
                <w:sz w:val="14"/>
                <w:lang w:val="en-US"/>
              </w:rPr>
              <mc:AlternateContent>
                <mc:Choice Requires="wps">
                  <w:drawing>
                    <wp:anchor distT="4294967295" distB="4294967295" distL="114300" distR="114300" simplePos="0" relativeHeight="251657728" behindDoc="0" locked="0" layoutInCell="1" allowOverlap="1" wp14:anchorId="706B889D" wp14:editId="6864DE14">
                      <wp:simplePos x="0" y="0"/>
                      <wp:positionH relativeFrom="column">
                        <wp:posOffset>1012825</wp:posOffset>
                      </wp:positionH>
                      <wp:positionV relativeFrom="paragraph">
                        <wp:posOffset>17145</wp:posOffset>
                      </wp:positionV>
                      <wp:extent cx="188404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7EB1030"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75pt,1.35pt" to="22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TpEwIAACk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" strokeweight="1pt"/>
                  </w:pict>
                </mc:Fallback>
              </mc:AlternateContent>
            </w:r>
          </w:p>
          <w:p w14:paraId="0040CA18" w14:textId="07CDB587" w:rsidR="003A35EA" w:rsidRPr="00C30E94" w:rsidRDefault="003A35EA" w:rsidP="00761FD8">
            <w:pPr>
              <w:ind w:left="72"/>
              <w:jc w:val="center"/>
              <w:rPr>
                <w:rFonts w:ascii=".VnTime" w:hAnsi=".VnTime" w:cs=".VnTime"/>
                <w:b/>
                <w:bCs/>
                <w:i/>
                <w:iCs/>
              </w:rPr>
            </w:pPr>
            <w:r w:rsidRPr="00C30E94">
              <w:rPr>
                <w:i/>
                <w:iCs/>
              </w:rPr>
              <w:t>Hà Nội, ngày</w:t>
            </w:r>
            <w:r w:rsidR="00597A54" w:rsidRPr="00C30E94">
              <w:rPr>
                <w:i/>
                <w:iCs/>
              </w:rPr>
              <w:t xml:space="preserve"> </w:t>
            </w:r>
            <w:r w:rsidR="00AA500A" w:rsidRPr="00C30E94">
              <w:rPr>
                <w:i/>
                <w:iCs/>
                <w:lang w:val="en-US"/>
              </w:rPr>
              <w:t>06</w:t>
            </w:r>
            <w:r w:rsidR="00597A54" w:rsidRPr="00C30E94">
              <w:rPr>
                <w:i/>
                <w:iCs/>
              </w:rPr>
              <w:t xml:space="preserve"> </w:t>
            </w:r>
            <w:r w:rsidRPr="00C30E94">
              <w:rPr>
                <w:i/>
                <w:iCs/>
              </w:rPr>
              <w:t xml:space="preserve">tháng </w:t>
            </w:r>
            <w:r w:rsidR="00C832CB" w:rsidRPr="00C30E94">
              <w:rPr>
                <w:i/>
                <w:iCs/>
                <w:lang w:val="en-US"/>
              </w:rPr>
              <w:t>3</w:t>
            </w:r>
            <w:r w:rsidRPr="00C30E94">
              <w:rPr>
                <w:i/>
                <w:iCs/>
              </w:rPr>
              <w:t xml:space="preserve"> năm 20</w:t>
            </w:r>
            <w:r w:rsidR="00CF457B" w:rsidRPr="00C30E94">
              <w:rPr>
                <w:i/>
                <w:iCs/>
              </w:rPr>
              <w:t>2</w:t>
            </w:r>
            <w:r w:rsidR="00FB255D" w:rsidRPr="00C30E94">
              <w:rPr>
                <w:i/>
                <w:iCs/>
              </w:rPr>
              <w:t>5</w:t>
            </w:r>
          </w:p>
        </w:tc>
      </w:tr>
    </w:tbl>
    <w:p w14:paraId="197683C5" w14:textId="77777777" w:rsidR="003A35EA" w:rsidRPr="00C30E94" w:rsidRDefault="003A35EA" w:rsidP="0016207C">
      <w:pPr>
        <w:spacing w:line="276" w:lineRule="auto"/>
        <w:jc w:val="center"/>
        <w:rPr>
          <w:rFonts w:ascii=".VnArialH" w:hAnsi=".VnArialH" w:cs=".VnArialH"/>
          <w:b/>
          <w:bCs/>
          <w:sz w:val="2"/>
          <w:szCs w:val="2"/>
        </w:rPr>
      </w:pPr>
    </w:p>
    <w:p w14:paraId="682DF106" w14:textId="77777777" w:rsidR="00156BA8" w:rsidRPr="00C30E94" w:rsidRDefault="00156BA8" w:rsidP="00156BA8">
      <w:pPr>
        <w:jc w:val="center"/>
        <w:rPr>
          <w:b/>
          <w:bCs/>
          <w:sz w:val="26"/>
          <w:szCs w:val="18"/>
        </w:rPr>
      </w:pPr>
    </w:p>
    <w:p w14:paraId="51BA846E" w14:textId="6026720F" w:rsidR="00C144DC" w:rsidRPr="00C30E94" w:rsidRDefault="00C144DC" w:rsidP="00156BA8">
      <w:pPr>
        <w:jc w:val="center"/>
        <w:rPr>
          <w:b/>
          <w:bCs/>
          <w:sz w:val="30"/>
          <w:szCs w:val="30"/>
          <w:lang w:val="en-US"/>
        </w:rPr>
      </w:pPr>
      <w:r w:rsidRPr="00C30E94">
        <w:rPr>
          <w:b/>
          <w:bCs/>
          <w:sz w:val="30"/>
          <w:szCs w:val="30"/>
        </w:rPr>
        <w:t>BÁO CÁO</w:t>
      </w:r>
    </w:p>
    <w:p w14:paraId="7B7746CD" w14:textId="6E4A1FE1" w:rsidR="00C144DC" w:rsidRPr="00C30E94" w:rsidRDefault="00C144DC" w:rsidP="00C144DC">
      <w:pPr>
        <w:spacing w:before="20"/>
        <w:jc w:val="center"/>
        <w:rPr>
          <w:b/>
          <w:bCs/>
          <w:sz w:val="30"/>
          <w:szCs w:val="30"/>
        </w:rPr>
      </w:pPr>
      <w:r w:rsidRPr="00C30E94">
        <w:rPr>
          <w:b/>
          <w:bCs/>
          <w:sz w:val="30"/>
          <w:szCs w:val="30"/>
        </w:rPr>
        <w:t xml:space="preserve">TÌNH HÌNH KINH TẾ </w:t>
      </w:r>
      <w:r w:rsidRPr="00C30E94">
        <w:rPr>
          <w:bCs/>
          <w:sz w:val="30"/>
          <w:szCs w:val="30"/>
        </w:rPr>
        <w:t>-</w:t>
      </w:r>
      <w:r w:rsidRPr="00C30E94">
        <w:rPr>
          <w:b/>
          <w:bCs/>
          <w:sz w:val="30"/>
          <w:szCs w:val="30"/>
        </w:rPr>
        <w:t xml:space="preserve"> XÃ HỘI</w:t>
      </w:r>
      <w:r w:rsidRPr="00C30E94">
        <w:rPr>
          <w:b/>
          <w:bCs/>
          <w:sz w:val="30"/>
          <w:szCs w:val="30"/>
        </w:rPr>
        <w:br/>
        <w:t xml:space="preserve">THÁNG </w:t>
      </w:r>
      <w:r w:rsidR="00C832CB" w:rsidRPr="00C30E94">
        <w:rPr>
          <w:b/>
          <w:bCs/>
          <w:sz w:val="30"/>
          <w:szCs w:val="30"/>
          <w:lang w:val="en-US"/>
        </w:rPr>
        <w:t>HAI VÀ 02 THÁNG ĐẦU</w:t>
      </w:r>
      <w:r w:rsidRPr="00C30E94">
        <w:rPr>
          <w:b/>
          <w:bCs/>
          <w:sz w:val="30"/>
          <w:szCs w:val="30"/>
        </w:rPr>
        <w:t xml:space="preserve"> NĂM 202</w:t>
      </w:r>
      <w:r w:rsidR="00FB255D" w:rsidRPr="00C30E94">
        <w:rPr>
          <w:b/>
          <w:bCs/>
          <w:sz w:val="30"/>
          <w:szCs w:val="30"/>
        </w:rPr>
        <w:t>5</w:t>
      </w:r>
    </w:p>
    <w:p w14:paraId="29E41452" w14:textId="77777777" w:rsidR="00C144DC" w:rsidRPr="00C30E94" w:rsidRDefault="00287F87" w:rsidP="00C144DC">
      <w:pPr>
        <w:spacing w:before="20"/>
        <w:jc w:val="center"/>
        <w:rPr>
          <w:rFonts w:ascii="Arial" w:hAnsi="Arial" w:cs="Arial"/>
          <w:b/>
          <w:bCs/>
          <w:sz w:val="38"/>
          <w:szCs w:val="52"/>
        </w:rPr>
      </w:pPr>
      <w:r w:rsidRPr="00C30E94">
        <w:rPr>
          <w:noProof/>
          <w:lang w:val="en-US"/>
        </w:rPr>
        <mc:AlternateContent>
          <mc:Choice Requires="wps">
            <w:drawing>
              <wp:anchor distT="4294967294" distB="4294967294" distL="114300" distR="114300" simplePos="0" relativeHeight="251660800" behindDoc="0" locked="0" layoutInCell="1" allowOverlap="1" wp14:anchorId="00A8869A" wp14:editId="5C40738C">
                <wp:simplePos x="0" y="0"/>
                <wp:positionH relativeFrom="column">
                  <wp:posOffset>2136140</wp:posOffset>
                </wp:positionH>
                <wp:positionV relativeFrom="paragraph">
                  <wp:posOffset>26034</wp:posOffset>
                </wp:positionV>
                <wp:extent cx="1412875" cy="0"/>
                <wp:effectExtent l="0" t="0" r="1587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412E974B"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1AFC0BAB" w14:textId="77777777" w:rsidR="009E7DEF" w:rsidRPr="00C30E94" w:rsidRDefault="009E7DEF" w:rsidP="009E7DEF">
      <w:pPr>
        <w:spacing w:after="120" w:line="264" w:lineRule="auto"/>
        <w:ind w:firstLine="720"/>
        <w:jc w:val="both"/>
        <w:rPr>
          <w:b/>
          <w:bCs/>
        </w:rPr>
      </w:pPr>
      <w:r w:rsidRPr="00C30E94">
        <w:rPr>
          <w:b/>
          <w:bCs/>
        </w:rPr>
        <w:t>1. Sản xuất nông, lâm nghiệp và thủy sản</w:t>
      </w:r>
    </w:p>
    <w:p w14:paraId="52586ADF" w14:textId="33F13313" w:rsidR="009E7DEF" w:rsidRPr="00C30E94" w:rsidRDefault="009E7DEF" w:rsidP="009E7DEF">
      <w:pPr>
        <w:tabs>
          <w:tab w:val="left" w:pos="360"/>
          <w:tab w:val="left" w:pos="1134"/>
        </w:tabs>
        <w:spacing w:after="120" w:line="264" w:lineRule="auto"/>
        <w:ind w:firstLine="720"/>
        <w:jc w:val="both"/>
        <w:rPr>
          <w:i/>
          <w:iCs/>
          <w:lang w:val="en-US"/>
        </w:rPr>
      </w:pPr>
      <w:r w:rsidRPr="00C30E94">
        <w:rPr>
          <w:bCs/>
          <w:i/>
        </w:rPr>
        <w:t xml:space="preserve">Sản xuất nông nghiệp trong tháng Hai </w:t>
      </w:r>
      <w:r w:rsidRPr="00C30E94">
        <w:rPr>
          <w:i/>
        </w:rPr>
        <w:t>tập trung vào gieo cấy, chăm sóc lúa và rau màu vụ đông xuân trên cả nước</w:t>
      </w:r>
      <w:r w:rsidRPr="00C30E94">
        <w:rPr>
          <w:i/>
          <w:iCs/>
        </w:rPr>
        <w:t>. Chăn nuôi lợn và gia cầm phát triển ổn định.</w:t>
      </w:r>
      <w:r w:rsidRPr="00C30E94">
        <w:rPr>
          <w:i/>
          <w:lang w:val="de-DE"/>
        </w:rPr>
        <w:t xml:space="preserve"> Sản xuất lâm nghiệp chủ yếu trồng rừng theo kế hoạch và triển khai thực hiện “Tết trồng cây đời đời nhớ ơn Bác Hồ” Xuân Ất Tỵ 2025. Sản lượng gỗ khai thác tăng mạnh so với cùng kỳ năm trước.</w:t>
      </w:r>
      <w:r w:rsidRPr="00C30E94">
        <w:rPr>
          <w:bCs/>
          <w:i/>
          <w:iCs/>
        </w:rPr>
        <w:t xml:space="preserve"> </w:t>
      </w:r>
      <w:r w:rsidR="003E5E2A">
        <w:rPr>
          <w:bCs/>
          <w:i/>
          <w:iCs/>
          <w:lang w:val="en-US"/>
        </w:rPr>
        <w:t xml:space="preserve">Sản lượng thủy sản </w:t>
      </w:r>
      <w:r w:rsidRPr="00C30E94">
        <w:rPr>
          <w:bCs/>
          <w:i/>
          <w:iCs/>
        </w:rPr>
        <w:t>khai thác biển đạt khá, nuôi trồng thủy sản thuận lợi khi giá các sản phẩm nuôi trồng tăng cao.</w:t>
      </w:r>
      <w:r w:rsidRPr="00C30E94">
        <w:rPr>
          <w:i/>
          <w:iCs/>
        </w:rPr>
        <w:t xml:space="preserve"> </w:t>
      </w:r>
    </w:p>
    <w:p w14:paraId="2508DF5B" w14:textId="77777777" w:rsidR="009E7DEF" w:rsidRPr="00C30E94" w:rsidRDefault="009E7DEF" w:rsidP="009E7DEF">
      <w:pPr>
        <w:tabs>
          <w:tab w:val="left" w:pos="360"/>
          <w:tab w:val="left" w:pos="1134"/>
        </w:tabs>
        <w:spacing w:after="120" w:line="264" w:lineRule="auto"/>
        <w:ind w:firstLine="720"/>
        <w:jc w:val="both"/>
        <w:rPr>
          <w:b/>
          <w:bCs/>
          <w:i/>
          <w:iCs/>
          <w:lang w:val="sv-SE"/>
        </w:rPr>
      </w:pPr>
      <w:r w:rsidRPr="00C30E94">
        <w:rPr>
          <w:b/>
          <w:bCs/>
          <w:i/>
          <w:iCs/>
          <w:lang w:val="sv-SE"/>
        </w:rPr>
        <w:t xml:space="preserve">a) Nông nghiệp </w:t>
      </w:r>
    </w:p>
    <w:p w14:paraId="606D6093" w14:textId="474122E3" w:rsidR="009E7DEF" w:rsidRPr="00DB4D6C" w:rsidRDefault="009E7DEF" w:rsidP="009E7DEF">
      <w:pPr>
        <w:tabs>
          <w:tab w:val="left" w:pos="720"/>
        </w:tabs>
        <w:spacing w:after="120" w:line="264" w:lineRule="auto"/>
        <w:ind w:firstLine="720"/>
        <w:jc w:val="both"/>
        <w:rPr>
          <w:lang w:val="af-ZA"/>
        </w:rPr>
      </w:pPr>
      <w:r w:rsidRPr="00C30E94">
        <w:rPr>
          <w:lang w:val="af-ZA"/>
        </w:rPr>
        <w:t>Tính đến ngày 20/</w:t>
      </w:r>
      <w:r w:rsidR="003E5E2A">
        <w:rPr>
          <w:lang w:val="af-ZA"/>
        </w:rPr>
        <w:t>0</w:t>
      </w:r>
      <w:r w:rsidRPr="00C30E94">
        <w:rPr>
          <w:lang w:val="af-ZA"/>
        </w:rPr>
        <w:t xml:space="preserve">2/2025, cả nước đã gieo cấy được 2.756,1 nghìn ha lúa đông xuân, tăng 4,2% so với cùng kỳ năm trước. Trong đó các địa phương phía Bắc gieo cấy được 852,4 nghìn ha, tăng 12,0%; các địa phương phía Nam gieo cấy 1.903,7 nghìn ha, tăng 1,1%. Tiến độ gieo cấy lúa đông xuân ở miền Bắc tăng khá do sau Tết Nguyên đán, thời tiết thuận lợi, nhiều địa phương tranh thủ đẩy nhanh </w:t>
      </w:r>
      <w:r w:rsidRPr="00DB4D6C">
        <w:rPr>
          <w:lang w:val="af-ZA"/>
        </w:rPr>
        <w:t>tiến độ gieo cấy. Một số địa phương có diện tích gieo cấy tăng mạnh so với cùng kỳ năm trước: Nam Định đạt 70,1 nghìn ha, tăng 73,4%; Hà Nội đạt 55,6 nghìn ha, tăng 160%; Bắc Giang đạt 21,6 nghìn ha, tăng 18,5%; Bắc Ninh đạt 18,8 nghìn ha, tăng 29,7%.</w:t>
      </w:r>
    </w:p>
    <w:p w14:paraId="5F1EE248" w14:textId="55289C94" w:rsidR="009E7DEF" w:rsidRPr="00C30E94" w:rsidRDefault="009E7DEF" w:rsidP="009E7DEF">
      <w:pPr>
        <w:tabs>
          <w:tab w:val="left" w:pos="720"/>
        </w:tabs>
        <w:spacing w:after="120" w:line="264" w:lineRule="auto"/>
        <w:ind w:firstLine="720"/>
        <w:jc w:val="both"/>
        <w:rPr>
          <w:lang w:val="af-ZA"/>
        </w:rPr>
      </w:pPr>
      <w:r w:rsidRPr="00DB4D6C">
        <w:rPr>
          <w:lang w:val="pl-PL"/>
        </w:rPr>
        <w:t xml:space="preserve">Các địa phương phía Nam đến nay </w:t>
      </w:r>
      <w:r w:rsidRPr="00DB4D6C">
        <w:rPr>
          <w:bCs/>
          <w:iCs/>
        </w:rPr>
        <w:t xml:space="preserve">cơ bản hoàn thành gieo cấy lúa </w:t>
      </w:r>
      <w:r w:rsidRPr="00DB4D6C">
        <w:rPr>
          <w:bCs/>
          <w:iCs/>
          <w:lang w:val="nl-NL"/>
        </w:rPr>
        <w:t>đ</w:t>
      </w:r>
      <w:r w:rsidRPr="00DB4D6C">
        <w:rPr>
          <w:bCs/>
          <w:iCs/>
        </w:rPr>
        <w:t>ông xuân</w:t>
      </w:r>
      <w:r w:rsidRPr="00DB4D6C">
        <w:rPr>
          <w:bCs/>
          <w:iCs/>
          <w:lang w:val="nl-NL"/>
        </w:rPr>
        <w:t xml:space="preserve"> và bắt đầu thu</w:t>
      </w:r>
      <w:r w:rsidRPr="00C30E94">
        <w:rPr>
          <w:bCs/>
          <w:iCs/>
          <w:lang w:val="nl-NL"/>
        </w:rPr>
        <w:t xml:space="preserve"> hoạch ở một số trà lúa sớm.</w:t>
      </w:r>
      <w:r w:rsidRPr="00C30E94">
        <w:rPr>
          <w:bCs/>
          <w:iCs/>
        </w:rPr>
        <w:t xml:space="preserve"> </w:t>
      </w:r>
      <w:r w:rsidR="003E5E2A">
        <w:rPr>
          <w:bCs/>
          <w:iCs/>
          <w:lang w:val="en-US"/>
        </w:rPr>
        <w:t xml:space="preserve">Tại </w:t>
      </w:r>
      <w:r w:rsidRPr="00C30E94">
        <w:rPr>
          <w:bCs/>
          <w:iCs/>
        </w:rPr>
        <w:t>V</w:t>
      </w:r>
      <w:r w:rsidRPr="00C30E94">
        <w:rPr>
          <w:lang w:val="af-ZA"/>
        </w:rPr>
        <w:t xml:space="preserve">ùng Đồng bằng sông Cửu Long diện tích gieo cấy lúa đông xuân đạt 1.505,0 nghìn ha, tăng 1,2% so với cùng kỳ năm trước. Một số địa phương chủ động xuống giống sớm nhằm tránh hạn mặn như Bến Tre đạt 7,6 nghìn ha, tăng 6,8 nghìn ha; Bạc Liêu đạt 58,2 nghìn ha, tăng 12,3 nghìn ha; Long An đạt 239,7 nghìn ha, tăng 3,9 nghìn ha. Nhờ lịch xuống giống sớm, tiến độ thu hoạch lúa đông xuân tại vùng Đồng bằng sông Cửu Long cũng diễn ra nhanh hơn; đến nay cả vùng đã thu hoạch được 395,4 nghìn ha, bằng 139,2% so với cùng kỳ năm 2024. </w:t>
      </w:r>
      <w:r w:rsidRPr="00C30E94">
        <w:rPr>
          <w:lang w:val="pl-PL"/>
        </w:rPr>
        <w:t xml:space="preserve"> </w:t>
      </w:r>
    </w:p>
    <w:p w14:paraId="3EDBE02A" w14:textId="77777777" w:rsidR="009E7DEF" w:rsidRPr="00C30E94" w:rsidRDefault="009E7DEF" w:rsidP="009E7DEF">
      <w:pPr>
        <w:spacing w:after="120" w:line="264" w:lineRule="auto"/>
        <w:ind w:firstLine="720"/>
        <w:jc w:val="both"/>
        <w:rPr>
          <w:lang w:val="pl-PL"/>
        </w:rPr>
      </w:pPr>
      <w:r w:rsidRPr="00C30E94">
        <w:rPr>
          <w:iCs/>
          <w:lang w:val="pl-PL"/>
        </w:rPr>
        <w:t xml:space="preserve">Cùng với việc gieo cấy lúa đông xuân, </w:t>
      </w:r>
      <w:r w:rsidRPr="00C30E94">
        <w:rPr>
          <w:lang w:val="pl-PL"/>
        </w:rPr>
        <w:t>các địa phương trên cả nước đang tiến hành gieo trồng cây hoa màu. Diện tích một số cây trồng như khoai lang, đậu tương giảm so với cùng kỳ năm trước chủ yếu do hiệu quả kinh tế không cao và gặp khó khăn trong khâu tiêu thụ sản phẩm</w:t>
      </w:r>
      <w:r w:rsidRPr="00C30E94">
        <w:rPr>
          <w:iCs/>
          <w:lang w:val="pl-PL"/>
        </w:rPr>
        <w:t>.</w:t>
      </w:r>
      <w:r w:rsidRPr="00C30E94">
        <w:rPr>
          <w:lang w:val="pl-PL"/>
        </w:rPr>
        <w:t xml:space="preserve"> </w:t>
      </w:r>
    </w:p>
    <w:p w14:paraId="14337657" w14:textId="77777777" w:rsidR="009E7DEF" w:rsidRPr="00C30E94" w:rsidRDefault="009E7DEF" w:rsidP="009E7DEF">
      <w:pPr>
        <w:spacing w:before="40" w:after="40" w:line="268" w:lineRule="auto"/>
        <w:jc w:val="center"/>
        <w:rPr>
          <w:rFonts w:ascii="Arial" w:hAnsi="Arial" w:cs="Arial"/>
          <w:b/>
          <w:sz w:val="24"/>
          <w:szCs w:val="24"/>
          <w:lang w:val="de-DE"/>
        </w:rPr>
      </w:pPr>
      <w:r w:rsidRPr="00C30E94">
        <w:rPr>
          <w:rFonts w:ascii="Arial" w:hAnsi="Arial" w:cs="Arial"/>
          <w:b/>
          <w:sz w:val="24"/>
          <w:szCs w:val="24"/>
          <w:lang w:val="de-DE"/>
        </w:rPr>
        <w:lastRenderedPageBreak/>
        <w:t>Hình 1. Gieo trồng một số cây hàng năm</w:t>
      </w:r>
    </w:p>
    <w:p w14:paraId="154F9B3C" w14:textId="77777777" w:rsidR="009E7DEF" w:rsidRPr="00C30E94" w:rsidRDefault="009E7DEF" w:rsidP="009E7DEF">
      <w:pPr>
        <w:spacing w:before="40" w:after="40" w:line="268" w:lineRule="auto"/>
        <w:jc w:val="center"/>
        <w:rPr>
          <w:rFonts w:ascii="Arial" w:hAnsi="Arial" w:cs="Arial"/>
          <w:sz w:val="24"/>
          <w:szCs w:val="24"/>
          <w:lang w:val="de-DE"/>
        </w:rPr>
      </w:pPr>
      <w:r w:rsidRPr="00C30E94">
        <w:rPr>
          <w:rFonts w:ascii="Arial" w:hAnsi="Arial" w:cs="Arial"/>
          <w:sz w:val="24"/>
          <w:szCs w:val="24"/>
          <w:lang w:val="de-DE"/>
        </w:rPr>
        <w:t>(Tính đến 20/02/2025)</w:t>
      </w:r>
    </w:p>
    <w:p w14:paraId="2A03060B" w14:textId="77777777" w:rsidR="009E7DEF" w:rsidRPr="00C30E94" w:rsidRDefault="009E7DEF" w:rsidP="009E7DEF">
      <w:pPr>
        <w:spacing w:before="40" w:after="40" w:line="268" w:lineRule="auto"/>
        <w:jc w:val="center"/>
        <w:rPr>
          <w:lang w:val="pl-PL"/>
        </w:rPr>
      </w:pPr>
      <w:r w:rsidRPr="00C30E94">
        <w:rPr>
          <w:noProof/>
          <w:lang w:val="en-US"/>
        </w:rPr>
        <w:drawing>
          <wp:inline distT="0" distB="0" distL="0" distR="0" wp14:anchorId="2E7F66FC" wp14:editId="7CE1ABD6">
            <wp:extent cx="5736583" cy="1617784"/>
            <wp:effectExtent l="0" t="0" r="0" b="1905"/>
            <wp:docPr id="1638988025"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88025" name="Picture 3"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720" cy="1625155"/>
                    </a:xfrm>
                    <a:prstGeom prst="rect">
                      <a:avLst/>
                    </a:prstGeom>
                    <a:noFill/>
                    <a:ln>
                      <a:noFill/>
                    </a:ln>
                  </pic:spPr>
                </pic:pic>
              </a:graphicData>
            </a:graphic>
          </wp:inline>
        </w:drawing>
      </w:r>
    </w:p>
    <w:p w14:paraId="46CB4B6A" w14:textId="77777777" w:rsidR="009E7DEF" w:rsidRPr="00C30E94" w:rsidRDefault="009E7DEF" w:rsidP="009E7DEF">
      <w:pPr>
        <w:shd w:val="clear" w:color="auto" w:fill="FFFFFF" w:themeFill="background1"/>
        <w:spacing w:after="120" w:line="264" w:lineRule="auto"/>
        <w:ind w:firstLine="720"/>
        <w:jc w:val="both"/>
        <w:rPr>
          <w:i/>
          <w:iCs/>
        </w:rPr>
      </w:pPr>
      <w:r w:rsidRPr="00C30E94">
        <w:t>Chăn nuôi trâu, bò có xu hướng giảm</w:t>
      </w:r>
      <w:r w:rsidRPr="00C30E94">
        <w:rPr>
          <w:rStyle w:val="FootnoteReference"/>
          <w:rFonts w:eastAsiaTheme="majorEastAsia"/>
          <w:lang w:val="pt-BR"/>
        </w:rPr>
        <w:footnoteReference w:id="1"/>
      </w:r>
      <w:r w:rsidRPr="00C30E94">
        <w:t>. Chăn nuôi lợn và gia cầm phát triển tốt nhờ kiểm soát dịch bệnh hiệu quả, giá cả và thị trường tiêu thụ ổn định tạo điều kiện thuận lợi cho người chăn nuôi mở rộng sản xuất và nâng cao chất lượng sản phẩm. Tuy nhiên, t</w:t>
      </w:r>
      <w:r w:rsidRPr="00C30E94">
        <w:rPr>
          <w:lang w:val="pl-PL"/>
        </w:rPr>
        <w:t xml:space="preserve">rong những tháng đầu năm, thời tiết ở các địa phương phía Bắc dễ phát sinh </w:t>
      </w:r>
      <w:r w:rsidRPr="00C30E94">
        <w:rPr>
          <w:lang w:val="pt-BR"/>
        </w:rPr>
        <w:t>dịch bệnh cho gia súc, gia cầm, vì vậy người chăn nuôi cần tăng cường các biện pháp kiểm soát, phòng chống dịch bệnh và đảm bảo an toàn cho đàn vật nuôi</w:t>
      </w:r>
      <w:r w:rsidRPr="00C30E94">
        <w:rPr>
          <w:lang w:val="pl-PL"/>
        </w:rPr>
        <w:t xml:space="preserve">. </w:t>
      </w:r>
    </w:p>
    <w:p w14:paraId="00190C96" w14:textId="77777777" w:rsidR="009E7DEF" w:rsidRPr="00C30E94" w:rsidRDefault="009E7DEF" w:rsidP="009E7DEF">
      <w:pPr>
        <w:spacing w:before="120"/>
        <w:jc w:val="center"/>
        <w:rPr>
          <w:rFonts w:ascii="Arial" w:hAnsi="Arial" w:cs="Arial"/>
          <w:b/>
          <w:sz w:val="24"/>
          <w:szCs w:val="24"/>
          <w:lang w:val="de-DE"/>
        </w:rPr>
      </w:pPr>
      <w:r w:rsidRPr="00C30E94">
        <w:rPr>
          <w:rFonts w:ascii="Arial" w:hAnsi="Arial" w:cs="Arial"/>
          <w:b/>
          <w:sz w:val="24"/>
          <w:szCs w:val="24"/>
          <w:lang w:val="pl-PL"/>
        </w:rPr>
        <w:t xml:space="preserve">Hình 2. </w:t>
      </w:r>
      <w:r w:rsidRPr="00C30E94">
        <w:rPr>
          <w:rFonts w:ascii="Arial" w:hAnsi="Arial" w:cs="Arial"/>
          <w:b/>
          <w:sz w:val="24"/>
          <w:szCs w:val="24"/>
          <w:lang w:val="de-DE"/>
        </w:rPr>
        <w:t>Tốc độ tăng/giảm số lượng gia súc, gia cầm</w:t>
      </w:r>
    </w:p>
    <w:p w14:paraId="5C047942" w14:textId="77777777" w:rsidR="009E7DEF" w:rsidRPr="00C30E94" w:rsidRDefault="009E7DEF" w:rsidP="009E7DEF">
      <w:pPr>
        <w:spacing w:after="120"/>
        <w:jc w:val="center"/>
        <w:rPr>
          <w:rFonts w:ascii="Arial" w:hAnsi="Arial" w:cs="Arial"/>
          <w:b/>
          <w:sz w:val="24"/>
          <w:szCs w:val="24"/>
          <w:lang w:val="de-DE"/>
        </w:rPr>
      </w:pPr>
      <w:r w:rsidRPr="00C30E94">
        <w:rPr>
          <w:rFonts w:ascii="Arial" w:hAnsi="Arial" w:cs="Arial"/>
          <w:b/>
          <w:sz w:val="24"/>
          <w:szCs w:val="24"/>
          <w:lang w:val="de-DE"/>
        </w:rPr>
        <w:t>cuối tháng 02/2025 so với cùng thời điểm năm trước</w:t>
      </w:r>
    </w:p>
    <w:p w14:paraId="32ACBD9C" w14:textId="77777777" w:rsidR="009E7DEF" w:rsidRPr="00C30E94" w:rsidRDefault="009E7DEF" w:rsidP="009E7DEF">
      <w:pPr>
        <w:jc w:val="center"/>
        <w:rPr>
          <w:rFonts w:ascii="Arial" w:hAnsi="Arial" w:cs="Arial"/>
          <w:b/>
          <w:sz w:val="24"/>
          <w:szCs w:val="24"/>
          <w:lang w:val="de-DE"/>
        </w:rPr>
      </w:pPr>
      <w:r w:rsidRPr="00C30E94">
        <w:rPr>
          <w:noProof/>
          <w:lang w:val="en-US"/>
        </w:rPr>
        <w:drawing>
          <wp:inline distT="0" distB="0" distL="0" distR="0" wp14:anchorId="257BBC2E" wp14:editId="4E7B5B77">
            <wp:extent cx="5761355" cy="1336431"/>
            <wp:effectExtent l="0" t="0" r="0" b="0"/>
            <wp:docPr id="1005063367" name="Picture 1" descr="A comparison of anima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63367" name="Picture 1" descr="A comparison of animals and number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7310" cy="1337812"/>
                    </a:xfrm>
                    <a:prstGeom prst="rect">
                      <a:avLst/>
                    </a:prstGeom>
                    <a:noFill/>
                    <a:ln>
                      <a:noFill/>
                    </a:ln>
                  </pic:spPr>
                </pic:pic>
              </a:graphicData>
            </a:graphic>
          </wp:inline>
        </w:drawing>
      </w:r>
    </w:p>
    <w:p w14:paraId="27F2C89D" w14:textId="11A1FC63" w:rsidR="009E7DEF" w:rsidRPr="00C30E94" w:rsidRDefault="009E7DEF" w:rsidP="009E7DEF">
      <w:pPr>
        <w:widowControl w:val="0"/>
        <w:spacing w:before="120" w:after="120" w:line="264" w:lineRule="auto"/>
        <w:ind w:firstLine="720"/>
        <w:jc w:val="both"/>
        <w:rPr>
          <w:lang w:val="pt-BR"/>
        </w:rPr>
      </w:pPr>
      <w:r w:rsidRPr="00C30E94">
        <w:rPr>
          <w:bCs/>
          <w:lang w:val="pt-BR"/>
        </w:rPr>
        <w:t xml:space="preserve">Tính đến ngày 26/02/2025, </w:t>
      </w:r>
      <w:r w:rsidRPr="00C30E94">
        <w:rPr>
          <w:iCs/>
          <w:lang w:val="es-AR"/>
        </w:rPr>
        <w:t xml:space="preserve">cả nước không còn dịch tai xanh; </w:t>
      </w:r>
      <w:r w:rsidRPr="00C30E94">
        <w:rPr>
          <w:bCs/>
          <w:lang w:val="pt-BR"/>
        </w:rPr>
        <w:t>dịch lở mồm long móng còn ở Lào Cai và Thanh Hóa; dịch cúm gia cầm còn ở Tuyên Quang, Long An, Tiền Giang; dịch viêm da nổi cục còn ở Tiền Giang; dịch dại trên động vật còn ở 12 địa phương</w:t>
      </w:r>
      <w:r w:rsidR="00926365" w:rsidRPr="00C30E94">
        <w:rPr>
          <w:rStyle w:val="FootnoteReference"/>
          <w:bCs/>
          <w:lang w:val="pt-BR"/>
        </w:rPr>
        <w:footnoteReference w:id="2"/>
      </w:r>
      <w:r w:rsidRPr="00C30E94">
        <w:rPr>
          <w:bCs/>
          <w:lang w:val="pt-BR"/>
        </w:rPr>
        <w:t xml:space="preserve"> và dịch tả lợn châu Phi còn ở 11 địa phương</w:t>
      </w:r>
      <w:r w:rsidR="00926365" w:rsidRPr="00C30E94">
        <w:rPr>
          <w:rStyle w:val="FootnoteReference"/>
          <w:bCs/>
          <w:lang w:val="pt-BR"/>
        </w:rPr>
        <w:footnoteReference w:id="3"/>
      </w:r>
      <w:r w:rsidRPr="00C30E94">
        <w:rPr>
          <w:bCs/>
          <w:lang w:val="pt-BR"/>
        </w:rPr>
        <w:t xml:space="preserve"> chưa qua 21 ngày. </w:t>
      </w:r>
    </w:p>
    <w:p w14:paraId="384915DA" w14:textId="77777777" w:rsidR="009E7DEF" w:rsidRPr="00C30E94" w:rsidRDefault="009E7DEF" w:rsidP="009E7DEF">
      <w:pPr>
        <w:widowControl w:val="0"/>
        <w:spacing w:after="120" w:line="264" w:lineRule="auto"/>
        <w:ind w:firstLine="720"/>
        <w:jc w:val="both"/>
        <w:rPr>
          <w:b/>
          <w:i/>
          <w:lang w:val="sv-SE"/>
        </w:rPr>
      </w:pPr>
      <w:r w:rsidRPr="00C30E94">
        <w:rPr>
          <w:b/>
          <w:i/>
          <w:lang w:val="sv-SE"/>
        </w:rPr>
        <w:t>b) Lâm nghiệp</w:t>
      </w:r>
    </w:p>
    <w:p w14:paraId="66D815FF" w14:textId="0DC53E94" w:rsidR="009E7DEF" w:rsidRPr="00C30E94" w:rsidRDefault="009E7DEF" w:rsidP="009E7DEF">
      <w:pPr>
        <w:spacing w:after="120" w:line="264" w:lineRule="auto"/>
        <w:ind w:firstLine="720"/>
        <w:jc w:val="both"/>
        <w:rPr>
          <w:iCs/>
          <w:lang w:val="pt-BR"/>
        </w:rPr>
      </w:pPr>
      <w:r w:rsidRPr="00C30E94">
        <w:rPr>
          <w:shd w:val="clear" w:color="auto" w:fill="FFFFFF"/>
          <w:lang w:val="sv-SE"/>
        </w:rPr>
        <w:t xml:space="preserve">Diện tích rừng trồng mới tập trung cả nước tháng 02/2025 ước đạt </w:t>
      </w:r>
      <w:r w:rsidRPr="00C30E94">
        <w:rPr>
          <w:lang w:val="de-DE"/>
        </w:rPr>
        <w:t>11,4</w:t>
      </w:r>
      <w:r w:rsidRPr="00C30E94">
        <w:rPr>
          <w:shd w:val="clear" w:color="auto" w:fill="FFFFFF"/>
          <w:lang w:val="sv-SE"/>
        </w:rPr>
        <w:t xml:space="preserve"> nghìn ha, tăng 8,5% so với cùng kỳ năm 2024. </w:t>
      </w:r>
      <w:r w:rsidRPr="00C30E94">
        <w:rPr>
          <w:lang w:val="de-DE"/>
        </w:rPr>
        <w:t>Thời tiết thuận lợi, nhiều địa phương đẩy nhanh tiến độ trồng rừng như: Bắc Kạn tăng 44,4% so với cùng kỳ</w:t>
      </w:r>
      <w:r w:rsidR="003E5E2A">
        <w:rPr>
          <w:lang w:val="de-DE"/>
        </w:rPr>
        <w:t xml:space="preserve"> năm trước;</w:t>
      </w:r>
      <w:r w:rsidRPr="00C30E94">
        <w:rPr>
          <w:lang w:val="de-DE"/>
        </w:rPr>
        <w:t xml:space="preserve"> Quảng Ninh, tăng 43,0%</w:t>
      </w:r>
      <w:r w:rsidR="003E5E2A">
        <w:rPr>
          <w:lang w:val="de-DE"/>
        </w:rPr>
        <w:t>;</w:t>
      </w:r>
      <w:r w:rsidRPr="00C30E94">
        <w:rPr>
          <w:lang w:val="de-DE"/>
        </w:rPr>
        <w:t xml:space="preserve"> Yên Bái tăng 29,7%</w:t>
      </w:r>
      <w:r w:rsidR="003E5E2A">
        <w:rPr>
          <w:lang w:val="de-DE"/>
        </w:rPr>
        <w:t>;</w:t>
      </w:r>
      <w:r w:rsidRPr="00C30E94">
        <w:rPr>
          <w:lang w:val="de-DE"/>
        </w:rPr>
        <w:t xml:space="preserve"> Phú Thọ tăng 16,3%</w:t>
      </w:r>
      <w:r w:rsidR="003E5E2A">
        <w:rPr>
          <w:lang w:val="de-DE"/>
        </w:rPr>
        <w:t>;</w:t>
      </w:r>
      <w:r w:rsidRPr="00C30E94">
        <w:rPr>
          <w:lang w:val="de-DE"/>
        </w:rPr>
        <w:t xml:space="preserve"> </w:t>
      </w:r>
      <w:r w:rsidRPr="00C30E94">
        <w:rPr>
          <w:lang w:val="de-DE"/>
        </w:rPr>
        <w:lastRenderedPageBreak/>
        <w:t>Tuyên Quang tăng 14,1%</w:t>
      </w:r>
      <w:r w:rsidR="003E5E2A">
        <w:rPr>
          <w:lang w:val="de-DE"/>
        </w:rPr>
        <w:t>. S</w:t>
      </w:r>
      <w:r w:rsidRPr="00C30E94">
        <w:rPr>
          <w:shd w:val="clear" w:color="auto" w:fill="FFFFFF"/>
          <w:lang w:val="sv-SE"/>
        </w:rPr>
        <w:t>ố cây lâm nghiệp trồng phân tán đạt 9,6 triệu cây, tăng 8,8%</w:t>
      </w:r>
      <w:r w:rsidR="003E5E2A">
        <w:rPr>
          <w:shd w:val="clear" w:color="auto" w:fill="FFFFFF"/>
          <w:lang w:val="sv-SE"/>
        </w:rPr>
        <w:t xml:space="preserve"> so với cùng kỳ năm trước</w:t>
      </w:r>
      <w:r w:rsidRPr="00C30E94">
        <w:rPr>
          <w:shd w:val="clear" w:color="auto" w:fill="FFFFFF"/>
          <w:lang w:val="sv-SE"/>
        </w:rPr>
        <w:t xml:space="preserve">; </w:t>
      </w:r>
      <w:r w:rsidRPr="00C30E94">
        <w:rPr>
          <w:iCs/>
          <w:lang w:val="pt-BR"/>
        </w:rPr>
        <w:t xml:space="preserve">sản lượng gỗ khai thác ước đạt </w:t>
      </w:r>
      <w:r w:rsidRPr="00C30E94">
        <w:rPr>
          <w:lang w:val="de-DE"/>
        </w:rPr>
        <w:t>1.338,8</w:t>
      </w:r>
      <w:r w:rsidRPr="00C30E94">
        <w:rPr>
          <w:iCs/>
          <w:lang w:val="pt-BR"/>
        </w:rPr>
        <w:t xml:space="preserve"> nghìn m</w:t>
      </w:r>
      <w:r w:rsidRPr="00C30E94">
        <w:rPr>
          <w:iCs/>
          <w:vertAlign w:val="superscript"/>
          <w:lang w:val="pt-BR"/>
        </w:rPr>
        <w:t>3</w:t>
      </w:r>
      <w:r w:rsidRPr="00C30E94">
        <w:rPr>
          <w:iCs/>
          <w:lang w:val="pt-BR"/>
        </w:rPr>
        <w:t xml:space="preserve">, </w:t>
      </w:r>
      <w:r w:rsidRPr="00C30E94">
        <w:rPr>
          <w:lang w:val="de-DE"/>
        </w:rPr>
        <w:t xml:space="preserve">tăng 18,2% do giá gỗ nguyên liệu ở mức cao, người dân tăng cường </w:t>
      </w:r>
      <w:r w:rsidR="008B6E60" w:rsidRPr="00C30E94">
        <w:rPr>
          <w:lang w:val="de-DE"/>
        </w:rPr>
        <w:t>thu hoạch</w:t>
      </w:r>
      <w:r w:rsidRPr="00C30E94">
        <w:rPr>
          <w:lang w:val="de-DE"/>
        </w:rPr>
        <w:t xml:space="preserve"> gỗ đến tuổi khai thác. Một số địa phương có sản lượng gỗ khai thác tăng cao so với cùng kỳ năm 2024: Quảng Ninh, gấp 2,7 lần</w:t>
      </w:r>
      <w:r w:rsidR="003E5E2A">
        <w:rPr>
          <w:lang w:val="de-DE"/>
        </w:rPr>
        <w:t>;</w:t>
      </w:r>
      <w:r w:rsidRPr="00C30E94">
        <w:rPr>
          <w:lang w:val="de-DE"/>
        </w:rPr>
        <w:t xml:space="preserve"> Quảng Trị tăng 70,8%</w:t>
      </w:r>
      <w:r w:rsidR="003E5E2A">
        <w:rPr>
          <w:lang w:val="de-DE"/>
        </w:rPr>
        <w:t>;</w:t>
      </w:r>
      <w:r w:rsidRPr="00C30E94">
        <w:rPr>
          <w:lang w:val="de-DE"/>
        </w:rPr>
        <w:t xml:space="preserve"> Tuyên Quang tăng 64,0%</w:t>
      </w:r>
      <w:r w:rsidR="003E5E2A">
        <w:rPr>
          <w:lang w:val="de-DE"/>
        </w:rPr>
        <w:t>;</w:t>
      </w:r>
      <w:r w:rsidRPr="00C30E94">
        <w:rPr>
          <w:lang w:val="de-DE"/>
        </w:rPr>
        <w:t xml:space="preserve"> Yên Bái tăng 45,2%</w:t>
      </w:r>
      <w:r w:rsidR="003E5E2A">
        <w:rPr>
          <w:lang w:val="de-DE"/>
        </w:rPr>
        <w:t>;</w:t>
      </w:r>
      <w:r w:rsidRPr="00C30E94">
        <w:rPr>
          <w:lang w:val="de-DE"/>
        </w:rPr>
        <w:t xml:space="preserve"> Quảng Bình tăng 33,9%.</w:t>
      </w:r>
    </w:p>
    <w:p w14:paraId="0AD0D49F" w14:textId="77777777" w:rsidR="009E7DEF" w:rsidRPr="00C30E94" w:rsidRDefault="009E7DEF" w:rsidP="009E7DEF">
      <w:pPr>
        <w:spacing w:after="120" w:line="264" w:lineRule="auto"/>
        <w:ind w:firstLine="720"/>
        <w:jc w:val="both"/>
        <w:rPr>
          <w:iCs/>
          <w:lang w:val="pt-BR"/>
        </w:rPr>
      </w:pPr>
      <w:r w:rsidRPr="00C30E94">
        <w:rPr>
          <w:iCs/>
          <w:lang w:val="pt-BR"/>
        </w:rPr>
        <w:t xml:space="preserve">Tính chung hai tháng đầu năm 2025, diện tích rừng trồng mới cả nước ước đạt </w:t>
      </w:r>
      <w:r w:rsidRPr="00C30E94">
        <w:rPr>
          <w:lang w:val="de-DE"/>
        </w:rPr>
        <w:t>20,1</w:t>
      </w:r>
      <w:r w:rsidRPr="00C30E94">
        <w:rPr>
          <w:iCs/>
          <w:lang w:val="pt-BR"/>
        </w:rPr>
        <w:t xml:space="preserve"> nghìn ha, </w:t>
      </w:r>
      <w:r w:rsidRPr="00C30E94">
        <w:rPr>
          <w:lang w:val="de-DE"/>
        </w:rPr>
        <w:t>tăng 8,8%</w:t>
      </w:r>
      <w:r w:rsidRPr="00C30E94">
        <w:rPr>
          <w:iCs/>
          <w:lang w:val="pt-BR"/>
        </w:rPr>
        <w:t xml:space="preserve"> so với cùng kỳ năm trước; số cây lâm nghiệp trồng phân tán đạt </w:t>
      </w:r>
      <w:r w:rsidRPr="00C30E94">
        <w:rPr>
          <w:lang w:val="de-DE"/>
        </w:rPr>
        <w:t>13,4</w:t>
      </w:r>
      <w:r w:rsidRPr="00C30E94">
        <w:rPr>
          <w:iCs/>
          <w:lang w:val="pt-BR"/>
        </w:rPr>
        <w:t xml:space="preserve"> triệu cây, </w:t>
      </w:r>
      <w:r w:rsidRPr="00C30E94">
        <w:rPr>
          <w:lang w:val="de-DE"/>
        </w:rPr>
        <w:t>tăng 6,8%</w:t>
      </w:r>
      <w:r w:rsidRPr="00C30E94">
        <w:rPr>
          <w:iCs/>
          <w:lang w:val="pt-BR"/>
        </w:rPr>
        <w:t xml:space="preserve">; sản lượng gỗ khai thác đạt </w:t>
      </w:r>
      <w:r w:rsidRPr="00C30E94">
        <w:rPr>
          <w:lang w:val="de-DE"/>
        </w:rPr>
        <w:t xml:space="preserve">2.620,7 </w:t>
      </w:r>
      <w:r w:rsidRPr="00C30E94">
        <w:rPr>
          <w:iCs/>
          <w:lang w:val="pt-BR"/>
        </w:rPr>
        <w:t>nghìn m</w:t>
      </w:r>
      <w:r w:rsidRPr="00C30E94">
        <w:rPr>
          <w:iCs/>
          <w:vertAlign w:val="superscript"/>
          <w:lang w:val="pt-BR"/>
        </w:rPr>
        <w:t>3</w:t>
      </w:r>
      <w:r w:rsidRPr="00C30E94">
        <w:rPr>
          <w:iCs/>
          <w:lang w:val="pt-BR"/>
        </w:rPr>
        <w:t xml:space="preserve">, tăng </w:t>
      </w:r>
      <w:r w:rsidRPr="00C30E94">
        <w:rPr>
          <w:lang w:val="de-DE"/>
        </w:rPr>
        <w:t>18,9</w:t>
      </w:r>
      <w:r w:rsidRPr="00C30E94">
        <w:rPr>
          <w:iCs/>
          <w:lang w:val="pt-BR"/>
        </w:rPr>
        <w:t xml:space="preserve">%. </w:t>
      </w:r>
    </w:p>
    <w:p w14:paraId="08798A58" w14:textId="58355FE1" w:rsidR="009E7DEF" w:rsidRPr="00C30E94" w:rsidRDefault="009E7DEF" w:rsidP="009E7DEF">
      <w:pPr>
        <w:tabs>
          <w:tab w:val="left" w:pos="360"/>
          <w:tab w:val="left" w:pos="1134"/>
        </w:tabs>
        <w:spacing w:after="120" w:line="264" w:lineRule="auto"/>
        <w:ind w:firstLine="720"/>
        <w:jc w:val="both"/>
        <w:rPr>
          <w:iCs/>
          <w:spacing w:val="-4"/>
          <w:lang w:val="pt-BR"/>
        </w:rPr>
      </w:pPr>
      <w:r w:rsidRPr="00C30E94">
        <w:rPr>
          <w:spacing w:val="-4"/>
          <w:lang w:val="sv-SE"/>
        </w:rPr>
        <w:t>Diện tích rừng bị thiệt hại trong tháng 02/2025</w:t>
      </w:r>
      <w:r w:rsidRPr="00C30E94">
        <w:rPr>
          <w:rStyle w:val="FootnoteReference"/>
          <w:spacing w:val="-4"/>
        </w:rPr>
        <w:footnoteReference w:id="4"/>
      </w:r>
      <w:r w:rsidRPr="00C30E94">
        <w:rPr>
          <w:spacing w:val="-4"/>
          <w:lang w:val="sv-SE"/>
        </w:rPr>
        <w:t xml:space="preserve"> là </w:t>
      </w:r>
      <w:r w:rsidRPr="00C30E94">
        <w:rPr>
          <w:spacing w:val="-4"/>
          <w:lang w:val="de-DE"/>
        </w:rPr>
        <w:t xml:space="preserve">73,1 </w:t>
      </w:r>
      <w:r w:rsidRPr="00C30E94">
        <w:rPr>
          <w:spacing w:val="-4"/>
          <w:lang w:val="sv-SE"/>
        </w:rPr>
        <w:t xml:space="preserve">ha, tăng </w:t>
      </w:r>
      <w:r w:rsidRPr="00C30E94">
        <w:rPr>
          <w:spacing w:val="-4"/>
          <w:lang w:val="de-DE"/>
        </w:rPr>
        <w:t>34,7%</w:t>
      </w:r>
      <w:r w:rsidRPr="00C30E94">
        <w:rPr>
          <w:spacing w:val="-4"/>
          <w:lang w:val="sv-SE"/>
        </w:rPr>
        <w:t xml:space="preserve"> so với cùng kỳ năm trước</w:t>
      </w:r>
      <w:r w:rsidR="00E02038" w:rsidRPr="00C30E94">
        <w:rPr>
          <w:rStyle w:val="FootnoteReference"/>
          <w:spacing w:val="-4"/>
          <w:lang w:val="sv-SE"/>
        </w:rPr>
        <w:footnoteReference w:id="5"/>
      </w:r>
      <w:r w:rsidRPr="00C30E94">
        <w:rPr>
          <w:spacing w:val="-4"/>
          <w:lang w:val="sv-SE"/>
        </w:rPr>
        <w:t xml:space="preserve">, trong đó: Diện tích rừng bị cháy là </w:t>
      </w:r>
      <w:r w:rsidRPr="00C30E94">
        <w:rPr>
          <w:spacing w:val="-4"/>
          <w:lang w:val="de-DE"/>
        </w:rPr>
        <w:t xml:space="preserve">17,1 </w:t>
      </w:r>
      <w:r w:rsidRPr="00C30E94">
        <w:rPr>
          <w:spacing w:val="-4"/>
          <w:lang w:val="sv-SE"/>
        </w:rPr>
        <w:t xml:space="preserve">ha, </w:t>
      </w:r>
      <w:r w:rsidR="00B121BF" w:rsidRPr="00C30E94">
        <w:rPr>
          <w:spacing w:val="-4"/>
          <w:lang w:val="sv-SE"/>
        </w:rPr>
        <w:t>gấp</w:t>
      </w:r>
      <w:r w:rsidR="00B121BF" w:rsidRPr="00C30E94">
        <w:rPr>
          <w:spacing w:val="-4"/>
          <w:lang w:val="de-DE"/>
        </w:rPr>
        <w:t xml:space="preserve"> 39,7 lần </w:t>
      </w:r>
      <w:r w:rsidRPr="00C30E94">
        <w:rPr>
          <w:spacing w:val="-4"/>
          <w:lang w:val="de-DE"/>
        </w:rPr>
        <w:t xml:space="preserve"> tập trung ở Cao Bằng 10,0 ha, Bắc Kạn 3,8 ha, Lai Châu 2,0 ha</w:t>
      </w:r>
      <w:r w:rsidRPr="00C30E94">
        <w:rPr>
          <w:spacing w:val="-4"/>
          <w:lang w:val="sv-SE"/>
        </w:rPr>
        <w:t xml:space="preserve">; diện tích rừng bị chặt, phá là </w:t>
      </w:r>
      <w:r w:rsidRPr="00C30E94">
        <w:rPr>
          <w:spacing w:val="-4"/>
          <w:lang w:val="de-DE"/>
        </w:rPr>
        <w:t>56,0 ha</w:t>
      </w:r>
      <w:r w:rsidR="00E02038" w:rsidRPr="00C30E94">
        <w:rPr>
          <w:spacing w:val="-4"/>
          <w:lang w:val="de-DE"/>
        </w:rPr>
        <w:t>,</w:t>
      </w:r>
      <w:r w:rsidRPr="00C30E94">
        <w:rPr>
          <w:spacing w:val="-4"/>
          <w:lang w:val="de-DE"/>
        </w:rPr>
        <w:t xml:space="preserve"> </w:t>
      </w:r>
      <w:r w:rsidR="00926365" w:rsidRPr="00C30E94">
        <w:rPr>
          <w:spacing w:val="-4"/>
          <w:lang w:val="de-DE"/>
        </w:rPr>
        <w:t>tăng 4</w:t>
      </w:r>
      <w:r w:rsidR="00B24962" w:rsidRPr="00C30E94">
        <w:rPr>
          <w:spacing w:val="-4"/>
          <w:lang w:val="de-DE"/>
        </w:rPr>
        <w:t>,0</w:t>
      </w:r>
      <w:r w:rsidR="00926365" w:rsidRPr="00C30E94">
        <w:rPr>
          <w:spacing w:val="-4"/>
          <w:lang w:val="de-DE"/>
        </w:rPr>
        <w:t>%</w:t>
      </w:r>
      <w:r w:rsidRPr="00C30E94">
        <w:rPr>
          <w:spacing w:val="-4"/>
          <w:lang w:val="sv-SE"/>
        </w:rPr>
        <w:t>. Tính chung hai tháng đầu năm 202</w:t>
      </w:r>
      <w:r w:rsidR="003E5E2A">
        <w:rPr>
          <w:spacing w:val="-4"/>
          <w:lang w:val="sv-SE"/>
        </w:rPr>
        <w:t>5</w:t>
      </w:r>
      <w:r w:rsidRPr="00C30E94">
        <w:rPr>
          <w:spacing w:val="-4"/>
          <w:lang w:val="sv-SE"/>
        </w:rPr>
        <w:t xml:space="preserve">, diện tích rừng bị thiệt hại là </w:t>
      </w:r>
      <w:r w:rsidRPr="00C30E94">
        <w:rPr>
          <w:iCs/>
          <w:spacing w:val="-4"/>
          <w:lang w:val="pt-BR"/>
        </w:rPr>
        <w:t xml:space="preserve">145,4 ha, tăng 64,0% so với cùng kỳ năm trước, trong đó diện tích rừng bị cháy là 19,4 ha, </w:t>
      </w:r>
      <w:r w:rsidR="0087454A" w:rsidRPr="00C30E94">
        <w:rPr>
          <w:iCs/>
          <w:spacing w:val="-4"/>
          <w:lang w:val="pt-BR"/>
        </w:rPr>
        <w:t>gấp</w:t>
      </w:r>
      <w:r w:rsidRPr="00C30E94">
        <w:rPr>
          <w:iCs/>
          <w:spacing w:val="-4"/>
          <w:lang w:val="pt-BR"/>
        </w:rPr>
        <w:t xml:space="preserve"> 27 lần; diện tích rừng bị chặt, phá là 126,0 ha, tăng 43,3%.</w:t>
      </w:r>
    </w:p>
    <w:p w14:paraId="39BCF662" w14:textId="77777777" w:rsidR="009E7DEF" w:rsidRPr="00C30E94" w:rsidRDefault="009E7DEF" w:rsidP="009E7DEF">
      <w:pPr>
        <w:tabs>
          <w:tab w:val="left" w:pos="360"/>
          <w:tab w:val="left" w:pos="1134"/>
        </w:tabs>
        <w:spacing w:after="120" w:line="264" w:lineRule="auto"/>
        <w:ind w:firstLine="720"/>
        <w:jc w:val="both"/>
        <w:rPr>
          <w:b/>
          <w:i/>
          <w:lang w:val="sv-SE"/>
        </w:rPr>
      </w:pPr>
      <w:r w:rsidRPr="00C30E94">
        <w:rPr>
          <w:b/>
          <w:i/>
          <w:lang w:val="sv-SE"/>
        </w:rPr>
        <w:t>c) Thủy sản</w:t>
      </w:r>
    </w:p>
    <w:p w14:paraId="2144F215" w14:textId="77777777" w:rsidR="009E7DEF" w:rsidRPr="00C30E94" w:rsidRDefault="009E7DEF" w:rsidP="009E7DEF">
      <w:pPr>
        <w:tabs>
          <w:tab w:val="left" w:pos="360"/>
          <w:tab w:val="left" w:pos="1134"/>
        </w:tabs>
        <w:spacing w:after="120" w:line="264" w:lineRule="auto"/>
        <w:ind w:firstLine="720"/>
        <w:jc w:val="both"/>
        <w:rPr>
          <w:i/>
          <w:lang w:val="sv-SE"/>
        </w:rPr>
      </w:pPr>
      <w:r w:rsidRPr="00C30E94">
        <w:rPr>
          <w:lang w:val="de-DE"/>
        </w:rPr>
        <w:t xml:space="preserve">Sản lượng thủy sản tháng 02/2025 ước đạt </w:t>
      </w:r>
      <w:r w:rsidRPr="00C30E94">
        <w:rPr>
          <w:bCs/>
          <w:lang w:val="de-DE"/>
        </w:rPr>
        <w:t>650</w:t>
      </w:r>
      <w:r w:rsidRPr="00C30E94">
        <w:rPr>
          <w:bCs/>
        </w:rPr>
        <w:t>,5</w:t>
      </w:r>
      <w:r w:rsidRPr="00C30E94">
        <w:rPr>
          <w:lang w:val="de-DE"/>
        </w:rPr>
        <w:t xml:space="preserve"> nghìn tấn, tăng </w:t>
      </w:r>
      <w:r w:rsidRPr="00C30E94">
        <w:rPr>
          <w:bCs/>
          <w:lang w:val="de-DE"/>
        </w:rPr>
        <w:t>4</w:t>
      </w:r>
      <w:r w:rsidRPr="00C30E94">
        <w:rPr>
          <w:bCs/>
        </w:rPr>
        <w:t>,0</w:t>
      </w:r>
      <w:r w:rsidRPr="00C30E94">
        <w:rPr>
          <w:lang w:val="de-DE"/>
        </w:rPr>
        <w:t xml:space="preserve">% so với cùng kỳ năm trước, bao gồm: Cá đạt </w:t>
      </w:r>
      <w:r w:rsidRPr="00C30E94">
        <w:rPr>
          <w:bCs/>
          <w:lang w:val="de-DE"/>
        </w:rPr>
        <w:t>479</w:t>
      </w:r>
      <w:r w:rsidRPr="00C30E94">
        <w:rPr>
          <w:bCs/>
        </w:rPr>
        <w:t>,6</w:t>
      </w:r>
      <w:r w:rsidRPr="00C30E94">
        <w:rPr>
          <w:bCs/>
          <w:lang w:val="de-DE"/>
        </w:rPr>
        <w:t xml:space="preserve"> </w:t>
      </w:r>
      <w:r w:rsidRPr="00C30E94">
        <w:rPr>
          <w:lang w:val="de-DE"/>
        </w:rPr>
        <w:t xml:space="preserve"> nghìn tấn, </w:t>
      </w:r>
      <w:r w:rsidRPr="00C30E94">
        <w:rPr>
          <w:bCs/>
          <w:lang w:val="de-DE"/>
        </w:rPr>
        <w:t>tăng 4</w:t>
      </w:r>
      <w:r w:rsidRPr="00C30E94">
        <w:rPr>
          <w:bCs/>
        </w:rPr>
        <w:t>,1</w:t>
      </w:r>
      <w:r w:rsidRPr="00C30E94">
        <w:rPr>
          <w:lang w:val="de-DE"/>
        </w:rPr>
        <w:t xml:space="preserve">%; tôm đạt </w:t>
      </w:r>
      <w:r w:rsidRPr="00C30E94">
        <w:rPr>
          <w:bCs/>
          <w:lang w:val="de-DE"/>
        </w:rPr>
        <w:t>69</w:t>
      </w:r>
      <w:r w:rsidRPr="00C30E94">
        <w:rPr>
          <w:bCs/>
        </w:rPr>
        <w:t>,3</w:t>
      </w:r>
      <w:r w:rsidRPr="00C30E94">
        <w:rPr>
          <w:lang w:val="de-DE"/>
        </w:rPr>
        <w:t xml:space="preserve"> nghìn tấn, tăng </w:t>
      </w:r>
      <w:r w:rsidRPr="00C30E94">
        <w:rPr>
          <w:bCs/>
          <w:lang w:val="de-DE"/>
        </w:rPr>
        <w:t>5</w:t>
      </w:r>
      <w:r w:rsidRPr="00C30E94">
        <w:rPr>
          <w:bCs/>
        </w:rPr>
        <w:t>,4</w:t>
      </w:r>
      <w:r w:rsidRPr="00C30E94">
        <w:rPr>
          <w:lang w:val="de-DE"/>
        </w:rPr>
        <w:t xml:space="preserve">%; thủy sản khác đạt </w:t>
      </w:r>
      <w:r w:rsidRPr="00C30E94">
        <w:rPr>
          <w:bCs/>
          <w:lang w:val="de-DE"/>
        </w:rPr>
        <w:t xml:space="preserve">101,6 </w:t>
      </w:r>
      <w:r w:rsidRPr="00C30E94">
        <w:rPr>
          <w:lang w:val="de-DE"/>
        </w:rPr>
        <w:t xml:space="preserve">nghìn tấn, tăng </w:t>
      </w:r>
      <w:r w:rsidRPr="00C30E94">
        <w:rPr>
          <w:bCs/>
          <w:lang w:val="de-DE"/>
        </w:rPr>
        <w:t>2</w:t>
      </w:r>
      <w:r w:rsidRPr="00C30E94">
        <w:rPr>
          <w:bCs/>
        </w:rPr>
        <w:t>,6</w:t>
      </w:r>
      <w:r w:rsidRPr="00C30E94">
        <w:rPr>
          <w:lang w:val="de-DE"/>
        </w:rPr>
        <w:t>%.</w:t>
      </w:r>
    </w:p>
    <w:p w14:paraId="6D07D95B" w14:textId="77777777" w:rsidR="009E7DEF" w:rsidRPr="00C30E94" w:rsidRDefault="009E7DEF" w:rsidP="009E7DEF">
      <w:pPr>
        <w:spacing w:after="120" w:line="264" w:lineRule="auto"/>
        <w:ind w:firstLine="720"/>
        <w:jc w:val="both"/>
        <w:rPr>
          <w:lang w:val="de-DE"/>
        </w:rPr>
      </w:pPr>
      <w:r w:rsidRPr="00C30E94">
        <w:rPr>
          <w:i/>
          <w:iCs/>
          <w:lang w:val="sv-SE"/>
        </w:rPr>
        <w:t>Sản lượng thủy sản nuôi trồng</w:t>
      </w:r>
      <w:r w:rsidRPr="00C30E94">
        <w:rPr>
          <w:lang w:val="sv-SE"/>
        </w:rPr>
        <w:t xml:space="preserve"> trong tháng </w:t>
      </w:r>
      <w:r w:rsidRPr="00C30E94">
        <w:rPr>
          <w:lang w:val="de-DE"/>
        </w:rPr>
        <w:t xml:space="preserve">ước đạt </w:t>
      </w:r>
      <w:r w:rsidRPr="00C30E94">
        <w:rPr>
          <w:bCs/>
          <w:lang w:val="de-DE"/>
        </w:rPr>
        <w:t>362</w:t>
      </w:r>
      <w:r w:rsidRPr="00C30E94">
        <w:rPr>
          <w:bCs/>
        </w:rPr>
        <w:t>,5</w:t>
      </w:r>
      <w:r w:rsidRPr="00C30E94">
        <w:rPr>
          <w:lang w:val="de-DE"/>
        </w:rPr>
        <w:t xml:space="preserve"> nghìn tấn, tăng 4,6% so với cùng kỳ năm trước, trong đó: Cá đạt </w:t>
      </w:r>
      <w:r w:rsidRPr="00C30E94">
        <w:rPr>
          <w:bCs/>
          <w:lang w:val="de-DE"/>
        </w:rPr>
        <w:t>258</w:t>
      </w:r>
      <w:r w:rsidRPr="00C30E94">
        <w:rPr>
          <w:bCs/>
        </w:rPr>
        <w:t>,7</w:t>
      </w:r>
      <w:r w:rsidRPr="00C30E94">
        <w:rPr>
          <w:bCs/>
          <w:lang w:val="de-DE"/>
        </w:rPr>
        <w:t xml:space="preserve"> </w:t>
      </w:r>
      <w:r w:rsidRPr="00C30E94">
        <w:rPr>
          <w:lang w:val="de-DE"/>
        </w:rPr>
        <w:t xml:space="preserve">nghìn tấn, tăng 5,0%; tôm đạt </w:t>
      </w:r>
      <w:r w:rsidRPr="00C30E94">
        <w:rPr>
          <w:bCs/>
          <w:lang w:val="de-DE"/>
        </w:rPr>
        <w:t>58,0</w:t>
      </w:r>
      <w:r w:rsidRPr="00C30E94">
        <w:rPr>
          <w:lang w:val="de-DE"/>
        </w:rPr>
        <w:t xml:space="preserve"> nghìn tấn, tăng 5,8%;</w:t>
      </w:r>
      <w:r w:rsidRPr="00C30E94">
        <w:rPr>
          <w:bCs/>
          <w:lang w:val="de-DE"/>
        </w:rPr>
        <w:t xml:space="preserve"> thủy sản khác đạt 45</w:t>
      </w:r>
      <w:r w:rsidRPr="00C30E94">
        <w:rPr>
          <w:bCs/>
        </w:rPr>
        <w:t>,8</w:t>
      </w:r>
      <w:r w:rsidRPr="00C30E94">
        <w:rPr>
          <w:bCs/>
          <w:lang w:val="de-DE"/>
        </w:rPr>
        <w:t xml:space="preserve"> nghìn tấn, tăng 1</w:t>
      </w:r>
      <w:r w:rsidRPr="00C30E94">
        <w:rPr>
          <w:bCs/>
        </w:rPr>
        <w:t>,1</w:t>
      </w:r>
      <w:r w:rsidRPr="00C30E94">
        <w:rPr>
          <w:bCs/>
          <w:lang w:val="de-DE"/>
        </w:rPr>
        <w:t>%</w:t>
      </w:r>
      <w:r w:rsidRPr="00C30E94">
        <w:rPr>
          <w:lang w:val="de-DE"/>
        </w:rPr>
        <w:t>.</w:t>
      </w:r>
    </w:p>
    <w:p w14:paraId="612A6E12" w14:textId="77777777" w:rsidR="009E7DEF" w:rsidRPr="00C30E94" w:rsidRDefault="009E7DEF" w:rsidP="009E7DEF">
      <w:pPr>
        <w:spacing w:after="120" w:line="264" w:lineRule="auto"/>
        <w:ind w:firstLine="720"/>
        <w:jc w:val="both"/>
        <w:rPr>
          <w:lang w:val="de-DE"/>
        </w:rPr>
      </w:pPr>
      <w:r w:rsidRPr="00C30E94">
        <w:rPr>
          <w:lang w:val="de-DE"/>
        </w:rPr>
        <w:t xml:space="preserve">Sản lượng cá tra tháng 02/2025 ước đạt </w:t>
      </w:r>
      <w:r w:rsidRPr="00C30E94">
        <w:rPr>
          <w:bCs/>
          <w:iCs/>
        </w:rPr>
        <w:t>121,7</w:t>
      </w:r>
      <w:r w:rsidRPr="00C30E94">
        <w:rPr>
          <w:bCs/>
          <w:iCs/>
          <w:lang w:val="en-GB"/>
        </w:rPr>
        <w:t xml:space="preserve"> </w:t>
      </w:r>
      <w:r w:rsidRPr="00C30E94">
        <w:rPr>
          <w:lang w:val="de-DE"/>
        </w:rPr>
        <w:t xml:space="preserve">nghìn tấn, tăng </w:t>
      </w:r>
      <w:r w:rsidRPr="00C30E94">
        <w:rPr>
          <w:bCs/>
          <w:iCs/>
        </w:rPr>
        <w:t>4,6</w:t>
      </w:r>
      <w:r w:rsidRPr="00C30E94">
        <w:rPr>
          <w:lang w:val="de-DE"/>
        </w:rPr>
        <w:t>% so với cùng kỳ năm trước,</w:t>
      </w:r>
      <w:r w:rsidRPr="00C30E94">
        <w:rPr>
          <w:bCs/>
          <w:iCs/>
          <w:shd w:val="clear" w:color="auto" w:fill="FFFFFF"/>
          <w:lang w:val="nl-NL"/>
        </w:rPr>
        <w:t xml:space="preserve"> do giá cá tra nguyên liệu tăng cùng nhiều hợp đồng xuất khẩu được ký kết nên người dân tăng thả nuôi</w:t>
      </w:r>
      <w:r w:rsidRPr="00C30E94">
        <w:rPr>
          <w:rStyle w:val="FootnoteReference"/>
          <w:lang w:val="de-DE"/>
        </w:rPr>
        <w:footnoteReference w:id="6"/>
      </w:r>
      <w:r w:rsidRPr="00C30E94">
        <w:rPr>
          <w:lang w:val="de-DE"/>
        </w:rPr>
        <w:t>.</w:t>
      </w:r>
    </w:p>
    <w:p w14:paraId="33CD85AD" w14:textId="77777777" w:rsidR="009E7DEF" w:rsidRPr="00C30E94" w:rsidRDefault="009E7DEF" w:rsidP="009E7DEF">
      <w:pPr>
        <w:spacing w:after="120" w:line="264" w:lineRule="auto"/>
        <w:ind w:firstLine="720"/>
        <w:jc w:val="both"/>
        <w:rPr>
          <w:lang w:val="de-DE"/>
        </w:rPr>
      </w:pPr>
      <w:r w:rsidRPr="00C30E94">
        <w:rPr>
          <w:lang w:val="de-DE"/>
        </w:rPr>
        <w:t xml:space="preserve">Sản lượng tôm tăng khá </w:t>
      </w:r>
      <w:r w:rsidRPr="00C30E94">
        <w:rPr>
          <w:lang w:val="pt-BR"/>
        </w:rPr>
        <w:t xml:space="preserve">do </w:t>
      </w:r>
      <w:r w:rsidRPr="00C30E94">
        <w:rPr>
          <w:bCs/>
        </w:rPr>
        <w:t>giá tôm thẻ chân trắng</w:t>
      </w:r>
      <w:r w:rsidRPr="00C30E94">
        <w:rPr>
          <w:rStyle w:val="FootnoteReference"/>
          <w:bCs/>
        </w:rPr>
        <w:footnoteReference w:id="7"/>
      </w:r>
      <w:r w:rsidRPr="00C30E94">
        <w:rPr>
          <w:bCs/>
          <w:lang w:val="en-GB"/>
        </w:rPr>
        <w:t xml:space="preserve"> </w:t>
      </w:r>
      <w:r w:rsidRPr="00C30E94">
        <w:rPr>
          <w:bCs/>
        </w:rPr>
        <w:t>có xu hướng tăng trở lại ở tuần đầu của tháng Hai, sau khi giảm nhẹ ở tuần cuối tháng 01/2025</w:t>
      </w:r>
      <w:r w:rsidRPr="00C30E94">
        <w:rPr>
          <w:lang w:val="de-DE"/>
        </w:rPr>
        <w:t xml:space="preserve">. </w:t>
      </w:r>
      <w:r w:rsidRPr="00C30E94">
        <w:rPr>
          <w:bCs/>
          <w:lang w:val="pt-BR"/>
        </w:rPr>
        <w:t xml:space="preserve">Sản lượng tôm thẻ chân trắng tháng 02/2025 ước đạt 36,5 nghìn tấn, tăng 7,7% so với cùng kỳ năm trước; sản lượng tôm sú đạt 16,7 nghìn tấn, tăng 3,1%. </w:t>
      </w:r>
    </w:p>
    <w:p w14:paraId="6E8E0F38" w14:textId="77777777" w:rsidR="009E7DEF" w:rsidRPr="00C30E94" w:rsidRDefault="009E7DEF" w:rsidP="001D362A">
      <w:pPr>
        <w:spacing w:after="120" w:line="252" w:lineRule="auto"/>
        <w:ind w:firstLine="720"/>
        <w:jc w:val="both"/>
        <w:rPr>
          <w:bCs/>
          <w:lang w:val="de-DE"/>
        </w:rPr>
      </w:pPr>
      <w:r w:rsidRPr="00C30E94">
        <w:rPr>
          <w:i/>
          <w:lang w:val="de-DE"/>
        </w:rPr>
        <w:lastRenderedPageBreak/>
        <w:t>Sản lượng thủy sản khai thác</w:t>
      </w:r>
      <w:r w:rsidRPr="00C30E94">
        <w:rPr>
          <w:lang w:val="de-DE"/>
        </w:rPr>
        <w:t xml:space="preserve"> tháng 02/2025 ước đạt </w:t>
      </w:r>
      <w:r w:rsidRPr="00C30E94">
        <w:rPr>
          <w:bCs/>
          <w:lang w:val="de-DE"/>
        </w:rPr>
        <w:t>288,0</w:t>
      </w:r>
      <w:r w:rsidRPr="00C30E94">
        <w:rPr>
          <w:lang w:val="de-DE"/>
        </w:rPr>
        <w:t xml:space="preserve"> nghìn tấn, </w:t>
      </w:r>
      <w:r w:rsidRPr="00C30E94">
        <w:rPr>
          <w:bCs/>
          <w:lang w:val="de-DE"/>
        </w:rPr>
        <w:t>tăng</w:t>
      </w:r>
      <w:r w:rsidRPr="00C30E94">
        <w:rPr>
          <w:bCs/>
        </w:rPr>
        <w:t xml:space="preserve"> 3,2%</w:t>
      </w:r>
      <w:r w:rsidRPr="00C30E94">
        <w:rPr>
          <w:lang w:val="de-DE"/>
        </w:rPr>
        <w:t xml:space="preserve"> so với cùng kỳ năm trước, bao gồm: Cá đạt </w:t>
      </w:r>
      <w:r w:rsidRPr="00C30E94">
        <w:rPr>
          <w:bCs/>
          <w:lang w:val="de-DE"/>
        </w:rPr>
        <w:t>220</w:t>
      </w:r>
      <w:r w:rsidRPr="00C30E94">
        <w:rPr>
          <w:bCs/>
        </w:rPr>
        <w:t>,9</w:t>
      </w:r>
      <w:r w:rsidRPr="00C30E94">
        <w:rPr>
          <w:bCs/>
          <w:lang w:val="en-GB"/>
        </w:rPr>
        <w:t xml:space="preserve"> </w:t>
      </w:r>
      <w:r w:rsidRPr="00C30E94">
        <w:rPr>
          <w:lang w:val="de-DE"/>
        </w:rPr>
        <w:t xml:space="preserve">nghìn tấn, </w:t>
      </w:r>
      <w:r w:rsidRPr="00C30E94">
        <w:rPr>
          <w:bCs/>
          <w:lang w:val="de-DE"/>
        </w:rPr>
        <w:t>tăng 3</w:t>
      </w:r>
      <w:r w:rsidRPr="00C30E94">
        <w:rPr>
          <w:bCs/>
        </w:rPr>
        <w:t>,1</w:t>
      </w:r>
      <w:r w:rsidRPr="00C30E94">
        <w:rPr>
          <w:lang w:val="de-DE"/>
        </w:rPr>
        <w:t xml:space="preserve">%; tôm đạt </w:t>
      </w:r>
      <w:r w:rsidRPr="00C30E94">
        <w:rPr>
          <w:bCs/>
          <w:lang w:val="de-DE"/>
        </w:rPr>
        <w:t>11</w:t>
      </w:r>
      <w:r w:rsidRPr="00C30E94">
        <w:rPr>
          <w:bCs/>
        </w:rPr>
        <w:t>,3</w:t>
      </w:r>
      <w:r w:rsidRPr="00C30E94">
        <w:rPr>
          <w:lang w:val="de-DE"/>
        </w:rPr>
        <w:t xml:space="preserve"> nghìn tấn, </w:t>
      </w:r>
      <w:r w:rsidRPr="00C30E94">
        <w:rPr>
          <w:bCs/>
          <w:lang w:val="de-DE"/>
        </w:rPr>
        <w:t>tăng 3</w:t>
      </w:r>
      <w:r w:rsidRPr="00C30E94">
        <w:rPr>
          <w:bCs/>
        </w:rPr>
        <w:t>,2</w:t>
      </w:r>
      <w:r w:rsidRPr="00C30E94">
        <w:rPr>
          <w:lang w:val="de-DE"/>
        </w:rPr>
        <w:t xml:space="preserve">%; thủy sản khác đạt </w:t>
      </w:r>
      <w:r w:rsidRPr="00C30E94">
        <w:rPr>
          <w:bCs/>
          <w:lang w:val="de-DE"/>
        </w:rPr>
        <w:t>55</w:t>
      </w:r>
      <w:r w:rsidRPr="00C30E94">
        <w:rPr>
          <w:bCs/>
        </w:rPr>
        <w:t>,8</w:t>
      </w:r>
      <w:r w:rsidRPr="00C30E94">
        <w:rPr>
          <w:bCs/>
          <w:lang w:val="de-DE"/>
        </w:rPr>
        <w:t xml:space="preserve"> nghìn tấn, tăng</w:t>
      </w:r>
      <w:r w:rsidRPr="00C30E94">
        <w:rPr>
          <w:bCs/>
        </w:rPr>
        <w:t xml:space="preserve"> </w:t>
      </w:r>
      <w:r w:rsidRPr="00C30E94">
        <w:rPr>
          <w:bCs/>
          <w:lang w:val="de-DE"/>
        </w:rPr>
        <w:t>3,9%</w:t>
      </w:r>
      <w:r w:rsidRPr="00C30E94">
        <w:rPr>
          <w:lang w:val="de-DE"/>
        </w:rPr>
        <w:t xml:space="preserve">. Sản lượng thủy sản khai thác biển ước đạt </w:t>
      </w:r>
      <w:r w:rsidRPr="00C30E94">
        <w:rPr>
          <w:bCs/>
          <w:lang w:val="de-DE"/>
        </w:rPr>
        <w:t>270</w:t>
      </w:r>
      <w:r w:rsidRPr="00C30E94">
        <w:rPr>
          <w:bCs/>
        </w:rPr>
        <w:t>,5</w:t>
      </w:r>
      <w:r w:rsidRPr="00C30E94">
        <w:rPr>
          <w:lang w:val="de-DE"/>
        </w:rPr>
        <w:t xml:space="preserve"> nghìn tấn, </w:t>
      </w:r>
      <w:r w:rsidRPr="00C30E94">
        <w:rPr>
          <w:bCs/>
          <w:lang w:val="de-DE"/>
        </w:rPr>
        <w:t>tăng</w:t>
      </w:r>
      <w:r w:rsidRPr="00C30E94">
        <w:rPr>
          <w:bCs/>
        </w:rPr>
        <w:t xml:space="preserve"> </w:t>
      </w:r>
      <w:r w:rsidRPr="00C30E94">
        <w:rPr>
          <w:bCs/>
          <w:lang w:val="de-DE"/>
        </w:rPr>
        <w:t>3</w:t>
      </w:r>
      <w:r w:rsidRPr="00C30E94">
        <w:rPr>
          <w:bCs/>
        </w:rPr>
        <w:t>,3</w:t>
      </w:r>
      <w:r w:rsidRPr="00C30E94">
        <w:rPr>
          <w:lang w:val="de-DE"/>
        </w:rPr>
        <w:t>%</w:t>
      </w:r>
      <w:r w:rsidRPr="00C30E94">
        <w:rPr>
          <w:rStyle w:val="FootnoteReference"/>
          <w:lang w:val="de-DE"/>
        </w:rPr>
        <w:footnoteReference w:id="8"/>
      </w:r>
      <w:r w:rsidRPr="00C30E94">
        <w:rPr>
          <w:lang w:val="de-DE"/>
        </w:rPr>
        <w:t xml:space="preserve">, trong đó: Cá đạt </w:t>
      </w:r>
      <w:r w:rsidRPr="00C30E94">
        <w:rPr>
          <w:bCs/>
          <w:lang w:val="de-DE"/>
        </w:rPr>
        <w:t>208</w:t>
      </w:r>
      <w:r w:rsidRPr="00C30E94">
        <w:rPr>
          <w:bCs/>
        </w:rPr>
        <w:t>,3</w:t>
      </w:r>
      <w:r w:rsidRPr="00C30E94">
        <w:rPr>
          <w:lang w:val="de-DE"/>
        </w:rPr>
        <w:t xml:space="preserve"> nghìn tấn, </w:t>
      </w:r>
      <w:r w:rsidRPr="00C30E94">
        <w:rPr>
          <w:bCs/>
          <w:lang w:val="de-DE"/>
        </w:rPr>
        <w:t>tăng 3</w:t>
      </w:r>
      <w:r w:rsidRPr="00C30E94">
        <w:rPr>
          <w:bCs/>
        </w:rPr>
        <w:t>,1</w:t>
      </w:r>
      <w:r w:rsidRPr="00C30E94">
        <w:rPr>
          <w:bCs/>
          <w:lang w:val="de-DE"/>
        </w:rPr>
        <w:t>%</w:t>
      </w:r>
      <w:r w:rsidRPr="00C30E94">
        <w:rPr>
          <w:lang w:val="de-DE"/>
        </w:rPr>
        <w:t xml:space="preserve">; tôm đạt </w:t>
      </w:r>
      <w:r w:rsidRPr="00C30E94">
        <w:rPr>
          <w:bCs/>
          <w:lang w:val="de-DE"/>
        </w:rPr>
        <w:t>10</w:t>
      </w:r>
      <w:r w:rsidRPr="00C30E94">
        <w:rPr>
          <w:bCs/>
        </w:rPr>
        <w:t>,1</w:t>
      </w:r>
      <w:r w:rsidRPr="00C30E94">
        <w:rPr>
          <w:bCs/>
          <w:lang w:val="de-DE"/>
        </w:rPr>
        <w:t xml:space="preserve"> nghìn tấn, tăng 4,0%;</w:t>
      </w:r>
      <w:r w:rsidRPr="00C30E94">
        <w:rPr>
          <w:bCs/>
        </w:rPr>
        <w:t xml:space="preserve"> thủy sản khác đạt 52,1 nghìn tấn, tăng 4,3%</w:t>
      </w:r>
      <w:r w:rsidRPr="00C30E94">
        <w:rPr>
          <w:lang w:val="de-DE"/>
        </w:rPr>
        <w:t xml:space="preserve">. </w:t>
      </w:r>
    </w:p>
    <w:p w14:paraId="5AEABB39" w14:textId="124D481C" w:rsidR="009E7DEF" w:rsidRPr="00C30E94" w:rsidRDefault="009E7DEF" w:rsidP="009E7DEF">
      <w:pPr>
        <w:jc w:val="center"/>
        <w:rPr>
          <w:rFonts w:ascii="Arial" w:hAnsi="Arial" w:cs="Arial"/>
          <w:b/>
          <w:bCs/>
          <w:sz w:val="24"/>
          <w:szCs w:val="24"/>
          <w:lang w:val="de-DE"/>
        </w:rPr>
      </w:pPr>
      <w:r w:rsidRPr="00C30E94">
        <w:rPr>
          <w:rFonts w:ascii="Arial" w:hAnsi="Arial" w:cs="Arial"/>
          <w:b/>
          <w:bCs/>
          <w:sz w:val="24"/>
          <w:szCs w:val="24"/>
          <w:lang w:val="de-DE"/>
        </w:rPr>
        <w:t xml:space="preserve">Hình 3. Sản lượng thủy sản </w:t>
      </w:r>
      <w:r w:rsidR="001D362A">
        <w:rPr>
          <w:rFonts w:ascii="Arial" w:hAnsi="Arial" w:cs="Arial"/>
          <w:b/>
          <w:bCs/>
          <w:sz w:val="24"/>
          <w:szCs w:val="24"/>
          <w:lang w:val="de-DE"/>
        </w:rPr>
        <w:t>0</w:t>
      </w:r>
      <w:r w:rsidRPr="00C30E94">
        <w:rPr>
          <w:rFonts w:ascii="Arial" w:hAnsi="Arial" w:cs="Arial"/>
          <w:b/>
          <w:bCs/>
          <w:sz w:val="24"/>
          <w:szCs w:val="24"/>
          <w:lang w:val="de-DE"/>
        </w:rPr>
        <w:t>2 tháng đầu năm 2025</w:t>
      </w:r>
    </w:p>
    <w:p w14:paraId="7A1D587D" w14:textId="77777777" w:rsidR="009E7DEF" w:rsidRPr="00C30E94" w:rsidRDefault="009E7DEF" w:rsidP="003A54BB">
      <w:pPr>
        <w:shd w:val="clear" w:color="auto" w:fill="FFFFFF"/>
        <w:tabs>
          <w:tab w:val="left" w:pos="9360"/>
        </w:tabs>
        <w:spacing w:after="120"/>
        <w:jc w:val="center"/>
        <w:rPr>
          <w:rFonts w:ascii="Arial" w:hAnsi="Arial" w:cs="Arial"/>
          <w:b/>
          <w:bCs/>
          <w:sz w:val="24"/>
          <w:szCs w:val="24"/>
          <w:lang w:val="de-DE"/>
        </w:rPr>
      </w:pPr>
      <w:r w:rsidRPr="00C30E94">
        <w:rPr>
          <w:rFonts w:ascii="Arial" w:hAnsi="Arial" w:cs="Arial"/>
          <w:b/>
          <w:bCs/>
          <w:sz w:val="24"/>
          <w:szCs w:val="24"/>
          <w:lang w:val="de-DE"/>
        </w:rPr>
        <w:t>so với cùng kỳ năm 2024</w:t>
      </w:r>
    </w:p>
    <w:p w14:paraId="52D8AAFF" w14:textId="0EDF8697" w:rsidR="009E7DEF" w:rsidRPr="00C30E94" w:rsidRDefault="009E7DEF" w:rsidP="003A54BB">
      <w:pPr>
        <w:pStyle w:val="NormalWeb"/>
        <w:spacing w:before="0" w:beforeAutospacing="0" w:after="0" w:afterAutospacing="0"/>
        <w:jc w:val="center"/>
        <w:rPr>
          <w:lang w:val="en-GB"/>
        </w:rPr>
      </w:pPr>
      <w:r w:rsidRPr="00C30E94">
        <w:rPr>
          <w:noProof/>
          <w:lang w:val="en-US"/>
        </w:rPr>
        <w:drawing>
          <wp:inline distT="0" distB="0" distL="0" distR="0" wp14:anchorId="45E333DA" wp14:editId="5FCBBA0E">
            <wp:extent cx="5888990" cy="1475232"/>
            <wp:effectExtent l="0" t="0" r="0" b="0"/>
            <wp:docPr id="4" name="Picture 4" descr="A close 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133" cy="1488294"/>
                    </a:xfrm>
                    <a:prstGeom prst="rect">
                      <a:avLst/>
                    </a:prstGeom>
                    <a:noFill/>
                    <a:ln>
                      <a:noFill/>
                    </a:ln>
                  </pic:spPr>
                </pic:pic>
              </a:graphicData>
            </a:graphic>
          </wp:inline>
        </w:drawing>
      </w:r>
    </w:p>
    <w:p w14:paraId="5D24CE94" w14:textId="77777777" w:rsidR="009E7DEF" w:rsidRPr="00C30E94" w:rsidRDefault="009E7DEF" w:rsidP="001D362A">
      <w:pPr>
        <w:spacing w:before="120" w:after="120" w:line="252" w:lineRule="auto"/>
        <w:ind w:firstLine="720"/>
        <w:jc w:val="both"/>
        <w:rPr>
          <w:spacing w:val="4"/>
          <w:lang w:val="de-DE"/>
        </w:rPr>
      </w:pPr>
      <w:r w:rsidRPr="00C30E94">
        <w:rPr>
          <w:spacing w:val="4"/>
          <w:lang w:val="de-DE"/>
        </w:rPr>
        <w:t>Tính chung hai tháng đầu năm 2025, sản lượng thủy sản ước đạt 1.242,9 nghìn tấn, tăng 2,4% so với cùng kỳ năm trước, trong đó: Cá đạt 922,2 nghìn tấn, tăng 2,5%; tôm đạt 125,1 nghìn tấn, tăng 4,4%; thủy sản khác đạt 195,6 nghìn tấn, tăng 0,9%.</w:t>
      </w:r>
    </w:p>
    <w:p w14:paraId="71A1FD5C" w14:textId="77777777" w:rsidR="009E7DEF" w:rsidRPr="00C30E94" w:rsidRDefault="009E7DEF" w:rsidP="001D362A">
      <w:pPr>
        <w:widowControl w:val="0"/>
        <w:spacing w:after="120" w:line="252" w:lineRule="auto"/>
        <w:ind w:firstLine="720"/>
        <w:jc w:val="both"/>
        <w:rPr>
          <w:b/>
          <w:bCs/>
          <w:lang w:val="pl-PL"/>
        </w:rPr>
      </w:pPr>
      <w:r w:rsidRPr="00C30E94">
        <w:rPr>
          <w:b/>
          <w:bCs/>
          <w:lang w:val="pl-PL"/>
        </w:rPr>
        <w:t>2. Sản xuất công nghiệp</w:t>
      </w:r>
    </w:p>
    <w:p w14:paraId="6E81AE0D" w14:textId="3793B9FF" w:rsidR="009E7DEF" w:rsidRPr="00C30E94" w:rsidRDefault="009E7DEF" w:rsidP="001D362A">
      <w:pPr>
        <w:widowControl w:val="0"/>
        <w:shd w:val="clear" w:color="auto" w:fill="FFFFFF"/>
        <w:spacing w:after="120" w:line="252" w:lineRule="auto"/>
        <w:ind w:firstLine="720"/>
        <w:jc w:val="both"/>
        <w:rPr>
          <w:i/>
          <w:spacing w:val="-2"/>
          <w:lang w:val="sv-SE"/>
        </w:rPr>
      </w:pPr>
      <w:r w:rsidRPr="00C30E94">
        <w:rPr>
          <w:i/>
          <w:spacing w:val="-2"/>
          <w:lang w:val="sv-SE"/>
        </w:rPr>
        <w:t>Sản xuất công nghiệp tháng 02/202</w:t>
      </w:r>
      <w:r w:rsidRPr="00C30E94">
        <w:rPr>
          <w:i/>
          <w:spacing w:val="-2"/>
          <w:lang w:val="de-DE"/>
        </w:rPr>
        <w:t>5</w:t>
      </w:r>
      <w:r w:rsidRPr="00C30E94">
        <w:rPr>
          <w:i/>
          <w:spacing w:val="-2"/>
          <w:lang w:val="sv-SE"/>
        </w:rPr>
        <w:t xml:space="preserve"> ước tính giảm 2,</w:t>
      </w:r>
      <w:r w:rsidR="00DC3944">
        <w:rPr>
          <w:i/>
          <w:spacing w:val="-2"/>
          <w:lang w:val="sv-SE"/>
        </w:rPr>
        <w:t>2</w:t>
      </w:r>
      <w:r w:rsidRPr="00C30E94">
        <w:rPr>
          <w:i/>
          <w:spacing w:val="-2"/>
          <w:lang w:val="sv-SE"/>
        </w:rPr>
        <w:t>%</w:t>
      </w:r>
      <w:r w:rsidRPr="00C30E94">
        <w:rPr>
          <w:i/>
          <w:spacing w:val="-2"/>
          <w:vertAlign w:val="superscript"/>
          <w:lang w:val="pl-PL"/>
        </w:rPr>
        <w:footnoteReference w:id="9"/>
      </w:r>
      <w:r w:rsidRPr="00C30E94">
        <w:rPr>
          <w:i/>
          <w:spacing w:val="-2"/>
        </w:rPr>
        <w:t xml:space="preserve"> </w:t>
      </w:r>
      <w:r w:rsidRPr="00C30E94">
        <w:rPr>
          <w:i/>
          <w:spacing w:val="-2"/>
          <w:lang w:val="sv-SE"/>
        </w:rPr>
        <w:t>so với tháng trước; tăng 1</w:t>
      </w:r>
      <w:r w:rsidR="00DC3944">
        <w:rPr>
          <w:i/>
          <w:spacing w:val="-2"/>
          <w:lang w:val="sv-SE"/>
        </w:rPr>
        <w:t>7,2</w:t>
      </w:r>
      <w:r w:rsidRPr="00C30E94">
        <w:rPr>
          <w:i/>
          <w:spacing w:val="-2"/>
        </w:rPr>
        <w:t>%</w:t>
      </w:r>
      <w:r w:rsidRPr="00C30E94">
        <w:rPr>
          <w:i/>
          <w:spacing w:val="-2"/>
          <w:lang w:val="sv-SE"/>
        </w:rPr>
        <w:t xml:space="preserve"> so với cùng kỳ năm trước</w:t>
      </w:r>
      <w:r w:rsidRPr="00C30E94">
        <w:rPr>
          <w:i/>
          <w:spacing w:val="-2"/>
          <w:vertAlign w:val="superscript"/>
        </w:rPr>
        <w:footnoteReference w:id="10"/>
      </w:r>
      <w:r w:rsidRPr="00C30E94">
        <w:rPr>
          <w:i/>
          <w:spacing w:val="-2"/>
          <w:lang w:val="sv-SE"/>
        </w:rPr>
        <w:t>; tính chung hai tháng đầu năm 2025, chỉ số sản xuất toàn ngành công nghiệp (IIP) tăng 7,</w:t>
      </w:r>
      <w:r w:rsidR="00DC3944">
        <w:rPr>
          <w:i/>
          <w:spacing w:val="-2"/>
          <w:lang w:val="sv-SE"/>
        </w:rPr>
        <w:t>2</w:t>
      </w:r>
      <w:r w:rsidRPr="00C30E94">
        <w:rPr>
          <w:i/>
          <w:spacing w:val="-2"/>
          <w:lang w:val="sv-SE"/>
        </w:rPr>
        <w:t>% so với cùng kỳ năm trước.</w:t>
      </w:r>
    </w:p>
    <w:p w14:paraId="7FFF1DD5" w14:textId="0710DDBC" w:rsidR="009E7DEF" w:rsidRPr="00C30E94" w:rsidRDefault="009E7DEF" w:rsidP="001D362A">
      <w:pPr>
        <w:widowControl w:val="0"/>
        <w:shd w:val="clear" w:color="auto" w:fill="FFFFFF"/>
        <w:tabs>
          <w:tab w:val="left" w:pos="8931"/>
        </w:tabs>
        <w:spacing w:after="120" w:line="252" w:lineRule="auto"/>
        <w:ind w:firstLine="720"/>
        <w:jc w:val="both"/>
        <w:rPr>
          <w:spacing w:val="-4"/>
          <w:lang w:val="pl-PL"/>
        </w:rPr>
      </w:pPr>
      <w:r w:rsidRPr="00C30E94">
        <w:rPr>
          <w:spacing w:val="-4"/>
        </w:rPr>
        <w:t>T</w:t>
      </w:r>
      <w:r w:rsidR="00B75B20" w:rsidRPr="00C30E94">
        <w:rPr>
          <w:spacing w:val="-4"/>
          <w:lang w:val="en-US"/>
        </w:rPr>
        <w:t>háng 02/2025</w:t>
      </w:r>
      <w:r w:rsidRPr="00C30E94">
        <w:rPr>
          <w:spacing w:val="-4"/>
        </w:rPr>
        <w:t>,</w:t>
      </w:r>
      <w:r w:rsidRPr="00C30E94">
        <w:rPr>
          <w:spacing w:val="-4"/>
          <w:lang w:val="pl-PL"/>
        </w:rPr>
        <w:t xml:space="preserve"> chỉ số sản xuất ngành chế biến, chế tạo tăng 20,0% so với cùng kỳ trước; sản xuất và phân phối điện tăng 9,9%; cung cấp nước, hoạt động quản lý và xử lý rác thải, nước thải tăng 13,9%; riêng ngành khai khoáng </w:t>
      </w:r>
      <w:r w:rsidR="00DC3944">
        <w:rPr>
          <w:spacing w:val="-4"/>
          <w:lang w:val="pl-PL"/>
        </w:rPr>
        <w:t>tăng 0,4</w:t>
      </w:r>
      <w:r w:rsidRPr="00C30E94">
        <w:rPr>
          <w:spacing w:val="-4"/>
          <w:lang w:val="pl-PL"/>
        </w:rPr>
        <w:t>%.</w:t>
      </w:r>
    </w:p>
    <w:p w14:paraId="792870FB" w14:textId="724373C7" w:rsidR="009E7DEF" w:rsidRPr="00C30E94" w:rsidRDefault="009E7DEF" w:rsidP="001D362A">
      <w:pPr>
        <w:widowControl w:val="0"/>
        <w:shd w:val="clear" w:color="auto" w:fill="FFFFFF"/>
        <w:tabs>
          <w:tab w:val="left" w:pos="8931"/>
        </w:tabs>
        <w:spacing w:after="120" w:line="252" w:lineRule="auto"/>
        <w:ind w:firstLine="720"/>
        <w:jc w:val="both"/>
        <w:rPr>
          <w:lang w:val="pl-PL"/>
        </w:rPr>
      </w:pPr>
      <w:r w:rsidRPr="00C30E94">
        <w:rPr>
          <w:lang w:val="pl-PL"/>
        </w:rPr>
        <w:t xml:space="preserve">Tính chung hai tháng </w:t>
      </w:r>
      <w:r w:rsidRPr="00C30E94">
        <w:t xml:space="preserve">đầu </w:t>
      </w:r>
      <w:r w:rsidRPr="00C30E94">
        <w:rPr>
          <w:lang w:val="pl-PL"/>
        </w:rPr>
        <w:t>năm 2025, IIP ước tính tăng 7,</w:t>
      </w:r>
      <w:r w:rsidR="00DC3944">
        <w:rPr>
          <w:lang w:val="pl-PL"/>
        </w:rPr>
        <w:t>2</w:t>
      </w:r>
      <w:r w:rsidRPr="00C30E94">
        <w:rPr>
          <w:lang w:val="pl-PL"/>
        </w:rPr>
        <w:t>% so với cùng kỳ năm trước (</w:t>
      </w:r>
      <w:r w:rsidRPr="00C30E94">
        <w:t>cùng kỳ năm 202</w:t>
      </w:r>
      <w:r w:rsidRPr="00C30E94">
        <w:rPr>
          <w:lang w:val="pl-PL"/>
        </w:rPr>
        <w:t>4</w:t>
      </w:r>
      <w:r w:rsidRPr="00C30E94">
        <w:t xml:space="preserve"> </w:t>
      </w:r>
      <w:r w:rsidRPr="00C30E94">
        <w:rPr>
          <w:lang w:val="pl-PL"/>
        </w:rPr>
        <w:t>tăng</w:t>
      </w:r>
      <w:r w:rsidRPr="00C30E94">
        <w:t xml:space="preserve"> </w:t>
      </w:r>
      <w:r w:rsidRPr="00C30E94">
        <w:rPr>
          <w:lang w:val="pl-PL"/>
        </w:rPr>
        <w:t>6,5</w:t>
      </w:r>
      <w:r w:rsidRPr="00C30E94">
        <w:t>%</w:t>
      </w:r>
      <w:r w:rsidRPr="00C30E94">
        <w:rPr>
          <w:lang w:val="pl-PL"/>
        </w:rPr>
        <w:t xml:space="preserve">). Trong đó, ngành chế biến, chế tạo tăng 9,3% (cùng kỳ năm 2024 tăng 6,6%), đóng góp </w:t>
      </w:r>
      <w:r w:rsidR="00DC3944">
        <w:rPr>
          <w:lang w:val="pl-PL"/>
        </w:rPr>
        <w:t>7,9</w:t>
      </w:r>
      <w:r w:rsidRPr="00C30E94">
        <w:rPr>
          <w:lang w:val="pl-PL"/>
        </w:rPr>
        <w:t xml:space="preserve"> điểm phần trăm trong mức tăng chung; ngành sản xuất và phân phối điện tăng 2,3%</w:t>
      </w:r>
      <w:r w:rsidR="00BC4F2E" w:rsidRPr="00C30E94">
        <w:rPr>
          <w:rStyle w:val="FootnoteReference"/>
          <w:lang w:val="pl-PL"/>
        </w:rPr>
        <w:footnoteReference w:id="11"/>
      </w:r>
      <w:r w:rsidR="00B24962" w:rsidRPr="00C30E94">
        <w:rPr>
          <w:lang w:val="pl-PL"/>
        </w:rPr>
        <w:t xml:space="preserve"> </w:t>
      </w:r>
      <w:r w:rsidRPr="00C30E94">
        <w:rPr>
          <w:lang w:val="pl-PL"/>
        </w:rPr>
        <w:t xml:space="preserve">(cùng kỳ năm 2024 tăng 13,7%), đóng góp 0,2 điểm phần trăm; ngành cung cấp nước, hoạt động quản lý và xử lý rác thải, nước thải tăng 8,0% (cùng kỳ năm 2024 tăng 1,4%), đóng góp 0,1 điểm phần trăm; ngành khai khoáng giảm </w:t>
      </w:r>
      <w:r w:rsidR="00DC3944">
        <w:rPr>
          <w:lang w:val="pl-PL"/>
        </w:rPr>
        <w:t>6</w:t>
      </w:r>
      <w:r w:rsidRPr="00C30E94">
        <w:rPr>
          <w:lang w:val="pl-PL"/>
        </w:rPr>
        <w:t>,4% (cùng kỳ năm 2024 giảm 1,9%), làm giảm 1,</w:t>
      </w:r>
      <w:r w:rsidR="00DC3944">
        <w:rPr>
          <w:lang w:val="pl-PL"/>
        </w:rPr>
        <w:t>0</w:t>
      </w:r>
      <w:r w:rsidRPr="00C30E94">
        <w:rPr>
          <w:lang w:val="pl-PL"/>
        </w:rPr>
        <w:t xml:space="preserve"> điểm phần trăm trong mức tăng chung.</w:t>
      </w:r>
    </w:p>
    <w:p w14:paraId="1F835016" w14:textId="19F8E339" w:rsidR="009E7DEF" w:rsidRPr="00C30E94" w:rsidRDefault="009E7DEF" w:rsidP="001D362A">
      <w:pPr>
        <w:widowControl w:val="0"/>
        <w:shd w:val="clear" w:color="auto" w:fill="FFFFFF"/>
        <w:tabs>
          <w:tab w:val="left" w:pos="8931"/>
        </w:tabs>
        <w:spacing w:after="120" w:line="252" w:lineRule="auto"/>
        <w:ind w:firstLine="720"/>
        <w:jc w:val="both"/>
        <w:rPr>
          <w:sz w:val="14"/>
          <w:lang w:val="pl-PL"/>
        </w:rPr>
      </w:pPr>
      <w:r w:rsidRPr="00C30E94">
        <w:rPr>
          <w:lang w:val="pl-PL"/>
        </w:rPr>
        <w:lastRenderedPageBreak/>
        <w:t xml:space="preserve">Chỉ số sản xuất công nghiệp hai tháng đầu năm 2025 của một số ngành trọng điểm cấp II tăng so với cùng kỳ năm trước: Sản xuất xe có động cơ </w:t>
      </w:r>
      <w:r w:rsidRPr="00C30E94">
        <w:t>tăng</w:t>
      </w:r>
      <w:r w:rsidRPr="00C30E94">
        <w:rPr>
          <w:lang w:val="pl-PL"/>
        </w:rPr>
        <w:t xml:space="preserve"> 53,5%; s</w:t>
      </w:r>
      <w:r w:rsidRPr="00C30E94">
        <w:t>ản xuất da và các sản phẩm có liên quan</w:t>
      </w:r>
      <w:r w:rsidRPr="00C30E94">
        <w:rPr>
          <w:lang w:val="pl-PL"/>
        </w:rPr>
        <w:t xml:space="preserve"> tăng 22,5%; sản xuất giường, tủ, bàn, ghế tăng 19,8%; sản xuất trang phục tăng</w:t>
      </w:r>
      <w:r w:rsidRPr="00C30E94">
        <w:t xml:space="preserve"> </w:t>
      </w:r>
      <w:r w:rsidRPr="00C30E94">
        <w:rPr>
          <w:lang w:val="pl-PL"/>
        </w:rPr>
        <w:t>15,3</w:t>
      </w:r>
      <w:r w:rsidRPr="00C30E94">
        <w:t xml:space="preserve">%; </w:t>
      </w:r>
      <w:r w:rsidRPr="00C30E94">
        <w:rPr>
          <w:lang w:val="pl-PL"/>
        </w:rPr>
        <w:t>c</w:t>
      </w:r>
      <w:r w:rsidRPr="00C30E94">
        <w:t>hế biến gỗ và sản xuất sản phẩm từ gỗ, tre, nứa... tăng</w:t>
      </w:r>
      <w:r w:rsidRPr="00C30E94">
        <w:rPr>
          <w:lang w:val="pl-PL"/>
        </w:rPr>
        <w:t xml:space="preserve"> 12,5</w:t>
      </w:r>
      <w:r w:rsidRPr="00C30E94">
        <w:t xml:space="preserve">%; </w:t>
      </w:r>
      <w:r w:rsidRPr="00C30E94">
        <w:rPr>
          <w:lang w:val="pl-PL"/>
        </w:rPr>
        <w:t>dệt tăng 12,2%; sản xuất phương tiện vận tải khác tăng 12,1</w:t>
      </w:r>
      <w:r w:rsidRPr="00C30E94">
        <w:t xml:space="preserve">%; </w:t>
      </w:r>
      <w:r w:rsidRPr="00C30E94">
        <w:rPr>
          <w:lang w:val="pl-PL"/>
        </w:rPr>
        <w:t>sản xuất sản phẩm từ cao su và plastic tăng 11,3%</w:t>
      </w:r>
      <w:r w:rsidRPr="00C30E94">
        <w:t xml:space="preserve">; </w:t>
      </w:r>
      <w:r w:rsidRPr="00C30E94">
        <w:rPr>
          <w:lang w:val="pl-PL"/>
        </w:rPr>
        <w:t>s</w:t>
      </w:r>
      <w:r w:rsidRPr="00C30E94">
        <w:t xml:space="preserve">ản xuất sản phẩm điện tử, máy vi tính và sản phẩm quang học tăng </w:t>
      </w:r>
      <w:r w:rsidRPr="00C30E94">
        <w:rPr>
          <w:lang w:val="pl-PL"/>
        </w:rPr>
        <w:t>9,5%; sản xuất chế biến thực phẩm tăng 7,4%. Ở chiều ngược lại, chỉ số IIP của một số ngành giảm so với cùng kỳ năm trước: Khai thác dầu thô và khí đốt tự nhiên giảm 1</w:t>
      </w:r>
      <w:r w:rsidR="00DC3944">
        <w:rPr>
          <w:lang w:val="pl-PL"/>
        </w:rPr>
        <w:t>2,0</w:t>
      </w:r>
      <w:r w:rsidRPr="00C30E94">
        <w:rPr>
          <w:lang w:val="pl-PL"/>
        </w:rPr>
        <w:t>%</w:t>
      </w:r>
      <w:r w:rsidRPr="00C30E94">
        <w:t xml:space="preserve">; </w:t>
      </w:r>
      <w:r w:rsidRPr="00C30E94">
        <w:rPr>
          <w:lang w:val="pl-PL"/>
        </w:rPr>
        <w:t>sản xuất thuốc, hoá dược và dược liệu giảm 10,4%</w:t>
      </w:r>
      <w:r w:rsidRPr="00C30E94">
        <w:t>;</w:t>
      </w:r>
      <w:r w:rsidRPr="00C30E94">
        <w:rPr>
          <w:lang w:val="pl-PL"/>
        </w:rPr>
        <w:t xml:space="preserve"> sản xuất than cốc, sản phẩm dầu mỏ tinh chế giảm 3,6%; sản xuất sản phẩm thuốc lá giảm 2,8%;</w:t>
      </w:r>
      <w:r w:rsidRPr="00C30E94">
        <w:t xml:space="preserve"> </w:t>
      </w:r>
      <w:r w:rsidRPr="00C30E94">
        <w:rPr>
          <w:lang w:val="pl-PL"/>
        </w:rPr>
        <w:t>sản xuất thiết bị điện giảm 1,7</w:t>
      </w:r>
      <w:r w:rsidRPr="00C30E94">
        <w:t>%</w:t>
      </w:r>
      <w:r w:rsidRPr="00C30E94">
        <w:rPr>
          <w:lang w:val="pl-PL"/>
        </w:rPr>
        <w:t>.</w:t>
      </w:r>
    </w:p>
    <w:p w14:paraId="0BA41C0F" w14:textId="39D42181" w:rsidR="009E7DEF" w:rsidRPr="00C30E94" w:rsidRDefault="009E7DEF" w:rsidP="009E7DEF">
      <w:pPr>
        <w:shd w:val="clear" w:color="auto" w:fill="FFFFFF"/>
        <w:tabs>
          <w:tab w:val="left" w:pos="8931"/>
        </w:tabs>
        <w:spacing w:before="120" w:after="120" w:line="252" w:lineRule="auto"/>
        <w:jc w:val="center"/>
        <w:rPr>
          <w:rFonts w:ascii="Arial" w:hAnsi="Arial" w:cs="Arial"/>
          <w:b/>
          <w:spacing w:val="-2"/>
          <w:sz w:val="24"/>
          <w:szCs w:val="22"/>
          <w:lang w:val="pl-PL"/>
        </w:rPr>
      </w:pPr>
      <w:r w:rsidRPr="00C30E94">
        <w:rPr>
          <w:rFonts w:ascii="Arial" w:hAnsi="Arial" w:cs="Arial"/>
          <w:b/>
          <w:spacing w:val="-2"/>
          <w:sz w:val="24"/>
          <w:lang w:val="pl-PL"/>
        </w:rPr>
        <w:t xml:space="preserve">Biểu 1. Tốc độ tăng/giảm chỉ số IIP </w:t>
      </w:r>
      <w:r w:rsidR="001D362A">
        <w:rPr>
          <w:rFonts w:ascii="Arial" w:hAnsi="Arial" w:cs="Arial"/>
          <w:b/>
          <w:spacing w:val="-2"/>
          <w:sz w:val="24"/>
          <w:lang w:val="pl-PL"/>
        </w:rPr>
        <w:t>0</w:t>
      </w:r>
      <w:r w:rsidRPr="00C30E94">
        <w:rPr>
          <w:rFonts w:ascii="Arial" w:hAnsi="Arial" w:cs="Arial"/>
          <w:b/>
          <w:spacing w:val="-2"/>
          <w:sz w:val="24"/>
          <w:lang w:val="pl-PL"/>
        </w:rPr>
        <w:t>2</w:t>
      </w:r>
      <w:r w:rsidRPr="00C30E94">
        <w:rPr>
          <w:rFonts w:ascii="Arial" w:hAnsi="Arial" w:cs="Arial"/>
          <w:b/>
          <w:spacing w:val="-2"/>
          <w:sz w:val="24"/>
        </w:rPr>
        <w:t xml:space="preserve"> tháng đầu năm</w:t>
      </w:r>
      <w:r w:rsidRPr="00C30E94">
        <w:rPr>
          <w:rFonts w:ascii="Arial" w:hAnsi="Arial" w:cs="Arial"/>
          <w:b/>
          <w:spacing w:val="-2"/>
          <w:sz w:val="24"/>
          <w:lang w:val="pl-PL"/>
        </w:rPr>
        <w:t xml:space="preserve"> các năm 2021-2025</w:t>
      </w:r>
      <w:r w:rsidRPr="00C30E94">
        <w:rPr>
          <w:rFonts w:ascii="Arial" w:hAnsi="Arial" w:cs="Arial"/>
          <w:b/>
          <w:spacing w:val="-2"/>
          <w:sz w:val="24"/>
          <w:lang w:val="pl-PL"/>
        </w:rPr>
        <w:br/>
        <w:t xml:space="preserve">so với cùng kỳ năm trước của một số ngành công nghiệp trọng điểm </w:t>
      </w:r>
    </w:p>
    <w:p w14:paraId="31D52A8A" w14:textId="77777777" w:rsidR="009E7DEF" w:rsidRPr="00C30E94" w:rsidRDefault="009E7DEF" w:rsidP="009E7DEF">
      <w:pPr>
        <w:shd w:val="clear" w:color="auto" w:fill="FFFFFF"/>
        <w:tabs>
          <w:tab w:val="left" w:pos="8931"/>
        </w:tabs>
        <w:spacing w:before="60"/>
        <w:jc w:val="right"/>
        <w:rPr>
          <w:rFonts w:ascii="Arial" w:hAnsi="Arial" w:cs="Arial"/>
          <w:spacing w:val="-2"/>
          <w:sz w:val="20"/>
          <w:szCs w:val="20"/>
          <w:lang w:val="pl-PL"/>
        </w:rPr>
      </w:pPr>
      <w:r w:rsidRPr="00C30E94">
        <w:rPr>
          <w:rFonts w:ascii="Arial" w:hAnsi="Arial" w:cs="Arial"/>
          <w:spacing w:val="-2"/>
          <w:sz w:val="20"/>
          <w:szCs w:val="20"/>
          <w:lang w:val="pl-PL"/>
        </w:rPr>
        <w:t xml:space="preserve">   %</w:t>
      </w:r>
    </w:p>
    <w:tbl>
      <w:tblPr>
        <w:tblW w:w="9071" w:type="dxa"/>
        <w:jc w:val="center"/>
        <w:tblBorders>
          <w:top w:val="single" w:sz="4" w:space="0" w:color="auto"/>
        </w:tblBorders>
        <w:tblLook w:val="04A0" w:firstRow="1" w:lastRow="0" w:firstColumn="1" w:lastColumn="0" w:noHBand="0" w:noVBand="1"/>
      </w:tblPr>
      <w:tblGrid>
        <w:gridCol w:w="4820"/>
        <w:gridCol w:w="849"/>
        <w:gridCol w:w="850"/>
        <w:gridCol w:w="896"/>
        <w:gridCol w:w="806"/>
        <w:gridCol w:w="850"/>
      </w:tblGrid>
      <w:tr w:rsidR="00C30E94" w:rsidRPr="00C30E94" w14:paraId="12F48CEE" w14:textId="77777777" w:rsidTr="00724D96">
        <w:trPr>
          <w:trHeight w:val="585"/>
          <w:jc w:val="center"/>
        </w:trPr>
        <w:tc>
          <w:tcPr>
            <w:tcW w:w="4820" w:type="dxa"/>
            <w:tcBorders>
              <w:top w:val="single" w:sz="4" w:space="0" w:color="auto"/>
              <w:left w:val="nil"/>
              <w:bottom w:val="nil"/>
              <w:right w:val="nil"/>
            </w:tcBorders>
            <w:shd w:val="clear" w:color="auto" w:fill="FFFFFF"/>
            <w:hideMark/>
          </w:tcPr>
          <w:p w14:paraId="59CDC7B9" w14:textId="77777777" w:rsidR="009E7DEF" w:rsidRPr="00C30E94" w:rsidRDefault="009E7DEF">
            <w:pPr>
              <w:jc w:val="center"/>
              <w:rPr>
                <w:rFonts w:ascii="Arial" w:hAnsi="Arial" w:cs="Arial"/>
                <w:b/>
                <w:bCs/>
                <w:sz w:val="20"/>
                <w:szCs w:val="20"/>
                <w:lang w:val="en-US"/>
              </w:rPr>
            </w:pPr>
            <w:r w:rsidRPr="00C30E94">
              <w:rPr>
                <w:rFonts w:ascii="Arial" w:hAnsi="Arial" w:cs="Arial"/>
                <w:b/>
                <w:bCs/>
                <w:sz w:val="20"/>
                <w:szCs w:val="20"/>
              </w:rPr>
              <w:t> </w:t>
            </w:r>
          </w:p>
        </w:tc>
        <w:tc>
          <w:tcPr>
            <w:tcW w:w="849" w:type="dxa"/>
            <w:tcBorders>
              <w:top w:val="single" w:sz="4" w:space="0" w:color="auto"/>
              <w:left w:val="nil"/>
              <w:bottom w:val="single" w:sz="4" w:space="0" w:color="auto"/>
              <w:right w:val="nil"/>
            </w:tcBorders>
            <w:vAlign w:val="center"/>
            <w:hideMark/>
          </w:tcPr>
          <w:p w14:paraId="4673EB02" w14:textId="1F213CA6" w:rsidR="009E7DEF" w:rsidRPr="00C30E94" w:rsidRDefault="009E7DEF" w:rsidP="00724D96">
            <w:pPr>
              <w:jc w:val="center"/>
              <w:rPr>
                <w:rFonts w:ascii="Arial" w:hAnsi="Arial" w:cs="Arial"/>
                <w:b/>
                <w:bCs/>
                <w:sz w:val="20"/>
                <w:szCs w:val="20"/>
              </w:rPr>
            </w:pPr>
            <w:r w:rsidRPr="00C30E94">
              <w:rPr>
                <w:rFonts w:ascii="Arial" w:hAnsi="Arial" w:cs="Arial"/>
                <w:b/>
                <w:bCs/>
                <w:sz w:val="20"/>
                <w:szCs w:val="20"/>
              </w:rPr>
              <w:t>2021</w:t>
            </w:r>
          </w:p>
        </w:tc>
        <w:tc>
          <w:tcPr>
            <w:tcW w:w="850" w:type="dxa"/>
            <w:tcBorders>
              <w:top w:val="single" w:sz="4" w:space="0" w:color="auto"/>
              <w:left w:val="nil"/>
              <w:bottom w:val="single" w:sz="4" w:space="0" w:color="auto"/>
              <w:right w:val="nil"/>
            </w:tcBorders>
            <w:vAlign w:val="center"/>
            <w:hideMark/>
          </w:tcPr>
          <w:p w14:paraId="680B8DA8" w14:textId="77777777" w:rsidR="009E7DEF" w:rsidRPr="00C30E94" w:rsidRDefault="009E7DEF" w:rsidP="00724D96">
            <w:pPr>
              <w:jc w:val="center"/>
              <w:rPr>
                <w:rFonts w:ascii="Arial" w:hAnsi="Arial" w:cs="Arial"/>
                <w:b/>
                <w:bCs/>
                <w:sz w:val="20"/>
                <w:szCs w:val="20"/>
              </w:rPr>
            </w:pPr>
            <w:r w:rsidRPr="00C30E94">
              <w:rPr>
                <w:rFonts w:ascii="Arial" w:hAnsi="Arial" w:cs="Arial"/>
                <w:b/>
                <w:bCs/>
                <w:sz w:val="20"/>
                <w:szCs w:val="20"/>
              </w:rPr>
              <w:t>2022</w:t>
            </w:r>
          </w:p>
        </w:tc>
        <w:tc>
          <w:tcPr>
            <w:tcW w:w="896" w:type="dxa"/>
            <w:tcBorders>
              <w:top w:val="single" w:sz="4" w:space="0" w:color="auto"/>
              <w:left w:val="nil"/>
              <w:bottom w:val="single" w:sz="4" w:space="0" w:color="auto"/>
              <w:right w:val="nil"/>
            </w:tcBorders>
            <w:vAlign w:val="center"/>
            <w:hideMark/>
          </w:tcPr>
          <w:p w14:paraId="1E464F62" w14:textId="77777777" w:rsidR="009E7DEF" w:rsidRPr="00C30E94" w:rsidRDefault="009E7DEF" w:rsidP="00724D96">
            <w:pPr>
              <w:jc w:val="center"/>
              <w:rPr>
                <w:rFonts w:ascii="Arial" w:hAnsi="Arial" w:cs="Arial"/>
                <w:b/>
                <w:bCs/>
                <w:sz w:val="20"/>
                <w:szCs w:val="20"/>
              </w:rPr>
            </w:pPr>
            <w:r w:rsidRPr="00C30E94">
              <w:rPr>
                <w:rFonts w:ascii="Arial" w:hAnsi="Arial" w:cs="Arial"/>
                <w:b/>
                <w:bCs/>
                <w:sz w:val="20"/>
                <w:szCs w:val="20"/>
              </w:rPr>
              <w:t>2023</w:t>
            </w:r>
          </w:p>
        </w:tc>
        <w:tc>
          <w:tcPr>
            <w:tcW w:w="806" w:type="dxa"/>
            <w:tcBorders>
              <w:top w:val="single" w:sz="4" w:space="0" w:color="auto"/>
              <w:left w:val="nil"/>
              <w:bottom w:val="single" w:sz="4" w:space="0" w:color="auto"/>
              <w:right w:val="nil"/>
            </w:tcBorders>
            <w:vAlign w:val="center"/>
            <w:hideMark/>
          </w:tcPr>
          <w:p w14:paraId="0A6024EB" w14:textId="77777777" w:rsidR="009E7DEF" w:rsidRPr="00C30E94" w:rsidRDefault="009E7DEF" w:rsidP="00724D96">
            <w:pPr>
              <w:jc w:val="center"/>
              <w:rPr>
                <w:rFonts w:ascii="Arial" w:hAnsi="Arial" w:cs="Arial"/>
                <w:b/>
                <w:bCs/>
                <w:sz w:val="20"/>
                <w:szCs w:val="20"/>
              </w:rPr>
            </w:pPr>
            <w:r w:rsidRPr="00C30E94">
              <w:rPr>
                <w:rFonts w:ascii="Arial" w:hAnsi="Arial" w:cs="Arial"/>
                <w:b/>
                <w:bCs/>
                <w:sz w:val="20"/>
                <w:szCs w:val="20"/>
              </w:rPr>
              <w:t>2024</w:t>
            </w:r>
          </w:p>
        </w:tc>
        <w:tc>
          <w:tcPr>
            <w:tcW w:w="850" w:type="dxa"/>
            <w:tcBorders>
              <w:top w:val="single" w:sz="4" w:space="0" w:color="auto"/>
              <w:left w:val="nil"/>
              <w:bottom w:val="single" w:sz="4" w:space="0" w:color="auto"/>
              <w:right w:val="nil"/>
            </w:tcBorders>
            <w:vAlign w:val="center"/>
            <w:hideMark/>
          </w:tcPr>
          <w:p w14:paraId="2574F555" w14:textId="77777777" w:rsidR="009E7DEF" w:rsidRPr="00C30E94" w:rsidRDefault="009E7DEF" w:rsidP="00724D96">
            <w:pPr>
              <w:jc w:val="center"/>
              <w:rPr>
                <w:rFonts w:ascii="Arial" w:hAnsi="Arial" w:cs="Arial"/>
                <w:b/>
                <w:bCs/>
                <w:sz w:val="20"/>
                <w:szCs w:val="20"/>
              </w:rPr>
            </w:pPr>
            <w:r w:rsidRPr="00C30E94">
              <w:rPr>
                <w:rFonts w:ascii="Arial" w:hAnsi="Arial" w:cs="Arial"/>
                <w:b/>
                <w:bCs/>
                <w:sz w:val="20"/>
                <w:szCs w:val="20"/>
              </w:rPr>
              <w:t>2025</w:t>
            </w:r>
          </w:p>
        </w:tc>
      </w:tr>
      <w:tr w:rsidR="00C30E94" w:rsidRPr="00C30E94" w14:paraId="7E012292" w14:textId="77777777" w:rsidTr="00724D96">
        <w:trPr>
          <w:trHeight w:val="314"/>
          <w:jc w:val="center"/>
        </w:trPr>
        <w:tc>
          <w:tcPr>
            <w:tcW w:w="4820" w:type="dxa"/>
            <w:tcBorders>
              <w:top w:val="nil"/>
              <w:left w:val="nil"/>
              <w:bottom w:val="nil"/>
              <w:right w:val="nil"/>
            </w:tcBorders>
            <w:shd w:val="clear" w:color="auto" w:fill="FFFFFF"/>
            <w:noWrap/>
            <w:hideMark/>
          </w:tcPr>
          <w:p w14:paraId="4ACF5223" w14:textId="77777777" w:rsidR="009E7DEF" w:rsidRPr="00C30E94" w:rsidRDefault="009E7DEF">
            <w:pPr>
              <w:rPr>
                <w:rFonts w:ascii="Arial" w:hAnsi="Arial" w:cs="Arial"/>
                <w:sz w:val="20"/>
                <w:szCs w:val="20"/>
              </w:rPr>
            </w:pPr>
            <w:r w:rsidRPr="00C30E94">
              <w:rPr>
                <w:rFonts w:ascii="Arial" w:hAnsi="Arial" w:cs="Arial"/>
                <w:sz w:val="20"/>
                <w:szCs w:val="20"/>
              </w:rPr>
              <w:t>Khai thác dầu thô và khí đốt tự nhiên</w:t>
            </w:r>
          </w:p>
        </w:tc>
        <w:tc>
          <w:tcPr>
            <w:tcW w:w="849" w:type="dxa"/>
            <w:tcBorders>
              <w:top w:val="nil"/>
              <w:left w:val="nil"/>
              <w:bottom w:val="nil"/>
              <w:right w:val="nil"/>
            </w:tcBorders>
            <w:hideMark/>
          </w:tcPr>
          <w:p w14:paraId="0E8EF417" w14:textId="77777777" w:rsidR="009E7DEF" w:rsidRPr="00C30E94" w:rsidRDefault="009E7DEF">
            <w:pPr>
              <w:jc w:val="right"/>
              <w:rPr>
                <w:rFonts w:ascii="Arial" w:hAnsi="Arial" w:cs="Arial"/>
                <w:sz w:val="20"/>
                <w:szCs w:val="20"/>
              </w:rPr>
            </w:pPr>
            <w:r w:rsidRPr="00C30E94">
              <w:rPr>
                <w:rFonts w:ascii="Arial" w:hAnsi="Arial" w:cs="Arial"/>
                <w:sz w:val="20"/>
                <w:szCs w:val="20"/>
              </w:rPr>
              <w:t>-9,9</w:t>
            </w:r>
          </w:p>
        </w:tc>
        <w:tc>
          <w:tcPr>
            <w:tcW w:w="850" w:type="dxa"/>
            <w:tcBorders>
              <w:top w:val="nil"/>
              <w:left w:val="nil"/>
              <w:bottom w:val="nil"/>
              <w:right w:val="nil"/>
            </w:tcBorders>
            <w:hideMark/>
          </w:tcPr>
          <w:p w14:paraId="1D36D4FF" w14:textId="77777777" w:rsidR="009E7DEF" w:rsidRPr="00C30E94" w:rsidRDefault="009E7DEF">
            <w:pPr>
              <w:jc w:val="right"/>
              <w:rPr>
                <w:rFonts w:ascii="Arial" w:hAnsi="Arial" w:cs="Arial"/>
                <w:sz w:val="20"/>
                <w:szCs w:val="20"/>
              </w:rPr>
            </w:pPr>
            <w:r w:rsidRPr="00C30E94">
              <w:rPr>
                <w:rFonts w:ascii="Arial" w:hAnsi="Arial" w:cs="Arial"/>
                <w:sz w:val="20"/>
                <w:szCs w:val="20"/>
              </w:rPr>
              <w:t>-3,4</w:t>
            </w:r>
          </w:p>
        </w:tc>
        <w:tc>
          <w:tcPr>
            <w:tcW w:w="896" w:type="dxa"/>
            <w:tcBorders>
              <w:top w:val="nil"/>
              <w:left w:val="nil"/>
              <w:bottom w:val="nil"/>
              <w:right w:val="nil"/>
            </w:tcBorders>
            <w:hideMark/>
          </w:tcPr>
          <w:p w14:paraId="5B960EC8" w14:textId="77777777" w:rsidR="009E7DEF" w:rsidRPr="00C30E94" w:rsidRDefault="009E7DEF">
            <w:pPr>
              <w:jc w:val="right"/>
              <w:rPr>
                <w:rFonts w:ascii="Arial" w:hAnsi="Arial" w:cs="Arial"/>
                <w:sz w:val="20"/>
                <w:szCs w:val="20"/>
              </w:rPr>
            </w:pPr>
            <w:r w:rsidRPr="00C30E94">
              <w:rPr>
                <w:rFonts w:ascii="Arial" w:hAnsi="Arial" w:cs="Arial"/>
                <w:sz w:val="20"/>
                <w:szCs w:val="20"/>
              </w:rPr>
              <w:t>-3,1</w:t>
            </w:r>
          </w:p>
        </w:tc>
        <w:tc>
          <w:tcPr>
            <w:tcW w:w="806" w:type="dxa"/>
            <w:tcBorders>
              <w:top w:val="nil"/>
              <w:left w:val="nil"/>
              <w:bottom w:val="nil"/>
              <w:right w:val="nil"/>
            </w:tcBorders>
            <w:hideMark/>
          </w:tcPr>
          <w:p w14:paraId="26C1E7D3" w14:textId="77777777" w:rsidR="009E7DEF" w:rsidRPr="00C30E94" w:rsidRDefault="009E7DEF">
            <w:pPr>
              <w:jc w:val="right"/>
              <w:rPr>
                <w:rFonts w:ascii="Arial" w:hAnsi="Arial" w:cs="Arial"/>
                <w:sz w:val="20"/>
                <w:szCs w:val="20"/>
              </w:rPr>
            </w:pPr>
            <w:r w:rsidRPr="00C30E94">
              <w:rPr>
                <w:rFonts w:ascii="Arial" w:hAnsi="Arial" w:cs="Arial"/>
                <w:sz w:val="20"/>
                <w:szCs w:val="20"/>
              </w:rPr>
              <w:t>-6,6</w:t>
            </w:r>
          </w:p>
        </w:tc>
        <w:tc>
          <w:tcPr>
            <w:tcW w:w="850" w:type="dxa"/>
            <w:tcBorders>
              <w:top w:val="nil"/>
              <w:left w:val="nil"/>
              <w:bottom w:val="nil"/>
              <w:right w:val="nil"/>
            </w:tcBorders>
            <w:hideMark/>
          </w:tcPr>
          <w:p w14:paraId="77E742F8" w14:textId="668CF0BB" w:rsidR="009E7DEF" w:rsidRPr="00C30E94" w:rsidRDefault="009E7DEF">
            <w:pPr>
              <w:jc w:val="right"/>
              <w:rPr>
                <w:rFonts w:ascii="Arial" w:hAnsi="Arial" w:cs="Arial"/>
                <w:sz w:val="20"/>
                <w:szCs w:val="20"/>
              </w:rPr>
            </w:pPr>
            <w:r w:rsidRPr="00C30E94">
              <w:rPr>
                <w:rFonts w:ascii="Arial" w:hAnsi="Arial" w:cs="Arial"/>
                <w:sz w:val="20"/>
                <w:szCs w:val="20"/>
              </w:rPr>
              <w:t>-1</w:t>
            </w:r>
            <w:r w:rsidR="00DC3944">
              <w:rPr>
                <w:rFonts w:ascii="Arial" w:hAnsi="Arial" w:cs="Arial"/>
                <w:sz w:val="20"/>
                <w:szCs w:val="20"/>
                <w:lang w:val="en-US"/>
              </w:rPr>
              <w:t>2,0</w:t>
            </w:r>
          </w:p>
        </w:tc>
      </w:tr>
      <w:tr w:rsidR="00C30E94" w:rsidRPr="00C30E94" w14:paraId="66395550" w14:textId="77777777" w:rsidTr="00724D96">
        <w:trPr>
          <w:trHeight w:val="314"/>
          <w:jc w:val="center"/>
        </w:trPr>
        <w:tc>
          <w:tcPr>
            <w:tcW w:w="4820" w:type="dxa"/>
            <w:tcBorders>
              <w:top w:val="nil"/>
              <w:left w:val="nil"/>
              <w:bottom w:val="nil"/>
              <w:right w:val="nil"/>
            </w:tcBorders>
            <w:shd w:val="clear" w:color="auto" w:fill="FFFFFF"/>
            <w:noWrap/>
            <w:hideMark/>
          </w:tcPr>
          <w:p w14:paraId="0C982C42" w14:textId="77777777" w:rsidR="009E7DEF" w:rsidRPr="00C30E94" w:rsidRDefault="009E7DEF">
            <w:pPr>
              <w:rPr>
                <w:rFonts w:ascii="Arial" w:hAnsi="Arial" w:cs="Arial"/>
                <w:sz w:val="20"/>
                <w:szCs w:val="20"/>
              </w:rPr>
            </w:pPr>
            <w:r w:rsidRPr="00C30E94">
              <w:rPr>
                <w:rFonts w:ascii="Arial" w:hAnsi="Arial" w:cs="Arial"/>
                <w:sz w:val="20"/>
                <w:szCs w:val="20"/>
              </w:rPr>
              <w:t>Sản xuất chế biến thực phẩm</w:t>
            </w:r>
          </w:p>
        </w:tc>
        <w:tc>
          <w:tcPr>
            <w:tcW w:w="849" w:type="dxa"/>
            <w:tcBorders>
              <w:top w:val="nil"/>
              <w:left w:val="nil"/>
              <w:bottom w:val="nil"/>
              <w:right w:val="nil"/>
            </w:tcBorders>
            <w:hideMark/>
          </w:tcPr>
          <w:p w14:paraId="44E6A523" w14:textId="77777777" w:rsidR="009E7DEF" w:rsidRPr="00C30E94" w:rsidRDefault="009E7DEF">
            <w:pPr>
              <w:jc w:val="right"/>
              <w:rPr>
                <w:rFonts w:ascii="Arial" w:hAnsi="Arial" w:cs="Arial"/>
                <w:sz w:val="20"/>
                <w:szCs w:val="20"/>
              </w:rPr>
            </w:pPr>
            <w:r w:rsidRPr="00C30E94">
              <w:rPr>
                <w:rFonts w:ascii="Arial" w:hAnsi="Arial" w:cs="Arial"/>
                <w:sz w:val="20"/>
                <w:szCs w:val="20"/>
              </w:rPr>
              <w:t>3,3</w:t>
            </w:r>
          </w:p>
        </w:tc>
        <w:tc>
          <w:tcPr>
            <w:tcW w:w="850" w:type="dxa"/>
            <w:tcBorders>
              <w:top w:val="nil"/>
              <w:left w:val="nil"/>
              <w:bottom w:val="nil"/>
              <w:right w:val="nil"/>
            </w:tcBorders>
            <w:hideMark/>
          </w:tcPr>
          <w:p w14:paraId="5F59FC4A" w14:textId="77777777" w:rsidR="009E7DEF" w:rsidRPr="00C30E94" w:rsidRDefault="009E7DEF">
            <w:pPr>
              <w:jc w:val="right"/>
              <w:rPr>
                <w:rFonts w:ascii="Arial" w:hAnsi="Arial" w:cs="Arial"/>
                <w:sz w:val="20"/>
                <w:szCs w:val="20"/>
              </w:rPr>
            </w:pPr>
            <w:r w:rsidRPr="00C30E94">
              <w:rPr>
                <w:rFonts w:ascii="Arial" w:hAnsi="Arial" w:cs="Arial"/>
                <w:sz w:val="20"/>
                <w:szCs w:val="20"/>
              </w:rPr>
              <w:t>6,2</w:t>
            </w:r>
          </w:p>
        </w:tc>
        <w:tc>
          <w:tcPr>
            <w:tcW w:w="896" w:type="dxa"/>
            <w:tcBorders>
              <w:top w:val="nil"/>
              <w:left w:val="nil"/>
              <w:bottom w:val="nil"/>
              <w:right w:val="nil"/>
            </w:tcBorders>
            <w:hideMark/>
          </w:tcPr>
          <w:p w14:paraId="1A309527" w14:textId="77777777" w:rsidR="009E7DEF" w:rsidRPr="00C30E94" w:rsidRDefault="009E7DEF">
            <w:pPr>
              <w:jc w:val="right"/>
              <w:rPr>
                <w:rFonts w:ascii="Arial" w:hAnsi="Arial" w:cs="Arial"/>
                <w:sz w:val="20"/>
                <w:szCs w:val="20"/>
              </w:rPr>
            </w:pPr>
            <w:r w:rsidRPr="00C30E94">
              <w:rPr>
                <w:rFonts w:ascii="Arial" w:hAnsi="Arial" w:cs="Arial"/>
                <w:sz w:val="20"/>
                <w:szCs w:val="20"/>
              </w:rPr>
              <w:t>1,2</w:t>
            </w:r>
          </w:p>
        </w:tc>
        <w:tc>
          <w:tcPr>
            <w:tcW w:w="806" w:type="dxa"/>
            <w:tcBorders>
              <w:top w:val="nil"/>
              <w:left w:val="nil"/>
              <w:bottom w:val="nil"/>
              <w:right w:val="nil"/>
            </w:tcBorders>
            <w:hideMark/>
          </w:tcPr>
          <w:p w14:paraId="54D6ACB8" w14:textId="77777777" w:rsidR="009E7DEF" w:rsidRPr="00C30E94" w:rsidRDefault="009E7DEF">
            <w:pPr>
              <w:jc w:val="right"/>
              <w:rPr>
                <w:rFonts w:ascii="Arial" w:hAnsi="Arial" w:cs="Arial"/>
                <w:sz w:val="20"/>
                <w:szCs w:val="20"/>
              </w:rPr>
            </w:pPr>
            <w:r w:rsidRPr="00C30E94">
              <w:rPr>
                <w:rFonts w:ascii="Arial" w:hAnsi="Arial" w:cs="Arial"/>
                <w:sz w:val="20"/>
                <w:szCs w:val="20"/>
              </w:rPr>
              <w:t>4,2</w:t>
            </w:r>
          </w:p>
        </w:tc>
        <w:tc>
          <w:tcPr>
            <w:tcW w:w="850" w:type="dxa"/>
            <w:tcBorders>
              <w:top w:val="nil"/>
              <w:left w:val="nil"/>
              <w:bottom w:val="nil"/>
              <w:right w:val="nil"/>
            </w:tcBorders>
            <w:hideMark/>
          </w:tcPr>
          <w:p w14:paraId="4AACE77C" w14:textId="77777777" w:rsidR="009E7DEF" w:rsidRPr="00C30E94" w:rsidRDefault="009E7DEF">
            <w:pPr>
              <w:jc w:val="right"/>
              <w:rPr>
                <w:rFonts w:ascii="Arial" w:hAnsi="Arial" w:cs="Arial"/>
                <w:sz w:val="20"/>
                <w:szCs w:val="20"/>
              </w:rPr>
            </w:pPr>
            <w:r w:rsidRPr="00C30E94">
              <w:rPr>
                <w:rFonts w:ascii="Arial" w:hAnsi="Arial" w:cs="Arial"/>
                <w:sz w:val="20"/>
                <w:szCs w:val="20"/>
              </w:rPr>
              <w:t>7,4</w:t>
            </w:r>
          </w:p>
        </w:tc>
      </w:tr>
      <w:tr w:rsidR="00C30E94" w:rsidRPr="00C30E94" w14:paraId="592565B7" w14:textId="77777777" w:rsidTr="00724D96">
        <w:trPr>
          <w:trHeight w:val="317"/>
          <w:jc w:val="center"/>
        </w:trPr>
        <w:tc>
          <w:tcPr>
            <w:tcW w:w="4820" w:type="dxa"/>
            <w:tcBorders>
              <w:top w:val="nil"/>
              <w:left w:val="nil"/>
              <w:bottom w:val="nil"/>
              <w:right w:val="nil"/>
            </w:tcBorders>
            <w:shd w:val="clear" w:color="auto" w:fill="FFFFFF"/>
            <w:hideMark/>
          </w:tcPr>
          <w:p w14:paraId="408AD307" w14:textId="77777777" w:rsidR="009E7DEF" w:rsidRPr="00C30E94" w:rsidRDefault="009E7DEF">
            <w:pPr>
              <w:rPr>
                <w:rFonts w:ascii="Arial" w:hAnsi="Arial" w:cs="Arial"/>
                <w:sz w:val="20"/>
                <w:szCs w:val="20"/>
              </w:rPr>
            </w:pPr>
            <w:r w:rsidRPr="00C30E94">
              <w:rPr>
                <w:rFonts w:ascii="Arial" w:hAnsi="Arial" w:cs="Arial"/>
                <w:sz w:val="20"/>
                <w:szCs w:val="20"/>
              </w:rPr>
              <w:t>Sản xuất sản phẩm thuốc lá</w:t>
            </w:r>
          </w:p>
        </w:tc>
        <w:tc>
          <w:tcPr>
            <w:tcW w:w="849" w:type="dxa"/>
            <w:tcBorders>
              <w:top w:val="nil"/>
              <w:left w:val="nil"/>
              <w:bottom w:val="nil"/>
              <w:right w:val="nil"/>
            </w:tcBorders>
            <w:hideMark/>
          </w:tcPr>
          <w:p w14:paraId="28CE7BC7" w14:textId="77777777" w:rsidR="009E7DEF" w:rsidRPr="00C30E94" w:rsidRDefault="009E7DEF">
            <w:pPr>
              <w:jc w:val="right"/>
              <w:rPr>
                <w:rFonts w:ascii="Arial" w:hAnsi="Arial" w:cs="Arial"/>
                <w:sz w:val="20"/>
                <w:szCs w:val="20"/>
              </w:rPr>
            </w:pPr>
            <w:r w:rsidRPr="00C30E94">
              <w:rPr>
                <w:rFonts w:ascii="Arial" w:hAnsi="Arial" w:cs="Arial"/>
                <w:sz w:val="20"/>
                <w:szCs w:val="20"/>
              </w:rPr>
              <w:t>4,8</w:t>
            </w:r>
          </w:p>
        </w:tc>
        <w:tc>
          <w:tcPr>
            <w:tcW w:w="850" w:type="dxa"/>
            <w:tcBorders>
              <w:top w:val="nil"/>
              <w:left w:val="nil"/>
              <w:bottom w:val="nil"/>
              <w:right w:val="nil"/>
            </w:tcBorders>
            <w:hideMark/>
          </w:tcPr>
          <w:p w14:paraId="146F38AB" w14:textId="77777777" w:rsidR="009E7DEF" w:rsidRPr="00C30E94" w:rsidRDefault="009E7DEF">
            <w:pPr>
              <w:jc w:val="right"/>
              <w:rPr>
                <w:rFonts w:ascii="Arial" w:hAnsi="Arial" w:cs="Arial"/>
                <w:sz w:val="20"/>
                <w:szCs w:val="20"/>
              </w:rPr>
            </w:pPr>
            <w:r w:rsidRPr="00C30E94">
              <w:rPr>
                <w:rFonts w:ascii="Arial" w:hAnsi="Arial" w:cs="Arial"/>
                <w:sz w:val="20"/>
                <w:szCs w:val="20"/>
              </w:rPr>
              <w:t>5,8</w:t>
            </w:r>
          </w:p>
        </w:tc>
        <w:tc>
          <w:tcPr>
            <w:tcW w:w="896" w:type="dxa"/>
            <w:tcBorders>
              <w:top w:val="nil"/>
              <w:left w:val="nil"/>
              <w:bottom w:val="nil"/>
              <w:right w:val="nil"/>
            </w:tcBorders>
            <w:hideMark/>
          </w:tcPr>
          <w:p w14:paraId="09DDB484" w14:textId="77777777" w:rsidR="009E7DEF" w:rsidRPr="00C30E94" w:rsidRDefault="009E7DEF">
            <w:pPr>
              <w:jc w:val="right"/>
              <w:rPr>
                <w:rFonts w:ascii="Arial" w:hAnsi="Arial" w:cs="Arial"/>
                <w:sz w:val="20"/>
                <w:szCs w:val="20"/>
              </w:rPr>
            </w:pPr>
            <w:r w:rsidRPr="00C30E94">
              <w:rPr>
                <w:rFonts w:ascii="Arial" w:hAnsi="Arial" w:cs="Arial"/>
                <w:sz w:val="20"/>
                <w:szCs w:val="20"/>
              </w:rPr>
              <w:t>6,1</w:t>
            </w:r>
          </w:p>
        </w:tc>
        <w:tc>
          <w:tcPr>
            <w:tcW w:w="806" w:type="dxa"/>
            <w:tcBorders>
              <w:top w:val="nil"/>
              <w:left w:val="nil"/>
              <w:bottom w:val="nil"/>
              <w:right w:val="nil"/>
            </w:tcBorders>
            <w:hideMark/>
          </w:tcPr>
          <w:p w14:paraId="1962EEDE" w14:textId="77777777" w:rsidR="009E7DEF" w:rsidRPr="00C30E94" w:rsidRDefault="009E7DEF">
            <w:pPr>
              <w:jc w:val="right"/>
              <w:rPr>
                <w:rFonts w:ascii="Arial" w:hAnsi="Arial" w:cs="Arial"/>
                <w:sz w:val="20"/>
                <w:szCs w:val="20"/>
              </w:rPr>
            </w:pPr>
            <w:r w:rsidRPr="00C30E94">
              <w:rPr>
                <w:rFonts w:ascii="Arial" w:hAnsi="Arial" w:cs="Arial"/>
                <w:sz w:val="20"/>
                <w:szCs w:val="20"/>
              </w:rPr>
              <w:t>9,6</w:t>
            </w:r>
          </w:p>
        </w:tc>
        <w:tc>
          <w:tcPr>
            <w:tcW w:w="850" w:type="dxa"/>
            <w:tcBorders>
              <w:top w:val="nil"/>
              <w:left w:val="nil"/>
              <w:bottom w:val="nil"/>
              <w:right w:val="nil"/>
            </w:tcBorders>
            <w:hideMark/>
          </w:tcPr>
          <w:p w14:paraId="037275FF" w14:textId="77777777" w:rsidR="009E7DEF" w:rsidRPr="00C30E94" w:rsidRDefault="009E7DEF">
            <w:pPr>
              <w:jc w:val="right"/>
              <w:rPr>
                <w:rFonts w:ascii="Arial" w:hAnsi="Arial" w:cs="Arial"/>
                <w:sz w:val="20"/>
                <w:szCs w:val="20"/>
              </w:rPr>
            </w:pPr>
            <w:r w:rsidRPr="00C30E94">
              <w:rPr>
                <w:rFonts w:ascii="Arial" w:hAnsi="Arial" w:cs="Arial"/>
                <w:sz w:val="20"/>
                <w:szCs w:val="20"/>
              </w:rPr>
              <w:t>-2,8</w:t>
            </w:r>
          </w:p>
        </w:tc>
      </w:tr>
      <w:tr w:rsidR="00C30E94" w:rsidRPr="00C30E94" w14:paraId="4D274752" w14:textId="77777777" w:rsidTr="00724D96">
        <w:trPr>
          <w:trHeight w:val="314"/>
          <w:jc w:val="center"/>
        </w:trPr>
        <w:tc>
          <w:tcPr>
            <w:tcW w:w="4820" w:type="dxa"/>
            <w:tcBorders>
              <w:top w:val="nil"/>
              <w:left w:val="nil"/>
              <w:bottom w:val="nil"/>
              <w:right w:val="nil"/>
            </w:tcBorders>
            <w:shd w:val="clear" w:color="auto" w:fill="FFFFFF"/>
            <w:noWrap/>
            <w:hideMark/>
          </w:tcPr>
          <w:p w14:paraId="0ABC1286" w14:textId="77777777" w:rsidR="009E7DEF" w:rsidRPr="00C30E94" w:rsidRDefault="009E7DEF">
            <w:pPr>
              <w:rPr>
                <w:rFonts w:ascii="Arial" w:hAnsi="Arial" w:cs="Arial"/>
                <w:sz w:val="20"/>
                <w:szCs w:val="20"/>
              </w:rPr>
            </w:pPr>
            <w:r w:rsidRPr="00C30E94">
              <w:rPr>
                <w:rFonts w:ascii="Arial" w:hAnsi="Arial" w:cs="Arial"/>
                <w:sz w:val="20"/>
                <w:szCs w:val="20"/>
              </w:rPr>
              <w:t>Dệt</w:t>
            </w:r>
          </w:p>
        </w:tc>
        <w:tc>
          <w:tcPr>
            <w:tcW w:w="849" w:type="dxa"/>
            <w:tcBorders>
              <w:top w:val="nil"/>
              <w:left w:val="nil"/>
              <w:bottom w:val="nil"/>
              <w:right w:val="nil"/>
            </w:tcBorders>
            <w:hideMark/>
          </w:tcPr>
          <w:p w14:paraId="6C1F4783" w14:textId="77777777" w:rsidR="009E7DEF" w:rsidRPr="00C30E94" w:rsidRDefault="009E7DEF">
            <w:pPr>
              <w:jc w:val="right"/>
              <w:rPr>
                <w:rFonts w:ascii="Arial" w:hAnsi="Arial" w:cs="Arial"/>
                <w:sz w:val="20"/>
                <w:szCs w:val="20"/>
              </w:rPr>
            </w:pPr>
            <w:r w:rsidRPr="00C30E94">
              <w:rPr>
                <w:rFonts w:ascii="Arial" w:hAnsi="Arial" w:cs="Arial"/>
                <w:sz w:val="20"/>
                <w:szCs w:val="20"/>
              </w:rPr>
              <w:t>5,0</w:t>
            </w:r>
          </w:p>
        </w:tc>
        <w:tc>
          <w:tcPr>
            <w:tcW w:w="850" w:type="dxa"/>
            <w:tcBorders>
              <w:top w:val="nil"/>
              <w:left w:val="nil"/>
              <w:bottom w:val="nil"/>
              <w:right w:val="nil"/>
            </w:tcBorders>
            <w:hideMark/>
          </w:tcPr>
          <w:p w14:paraId="07076C92" w14:textId="77777777" w:rsidR="009E7DEF" w:rsidRPr="00C30E94" w:rsidRDefault="009E7DEF">
            <w:pPr>
              <w:jc w:val="right"/>
              <w:rPr>
                <w:rFonts w:ascii="Arial" w:hAnsi="Arial" w:cs="Arial"/>
                <w:sz w:val="20"/>
                <w:szCs w:val="20"/>
              </w:rPr>
            </w:pPr>
            <w:r w:rsidRPr="00C30E94">
              <w:rPr>
                <w:rFonts w:ascii="Arial" w:hAnsi="Arial" w:cs="Arial"/>
                <w:sz w:val="20"/>
                <w:szCs w:val="20"/>
              </w:rPr>
              <w:t>5,3</w:t>
            </w:r>
          </w:p>
        </w:tc>
        <w:tc>
          <w:tcPr>
            <w:tcW w:w="896" w:type="dxa"/>
            <w:tcBorders>
              <w:top w:val="nil"/>
              <w:left w:val="nil"/>
              <w:bottom w:val="nil"/>
              <w:right w:val="nil"/>
            </w:tcBorders>
            <w:hideMark/>
          </w:tcPr>
          <w:p w14:paraId="42DCD9CE" w14:textId="77777777" w:rsidR="009E7DEF" w:rsidRPr="00C30E94" w:rsidRDefault="009E7DEF">
            <w:pPr>
              <w:jc w:val="right"/>
              <w:rPr>
                <w:rFonts w:ascii="Arial" w:hAnsi="Arial" w:cs="Arial"/>
                <w:sz w:val="20"/>
                <w:szCs w:val="20"/>
              </w:rPr>
            </w:pPr>
            <w:r w:rsidRPr="00C30E94">
              <w:rPr>
                <w:rFonts w:ascii="Arial" w:hAnsi="Arial" w:cs="Arial"/>
                <w:sz w:val="20"/>
                <w:szCs w:val="20"/>
              </w:rPr>
              <w:t>-9,9</w:t>
            </w:r>
          </w:p>
        </w:tc>
        <w:tc>
          <w:tcPr>
            <w:tcW w:w="806" w:type="dxa"/>
            <w:tcBorders>
              <w:top w:val="nil"/>
              <w:left w:val="nil"/>
              <w:bottom w:val="nil"/>
              <w:right w:val="nil"/>
            </w:tcBorders>
            <w:hideMark/>
          </w:tcPr>
          <w:p w14:paraId="2D9C9997" w14:textId="77777777" w:rsidR="009E7DEF" w:rsidRPr="00C30E94" w:rsidRDefault="009E7DEF">
            <w:pPr>
              <w:jc w:val="right"/>
              <w:rPr>
                <w:rFonts w:ascii="Arial" w:hAnsi="Arial" w:cs="Arial"/>
                <w:sz w:val="20"/>
                <w:szCs w:val="20"/>
              </w:rPr>
            </w:pPr>
            <w:r w:rsidRPr="00C30E94">
              <w:rPr>
                <w:rFonts w:ascii="Arial" w:hAnsi="Arial" w:cs="Arial"/>
                <w:sz w:val="20"/>
                <w:szCs w:val="20"/>
              </w:rPr>
              <w:t>18,0</w:t>
            </w:r>
          </w:p>
        </w:tc>
        <w:tc>
          <w:tcPr>
            <w:tcW w:w="850" w:type="dxa"/>
            <w:tcBorders>
              <w:top w:val="nil"/>
              <w:left w:val="nil"/>
              <w:bottom w:val="nil"/>
              <w:right w:val="nil"/>
            </w:tcBorders>
            <w:hideMark/>
          </w:tcPr>
          <w:p w14:paraId="6BBD02F4" w14:textId="77777777" w:rsidR="009E7DEF" w:rsidRPr="00C30E94" w:rsidRDefault="009E7DEF">
            <w:pPr>
              <w:jc w:val="right"/>
              <w:rPr>
                <w:rFonts w:ascii="Arial" w:hAnsi="Arial" w:cs="Arial"/>
                <w:sz w:val="20"/>
                <w:szCs w:val="20"/>
              </w:rPr>
            </w:pPr>
            <w:r w:rsidRPr="00C30E94">
              <w:rPr>
                <w:rFonts w:ascii="Arial" w:hAnsi="Arial" w:cs="Arial"/>
                <w:sz w:val="20"/>
                <w:szCs w:val="20"/>
              </w:rPr>
              <w:t>12,2</w:t>
            </w:r>
          </w:p>
        </w:tc>
      </w:tr>
      <w:tr w:rsidR="00C30E94" w:rsidRPr="00C30E94" w14:paraId="17A2E87B" w14:textId="77777777" w:rsidTr="00724D96">
        <w:trPr>
          <w:trHeight w:val="314"/>
          <w:jc w:val="center"/>
        </w:trPr>
        <w:tc>
          <w:tcPr>
            <w:tcW w:w="4820" w:type="dxa"/>
            <w:tcBorders>
              <w:top w:val="nil"/>
              <w:left w:val="nil"/>
              <w:bottom w:val="nil"/>
              <w:right w:val="nil"/>
            </w:tcBorders>
            <w:shd w:val="clear" w:color="auto" w:fill="FFFFFF"/>
            <w:noWrap/>
            <w:hideMark/>
          </w:tcPr>
          <w:p w14:paraId="76E7F837" w14:textId="77777777" w:rsidR="009E7DEF" w:rsidRPr="00C30E94" w:rsidRDefault="009E7DEF">
            <w:pPr>
              <w:rPr>
                <w:rFonts w:ascii="Arial" w:hAnsi="Arial" w:cs="Arial"/>
                <w:sz w:val="20"/>
                <w:szCs w:val="20"/>
              </w:rPr>
            </w:pPr>
            <w:r w:rsidRPr="00C30E94">
              <w:rPr>
                <w:rFonts w:ascii="Arial" w:hAnsi="Arial" w:cs="Arial"/>
                <w:sz w:val="20"/>
                <w:szCs w:val="20"/>
              </w:rPr>
              <w:t>Sản xuất trang phục</w:t>
            </w:r>
          </w:p>
        </w:tc>
        <w:tc>
          <w:tcPr>
            <w:tcW w:w="849" w:type="dxa"/>
            <w:tcBorders>
              <w:top w:val="nil"/>
              <w:left w:val="nil"/>
              <w:bottom w:val="nil"/>
              <w:right w:val="nil"/>
            </w:tcBorders>
            <w:hideMark/>
          </w:tcPr>
          <w:p w14:paraId="3C2A579B" w14:textId="77777777" w:rsidR="009E7DEF" w:rsidRPr="00C30E94" w:rsidRDefault="009E7DEF">
            <w:pPr>
              <w:jc w:val="right"/>
              <w:rPr>
                <w:rFonts w:ascii="Arial" w:hAnsi="Arial" w:cs="Arial"/>
                <w:sz w:val="20"/>
                <w:szCs w:val="20"/>
              </w:rPr>
            </w:pPr>
            <w:r w:rsidRPr="00C30E94">
              <w:rPr>
                <w:rFonts w:ascii="Arial" w:hAnsi="Arial" w:cs="Arial"/>
                <w:sz w:val="20"/>
                <w:szCs w:val="20"/>
              </w:rPr>
              <w:t>2,1</w:t>
            </w:r>
          </w:p>
        </w:tc>
        <w:tc>
          <w:tcPr>
            <w:tcW w:w="850" w:type="dxa"/>
            <w:tcBorders>
              <w:top w:val="nil"/>
              <w:left w:val="nil"/>
              <w:bottom w:val="nil"/>
              <w:right w:val="nil"/>
            </w:tcBorders>
            <w:hideMark/>
          </w:tcPr>
          <w:p w14:paraId="3F6FB870" w14:textId="77777777" w:rsidR="009E7DEF" w:rsidRPr="00C30E94" w:rsidRDefault="009E7DEF">
            <w:pPr>
              <w:jc w:val="right"/>
              <w:rPr>
                <w:rFonts w:ascii="Arial" w:hAnsi="Arial" w:cs="Arial"/>
                <w:sz w:val="20"/>
                <w:szCs w:val="20"/>
              </w:rPr>
            </w:pPr>
            <w:r w:rsidRPr="00C30E94">
              <w:rPr>
                <w:rFonts w:ascii="Arial" w:hAnsi="Arial" w:cs="Arial"/>
                <w:sz w:val="20"/>
                <w:szCs w:val="20"/>
              </w:rPr>
              <w:t>25,7</w:t>
            </w:r>
          </w:p>
        </w:tc>
        <w:tc>
          <w:tcPr>
            <w:tcW w:w="896" w:type="dxa"/>
            <w:tcBorders>
              <w:top w:val="nil"/>
              <w:left w:val="nil"/>
              <w:bottom w:val="nil"/>
              <w:right w:val="nil"/>
            </w:tcBorders>
            <w:hideMark/>
          </w:tcPr>
          <w:p w14:paraId="3C038671" w14:textId="77777777" w:rsidR="009E7DEF" w:rsidRPr="00C30E94" w:rsidRDefault="009E7DEF">
            <w:pPr>
              <w:jc w:val="right"/>
              <w:rPr>
                <w:rFonts w:ascii="Arial" w:hAnsi="Arial" w:cs="Arial"/>
                <w:sz w:val="20"/>
                <w:szCs w:val="20"/>
              </w:rPr>
            </w:pPr>
            <w:r w:rsidRPr="00C30E94">
              <w:rPr>
                <w:rFonts w:ascii="Arial" w:hAnsi="Arial" w:cs="Arial"/>
                <w:sz w:val="20"/>
                <w:szCs w:val="20"/>
              </w:rPr>
              <w:t>-14,0</w:t>
            </w:r>
          </w:p>
        </w:tc>
        <w:tc>
          <w:tcPr>
            <w:tcW w:w="806" w:type="dxa"/>
            <w:tcBorders>
              <w:top w:val="nil"/>
              <w:left w:val="nil"/>
              <w:bottom w:val="nil"/>
              <w:right w:val="nil"/>
            </w:tcBorders>
            <w:hideMark/>
          </w:tcPr>
          <w:p w14:paraId="6E496A26" w14:textId="77777777" w:rsidR="009E7DEF" w:rsidRPr="00C30E94" w:rsidRDefault="009E7DEF">
            <w:pPr>
              <w:jc w:val="right"/>
              <w:rPr>
                <w:rFonts w:ascii="Arial" w:hAnsi="Arial" w:cs="Arial"/>
                <w:sz w:val="20"/>
                <w:szCs w:val="20"/>
              </w:rPr>
            </w:pPr>
            <w:r w:rsidRPr="00C30E94">
              <w:rPr>
                <w:rFonts w:ascii="Arial" w:hAnsi="Arial" w:cs="Arial"/>
                <w:sz w:val="20"/>
                <w:szCs w:val="20"/>
              </w:rPr>
              <w:t>4,1</w:t>
            </w:r>
          </w:p>
        </w:tc>
        <w:tc>
          <w:tcPr>
            <w:tcW w:w="850" w:type="dxa"/>
            <w:tcBorders>
              <w:top w:val="nil"/>
              <w:left w:val="nil"/>
              <w:bottom w:val="nil"/>
              <w:right w:val="nil"/>
            </w:tcBorders>
            <w:hideMark/>
          </w:tcPr>
          <w:p w14:paraId="117A307D" w14:textId="77777777" w:rsidR="009E7DEF" w:rsidRPr="00C30E94" w:rsidRDefault="009E7DEF">
            <w:pPr>
              <w:jc w:val="right"/>
              <w:rPr>
                <w:rFonts w:ascii="Arial" w:hAnsi="Arial" w:cs="Arial"/>
                <w:sz w:val="20"/>
                <w:szCs w:val="20"/>
              </w:rPr>
            </w:pPr>
            <w:r w:rsidRPr="00C30E94">
              <w:rPr>
                <w:rFonts w:ascii="Arial" w:hAnsi="Arial" w:cs="Arial"/>
                <w:sz w:val="20"/>
                <w:szCs w:val="20"/>
              </w:rPr>
              <w:t>15,3</w:t>
            </w:r>
          </w:p>
        </w:tc>
      </w:tr>
      <w:tr w:rsidR="00C30E94" w:rsidRPr="00C30E94" w14:paraId="00A20778" w14:textId="77777777" w:rsidTr="00724D96">
        <w:trPr>
          <w:trHeight w:val="314"/>
          <w:jc w:val="center"/>
        </w:trPr>
        <w:tc>
          <w:tcPr>
            <w:tcW w:w="4820" w:type="dxa"/>
            <w:tcBorders>
              <w:top w:val="nil"/>
              <w:left w:val="nil"/>
              <w:bottom w:val="nil"/>
              <w:right w:val="nil"/>
            </w:tcBorders>
            <w:shd w:val="clear" w:color="auto" w:fill="FFFFFF"/>
            <w:noWrap/>
            <w:hideMark/>
          </w:tcPr>
          <w:p w14:paraId="5FBD6B95" w14:textId="77777777" w:rsidR="009E7DEF" w:rsidRPr="00C30E94" w:rsidRDefault="009E7DEF">
            <w:pPr>
              <w:rPr>
                <w:rFonts w:ascii="Arial" w:hAnsi="Arial" w:cs="Arial"/>
                <w:sz w:val="20"/>
                <w:szCs w:val="20"/>
              </w:rPr>
            </w:pPr>
            <w:r w:rsidRPr="00C30E94">
              <w:rPr>
                <w:rFonts w:ascii="Arial" w:hAnsi="Arial" w:cs="Arial"/>
                <w:sz w:val="20"/>
                <w:szCs w:val="20"/>
              </w:rPr>
              <w:t>Sản xuất da và các sản phẩm có liên quan</w:t>
            </w:r>
          </w:p>
        </w:tc>
        <w:tc>
          <w:tcPr>
            <w:tcW w:w="849" w:type="dxa"/>
            <w:tcBorders>
              <w:top w:val="nil"/>
              <w:left w:val="nil"/>
              <w:bottom w:val="nil"/>
              <w:right w:val="nil"/>
            </w:tcBorders>
            <w:hideMark/>
          </w:tcPr>
          <w:p w14:paraId="00D5161D" w14:textId="77777777" w:rsidR="009E7DEF" w:rsidRPr="00C30E94" w:rsidRDefault="009E7DEF">
            <w:pPr>
              <w:jc w:val="right"/>
              <w:rPr>
                <w:rFonts w:ascii="Arial" w:hAnsi="Arial" w:cs="Arial"/>
                <w:sz w:val="20"/>
                <w:szCs w:val="20"/>
              </w:rPr>
            </w:pPr>
            <w:r w:rsidRPr="00C30E94">
              <w:rPr>
                <w:rFonts w:ascii="Arial" w:hAnsi="Arial" w:cs="Arial"/>
                <w:sz w:val="20"/>
                <w:szCs w:val="20"/>
              </w:rPr>
              <w:t>2,3</w:t>
            </w:r>
          </w:p>
        </w:tc>
        <w:tc>
          <w:tcPr>
            <w:tcW w:w="850" w:type="dxa"/>
            <w:tcBorders>
              <w:top w:val="nil"/>
              <w:left w:val="nil"/>
              <w:bottom w:val="nil"/>
              <w:right w:val="nil"/>
            </w:tcBorders>
            <w:hideMark/>
          </w:tcPr>
          <w:p w14:paraId="09BE07FE" w14:textId="77777777" w:rsidR="009E7DEF" w:rsidRPr="00C30E94" w:rsidRDefault="009E7DEF">
            <w:pPr>
              <w:jc w:val="right"/>
              <w:rPr>
                <w:rFonts w:ascii="Arial" w:hAnsi="Arial" w:cs="Arial"/>
                <w:sz w:val="20"/>
                <w:szCs w:val="20"/>
              </w:rPr>
            </w:pPr>
            <w:r w:rsidRPr="00C30E94">
              <w:rPr>
                <w:rFonts w:ascii="Arial" w:hAnsi="Arial" w:cs="Arial"/>
                <w:sz w:val="20"/>
                <w:szCs w:val="20"/>
              </w:rPr>
              <w:t>9,6</w:t>
            </w:r>
          </w:p>
        </w:tc>
        <w:tc>
          <w:tcPr>
            <w:tcW w:w="896" w:type="dxa"/>
            <w:tcBorders>
              <w:top w:val="nil"/>
              <w:left w:val="nil"/>
              <w:bottom w:val="nil"/>
              <w:right w:val="nil"/>
            </w:tcBorders>
            <w:hideMark/>
          </w:tcPr>
          <w:p w14:paraId="5A454A41" w14:textId="77777777" w:rsidR="009E7DEF" w:rsidRPr="00C30E94" w:rsidRDefault="009E7DEF">
            <w:pPr>
              <w:jc w:val="right"/>
              <w:rPr>
                <w:rFonts w:ascii="Arial" w:hAnsi="Arial" w:cs="Arial"/>
                <w:sz w:val="20"/>
                <w:szCs w:val="20"/>
              </w:rPr>
            </w:pPr>
            <w:r w:rsidRPr="00C30E94">
              <w:rPr>
                <w:rFonts w:ascii="Arial" w:hAnsi="Arial" w:cs="Arial"/>
                <w:sz w:val="20"/>
                <w:szCs w:val="20"/>
              </w:rPr>
              <w:t>-6,2</w:t>
            </w:r>
          </w:p>
        </w:tc>
        <w:tc>
          <w:tcPr>
            <w:tcW w:w="806" w:type="dxa"/>
            <w:tcBorders>
              <w:top w:val="nil"/>
              <w:left w:val="nil"/>
              <w:bottom w:val="nil"/>
              <w:right w:val="nil"/>
            </w:tcBorders>
            <w:hideMark/>
          </w:tcPr>
          <w:p w14:paraId="2F3E80AF" w14:textId="77777777" w:rsidR="009E7DEF" w:rsidRPr="00C30E94" w:rsidRDefault="009E7DEF">
            <w:pPr>
              <w:jc w:val="right"/>
              <w:rPr>
                <w:rFonts w:ascii="Arial" w:hAnsi="Arial" w:cs="Arial"/>
                <w:sz w:val="20"/>
                <w:szCs w:val="20"/>
              </w:rPr>
            </w:pPr>
            <w:r w:rsidRPr="00C30E94">
              <w:rPr>
                <w:rFonts w:ascii="Arial" w:hAnsi="Arial" w:cs="Arial"/>
                <w:sz w:val="20"/>
                <w:szCs w:val="20"/>
              </w:rPr>
              <w:t>6,6</w:t>
            </w:r>
          </w:p>
        </w:tc>
        <w:tc>
          <w:tcPr>
            <w:tcW w:w="850" w:type="dxa"/>
            <w:tcBorders>
              <w:top w:val="nil"/>
              <w:left w:val="nil"/>
              <w:bottom w:val="nil"/>
              <w:right w:val="nil"/>
            </w:tcBorders>
            <w:hideMark/>
          </w:tcPr>
          <w:p w14:paraId="0BDB8C4C" w14:textId="77777777" w:rsidR="009E7DEF" w:rsidRPr="00C30E94" w:rsidRDefault="009E7DEF">
            <w:pPr>
              <w:jc w:val="right"/>
              <w:rPr>
                <w:rFonts w:ascii="Arial" w:hAnsi="Arial" w:cs="Arial"/>
                <w:sz w:val="20"/>
                <w:szCs w:val="20"/>
              </w:rPr>
            </w:pPr>
            <w:r w:rsidRPr="00C30E94">
              <w:rPr>
                <w:rFonts w:ascii="Arial" w:hAnsi="Arial" w:cs="Arial"/>
                <w:sz w:val="20"/>
                <w:szCs w:val="20"/>
              </w:rPr>
              <w:t>22,5</w:t>
            </w:r>
          </w:p>
        </w:tc>
      </w:tr>
      <w:tr w:rsidR="00C30E94" w:rsidRPr="00C30E94" w14:paraId="29055AC1" w14:textId="77777777" w:rsidTr="00724D96">
        <w:trPr>
          <w:trHeight w:val="314"/>
          <w:jc w:val="center"/>
        </w:trPr>
        <w:tc>
          <w:tcPr>
            <w:tcW w:w="4820" w:type="dxa"/>
            <w:tcBorders>
              <w:top w:val="nil"/>
              <w:left w:val="nil"/>
              <w:bottom w:val="nil"/>
              <w:right w:val="nil"/>
            </w:tcBorders>
            <w:shd w:val="clear" w:color="auto" w:fill="FFFFFF"/>
            <w:noWrap/>
            <w:hideMark/>
          </w:tcPr>
          <w:p w14:paraId="6305417C" w14:textId="4009028C" w:rsidR="009E7DEF" w:rsidRPr="00C30E94" w:rsidRDefault="009E7DEF">
            <w:pPr>
              <w:rPr>
                <w:rFonts w:ascii="Arial" w:hAnsi="Arial" w:cs="Arial"/>
                <w:sz w:val="20"/>
                <w:szCs w:val="20"/>
              </w:rPr>
            </w:pPr>
            <w:r w:rsidRPr="00C30E94">
              <w:rPr>
                <w:rFonts w:ascii="Arial" w:hAnsi="Arial" w:cs="Arial"/>
                <w:sz w:val="20"/>
                <w:szCs w:val="20"/>
              </w:rPr>
              <w:t xml:space="preserve">Chế biến gỗ và sản xuất sản phẩm từ gỗ, tre, nứa... </w:t>
            </w:r>
          </w:p>
        </w:tc>
        <w:tc>
          <w:tcPr>
            <w:tcW w:w="849" w:type="dxa"/>
            <w:tcBorders>
              <w:top w:val="nil"/>
              <w:left w:val="nil"/>
              <w:bottom w:val="nil"/>
              <w:right w:val="nil"/>
            </w:tcBorders>
            <w:hideMark/>
          </w:tcPr>
          <w:p w14:paraId="5BAE2968" w14:textId="77777777" w:rsidR="009E7DEF" w:rsidRPr="00C30E94" w:rsidRDefault="009E7DEF">
            <w:pPr>
              <w:jc w:val="right"/>
              <w:rPr>
                <w:rFonts w:ascii="Arial" w:hAnsi="Arial" w:cs="Arial"/>
                <w:sz w:val="20"/>
                <w:szCs w:val="20"/>
              </w:rPr>
            </w:pPr>
            <w:r w:rsidRPr="00C30E94">
              <w:rPr>
                <w:rFonts w:ascii="Arial" w:hAnsi="Arial" w:cs="Arial"/>
                <w:sz w:val="20"/>
                <w:szCs w:val="20"/>
              </w:rPr>
              <w:t>3,4</w:t>
            </w:r>
          </w:p>
        </w:tc>
        <w:tc>
          <w:tcPr>
            <w:tcW w:w="850" w:type="dxa"/>
            <w:tcBorders>
              <w:top w:val="nil"/>
              <w:left w:val="nil"/>
              <w:bottom w:val="nil"/>
              <w:right w:val="nil"/>
            </w:tcBorders>
            <w:hideMark/>
          </w:tcPr>
          <w:p w14:paraId="43776DA5" w14:textId="77777777" w:rsidR="009E7DEF" w:rsidRPr="00C30E94" w:rsidRDefault="009E7DEF">
            <w:pPr>
              <w:jc w:val="right"/>
              <w:rPr>
                <w:rFonts w:ascii="Arial" w:hAnsi="Arial" w:cs="Arial"/>
                <w:sz w:val="20"/>
                <w:szCs w:val="20"/>
              </w:rPr>
            </w:pPr>
            <w:r w:rsidRPr="00C30E94">
              <w:rPr>
                <w:rFonts w:ascii="Arial" w:hAnsi="Arial" w:cs="Arial"/>
                <w:sz w:val="20"/>
                <w:szCs w:val="20"/>
              </w:rPr>
              <w:t>-1,2</w:t>
            </w:r>
          </w:p>
        </w:tc>
        <w:tc>
          <w:tcPr>
            <w:tcW w:w="896" w:type="dxa"/>
            <w:tcBorders>
              <w:top w:val="nil"/>
              <w:left w:val="nil"/>
              <w:bottom w:val="nil"/>
              <w:right w:val="nil"/>
            </w:tcBorders>
            <w:hideMark/>
          </w:tcPr>
          <w:p w14:paraId="57B63E3D" w14:textId="77777777" w:rsidR="009E7DEF" w:rsidRPr="00C30E94" w:rsidRDefault="009E7DEF">
            <w:pPr>
              <w:jc w:val="right"/>
              <w:rPr>
                <w:rFonts w:ascii="Arial" w:hAnsi="Arial" w:cs="Arial"/>
                <w:sz w:val="20"/>
                <w:szCs w:val="20"/>
              </w:rPr>
            </w:pPr>
            <w:r w:rsidRPr="00C30E94">
              <w:rPr>
                <w:rFonts w:ascii="Arial" w:hAnsi="Arial" w:cs="Arial"/>
                <w:sz w:val="20"/>
                <w:szCs w:val="20"/>
              </w:rPr>
              <w:t>3,9</w:t>
            </w:r>
          </w:p>
        </w:tc>
        <w:tc>
          <w:tcPr>
            <w:tcW w:w="806" w:type="dxa"/>
            <w:tcBorders>
              <w:top w:val="nil"/>
              <w:left w:val="nil"/>
              <w:bottom w:val="nil"/>
              <w:right w:val="nil"/>
            </w:tcBorders>
            <w:hideMark/>
          </w:tcPr>
          <w:p w14:paraId="057E8833" w14:textId="77777777" w:rsidR="009E7DEF" w:rsidRPr="00C30E94" w:rsidRDefault="009E7DEF">
            <w:pPr>
              <w:jc w:val="right"/>
              <w:rPr>
                <w:rFonts w:ascii="Arial" w:hAnsi="Arial" w:cs="Arial"/>
                <w:sz w:val="20"/>
                <w:szCs w:val="20"/>
              </w:rPr>
            </w:pPr>
            <w:r w:rsidRPr="00C30E94">
              <w:rPr>
                <w:rFonts w:ascii="Arial" w:hAnsi="Arial" w:cs="Arial"/>
                <w:sz w:val="20"/>
                <w:szCs w:val="20"/>
              </w:rPr>
              <w:t>3,5</w:t>
            </w:r>
          </w:p>
        </w:tc>
        <w:tc>
          <w:tcPr>
            <w:tcW w:w="850" w:type="dxa"/>
            <w:tcBorders>
              <w:top w:val="nil"/>
              <w:left w:val="nil"/>
              <w:bottom w:val="nil"/>
              <w:right w:val="nil"/>
            </w:tcBorders>
            <w:hideMark/>
          </w:tcPr>
          <w:p w14:paraId="623BBE6E" w14:textId="77777777" w:rsidR="009E7DEF" w:rsidRPr="00C30E94" w:rsidRDefault="009E7DEF">
            <w:pPr>
              <w:jc w:val="right"/>
              <w:rPr>
                <w:rFonts w:ascii="Arial" w:hAnsi="Arial" w:cs="Arial"/>
                <w:sz w:val="20"/>
                <w:szCs w:val="20"/>
              </w:rPr>
            </w:pPr>
            <w:r w:rsidRPr="00C30E94">
              <w:rPr>
                <w:rFonts w:ascii="Arial" w:hAnsi="Arial" w:cs="Arial"/>
                <w:sz w:val="20"/>
                <w:szCs w:val="20"/>
              </w:rPr>
              <w:t>12,5</w:t>
            </w:r>
          </w:p>
        </w:tc>
      </w:tr>
      <w:tr w:rsidR="00C30E94" w:rsidRPr="00C30E94" w14:paraId="7438990E" w14:textId="77777777" w:rsidTr="00724D96">
        <w:trPr>
          <w:trHeight w:val="314"/>
          <w:jc w:val="center"/>
        </w:trPr>
        <w:tc>
          <w:tcPr>
            <w:tcW w:w="4820" w:type="dxa"/>
            <w:tcBorders>
              <w:top w:val="nil"/>
              <w:left w:val="nil"/>
              <w:bottom w:val="nil"/>
              <w:right w:val="nil"/>
            </w:tcBorders>
            <w:shd w:val="clear" w:color="auto" w:fill="FFFFFF"/>
            <w:noWrap/>
            <w:hideMark/>
          </w:tcPr>
          <w:p w14:paraId="4D775AF4" w14:textId="77777777" w:rsidR="009E7DEF" w:rsidRPr="00C30E94" w:rsidRDefault="009E7DEF">
            <w:pPr>
              <w:rPr>
                <w:rFonts w:ascii="Arial" w:hAnsi="Arial" w:cs="Arial"/>
                <w:sz w:val="20"/>
                <w:szCs w:val="20"/>
              </w:rPr>
            </w:pPr>
            <w:r w:rsidRPr="00C30E94">
              <w:rPr>
                <w:rFonts w:ascii="Arial" w:hAnsi="Arial" w:cs="Arial"/>
                <w:sz w:val="20"/>
                <w:szCs w:val="20"/>
              </w:rPr>
              <w:t>Sản xuất than cốc, sản phẩm dầu mỏ tinh chế</w:t>
            </w:r>
          </w:p>
        </w:tc>
        <w:tc>
          <w:tcPr>
            <w:tcW w:w="849" w:type="dxa"/>
            <w:tcBorders>
              <w:top w:val="nil"/>
              <w:left w:val="nil"/>
              <w:bottom w:val="nil"/>
              <w:right w:val="nil"/>
            </w:tcBorders>
            <w:hideMark/>
          </w:tcPr>
          <w:p w14:paraId="76E92F5C" w14:textId="77777777" w:rsidR="009E7DEF" w:rsidRPr="00C30E94" w:rsidRDefault="009E7DEF">
            <w:pPr>
              <w:jc w:val="right"/>
              <w:rPr>
                <w:rFonts w:ascii="Arial" w:hAnsi="Arial" w:cs="Arial"/>
                <w:sz w:val="20"/>
                <w:szCs w:val="20"/>
              </w:rPr>
            </w:pPr>
            <w:r w:rsidRPr="00C30E94">
              <w:rPr>
                <w:rFonts w:ascii="Arial" w:hAnsi="Arial" w:cs="Arial"/>
                <w:sz w:val="20"/>
                <w:szCs w:val="20"/>
              </w:rPr>
              <w:t>-3,7</w:t>
            </w:r>
          </w:p>
        </w:tc>
        <w:tc>
          <w:tcPr>
            <w:tcW w:w="850" w:type="dxa"/>
            <w:tcBorders>
              <w:top w:val="nil"/>
              <w:left w:val="nil"/>
              <w:bottom w:val="nil"/>
              <w:right w:val="nil"/>
            </w:tcBorders>
            <w:hideMark/>
          </w:tcPr>
          <w:p w14:paraId="6ACACBC3" w14:textId="77777777" w:rsidR="009E7DEF" w:rsidRPr="00C30E94" w:rsidRDefault="009E7DEF">
            <w:pPr>
              <w:jc w:val="right"/>
              <w:rPr>
                <w:rFonts w:ascii="Arial" w:hAnsi="Arial" w:cs="Arial"/>
                <w:sz w:val="20"/>
                <w:szCs w:val="20"/>
              </w:rPr>
            </w:pPr>
            <w:r w:rsidRPr="00C30E94">
              <w:rPr>
                <w:rFonts w:ascii="Arial" w:hAnsi="Arial" w:cs="Arial"/>
                <w:sz w:val="20"/>
                <w:szCs w:val="20"/>
              </w:rPr>
              <w:t>-12,7</w:t>
            </w:r>
          </w:p>
        </w:tc>
        <w:tc>
          <w:tcPr>
            <w:tcW w:w="896" w:type="dxa"/>
            <w:tcBorders>
              <w:top w:val="nil"/>
              <w:left w:val="nil"/>
              <w:bottom w:val="nil"/>
              <w:right w:val="nil"/>
            </w:tcBorders>
            <w:hideMark/>
          </w:tcPr>
          <w:p w14:paraId="00F7F50D" w14:textId="77777777" w:rsidR="009E7DEF" w:rsidRPr="00C30E94" w:rsidRDefault="009E7DEF">
            <w:pPr>
              <w:jc w:val="right"/>
              <w:rPr>
                <w:rFonts w:ascii="Arial" w:hAnsi="Arial" w:cs="Arial"/>
                <w:sz w:val="20"/>
                <w:szCs w:val="20"/>
              </w:rPr>
            </w:pPr>
            <w:r w:rsidRPr="00C30E94">
              <w:rPr>
                <w:rFonts w:ascii="Arial" w:hAnsi="Arial" w:cs="Arial"/>
                <w:sz w:val="20"/>
                <w:szCs w:val="20"/>
              </w:rPr>
              <w:t>21,6</w:t>
            </w:r>
          </w:p>
        </w:tc>
        <w:tc>
          <w:tcPr>
            <w:tcW w:w="806" w:type="dxa"/>
            <w:tcBorders>
              <w:top w:val="nil"/>
              <w:left w:val="nil"/>
              <w:bottom w:val="nil"/>
              <w:right w:val="nil"/>
            </w:tcBorders>
            <w:hideMark/>
          </w:tcPr>
          <w:p w14:paraId="438094EA" w14:textId="77777777" w:rsidR="009E7DEF" w:rsidRPr="00C30E94" w:rsidRDefault="009E7DEF">
            <w:pPr>
              <w:jc w:val="right"/>
              <w:rPr>
                <w:rFonts w:ascii="Arial" w:hAnsi="Arial" w:cs="Arial"/>
                <w:sz w:val="20"/>
                <w:szCs w:val="20"/>
              </w:rPr>
            </w:pPr>
            <w:r w:rsidRPr="00C30E94">
              <w:rPr>
                <w:rFonts w:ascii="Arial" w:hAnsi="Arial" w:cs="Arial"/>
                <w:sz w:val="20"/>
                <w:szCs w:val="20"/>
              </w:rPr>
              <w:t>28,4</w:t>
            </w:r>
          </w:p>
        </w:tc>
        <w:tc>
          <w:tcPr>
            <w:tcW w:w="850" w:type="dxa"/>
            <w:tcBorders>
              <w:top w:val="nil"/>
              <w:left w:val="nil"/>
              <w:bottom w:val="nil"/>
              <w:right w:val="nil"/>
            </w:tcBorders>
            <w:hideMark/>
          </w:tcPr>
          <w:p w14:paraId="36DDC0C2" w14:textId="77777777" w:rsidR="009E7DEF" w:rsidRPr="00C30E94" w:rsidRDefault="009E7DEF">
            <w:pPr>
              <w:jc w:val="right"/>
              <w:rPr>
                <w:rFonts w:ascii="Arial" w:hAnsi="Arial" w:cs="Arial"/>
                <w:sz w:val="20"/>
                <w:szCs w:val="20"/>
              </w:rPr>
            </w:pPr>
            <w:r w:rsidRPr="00C30E94">
              <w:rPr>
                <w:rFonts w:ascii="Arial" w:hAnsi="Arial" w:cs="Arial"/>
                <w:sz w:val="20"/>
                <w:szCs w:val="20"/>
              </w:rPr>
              <w:t>-3,6</w:t>
            </w:r>
          </w:p>
        </w:tc>
      </w:tr>
      <w:tr w:rsidR="00C30E94" w:rsidRPr="00C30E94" w14:paraId="6EECF8B7" w14:textId="77777777" w:rsidTr="00724D96">
        <w:trPr>
          <w:trHeight w:val="314"/>
          <w:jc w:val="center"/>
        </w:trPr>
        <w:tc>
          <w:tcPr>
            <w:tcW w:w="4820" w:type="dxa"/>
            <w:tcBorders>
              <w:top w:val="nil"/>
              <w:left w:val="nil"/>
              <w:bottom w:val="nil"/>
              <w:right w:val="nil"/>
            </w:tcBorders>
            <w:shd w:val="clear" w:color="auto" w:fill="FFFFFF"/>
            <w:noWrap/>
            <w:hideMark/>
          </w:tcPr>
          <w:p w14:paraId="3A54B256" w14:textId="77777777" w:rsidR="009E7DEF" w:rsidRPr="00C30E94" w:rsidRDefault="009E7DEF">
            <w:pPr>
              <w:rPr>
                <w:rFonts w:ascii="Arial" w:hAnsi="Arial" w:cs="Arial"/>
                <w:sz w:val="20"/>
                <w:szCs w:val="20"/>
              </w:rPr>
            </w:pPr>
            <w:r w:rsidRPr="00C30E94">
              <w:rPr>
                <w:rFonts w:ascii="Arial" w:hAnsi="Arial" w:cs="Arial"/>
                <w:sz w:val="20"/>
                <w:szCs w:val="20"/>
              </w:rPr>
              <w:t>Sản xuất thuốc, hoá dược và dược liệu</w:t>
            </w:r>
          </w:p>
        </w:tc>
        <w:tc>
          <w:tcPr>
            <w:tcW w:w="849" w:type="dxa"/>
            <w:tcBorders>
              <w:top w:val="nil"/>
              <w:left w:val="nil"/>
              <w:bottom w:val="nil"/>
              <w:right w:val="nil"/>
            </w:tcBorders>
            <w:hideMark/>
          </w:tcPr>
          <w:p w14:paraId="5E4A57A5" w14:textId="77777777" w:rsidR="009E7DEF" w:rsidRPr="00C30E94" w:rsidRDefault="009E7DEF">
            <w:pPr>
              <w:jc w:val="right"/>
              <w:rPr>
                <w:rFonts w:ascii="Arial" w:hAnsi="Arial" w:cs="Arial"/>
                <w:sz w:val="20"/>
                <w:szCs w:val="20"/>
              </w:rPr>
            </w:pPr>
            <w:r w:rsidRPr="00C30E94">
              <w:rPr>
                <w:rFonts w:ascii="Arial" w:hAnsi="Arial" w:cs="Arial"/>
                <w:sz w:val="20"/>
                <w:szCs w:val="20"/>
              </w:rPr>
              <w:t>4,9</w:t>
            </w:r>
          </w:p>
        </w:tc>
        <w:tc>
          <w:tcPr>
            <w:tcW w:w="850" w:type="dxa"/>
            <w:tcBorders>
              <w:top w:val="nil"/>
              <w:left w:val="nil"/>
              <w:bottom w:val="nil"/>
              <w:right w:val="nil"/>
            </w:tcBorders>
            <w:hideMark/>
          </w:tcPr>
          <w:p w14:paraId="65113CF1" w14:textId="77777777" w:rsidR="009E7DEF" w:rsidRPr="00C30E94" w:rsidRDefault="009E7DEF">
            <w:pPr>
              <w:jc w:val="right"/>
              <w:rPr>
                <w:rFonts w:ascii="Arial" w:hAnsi="Arial" w:cs="Arial"/>
                <w:sz w:val="20"/>
                <w:szCs w:val="20"/>
              </w:rPr>
            </w:pPr>
            <w:r w:rsidRPr="00C30E94">
              <w:rPr>
                <w:rFonts w:ascii="Arial" w:hAnsi="Arial" w:cs="Arial"/>
                <w:sz w:val="20"/>
                <w:szCs w:val="20"/>
              </w:rPr>
              <w:t>5,0</w:t>
            </w:r>
          </w:p>
        </w:tc>
        <w:tc>
          <w:tcPr>
            <w:tcW w:w="896" w:type="dxa"/>
            <w:tcBorders>
              <w:top w:val="nil"/>
              <w:left w:val="nil"/>
              <w:bottom w:val="nil"/>
              <w:right w:val="nil"/>
            </w:tcBorders>
            <w:hideMark/>
          </w:tcPr>
          <w:p w14:paraId="615BC7E2" w14:textId="77777777" w:rsidR="009E7DEF" w:rsidRPr="00C30E94" w:rsidRDefault="009E7DEF">
            <w:pPr>
              <w:jc w:val="right"/>
              <w:rPr>
                <w:rFonts w:ascii="Arial" w:hAnsi="Arial" w:cs="Arial"/>
                <w:sz w:val="20"/>
                <w:szCs w:val="20"/>
              </w:rPr>
            </w:pPr>
            <w:r w:rsidRPr="00C30E94">
              <w:rPr>
                <w:rFonts w:ascii="Arial" w:hAnsi="Arial" w:cs="Arial"/>
                <w:sz w:val="20"/>
                <w:szCs w:val="20"/>
              </w:rPr>
              <w:t>6,5</w:t>
            </w:r>
          </w:p>
        </w:tc>
        <w:tc>
          <w:tcPr>
            <w:tcW w:w="806" w:type="dxa"/>
            <w:tcBorders>
              <w:top w:val="nil"/>
              <w:left w:val="nil"/>
              <w:bottom w:val="nil"/>
              <w:right w:val="nil"/>
            </w:tcBorders>
            <w:hideMark/>
          </w:tcPr>
          <w:p w14:paraId="19101D3E" w14:textId="77777777" w:rsidR="009E7DEF" w:rsidRPr="00C30E94" w:rsidRDefault="009E7DEF">
            <w:pPr>
              <w:jc w:val="right"/>
              <w:rPr>
                <w:rFonts w:ascii="Arial" w:hAnsi="Arial" w:cs="Arial"/>
                <w:sz w:val="20"/>
                <w:szCs w:val="20"/>
              </w:rPr>
            </w:pPr>
            <w:r w:rsidRPr="00C30E94">
              <w:rPr>
                <w:rFonts w:ascii="Arial" w:hAnsi="Arial" w:cs="Arial"/>
                <w:sz w:val="20"/>
                <w:szCs w:val="20"/>
              </w:rPr>
              <w:t>16,3</w:t>
            </w:r>
          </w:p>
        </w:tc>
        <w:tc>
          <w:tcPr>
            <w:tcW w:w="850" w:type="dxa"/>
            <w:tcBorders>
              <w:top w:val="nil"/>
              <w:left w:val="nil"/>
              <w:bottom w:val="nil"/>
              <w:right w:val="nil"/>
            </w:tcBorders>
            <w:hideMark/>
          </w:tcPr>
          <w:p w14:paraId="1A3E9BD5" w14:textId="77777777" w:rsidR="009E7DEF" w:rsidRPr="00C30E94" w:rsidRDefault="009E7DEF">
            <w:pPr>
              <w:jc w:val="right"/>
              <w:rPr>
                <w:rFonts w:ascii="Arial" w:hAnsi="Arial" w:cs="Arial"/>
                <w:sz w:val="20"/>
                <w:szCs w:val="20"/>
              </w:rPr>
            </w:pPr>
            <w:r w:rsidRPr="00C30E94">
              <w:rPr>
                <w:rFonts w:ascii="Arial" w:hAnsi="Arial" w:cs="Arial"/>
                <w:sz w:val="20"/>
                <w:szCs w:val="20"/>
              </w:rPr>
              <w:t>-10,4</w:t>
            </w:r>
          </w:p>
        </w:tc>
      </w:tr>
      <w:tr w:rsidR="00C30E94" w:rsidRPr="00C30E94" w14:paraId="5D8D7A20" w14:textId="77777777" w:rsidTr="00724D96">
        <w:trPr>
          <w:trHeight w:val="314"/>
          <w:jc w:val="center"/>
        </w:trPr>
        <w:tc>
          <w:tcPr>
            <w:tcW w:w="4820" w:type="dxa"/>
            <w:tcBorders>
              <w:top w:val="nil"/>
              <w:left w:val="nil"/>
              <w:bottom w:val="nil"/>
              <w:right w:val="nil"/>
            </w:tcBorders>
            <w:shd w:val="clear" w:color="auto" w:fill="FFFFFF"/>
            <w:noWrap/>
            <w:hideMark/>
          </w:tcPr>
          <w:p w14:paraId="140E897B" w14:textId="77777777" w:rsidR="009E7DEF" w:rsidRPr="00C30E94" w:rsidRDefault="009E7DEF">
            <w:pPr>
              <w:rPr>
                <w:rFonts w:ascii="Arial" w:hAnsi="Arial" w:cs="Arial"/>
                <w:sz w:val="20"/>
                <w:szCs w:val="20"/>
              </w:rPr>
            </w:pPr>
            <w:r w:rsidRPr="00C30E94">
              <w:rPr>
                <w:rFonts w:ascii="Arial" w:hAnsi="Arial" w:cs="Arial"/>
                <w:sz w:val="20"/>
                <w:szCs w:val="20"/>
              </w:rPr>
              <w:t>Sản xuất sản phẩm từ cao su và plastic</w:t>
            </w:r>
          </w:p>
        </w:tc>
        <w:tc>
          <w:tcPr>
            <w:tcW w:w="849" w:type="dxa"/>
            <w:tcBorders>
              <w:top w:val="nil"/>
              <w:left w:val="nil"/>
              <w:bottom w:val="nil"/>
              <w:right w:val="nil"/>
            </w:tcBorders>
            <w:hideMark/>
          </w:tcPr>
          <w:p w14:paraId="0CBCF70C" w14:textId="77777777" w:rsidR="009E7DEF" w:rsidRPr="00C30E94" w:rsidRDefault="009E7DEF">
            <w:pPr>
              <w:jc w:val="right"/>
              <w:rPr>
                <w:rFonts w:ascii="Arial" w:hAnsi="Arial" w:cs="Arial"/>
                <w:sz w:val="20"/>
                <w:szCs w:val="20"/>
              </w:rPr>
            </w:pPr>
            <w:r w:rsidRPr="00C30E94">
              <w:rPr>
                <w:rFonts w:ascii="Arial" w:hAnsi="Arial" w:cs="Arial"/>
                <w:sz w:val="20"/>
                <w:szCs w:val="20"/>
              </w:rPr>
              <w:t>7,6</w:t>
            </w:r>
          </w:p>
        </w:tc>
        <w:tc>
          <w:tcPr>
            <w:tcW w:w="850" w:type="dxa"/>
            <w:tcBorders>
              <w:top w:val="nil"/>
              <w:left w:val="nil"/>
              <w:bottom w:val="nil"/>
              <w:right w:val="nil"/>
            </w:tcBorders>
            <w:hideMark/>
          </w:tcPr>
          <w:p w14:paraId="485E4626" w14:textId="77777777" w:rsidR="009E7DEF" w:rsidRPr="00C30E94" w:rsidRDefault="009E7DEF">
            <w:pPr>
              <w:jc w:val="right"/>
              <w:rPr>
                <w:rFonts w:ascii="Arial" w:hAnsi="Arial" w:cs="Arial"/>
                <w:sz w:val="20"/>
                <w:szCs w:val="20"/>
              </w:rPr>
            </w:pPr>
            <w:r w:rsidRPr="00C30E94">
              <w:rPr>
                <w:rFonts w:ascii="Arial" w:hAnsi="Arial" w:cs="Arial"/>
                <w:sz w:val="20"/>
                <w:szCs w:val="20"/>
              </w:rPr>
              <w:t>-16,5</w:t>
            </w:r>
          </w:p>
        </w:tc>
        <w:tc>
          <w:tcPr>
            <w:tcW w:w="896" w:type="dxa"/>
            <w:tcBorders>
              <w:top w:val="nil"/>
              <w:left w:val="nil"/>
              <w:bottom w:val="nil"/>
              <w:right w:val="nil"/>
            </w:tcBorders>
            <w:hideMark/>
          </w:tcPr>
          <w:p w14:paraId="63B601E2" w14:textId="77777777" w:rsidR="009E7DEF" w:rsidRPr="00C30E94" w:rsidRDefault="009E7DEF">
            <w:pPr>
              <w:jc w:val="right"/>
              <w:rPr>
                <w:rFonts w:ascii="Arial" w:hAnsi="Arial" w:cs="Arial"/>
                <w:sz w:val="20"/>
                <w:szCs w:val="20"/>
              </w:rPr>
            </w:pPr>
            <w:r w:rsidRPr="00C30E94">
              <w:rPr>
                <w:rFonts w:ascii="Arial" w:hAnsi="Arial" w:cs="Arial"/>
                <w:sz w:val="20"/>
                <w:szCs w:val="20"/>
              </w:rPr>
              <w:t>9,6</w:t>
            </w:r>
          </w:p>
        </w:tc>
        <w:tc>
          <w:tcPr>
            <w:tcW w:w="806" w:type="dxa"/>
            <w:tcBorders>
              <w:top w:val="nil"/>
              <w:left w:val="nil"/>
              <w:bottom w:val="nil"/>
              <w:right w:val="nil"/>
            </w:tcBorders>
            <w:hideMark/>
          </w:tcPr>
          <w:p w14:paraId="58733263" w14:textId="77777777" w:rsidR="009E7DEF" w:rsidRPr="00C30E94" w:rsidRDefault="009E7DEF">
            <w:pPr>
              <w:jc w:val="right"/>
              <w:rPr>
                <w:rFonts w:ascii="Arial" w:hAnsi="Arial" w:cs="Arial"/>
                <w:sz w:val="20"/>
                <w:szCs w:val="20"/>
              </w:rPr>
            </w:pPr>
            <w:r w:rsidRPr="00C30E94">
              <w:rPr>
                <w:rFonts w:ascii="Arial" w:hAnsi="Arial" w:cs="Arial"/>
                <w:sz w:val="20"/>
                <w:szCs w:val="20"/>
              </w:rPr>
              <w:t>24,0</w:t>
            </w:r>
          </w:p>
        </w:tc>
        <w:tc>
          <w:tcPr>
            <w:tcW w:w="850" w:type="dxa"/>
            <w:tcBorders>
              <w:top w:val="nil"/>
              <w:left w:val="nil"/>
              <w:bottom w:val="nil"/>
              <w:right w:val="nil"/>
            </w:tcBorders>
            <w:hideMark/>
          </w:tcPr>
          <w:p w14:paraId="5660E066" w14:textId="77777777" w:rsidR="009E7DEF" w:rsidRPr="00C30E94" w:rsidRDefault="009E7DEF">
            <w:pPr>
              <w:jc w:val="right"/>
              <w:rPr>
                <w:rFonts w:ascii="Arial" w:hAnsi="Arial" w:cs="Arial"/>
                <w:sz w:val="20"/>
                <w:szCs w:val="20"/>
              </w:rPr>
            </w:pPr>
            <w:r w:rsidRPr="00C30E94">
              <w:rPr>
                <w:rFonts w:ascii="Arial" w:hAnsi="Arial" w:cs="Arial"/>
                <w:sz w:val="20"/>
                <w:szCs w:val="20"/>
              </w:rPr>
              <w:t>11,3</w:t>
            </w:r>
          </w:p>
        </w:tc>
      </w:tr>
      <w:tr w:rsidR="00C30E94" w:rsidRPr="00C30E94" w14:paraId="0692DD78" w14:textId="77777777" w:rsidTr="00724D96">
        <w:trPr>
          <w:trHeight w:val="314"/>
          <w:jc w:val="center"/>
        </w:trPr>
        <w:tc>
          <w:tcPr>
            <w:tcW w:w="4820" w:type="dxa"/>
            <w:tcBorders>
              <w:top w:val="nil"/>
              <w:left w:val="nil"/>
              <w:bottom w:val="nil"/>
              <w:right w:val="nil"/>
            </w:tcBorders>
            <w:shd w:val="clear" w:color="auto" w:fill="FFFFFF"/>
            <w:noWrap/>
            <w:hideMark/>
          </w:tcPr>
          <w:p w14:paraId="17930BFF" w14:textId="07701ECA" w:rsidR="009E7DEF" w:rsidRPr="00C30E94" w:rsidRDefault="009E7DEF">
            <w:pPr>
              <w:rPr>
                <w:rFonts w:ascii="Arial" w:hAnsi="Arial" w:cs="Arial"/>
                <w:sz w:val="20"/>
                <w:szCs w:val="20"/>
              </w:rPr>
            </w:pPr>
            <w:r w:rsidRPr="00C30E94">
              <w:rPr>
                <w:rFonts w:ascii="Arial" w:hAnsi="Arial" w:cs="Arial"/>
                <w:sz w:val="20"/>
                <w:szCs w:val="20"/>
              </w:rPr>
              <w:t xml:space="preserve">Sản xuất sản phẩm điện tử, máy vi tính </w:t>
            </w:r>
            <w:r w:rsidR="00724D96" w:rsidRPr="00C30E94">
              <w:rPr>
                <w:rFonts w:ascii="Arial" w:hAnsi="Arial" w:cs="Arial"/>
                <w:sz w:val="20"/>
                <w:szCs w:val="20"/>
              </w:rPr>
              <w:br/>
            </w:r>
            <w:r w:rsidRPr="00C30E94">
              <w:rPr>
                <w:rFonts w:ascii="Arial" w:hAnsi="Arial" w:cs="Arial"/>
                <w:sz w:val="20"/>
                <w:szCs w:val="20"/>
              </w:rPr>
              <w:t>và sản phẩm quang học</w:t>
            </w:r>
          </w:p>
        </w:tc>
        <w:tc>
          <w:tcPr>
            <w:tcW w:w="849" w:type="dxa"/>
            <w:tcBorders>
              <w:top w:val="nil"/>
              <w:left w:val="nil"/>
              <w:bottom w:val="nil"/>
              <w:right w:val="nil"/>
            </w:tcBorders>
            <w:hideMark/>
          </w:tcPr>
          <w:p w14:paraId="7F3FFE77" w14:textId="77777777" w:rsidR="009E7DEF" w:rsidRPr="00C30E94" w:rsidRDefault="009E7DEF">
            <w:pPr>
              <w:jc w:val="right"/>
              <w:rPr>
                <w:rFonts w:ascii="Arial" w:hAnsi="Arial" w:cs="Arial"/>
                <w:sz w:val="20"/>
                <w:szCs w:val="20"/>
              </w:rPr>
            </w:pPr>
            <w:r w:rsidRPr="00C30E94">
              <w:rPr>
                <w:rFonts w:ascii="Arial" w:hAnsi="Arial" w:cs="Arial"/>
                <w:sz w:val="20"/>
                <w:szCs w:val="20"/>
              </w:rPr>
              <w:t>17,9</w:t>
            </w:r>
          </w:p>
        </w:tc>
        <w:tc>
          <w:tcPr>
            <w:tcW w:w="850" w:type="dxa"/>
            <w:tcBorders>
              <w:top w:val="nil"/>
              <w:left w:val="nil"/>
              <w:bottom w:val="nil"/>
              <w:right w:val="nil"/>
            </w:tcBorders>
            <w:hideMark/>
          </w:tcPr>
          <w:p w14:paraId="55120A59" w14:textId="77777777" w:rsidR="009E7DEF" w:rsidRPr="00C30E94" w:rsidRDefault="009E7DEF">
            <w:pPr>
              <w:jc w:val="right"/>
              <w:rPr>
                <w:rFonts w:ascii="Arial" w:hAnsi="Arial" w:cs="Arial"/>
                <w:sz w:val="20"/>
                <w:szCs w:val="20"/>
              </w:rPr>
            </w:pPr>
            <w:r w:rsidRPr="00C30E94">
              <w:rPr>
                <w:rFonts w:ascii="Arial" w:hAnsi="Arial" w:cs="Arial"/>
                <w:sz w:val="20"/>
                <w:szCs w:val="20"/>
              </w:rPr>
              <w:t>4,9</w:t>
            </w:r>
          </w:p>
        </w:tc>
        <w:tc>
          <w:tcPr>
            <w:tcW w:w="896" w:type="dxa"/>
            <w:tcBorders>
              <w:top w:val="nil"/>
              <w:left w:val="nil"/>
              <w:bottom w:val="nil"/>
              <w:right w:val="nil"/>
            </w:tcBorders>
            <w:hideMark/>
          </w:tcPr>
          <w:p w14:paraId="3023E08F" w14:textId="77777777" w:rsidR="009E7DEF" w:rsidRPr="00C30E94" w:rsidRDefault="009E7DEF">
            <w:pPr>
              <w:jc w:val="right"/>
              <w:rPr>
                <w:rFonts w:ascii="Arial" w:hAnsi="Arial" w:cs="Arial"/>
                <w:sz w:val="20"/>
                <w:szCs w:val="20"/>
              </w:rPr>
            </w:pPr>
            <w:r w:rsidRPr="00C30E94">
              <w:rPr>
                <w:rFonts w:ascii="Arial" w:hAnsi="Arial" w:cs="Arial"/>
                <w:sz w:val="20"/>
                <w:szCs w:val="20"/>
              </w:rPr>
              <w:t>-2,1</w:t>
            </w:r>
          </w:p>
        </w:tc>
        <w:tc>
          <w:tcPr>
            <w:tcW w:w="806" w:type="dxa"/>
            <w:tcBorders>
              <w:top w:val="nil"/>
              <w:left w:val="nil"/>
              <w:bottom w:val="nil"/>
              <w:right w:val="nil"/>
            </w:tcBorders>
            <w:hideMark/>
          </w:tcPr>
          <w:p w14:paraId="6B6A9AD3" w14:textId="77777777" w:rsidR="009E7DEF" w:rsidRPr="00C30E94" w:rsidRDefault="009E7DEF">
            <w:pPr>
              <w:jc w:val="right"/>
              <w:rPr>
                <w:rFonts w:ascii="Arial" w:hAnsi="Arial" w:cs="Arial"/>
                <w:sz w:val="20"/>
                <w:szCs w:val="20"/>
              </w:rPr>
            </w:pPr>
            <w:r w:rsidRPr="00C30E94">
              <w:rPr>
                <w:rFonts w:ascii="Arial" w:hAnsi="Arial" w:cs="Arial"/>
                <w:sz w:val="20"/>
                <w:szCs w:val="20"/>
              </w:rPr>
              <w:t>-1,8</w:t>
            </w:r>
          </w:p>
        </w:tc>
        <w:tc>
          <w:tcPr>
            <w:tcW w:w="850" w:type="dxa"/>
            <w:tcBorders>
              <w:top w:val="nil"/>
              <w:left w:val="nil"/>
              <w:bottom w:val="nil"/>
              <w:right w:val="nil"/>
            </w:tcBorders>
            <w:hideMark/>
          </w:tcPr>
          <w:p w14:paraId="73C2786D" w14:textId="77777777" w:rsidR="009E7DEF" w:rsidRPr="00C30E94" w:rsidRDefault="009E7DEF">
            <w:pPr>
              <w:jc w:val="right"/>
              <w:rPr>
                <w:rFonts w:ascii="Arial" w:hAnsi="Arial" w:cs="Arial"/>
                <w:sz w:val="20"/>
                <w:szCs w:val="20"/>
              </w:rPr>
            </w:pPr>
            <w:r w:rsidRPr="00C30E94">
              <w:rPr>
                <w:rFonts w:ascii="Arial" w:hAnsi="Arial" w:cs="Arial"/>
                <w:sz w:val="20"/>
                <w:szCs w:val="20"/>
              </w:rPr>
              <w:t>9,5</w:t>
            </w:r>
          </w:p>
        </w:tc>
      </w:tr>
      <w:tr w:rsidR="00C30E94" w:rsidRPr="00C30E94" w14:paraId="782E2B3B" w14:textId="77777777" w:rsidTr="00724D96">
        <w:trPr>
          <w:trHeight w:val="314"/>
          <w:jc w:val="center"/>
        </w:trPr>
        <w:tc>
          <w:tcPr>
            <w:tcW w:w="4820" w:type="dxa"/>
            <w:tcBorders>
              <w:top w:val="nil"/>
              <w:left w:val="nil"/>
              <w:bottom w:val="nil"/>
              <w:right w:val="nil"/>
            </w:tcBorders>
            <w:shd w:val="clear" w:color="auto" w:fill="FFFFFF"/>
            <w:noWrap/>
            <w:hideMark/>
          </w:tcPr>
          <w:p w14:paraId="4B46FF69" w14:textId="77777777" w:rsidR="009E7DEF" w:rsidRPr="00C30E94" w:rsidRDefault="009E7DEF">
            <w:pPr>
              <w:rPr>
                <w:rFonts w:ascii="Arial" w:hAnsi="Arial" w:cs="Arial"/>
                <w:sz w:val="20"/>
                <w:szCs w:val="20"/>
              </w:rPr>
            </w:pPr>
            <w:r w:rsidRPr="00C30E94">
              <w:rPr>
                <w:rFonts w:ascii="Arial" w:hAnsi="Arial" w:cs="Arial"/>
                <w:sz w:val="20"/>
                <w:szCs w:val="20"/>
              </w:rPr>
              <w:t>Sản xuất thiết bị điện</w:t>
            </w:r>
          </w:p>
        </w:tc>
        <w:tc>
          <w:tcPr>
            <w:tcW w:w="849" w:type="dxa"/>
            <w:tcBorders>
              <w:top w:val="nil"/>
              <w:left w:val="nil"/>
              <w:bottom w:val="nil"/>
              <w:right w:val="nil"/>
            </w:tcBorders>
            <w:hideMark/>
          </w:tcPr>
          <w:p w14:paraId="7DC14F89" w14:textId="77777777" w:rsidR="009E7DEF" w:rsidRPr="00C30E94" w:rsidRDefault="009E7DEF">
            <w:pPr>
              <w:jc w:val="right"/>
              <w:rPr>
                <w:rFonts w:ascii="Arial" w:hAnsi="Arial" w:cs="Arial"/>
                <w:sz w:val="20"/>
                <w:szCs w:val="20"/>
              </w:rPr>
            </w:pPr>
            <w:r w:rsidRPr="00C30E94">
              <w:rPr>
                <w:rFonts w:ascii="Arial" w:hAnsi="Arial" w:cs="Arial"/>
                <w:sz w:val="20"/>
                <w:szCs w:val="20"/>
              </w:rPr>
              <w:t>14,3</w:t>
            </w:r>
          </w:p>
        </w:tc>
        <w:tc>
          <w:tcPr>
            <w:tcW w:w="850" w:type="dxa"/>
            <w:tcBorders>
              <w:top w:val="nil"/>
              <w:left w:val="nil"/>
              <w:bottom w:val="nil"/>
              <w:right w:val="nil"/>
            </w:tcBorders>
            <w:hideMark/>
          </w:tcPr>
          <w:p w14:paraId="7C15264A" w14:textId="77777777" w:rsidR="009E7DEF" w:rsidRPr="00C30E94" w:rsidRDefault="009E7DEF">
            <w:pPr>
              <w:jc w:val="right"/>
              <w:rPr>
                <w:rFonts w:ascii="Arial" w:hAnsi="Arial" w:cs="Arial"/>
                <w:sz w:val="20"/>
                <w:szCs w:val="20"/>
              </w:rPr>
            </w:pPr>
            <w:r w:rsidRPr="00C30E94">
              <w:rPr>
                <w:rFonts w:ascii="Arial" w:hAnsi="Arial" w:cs="Arial"/>
                <w:sz w:val="20"/>
                <w:szCs w:val="20"/>
              </w:rPr>
              <w:t>14,4</w:t>
            </w:r>
          </w:p>
        </w:tc>
        <w:tc>
          <w:tcPr>
            <w:tcW w:w="896" w:type="dxa"/>
            <w:tcBorders>
              <w:top w:val="nil"/>
              <w:left w:val="nil"/>
              <w:bottom w:val="nil"/>
              <w:right w:val="nil"/>
            </w:tcBorders>
            <w:hideMark/>
          </w:tcPr>
          <w:p w14:paraId="526AD7E6" w14:textId="77777777" w:rsidR="009E7DEF" w:rsidRPr="00C30E94" w:rsidRDefault="009E7DEF">
            <w:pPr>
              <w:jc w:val="right"/>
              <w:rPr>
                <w:rFonts w:ascii="Arial" w:hAnsi="Arial" w:cs="Arial"/>
                <w:sz w:val="20"/>
                <w:szCs w:val="20"/>
              </w:rPr>
            </w:pPr>
            <w:r w:rsidRPr="00C30E94">
              <w:rPr>
                <w:rFonts w:ascii="Arial" w:hAnsi="Arial" w:cs="Arial"/>
                <w:sz w:val="20"/>
                <w:szCs w:val="20"/>
              </w:rPr>
              <w:t>-10,7</w:t>
            </w:r>
          </w:p>
        </w:tc>
        <w:tc>
          <w:tcPr>
            <w:tcW w:w="806" w:type="dxa"/>
            <w:tcBorders>
              <w:top w:val="nil"/>
              <w:left w:val="nil"/>
              <w:bottom w:val="nil"/>
              <w:right w:val="nil"/>
            </w:tcBorders>
            <w:hideMark/>
          </w:tcPr>
          <w:p w14:paraId="67E96580" w14:textId="77777777" w:rsidR="009E7DEF" w:rsidRPr="00C30E94" w:rsidRDefault="009E7DEF">
            <w:pPr>
              <w:jc w:val="right"/>
              <w:rPr>
                <w:rFonts w:ascii="Arial" w:hAnsi="Arial" w:cs="Arial"/>
                <w:sz w:val="20"/>
                <w:szCs w:val="20"/>
              </w:rPr>
            </w:pPr>
            <w:r w:rsidRPr="00C30E94">
              <w:rPr>
                <w:rFonts w:ascii="Arial" w:hAnsi="Arial" w:cs="Arial"/>
                <w:sz w:val="20"/>
                <w:szCs w:val="20"/>
              </w:rPr>
              <w:t>24,6</w:t>
            </w:r>
          </w:p>
        </w:tc>
        <w:tc>
          <w:tcPr>
            <w:tcW w:w="850" w:type="dxa"/>
            <w:tcBorders>
              <w:top w:val="nil"/>
              <w:left w:val="nil"/>
              <w:bottom w:val="nil"/>
              <w:right w:val="nil"/>
            </w:tcBorders>
            <w:hideMark/>
          </w:tcPr>
          <w:p w14:paraId="7FE7BC42" w14:textId="77777777" w:rsidR="009E7DEF" w:rsidRPr="00C30E94" w:rsidRDefault="009E7DEF">
            <w:pPr>
              <w:jc w:val="right"/>
              <w:rPr>
                <w:rFonts w:ascii="Arial" w:hAnsi="Arial" w:cs="Arial"/>
                <w:sz w:val="20"/>
                <w:szCs w:val="20"/>
              </w:rPr>
            </w:pPr>
            <w:r w:rsidRPr="00C30E94">
              <w:rPr>
                <w:rFonts w:ascii="Arial" w:hAnsi="Arial" w:cs="Arial"/>
                <w:sz w:val="20"/>
                <w:szCs w:val="20"/>
              </w:rPr>
              <w:t>-1,7</w:t>
            </w:r>
          </w:p>
        </w:tc>
      </w:tr>
      <w:tr w:rsidR="00C30E94" w:rsidRPr="00C30E94" w14:paraId="550E810E" w14:textId="77777777" w:rsidTr="00724D96">
        <w:trPr>
          <w:trHeight w:val="314"/>
          <w:jc w:val="center"/>
        </w:trPr>
        <w:tc>
          <w:tcPr>
            <w:tcW w:w="4820" w:type="dxa"/>
            <w:tcBorders>
              <w:top w:val="nil"/>
              <w:left w:val="nil"/>
              <w:bottom w:val="nil"/>
              <w:right w:val="nil"/>
            </w:tcBorders>
            <w:shd w:val="clear" w:color="auto" w:fill="FFFFFF"/>
            <w:noWrap/>
            <w:hideMark/>
          </w:tcPr>
          <w:p w14:paraId="1E3D6EFF" w14:textId="77777777" w:rsidR="009E7DEF" w:rsidRPr="00C30E94" w:rsidRDefault="009E7DEF">
            <w:pPr>
              <w:rPr>
                <w:rFonts w:ascii="Arial" w:hAnsi="Arial" w:cs="Arial"/>
                <w:sz w:val="20"/>
                <w:szCs w:val="20"/>
              </w:rPr>
            </w:pPr>
            <w:r w:rsidRPr="00C30E94">
              <w:rPr>
                <w:rFonts w:ascii="Arial" w:hAnsi="Arial" w:cs="Arial"/>
                <w:sz w:val="20"/>
                <w:szCs w:val="20"/>
              </w:rPr>
              <w:t>Sản xuất xe có động cơ</w:t>
            </w:r>
          </w:p>
        </w:tc>
        <w:tc>
          <w:tcPr>
            <w:tcW w:w="849" w:type="dxa"/>
            <w:tcBorders>
              <w:top w:val="nil"/>
              <w:left w:val="nil"/>
              <w:bottom w:val="nil"/>
              <w:right w:val="nil"/>
            </w:tcBorders>
            <w:hideMark/>
          </w:tcPr>
          <w:p w14:paraId="35D7EA27" w14:textId="77777777" w:rsidR="009E7DEF" w:rsidRPr="00C30E94" w:rsidRDefault="009E7DEF">
            <w:pPr>
              <w:jc w:val="right"/>
              <w:rPr>
                <w:rFonts w:ascii="Arial" w:hAnsi="Arial" w:cs="Arial"/>
                <w:sz w:val="20"/>
                <w:szCs w:val="20"/>
              </w:rPr>
            </w:pPr>
            <w:r w:rsidRPr="00C30E94">
              <w:rPr>
                <w:rFonts w:ascii="Arial" w:hAnsi="Arial" w:cs="Arial"/>
                <w:sz w:val="20"/>
                <w:szCs w:val="20"/>
              </w:rPr>
              <w:t>7,2</w:t>
            </w:r>
          </w:p>
        </w:tc>
        <w:tc>
          <w:tcPr>
            <w:tcW w:w="850" w:type="dxa"/>
            <w:tcBorders>
              <w:top w:val="nil"/>
              <w:left w:val="nil"/>
              <w:bottom w:val="nil"/>
              <w:right w:val="nil"/>
            </w:tcBorders>
            <w:hideMark/>
          </w:tcPr>
          <w:p w14:paraId="373EB8E1" w14:textId="77777777" w:rsidR="009E7DEF" w:rsidRPr="00C30E94" w:rsidRDefault="009E7DEF">
            <w:pPr>
              <w:jc w:val="right"/>
              <w:rPr>
                <w:rFonts w:ascii="Arial" w:hAnsi="Arial" w:cs="Arial"/>
                <w:sz w:val="20"/>
                <w:szCs w:val="20"/>
              </w:rPr>
            </w:pPr>
            <w:r w:rsidRPr="00C30E94">
              <w:rPr>
                <w:rFonts w:ascii="Arial" w:hAnsi="Arial" w:cs="Arial"/>
                <w:sz w:val="20"/>
                <w:szCs w:val="20"/>
              </w:rPr>
              <w:t>7,0</w:t>
            </w:r>
          </w:p>
        </w:tc>
        <w:tc>
          <w:tcPr>
            <w:tcW w:w="896" w:type="dxa"/>
            <w:tcBorders>
              <w:top w:val="nil"/>
              <w:left w:val="nil"/>
              <w:bottom w:val="nil"/>
              <w:right w:val="nil"/>
            </w:tcBorders>
            <w:hideMark/>
          </w:tcPr>
          <w:p w14:paraId="7C4759FD" w14:textId="77777777" w:rsidR="009E7DEF" w:rsidRPr="00C30E94" w:rsidRDefault="009E7DEF">
            <w:pPr>
              <w:jc w:val="right"/>
              <w:rPr>
                <w:rFonts w:ascii="Arial" w:hAnsi="Arial" w:cs="Arial"/>
                <w:sz w:val="20"/>
                <w:szCs w:val="20"/>
              </w:rPr>
            </w:pPr>
            <w:r w:rsidRPr="00C30E94">
              <w:rPr>
                <w:rFonts w:ascii="Arial" w:hAnsi="Arial" w:cs="Arial"/>
                <w:sz w:val="20"/>
                <w:szCs w:val="20"/>
              </w:rPr>
              <w:t>-11,8</w:t>
            </w:r>
          </w:p>
        </w:tc>
        <w:tc>
          <w:tcPr>
            <w:tcW w:w="806" w:type="dxa"/>
            <w:tcBorders>
              <w:top w:val="nil"/>
              <w:left w:val="nil"/>
              <w:bottom w:val="nil"/>
              <w:right w:val="nil"/>
            </w:tcBorders>
            <w:hideMark/>
          </w:tcPr>
          <w:p w14:paraId="58543F56" w14:textId="77777777" w:rsidR="009E7DEF" w:rsidRPr="00C30E94" w:rsidRDefault="009E7DEF">
            <w:pPr>
              <w:jc w:val="right"/>
              <w:rPr>
                <w:rFonts w:ascii="Arial" w:hAnsi="Arial" w:cs="Arial"/>
                <w:sz w:val="20"/>
                <w:szCs w:val="20"/>
              </w:rPr>
            </w:pPr>
            <w:r w:rsidRPr="00C30E94">
              <w:rPr>
                <w:rFonts w:ascii="Arial" w:hAnsi="Arial" w:cs="Arial"/>
                <w:sz w:val="20"/>
                <w:szCs w:val="20"/>
              </w:rPr>
              <w:t>1,6</w:t>
            </w:r>
          </w:p>
        </w:tc>
        <w:tc>
          <w:tcPr>
            <w:tcW w:w="850" w:type="dxa"/>
            <w:tcBorders>
              <w:top w:val="nil"/>
              <w:left w:val="nil"/>
              <w:bottom w:val="nil"/>
              <w:right w:val="nil"/>
            </w:tcBorders>
            <w:hideMark/>
          </w:tcPr>
          <w:p w14:paraId="330EACF8" w14:textId="77777777" w:rsidR="009E7DEF" w:rsidRPr="00C30E94" w:rsidRDefault="009E7DEF">
            <w:pPr>
              <w:jc w:val="right"/>
              <w:rPr>
                <w:rFonts w:ascii="Arial" w:hAnsi="Arial" w:cs="Arial"/>
                <w:sz w:val="20"/>
                <w:szCs w:val="20"/>
              </w:rPr>
            </w:pPr>
            <w:r w:rsidRPr="00C30E94">
              <w:rPr>
                <w:rFonts w:ascii="Arial" w:hAnsi="Arial" w:cs="Arial"/>
                <w:sz w:val="20"/>
                <w:szCs w:val="20"/>
              </w:rPr>
              <w:t>53,5</w:t>
            </w:r>
          </w:p>
        </w:tc>
      </w:tr>
      <w:tr w:rsidR="00C30E94" w:rsidRPr="00C30E94" w14:paraId="72068EDB" w14:textId="77777777" w:rsidTr="00724D96">
        <w:trPr>
          <w:trHeight w:val="314"/>
          <w:jc w:val="center"/>
        </w:trPr>
        <w:tc>
          <w:tcPr>
            <w:tcW w:w="4820" w:type="dxa"/>
            <w:tcBorders>
              <w:top w:val="nil"/>
              <w:left w:val="nil"/>
              <w:bottom w:val="nil"/>
              <w:right w:val="nil"/>
            </w:tcBorders>
            <w:shd w:val="clear" w:color="auto" w:fill="FFFFFF"/>
            <w:noWrap/>
            <w:hideMark/>
          </w:tcPr>
          <w:p w14:paraId="2879E38F" w14:textId="77777777" w:rsidR="009E7DEF" w:rsidRPr="00C30E94" w:rsidRDefault="009E7DEF">
            <w:pPr>
              <w:rPr>
                <w:rFonts w:ascii="Arial" w:hAnsi="Arial" w:cs="Arial"/>
                <w:sz w:val="20"/>
                <w:szCs w:val="20"/>
              </w:rPr>
            </w:pPr>
            <w:r w:rsidRPr="00C30E94">
              <w:rPr>
                <w:rFonts w:ascii="Arial" w:hAnsi="Arial" w:cs="Arial"/>
                <w:sz w:val="20"/>
                <w:szCs w:val="20"/>
              </w:rPr>
              <w:t>Sản xuất phương tiện vận tải khác</w:t>
            </w:r>
          </w:p>
        </w:tc>
        <w:tc>
          <w:tcPr>
            <w:tcW w:w="849" w:type="dxa"/>
            <w:tcBorders>
              <w:top w:val="nil"/>
              <w:left w:val="nil"/>
              <w:bottom w:val="nil"/>
              <w:right w:val="nil"/>
            </w:tcBorders>
            <w:hideMark/>
          </w:tcPr>
          <w:p w14:paraId="671BA6E2" w14:textId="77777777" w:rsidR="009E7DEF" w:rsidRPr="00C30E94" w:rsidRDefault="009E7DEF">
            <w:pPr>
              <w:jc w:val="right"/>
              <w:rPr>
                <w:rFonts w:ascii="Arial" w:hAnsi="Arial" w:cs="Arial"/>
                <w:sz w:val="20"/>
                <w:szCs w:val="20"/>
              </w:rPr>
            </w:pPr>
            <w:r w:rsidRPr="00C30E94">
              <w:rPr>
                <w:rFonts w:ascii="Arial" w:hAnsi="Arial" w:cs="Arial"/>
                <w:sz w:val="20"/>
                <w:szCs w:val="20"/>
              </w:rPr>
              <w:t>-4,2</w:t>
            </w:r>
          </w:p>
        </w:tc>
        <w:tc>
          <w:tcPr>
            <w:tcW w:w="850" w:type="dxa"/>
            <w:tcBorders>
              <w:top w:val="nil"/>
              <w:left w:val="nil"/>
              <w:bottom w:val="nil"/>
              <w:right w:val="nil"/>
            </w:tcBorders>
            <w:hideMark/>
          </w:tcPr>
          <w:p w14:paraId="2ADE2650" w14:textId="77777777" w:rsidR="009E7DEF" w:rsidRPr="00C30E94" w:rsidRDefault="009E7DEF">
            <w:pPr>
              <w:jc w:val="right"/>
              <w:rPr>
                <w:rFonts w:ascii="Arial" w:hAnsi="Arial" w:cs="Arial"/>
                <w:sz w:val="20"/>
                <w:szCs w:val="20"/>
              </w:rPr>
            </w:pPr>
            <w:r w:rsidRPr="00C30E94">
              <w:rPr>
                <w:rFonts w:ascii="Arial" w:hAnsi="Arial" w:cs="Arial"/>
                <w:sz w:val="20"/>
                <w:szCs w:val="20"/>
              </w:rPr>
              <w:t>8,3</w:t>
            </w:r>
          </w:p>
        </w:tc>
        <w:tc>
          <w:tcPr>
            <w:tcW w:w="896" w:type="dxa"/>
            <w:tcBorders>
              <w:top w:val="nil"/>
              <w:left w:val="nil"/>
              <w:bottom w:val="nil"/>
              <w:right w:val="nil"/>
            </w:tcBorders>
            <w:hideMark/>
          </w:tcPr>
          <w:p w14:paraId="2770885B" w14:textId="77777777" w:rsidR="009E7DEF" w:rsidRPr="00C30E94" w:rsidRDefault="009E7DEF">
            <w:pPr>
              <w:jc w:val="right"/>
              <w:rPr>
                <w:rFonts w:ascii="Arial" w:hAnsi="Arial" w:cs="Arial"/>
                <w:sz w:val="20"/>
                <w:szCs w:val="20"/>
              </w:rPr>
            </w:pPr>
            <w:r w:rsidRPr="00C30E94">
              <w:rPr>
                <w:rFonts w:ascii="Arial" w:hAnsi="Arial" w:cs="Arial"/>
                <w:sz w:val="20"/>
                <w:szCs w:val="20"/>
              </w:rPr>
              <w:t>-10,0</w:t>
            </w:r>
          </w:p>
        </w:tc>
        <w:tc>
          <w:tcPr>
            <w:tcW w:w="806" w:type="dxa"/>
            <w:tcBorders>
              <w:top w:val="nil"/>
              <w:left w:val="nil"/>
              <w:bottom w:val="nil"/>
              <w:right w:val="nil"/>
            </w:tcBorders>
            <w:hideMark/>
          </w:tcPr>
          <w:p w14:paraId="232BD4DD" w14:textId="77777777" w:rsidR="009E7DEF" w:rsidRPr="00C30E94" w:rsidRDefault="009E7DEF">
            <w:pPr>
              <w:jc w:val="right"/>
              <w:rPr>
                <w:rFonts w:ascii="Arial" w:hAnsi="Arial" w:cs="Arial"/>
                <w:sz w:val="20"/>
                <w:szCs w:val="20"/>
              </w:rPr>
            </w:pPr>
            <w:r w:rsidRPr="00C30E94">
              <w:rPr>
                <w:rFonts w:ascii="Arial" w:hAnsi="Arial" w:cs="Arial"/>
                <w:sz w:val="20"/>
                <w:szCs w:val="20"/>
              </w:rPr>
              <w:t>-6,9</w:t>
            </w:r>
          </w:p>
        </w:tc>
        <w:tc>
          <w:tcPr>
            <w:tcW w:w="850" w:type="dxa"/>
            <w:tcBorders>
              <w:top w:val="nil"/>
              <w:left w:val="nil"/>
              <w:bottom w:val="nil"/>
              <w:right w:val="nil"/>
            </w:tcBorders>
            <w:hideMark/>
          </w:tcPr>
          <w:p w14:paraId="6391F8E7" w14:textId="77777777" w:rsidR="009E7DEF" w:rsidRPr="00C30E94" w:rsidRDefault="009E7DEF">
            <w:pPr>
              <w:jc w:val="right"/>
              <w:rPr>
                <w:rFonts w:ascii="Arial" w:hAnsi="Arial" w:cs="Arial"/>
                <w:sz w:val="20"/>
                <w:szCs w:val="20"/>
              </w:rPr>
            </w:pPr>
            <w:r w:rsidRPr="00C30E94">
              <w:rPr>
                <w:rFonts w:ascii="Arial" w:hAnsi="Arial" w:cs="Arial"/>
                <w:sz w:val="20"/>
                <w:szCs w:val="20"/>
              </w:rPr>
              <w:t>12,1</w:t>
            </w:r>
          </w:p>
        </w:tc>
      </w:tr>
      <w:tr w:rsidR="00C30E94" w:rsidRPr="00C30E94" w14:paraId="742AC81D" w14:textId="77777777" w:rsidTr="00724D96">
        <w:trPr>
          <w:trHeight w:val="314"/>
          <w:jc w:val="center"/>
        </w:trPr>
        <w:tc>
          <w:tcPr>
            <w:tcW w:w="4820" w:type="dxa"/>
            <w:tcBorders>
              <w:top w:val="nil"/>
              <w:left w:val="nil"/>
              <w:bottom w:val="single" w:sz="4" w:space="0" w:color="auto"/>
              <w:right w:val="nil"/>
            </w:tcBorders>
            <w:shd w:val="clear" w:color="auto" w:fill="FFFFFF"/>
            <w:noWrap/>
            <w:hideMark/>
          </w:tcPr>
          <w:p w14:paraId="00A358B4" w14:textId="77777777" w:rsidR="009E7DEF" w:rsidRPr="00C30E94" w:rsidRDefault="009E7DEF">
            <w:pPr>
              <w:rPr>
                <w:rFonts w:ascii="Arial" w:hAnsi="Arial" w:cs="Arial"/>
                <w:sz w:val="20"/>
                <w:szCs w:val="20"/>
              </w:rPr>
            </w:pPr>
            <w:r w:rsidRPr="00C30E94">
              <w:rPr>
                <w:rFonts w:ascii="Arial" w:hAnsi="Arial" w:cs="Arial"/>
                <w:sz w:val="20"/>
                <w:szCs w:val="20"/>
              </w:rPr>
              <w:t>Sản xuất giường, tủ, bàn, ghế</w:t>
            </w:r>
          </w:p>
        </w:tc>
        <w:tc>
          <w:tcPr>
            <w:tcW w:w="849" w:type="dxa"/>
            <w:tcBorders>
              <w:top w:val="nil"/>
              <w:left w:val="nil"/>
              <w:bottom w:val="single" w:sz="4" w:space="0" w:color="auto"/>
              <w:right w:val="nil"/>
            </w:tcBorders>
            <w:hideMark/>
          </w:tcPr>
          <w:p w14:paraId="158EAFA9" w14:textId="77777777" w:rsidR="009E7DEF" w:rsidRPr="00C30E94" w:rsidRDefault="009E7DEF">
            <w:pPr>
              <w:jc w:val="right"/>
              <w:rPr>
                <w:rFonts w:ascii="Arial" w:hAnsi="Arial" w:cs="Arial"/>
                <w:sz w:val="20"/>
                <w:szCs w:val="20"/>
              </w:rPr>
            </w:pPr>
            <w:r w:rsidRPr="00C30E94">
              <w:rPr>
                <w:rFonts w:ascii="Arial" w:hAnsi="Arial" w:cs="Arial"/>
                <w:sz w:val="20"/>
                <w:szCs w:val="20"/>
              </w:rPr>
              <w:t>11,3</w:t>
            </w:r>
          </w:p>
        </w:tc>
        <w:tc>
          <w:tcPr>
            <w:tcW w:w="850" w:type="dxa"/>
            <w:tcBorders>
              <w:top w:val="nil"/>
              <w:left w:val="nil"/>
              <w:bottom w:val="single" w:sz="4" w:space="0" w:color="auto"/>
              <w:right w:val="nil"/>
            </w:tcBorders>
            <w:hideMark/>
          </w:tcPr>
          <w:p w14:paraId="1DF597B3" w14:textId="77777777" w:rsidR="009E7DEF" w:rsidRPr="00C30E94" w:rsidRDefault="009E7DEF">
            <w:pPr>
              <w:jc w:val="right"/>
              <w:rPr>
                <w:rFonts w:ascii="Arial" w:hAnsi="Arial" w:cs="Arial"/>
                <w:sz w:val="20"/>
                <w:szCs w:val="20"/>
              </w:rPr>
            </w:pPr>
            <w:r w:rsidRPr="00C30E94">
              <w:rPr>
                <w:rFonts w:ascii="Arial" w:hAnsi="Arial" w:cs="Arial"/>
                <w:sz w:val="20"/>
                <w:szCs w:val="20"/>
              </w:rPr>
              <w:t>1,5</w:t>
            </w:r>
          </w:p>
        </w:tc>
        <w:tc>
          <w:tcPr>
            <w:tcW w:w="896" w:type="dxa"/>
            <w:tcBorders>
              <w:top w:val="nil"/>
              <w:left w:val="nil"/>
              <w:bottom w:val="single" w:sz="4" w:space="0" w:color="auto"/>
              <w:right w:val="nil"/>
            </w:tcBorders>
            <w:hideMark/>
          </w:tcPr>
          <w:p w14:paraId="71C980EF" w14:textId="77777777" w:rsidR="009E7DEF" w:rsidRPr="00C30E94" w:rsidRDefault="009E7DEF">
            <w:pPr>
              <w:jc w:val="right"/>
              <w:rPr>
                <w:rFonts w:ascii="Arial" w:hAnsi="Arial" w:cs="Arial"/>
                <w:sz w:val="20"/>
                <w:szCs w:val="20"/>
              </w:rPr>
            </w:pPr>
            <w:r w:rsidRPr="00C30E94">
              <w:rPr>
                <w:rFonts w:ascii="Arial" w:hAnsi="Arial" w:cs="Arial"/>
                <w:sz w:val="20"/>
                <w:szCs w:val="20"/>
              </w:rPr>
              <w:t>-9,1</w:t>
            </w:r>
          </w:p>
        </w:tc>
        <w:tc>
          <w:tcPr>
            <w:tcW w:w="806" w:type="dxa"/>
            <w:tcBorders>
              <w:top w:val="nil"/>
              <w:left w:val="nil"/>
              <w:bottom w:val="single" w:sz="4" w:space="0" w:color="auto"/>
              <w:right w:val="nil"/>
            </w:tcBorders>
            <w:hideMark/>
          </w:tcPr>
          <w:p w14:paraId="5A643D48" w14:textId="77777777" w:rsidR="009E7DEF" w:rsidRPr="00C30E94" w:rsidRDefault="009E7DEF">
            <w:pPr>
              <w:jc w:val="right"/>
              <w:rPr>
                <w:rFonts w:ascii="Arial" w:hAnsi="Arial" w:cs="Arial"/>
                <w:sz w:val="20"/>
                <w:szCs w:val="20"/>
              </w:rPr>
            </w:pPr>
            <w:r w:rsidRPr="00C30E94">
              <w:rPr>
                <w:rFonts w:ascii="Arial" w:hAnsi="Arial" w:cs="Arial"/>
                <w:sz w:val="20"/>
                <w:szCs w:val="20"/>
              </w:rPr>
              <w:t>20,4</w:t>
            </w:r>
          </w:p>
        </w:tc>
        <w:tc>
          <w:tcPr>
            <w:tcW w:w="850" w:type="dxa"/>
            <w:tcBorders>
              <w:top w:val="nil"/>
              <w:left w:val="nil"/>
              <w:bottom w:val="single" w:sz="4" w:space="0" w:color="auto"/>
              <w:right w:val="nil"/>
            </w:tcBorders>
            <w:hideMark/>
          </w:tcPr>
          <w:p w14:paraId="528FDD54" w14:textId="77777777" w:rsidR="009E7DEF" w:rsidRPr="00C30E94" w:rsidRDefault="009E7DEF">
            <w:pPr>
              <w:jc w:val="right"/>
              <w:rPr>
                <w:rFonts w:ascii="Arial" w:hAnsi="Arial" w:cs="Arial"/>
                <w:sz w:val="20"/>
                <w:szCs w:val="20"/>
              </w:rPr>
            </w:pPr>
            <w:r w:rsidRPr="00C30E94">
              <w:rPr>
                <w:rFonts w:ascii="Arial" w:hAnsi="Arial" w:cs="Arial"/>
                <w:sz w:val="20"/>
                <w:szCs w:val="20"/>
              </w:rPr>
              <w:t>19,8</w:t>
            </w:r>
          </w:p>
        </w:tc>
      </w:tr>
    </w:tbl>
    <w:p w14:paraId="284BF041" w14:textId="77777777" w:rsidR="009E7DEF" w:rsidRPr="00C30E94" w:rsidRDefault="009E7DEF" w:rsidP="009E7DEF">
      <w:pPr>
        <w:shd w:val="clear" w:color="auto" w:fill="FFFFFF"/>
        <w:tabs>
          <w:tab w:val="left" w:pos="8931"/>
        </w:tabs>
        <w:spacing w:before="60"/>
        <w:jc w:val="right"/>
        <w:rPr>
          <w:rFonts w:ascii="Arial" w:hAnsi="Arial" w:cs="Arial"/>
          <w:spacing w:val="-2"/>
          <w:sz w:val="10"/>
          <w:szCs w:val="10"/>
          <w:lang w:val="pl-PL"/>
        </w:rPr>
      </w:pPr>
    </w:p>
    <w:p w14:paraId="044CC0DD" w14:textId="77777777" w:rsidR="009E7DEF" w:rsidRPr="00C30E94" w:rsidRDefault="009E7DEF" w:rsidP="003A54BB">
      <w:pPr>
        <w:shd w:val="clear" w:color="auto" w:fill="FFFFFF"/>
        <w:spacing w:after="120" w:line="264" w:lineRule="auto"/>
        <w:ind w:firstLine="720"/>
        <w:jc w:val="both"/>
        <w:rPr>
          <w:lang w:val="pl-PL"/>
        </w:rPr>
      </w:pPr>
      <w:r w:rsidRPr="00C30E94">
        <w:rPr>
          <w:lang w:val="pl-PL"/>
        </w:rPr>
        <w:t>Chỉ số sản xuất công nghiệp hai</w:t>
      </w:r>
      <w:r w:rsidRPr="00C30E94">
        <w:t xml:space="preserve"> tháng đầu năm 202</w:t>
      </w:r>
      <w:r w:rsidRPr="00C30E94">
        <w:rPr>
          <w:lang w:val="pl-PL"/>
        </w:rPr>
        <w:t>5</w:t>
      </w:r>
      <w:r w:rsidRPr="00C30E94">
        <w:rPr>
          <w:i/>
          <w:lang w:val="pl-PL"/>
        </w:rPr>
        <w:t xml:space="preserve"> </w:t>
      </w:r>
      <w:r w:rsidRPr="00C30E94">
        <w:rPr>
          <w:lang w:val="pl-PL"/>
        </w:rPr>
        <w:t>so với cùng kỳ năm trước tăng ở 58 địa phương và giảm ở 5 địa phương trên cả nước. Một số địa phương có chỉ số IIP đạt mức tăng khá cao do ngành công nghiệp chế biến, chế tạo; ngành sản xuất và phân phối điện tăng cao</w:t>
      </w:r>
      <w:r w:rsidRPr="00C30E94">
        <w:rPr>
          <w:vertAlign w:val="superscript"/>
          <w:lang w:val="pl-PL"/>
        </w:rPr>
        <w:footnoteReference w:id="12"/>
      </w:r>
      <w:r w:rsidRPr="00C30E94">
        <w:rPr>
          <w:lang w:val="pl-PL"/>
        </w:rPr>
        <w:t xml:space="preserve">. Ở chiều ngược lại, một số địa </w:t>
      </w:r>
      <w:r w:rsidRPr="00C30E94">
        <w:rPr>
          <w:lang w:val="pl-PL"/>
        </w:rPr>
        <w:lastRenderedPageBreak/>
        <w:t>phương có chỉ số IIP tăng thấp hoặc giảm do ngành công nghiệp chế biến, chế tạo; ngành khai khoáng và ngành sản xuất, phân phối điện tăng thấp hoặc giảm</w:t>
      </w:r>
      <w:r w:rsidRPr="00C30E94">
        <w:rPr>
          <w:vertAlign w:val="superscript"/>
          <w:lang w:val="pl-PL"/>
        </w:rPr>
        <w:footnoteReference w:id="13"/>
      </w:r>
      <w:r w:rsidRPr="00C30E94">
        <w:rPr>
          <w:lang w:val="pl-PL"/>
        </w:rPr>
        <w:t xml:space="preserve">.   </w:t>
      </w:r>
    </w:p>
    <w:p w14:paraId="10B56494" w14:textId="1A1628B5" w:rsidR="009E7DEF" w:rsidRPr="00C30E94" w:rsidRDefault="009E7DEF" w:rsidP="009E7DEF">
      <w:pPr>
        <w:shd w:val="clear" w:color="auto" w:fill="FFFFFF"/>
        <w:jc w:val="center"/>
        <w:rPr>
          <w:rFonts w:ascii="Arial" w:hAnsi="Arial" w:cs="Arial"/>
          <w:b/>
          <w:bCs/>
          <w:sz w:val="24"/>
          <w:szCs w:val="24"/>
          <w:lang w:val="pl-PL"/>
        </w:rPr>
      </w:pPr>
      <w:r w:rsidRPr="00C30E94">
        <w:rPr>
          <w:rFonts w:ascii="Arial" w:hAnsi="Arial" w:cs="Arial"/>
          <w:b/>
          <w:bCs/>
          <w:sz w:val="24"/>
          <w:szCs w:val="24"/>
          <w:lang w:val="pl-PL"/>
        </w:rPr>
        <w:t xml:space="preserve">Hình 4. Tốc độ tăng/giảm IIP </w:t>
      </w:r>
      <w:r w:rsidR="001D362A">
        <w:rPr>
          <w:rFonts w:ascii="Arial" w:hAnsi="Arial" w:cs="Arial"/>
          <w:b/>
          <w:bCs/>
          <w:sz w:val="24"/>
          <w:szCs w:val="24"/>
          <w:lang w:val="pl-PL"/>
        </w:rPr>
        <w:t>0</w:t>
      </w:r>
      <w:r w:rsidRPr="00C30E94">
        <w:rPr>
          <w:rFonts w:ascii="Arial" w:hAnsi="Arial" w:cs="Arial"/>
          <w:b/>
          <w:bCs/>
          <w:sz w:val="24"/>
          <w:szCs w:val="24"/>
          <w:lang w:val="pl-PL"/>
        </w:rPr>
        <w:t>2</w:t>
      </w:r>
      <w:r w:rsidRPr="00C30E94">
        <w:rPr>
          <w:rFonts w:ascii="Arial" w:hAnsi="Arial" w:cs="Arial"/>
          <w:b/>
          <w:bCs/>
          <w:sz w:val="24"/>
          <w:szCs w:val="24"/>
        </w:rPr>
        <w:t xml:space="preserve"> tháng đầu</w:t>
      </w:r>
      <w:r w:rsidRPr="00C30E94">
        <w:rPr>
          <w:rFonts w:ascii="Arial" w:hAnsi="Arial" w:cs="Arial"/>
          <w:b/>
          <w:bCs/>
          <w:sz w:val="24"/>
          <w:szCs w:val="24"/>
          <w:lang w:val="pl-PL"/>
        </w:rPr>
        <w:t xml:space="preserve"> năm 2025</w:t>
      </w:r>
    </w:p>
    <w:p w14:paraId="19E02F06" w14:textId="77777777" w:rsidR="009E7DEF" w:rsidRPr="00C30E94" w:rsidRDefault="009E7DEF" w:rsidP="009E7DEF">
      <w:pPr>
        <w:shd w:val="clear" w:color="auto" w:fill="FFFFFF"/>
        <w:jc w:val="center"/>
        <w:rPr>
          <w:rFonts w:ascii="Arial" w:hAnsi="Arial" w:cs="Arial"/>
          <w:b/>
          <w:bCs/>
          <w:sz w:val="24"/>
          <w:szCs w:val="24"/>
          <w:lang w:val="pl-PL"/>
        </w:rPr>
      </w:pPr>
      <w:r w:rsidRPr="00C30E94">
        <w:rPr>
          <w:rFonts w:ascii="Arial" w:hAnsi="Arial" w:cs="Arial"/>
          <w:b/>
          <w:bCs/>
          <w:sz w:val="24"/>
          <w:szCs w:val="24"/>
          <w:lang w:val="pl-PL"/>
        </w:rPr>
        <w:t>so với cùng kỳ năm trước</w:t>
      </w:r>
      <w:r w:rsidRPr="00C30E94">
        <w:rPr>
          <w:rFonts w:ascii="Arial" w:hAnsi="Arial" w:cs="Arial"/>
          <w:b/>
          <w:bCs/>
          <w:sz w:val="24"/>
          <w:szCs w:val="24"/>
        </w:rPr>
        <w:t xml:space="preserve"> </w:t>
      </w:r>
      <w:r w:rsidRPr="00C30E94">
        <w:rPr>
          <w:rFonts w:ascii="Arial" w:hAnsi="Arial" w:cs="Arial"/>
          <w:b/>
          <w:bCs/>
          <w:sz w:val="24"/>
          <w:szCs w:val="24"/>
          <w:lang w:val="pl-PL"/>
        </w:rPr>
        <w:t xml:space="preserve">của một số </w:t>
      </w:r>
      <w:r w:rsidRPr="00C30E94">
        <w:rPr>
          <w:rFonts w:ascii="Arial" w:hAnsi="Arial" w:cs="Arial"/>
          <w:b/>
          <w:bCs/>
          <w:sz w:val="24"/>
          <w:szCs w:val="24"/>
        </w:rPr>
        <w:t>địa phương</w:t>
      </w:r>
      <w:r w:rsidRPr="00C30E94">
        <w:rPr>
          <w:rFonts w:ascii="Arial" w:hAnsi="Arial" w:cs="Arial"/>
          <w:b/>
          <w:bCs/>
          <w:sz w:val="24"/>
          <w:szCs w:val="24"/>
          <w:lang w:val="pl-PL"/>
        </w:rPr>
        <w:t xml:space="preserve"> (%)</w:t>
      </w:r>
    </w:p>
    <w:p w14:paraId="4878C7EE" w14:textId="77777777" w:rsidR="009E7DEF" w:rsidRPr="00C30E94" w:rsidRDefault="009E7DEF" w:rsidP="009E7DEF">
      <w:pPr>
        <w:shd w:val="clear" w:color="auto" w:fill="FFFFFF"/>
        <w:jc w:val="center"/>
        <w:rPr>
          <w:rFonts w:ascii="Arial" w:hAnsi="Arial" w:cs="Arial"/>
          <w:b/>
          <w:bCs/>
          <w:sz w:val="24"/>
          <w:szCs w:val="24"/>
          <w:lang w:val="pl-PL"/>
        </w:rPr>
      </w:pPr>
    </w:p>
    <w:tbl>
      <w:tblPr>
        <w:tblStyle w:val="TableGrid"/>
        <w:tblW w:w="98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897"/>
      </w:tblGrid>
      <w:tr w:rsidR="006B30C4" w:rsidRPr="00C30E94" w14:paraId="7F6DCEEF" w14:textId="77777777" w:rsidTr="006B30C4">
        <w:trPr>
          <w:trHeight w:val="572"/>
          <w:jc w:val="center"/>
        </w:trPr>
        <w:tc>
          <w:tcPr>
            <w:tcW w:w="4661" w:type="dxa"/>
          </w:tcPr>
          <w:p w14:paraId="5C9ACBA1" w14:textId="77777777" w:rsidR="009E7DEF" w:rsidRPr="00C30E94" w:rsidRDefault="009E7DEF">
            <w:pPr>
              <w:jc w:val="center"/>
              <w:rPr>
                <w:rFonts w:ascii="Arial" w:hAnsi="Arial" w:cs="Arial"/>
                <w:b/>
                <w:bCs/>
                <w:sz w:val="18"/>
                <w:szCs w:val="18"/>
                <w:lang w:val="pl-PL"/>
              </w:rPr>
            </w:pPr>
            <w:r w:rsidRPr="00C30E94">
              <w:rPr>
                <w:rFonts w:ascii="Arial" w:hAnsi="Arial" w:cs="Arial"/>
                <w:b/>
                <w:bCs/>
                <w:sz w:val="18"/>
                <w:szCs w:val="18"/>
                <w:lang w:val="pl-PL"/>
              </w:rPr>
              <w:t>10 địa phương có tốc độ tăng IIP cao nhất</w:t>
            </w:r>
          </w:p>
          <w:p w14:paraId="3982B4FB" w14:textId="77777777" w:rsidR="009E7DEF" w:rsidRPr="00C30E94" w:rsidRDefault="009E7DEF">
            <w:pPr>
              <w:jc w:val="center"/>
              <w:rPr>
                <w:rFonts w:ascii="Arial" w:hAnsi="Arial" w:cs="Arial"/>
                <w:b/>
                <w:bCs/>
                <w:sz w:val="18"/>
                <w:szCs w:val="18"/>
                <w:lang w:val="pl-PL"/>
              </w:rPr>
            </w:pPr>
          </w:p>
          <w:p w14:paraId="6665E4B0" w14:textId="605B8883" w:rsidR="009E7DEF" w:rsidRPr="00C30E94" w:rsidRDefault="009E7DEF">
            <w:pPr>
              <w:ind w:right="119"/>
              <w:jc w:val="center"/>
              <w:rPr>
                <w:rFonts w:ascii="Arial" w:hAnsi="Arial" w:cs="Arial"/>
                <w:b/>
                <w:bCs/>
                <w:sz w:val="18"/>
                <w:szCs w:val="18"/>
              </w:rPr>
            </w:pPr>
            <w:r w:rsidRPr="00C30E94">
              <w:rPr>
                <w:rFonts w:ascii="Arial" w:hAnsi="Arial" w:cs="Arial"/>
                <w:b/>
                <w:noProof/>
                <w:sz w:val="18"/>
                <w:szCs w:val="18"/>
                <w:lang w:val="en-US"/>
              </w:rPr>
              <w:drawing>
                <wp:inline distT="0" distB="0" distL="0" distR="0" wp14:anchorId="008DCCD6" wp14:editId="02F08644">
                  <wp:extent cx="2937510" cy="1955165"/>
                  <wp:effectExtent l="0" t="0" r="0" b="6985"/>
                  <wp:docPr id="6" name="Picture 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numbers and a ba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7510" cy="1955165"/>
                          </a:xfrm>
                          <a:prstGeom prst="rect">
                            <a:avLst/>
                          </a:prstGeom>
                          <a:noFill/>
                          <a:ln>
                            <a:noFill/>
                          </a:ln>
                        </pic:spPr>
                      </pic:pic>
                    </a:graphicData>
                  </a:graphic>
                </wp:inline>
              </w:drawing>
            </w:r>
          </w:p>
        </w:tc>
        <w:tc>
          <w:tcPr>
            <w:tcW w:w="5197" w:type="dxa"/>
          </w:tcPr>
          <w:p w14:paraId="6E03162A" w14:textId="557506CD" w:rsidR="009E7DEF" w:rsidRDefault="009E7DEF">
            <w:pPr>
              <w:jc w:val="center"/>
              <w:rPr>
                <w:rFonts w:ascii="Arial" w:hAnsi="Arial" w:cs="Arial"/>
                <w:b/>
                <w:bCs/>
                <w:sz w:val="18"/>
                <w:szCs w:val="18"/>
              </w:rPr>
            </w:pPr>
            <w:r w:rsidRPr="00C30E94">
              <w:rPr>
                <w:rFonts w:ascii="Arial" w:hAnsi="Arial" w:cs="Arial"/>
                <w:b/>
                <w:bCs/>
                <w:sz w:val="18"/>
                <w:szCs w:val="18"/>
              </w:rPr>
              <w:t>10 địa phương có IIP tăng thấp hoặc giảm</w:t>
            </w:r>
          </w:p>
          <w:p w14:paraId="0592C2B7" w14:textId="77777777" w:rsidR="006B30C4" w:rsidRPr="00C30E94" w:rsidRDefault="006B30C4">
            <w:pPr>
              <w:jc w:val="center"/>
              <w:rPr>
                <w:rFonts w:ascii="Arial" w:hAnsi="Arial" w:cs="Arial"/>
                <w:b/>
                <w:bCs/>
                <w:sz w:val="18"/>
                <w:szCs w:val="18"/>
              </w:rPr>
            </w:pPr>
          </w:p>
          <w:p w14:paraId="07764E7C" w14:textId="24310563" w:rsidR="009E7DEF" w:rsidRPr="00C30E94" w:rsidRDefault="006B30C4" w:rsidP="006B30C4">
            <w:pPr>
              <w:rPr>
                <w:rFonts w:ascii="Arial" w:hAnsi="Arial" w:cs="Arial"/>
                <w:b/>
                <w:bCs/>
                <w:sz w:val="18"/>
                <w:szCs w:val="18"/>
              </w:rPr>
            </w:pPr>
            <w:r>
              <w:rPr>
                <w:rFonts w:ascii="Arial" w:hAnsi="Arial" w:cs="Arial"/>
                <w:b/>
                <w:bCs/>
                <w:noProof/>
                <w:sz w:val="18"/>
                <w:szCs w:val="18"/>
              </w:rPr>
              <w:drawing>
                <wp:inline distT="0" distB="0" distL="0" distR="0" wp14:anchorId="07A8726C" wp14:editId="4BE4041B">
                  <wp:extent cx="2923309" cy="2070100"/>
                  <wp:effectExtent l="0" t="0" r="0" b="6350"/>
                  <wp:docPr id="12" name="Picture 12"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red squares&#10;&#10;Description automatically generated"/>
                          <pic:cNvPicPr/>
                        </pic:nvPicPr>
                        <pic:blipFill>
                          <a:blip r:embed="rId11"/>
                          <a:stretch>
                            <a:fillRect/>
                          </a:stretch>
                        </pic:blipFill>
                        <pic:spPr>
                          <a:xfrm>
                            <a:off x="0" y="0"/>
                            <a:ext cx="2979229" cy="2109699"/>
                          </a:xfrm>
                          <a:prstGeom prst="rect">
                            <a:avLst/>
                          </a:prstGeom>
                        </pic:spPr>
                      </pic:pic>
                    </a:graphicData>
                  </a:graphic>
                </wp:inline>
              </w:drawing>
            </w:r>
          </w:p>
          <w:p w14:paraId="60AD9D06" w14:textId="47FC2580" w:rsidR="009E7DEF" w:rsidRPr="00C30E94" w:rsidRDefault="009E7DEF">
            <w:pPr>
              <w:ind w:right="66"/>
              <w:jc w:val="center"/>
              <w:rPr>
                <w:rFonts w:ascii="Arial" w:hAnsi="Arial" w:cs="Arial"/>
                <w:b/>
                <w:bCs/>
                <w:sz w:val="18"/>
                <w:szCs w:val="18"/>
              </w:rPr>
            </w:pPr>
          </w:p>
        </w:tc>
      </w:tr>
    </w:tbl>
    <w:p w14:paraId="32A8AC46" w14:textId="77777777" w:rsidR="009E7DEF" w:rsidRPr="00C30E94" w:rsidRDefault="009E7DEF" w:rsidP="009E7DEF">
      <w:pPr>
        <w:shd w:val="clear" w:color="auto" w:fill="FFFFFF"/>
        <w:jc w:val="center"/>
        <w:rPr>
          <w:rFonts w:ascii="Arial" w:hAnsi="Arial" w:cs="Arial"/>
          <w:b/>
          <w:bCs/>
          <w:sz w:val="10"/>
          <w:szCs w:val="10"/>
        </w:rPr>
      </w:pPr>
    </w:p>
    <w:p w14:paraId="080CB097" w14:textId="253E23A2" w:rsidR="009E7DEF" w:rsidRPr="00C30E94" w:rsidRDefault="009E7DEF" w:rsidP="003A54BB">
      <w:pPr>
        <w:shd w:val="clear" w:color="auto" w:fill="FFFFFF"/>
        <w:spacing w:after="120" w:line="264" w:lineRule="auto"/>
        <w:ind w:firstLine="720"/>
        <w:jc w:val="both"/>
      </w:pPr>
      <w:r w:rsidRPr="00C30E94">
        <w:rPr>
          <w:lang w:val="pl-PL"/>
        </w:rPr>
        <w:t>Một số sản phẩm công nghiệp chủ lực trong hai</w:t>
      </w:r>
      <w:r w:rsidRPr="00C30E94">
        <w:t xml:space="preserve"> tháng đầu năm </w:t>
      </w:r>
      <w:r w:rsidRPr="00C30E94">
        <w:rPr>
          <w:lang w:val="pl-PL"/>
        </w:rPr>
        <w:t>2025 tăng so với cùng kỳ năm trước: Ô tô tăng 106,5%; tivi tăng 58,1</w:t>
      </w:r>
      <w:r w:rsidRPr="00C30E94">
        <w:t xml:space="preserve">%; </w:t>
      </w:r>
      <w:r w:rsidRPr="00C30E94">
        <w:rPr>
          <w:lang w:val="pl-PL"/>
        </w:rPr>
        <w:t>vải dệt từ sợi tự nhiên tăng</w:t>
      </w:r>
      <w:r w:rsidRPr="00C30E94">
        <w:t xml:space="preserve"> 18,0%; xe máy tăng</w:t>
      </w:r>
      <w:r w:rsidRPr="00C30E94">
        <w:rPr>
          <w:lang w:val="pl-PL"/>
        </w:rPr>
        <w:t xml:space="preserve"> 17,9%; quần áo mặc thường tăng 14,0%; giày, dép da tăng 9,2</w:t>
      </w:r>
      <w:r w:rsidRPr="00C30E94">
        <w:t xml:space="preserve">%; </w:t>
      </w:r>
      <w:r w:rsidRPr="00C30E94">
        <w:rPr>
          <w:lang w:val="pl-PL"/>
        </w:rPr>
        <w:t>thức ăn cho thủy sản tăng</w:t>
      </w:r>
      <w:r w:rsidRPr="00C30E94">
        <w:t xml:space="preserve"> </w:t>
      </w:r>
      <w:r w:rsidRPr="00C30E94">
        <w:rPr>
          <w:lang w:val="pl-PL"/>
        </w:rPr>
        <w:t>7,2</w:t>
      </w:r>
      <w:r w:rsidRPr="00C30E94">
        <w:t xml:space="preserve">%; </w:t>
      </w:r>
      <w:r w:rsidRPr="00C30E94">
        <w:rPr>
          <w:lang w:val="pl-PL"/>
        </w:rPr>
        <w:t>phân hỗn hợp NPK tăng 6,9%</w:t>
      </w:r>
      <w:r w:rsidRPr="00C30E94">
        <w:t xml:space="preserve">; </w:t>
      </w:r>
      <w:r w:rsidRPr="00C30E94">
        <w:rPr>
          <w:lang w:val="pl-PL"/>
        </w:rPr>
        <w:t>xi măng tăng 6,6</w:t>
      </w:r>
      <w:r w:rsidRPr="00C30E94">
        <w:t>%.</w:t>
      </w:r>
      <w:r w:rsidRPr="00C30E94">
        <w:rPr>
          <w:lang w:val="pl-PL"/>
        </w:rPr>
        <w:t xml:space="preserve"> Ở chiều ngược lại, một số sản phẩm giảm so với cùng kỳ năm trước: Khí đốt thiên nhiên dạng khí giảm </w:t>
      </w:r>
      <w:r w:rsidR="00DC3944">
        <w:rPr>
          <w:lang w:val="pl-PL"/>
        </w:rPr>
        <w:t>15,8</w:t>
      </w:r>
      <w:r w:rsidRPr="00C30E94">
        <w:rPr>
          <w:lang w:val="pl-PL"/>
        </w:rPr>
        <w:t xml:space="preserve">%; dầu mỏ thô khai thác giảm </w:t>
      </w:r>
      <w:r w:rsidR="00DC3944">
        <w:rPr>
          <w:lang w:val="pl-PL"/>
        </w:rPr>
        <w:t>8,1</w:t>
      </w:r>
      <w:r w:rsidRPr="00C30E94">
        <w:rPr>
          <w:lang w:val="pl-PL"/>
        </w:rPr>
        <w:t>%; khí hóa lỏng LPG giảm 7,9%; xăng dầu giảm 4,5%; thép cán giảm 3,0%; thuốc lá điếu giảm 2,8%.</w:t>
      </w:r>
    </w:p>
    <w:p w14:paraId="69DF4ED2" w14:textId="5510A452" w:rsidR="009E7DEF" w:rsidRPr="00C30E94" w:rsidRDefault="009E7DEF" w:rsidP="003A54BB">
      <w:pPr>
        <w:spacing w:after="120" w:line="264" w:lineRule="auto"/>
        <w:ind w:firstLine="720"/>
        <w:jc w:val="both"/>
        <w:rPr>
          <w:b/>
          <w:bCs/>
          <w:lang w:val="pl-PL"/>
        </w:rPr>
      </w:pPr>
      <w:r w:rsidRPr="00C30E94">
        <w:rPr>
          <w:lang w:val="pl-PL"/>
        </w:rPr>
        <w:t>Số lao động đang làm việc trong các doanh nghiệp công nghiệp tại thời điểm 01/0</w:t>
      </w:r>
      <w:r w:rsidRPr="00C30E94">
        <w:t>2</w:t>
      </w:r>
      <w:r w:rsidRPr="00C30E94">
        <w:rPr>
          <w:lang w:val="pl-PL"/>
        </w:rPr>
        <w:t xml:space="preserve">/2025 tăng </w:t>
      </w:r>
      <w:r w:rsidRPr="00C30E94">
        <w:t>1,0</w:t>
      </w:r>
      <w:r w:rsidRPr="00C30E94">
        <w:rPr>
          <w:lang w:val="pl-PL"/>
        </w:rPr>
        <w:t xml:space="preserve">% so với cùng thời điểm tháng trước và </w:t>
      </w:r>
      <w:r w:rsidRPr="00C30E94">
        <w:t>tăng 4,4</w:t>
      </w:r>
      <w:r w:rsidRPr="00C30E94">
        <w:rPr>
          <w:lang w:val="pl-PL"/>
        </w:rPr>
        <w:t>% so với cùng thời điểm năm trước</w:t>
      </w:r>
      <w:r w:rsidRPr="00C30E94">
        <w:t>.</w:t>
      </w:r>
      <w:r w:rsidRPr="00C30E94">
        <w:rPr>
          <w:lang w:val="pl-PL"/>
        </w:rPr>
        <w:t xml:space="preserve"> </w:t>
      </w:r>
      <w:r w:rsidRPr="00C30E94">
        <w:t>T</w:t>
      </w:r>
      <w:r w:rsidRPr="00C30E94">
        <w:rPr>
          <w:lang w:val="pl-PL"/>
        </w:rPr>
        <w:t>rong đó</w:t>
      </w:r>
      <w:r w:rsidRPr="00C30E94">
        <w:t>,</w:t>
      </w:r>
      <w:r w:rsidRPr="00C30E94">
        <w:rPr>
          <w:lang w:val="pl-PL"/>
        </w:rPr>
        <w:t xml:space="preserve"> </w:t>
      </w:r>
      <w:r w:rsidRPr="00C30E94">
        <w:t>l</w:t>
      </w:r>
      <w:r w:rsidRPr="00C30E94">
        <w:rPr>
          <w:lang w:val="pl-PL"/>
        </w:rPr>
        <w:t>ao động khu vực doanh nghiệp Nhà nước không đổi so với tháng trước và tăng 0,3% so với cùng kỳ năm trước; doanh nghiệp ngoài Nhà nước tăng 0,4% và tăng 3,2%; doanh nghiệp có vốn đầu tư nước ngoài tăng 1,3% và tăng 5,2%. Theo ngành hoạt động, số lao động đang làm việc trong các doanh nghiệp ngành khai khoáng giảm 0,2% so với cùng thời điểm tháng trước và giảm 0,5% so với cùng thời điểm năm trước; ngành chế biến, chế tạo tăng 1,1% và tăng 4,8%; ngành sản xuất và phân phối điện, khí đốt, nước nóng, hơi nước và điều hòa không khí không đổi và tăng 0,1%; ngành cung cấp nước, hoạt động quản lý và xử lý rác thải, nước thải</w:t>
      </w:r>
      <w:r w:rsidRPr="00C30E94">
        <w:t xml:space="preserve"> </w:t>
      </w:r>
      <w:r w:rsidRPr="00C30E94">
        <w:rPr>
          <w:lang w:val="pl-PL"/>
        </w:rPr>
        <w:t>không đổi và tăng 1,3%.</w:t>
      </w:r>
    </w:p>
    <w:p w14:paraId="7DAD068A" w14:textId="76E60FAE" w:rsidR="00B63265" w:rsidRPr="00C30E94" w:rsidRDefault="0074440E" w:rsidP="00B63265">
      <w:pPr>
        <w:spacing w:after="120" w:line="264" w:lineRule="auto"/>
        <w:ind w:firstLine="720"/>
        <w:jc w:val="both"/>
        <w:rPr>
          <w:i/>
          <w:lang w:val="it-IT"/>
        </w:rPr>
      </w:pPr>
      <w:r w:rsidRPr="00C30E94">
        <w:rPr>
          <w:b/>
          <w:bCs/>
          <w:lang w:val="pl-PL"/>
        </w:rPr>
        <w:lastRenderedPageBreak/>
        <w:t xml:space="preserve">3. </w:t>
      </w:r>
      <w:r w:rsidR="00B63265" w:rsidRPr="00C30E94">
        <w:rPr>
          <w:b/>
          <w:bCs/>
          <w:lang w:val="pl-PL"/>
        </w:rPr>
        <w:t>Hoạt động của doanh nghiệp</w:t>
      </w:r>
      <w:r w:rsidR="00B63265" w:rsidRPr="00C30E94">
        <w:rPr>
          <w:b/>
          <w:iCs/>
          <w:vertAlign w:val="superscript"/>
        </w:rPr>
        <w:footnoteReference w:id="14"/>
      </w:r>
    </w:p>
    <w:p w14:paraId="71E0D12B" w14:textId="0540713B" w:rsidR="00B63265" w:rsidRPr="00C30E94" w:rsidRDefault="00B63265" w:rsidP="00B63265">
      <w:pPr>
        <w:spacing w:after="120" w:line="264" w:lineRule="auto"/>
        <w:ind w:firstLine="720"/>
        <w:jc w:val="both"/>
        <w:rPr>
          <w:lang w:val="it-IT"/>
        </w:rPr>
      </w:pPr>
      <w:r w:rsidRPr="00C30E94">
        <w:rPr>
          <w:lang w:val="it-IT"/>
        </w:rPr>
        <w:t>Trong tháng Hai, cả nước có hơn 10,1 nghìn doanh nghiệp thành lập mới với số vốn đăng ký gần 136,4 nghìn tỷ đồng và số lao động đăng ký hơn 59,1 nghìn lao động, giảm 4,9% về số doanh nghiệp, tăng 45,0% về vốn đăng ký và giảm 27,5% về số lao động so với tháng 01/2025. So với cùng kỳ năm trước, tăng 34,4% về số doanh nghiệp, gấp hơn 2,1 lần về số vốn đăng ký và giảm 23,3% về số lao động. Vốn đăng ký bình quân một doanh nghiệp thành lập mới trong tháng đạt 13,5 tỷ đồng, gấp hơn 1,5 lần so với tháng trước và gấp gần 1,6 lần so với cùng kỳ năm trước. Bên cạnh đó, cả nước còn có gần 7,1 nghìn doanh nghiệp quay trở lại hoạt động, giảm 69,1% so với tháng trước và tăng 32,1% so với cùng kỳ năm 2024.</w:t>
      </w:r>
    </w:p>
    <w:p w14:paraId="58C55455" w14:textId="5A4CFD56" w:rsidR="00B63265" w:rsidRPr="00C30E94" w:rsidRDefault="00B63265" w:rsidP="00B63265">
      <w:pPr>
        <w:spacing w:after="120" w:line="264" w:lineRule="auto"/>
        <w:ind w:firstLine="720"/>
        <w:jc w:val="both"/>
        <w:rPr>
          <w:lang w:val="it-IT"/>
        </w:rPr>
      </w:pPr>
      <w:r w:rsidRPr="00C30E94">
        <w:rPr>
          <w:lang w:val="it-IT"/>
        </w:rPr>
        <w:t xml:space="preserve">Tính chung hai tháng đầu năm 2025, cả nước có gần 20,8 nghìn doanh nghiệp đăng ký thành lập mới với tổng số vốn đăng ký hơn 230,4 nghìn tỷ đồng và tổng số lao động đăng ký gần 140,7 nghìn lao động, giảm 8,9% về số doanh nghiệp, tăng 4,9% về vốn đăng ký và giảm 22,7% về số lao động so với cùng kỳ năm trước. Vốn đăng ký bình quân một doanh </w:t>
      </w:r>
      <w:r w:rsidRPr="008E5586">
        <w:rPr>
          <w:lang w:val="it-IT"/>
        </w:rPr>
        <w:t xml:space="preserve">nghiệp thành lập mới trong hai tháng đầu năm nay đạt 11,1 tỷ đồng, tăng 15,1% so với cùng kỳ năm 2024. Tổng số vốn đăng ký bổ sung vào nền kinh tế trong hai tháng đầu năm là </w:t>
      </w:r>
      <w:r w:rsidR="008E5586" w:rsidRPr="008E5586">
        <w:rPr>
          <w:lang w:val="it-IT"/>
        </w:rPr>
        <w:t>709,4</w:t>
      </w:r>
      <w:r w:rsidRPr="008E5586">
        <w:rPr>
          <w:lang w:val="it-IT"/>
        </w:rPr>
        <w:t xml:space="preserve"> nghìn tỷ đồng, </w:t>
      </w:r>
      <w:r w:rsidR="008E5586" w:rsidRPr="008E5586">
        <w:rPr>
          <w:lang w:val="it-IT"/>
        </w:rPr>
        <w:t>66,1</w:t>
      </w:r>
      <w:r w:rsidRPr="008E5586">
        <w:rPr>
          <w:lang w:val="it-IT"/>
        </w:rPr>
        <w:t>% so với cùng kỳ năm 2024. Bên cạnh đó, cả nước có gần 29,1 nghìn doanh nghiệp quay trở lại hoạt động (tăng 53,2% so với</w:t>
      </w:r>
      <w:r w:rsidRPr="00C30E94">
        <w:rPr>
          <w:lang w:val="it-IT"/>
        </w:rPr>
        <w:t xml:space="preserve"> cùng kỳ năm 2024), nâng tổng số doanh nghiệp thành lập mới và quay trở lại hoạt động trong hai tháng đầu năm 2025 lên hơn 49,8 nghìn doanh nghiệp, tăng 19,3% so với cùng kỳ năm 2024. Bình quân một tháng có hơn 24,9 nghìn doanh nghiệp thành lập mới và quay trở lại hoạt động.</w:t>
      </w:r>
    </w:p>
    <w:p w14:paraId="5BFE6AAD" w14:textId="13CC3594" w:rsidR="00E96459" w:rsidRDefault="00E96459" w:rsidP="00E96459">
      <w:pPr>
        <w:spacing w:after="120" w:line="264" w:lineRule="auto"/>
        <w:ind w:firstLine="567"/>
        <w:jc w:val="both"/>
        <w:rPr>
          <w:spacing w:val="-3"/>
          <w:lang w:val="it-IT"/>
        </w:rPr>
      </w:pPr>
      <w:r w:rsidRPr="00E544B3">
        <w:rPr>
          <w:spacing w:val="-2"/>
          <w:lang w:val="it-IT"/>
        </w:rPr>
        <w:t xml:space="preserve">Theo khu vực kinh tế, trong hai tháng đầu năm 2025 có 179 doanh nghiệp thành lập mới thuộc khu vực nông, lâm nghiệp và thủy sản, giảm 25,7% so với cùng kỳ năm trước; gần 4,8 nghìn doanh nghiệp thuộc khu vực công nghiệp và xây </w:t>
      </w:r>
      <w:r w:rsidRPr="00E544B3">
        <w:rPr>
          <w:spacing w:val="-3"/>
          <w:lang w:val="it-IT"/>
        </w:rPr>
        <w:t>dựng, giảm 11,7%; hơn 15,8 nghìn doanh nghiệp thuộc khu vực dịch vụ, giảm 7,8%.</w:t>
      </w:r>
    </w:p>
    <w:p w14:paraId="7F61C1E3" w14:textId="77777777" w:rsidR="001D362A" w:rsidRPr="00C30E94" w:rsidRDefault="001D362A" w:rsidP="001D362A">
      <w:pPr>
        <w:spacing w:after="120" w:line="264" w:lineRule="auto"/>
        <w:ind w:firstLine="720"/>
        <w:jc w:val="both"/>
        <w:rPr>
          <w:lang w:val="it-IT"/>
        </w:rPr>
      </w:pPr>
      <w:r w:rsidRPr="00C30E94">
        <w:rPr>
          <w:lang w:val="it-IT"/>
        </w:rPr>
        <w:t xml:space="preserve">Cũng trong tháng Hai, có 3.554 doanh nghiệp đăng ký tạm ngừng kinh doanh có thời hạn, giảm 93,3% so với tháng trước và giảm 30,9% so với cùng kỳ năm 2024; </w:t>
      </w:r>
      <w:r>
        <w:rPr>
          <w:lang w:val="it-IT"/>
        </w:rPr>
        <w:t xml:space="preserve">có </w:t>
      </w:r>
      <w:r w:rsidRPr="00C30E94">
        <w:rPr>
          <w:lang w:val="it-IT"/>
        </w:rPr>
        <w:t xml:space="preserve">2.971 doanh nghiệp ngừng hoạt động chờ làm thủ tục giải thể, giảm 14,9% và tăng 38,0%; có 1.737 doanh nghiệp hoàn tất thủ tục giải thể, giảm 14,1% và tăng 44,4%. </w:t>
      </w:r>
    </w:p>
    <w:p w14:paraId="4FBBBEB8" w14:textId="4A76BD99" w:rsidR="00B63265" w:rsidRPr="00C30E94" w:rsidRDefault="00B63265" w:rsidP="00B63265">
      <w:pPr>
        <w:spacing w:after="120" w:line="264" w:lineRule="auto"/>
        <w:jc w:val="center"/>
        <w:rPr>
          <w:lang w:val="it-IT"/>
        </w:rPr>
      </w:pPr>
      <w:r w:rsidRPr="00C30E94">
        <w:rPr>
          <w:rFonts w:ascii="Arial" w:hAnsi="Arial" w:cs="Arial"/>
          <w:b/>
          <w:sz w:val="24"/>
          <w:szCs w:val="24"/>
          <w:lang w:val="it-IT"/>
        </w:rPr>
        <w:lastRenderedPageBreak/>
        <w:t>Hình 5. Tình hình đăng ký doanh nghiệp</w:t>
      </w:r>
      <w:r w:rsidRPr="00C30E94">
        <w:rPr>
          <w:lang w:val="it-IT"/>
        </w:rPr>
        <w:t xml:space="preserve"> </w:t>
      </w:r>
    </w:p>
    <w:p w14:paraId="71D42680" w14:textId="77777777" w:rsidR="00B63265" w:rsidRPr="00C30E94" w:rsidRDefault="00B63265" w:rsidP="00B63265">
      <w:pPr>
        <w:spacing w:after="120" w:line="264" w:lineRule="auto"/>
        <w:jc w:val="center"/>
        <w:rPr>
          <w:lang w:val="it-IT"/>
        </w:rPr>
      </w:pPr>
      <w:r w:rsidRPr="00C30E94">
        <w:rPr>
          <w:noProof/>
          <w:lang w:val="en-US"/>
        </w:rPr>
        <w:drawing>
          <wp:inline distT="0" distB="0" distL="0" distR="0" wp14:anchorId="165A8512" wp14:editId="29AFB49E">
            <wp:extent cx="4572000" cy="2181225"/>
            <wp:effectExtent l="0" t="0" r="0" b="9525"/>
            <wp:docPr id="1622223883"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23883" name="Picture 1" descr="A screenshot of a cell phon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80" b="62892"/>
                    <a:stretch/>
                  </pic:blipFill>
                  <pic:spPr bwMode="auto">
                    <a:xfrm>
                      <a:off x="0" y="0"/>
                      <a:ext cx="4572000"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14D0E836" w14:textId="210B0504" w:rsidR="00B63265" w:rsidRPr="00C30E94" w:rsidRDefault="00B63265" w:rsidP="00B63265">
      <w:pPr>
        <w:spacing w:after="120" w:line="264" w:lineRule="auto"/>
        <w:ind w:firstLine="720"/>
        <w:jc w:val="both"/>
        <w:rPr>
          <w:lang w:val="it-IT"/>
        </w:rPr>
      </w:pPr>
      <w:r w:rsidRPr="00C30E94">
        <w:rPr>
          <w:lang w:val="it-IT"/>
        </w:rPr>
        <w:t>Tính chung hai tháng đầu năm 2025,</w:t>
      </w:r>
      <w:r w:rsidR="0069774E" w:rsidRPr="00C30E94">
        <w:rPr>
          <w:lang w:val="it-IT"/>
        </w:rPr>
        <w:t xml:space="preserve"> có</w:t>
      </w:r>
      <w:r w:rsidRPr="00C30E94">
        <w:rPr>
          <w:lang w:val="it-IT"/>
        </w:rPr>
        <w:t xml:space="preserve"> </w:t>
      </w:r>
      <w:r w:rsidR="0069774E" w:rsidRPr="00C30E94">
        <w:rPr>
          <w:lang w:val="it-IT"/>
        </w:rPr>
        <w:t>gần 56,9 nghìn doanh nghiệp</w:t>
      </w:r>
      <w:r w:rsidRPr="00C30E94">
        <w:rPr>
          <w:lang w:val="it-IT"/>
        </w:rPr>
        <w:t xml:space="preserve"> tạm ngừng kinh doanh có thời hạn, tăng 15,5% so với cùng kỳ năm trước; gần 6,4 nghìn doanh nghiệp ngừng hoạt động chờ làm thủ tục giải thể, giảm 36,</w:t>
      </w:r>
      <w:r w:rsidR="006A6EBC">
        <w:rPr>
          <w:lang w:val="it-IT"/>
        </w:rPr>
        <w:t>3</w:t>
      </w:r>
      <w:r w:rsidRPr="00C30E94">
        <w:rPr>
          <w:lang w:val="it-IT"/>
        </w:rPr>
        <w:t>%; gần 3,8 nghìn doanh nghiệp hoàn tất thủ tục giải thể, tăng 10,3%. Bình quân một tháng có hơn 33,5 nghìn doanh nghiệp rút lui khỏi thị trường.</w:t>
      </w:r>
    </w:p>
    <w:p w14:paraId="2D692095" w14:textId="54A0EB4F" w:rsidR="00B63265" w:rsidRPr="00C30E94" w:rsidRDefault="00B63265" w:rsidP="00B63265">
      <w:pPr>
        <w:tabs>
          <w:tab w:val="left" w:pos="6810"/>
        </w:tabs>
        <w:spacing w:after="120" w:line="264" w:lineRule="auto"/>
        <w:jc w:val="center"/>
        <w:rPr>
          <w:rFonts w:ascii="Arial" w:hAnsi="Arial" w:cs="Arial"/>
          <w:b/>
          <w:sz w:val="24"/>
          <w:szCs w:val="20"/>
          <w:lang w:val="it-IT"/>
        </w:rPr>
      </w:pPr>
      <w:r w:rsidRPr="00C30E94">
        <w:rPr>
          <w:rFonts w:ascii="Arial" w:hAnsi="Arial" w:cs="Arial"/>
          <w:b/>
          <w:sz w:val="24"/>
          <w:szCs w:val="20"/>
          <w:lang w:val="it-IT"/>
        </w:rPr>
        <w:t xml:space="preserve">Biểu </w:t>
      </w:r>
      <w:r w:rsidR="001D362A">
        <w:rPr>
          <w:rFonts w:ascii="Arial" w:hAnsi="Arial" w:cs="Arial"/>
          <w:b/>
          <w:sz w:val="24"/>
          <w:szCs w:val="20"/>
          <w:lang w:val="it-IT"/>
        </w:rPr>
        <w:t>2</w:t>
      </w:r>
      <w:r w:rsidRPr="00C30E94">
        <w:rPr>
          <w:rFonts w:ascii="Arial" w:hAnsi="Arial" w:cs="Arial"/>
          <w:b/>
          <w:sz w:val="24"/>
          <w:szCs w:val="20"/>
          <w:lang w:val="it-IT"/>
        </w:rPr>
        <w:t xml:space="preserve">. Doanh nghiệp thành lập mới và giải thể </w:t>
      </w:r>
      <w:r w:rsidR="001D362A">
        <w:rPr>
          <w:rFonts w:ascii="Arial" w:hAnsi="Arial" w:cs="Arial"/>
          <w:b/>
          <w:sz w:val="24"/>
          <w:szCs w:val="20"/>
          <w:lang w:val="it-IT"/>
        </w:rPr>
        <w:t>02</w:t>
      </w:r>
      <w:r w:rsidRPr="00C30E94">
        <w:rPr>
          <w:rFonts w:ascii="Arial" w:hAnsi="Arial" w:cs="Arial"/>
          <w:b/>
          <w:sz w:val="24"/>
          <w:szCs w:val="20"/>
          <w:lang w:val="it-IT"/>
        </w:rPr>
        <w:t xml:space="preserve"> tháng đầu năm 2025                                   phân theo một số lĩnh vực hoạt động</w:t>
      </w:r>
    </w:p>
    <w:p w14:paraId="3513BA1D" w14:textId="77777777" w:rsidR="00B63265" w:rsidRPr="00C30E94" w:rsidRDefault="00B63265" w:rsidP="00B63265">
      <w:pPr>
        <w:tabs>
          <w:tab w:val="left" w:pos="6810"/>
        </w:tabs>
        <w:spacing w:after="120" w:line="264"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E96459" w:rsidRPr="00E544B3" w14:paraId="446BCC7D" w14:textId="77777777" w:rsidTr="00DB4D6C">
        <w:trPr>
          <w:cantSplit/>
          <w:jc w:val="center"/>
        </w:trPr>
        <w:tc>
          <w:tcPr>
            <w:tcW w:w="3958" w:type="dxa"/>
            <w:vMerge w:val="restart"/>
            <w:tcBorders>
              <w:top w:val="single" w:sz="4" w:space="0" w:color="auto"/>
            </w:tcBorders>
            <w:shd w:val="clear" w:color="auto" w:fill="auto"/>
            <w:noWrap/>
            <w:vAlign w:val="bottom"/>
            <w:hideMark/>
          </w:tcPr>
          <w:p w14:paraId="23C37138" w14:textId="77777777" w:rsidR="00E96459" w:rsidRPr="00E544B3" w:rsidRDefault="00E96459" w:rsidP="00DB4D6C">
            <w:pPr>
              <w:spacing w:after="120" w:line="264" w:lineRule="auto"/>
              <w:jc w:val="center"/>
              <w:rPr>
                <w:rFonts w:ascii="Arial" w:hAnsi="Arial" w:cs="Arial"/>
                <w:sz w:val="20"/>
                <w:szCs w:val="20"/>
                <w:lang w:val="it-IT"/>
              </w:rPr>
            </w:pPr>
            <w:r w:rsidRPr="00E544B3">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1BDB3A40" w14:textId="77777777" w:rsidR="00E96459" w:rsidRPr="00E544B3" w:rsidRDefault="00E96459" w:rsidP="00DB4D6C">
            <w:pPr>
              <w:spacing w:after="120" w:line="264" w:lineRule="auto"/>
              <w:jc w:val="center"/>
              <w:rPr>
                <w:rFonts w:ascii="Arial" w:hAnsi="Arial" w:cs="Arial"/>
                <w:bCs/>
                <w:sz w:val="20"/>
                <w:szCs w:val="20"/>
                <w:lang w:val="it-IT"/>
              </w:rPr>
            </w:pPr>
            <w:r w:rsidRPr="00E544B3">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445678F9" w14:textId="77777777" w:rsidR="00E96459" w:rsidRPr="00E544B3" w:rsidRDefault="00E96459" w:rsidP="00DB4D6C">
            <w:pPr>
              <w:spacing w:after="120" w:line="264" w:lineRule="auto"/>
              <w:jc w:val="center"/>
              <w:rPr>
                <w:rFonts w:ascii="Arial" w:hAnsi="Arial" w:cs="Arial"/>
                <w:bCs/>
                <w:sz w:val="20"/>
                <w:szCs w:val="20"/>
                <w:lang w:val="it-IT"/>
              </w:rPr>
            </w:pPr>
            <w:r w:rsidRPr="00E544B3">
              <w:rPr>
                <w:rFonts w:ascii="Arial" w:hAnsi="Arial" w:cs="Arial"/>
                <w:bCs/>
                <w:sz w:val="20"/>
                <w:szCs w:val="20"/>
                <w:lang w:val="it-IT"/>
              </w:rPr>
              <w:t>Tốc độ tăng/giảm so với cùng kỳ năm trước (%)</w:t>
            </w:r>
          </w:p>
        </w:tc>
      </w:tr>
      <w:tr w:rsidR="00E96459" w:rsidRPr="00E544B3" w14:paraId="500526F3" w14:textId="77777777" w:rsidTr="00DB4D6C">
        <w:trPr>
          <w:cantSplit/>
          <w:jc w:val="center"/>
        </w:trPr>
        <w:tc>
          <w:tcPr>
            <w:tcW w:w="3958" w:type="dxa"/>
            <w:vMerge/>
            <w:vAlign w:val="center"/>
            <w:hideMark/>
          </w:tcPr>
          <w:p w14:paraId="76909DB1" w14:textId="77777777" w:rsidR="00E96459" w:rsidRPr="00E544B3" w:rsidRDefault="00E96459" w:rsidP="00DB4D6C">
            <w:pPr>
              <w:spacing w:after="120" w:line="264" w:lineRule="auto"/>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24FE77AE" w14:textId="77777777" w:rsidR="00E96459" w:rsidRPr="00E544B3" w:rsidRDefault="00E96459" w:rsidP="00DB4D6C">
            <w:pPr>
              <w:spacing w:after="120" w:line="264" w:lineRule="auto"/>
              <w:jc w:val="center"/>
              <w:rPr>
                <w:rFonts w:ascii="Arial" w:hAnsi="Arial" w:cs="Arial"/>
                <w:bCs/>
                <w:sz w:val="20"/>
                <w:szCs w:val="20"/>
              </w:rPr>
            </w:pPr>
            <w:r w:rsidRPr="00E544B3">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514202BC" w14:textId="77777777" w:rsidR="00E96459" w:rsidRPr="00E544B3" w:rsidRDefault="00E96459" w:rsidP="00DB4D6C">
            <w:pPr>
              <w:spacing w:after="120" w:line="264" w:lineRule="auto"/>
              <w:jc w:val="center"/>
              <w:rPr>
                <w:rFonts w:ascii="Arial" w:hAnsi="Arial" w:cs="Arial"/>
                <w:bCs/>
                <w:sz w:val="20"/>
                <w:szCs w:val="20"/>
              </w:rPr>
            </w:pPr>
            <w:r w:rsidRPr="00E544B3">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6C6FCCCC" w14:textId="77777777" w:rsidR="00E96459" w:rsidRPr="00E544B3" w:rsidRDefault="00E96459" w:rsidP="00DB4D6C">
            <w:pPr>
              <w:spacing w:after="120" w:line="264" w:lineRule="auto"/>
              <w:jc w:val="center"/>
              <w:rPr>
                <w:rFonts w:ascii="Arial" w:hAnsi="Arial" w:cs="Arial"/>
                <w:bCs/>
                <w:sz w:val="20"/>
                <w:szCs w:val="20"/>
              </w:rPr>
            </w:pPr>
            <w:r w:rsidRPr="00E544B3">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18109A89" w14:textId="77777777" w:rsidR="00E96459" w:rsidRPr="00E544B3" w:rsidRDefault="00E96459" w:rsidP="00DB4D6C">
            <w:pPr>
              <w:spacing w:after="120" w:line="264" w:lineRule="auto"/>
              <w:jc w:val="center"/>
              <w:rPr>
                <w:rFonts w:ascii="Arial" w:hAnsi="Arial" w:cs="Arial"/>
                <w:bCs/>
                <w:sz w:val="20"/>
                <w:szCs w:val="20"/>
              </w:rPr>
            </w:pPr>
            <w:r w:rsidRPr="00E544B3">
              <w:rPr>
                <w:rFonts w:ascii="Arial" w:hAnsi="Arial" w:cs="Arial"/>
                <w:bCs/>
                <w:sz w:val="20"/>
                <w:szCs w:val="20"/>
              </w:rPr>
              <w:t>Giải thể</w:t>
            </w:r>
          </w:p>
        </w:tc>
      </w:tr>
      <w:tr w:rsidR="00E96459" w:rsidRPr="00E544B3" w14:paraId="074FE6A1" w14:textId="77777777" w:rsidTr="00DB4D6C">
        <w:trPr>
          <w:cantSplit/>
          <w:jc w:val="center"/>
        </w:trPr>
        <w:tc>
          <w:tcPr>
            <w:tcW w:w="3958" w:type="dxa"/>
            <w:shd w:val="clear" w:color="auto" w:fill="auto"/>
            <w:noWrap/>
            <w:vAlign w:val="bottom"/>
            <w:hideMark/>
          </w:tcPr>
          <w:p w14:paraId="70B4266B" w14:textId="77777777" w:rsidR="00E96459" w:rsidRPr="00E544B3" w:rsidRDefault="00E96459" w:rsidP="00DB4D6C">
            <w:pPr>
              <w:spacing w:after="120" w:line="264" w:lineRule="auto"/>
              <w:rPr>
                <w:rFonts w:ascii="Arial" w:hAnsi="Arial" w:cs="Arial"/>
                <w:sz w:val="20"/>
                <w:szCs w:val="20"/>
              </w:rPr>
            </w:pPr>
            <w:r w:rsidRPr="00E544B3">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4A32D786"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7.153</w:t>
            </w:r>
          </w:p>
        </w:tc>
        <w:tc>
          <w:tcPr>
            <w:tcW w:w="1182" w:type="dxa"/>
            <w:tcBorders>
              <w:top w:val="single" w:sz="4" w:space="0" w:color="auto"/>
            </w:tcBorders>
            <w:shd w:val="clear" w:color="auto" w:fill="auto"/>
            <w:noWrap/>
          </w:tcPr>
          <w:p w14:paraId="1B8304E0"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1.392</w:t>
            </w:r>
          </w:p>
        </w:tc>
        <w:tc>
          <w:tcPr>
            <w:tcW w:w="1511" w:type="dxa"/>
            <w:tcBorders>
              <w:top w:val="single" w:sz="4" w:space="0" w:color="auto"/>
            </w:tcBorders>
            <w:shd w:val="clear" w:color="auto" w:fill="auto"/>
            <w:noWrap/>
            <w:vAlign w:val="bottom"/>
          </w:tcPr>
          <w:p w14:paraId="0C5ECD03" w14:textId="77777777" w:rsidR="00E96459" w:rsidRPr="00E544B3" w:rsidRDefault="00E96459" w:rsidP="00DB4D6C">
            <w:pPr>
              <w:spacing w:after="120" w:line="264" w:lineRule="auto"/>
              <w:ind w:right="316"/>
              <w:jc w:val="right"/>
              <w:rPr>
                <w:rFonts w:ascii="Arial" w:hAnsi="Arial" w:cs="Arial"/>
                <w:sz w:val="20"/>
                <w:szCs w:val="20"/>
              </w:rPr>
            </w:pPr>
            <w:r>
              <w:rPr>
                <w:rFonts w:ascii="Arial" w:hAnsi="Arial" w:cs="Arial"/>
                <w:sz w:val="20"/>
                <w:szCs w:val="20"/>
              </w:rPr>
              <w:t>-22,9</w:t>
            </w:r>
          </w:p>
        </w:tc>
        <w:tc>
          <w:tcPr>
            <w:tcW w:w="988" w:type="dxa"/>
            <w:tcBorders>
              <w:top w:val="single" w:sz="4" w:space="0" w:color="auto"/>
            </w:tcBorders>
            <w:shd w:val="clear" w:color="auto" w:fill="auto"/>
            <w:noWrap/>
            <w:vAlign w:val="bottom"/>
          </w:tcPr>
          <w:p w14:paraId="2BEB9214"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9,1</w:t>
            </w:r>
          </w:p>
        </w:tc>
      </w:tr>
      <w:tr w:rsidR="00E96459" w:rsidRPr="00E544B3" w14:paraId="65022CF5" w14:textId="77777777" w:rsidTr="00DB4D6C">
        <w:trPr>
          <w:cantSplit/>
          <w:jc w:val="center"/>
        </w:trPr>
        <w:tc>
          <w:tcPr>
            <w:tcW w:w="3958" w:type="dxa"/>
            <w:shd w:val="clear" w:color="auto" w:fill="auto"/>
            <w:noWrap/>
            <w:vAlign w:val="bottom"/>
            <w:hideMark/>
          </w:tcPr>
          <w:p w14:paraId="1F4F6E68" w14:textId="77777777" w:rsidR="00E96459" w:rsidRPr="00E544B3" w:rsidRDefault="00E96459" w:rsidP="00DB4D6C">
            <w:pPr>
              <w:spacing w:after="120" w:line="264" w:lineRule="auto"/>
              <w:rPr>
                <w:rFonts w:ascii="Arial" w:hAnsi="Arial" w:cs="Arial"/>
                <w:sz w:val="20"/>
                <w:szCs w:val="20"/>
              </w:rPr>
            </w:pPr>
            <w:r w:rsidRPr="00E544B3">
              <w:rPr>
                <w:rFonts w:ascii="Arial" w:hAnsi="Arial" w:cs="Arial"/>
                <w:sz w:val="20"/>
                <w:szCs w:val="20"/>
              </w:rPr>
              <w:t>Công nghiệp chế biến chế tạo</w:t>
            </w:r>
          </w:p>
        </w:tc>
        <w:tc>
          <w:tcPr>
            <w:tcW w:w="1571" w:type="dxa"/>
            <w:shd w:val="clear" w:color="auto" w:fill="auto"/>
            <w:noWrap/>
          </w:tcPr>
          <w:p w14:paraId="454B3CEF"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2.641</w:t>
            </w:r>
          </w:p>
        </w:tc>
        <w:tc>
          <w:tcPr>
            <w:tcW w:w="1182" w:type="dxa"/>
            <w:shd w:val="clear" w:color="auto" w:fill="auto"/>
            <w:noWrap/>
          </w:tcPr>
          <w:p w14:paraId="726D7CA8"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430</w:t>
            </w:r>
          </w:p>
        </w:tc>
        <w:tc>
          <w:tcPr>
            <w:tcW w:w="1511" w:type="dxa"/>
            <w:shd w:val="clear" w:color="auto" w:fill="auto"/>
            <w:noWrap/>
            <w:vAlign w:val="bottom"/>
          </w:tcPr>
          <w:p w14:paraId="6D541F15" w14:textId="77777777" w:rsidR="00E96459" w:rsidRPr="00E544B3" w:rsidRDefault="00E96459" w:rsidP="00DB4D6C">
            <w:pPr>
              <w:spacing w:after="120" w:line="264" w:lineRule="auto"/>
              <w:ind w:right="316"/>
              <w:jc w:val="right"/>
              <w:rPr>
                <w:rFonts w:ascii="Arial" w:hAnsi="Arial" w:cs="Arial"/>
                <w:sz w:val="20"/>
                <w:szCs w:val="20"/>
              </w:rPr>
            </w:pPr>
            <w:r>
              <w:rPr>
                <w:rFonts w:ascii="Arial" w:hAnsi="Arial" w:cs="Arial"/>
                <w:sz w:val="20"/>
                <w:szCs w:val="20"/>
              </w:rPr>
              <w:t>-2,6</w:t>
            </w:r>
          </w:p>
        </w:tc>
        <w:tc>
          <w:tcPr>
            <w:tcW w:w="988" w:type="dxa"/>
            <w:shd w:val="clear" w:color="auto" w:fill="auto"/>
            <w:noWrap/>
            <w:vAlign w:val="bottom"/>
          </w:tcPr>
          <w:p w14:paraId="4F3951C1"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13,8</w:t>
            </w:r>
          </w:p>
        </w:tc>
      </w:tr>
      <w:tr w:rsidR="00E96459" w:rsidRPr="00E544B3" w14:paraId="44BB1596" w14:textId="77777777" w:rsidTr="00DB4D6C">
        <w:trPr>
          <w:cantSplit/>
          <w:jc w:val="center"/>
        </w:trPr>
        <w:tc>
          <w:tcPr>
            <w:tcW w:w="3958" w:type="dxa"/>
            <w:shd w:val="clear" w:color="auto" w:fill="auto"/>
            <w:noWrap/>
            <w:vAlign w:val="bottom"/>
            <w:hideMark/>
          </w:tcPr>
          <w:p w14:paraId="1F8396A9" w14:textId="77777777" w:rsidR="00E96459" w:rsidRPr="00E544B3" w:rsidRDefault="00E96459" w:rsidP="00DB4D6C">
            <w:pPr>
              <w:spacing w:after="120" w:line="264" w:lineRule="auto"/>
              <w:rPr>
                <w:rFonts w:ascii="Arial" w:hAnsi="Arial" w:cs="Arial"/>
                <w:sz w:val="20"/>
                <w:szCs w:val="20"/>
              </w:rPr>
            </w:pPr>
            <w:r w:rsidRPr="00E544B3">
              <w:rPr>
                <w:rFonts w:ascii="Arial" w:hAnsi="Arial" w:cs="Arial"/>
                <w:sz w:val="20"/>
                <w:szCs w:val="20"/>
              </w:rPr>
              <w:t>Xây dựng</w:t>
            </w:r>
          </w:p>
        </w:tc>
        <w:tc>
          <w:tcPr>
            <w:tcW w:w="1571" w:type="dxa"/>
            <w:shd w:val="clear" w:color="auto" w:fill="auto"/>
            <w:noWrap/>
          </w:tcPr>
          <w:p w14:paraId="16379B34"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1.923</w:t>
            </w:r>
          </w:p>
        </w:tc>
        <w:tc>
          <w:tcPr>
            <w:tcW w:w="1182" w:type="dxa"/>
            <w:shd w:val="clear" w:color="auto" w:fill="auto"/>
            <w:noWrap/>
          </w:tcPr>
          <w:p w14:paraId="6E49CA24"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261</w:t>
            </w:r>
          </w:p>
        </w:tc>
        <w:tc>
          <w:tcPr>
            <w:tcW w:w="1511" w:type="dxa"/>
            <w:shd w:val="clear" w:color="auto" w:fill="auto"/>
            <w:noWrap/>
            <w:vAlign w:val="bottom"/>
          </w:tcPr>
          <w:p w14:paraId="1FDCC662" w14:textId="77777777" w:rsidR="00E96459" w:rsidRPr="00E544B3" w:rsidRDefault="00E96459" w:rsidP="00DB4D6C">
            <w:pPr>
              <w:spacing w:after="120" w:line="264" w:lineRule="auto"/>
              <w:ind w:right="316"/>
              <w:jc w:val="right"/>
              <w:rPr>
                <w:rFonts w:ascii="Arial" w:hAnsi="Arial" w:cs="Arial"/>
                <w:sz w:val="20"/>
                <w:szCs w:val="20"/>
              </w:rPr>
            </w:pPr>
            <w:r>
              <w:rPr>
                <w:rFonts w:ascii="Arial" w:hAnsi="Arial" w:cs="Arial"/>
                <w:sz w:val="20"/>
                <w:szCs w:val="20"/>
              </w:rPr>
              <w:t>-21,1</w:t>
            </w:r>
          </w:p>
        </w:tc>
        <w:tc>
          <w:tcPr>
            <w:tcW w:w="988" w:type="dxa"/>
            <w:shd w:val="clear" w:color="auto" w:fill="auto"/>
            <w:noWrap/>
            <w:vAlign w:val="bottom"/>
          </w:tcPr>
          <w:p w14:paraId="73B36874"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4,8</w:t>
            </w:r>
          </w:p>
        </w:tc>
      </w:tr>
      <w:tr w:rsidR="00E96459" w:rsidRPr="00E544B3" w14:paraId="65D8AFC2" w14:textId="77777777" w:rsidTr="00DB4D6C">
        <w:trPr>
          <w:cantSplit/>
          <w:jc w:val="center"/>
        </w:trPr>
        <w:tc>
          <w:tcPr>
            <w:tcW w:w="3958" w:type="dxa"/>
            <w:shd w:val="clear" w:color="auto" w:fill="auto"/>
            <w:noWrap/>
            <w:vAlign w:val="bottom"/>
            <w:hideMark/>
          </w:tcPr>
          <w:p w14:paraId="5838079D" w14:textId="77777777" w:rsidR="00E96459" w:rsidRPr="00E544B3" w:rsidRDefault="00E96459" w:rsidP="00DB4D6C">
            <w:pPr>
              <w:spacing w:after="120" w:line="264" w:lineRule="auto"/>
              <w:rPr>
                <w:rFonts w:ascii="Arial" w:hAnsi="Arial" w:cs="Arial"/>
                <w:sz w:val="20"/>
                <w:szCs w:val="20"/>
              </w:rPr>
            </w:pPr>
            <w:r w:rsidRPr="00E544B3">
              <w:rPr>
                <w:rFonts w:ascii="Arial" w:hAnsi="Arial" w:cs="Arial"/>
                <w:sz w:val="20"/>
                <w:szCs w:val="20"/>
              </w:rPr>
              <w:t>Kinh doanh bất động sản</w:t>
            </w:r>
          </w:p>
        </w:tc>
        <w:tc>
          <w:tcPr>
            <w:tcW w:w="1571" w:type="dxa"/>
            <w:shd w:val="clear" w:color="auto" w:fill="auto"/>
            <w:noWrap/>
          </w:tcPr>
          <w:p w14:paraId="7888EFFE"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492</w:t>
            </w:r>
          </w:p>
        </w:tc>
        <w:tc>
          <w:tcPr>
            <w:tcW w:w="1182" w:type="dxa"/>
            <w:shd w:val="clear" w:color="auto" w:fill="auto"/>
            <w:noWrap/>
          </w:tcPr>
          <w:p w14:paraId="386BDAEF"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230</w:t>
            </w:r>
          </w:p>
        </w:tc>
        <w:tc>
          <w:tcPr>
            <w:tcW w:w="1511" w:type="dxa"/>
            <w:shd w:val="clear" w:color="auto" w:fill="auto"/>
            <w:noWrap/>
            <w:vAlign w:val="bottom"/>
          </w:tcPr>
          <w:p w14:paraId="1CBADFD0" w14:textId="77777777" w:rsidR="00E96459" w:rsidRPr="00E544B3" w:rsidRDefault="00E96459" w:rsidP="00DB4D6C">
            <w:pPr>
              <w:spacing w:after="120" w:line="264" w:lineRule="auto"/>
              <w:ind w:right="316"/>
              <w:jc w:val="right"/>
              <w:rPr>
                <w:rFonts w:ascii="Arial" w:hAnsi="Arial" w:cs="Arial"/>
                <w:sz w:val="20"/>
                <w:szCs w:val="20"/>
              </w:rPr>
            </w:pPr>
            <w:r>
              <w:rPr>
                <w:rFonts w:ascii="Arial" w:hAnsi="Arial" w:cs="Arial"/>
                <w:sz w:val="20"/>
                <w:szCs w:val="20"/>
              </w:rPr>
              <w:t>-9,7</w:t>
            </w:r>
          </w:p>
        </w:tc>
        <w:tc>
          <w:tcPr>
            <w:tcW w:w="988" w:type="dxa"/>
            <w:shd w:val="clear" w:color="auto" w:fill="auto"/>
            <w:noWrap/>
            <w:vAlign w:val="bottom"/>
          </w:tcPr>
          <w:p w14:paraId="4828F1FF"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2,7</w:t>
            </w:r>
          </w:p>
        </w:tc>
      </w:tr>
      <w:tr w:rsidR="00E96459" w:rsidRPr="00E544B3" w14:paraId="7616AED8" w14:textId="77777777" w:rsidTr="00DB4D6C">
        <w:trPr>
          <w:cantSplit/>
          <w:jc w:val="center"/>
        </w:trPr>
        <w:tc>
          <w:tcPr>
            <w:tcW w:w="3958" w:type="dxa"/>
            <w:shd w:val="clear" w:color="auto" w:fill="auto"/>
            <w:noWrap/>
            <w:vAlign w:val="bottom"/>
            <w:hideMark/>
          </w:tcPr>
          <w:p w14:paraId="44DB8370" w14:textId="77777777" w:rsidR="00E96459" w:rsidRPr="00E544B3" w:rsidRDefault="00E96459" w:rsidP="00DB4D6C">
            <w:pPr>
              <w:spacing w:after="120" w:line="264" w:lineRule="auto"/>
              <w:rPr>
                <w:rFonts w:ascii="Arial" w:hAnsi="Arial" w:cs="Arial"/>
                <w:sz w:val="20"/>
                <w:szCs w:val="20"/>
              </w:rPr>
            </w:pPr>
            <w:r w:rsidRPr="00E544B3">
              <w:rPr>
                <w:rFonts w:ascii="Arial" w:hAnsi="Arial" w:cs="Arial"/>
                <w:sz w:val="20"/>
                <w:szCs w:val="20"/>
              </w:rPr>
              <w:t>Vận tải kho bãi</w:t>
            </w:r>
          </w:p>
        </w:tc>
        <w:tc>
          <w:tcPr>
            <w:tcW w:w="1571" w:type="dxa"/>
            <w:shd w:val="clear" w:color="auto" w:fill="auto"/>
            <w:noWrap/>
          </w:tcPr>
          <w:p w14:paraId="344E30FC"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1.050</w:t>
            </w:r>
          </w:p>
        </w:tc>
        <w:tc>
          <w:tcPr>
            <w:tcW w:w="1182" w:type="dxa"/>
            <w:shd w:val="clear" w:color="auto" w:fill="auto"/>
            <w:noWrap/>
          </w:tcPr>
          <w:p w14:paraId="36BA1075"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146</w:t>
            </w:r>
          </w:p>
        </w:tc>
        <w:tc>
          <w:tcPr>
            <w:tcW w:w="1511" w:type="dxa"/>
            <w:shd w:val="clear" w:color="auto" w:fill="auto"/>
            <w:noWrap/>
            <w:vAlign w:val="bottom"/>
          </w:tcPr>
          <w:p w14:paraId="1B163B56" w14:textId="77777777" w:rsidR="00E96459" w:rsidRPr="00E544B3" w:rsidRDefault="00E96459" w:rsidP="00DB4D6C">
            <w:pPr>
              <w:spacing w:after="120" w:line="264" w:lineRule="auto"/>
              <w:ind w:right="316"/>
              <w:jc w:val="right"/>
              <w:rPr>
                <w:rFonts w:ascii="Arial" w:hAnsi="Arial" w:cs="Arial"/>
                <w:sz w:val="20"/>
                <w:szCs w:val="20"/>
              </w:rPr>
            </w:pPr>
            <w:r>
              <w:rPr>
                <w:rFonts w:ascii="Arial" w:hAnsi="Arial" w:cs="Arial"/>
                <w:sz w:val="20"/>
                <w:szCs w:val="20"/>
              </w:rPr>
              <w:t>-9,6</w:t>
            </w:r>
          </w:p>
        </w:tc>
        <w:tc>
          <w:tcPr>
            <w:tcW w:w="988" w:type="dxa"/>
            <w:shd w:val="clear" w:color="auto" w:fill="auto"/>
            <w:noWrap/>
            <w:vAlign w:val="bottom"/>
          </w:tcPr>
          <w:p w14:paraId="3EEF1C1F"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7,4</w:t>
            </w:r>
          </w:p>
        </w:tc>
      </w:tr>
      <w:tr w:rsidR="00E96459" w:rsidRPr="00E544B3" w14:paraId="222B394A" w14:textId="77777777" w:rsidTr="00DB4D6C">
        <w:trPr>
          <w:cantSplit/>
          <w:jc w:val="center"/>
        </w:trPr>
        <w:tc>
          <w:tcPr>
            <w:tcW w:w="3958" w:type="dxa"/>
            <w:shd w:val="clear" w:color="auto" w:fill="auto"/>
            <w:noWrap/>
            <w:vAlign w:val="bottom"/>
            <w:hideMark/>
          </w:tcPr>
          <w:p w14:paraId="5F3E8FA6" w14:textId="77777777" w:rsidR="00E96459" w:rsidRPr="00E544B3" w:rsidRDefault="00E96459" w:rsidP="00DB4D6C">
            <w:pPr>
              <w:spacing w:after="120" w:line="264" w:lineRule="auto"/>
              <w:rPr>
                <w:rFonts w:ascii="Arial" w:hAnsi="Arial" w:cs="Arial"/>
                <w:sz w:val="20"/>
                <w:szCs w:val="20"/>
              </w:rPr>
            </w:pPr>
            <w:r w:rsidRPr="00E544B3">
              <w:rPr>
                <w:rFonts w:ascii="Arial" w:hAnsi="Arial" w:cs="Arial"/>
                <w:sz w:val="20"/>
                <w:szCs w:val="20"/>
              </w:rPr>
              <w:t>Dịch vụ lưu trú và ăn uống</w:t>
            </w:r>
          </w:p>
        </w:tc>
        <w:tc>
          <w:tcPr>
            <w:tcW w:w="1571" w:type="dxa"/>
            <w:shd w:val="clear" w:color="auto" w:fill="auto"/>
            <w:noWrap/>
          </w:tcPr>
          <w:p w14:paraId="7E19C4D1"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600</w:t>
            </w:r>
          </w:p>
        </w:tc>
        <w:tc>
          <w:tcPr>
            <w:tcW w:w="1182" w:type="dxa"/>
            <w:shd w:val="clear" w:color="auto" w:fill="auto"/>
            <w:noWrap/>
          </w:tcPr>
          <w:p w14:paraId="3DA08D3F"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188</w:t>
            </w:r>
          </w:p>
        </w:tc>
        <w:tc>
          <w:tcPr>
            <w:tcW w:w="1511" w:type="dxa"/>
            <w:shd w:val="clear" w:color="auto" w:fill="auto"/>
            <w:noWrap/>
            <w:vAlign w:val="bottom"/>
          </w:tcPr>
          <w:p w14:paraId="53578586" w14:textId="77777777" w:rsidR="00E96459" w:rsidRPr="00E544B3" w:rsidRDefault="00E96459" w:rsidP="00DB4D6C">
            <w:pPr>
              <w:spacing w:after="120" w:line="264" w:lineRule="auto"/>
              <w:ind w:right="316"/>
              <w:jc w:val="right"/>
              <w:rPr>
                <w:rFonts w:ascii="Arial" w:hAnsi="Arial" w:cs="Arial"/>
                <w:sz w:val="20"/>
                <w:szCs w:val="20"/>
              </w:rPr>
            </w:pPr>
            <w:r>
              <w:rPr>
                <w:rFonts w:ascii="Arial" w:hAnsi="Arial" w:cs="Arial"/>
                <w:sz w:val="20"/>
                <w:szCs w:val="20"/>
              </w:rPr>
              <w:t>-33,4</w:t>
            </w:r>
          </w:p>
        </w:tc>
        <w:tc>
          <w:tcPr>
            <w:tcW w:w="988" w:type="dxa"/>
            <w:shd w:val="clear" w:color="auto" w:fill="auto"/>
            <w:noWrap/>
            <w:vAlign w:val="bottom"/>
          </w:tcPr>
          <w:p w14:paraId="5FAA4523"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23,7</w:t>
            </w:r>
          </w:p>
        </w:tc>
      </w:tr>
      <w:tr w:rsidR="00E96459" w:rsidRPr="00DA0E2E" w14:paraId="4CE567C0" w14:textId="77777777" w:rsidTr="00DB4D6C">
        <w:trPr>
          <w:cantSplit/>
          <w:jc w:val="center"/>
        </w:trPr>
        <w:tc>
          <w:tcPr>
            <w:tcW w:w="3958" w:type="dxa"/>
            <w:tcBorders>
              <w:bottom w:val="single" w:sz="4" w:space="0" w:color="auto"/>
            </w:tcBorders>
            <w:shd w:val="clear" w:color="auto" w:fill="auto"/>
            <w:noWrap/>
            <w:vAlign w:val="bottom"/>
          </w:tcPr>
          <w:p w14:paraId="6F41A319" w14:textId="77777777" w:rsidR="00E96459" w:rsidRPr="00E544B3" w:rsidRDefault="00E96459" w:rsidP="00DB4D6C">
            <w:pPr>
              <w:spacing w:after="120" w:line="264" w:lineRule="auto"/>
              <w:rPr>
                <w:rFonts w:ascii="Arial" w:hAnsi="Arial" w:cs="Arial"/>
                <w:sz w:val="20"/>
                <w:szCs w:val="20"/>
              </w:rPr>
            </w:pPr>
            <w:r w:rsidRPr="00E544B3">
              <w:rPr>
                <w:rFonts w:ascii="Arial" w:hAnsi="Arial" w:cs="Arial"/>
                <w:sz w:val="20"/>
                <w:szCs w:val="20"/>
              </w:rPr>
              <w:t>Sản xuất phân phối, điện, nước, gas</w:t>
            </w:r>
          </w:p>
        </w:tc>
        <w:tc>
          <w:tcPr>
            <w:tcW w:w="1571" w:type="dxa"/>
            <w:tcBorders>
              <w:bottom w:val="single" w:sz="4" w:space="0" w:color="auto"/>
            </w:tcBorders>
            <w:shd w:val="clear" w:color="auto" w:fill="auto"/>
            <w:noWrap/>
          </w:tcPr>
          <w:p w14:paraId="441AE068"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146</w:t>
            </w:r>
          </w:p>
        </w:tc>
        <w:tc>
          <w:tcPr>
            <w:tcW w:w="1182" w:type="dxa"/>
            <w:tcBorders>
              <w:bottom w:val="single" w:sz="4" w:space="0" w:color="auto"/>
            </w:tcBorders>
            <w:shd w:val="clear" w:color="auto" w:fill="auto"/>
            <w:noWrap/>
          </w:tcPr>
          <w:p w14:paraId="561FC607"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42</w:t>
            </w:r>
          </w:p>
        </w:tc>
        <w:tc>
          <w:tcPr>
            <w:tcW w:w="1511" w:type="dxa"/>
            <w:tcBorders>
              <w:bottom w:val="single" w:sz="4" w:space="0" w:color="auto"/>
            </w:tcBorders>
            <w:shd w:val="clear" w:color="auto" w:fill="auto"/>
            <w:noWrap/>
            <w:vAlign w:val="bottom"/>
          </w:tcPr>
          <w:p w14:paraId="1BFCE8FD" w14:textId="77777777" w:rsidR="00E96459" w:rsidRPr="00E544B3" w:rsidRDefault="00E96459" w:rsidP="00DB4D6C">
            <w:pPr>
              <w:spacing w:after="120" w:line="264" w:lineRule="auto"/>
              <w:ind w:right="316"/>
              <w:jc w:val="right"/>
              <w:rPr>
                <w:rFonts w:ascii="Arial" w:hAnsi="Arial" w:cs="Arial"/>
                <w:sz w:val="20"/>
                <w:szCs w:val="20"/>
              </w:rPr>
            </w:pPr>
            <w:r>
              <w:rPr>
                <w:rFonts w:ascii="Arial" w:hAnsi="Arial" w:cs="Arial"/>
                <w:sz w:val="20"/>
                <w:szCs w:val="20"/>
              </w:rPr>
              <w:t>-11,0</w:t>
            </w:r>
          </w:p>
        </w:tc>
        <w:tc>
          <w:tcPr>
            <w:tcW w:w="988" w:type="dxa"/>
            <w:tcBorders>
              <w:bottom w:val="single" w:sz="4" w:space="0" w:color="auto"/>
            </w:tcBorders>
            <w:shd w:val="clear" w:color="auto" w:fill="auto"/>
            <w:noWrap/>
            <w:vAlign w:val="bottom"/>
          </w:tcPr>
          <w:p w14:paraId="508301B5" w14:textId="77777777" w:rsidR="00E96459" w:rsidRPr="00E544B3" w:rsidRDefault="00E96459" w:rsidP="00DB4D6C">
            <w:pPr>
              <w:spacing w:after="120" w:line="264" w:lineRule="auto"/>
              <w:ind w:right="176"/>
              <w:jc w:val="right"/>
              <w:rPr>
                <w:rFonts w:ascii="Arial" w:hAnsi="Arial" w:cs="Arial"/>
                <w:sz w:val="20"/>
                <w:szCs w:val="20"/>
              </w:rPr>
            </w:pPr>
            <w:r>
              <w:rPr>
                <w:rFonts w:ascii="Arial" w:hAnsi="Arial" w:cs="Arial"/>
                <w:sz w:val="20"/>
                <w:szCs w:val="20"/>
              </w:rPr>
              <w:t>-8,7</w:t>
            </w:r>
          </w:p>
        </w:tc>
      </w:tr>
    </w:tbl>
    <w:p w14:paraId="26DFAE4C" w14:textId="77777777" w:rsidR="00CC1B2D" w:rsidRPr="00CC1B2D" w:rsidRDefault="00CC1B2D" w:rsidP="00B63265">
      <w:pPr>
        <w:spacing w:after="120" w:line="264" w:lineRule="auto"/>
        <w:ind w:firstLine="720"/>
        <w:jc w:val="both"/>
        <w:rPr>
          <w:b/>
          <w:bCs/>
          <w:sz w:val="10"/>
          <w:szCs w:val="10"/>
          <w:lang w:val="af-ZA"/>
        </w:rPr>
      </w:pPr>
    </w:p>
    <w:p w14:paraId="25ACCE63" w14:textId="0EA33973" w:rsidR="009E7DEF" w:rsidRPr="00C30E94" w:rsidRDefault="009E7DEF" w:rsidP="00B63265">
      <w:pPr>
        <w:spacing w:after="120" w:line="264" w:lineRule="auto"/>
        <w:ind w:firstLine="720"/>
        <w:jc w:val="both"/>
        <w:rPr>
          <w:b/>
          <w:bCs/>
          <w:lang w:val="af-ZA"/>
        </w:rPr>
      </w:pPr>
      <w:r w:rsidRPr="00C30E94">
        <w:rPr>
          <w:b/>
          <w:bCs/>
          <w:lang w:val="af-ZA"/>
        </w:rPr>
        <w:t>4. Đầu tư</w:t>
      </w:r>
    </w:p>
    <w:p w14:paraId="7176741E" w14:textId="188EA103" w:rsidR="009E7DEF" w:rsidRPr="00C30E94" w:rsidRDefault="0069774E" w:rsidP="003A54BB">
      <w:pPr>
        <w:spacing w:after="120" w:line="264" w:lineRule="auto"/>
        <w:ind w:firstLine="720"/>
        <w:jc w:val="both"/>
        <w:rPr>
          <w:bCs/>
          <w:i/>
          <w:lang w:val="en-US"/>
        </w:rPr>
      </w:pPr>
      <w:r w:rsidRPr="00C30E94">
        <w:rPr>
          <w:i/>
          <w:lang w:val="nl-NL"/>
        </w:rPr>
        <w:t>Ngay sau kỳ nghỉ Tết Nguyên đán,</w:t>
      </w:r>
      <w:r w:rsidRPr="00C30E94">
        <w:rPr>
          <w:i/>
          <w:lang w:val="it-IT"/>
        </w:rPr>
        <w:t xml:space="preserve"> </w:t>
      </w:r>
      <w:r w:rsidRPr="00C30E94">
        <w:rPr>
          <w:bCs/>
          <w:i/>
          <w:lang w:val="nl-NL"/>
        </w:rPr>
        <w:t xml:space="preserve">các Bộ, ngành và địa phương đã </w:t>
      </w:r>
      <w:r w:rsidRPr="00C30E94">
        <w:rPr>
          <w:i/>
          <w:lang w:val="nl-NL"/>
        </w:rPr>
        <w:t xml:space="preserve">tập trung triển khai công việc, đẩy nhanh tiến độ thực hiện các dự án đầu tư </w:t>
      </w:r>
      <w:r w:rsidR="009E7DEF" w:rsidRPr="00C30E94">
        <w:rPr>
          <w:i/>
          <w:lang w:val="it-IT"/>
        </w:rPr>
        <w:t>từ nguồn ngân sách Nhà nước</w:t>
      </w:r>
      <w:r w:rsidR="009E7DEF" w:rsidRPr="00C30E94">
        <w:rPr>
          <w:i/>
          <w:lang w:val="nl-NL"/>
        </w:rPr>
        <w:t>,</w:t>
      </w:r>
      <w:r w:rsidRPr="00C30E94">
        <w:rPr>
          <w:i/>
          <w:lang w:val="nl-NL"/>
        </w:rPr>
        <w:t xml:space="preserve"> </w:t>
      </w:r>
      <w:r w:rsidR="009E7DEF" w:rsidRPr="00C30E94">
        <w:rPr>
          <w:i/>
          <w:lang w:val="nl-NL"/>
        </w:rPr>
        <w:t>đặc biệt là các dự án chuyển tiếp. T</w:t>
      </w:r>
      <w:r w:rsidR="009E7DEF" w:rsidRPr="00C30E94">
        <w:rPr>
          <w:i/>
          <w:lang w:val="it-IT"/>
        </w:rPr>
        <w:t>ính chung hai tháng đầu năm 2025, vốn đầu tư thực hiện từ nguồn ngân sách Nhà nước ước đạt 8,5% kế hoạch</w:t>
      </w:r>
      <w:r w:rsidR="003E5E2A">
        <w:rPr>
          <w:i/>
          <w:lang w:val="it-IT"/>
        </w:rPr>
        <w:t xml:space="preserve"> năm</w:t>
      </w:r>
      <w:r w:rsidR="009E7DEF" w:rsidRPr="00C30E94">
        <w:rPr>
          <w:i/>
          <w:lang w:val="it-IT"/>
        </w:rPr>
        <w:t>, tăng 21,7% so với cùng kỳ năm trước. Vốn đầu tư trực tiếp nước ngoài (FDI) thực hiện tại Việt Nam hai tháng đầu năm 2025 ước đạt</w:t>
      </w:r>
      <w:r w:rsidR="00A87EC8" w:rsidRPr="00C30E94">
        <w:rPr>
          <w:i/>
          <w:lang w:val="it-IT"/>
        </w:rPr>
        <w:t xml:space="preserve"> 2,95 </w:t>
      </w:r>
      <w:r w:rsidR="009E7DEF" w:rsidRPr="00C30E94">
        <w:rPr>
          <w:i/>
          <w:lang w:val="it-IT"/>
        </w:rPr>
        <w:t xml:space="preserve">tỷ USD tăng </w:t>
      </w:r>
      <w:r w:rsidR="00A87EC8" w:rsidRPr="00C30E94">
        <w:rPr>
          <w:i/>
          <w:lang w:val="it-IT"/>
        </w:rPr>
        <w:t xml:space="preserve">5,4% </w:t>
      </w:r>
      <w:r w:rsidR="009E7DEF" w:rsidRPr="00C30E94">
        <w:rPr>
          <w:i/>
          <w:lang w:val="it-IT"/>
        </w:rPr>
        <w:t>so với cùng kỳ năm trước</w:t>
      </w:r>
      <w:r w:rsidR="009E7DEF" w:rsidRPr="00C30E94">
        <w:rPr>
          <w:i/>
          <w:iCs/>
          <w:lang w:val="de-DE"/>
        </w:rPr>
        <w:t>.</w:t>
      </w:r>
    </w:p>
    <w:p w14:paraId="6851A007" w14:textId="77777777" w:rsidR="009E7DEF" w:rsidRPr="00C30E94" w:rsidRDefault="009E7DEF" w:rsidP="003A54BB">
      <w:pPr>
        <w:spacing w:after="120" w:line="264" w:lineRule="auto"/>
        <w:ind w:firstLine="720"/>
        <w:jc w:val="both"/>
        <w:rPr>
          <w:lang w:val="af-ZA"/>
        </w:rPr>
      </w:pPr>
      <w:r w:rsidRPr="00C30E94">
        <w:rPr>
          <w:lang w:val="af-ZA"/>
        </w:rPr>
        <w:t xml:space="preserve">Vốn đầu tư thực hiện từ nguồn ngân sách Nhà nước tháng Hai ước đạt 37,9 nghìn tỷ đồng, tăng 36,5% so với cùng kỳ năm trước, bao gồm: Vốn Trung ương </w:t>
      </w:r>
      <w:r w:rsidRPr="00C30E94">
        <w:rPr>
          <w:lang w:val="af-ZA"/>
        </w:rPr>
        <w:lastRenderedPageBreak/>
        <w:t>quản lý đạt 5,5 nghìn tỷ đồng, tăng 20,1%; vốn địa phương quản lý 32,4 nghìn tỷ đồng, tăng 39,8%. Tính chung hai tháng đầu năm 2025, vốn đầu tư thực hiện từ nguồn ngân sách Nhà nước ước đạt 73,2 nghìn tỷ đồng, bằng 8,5% kế hoạch năm và tăng 21,7% so với cùng kỳ năm trước (cùng kỳ năm 2024 bằng 7,7% và tăng 2,6%). Cụ thể:</w:t>
      </w:r>
    </w:p>
    <w:p w14:paraId="1E751392" w14:textId="77777777" w:rsidR="009E7DEF" w:rsidRPr="00C30E94" w:rsidRDefault="009E7DEF" w:rsidP="003A54BB">
      <w:pPr>
        <w:spacing w:after="120" w:line="264" w:lineRule="auto"/>
        <w:ind w:firstLine="720"/>
        <w:jc w:val="both"/>
        <w:rPr>
          <w:lang w:val="af-ZA"/>
        </w:rPr>
      </w:pPr>
      <w:r w:rsidRPr="00C30E94">
        <w:rPr>
          <w:bCs/>
          <w:iCs/>
          <w:lang w:val="af-ZA"/>
        </w:rPr>
        <w:t xml:space="preserve">- </w:t>
      </w:r>
      <w:r w:rsidRPr="00C30E94">
        <w:rPr>
          <w:lang w:val="af-ZA"/>
        </w:rPr>
        <w:t xml:space="preserve">Vốn đầu tư thực hiện do Trung ương quản lý ước đạt 10,2 nghìn tỷ đồng, bằng 7,8% kế hoạch năm và tăng 8,6% so với cùng kỳ năm trước. Trong đó, Bộ Giao thông Vận tải đạt 5,9 nghìn tỷ đồng, giảm 4,2%; Bộ Nông nghiệp và Phát triển nông thôn đạt 1,5 nghìn tỷ đồng, tăng 99,3%; Bộ Y tế đạt 329,3 tỷ đồng, gấp 3,8 lần; Bộ Giáo dục và Đào tạo đạt 161,6 tỷ đồng, tăng 89,1%; Bộ Văn hóa, Thể thao và Du lịch 104,9 tỷ đồng, tăng 56,5%; Bộ Tài nguyên và Môi trường đạt 69,2 tỷ đồng, tăng 18,6%; Bộ Thông tin và Truyền thông đạt 40,4 tỷ đồng, tăng 54,9%. </w:t>
      </w:r>
    </w:p>
    <w:p w14:paraId="0C7C9884" w14:textId="77777777" w:rsidR="009E7DEF" w:rsidRPr="00C30E94" w:rsidRDefault="009E7DEF" w:rsidP="003A54BB">
      <w:pPr>
        <w:spacing w:after="120" w:line="264" w:lineRule="auto"/>
        <w:ind w:firstLine="720"/>
        <w:jc w:val="both"/>
        <w:rPr>
          <w:bCs/>
          <w:iCs/>
          <w:spacing w:val="-2"/>
          <w:lang w:val="af-ZA"/>
        </w:rPr>
      </w:pPr>
      <w:r w:rsidRPr="00C30E94">
        <w:rPr>
          <w:bCs/>
          <w:iCs/>
          <w:spacing w:val="-2"/>
          <w:lang w:val="af-ZA"/>
        </w:rPr>
        <w:t>- Vốn đầu tư thực hiện do địa phương quản lý ước đạt gần 63,0 nghìn tỷ đồng, bằng 8,6% kế hoạch năm và tăng 24,2% so với cùng kỳ năm trước, trong đó:</w:t>
      </w:r>
    </w:p>
    <w:p w14:paraId="22F3B694" w14:textId="77777777" w:rsidR="009E7DEF" w:rsidRPr="00C30E94" w:rsidRDefault="009E7DEF" w:rsidP="003A54BB">
      <w:pPr>
        <w:spacing w:after="120" w:line="264" w:lineRule="auto"/>
        <w:ind w:firstLine="720"/>
        <w:jc w:val="both"/>
        <w:rPr>
          <w:bCs/>
          <w:iCs/>
          <w:lang w:val="af-ZA"/>
        </w:rPr>
      </w:pPr>
      <w:r w:rsidRPr="00C30E94">
        <w:rPr>
          <w:bCs/>
          <w:iCs/>
          <w:lang w:val="af-ZA"/>
        </w:rPr>
        <w:t>Vốn ngân sách Nhà nước cấp tỉnh đạt 41,1 nghìn tỷ đồng, bằng 7,8% và tăng 23,7% so với cùng kỳ năm 2024;</w:t>
      </w:r>
    </w:p>
    <w:p w14:paraId="7AB00F33" w14:textId="77777777" w:rsidR="009E7DEF" w:rsidRPr="00C30E94" w:rsidRDefault="009E7DEF" w:rsidP="003A54BB">
      <w:pPr>
        <w:pStyle w:val="ListParagraph"/>
        <w:spacing w:after="120" w:line="264" w:lineRule="auto"/>
        <w:ind w:left="0" w:firstLine="720"/>
        <w:contextualSpacing w:val="0"/>
        <w:jc w:val="both"/>
        <w:rPr>
          <w:bCs/>
          <w:iCs/>
          <w:lang w:val="af-ZA"/>
        </w:rPr>
      </w:pPr>
      <w:r w:rsidRPr="00C30E94">
        <w:rPr>
          <w:bCs/>
          <w:iCs/>
          <w:lang w:val="af-ZA"/>
        </w:rPr>
        <w:t>Vốn ngân sách Nhà nước cấp huyện đạt 18,9 nghìn tỷ đồng, bằng 10,5% và tăng 25,2%;</w:t>
      </w:r>
    </w:p>
    <w:p w14:paraId="4F4403A6" w14:textId="77777777" w:rsidR="009E7DEF" w:rsidRPr="00C30E94" w:rsidRDefault="009E7DEF" w:rsidP="003A54BB">
      <w:pPr>
        <w:pStyle w:val="ListParagraph"/>
        <w:spacing w:after="120" w:line="264" w:lineRule="auto"/>
        <w:ind w:left="0" w:firstLine="720"/>
        <w:contextualSpacing w:val="0"/>
        <w:jc w:val="both"/>
        <w:rPr>
          <w:bCs/>
          <w:iCs/>
          <w:lang w:val="af-ZA"/>
        </w:rPr>
      </w:pPr>
      <w:r w:rsidRPr="00C30E94">
        <w:rPr>
          <w:bCs/>
          <w:iCs/>
          <w:lang w:val="af-ZA"/>
        </w:rPr>
        <w:t xml:space="preserve">Vốn ngân sách Nhà nước cấp xã đạt gần 3,0 nghìn tỷ đồng, bằng 11,8% và </w:t>
      </w:r>
      <w:r w:rsidRPr="00C30E94">
        <w:rPr>
          <w:bCs/>
          <w:iCs/>
          <w:lang w:val="af-ZA"/>
        </w:rPr>
        <w:br/>
        <w:t>tăng 24,4%.</w:t>
      </w:r>
    </w:p>
    <w:p w14:paraId="7F4CD556" w14:textId="77777777" w:rsidR="009E7DEF" w:rsidRPr="00C30E94" w:rsidRDefault="009E7DEF" w:rsidP="003A54BB">
      <w:pPr>
        <w:spacing w:after="120" w:line="264" w:lineRule="auto"/>
        <w:ind w:firstLine="720"/>
        <w:jc w:val="both"/>
        <w:rPr>
          <w:rFonts w:ascii="Arial" w:hAnsi="Arial" w:cs="Arial"/>
          <w:b/>
          <w:bCs/>
          <w:sz w:val="24"/>
          <w:szCs w:val="24"/>
          <w:lang w:val="af-ZA"/>
        </w:rPr>
      </w:pPr>
      <w:r w:rsidRPr="00C30E94">
        <w:rPr>
          <w:bCs/>
          <w:iCs/>
          <w:lang w:val="af-ZA"/>
        </w:rPr>
        <w:t>Vốn đầu tư thực hiện từ nguồn ngân sách Nhà nước hai tháng đầu năm 2025 của một số tỉnh, thành phố trực thuộc Trung ương như sau:</w:t>
      </w:r>
    </w:p>
    <w:p w14:paraId="41A142DF" w14:textId="119D83E6" w:rsidR="009E7DEF" w:rsidRPr="00C30E94" w:rsidRDefault="009E7DEF" w:rsidP="009E7DEF">
      <w:pPr>
        <w:spacing w:line="276" w:lineRule="auto"/>
        <w:jc w:val="center"/>
        <w:rPr>
          <w:rFonts w:ascii="Arial" w:hAnsi="Arial" w:cs="Arial"/>
          <w:b/>
          <w:bCs/>
          <w:sz w:val="24"/>
          <w:szCs w:val="24"/>
          <w:lang w:val="af-ZA"/>
        </w:rPr>
      </w:pPr>
      <w:r w:rsidRPr="00C30E94">
        <w:rPr>
          <w:rFonts w:ascii="Arial" w:hAnsi="Arial" w:cs="Arial"/>
          <w:b/>
          <w:bCs/>
          <w:sz w:val="24"/>
          <w:szCs w:val="24"/>
          <w:lang w:val="af-ZA"/>
        </w:rPr>
        <w:t xml:space="preserve">Hình </w:t>
      </w:r>
      <w:r w:rsidR="001D362A">
        <w:rPr>
          <w:rFonts w:ascii="Arial" w:hAnsi="Arial" w:cs="Arial"/>
          <w:b/>
          <w:bCs/>
          <w:sz w:val="24"/>
          <w:szCs w:val="24"/>
          <w:lang w:val="af-ZA"/>
        </w:rPr>
        <w:t>6</w:t>
      </w:r>
      <w:r w:rsidRPr="00C30E94">
        <w:rPr>
          <w:rFonts w:ascii="Arial" w:hAnsi="Arial" w:cs="Arial"/>
          <w:b/>
          <w:bCs/>
          <w:sz w:val="24"/>
          <w:szCs w:val="24"/>
          <w:lang w:val="af-ZA"/>
        </w:rPr>
        <w:t xml:space="preserve">. Vốn đầu tư thực hiện từ nguồn ngân sách Nhà nước </w:t>
      </w:r>
    </w:p>
    <w:p w14:paraId="628F3DF3" w14:textId="3C702711" w:rsidR="009E7DEF" w:rsidRPr="00C30E94" w:rsidRDefault="001D362A" w:rsidP="009E7DEF">
      <w:pPr>
        <w:spacing w:line="276" w:lineRule="auto"/>
        <w:jc w:val="center"/>
        <w:rPr>
          <w:rFonts w:ascii="Arial" w:hAnsi="Arial" w:cs="Arial"/>
          <w:b/>
          <w:bCs/>
          <w:sz w:val="24"/>
          <w:szCs w:val="24"/>
          <w:lang w:val="af-ZA"/>
        </w:rPr>
      </w:pPr>
      <w:r>
        <w:rPr>
          <w:rFonts w:ascii="Arial" w:hAnsi="Arial" w:cs="Arial"/>
          <w:b/>
          <w:bCs/>
          <w:sz w:val="24"/>
          <w:szCs w:val="24"/>
          <w:lang w:val="af-ZA"/>
        </w:rPr>
        <w:t>0</w:t>
      </w:r>
      <w:r w:rsidR="009E7DEF" w:rsidRPr="00C30E94">
        <w:rPr>
          <w:rFonts w:ascii="Arial" w:hAnsi="Arial" w:cs="Arial"/>
          <w:b/>
          <w:bCs/>
          <w:sz w:val="24"/>
          <w:szCs w:val="24"/>
          <w:lang w:val="af-ZA"/>
        </w:rPr>
        <w:t>2 tháng đầu năm của một số địa phương</w:t>
      </w:r>
    </w:p>
    <w:p w14:paraId="2C48846C" w14:textId="16612462" w:rsidR="009E7DEF" w:rsidRPr="00C30E94" w:rsidRDefault="009E7DEF" w:rsidP="009E7DEF">
      <w:pPr>
        <w:spacing w:line="276" w:lineRule="auto"/>
        <w:jc w:val="center"/>
        <w:rPr>
          <w:rFonts w:ascii="Arial" w:hAnsi="Arial" w:cs="Arial"/>
          <w:b/>
          <w:bCs/>
          <w:sz w:val="24"/>
          <w:szCs w:val="24"/>
          <w:lang w:val="af-ZA"/>
        </w:rPr>
      </w:pPr>
      <w:r w:rsidRPr="00C30E94">
        <w:rPr>
          <w:noProof/>
          <w:lang w:val="en-US"/>
        </w:rPr>
        <w:drawing>
          <wp:inline distT="0" distB="0" distL="0" distR="0" wp14:anchorId="226F5F6E" wp14:editId="5EA8EDBB">
            <wp:extent cx="5943600" cy="3297382"/>
            <wp:effectExtent l="0" t="0" r="0" b="17780"/>
            <wp:docPr id="2024817703" name="Chart 2024817703">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D7BF74" w14:textId="357845B3" w:rsidR="004856EE" w:rsidRDefault="004856EE" w:rsidP="004856EE">
      <w:pPr>
        <w:spacing w:after="120" w:line="264" w:lineRule="auto"/>
        <w:ind w:firstLine="720"/>
        <w:jc w:val="both"/>
        <w:rPr>
          <w:iCs/>
          <w:lang w:val="de-DE"/>
        </w:rPr>
      </w:pPr>
      <w:r w:rsidRPr="00C30E94">
        <w:rPr>
          <w:i/>
          <w:iCs/>
          <w:lang w:val="de-DE"/>
        </w:rPr>
        <w:lastRenderedPageBreak/>
        <w:t>Tổng vốn đầu tư nước ngoài đăng ký vào Việt Nam</w:t>
      </w:r>
      <w:r w:rsidRPr="00C30E94">
        <w:rPr>
          <w:rStyle w:val="FootnoteReference"/>
          <w:rFonts w:eastAsiaTheme="majorEastAsia"/>
          <w:i/>
          <w:iCs/>
          <w:lang w:val="de-DE"/>
        </w:rPr>
        <w:footnoteReference w:id="15"/>
      </w:r>
      <w:r w:rsidRPr="00C30E94">
        <w:rPr>
          <w:i/>
          <w:iCs/>
          <w:lang w:val="de-DE"/>
        </w:rPr>
        <w:t xml:space="preserve"> </w:t>
      </w:r>
      <w:r w:rsidRPr="00C30E94">
        <w:rPr>
          <w:iCs/>
          <w:lang w:val="de-DE"/>
        </w:rPr>
        <w:t>hai tháng đầu năm 2025 bao gồm: Vốn đăng ký cấp mới, vốn đăng ký điều chỉnh và giá trị góp vốn, mua cổ phần của nhà đầu tư nước ngoài đạt gần 6,90 tỷ USD, tăng 35,5% so với cùng kỳ năm trước.</w:t>
      </w:r>
    </w:p>
    <w:p w14:paraId="4F2DD6FD" w14:textId="2A14E7F9" w:rsidR="00FF13A2" w:rsidRPr="009620E0" w:rsidRDefault="00FF13A2" w:rsidP="00FF13A2">
      <w:pPr>
        <w:jc w:val="center"/>
        <w:rPr>
          <w:rFonts w:ascii="Arial" w:hAnsi="Arial" w:cs="Arial"/>
          <w:b/>
          <w:bCs/>
          <w:sz w:val="24"/>
          <w:szCs w:val="24"/>
          <w:lang w:val="de-DE"/>
        </w:rPr>
      </w:pPr>
      <w:r w:rsidRPr="009620E0">
        <w:rPr>
          <w:rFonts w:ascii="Arial" w:hAnsi="Arial" w:cs="Arial"/>
          <w:b/>
          <w:bCs/>
          <w:sz w:val="24"/>
          <w:szCs w:val="24"/>
          <w:lang w:val="de-DE"/>
        </w:rPr>
        <w:t xml:space="preserve">Hình </w:t>
      </w:r>
      <w:r w:rsidR="00C81562">
        <w:rPr>
          <w:rFonts w:ascii="Arial" w:hAnsi="Arial" w:cs="Arial"/>
          <w:b/>
          <w:bCs/>
          <w:sz w:val="24"/>
          <w:szCs w:val="24"/>
          <w:lang w:val="de-DE"/>
        </w:rPr>
        <w:t>7</w:t>
      </w:r>
      <w:r w:rsidRPr="009620E0">
        <w:rPr>
          <w:rFonts w:ascii="Arial" w:hAnsi="Arial" w:cs="Arial"/>
          <w:b/>
          <w:bCs/>
          <w:sz w:val="24"/>
          <w:szCs w:val="24"/>
          <w:lang w:val="de-DE"/>
        </w:rPr>
        <w:t>. Vốn đầu tư nước ngoài đăng ký vào Việt Nam</w:t>
      </w:r>
    </w:p>
    <w:p w14:paraId="2C9D82CD" w14:textId="2F50050E" w:rsidR="00FF13A2" w:rsidRDefault="00FF13A2" w:rsidP="00FF13A2">
      <w:pPr>
        <w:jc w:val="center"/>
        <w:rPr>
          <w:rFonts w:ascii="Arial" w:hAnsi="Arial" w:cs="Arial"/>
          <w:b/>
          <w:bCs/>
          <w:sz w:val="24"/>
          <w:szCs w:val="24"/>
          <w:lang w:val="de-DE"/>
        </w:rPr>
      </w:pPr>
      <w:r>
        <w:rPr>
          <w:rFonts w:ascii="Arial" w:hAnsi="Arial" w:cs="Arial"/>
          <w:b/>
          <w:bCs/>
          <w:sz w:val="24"/>
          <w:szCs w:val="24"/>
          <w:lang w:val="de-DE"/>
        </w:rPr>
        <w:t xml:space="preserve">2 tháng đầu </w:t>
      </w:r>
      <w:r w:rsidRPr="009620E0">
        <w:rPr>
          <w:rFonts w:ascii="Arial" w:hAnsi="Arial" w:cs="Arial"/>
          <w:b/>
          <w:bCs/>
          <w:sz w:val="24"/>
          <w:szCs w:val="24"/>
          <w:lang w:val="de-DE"/>
        </w:rPr>
        <w:t>các năm 202</w:t>
      </w:r>
      <w:r w:rsidR="00037209">
        <w:rPr>
          <w:rFonts w:ascii="Arial" w:hAnsi="Arial" w:cs="Arial"/>
          <w:b/>
          <w:bCs/>
          <w:sz w:val="24"/>
          <w:szCs w:val="24"/>
          <w:lang w:val="de-DE"/>
        </w:rPr>
        <w:t>1</w:t>
      </w:r>
      <w:r w:rsidRPr="009620E0">
        <w:rPr>
          <w:rFonts w:ascii="Arial" w:hAnsi="Arial" w:cs="Arial"/>
          <w:b/>
          <w:bCs/>
          <w:sz w:val="24"/>
          <w:szCs w:val="24"/>
          <w:lang w:val="de-DE"/>
        </w:rPr>
        <w:t>-202</w:t>
      </w:r>
      <w:r w:rsidR="00037209">
        <w:rPr>
          <w:rFonts w:ascii="Arial" w:hAnsi="Arial" w:cs="Arial"/>
          <w:b/>
          <w:bCs/>
          <w:sz w:val="24"/>
          <w:szCs w:val="24"/>
          <w:lang w:val="de-DE"/>
        </w:rPr>
        <w:t>5</w:t>
      </w:r>
      <w:r w:rsidRPr="009620E0">
        <w:rPr>
          <w:rFonts w:ascii="Arial" w:hAnsi="Arial" w:cs="Arial"/>
          <w:b/>
          <w:bCs/>
          <w:sz w:val="24"/>
          <w:szCs w:val="24"/>
          <w:lang w:val="de-DE"/>
        </w:rPr>
        <w:t xml:space="preserve"> (Tỷ USD)</w:t>
      </w:r>
    </w:p>
    <w:p w14:paraId="620B2730" w14:textId="77777777" w:rsidR="00FF13A2" w:rsidRDefault="00FF13A2" w:rsidP="00FF13A2">
      <w:pPr>
        <w:jc w:val="center"/>
        <w:rPr>
          <w:rFonts w:ascii="Arial" w:hAnsi="Arial" w:cs="Arial"/>
          <w:b/>
          <w:bCs/>
          <w:sz w:val="24"/>
          <w:szCs w:val="24"/>
          <w:lang w:val="de-DE"/>
        </w:rPr>
      </w:pPr>
      <w:r>
        <w:rPr>
          <w:noProof/>
          <w:lang w:val="en-US"/>
        </w:rPr>
        <w:drawing>
          <wp:inline distT="0" distB="0" distL="0" distR="0" wp14:anchorId="3C8DBC72" wp14:editId="75A855D7">
            <wp:extent cx="5286375" cy="2180492"/>
            <wp:effectExtent l="0" t="0" r="9525" b="10795"/>
            <wp:docPr id="5" name="Chart 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D870AD" w14:textId="0473CF7B" w:rsidR="004856EE" w:rsidRPr="00C30E94" w:rsidRDefault="004856EE" w:rsidP="008707C3">
      <w:pPr>
        <w:spacing w:after="120"/>
        <w:ind w:firstLine="720"/>
        <w:jc w:val="both"/>
        <w:rPr>
          <w:iCs/>
          <w:spacing w:val="-2"/>
          <w:lang w:val="de-DE"/>
        </w:rPr>
      </w:pPr>
      <w:r w:rsidRPr="00C30E94">
        <w:rPr>
          <w:b/>
          <w:bCs/>
          <w:noProof/>
        </w:rPr>
        <w:softHyphen/>
      </w:r>
      <w:r w:rsidRPr="00C30E94">
        <w:rPr>
          <w:b/>
          <w:bCs/>
          <w:noProof/>
        </w:rPr>
        <w:softHyphen/>
      </w:r>
      <w:r w:rsidRPr="00C30E94">
        <w:rPr>
          <w:b/>
          <w:bCs/>
          <w:noProof/>
        </w:rPr>
        <w:softHyphen/>
      </w:r>
      <w:r w:rsidRPr="00C30E94">
        <w:rPr>
          <w:iCs/>
          <w:spacing w:val="-2"/>
          <w:lang w:val="de-DE"/>
        </w:rPr>
        <w:t>- Vốn đăng ký cấp mới có 516 dự án được cấp phép với số vốn đăng ký đạt 2,19 tỷ USD, tăng 10,0% so với cùng kỳ năm trước về số dự án và giảm 48,4% về số vốn đăng ký. Trong đó, ngành công nghiệp chế biến, chế tạo được cấp phép mới đầu tư trực tiếp nước ngoài lớn nhất với số vốn đăng ký đạt 1,45 tỷ USD, chiếm 66,1% tổng vốn đăng ký cấp mới; hoạt động kinh doanh bất động sản đạt 371,5 triệu USD, chiếm 16,9%; các ngành còn lại đạt 371,8 triệu USD, chiếm 17,0%.</w:t>
      </w:r>
    </w:p>
    <w:p w14:paraId="4A6764C7" w14:textId="472BB34C" w:rsidR="004856EE" w:rsidRPr="00C30E94" w:rsidRDefault="004856EE" w:rsidP="008707C3">
      <w:pPr>
        <w:spacing w:after="120"/>
        <w:ind w:firstLine="720"/>
        <w:jc w:val="both"/>
        <w:rPr>
          <w:iCs/>
          <w:lang w:val="de-DE"/>
        </w:rPr>
      </w:pPr>
      <w:r w:rsidRPr="00C30E94">
        <w:rPr>
          <w:iCs/>
          <w:lang w:val="de-DE"/>
        </w:rPr>
        <w:t xml:space="preserve">Trong số 44 quốc gia và vùng lãnh thổ có dự án đầu tư được cấp phép mới tại Việt Nam trong hai tháng đầu năm 2025, Trung Quốc là nhà đầu tư lớn nhất với 679,8 triệu USD, chiếm 31,0% tổng vốn đăng ký cấp mới; tiếp đến là Xin-ga-po </w:t>
      </w:r>
      <w:r w:rsidRPr="00C30E94">
        <w:rPr>
          <w:iCs/>
        </w:rPr>
        <w:t>450,7</w:t>
      </w:r>
      <w:r w:rsidRPr="00C30E94">
        <w:rPr>
          <w:iCs/>
          <w:lang w:val="de-DE"/>
        </w:rPr>
        <w:t xml:space="preserve"> triệu USD, chiếm 20,6%; Đặc khu hành chính Hồng Công (Trung Quốc) Nhật Bản 253,3 triệu USD, chiếm 11,5%; Quần đảo Virgin thuộc Anh 163,7 triệu USD, chiếm 7</w:t>
      </w:r>
      <w:r w:rsidRPr="00C30E94">
        <w:rPr>
          <w:iCs/>
        </w:rPr>
        <w:t>,5</w:t>
      </w:r>
      <w:r w:rsidRPr="00C30E94">
        <w:rPr>
          <w:iCs/>
          <w:lang w:val="de-DE"/>
        </w:rPr>
        <w:t xml:space="preserve">%; Hoa Kỳ </w:t>
      </w:r>
      <w:r w:rsidRPr="00C30E94">
        <w:rPr>
          <w:iCs/>
        </w:rPr>
        <w:t>107</w:t>
      </w:r>
      <w:r w:rsidRPr="00C30E94">
        <w:rPr>
          <w:iCs/>
          <w:lang w:val="de-DE"/>
        </w:rPr>
        <w:t>,9 triệu USD, chiếm 4,9%; Nhật Bản 104,1 triệu USD, chiếm 4,8%.</w:t>
      </w:r>
    </w:p>
    <w:p w14:paraId="7B920E84" w14:textId="77777777" w:rsidR="004856EE" w:rsidRPr="00C30E94" w:rsidRDefault="004856EE" w:rsidP="008707C3">
      <w:pPr>
        <w:spacing w:after="120"/>
        <w:ind w:firstLine="720"/>
        <w:jc w:val="both"/>
        <w:rPr>
          <w:iCs/>
          <w:lang w:val="de-DE"/>
        </w:rPr>
      </w:pPr>
      <w:r w:rsidRPr="00C30E94">
        <w:rPr>
          <w:iCs/>
          <w:lang w:val="de-DE"/>
        </w:rPr>
        <w:t xml:space="preserve"> - Vốn đăng ký điều chỉnh có 256 lượt dự án đã cấp phép từ các năm trước đăng ký điều chỉnh vốn đầu tư tăng thêm 4,18 tỷ USD, gấp 6 lần so với cùng kỳ năm trước.</w:t>
      </w:r>
    </w:p>
    <w:p w14:paraId="2D43D132" w14:textId="6A3257B8" w:rsidR="004856EE" w:rsidRPr="00C30E94" w:rsidRDefault="004856EE" w:rsidP="008707C3">
      <w:pPr>
        <w:spacing w:after="120"/>
        <w:ind w:firstLine="720"/>
        <w:jc w:val="both"/>
        <w:rPr>
          <w:iCs/>
          <w:lang w:val="de-DE"/>
        </w:rPr>
      </w:pPr>
      <w:r w:rsidRPr="00C30E94">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4,51 tỷ USD, chiếm 70,8% tổng vốn đăng ký cấp mới và tăng thêm; hoạt động kinh doanh bất động sản đạt 1,45 tỷ USD, chiếm 22,7%; các ngành còn lại đạt 409,4 triệu USD, chiếm 6,</w:t>
      </w:r>
      <w:r w:rsidR="00D20935">
        <w:rPr>
          <w:iCs/>
          <w:lang w:val="de-DE"/>
        </w:rPr>
        <w:t>5</w:t>
      </w:r>
      <w:r w:rsidRPr="00C30E94">
        <w:rPr>
          <w:iCs/>
          <w:lang w:val="de-DE"/>
        </w:rPr>
        <w:t>%.</w:t>
      </w:r>
    </w:p>
    <w:p w14:paraId="5D97ED3B" w14:textId="3C3A47E8" w:rsidR="00D20935" w:rsidRPr="009620E0" w:rsidRDefault="00D20935" w:rsidP="008707C3">
      <w:pPr>
        <w:spacing w:after="120"/>
        <w:ind w:firstLine="567"/>
        <w:jc w:val="both"/>
        <w:rPr>
          <w:iCs/>
          <w:lang w:val="de-DE"/>
        </w:rPr>
      </w:pPr>
      <w:r w:rsidRPr="009620E0">
        <w:rPr>
          <w:iCs/>
          <w:lang w:val="de-DE"/>
        </w:rPr>
        <w:t xml:space="preserve">- Vốn đăng ký góp vốn, mua cổ phần của nhà đầu tư nước ngoài có </w:t>
      </w:r>
      <w:r>
        <w:rPr>
          <w:iCs/>
          <w:lang w:val="de-DE"/>
        </w:rPr>
        <w:t>553</w:t>
      </w:r>
      <w:r w:rsidRPr="009620E0">
        <w:rPr>
          <w:iCs/>
          <w:lang w:val="de-DE"/>
        </w:rPr>
        <w:t xml:space="preserve"> lượt với tổng giá trị góp vốn </w:t>
      </w:r>
      <w:r>
        <w:rPr>
          <w:iCs/>
          <w:lang w:val="de-DE"/>
        </w:rPr>
        <w:t>529</w:t>
      </w:r>
      <w:r w:rsidRPr="009620E0">
        <w:rPr>
          <w:iCs/>
          <w:lang w:val="de-DE"/>
        </w:rPr>
        <w:t>,</w:t>
      </w:r>
      <w:r>
        <w:rPr>
          <w:iCs/>
          <w:lang w:val="de-DE"/>
        </w:rPr>
        <w:t>8</w:t>
      </w:r>
      <w:r w:rsidRPr="009620E0">
        <w:rPr>
          <w:iCs/>
          <w:lang w:val="de-DE"/>
        </w:rPr>
        <w:t xml:space="preserve"> triệu USD, </w:t>
      </w:r>
      <w:r>
        <w:rPr>
          <w:iCs/>
          <w:lang w:val="de-DE"/>
        </w:rPr>
        <w:t>tăng</w:t>
      </w:r>
      <w:r w:rsidRPr="009620E0">
        <w:rPr>
          <w:iCs/>
          <w:lang w:val="de-DE"/>
        </w:rPr>
        <w:t xml:space="preserve"> </w:t>
      </w:r>
      <w:r>
        <w:rPr>
          <w:iCs/>
          <w:lang w:val="de-DE"/>
        </w:rPr>
        <w:t>8</w:t>
      </w:r>
      <w:r w:rsidRPr="009620E0">
        <w:rPr>
          <w:iCs/>
          <w:lang w:val="de-DE"/>
        </w:rPr>
        <w:t>8</w:t>
      </w:r>
      <w:r>
        <w:rPr>
          <w:iCs/>
          <w:lang w:val="de-DE"/>
        </w:rPr>
        <w:t>,8</w:t>
      </w:r>
      <w:r w:rsidRPr="009620E0">
        <w:rPr>
          <w:iCs/>
          <w:lang w:val="de-DE"/>
        </w:rPr>
        <w:t>% so với cùng kỳ năm trước</w:t>
      </w:r>
      <w:r w:rsidRPr="009620E0">
        <w:rPr>
          <w:iCs/>
        </w:rPr>
        <w:t>.</w:t>
      </w:r>
      <w:r w:rsidRPr="009620E0">
        <w:rPr>
          <w:iCs/>
          <w:lang w:val="de-DE"/>
        </w:rPr>
        <w:t xml:space="preserve"> Trong đó, có</w:t>
      </w:r>
      <w:r>
        <w:rPr>
          <w:iCs/>
          <w:lang w:val="de-DE"/>
        </w:rPr>
        <w:t xml:space="preserve"> 240  </w:t>
      </w:r>
      <w:r w:rsidRPr="009620E0">
        <w:rPr>
          <w:iCs/>
          <w:lang w:val="de-DE"/>
        </w:rPr>
        <w:t xml:space="preserve">lượt góp vốn, mua cổ phần làm tăng vốn điều lệ của doanh </w:t>
      </w:r>
      <w:r w:rsidRPr="009620E0">
        <w:rPr>
          <w:iCs/>
          <w:lang w:val="de-DE"/>
        </w:rPr>
        <w:lastRenderedPageBreak/>
        <w:t xml:space="preserve">nghiệp với giá trị góp vốn là </w:t>
      </w:r>
      <w:r>
        <w:rPr>
          <w:iCs/>
          <w:lang w:val="de-DE"/>
        </w:rPr>
        <w:t xml:space="preserve">318,8 </w:t>
      </w:r>
      <w:r w:rsidRPr="009620E0">
        <w:rPr>
          <w:iCs/>
          <w:lang w:val="de-DE"/>
        </w:rPr>
        <w:t xml:space="preserve">triệu USD và </w:t>
      </w:r>
      <w:r>
        <w:rPr>
          <w:iCs/>
          <w:lang w:val="de-DE"/>
        </w:rPr>
        <w:t>313</w:t>
      </w:r>
      <w:r w:rsidRPr="009620E0">
        <w:rPr>
          <w:iCs/>
        </w:rPr>
        <w:t xml:space="preserve"> </w:t>
      </w:r>
      <w:r w:rsidRPr="009620E0">
        <w:rPr>
          <w:iCs/>
          <w:lang w:val="de-DE"/>
        </w:rPr>
        <w:t xml:space="preserve">lượt nhà đầu tư nước ngoài mua lại cổ phần trong nước mà không làm tăng vốn điều lệ với giá trị </w:t>
      </w:r>
      <w:r>
        <w:rPr>
          <w:iCs/>
          <w:lang w:val="de-DE"/>
        </w:rPr>
        <w:t xml:space="preserve">211 </w:t>
      </w:r>
      <w:r w:rsidRPr="009620E0">
        <w:rPr>
          <w:iCs/>
          <w:lang w:val="de-DE"/>
        </w:rPr>
        <w:t>triệu USD. Đối với hình thức góp vốn, mua cổ phần của nhà đầu tư nước ngoài, vốn đầu tư vào công ng</w:t>
      </w:r>
      <w:r>
        <w:rPr>
          <w:iCs/>
          <w:lang w:val="de-DE"/>
        </w:rPr>
        <w:t>h</w:t>
      </w:r>
      <w:r w:rsidRPr="009620E0">
        <w:rPr>
          <w:iCs/>
          <w:lang w:val="de-DE"/>
        </w:rPr>
        <w:t xml:space="preserve">iệp chế biến, chế tạo đạt </w:t>
      </w:r>
      <w:r>
        <w:rPr>
          <w:iCs/>
          <w:lang w:val="de-DE"/>
        </w:rPr>
        <w:t>198</w:t>
      </w:r>
      <w:r w:rsidRPr="009620E0">
        <w:rPr>
          <w:iCs/>
        </w:rPr>
        <w:t>,</w:t>
      </w:r>
      <w:r>
        <w:rPr>
          <w:iCs/>
        </w:rPr>
        <w:t>4</w:t>
      </w:r>
      <w:r w:rsidRPr="009620E0">
        <w:rPr>
          <w:iCs/>
        </w:rPr>
        <w:t xml:space="preserve"> </w:t>
      </w:r>
      <w:r w:rsidRPr="009620E0">
        <w:rPr>
          <w:iCs/>
          <w:lang w:val="de-DE"/>
        </w:rPr>
        <w:t>triệu USD, chiếm 3</w:t>
      </w:r>
      <w:r>
        <w:rPr>
          <w:iCs/>
          <w:lang w:val="de-DE"/>
        </w:rPr>
        <w:t>7</w:t>
      </w:r>
      <w:r w:rsidRPr="009620E0">
        <w:rPr>
          <w:iCs/>
        </w:rPr>
        <w:t>,</w:t>
      </w:r>
      <w:r>
        <w:rPr>
          <w:iCs/>
        </w:rPr>
        <w:t>5</w:t>
      </w:r>
      <w:r w:rsidRPr="009620E0">
        <w:rPr>
          <w:iCs/>
        </w:rPr>
        <w:t>%</w:t>
      </w:r>
      <w:r w:rsidRPr="009620E0">
        <w:rPr>
          <w:iCs/>
          <w:lang w:val="de-DE"/>
        </w:rPr>
        <w:t xml:space="preserve"> giá trị góp vốn; hoạt động chuyên môn, khoa hoc công nghệ đạt </w:t>
      </w:r>
      <w:r>
        <w:rPr>
          <w:iCs/>
          <w:lang w:val="de-DE"/>
        </w:rPr>
        <w:t>157</w:t>
      </w:r>
      <w:r w:rsidRPr="009620E0">
        <w:rPr>
          <w:iCs/>
          <w:lang w:val="de-DE"/>
        </w:rPr>
        <w:t>,</w:t>
      </w:r>
      <w:r w:rsidR="00194244">
        <w:rPr>
          <w:iCs/>
          <w:lang w:val="de-DE"/>
        </w:rPr>
        <w:t>0</w:t>
      </w:r>
      <w:r w:rsidRPr="009620E0">
        <w:rPr>
          <w:iCs/>
          <w:lang w:val="de-DE"/>
        </w:rPr>
        <w:t xml:space="preserve"> triệu USD, chiếm 2</w:t>
      </w:r>
      <w:r>
        <w:rPr>
          <w:iCs/>
          <w:lang w:val="de-DE"/>
        </w:rPr>
        <w:t>9,6</w:t>
      </w:r>
      <w:r w:rsidRPr="009620E0">
        <w:rPr>
          <w:iCs/>
          <w:lang w:val="de-DE"/>
        </w:rPr>
        <w:t>%; ngành còn lại 1</w:t>
      </w:r>
      <w:r>
        <w:rPr>
          <w:iCs/>
          <w:lang w:val="de-DE"/>
        </w:rPr>
        <w:t>74</w:t>
      </w:r>
      <w:r w:rsidRPr="009620E0">
        <w:rPr>
          <w:iCs/>
          <w:lang w:val="de-DE"/>
        </w:rPr>
        <w:t>,</w:t>
      </w:r>
      <w:r>
        <w:rPr>
          <w:iCs/>
          <w:lang w:val="de-DE"/>
        </w:rPr>
        <w:t>4</w:t>
      </w:r>
      <w:r w:rsidRPr="009620E0">
        <w:rPr>
          <w:iCs/>
          <w:lang w:val="de-DE"/>
        </w:rPr>
        <w:t xml:space="preserve"> triệu USD, chiếm </w:t>
      </w:r>
      <w:r w:rsidRPr="009620E0">
        <w:rPr>
          <w:iCs/>
        </w:rPr>
        <w:t>3</w:t>
      </w:r>
      <w:r>
        <w:rPr>
          <w:iCs/>
        </w:rPr>
        <w:t>2</w:t>
      </w:r>
      <w:r w:rsidRPr="009620E0">
        <w:rPr>
          <w:iCs/>
        </w:rPr>
        <w:t>,</w:t>
      </w:r>
      <w:r>
        <w:rPr>
          <w:iCs/>
        </w:rPr>
        <w:t>9</w:t>
      </w:r>
      <w:r w:rsidRPr="009620E0">
        <w:rPr>
          <w:iCs/>
          <w:lang w:val="de-DE"/>
        </w:rPr>
        <w:t>%.</w:t>
      </w:r>
    </w:p>
    <w:p w14:paraId="2874CF12" w14:textId="5A9EDF35" w:rsidR="00D20935" w:rsidRPr="009620E0" w:rsidRDefault="00D20935" w:rsidP="008707C3">
      <w:pPr>
        <w:spacing w:after="120"/>
        <w:ind w:firstLine="567"/>
        <w:jc w:val="both"/>
        <w:rPr>
          <w:rFonts w:ascii="Arial" w:hAnsi="Arial" w:cs="Arial"/>
          <w:b/>
          <w:bCs/>
          <w:sz w:val="24"/>
          <w:lang w:val="de-DE"/>
        </w:rPr>
      </w:pPr>
      <w:r w:rsidRPr="009620E0">
        <w:rPr>
          <w:i/>
          <w:iCs/>
          <w:lang w:val="de-DE"/>
        </w:rPr>
        <w:t xml:space="preserve">Vốn đầu tư trực tiếp nước ngoài thực hiện tại Việt Nam </w:t>
      </w:r>
      <w:r>
        <w:rPr>
          <w:lang w:val="de-DE"/>
        </w:rPr>
        <w:t>hai</w:t>
      </w:r>
      <w:r w:rsidRPr="009620E0">
        <w:rPr>
          <w:iCs/>
          <w:lang w:val="de-DE"/>
        </w:rPr>
        <w:t xml:space="preserve"> tháng đầu năm 202</w:t>
      </w:r>
      <w:r>
        <w:rPr>
          <w:iCs/>
          <w:lang w:val="de-DE"/>
        </w:rPr>
        <w:t>5</w:t>
      </w:r>
      <w:r w:rsidRPr="009620E0">
        <w:rPr>
          <w:iCs/>
          <w:lang w:val="de-DE"/>
        </w:rPr>
        <w:t xml:space="preserve"> ước đạt 2,</w:t>
      </w:r>
      <w:r>
        <w:rPr>
          <w:iCs/>
          <w:lang w:val="de-DE"/>
        </w:rPr>
        <w:t>95</w:t>
      </w:r>
      <w:r w:rsidRPr="009620E0">
        <w:rPr>
          <w:iCs/>
          <w:lang w:val="de-DE"/>
        </w:rPr>
        <w:t xml:space="preserve"> tỷ USD, tăng </w:t>
      </w:r>
      <w:r>
        <w:rPr>
          <w:iCs/>
          <w:lang w:val="de-DE"/>
        </w:rPr>
        <w:t>5</w:t>
      </w:r>
      <w:r w:rsidRPr="009620E0">
        <w:rPr>
          <w:iCs/>
          <w:lang w:val="de-DE"/>
        </w:rPr>
        <w:t>,</w:t>
      </w:r>
      <w:r>
        <w:rPr>
          <w:iCs/>
          <w:lang w:val="de-DE"/>
        </w:rPr>
        <w:t>4</w:t>
      </w:r>
      <w:r w:rsidRPr="009620E0">
        <w:rPr>
          <w:iCs/>
          <w:lang w:val="de-DE"/>
        </w:rPr>
        <w:t>% so với cùng kỳ năm trước. Đây là số vốn đầu tư trực tiếp nước ngoài thực hiện cao nhất của</w:t>
      </w:r>
      <w:r>
        <w:rPr>
          <w:iCs/>
          <w:lang w:val="de-DE"/>
        </w:rPr>
        <w:t xml:space="preserve"> hai</w:t>
      </w:r>
      <w:r w:rsidRPr="009620E0">
        <w:rPr>
          <w:iCs/>
          <w:lang w:val="de-DE"/>
        </w:rPr>
        <w:t xml:space="preserve"> tháng trong 5 năm qua. Trong đó: Công nghiệp chế biến, chế tạo đạt 2,</w:t>
      </w:r>
      <w:r>
        <w:rPr>
          <w:iCs/>
          <w:lang w:val="de-DE"/>
        </w:rPr>
        <w:t>42</w:t>
      </w:r>
      <w:r w:rsidRPr="009620E0">
        <w:rPr>
          <w:iCs/>
          <w:lang w:val="de-DE"/>
        </w:rPr>
        <w:t xml:space="preserve"> tỷ USD, chiếm </w:t>
      </w:r>
      <w:r>
        <w:rPr>
          <w:iCs/>
          <w:lang w:val="de-DE"/>
        </w:rPr>
        <w:t>82</w:t>
      </w:r>
      <w:r w:rsidRPr="009620E0">
        <w:rPr>
          <w:iCs/>
        </w:rPr>
        <w:t>,</w:t>
      </w:r>
      <w:r>
        <w:rPr>
          <w:iCs/>
        </w:rPr>
        <w:t>1</w:t>
      </w:r>
      <w:r w:rsidRPr="009620E0">
        <w:rPr>
          <w:iCs/>
          <w:lang w:val="de-DE"/>
        </w:rPr>
        <w:t>% tổng vốn đầu tư trực tiếp nước ngoài thực hiện; hoạt động kinh doanh bất động sản đạt 2</w:t>
      </w:r>
      <w:r>
        <w:rPr>
          <w:iCs/>
          <w:lang w:val="de-DE"/>
        </w:rPr>
        <w:t>03</w:t>
      </w:r>
      <w:r w:rsidRPr="009620E0">
        <w:rPr>
          <w:iCs/>
        </w:rPr>
        <w:t xml:space="preserve"> triệu</w:t>
      </w:r>
      <w:r w:rsidRPr="009620E0">
        <w:rPr>
          <w:iCs/>
          <w:lang w:val="de-DE"/>
        </w:rPr>
        <w:t xml:space="preserve"> USD, chiếm </w:t>
      </w:r>
      <w:r>
        <w:rPr>
          <w:iCs/>
          <w:lang w:val="de-DE"/>
        </w:rPr>
        <w:t>6,9</w:t>
      </w:r>
      <w:r w:rsidRPr="009620E0">
        <w:rPr>
          <w:iCs/>
          <w:lang w:val="de-DE"/>
        </w:rPr>
        <w:t xml:space="preserve">%; sản xuất, phân phối điện, khí đốt, nước nóng, hơi nước và điều hòa không khí đạt </w:t>
      </w:r>
      <w:r w:rsidRPr="009620E0">
        <w:rPr>
          <w:iCs/>
        </w:rPr>
        <w:t>1</w:t>
      </w:r>
      <w:r>
        <w:rPr>
          <w:iCs/>
        </w:rPr>
        <w:t>22</w:t>
      </w:r>
      <w:r w:rsidRPr="009620E0">
        <w:rPr>
          <w:iCs/>
          <w:lang w:val="de-DE"/>
        </w:rPr>
        <w:t xml:space="preserve"> triệu USD, chiếm 4,</w:t>
      </w:r>
      <w:r>
        <w:rPr>
          <w:iCs/>
          <w:lang w:val="de-DE"/>
        </w:rPr>
        <w:t>1</w:t>
      </w:r>
      <w:r w:rsidRPr="009620E0">
        <w:rPr>
          <w:iCs/>
          <w:lang w:val="de-DE"/>
        </w:rPr>
        <w:t>%.</w:t>
      </w:r>
    </w:p>
    <w:p w14:paraId="2438A8D4" w14:textId="384BA137" w:rsidR="00D20935" w:rsidRPr="009620E0" w:rsidRDefault="00D20935" w:rsidP="00D20935">
      <w:pPr>
        <w:jc w:val="center"/>
        <w:rPr>
          <w:rFonts w:ascii="Arial" w:hAnsi="Arial" w:cs="Arial"/>
          <w:b/>
          <w:bCs/>
          <w:sz w:val="24"/>
          <w:lang w:val="de-DE"/>
        </w:rPr>
      </w:pPr>
      <w:r w:rsidRPr="009620E0">
        <w:rPr>
          <w:rFonts w:ascii="Arial" w:hAnsi="Arial" w:cs="Arial"/>
          <w:b/>
          <w:bCs/>
          <w:sz w:val="24"/>
          <w:lang w:val="de-DE"/>
        </w:rPr>
        <w:t xml:space="preserve">Hình </w:t>
      </w:r>
      <w:r w:rsidR="00C81562">
        <w:rPr>
          <w:rFonts w:ascii="Arial" w:hAnsi="Arial" w:cs="Arial"/>
          <w:b/>
          <w:bCs/>
          <w:sz w:val="24"/>
          <w:lang w:val="de-DE"/>
        </w:rPr>
        <w:t>8</w:t>
      </w:r>
      <w:r w:rsidRPr="009620E0">
        <w:rPr>
          <w:rFonts w:ascii="Arial" w:hAnsi="Arial" w:cs="Arial"/>
          <w:b/>
          <w:bCs/>
          <w:sz w:val="24"/>
          <w:lang w:val="de-DE"/>
        </w:rPr>
        <w:t>. Vốn đầu tư trực tiếp nước ngoài thực hiện</w:t>
      </w:r>
    </w:p>
    <w:p w14:paraId="2CB184D7" w14:textId="75A0DBB4" w:rsidR="00D20935" w:rsidRDefault="00D20935" w:rsidP="00D20935">
      <w:pPr>
        <w:jc w:val="center"/>
        <w:rPr>
          <w:rFonts w:ascii="Arial" w:hAnsi="Arial" w:cs="Arial"/>
          <w:b/>
          <w:bCs/>
          <w:sz w:val="24"/>
          <w:lang w:val="de-DE"/>
        </w:rPr>
      </w:pPr>
      <w:r w:rsidRPr="009620E0">
        <w:rPr>
          <w:rFonts w:ascii="Arial" w:hAnsi="Arial" w:cs="Arial"/>
          <w:b/>
          <w:bCs/>
          <w:sz w:val="24"/>
        </w:rPr>
        <w:t xml:space="preserve">2 tháng đầu </w:t>
      </w:r>
      <w:r w:rsidRPr="009620E0">
        <w:rPr>
          <w:rFonts w:ascii="Arial" w:hAnsi="Arial" w:cs="Arial"/>
          <w:b/>
          <w:bCs/>
          <w:sz w:val="24"/>
          <w:lang w:val="de-DE"/>
        </w:rPr>
        <w:t>các năm 202</w:t>
      </w:r>
      <w:r w:rsidR="00FF13A2">
        <w:rPr>
          <w:rFonts w:ascii="Arial" w:hAnsi="Arial" w:cs="Arial"/>
          <w:b/>
          <w:bCs/>
          <w:sz w:val="24"/>
          <w:lang w:val="de-DE"/>
        </w:rPr>
        <w:t>1</w:t>
      </w:r>
      <w:r w:rsidRPr="009620E0">
        <w:rPr>
          <w:rFonts w:ascii="Arial" w:hAnsi="Arial" w:cs="Arial"/>
          <w:b/>
          <w:bCs/>
          <w:sz w:val="24"/>
          <w:lang w:val="de-DE"/>
        </w:rPr>
        <w:t>-202</w:t>
      </w:r>
      <w:r w:rsidR="00FF13A2">
        <w:rPr>
          <w:rFonts w:ascii="Arial" w:hAnsi="Arial" w:cs="Arial"/>
          <w:b/>
          <w:bCs/>
          <w:sz w:val="24"/>
          <w:lang w:val="de-DE"/>
        </w:rPr>
        <w:t>5</w:t>
      </w:r>
      <w:r>
        <w:rPr>
          <w:rFonts w:ascii="Arial" w:hAnsi="Arial" w:cs="Arial"/>
          <w:b/>
          <w:bCs/>
          <w:sz w:val="24"/>
          <w:lang w:val="de-DE"/>
        </w:rPr>
        <w:t xml:space="preserve"> (Tỷ USD)</w:t>
      </w:r>
    </w:p>
    <w:p w14:paraId="3141EBF2" w14:textId="77777777" w:rsidR="00D20935" w:rsidRDefault="00D20935" w:rsidP="00D20935">
      <w:pPr>
        <w:jc w:val="center"/>
        <w:rPr>
          <w:rFonts w:ascii="Arial" w:hAnsi="Arial" w:cs="Arial"/>
          <w:b/>
          <w:bCs/>
          <w:sz w:val="24"/>
          <w:lang w:val="de-DE"/>
        </w:rPr>
      </w:pPr>
    </w:p>
    <w:p w14:paraId="49057376" w14:textId="77777777" w:rsidR="00D20935" w:rsidRPr="009620E0" w:rsidRDefault="00D20935" w:rsidP="00D20935">
      <w:pPr>
        <w:jc w:val="center"/>
        <w:rPr>
          <w:rFonts w:ascii="Arial" w:hAnsi="Arial" w:cs="Arial"/>
          <w:b/>
          <w:bCs/>
          <w:sz w:val="24"/>
          <w:lang w:val="de-DE"/>
        </w:rPr>
      </w:pPr>
      <w:r>
        <w:rPr>
          <w:noProof/>
          <w:lang w:val="en-US"/>
        </w:rPr>
        <w:drawing>
          <wp:inline distT="0" distB="0" distL="0" distR="0" wp14:anchorId="27FA312D" wp14:editId="6A001EE4">
            <wp:extent cx="4572000" cy="1431758"/>
            <wp:effectExtent l="0" t="0" r="0"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21B2F8" w14:textId="678C1899" w:rsidR="00D20935" w:rsidRPr="009620E0" w:rsidRDefault="00D20935" w:rsidP="008707C3">
      <w:pPr>
        <w:spacing w:after="120"/>
        <w:ind w:firstLine="567"/>
        <w:jc w:val="both"/>
        <w:rPr>
          <w:i/>
          <w:iCs/>
          <w:lang w:val="de-DE"/>
        </w:rPr>
      </w:pPr>
      <w:r w:rsidRPr="009620E0">
        <w:rPr>
          <w:i/>
          <w:iCs/>
          <w:lang w:val="de-DE"/>
        </w:rPr>
        <w:t>Đầu tư của Việt Nam ra nước ngoài</w:t>
      </w:r>
      <w:r w:rsidRPr="009620E0">
        <w:rPr>
          <w:iCs/>
          <w:lang w:val="de-DE"/>
        </w:rPr>
        <w:t xml:space="preserve"> trong </w:t>
      </w:r>
      <w:r>
        <w:rPr>
          <w:iCs/>
          <w:lang w:val="de-DE"/>
        </w:rPr>
        <w:t>hai</w:t>
      </w:r>
      <w:r w:rsidRPr="009620E0">
        <w:rPr>
          <w:iCs/>
          <w:lang w:val="de-DE"/>
        </w:rPr>
        <w:t xml:space="preserve"> tháng đầu năm 202</w:t>
      </w:r>
      <w:r>
        <w:rPr>
          <w:iCs/>
          <w:lang w:val="de-DE"/>
        </w:rPr>
        <w:t>5</w:t>
      </w:r>
      <w:r w:rsidRPr="009620E0">
        <w:rPr>
          <w:iCs/>
          <w:lang w:val="de-DE"/>
        </w:rPr>
        <w:t xml:space="preserve"> có </w:t>
      </w:r>
      <w:r>
        <w:rPr>
          <w:iCs/>
          <w:lang w:val="de-DE"/>
        </w:rPr>
        <w:t>30</w:t>
      </w:r>
      <w:r w:rsidRPr="009620E0">
        <w:rPr>
          <w:iCs/>
          <w:lang w:val="de-DE"/>
        </w:rPr>
        <w:t xml:space="preserve"> dự án được cấp mới giấy chứng nhận đầu tư với tổng số vốn của phía Việt Nam là </w:t>
      </w:r>
      <w:r w:rsidRPr="009620E0">
        <w:rPr>
          <w:iCs/>
        </w:rPr>
        <w:t>2</w:t>
      </w:r>
      <w:r>
        <w:rPr>
          <w:iCs/>
        </w:rPr>
        <w:t>33</w:t>
      </w:r>
      <w:r w:rsidRPr="009620E0">
        <w:rPr>
          <w:iCs/>
          <w:lang w:val="de-DE"/>
        </w:rPr>
        <w:t>,</w:t>
      </w:r>
      <w:r>
        <w:rPr>
          <w:iCs/>
          <w:lang w:val="de-DE"/>
        </w:rPr>
        <w:t>6</w:t>
      </w:r>
      <w:r w:rsidRPr="009620E0">
        <w:rPr>
          <w:iCs/>
          <w:lang w:val="de-DE"/>
        </w:rPr>
        <w:t xml:space="preserve"> triệu USD, </w:t>
      </w:r>
      <w:r>
        <w:rPr>
          <w:iCs/>
          <w:lang w:val="de-DE"/>
        </w:rPr>
        <w:t>gấp 9,4 lần</w:t>
      </w:r>
      <w:r w:rsidRPr="009620E0">
        <w:rPr>
          <w:iCs/>
          <w:lang w:val="de-DE"/>
        </w:rPr>
        <w:t xml:space="preserve"> so với cùng kỳ năm trước; có 0</w:t>
      </w:r>
      <w:r>
        <w:rPr>
          <w:iCs/>
          <w:lang w:val="de-DE"/>
        </w:rPr>
        <w:t>5</w:t>
      </w:r>
      <w:r w:rsidRPr="009620E0">
        <w:rPr>
          <w:iCs/>
          <w:lang w:val="de-DE"/>
        </w:rPr>
        <w:t xml:space="preserve"> lượt dự án điều chỉnh vốn với số vốn điều chỉnh tăng </w:t>
      </w:r>
      <w:r>
        <w:rPr>
          <w:iCs/>
          <w:lang w:val="de-DE"/>
        </w:rPr>
        <w:t>5,4 triệu</w:t>
      </w:r>
      <w:r w:rsidRPr="009620E0">
        <w:rPr>
          <w:iCs/>
          <w:lang w:val="de-DE"/>
        </w:rPr>
        <w:t xml:space="preserve"> USD, </w:t>
      </w:r>
      <w:r>
        <w:rPr>
          <w:iCs/>
          <w:lang w:val="de-DE"/>
        </w:rPr>
        <w:t>gấp 24,3 lần.</w:t>
      </w:r>
    </w:p>
    <w:p w14:paraId="52DB9A4D" w14:textId="77777777" w:rsidR="00D20935" w:rsidRPr="009620E0" w:rsidRDefault="00D20935" w:rsidP="008707C3">
      <w:pPr>
        <w:spacing w:after="120"/>
        <w:ind w:firstLine="567"/>
        <w:jc w:val="both"/>
        <w:rPr>
          <w:iCs/>
          <w:lang w:val="de-DE"/>
        </w:rPr>
      </w:pPr>
      <w:r w:rsidRPr="009620E0">
        <w:rPr>
          <w:iCs/>
          <w:lang w:val="de-DE"/>
        </w:rPr>
        <w:t xml:space="preserve">Tính chung tổng vốn đầu tư của Việt Nam ra nước ngoài </w:t>
      </w:r>
      <w:r>
        <w:rPr>
          <w:iCs/>
          <w:lang w:val="de-DE"/>
        </w:rPr>
        <w:t>(vốn cấp mới và điều chỉnh) gần 239</w:t>
      </w:r>
      <w:r w:rsidRPr="009620E0">
        <w:rPr>
          <w:iCs/>
          <w:lang w:val="de-DE"/>
        </w:rPr>
        <w:t xml:space="preserve"> triệu USD, </w:t>
      </w:r>
      <w:r>
        <w:rPr>
          <w:iCs/>
          <w:lang w:val="de-DE"/>
        </w:rPr>
        <w:t>gấp 9,5 lần</w:t>
      </w:r>
      <w:r w:rsidRPr="009620E0">
        <w:rPr>
          <w:iCs/>
          <w:lang w:val="de-DE"/>
        </w:rPr>
        <w:t xml:space="preserve"> so với cùng kỳ năm trước. Trong đó: </w:t>
      </w:r>
      <w:r>
        <w:rPr>
          <w:iCs/>
          <w:lang w:val="de-DE"/>
        </w:rPr>
        <w:t>S</w:t>
      </w:r>
      <w:r w:rsidRPr="009620E0">
        <w:rPr>
          <w:iCs/>
          <w:lang w:val="de-DE"/>
        </w:rPr>
        <w:t xml:space="preserve">ản xuất, phân phối điện, khí đốt, nước nóng, hơi nước và điều hòa không khí đạt </w:t>
      </w:r>
      <w:r>
        <w:rPr>
          <w:iCs/>
          <w:lang w:val="de-DE"/>
        </w:rPr>
        <w:t>111</w:t>
      </w:r>
      <w:r w:rsidRPr="009620E0">
        <w:rPr>
          <w:iCs/>
          <w:lang w:val="de-DE"/>
        </w:rPr>
        <w:t>,</w:t>
      </w:r>
      <w:r>
        <w:rPr>
          <w:iCs/>
          <w:lang w:val="de-DE"/>
        </w:rPr>
        <w:t>2</w:t>
      </w:r>
      <w:r w:rsidRPr="009620E0">
        <w:rPr>
          <w:iCs/>
          <w:lang w:val="de-DE"/>
        </w:rPr>
        <w:t xml:space="preserve"> triệu USD, chiếm </w:t>
      </w:r>
      <w:r>
        <w:rPr>
          <w:iCs/>
          <w:lang w:val="de-DE"/>
        </w:rPr>
        <w:t>46</w:t>
      </w:r>
      <w:r w:rsidRPr="009620E0">
        <w:rPr>
          <w:iCs/>
          <w:lang w:val="de-DE"/>
        </w:rPr>
        <w:t>,</w:t>
      </w:r>
      <w:r>
        <w:rPr>
          <w:iCs/>
          <w:lang w:val="de-DE"/>
        </w:rPr>
        <w:t>5</w:t>
      </w:r>
      <w:r w:rsidRPr="009620E0">
        <w:rPr>
          <w:iCs/>
          <w:lang w:val="de-DE"/>
        </w:rPr>
        <w:t xml:space="preserve">% tổng vốn đầu tư; </w:t>
      </w:r>
      <w:r>
        <w:rPr>
          <w:iCs/>
          <w:lang w:val="de-DE"/>
        </w:rPr>
        <w:t>c</w:t>
      </w:r>
      <w:r w:rsidRPr="009620E0">
        <w:rPr>
          <w:iCs/>
          <w:lang w:val="de-DE"/>
        </w:rPr>
        <w:t xml:space="preserve">ông nghiệp chế biến, chế tạo đạt </w:t>
      </w:r>
      <w:r>
        <w:rPr>
          <w:iCs/>
          <w:lang w:val="de-DE"/>
        </w:rPr>
        <w:t>6</w:t>
      </w:r>
      <w:r w:rsidRPr="009620E0">
        <w:rPr>
          <w:iCs/>
          <w:lang w:val="de-DE"/>
        </w:rPr>
        <w:t>5</w:t>
      </w:r>
      <w:r>
        <w:rPr>
          <w:iCs/>
          <w:lang w:val="de-DE"/>
        </w:rPr>
        <w:t>,6</w:t>
      </w:r>
      <w:r w:rsidRPr="009620E0">
        <w:rPr>
          <w:iCs/>
          <w:lang w:val="de-DE"/>
        </w:rPr>
        <w:t xml:space="preserve"> triệu USD, chiếm 2</w:t>
      </w:r>
      <w:r>
        <w:rPr>
          <w:iCs/>
          <w:lang w:val="de-DE"/>
        </w:rPr>
        <w:t>7</w:t>
      </w:r>
      <w:r w:rsidRPr="009620E0">
        <w:rPr>
          <w:iCs/>
          <w:lang w:val="de-DE"/>
        </w:rPr>
        <w:t>,</w:t>
      </w:r>
      <w:r>
        <w:rPr>
          <w:iCs/>
          <w:lang w:val="de-DE"/>
        </w:rPr>
        <w:t>4</w:t>
      </w:r>
      <w:r w:rsidRPr="009620E0">
        <w:rPr>
          <w:iCs/>
          <w:lang w:val="de-DE"/>
        </w:rPr>
        <w:t xml:space="preserve">%; </w:t>
      </w:r>
      <w:r>
        <w:rPr>
          <w:iCs/>
          <w:lang w:val="de-DE"/>
        </w:rPr>
        <w:t>khai khoáng</w:t>
      </w:r>
      <w:r w:rsidRPr="009620E0">
        <w:rPr>
          <w:iCs/>
          <w:lang w:val="de-DE"/>
        </w:rPr>
        <w:t xml:space="preserve"> đạt </w:t>
      </w:r>
      <w:r>
        <w:rPr>
          <w:iCs/>
        </w:rPr>
        <w:t>41</w:t>
      </w:r>
      <w:r w:rsidRPr="009620E0">
        <w:rPr>
          <w:iCs/>
          <w:lang w:val="de-DE"/>
        </w:rPr>
        <w:t xml:space="preserve"> triệu USD; chiếm </w:t>
      </w:r>
      <w:r>
        <w:rPr>
          <w:iCs/>
          <w:lang w:val="de-DE"/>
        </w:rPr>
        <w:t>17,1</w:t>
      </w:r>
      <w:r w:rsidRPr="009620E0">
        <w:rPr>
          <w:iCs/>
          <w:lang w:val="de-DE"/>
        </w:rPr>
        <w:t>%.</w:t>
      </w:r>
    </w:p>
    <w:p w14:paraId="4DBB5D61" w14:textId="7EEC8B23" w:rsidR="00D20935" w:rsidRPr="009620E0" w:rsidRDefault="00D20935" w:rsidP="008707C3">
      <w:pPr>
        <w:spacing w:after="120"/>
        <w:ind w:firstLine="567"/>
        <w:jc w:val="both"/>
      </w:pPr>
      <w:r w:rsidRPr="009620E0">
        <w:rPr>
          <w:iCs/>
          <w:spacing w:val="2"/>
          <w:lang w:val="de-DE"/>
        </w:rPr>
        <w:t xml:space="preserve">Trong </w:t>
      </w:r>
      <w:r>
        <w:rPr>
          <w:iCs/>
          <w:spacing w:val="2"/>
          <w:lang w:val="de-DE"/>
        </w:rPr>
        <w:t>hai</w:t>
      </w:r>
      <w:r w:rsidRPr="009620E0">
        <w:rPr>
          <w:iCs/>
          <w:spacing w:val="2"/>
          <w:lang w:val="de-DE"/>
        </w:rPr>
        <w:t xml:space="preserve"> tháng đầu năm 202</w:t>
      </w:r>
      <w:r>
        <w:rPr>
          <w:iCs/>
          <w:spacing w:val="2"/>
          <w:lang w:val="de-DE"/>
        </w:rPr>
        <w:t>5</w:t>
      </w:r>
      <w:r w:rsidRPr="009620E0">
        <w:rPr>
          <w:iCs/>
          <w:spacing w:val="2"/>
          <w:lang w:val="de-DE"/>
        </w:rPr>
        <w:t xml:space="preserve"> có </w:t>
      </w:r>
      <w:r>
        <w:rPr>
          <w:iCs/>
          <w:spacing w:val="2"/>
          <w:lang w:val="de-DE"/>
        </w:rPr>
        <w:t>22</w:t>
      </w:r>
      <w:r w:rsidRPr="009620E0">
        <w:rPr>
          <w:iCs/>
          <w:spacing w:val="2"/>
          <w:lang w:val="de-DE"/>
        </w:rPr>
        <w:t xml:space="preserve"> quốc gia và vùng lãnh thổ nhận đầu tư của Việt Nam, trong đó: </w:t>
      </w:r>
      <w:r>
        <w:rPr>
          <w:iCs/>
          <w:spacing w:val="2"/>
          <w:lang w:val="de-DE"/>
        </w:rPr>
        <w:t xml:space="preserve">Lào </w:t>
      </w:r>
      <w:r w:rsidRPr="009620E0">
        <w:rPr>
          <w:iCs/>
          <w:spacing w:val="2"/>
          <w:lang w:val="de-DE"/>
        </w:rPr>
        <w:t xml:space="preserve">là nước dẫn đầu với </w:t>
      </w:r>
      <w:r>
        <w:rPr>
          <w:iCs/>
          <w:spacing w:val="2"/>
          <w:lang w:val="de-DE"/>
        </w:rPr>
        <w:t>139</w:t>
      </w:r>
      <w:r w:rsidRPr="009620E0">
        <w:rPr>
          <w:iCs/>
          <w:spacing w:val="2"/>
          <w:lang w:val="de-DE"/>
        </w:rPr>
        <w:t xml:space="preserve">,7 triệu USD, chiếm </w:t>
      </w:r>
      <w:r>
        <w:rPr>
          <w:iCs/>
          <w:spacing w:val="2"/>
          <w:lang w:val="de-DE"/>
        </w:rPr>
        <w:t>58</w:t>
      </w:r>
      <w:r w:rsidRPr="009620E0">
        <w:rPr>
          <w:iCs/>
          <w:spacing w:val="2"/>
          <w:lang w:val="de-DE"/>
        </w:rPr>
        <w:t>,</w:t>
      </w:r>
      <w:r>
        <w:rPr>
          <w:iCs/>
          <w:spacing w:val="2"/>
          <w:lang w:val="de-DE"/>
        </w:rPr>
        <w:t>4</w:t>
      </w:r>
      <w:r w:rsidRPr="009620E0">
        <w:rPr>
          <w:iCs/>
          <w:spacing w:val="2"/>
          <w:lang w:val="de-DE"/>
        </w:rPr>
        <w:t xml:space="preserve">% tổng vốn đầu tư; </w:t>
      </w:r>
      <w:r>
        <w:rPr>
          <w:iCs/>
          <w:spacing w:val="2"/>
          <w:lang w:val="de-DE"/>
        </w:rPr>
        <w:t>Phi-li-pin</w:t>
      </w:r>
      <w:r w:rsidRPr="009620E0">
        <w:rPr>
          <w:iCs/>
          <w:spacing w:val="2"/>
          <w:lang w:val="de-DE"/>
        </w:rPr>
        <w:t xml:space="preserve"> </w:t>
      </w:r>
      <w:r>
        <w:rPr>
          <w:iCs/>
          <w:spacing w:val="2"/>
          <w:lang w:val="de-DE"/>
        </w:rPr>
        <w:t>34</w:t>
      </w:r>
      <w:r w:rsidRPr="009620E0">
        <w:rPr>
          <w:iCs/>
          <w:spacing w:val="2"/>
          <w:lang w:val="de-DE"/>
        </w:rPr>
        <w:t>,</w:t>
      </w:r>
      <w:r>
        <w:rPr>
          <w:iCs/>
          <w:spacing w:val="2"/>
          <w:lang w:val="de-DE"/>
        </w:rPr>
        <w:t>2</w:t>
      </w:r>
      <w:r w:rsidRPr="009620E0">
        <w:rPr>
          <w:iCs/>
          <w:spacing w:val="2"/>
          <w:lang w:val="de-DE"/>
        </w:rPr>
        <w:t xml:space="preserve"> triệu USD, chiếm </w:t>
      </w:r>
      <w:r>
        <w:rPr>
          <w:iCs/>
          <w:spacing w:val="2"/>
          <w:lang w:val="de-DE"/>
        </w:rPr>
        <w:t>14</w:t>
      </w:r>
      <w:r w:rsidRPr="009620E0">
        <w:rPr>
          <w:iCs/>
          <w:spacing w:val="2"/>
          <w:lang w:val="de-DE"/>
        </w:rPr>
        <w:t>,</w:t>
      </w:r>
      <w:r>
        <w:rPr>
          <w:iCs/>
          <w:spacing w:val="2"/>
          <w:lang w:val="de-DE"/>
        </w:rPr>
        <w:t>3</w:t>
      </w:r>
      <w:r w:rsidRPr="009620E0">
        <w:rPr>
          <w:iCs/>
          <w:spacing w:val="2"/>
          <w:lang w:val="de-DE"/>
        </w:rPr>
        <w:t xml:space="preserve">%; </w:t>
      </w:r>
      <w:r>
        <w:rPr>
          <w:iCs/>
          <w:spacing w:val="2"/>
          <w:lang w:val="de-DE"/>
        </w:rPr>
        <w:t>In-</w:t>
      </w:r>
      <w:r w:rsidR="00C26DA1">
        <w:rPr>
          <w:iCs/>
          <w:spacing w:val="2"/>
          <w:lang w:val="de-DE"/>
        </w:rPr>
        <w:t>đ</w:t>
      </w:r>
      <w:r>
        <w:rPr>
          <w:iCs/>
          <w:spacing w:val="2"/>
          <w:lang w:val="de-DE"/>
        </w:rPr>
        <w:t>ô-nê-xi-a 31</w:t>
      </w:r>
      <w:r w:rsidRPr="009620E0">
        <w:rPr>
          <w:iCs/>
          <w:spacing w:val="2"/>
          <w:lang w:val="de-DE"/>
        </w:rPr>
        <w:t>,</w:t>
      </w:r>
      <w:r>
        <w:rPr>
          <w:iCs/>
          <w:spacing w:val="2"/>
          <w:lang w:val="de-DE"/>
        </w:rPr>
        <w:t>1</w:t>
      </w:r>
      <w:r w:rsidRPr="009620E0">
        <w:rPr>
          <w:iCs/>
          <w:spacing w:val="2"/>
          <w:lang w:val="de-DE"/>
        </w:rPr>
        <w:t xml:space="preserve"> triệu USD, chiếm </w:t>
      </w:r>
      <w:r>
        <w:rPr>
          <w:iCs/>
          <w:spacing w:val="2"/>
          <w:lang w:val="de-DE"/>
        </w:rPr>
        <w:t>13</w:t>
      </w:r>
      <w:r w:rsidRPr="009620E0">
        <w:rPr>
          <w:iCs/>
          <w:spacing w:val="2"/>
          <w:lang w:val="de-DE"/>
        </w:rPr>
        <w:t xml:space="preserve">%; </w:t>
      </w:r>
      <w:r>
        <w:rPr>
          <w:iCs/>
          <w:spacing w:val="2"/>
        </w:rPr>
        <w:t>Quần đảo Virgin thuộc Anh</w:t>
      </w:r>
      <w:r w:rsidRPr="009620E0">
        <w:rPr>
          <w:iCs/>
          <w:spacing w:val="2"/>
        </w:rPr>
        <w:t xml:space="preserve"> </w:t>
      </w:r>
      <w:r w:rsidRPr="009620E0">
        <w:rPr>
          <w:iCs/>
          <w:spacing w:val="2"/>
          <w:lang w:val="de-DE"/>
        </w:rPr>
        <w:t xml:space="preserve">đạt </w:t>
      </w:r>
      <w:r>
        <w:rPr>
          <w:iCs/>
          <w:spacing w:val="2"/>
          <w:lang w:val="de-DE"/>
        </w:rPr>
        <w:t>21,0</w:t>
      </w:r>
      <w:r w:rsidRPr="009620E0">
        <w:rPr>
          <w:iCs/>
          <w:spacing w:val="2"/>
          <w:lang w:val="de-DE"/>
        </w:rPr>
        <w:t xml:space="preserve"> triệu USD, chiếm </w:t>
      </w:r>
      <w:r>
        <w:rPr>
          <w:iCs/>
          <w:spacing w:val="2"/>
          <w:lang w:val="de-DE"/>
        </w:rPr>
        <w:t>8</w:t>
      </w:r>
      <w:r w:rsidRPr="009620E0">
        <w:rPr>
          <w:iCs/>
          <w:spacing w:val="2"/>
          <w:lang w:val="de-DE"/>
        </w:rPr>
        <w:t>,</w:t>
      </w:r>
      <w:r>
        <w:rPr>
          <w:iCs/>
          <w:spacing w:val="2"/>
          <w:lang w:val="de-DE"/>
        </w:rPr>
        <w:t>8</w:t>
      </w:r>
      <w:r w:rsidRPr="009620E0">
        <w:rPr>
          <w:iCs/>
          <w:spacing w:val="2"/>
          <w:lang w:val="de-DE"/>
        </w:rPr>
        <w:t xml:space="preserve">%; </w:t>
      </w:r>
      <w:r>
        <w:rPr>
          <w:iCs/>
          <w:spacing w:val="2"/>
          <w:lang w:val="de-DE"/>
        </w:rPr>
        <w:t>Cu-ba 4,0</w:t>
      </w:r>
      <w:r w:rsidRPr="009620E0">
        <w:rPr>
          <w:iCs/>
          <w:spacing w:val="2"/>
          <w:lang w:val="de-DE"/>
        </w:rPr>
        <w:t xml:space="preserve"> triệu USD, chiếm </w:t>
      </w:r>
      <w:r>
        <w:rPr>
          <w:iCs/>
          <w:spacing w:val="2"/>
          <w:lang w:val="de-DE"/>
        </w:rPr>
        <w:t>1</w:t>
      </w:r>
      <w:r w:rsidRPr="009620E0">
        <w:rPr>
          <w:iCs/>
          <w:spacing w:val="2"/>
          <w:lang w:val="de-DE"/>
        </w:rPr>
        <w:t>,</w:t>
      </w:r>
      <w:r>
        <w:rPr>
          <w:iCs/>
          <w:spacing w:val="2"/>
          <w:lang w:val="de-DE"/>
        </w:rPr>
        <w:t>7</w:t>
      </w:r>
      <w:r w:rsidRPr="009620E0">
        <w:rPr>
          <w:iCs/>
          <w:spacing w:val="2"/>
          <w:lang w:val="de-DE"/>
        </w:rPr>
        <w:t>%.</w:t>
      </w:r>
    </w:p>
    <w:p w14:paraId="4903EFC8" w14:textId="08D20C8C" w:rsidR="009E7DEF" w:rsidRPr="00C30E94" w:rsidRDefault="009E7DEF" w:rsidP="008707C3">
      <w:pPr>
        <w:spacing w:after="120"/>
        <w:ind w:firstLine="720"/>
        <w:jc w:val="both"/>
        <w:rPr>
          <w:b/>
          <w:bCs/>
          <w:lang w:val="en-US"/>
        </w:rPr>
      </w:pPr>
      <w:r w:rsidRPr="00C30E94">
        <w:rPr>
          <w:b/>
          <w:bCs/>
        </w:rPr>
        <w:t>5. Thu, chi ngân sách Nhà nước</w:t>
      </w:r>
      <w:r w:rsidRPr="00C30E94">
        <w:rPr>
          <w:rStyle w:val="FootnoteReference"/>
          <w:b/>
          <w:bCs/>
        </w:rPr>
        <w:footnoteReference w:id="16"/>
      </w:r>
    </w:p>
    <w:p w14:paraId="3712A53C" w14:textId="237BB03D" w:rsidR="009E7DEF" w:rsidRPr="00C30E94" w:rsidRDefault="009E7DEF" w:rsidP="008707C3">
      <w:pPr>
        <w:spacing w:after="120"/>
        <w:ind w:firstLine="720"/>
        <w:jc w:val="both"/>
        <w:rPr>
          <w:b/>
          <w:spacing w:val="-2"/>
          <w:sz w:val="10"/>
          <w:szCs w:val="10"/>
          <w:lang w:val="nl-NL"/>
        </w:rPr>
      </w:pPr>
      <w:r w:rsidRPr="00C30E94">
        <w:rPr>
          <w:i/>
          <w:spacing w:val="-2"/>
          <w:lang w:val="nl-NL"/>
        </w:rPr>
        <w:t>Thu ngân sách Nhà nước hai tháng đầu năm 2025 ước tăng 25,7% so với cùng kỳ năm trước</w:t>
      </w:r>
      <w:r w:rsidR="003A54BB" w:rsidRPr="00C30E94">
        <w:rPr>
          <w:rStyle w:val="FootnoteReference"/>
          <w:i/>
          <w:spacing w:val="-2"/>
          <w:lang w:val="nl-NL"/>
        </w:rPr>
        <w:footnoteReference w:id="17"/>
      </w:r>
      <w:r w:rsidRPr="00C30E94">
        <w:rPr>
          <w:i/>
          <w:spacing w:val="-2"/>
          <w:lang w:val="nl-NL"/>
        </w:rPr>
        <w:t xml:space="preserve">. Chi ngân sách Nhà nước ước tăng 13,2% so với cùng kỳ năm </w:t>
      </w:r>
      <w:r w:rsidRPr="00C30E94">
        <w:rPr>
          <w:i/>
          <w:spacing w:val="-2"/>
          <w:lang w:val="nl-NL"/>
        </w:rPr>
        <w:lastRenderedPageBreak/>
        <w:t>2024, đảm bảo các nhu cầu phát triển kinh tế - xã hội, quốc phòng, an ninh, quản lý nhà nước, thanh toán các khoản nợ đến hạn cũng như chi trả kịp thời cho các đối tượng theo quy định.</w:t>
      </w:r>
    </w:p>
    <w:p w14:paraId="6159BB39" w14:textId="14A39FBB" w:rsidR="009E7DEF" w:rsidRPr="00C30E94" w:rsidRDefault="009E7DEF" w:rsidP="009E7DEF">
      <w:pPr>
        <w:spacing w:before="120" w:after="120" w:line="264" w:lineRule="auto"/>
        <w:jc w:val="center"/>
        <w:rPr>
          <w:rFonts w:ascii="Arial" w:hAnsi="Arial" w:cs="Arial"/>
          <w:b/>
          <w:sz w:val="24"/>
          <w:szCs w:val="24"/>
          <w:lang w:val="nl-NL"/>
        </w:rPr>
      </w:pPr>
      <w:r w:rsidRPr="00C30E94">
        <w:rPr>
          <w:rFonts w:ascii="Arial" w:hAnsi="Arial" w:cs="Arial"/>
          <w:b/>
          <w:sz w:val="24"/>
          <w:szCs w:val="24"/>
          <w:lang w:val="nl-NL"/>
        </w:rPr>
        <w:t xml:space="preserve">Hình </w:t>
      </w:r>
      <w:r w:rsidR="00C81562">
        <w:rPr>
          <w:rFonts w:ascii="Arial" w:hAnsi="Arial" w:cs="Arial"/>
          <w:b/>
          <w:sz w:val="24"/>
          <w:szCs w:val="24"/>
          <w:lang w:val="nl-NL"/>
        </w:rPr>
        <w:t>9</w:t>
      </w:r>
      <w:r w:rsidRPr="00C30E94">
        <w:rPr>
          <w:rFonts w:ascii="Arial" w:hAnsi="Arial" w:cs="Arial"/>
          <w:b/>
          <w:sz w:val="24"/>
          <w:szCs w:val="24"/>
          <w:lang w:val="nl-NL"/>
        </w:rPr>
        <w:t>. Thu, chi ngân sách Nhà nước 02 tháng đầu năm 2025</w:t>
      </w:r>
    </w:p>
    <w:p w14:paraId="4A705E09" w14:textId="13F81AEB" w:rsidR="009E7DEF" w:rsidRPr="00C30E94" w:rsidRDefault="00B16E1C" w:rsidP="009E7DEF">
      <w:pPr>
        <w:spacing w:before="40" w:after="40" w:line="276" w:lineRule="auto"/>
        <w:jc w:val="center"/>
        <w:rPr>
          <w:b/>
          <w:i/>
          <w:lang w:val="it-IT"/>
        </w:rPr>
      </w:pPr>
      <w:r w:rsidRPr="00C30E94">
        <w:rPr>
          <w:b/>
          <w:i/>
          <w:noProof/>
          <w:lang w:val="en-US"/>
        </w:rPr>
        <w:drawing>
          <wp:inline distT="0" distB="0" distL="0" distR="0" wp14:anchorId="302D538F" wp14:editId="1081C5D9">
            <wp:extent cx="5699661" cy="1641764"/>
            <wp:effectExtent l="0" t="0" r="0" b="0"/>
            <wp:docPr id="903927539" name="Picture 1" descr="A cartoon of a piggy bank and money on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27539" name="Picture 1" descr="A cartoon of a piggy bank and money on a scale&#10;&#10;AI-generated content may be incorrect."/>
                    <pic:cNvPicPr/>
                  </pic:nvPicPr>
                  <pic:blipFill>
                    <a:blip r:embed="rId16"/>
                    <a:stretch>
                      <a:fillRect/>
                    </a:stretch>
                  </pic:blipFill>
                  <pic:spPr>
                    <a:xfrm>
                      <a:off x="0" y="0"/>
                      <a:ext cx="5725582" cy="1649230"/>
                    </a:xfrm>
                    <a:prstGeom prst="rect">
                      <a:avLst/>
                    </a:prstGeom>
                  </pic:spPr>
                </pic:pic>
              </a:graphicData>
            </a:graphic>
          </wp:inline>
        </w:drawing>
      </w:r>
    </w:p>
    <w:p w14:paraId="53D4616D" w14:textId="77777777" w:rsidR="009E7DEF" w:rsidRPr="00C30E94" w:rsidRDefault="009E7DEF" w:rsidP="008707C3">
      <w:pPr>
        <w:spacing w:after="120"/>
        <w:ind w:firstLine="720"/>
        <w:jc w:val="both"/>
        <w:rPr>
          <w:b/>
          <w:i/>
          <w:lang w:val="it-IT"/>
        </w:rPr>
      </w:pPr>
      <w:r w:rsidRPr="00C30E94">
        <w:rPr>
          <w:b/>
          <w:i/>
          <w:lang w:val="it-IT"/>
        </w:rPr>
        <w:t>Thu ngân sách Nhà nước</w:t>
      </w:r>
    </w:p>
    <w:p w14:paraId="15AA6A7E" w14:textId="77777777" w:rsidR="009E7DEF" w:rsidRPr="00C30E94" w:rsidRDefault="009E7DEF" w:rsidP="008707C3">
      <w:pPr>
        <w:spacing w:after="120"/>
        <w:ind w:firstLine="720"/>
        <w:jc w:val="both"/>
        <w:rPr>
          <w:lang w:val="nl-NL"/>
        </w:rPr>
      </w:pPr>
      <w:r w:rsidRPr="00C30E94">
        <w:rPr>
          <w:lang w:val="it-IT"/>
        </w:rPr>
        <w:t xml:space="preserve">Tổng thu ngân sách Nhà nước tháng 02/2025 ước đạt </w:t>
      </w:r>
      <w:r w:rsidRPr="00C30E94">
        <w:rPr>
          <w:lang w:val="nl-NL"/>
        </w:rPr>
        <w:t>191,9 nghìn tỷ đồng</w:t>
      </w:r>
      <w:r w:rsidRPr="00C30E94">
        <w:rPr>
          <w:lang w:val="it-IT"/>
        </w:rPr>
        <w:t>. Lũy kế tổng thu ngân sách Nhà nước hai tháng đầu năm 2025 đạt 499,8 nghìn tỷ đồng, bằng 25,4% dự toán năm và tăng 25,7% so với cùng kỳ năm trước</w:t>
      </w:r>
      <w:r w:rsidRPr="00C30E94">
        <w:rPr>
          <w:lang w:val="nl-NL"/>
        </w:rPr>
        <w:t>. Trong đó, một số khoản thu chính như sau:</w:t>
      </w:r>
    </w:p>
    <w:p w14:paraId="45C419B9" w14:textId="77777777" w:rsidR="009E7DEF" w:rsidRPr="00C30E94" w:rsidRDefault="009E7DEF" w:rsidP="008707C3">
      <w:pPr>
        <w:spacing w:after="120"/>
        <w:ind w:firstLine="720"/>
        <w:jc w:val="both"/>
        <w:rPr>
          <w:lang w:val="nl-NL"/>
        </w:rPr>
      </w:pPr>
      <w:r w:rsidRPr="00C30E94">
        <w:rPr>
          <w:i/>
          <w:lang w:val="nl-NL"/>
        </w:rPr>
        <w:t>- Thu nội địa</w:t>
      </w:r>
      <w:r w:rsidRPr="00C30E94">
        <w:rPr>
          <w:lang w:val="nl-NL"/>
        </w:rPr>
        <w:t xml:space="preserve"> tháng 02/2025 ước đạt 164,3 nghìn tỷ đồng. Lũy kế hai tháng đầu năm 2025 đạt 454,9 nghìn tỷ đồng, bằng 27,3% dự toán năm và tăng 28,9% </w:t>
      </w:r>
      <w:r w:rsidRPr="00C30E94">
        <w:rPr>
          <w:lang w:val="it-IT"/>
        </w:rPr>
        <w:t>so với cùng kỳ năm trước</w:t>
      </w:r>
      <w:r w:rsidRPr="00C30E94">
        <w:rPr>
          <w:lang w:val="nl-NL"/>
        </w:rPr>
        <w:t>.</w:t>
      </w:r>
    </w:p>
    <w:p w14:paraId="0F1B9FA8" w14:textId="77777777" w:rsidR="009E7DEF" w:rsidRPr="00C30E94" w:rsidRDefault="009E7DEF" w:rsidP="008707C3">
      <w:pPr>
        <w:spacing w:after="120"/>
        <w:ind w:firstLine="720"/>
        <w:jc w:val="both"/>
        <w:rPr>
          <w:lang w:val="nl-NL"/>
        </w:rPr>
      </w:pPr>
      <w:r w:rsidRPr="00C30E94">
        <w:rPr>
          <w:i/>
          <w:lang w:val="nl-NL"/>
        </w:rPr>
        <w:t xml:space="preserve">- Thu từ dầu thô </w:t>
      </w:r>
      <w:r w:rsidRPr="00C30E94">
        <w:rPr>
          <w:lang w:val="nl-NL"/>
        </w:rPr>
        <w:t xml:space="preserve">tháng 02/2025 ước đạt 4,0 nghìn tỷ đồng. Lũy kế hai tháng đầu năm 2025 đạt </w:t>
      </w:r>
      <w:r w:rsidRPr="00C30E94">
        <w:rPr>
          <w:lang w:val="it-IT"/>
        </w:rPr>
        <w:t xml:space="preserve">8,1 </w:t>
      </w:r>
      <w:r w:rsidRPr="00C30E94">
        <w:rPr>
          <w:lang w:val="nl-NL"/>
        </w:rPr>
        <w:t xml:space="preserve">nghìn tỷ đồng, bằng </w:t>
      </w:r>
      <w:r w:rsidRPr="00C30E94">
        <w:rPr>
          <w:lang w:val="it-IT"/>
        </w:rPr>
        <w:t>15,3</w:t>
      </w:r>
      <w:r w:rsidRPr="00C30E94">
        <w:rPr>
          <w:lang w:val="nl-NL"/>
        </w:rPr>
        <w:t xml:space="preserve">% dự toán năm và giảm 17,1% </w:t>
      </w:r>
      <w:r w:rsidRPr="00C30E94">
        <w:rPr>
          <w:lang w:val="it-IT"/>
        </w:rPr>
        <w:t>so với cùng kỳ năm trước</w:t>
      </w:r>
      <w:r w:rsidRPr="00C30E94">
        <w:rPr>
          <w:lang w:val="nl-NL"/>
        </w:rPr>
        <w:t xml:space="preserve">. </w:t>
      </w:r>
    </w:p>
    <w:p w14:paraId="31C8B484" w14:textId="77777777" w:rsidR="009E7DEF" w:rsidRPr="00C30E94" w:rsidRDefault="009E7DEF" w:rsidP="008707C3">
      <w:pPr>
        <w:spacing w:after="120"/>
        <w:ind w:firstLine="720"/>
        <w:jc w:val="both"/>
        <w:rPr>
          <w:lang w:val="nl-NL"/>
        </w:rPr>
      </w:pPr>
      <w:r w:rsidRPr="00C30E94">
        <w:rPr>
          <w:i/>
          <w:lang w:val="nl-NL"/>
        </w:rPr>
        <w:t>- Thu cân đối ngân sách từ hoạt động xuất, nhập khẩu</w:t>
      </w:r>
      <w:r w:rsidRPr="00C30E94">
        <w:rPr>
          <w:lang w:val="nl-NL"/>
        </w:rPr>
        <w:t xml:space="preserve"> tháng 02/2025 ước đạt 23,4 nghìn tỷ đồng. Lũy kế hai tháng đầu năm 2025 đạt 36,5 nghìn tỷ đồng, bằng </w:t>
      </w:r>
      <w:r w:rsidRPr="00C30E94">
        <w:rPr>
          <w:lang w:val="it-IT"/>
        </w:rPr>
        <w:t>15,5</w:t>
      </w:r>
      <w:r w:rsidRPr="00C30E94">
        <w:rPr>
          <w:lang w:val="nl-NL"/>
        </w:rPr>
        <w:t xml:space="preserve">% dự toán năm và tăng 4,4% </w:t>
      </w:r>
      <w:r w:rsidRPr="00C30E94">
        <w:rPr>
          <w:lang w:val="it-IT"/>
        </w:rPr>
        <w:t>so với cùng kỳ năm trước</w:t>
      </w:r>
      <w:r w:rsidRPr="00C30E94">
        <w:rPr>
          <w:lang w:val="nl-NL"/>
        </w:rPr>
        <w:t xml:space="preserve">. </w:t>
      </w:r>
    </w:p>
    <w:p w14:paraId="7BC2068A" w14:textId="77777777" w:rsidR="009E7DEF" w:rsidRPr="00C30E94" w:rsidRDefault="009E7DEF" w:rsidP="008707C3">
      <w:pPr>
        <w:spacing w:after="120"/>
        <w:ind w:firstLine="720"/>
        <w:jc w:val="both"/>
        <w:rPr>
          <w:b/>
          <w:i/>
          <w:lang w:val="nl-NL"/>
        </w:rPr>
      </w:pPr>
      <w:r w:rsidRPr="00C30E94">
        <w:rPr>
          <w:b/>
          <w:i/>
          <w:lang w:val="nl-NL"/>
        </w:rPr>
        <w:t>Chi ngân sách Nhà nước</w:t>
      </w:r>
    </w:p>
    <w:p w14:paraId="5D81CD20" w14:textId="77777777" w:rsidR="009E7DEF" w:rsidRPr="00DA1504" w:rsidRDefault="009E7DEF" w:rsidP="008707C3">
      <w:pPr>
        <w:spacing w:after="120"/>
        <w:ind w:firstLine="720"/>
        <w:jc w:val="both"/>
        <w:rPr>
          <w:spacing w:val="-4"/>
          <w:lang w:val="nl-NL"/>
        </w:rPr>
      </w:pPr>
      <w:r w:rsidRPr="00DA1504">
        <w:rPr>
          <w:spacing w:val="-4"/>
          <w:lang w:val="nl-NL"/>
        </w:rPr>
        <w:t>Tổng chi ngân sách Nhà nước tháng 02/2025 ước đạt 140,6 nghìn tỷ đồng; lũy kế hai tháng đầu năm 2025 ước đạt 293,8 nghìn tỷ đồng, bằng 11,5% dự toán năm và tăng 13,2% so với cùng kỳ năm trước</w:t>
      </w:r>
      <w:r w:rsidRPr="00DA1504">
        <w:rPr>
          <w:spacing w:val="-4"/>
        </w:rPr>
        <w:t>. T</w:t>
      </w:r>
      <w:r w:rsidRPr="00DA1504">
        <w:rPr>
          <w:spacing w:val="-4"/>
          <w:lang w:val="nl-NL"/>
        </w:rPr>
        <w:t>rong đó</w:t>
      </w:r>
      <w:r w:rsidRPr="00DA1504">
        <w:rPr>
          <w:spacing w:val="-4"/>
        </w:rPr>
        <w:t>, c</w:t>
      </w:r>
      <w:r w:rsidRPr="00DA1504">
        <w:rPr>
          <w:spacing w:val="-4"/>
          <w:lang w:val="nl-NL"/>
        </w:rPr>
        <w:t>hi thường xuyên hai tháng đầu năm 2025 đạt 210,0 nghìn tỷ đồng, bằng 13,4% dự toán năm và tăng 15,9% so với cùng kỳ năm trước; chi đầu tư phát triển ước đạt 60,4 nghìn tỷ đồng, bằng 7,6% và tăng 13,7%; chi trả nợ lãi 23,3 nghìn tỷ đồng, bằng 21,1% và giảm 7,1%.</w:t>
      </w:r>
    </w:p>
    <w:p w14:paraId="0EEF99A3" w14:textId="535E840C" w:rsidR="00353AD8" w:rsidRPr="00C30E94" w:rsidRDefault="00353AD8" w:rsidP="008707C3">
      <w:pPr>
        <w:pStyle w:val="Normal10"/>
        <w:spacing w:before="0" w:beforeAutospacing="0" w:after="120" w:afterAutospacing="0"/>
        <w:ind w:firstLine="720"/>
        <w:jc w:val="both"/>
        <w:rPr>
          <w:rFonts w:ascii="Times New Roman" w:hAnsi="Times New Roman" w:cs="Times New Roman"/>
          <w:b/>
          <w:bCs/>
          <w:sz w:val="28"/>
          <w:szCs w:val="28"/>
        </w:rPr>
      </w:pPr>
      <w:r w:rsidRPr="00C30E94">
        <w:rPr>
          <w:rFonts w:ascii="Times New Roman" w:hAnsi="Times New Roman" w:cs="Times New Roman"/>
          <w:b/>
          <w:bCs/>
          <w:sz w:val="28"/>
          <w:szCs w:val="28"/>
        </w:rPr>
        <w:t>6. Thương mại, giá cả, vận tải và du lịch</w:t>
      </w:r>
    </w:p>
    <w:p w14:paraId="04F41E71" w14:textId="77777777" w:rsidR="00C66D31" w:rsidRPr="00C30E94" w:rsidRDefault="00C66D31" w:rsidP="008707C3">
      <w:pPr>
        <w:spacing w:after="120"/>
        <w:ind w:firstLine="720"/>
        <w:rPr>
          <w:b/>
          <w:i/>
          <w:lang w:val="nl-NL"/>
        </w:rPr>
      </w:pPr>
      <w:bookmarkStart w:id="0" w:name="_Hlk89176061"/>
      <w:r w:rsidRPr="00C30E94">
        <w:rPr>
          <w:b/>
          <w:i/>
          <w:lang w:val="nl-NL"/>
        </w:rPr>
        <w:t>a) Bán lẻ hàng hóa và doanh thu dịch vụ tiêu dùng</w:t>
      </w:r>
    </w:p>
    <w:p w14:paraId="24408D40" w14:textId="77777777" w:rsidR="00C66D31" w:rsidRPr="00C30E94" w:rsidRDefault="00C66D31" w:rsidP="008707C3">
      <w:pPr>
        <w:spacing w:after="120"/>
        <w:ind w:firstLine="720"/>
        <w:jc w:val="both"/>
        <w:rPr>
          <w:i/>
          <w:lang w:val="nl-NL"/>
        </w:rPr>
      </w:pPr>
      <w:r w:rsidRPr="00C30E94">
        <w:rPr>
          <w:bCs/>
          <w:i/>
          <w:lang w:val="nl-NL"/>
        </w:rPr>
        <w:t xml:space="preserve">Nhu cầu tiêu dùng trong nước tăng cao trong kỳ nghỉ Tết Nguyên đán cùng với sự phục hồi mạnh mẽ của du lịch đã góp phần tích cực vào tăng trưởng của ngành thương mại dịch vụ. </w:t>
      </w:r>
      <w:r w:rsidRPr="00C30E94">
        <w:rPr>
          <w:i/>
          <w:lang w:val="nl-NL"/>
        </w:rPr>
        <w:t xml:space="preserve">Tổng mức bán lẻ hàng hóa và doanh thu dịch vụ tiêu </w:t>
      </w:r>
      <w:r w:rsidRPr="00C30E94">
        <w:rPr>
          <w:i/>
          <w:lang w:val="nl-NL"/>
        </w:rPr>
        <w:lastRenderedPageBreak/>
        <w:t xml:space="preserve">dùng tháng 02/2025 ước tăng 9,4% so với cùng kỳ năm trước. Tính chung hai tháng đầu năm 2025, tổng mức bán lẻ hàng hóa và doanh thu dịch vụ tiêu dùng tăng 9,4% so với cùng kỳ năm trước, trong đó doanh thu dịch vụ lưu trú, ăn uống tăng 12,5% và doanh thu du lịch lữ hành tăng 16,4%. </w:t>
      </w:r>
    </w:p>
    <w:p w14:paraId="5B778C91" w14:textId="03A47F27" w:rsidR="00C66D31" w:rsidRPr="00C30E94" w:rsidRDefault="00C66D31" w:rsidP="008707C3">
      <w:pPr>
        <w:spacing w:after="120"/>
        <w:ind w:firstLine="720"/>
        <w:jc w:val="both"/>
        <w:rPr>
          <w:bCs/>
          <w:iCs/>
          <w:spacing w:val="-2"/>
          <w:lang w:val="nl-NL"/>
        </w:rPr>
      </w:pPr>
      <w:r w:rsidRPr="00C30E94">
        <w:rPr>
          <w:bCs/>
          <w:iCs/>
          <w:spacing w:val="-2"/>
          <w:lang w:val="nl-NL"/>
        </w:rPr>
        <w:t xml:space="preserve">Tổng mức bán lẻ hàng hóa và doanh thu dịch vụ tiêu dùng theo giá hiện hành tháng 02/2025 ước đạt 561,7 nghìn tỷ đồng, </w:t>
      </w:r>
      <w:r w:rsidR="00774F1A" w:rsidRPr="00C30E94">
        <w:rPr>
          <w:bCs/>
          <w:iCs/>
          <w:spacing w:val="-2"/>
          <w:lang w:val="nl-NL"/>
        </w:rPr>
        <w:t>giảm 2,5% so với tháng trước và tăng 9,4% so với cùng kỳ năm trước</w:t>
      </w:r>
      <w:r w:rsidR="00774F1A" w:rsidRPr="00C30E94">
        <w:rPr>
          <w:rStyle w:val="FootnoteReference"/>
          <w:bCs/>
          <w:iCs/>
          <w:spacing w:val="-2"/>
          <w:lang w:val="nl-NL"/>
        </w:rPr>
        <w:footnoteReference w:id="18"/>
      </w:r>
      <w:r w:rsidR="00774F1A" w:rsidRPr="00C30E94">
        <w:rPr>
          <w:bCs/>
          <w:iCs/>
          <w:spacing w:val="-2"/>
          <w:lang w:val="nl-NL"/>
        </w:rPr>
        <w:t>,</w:t>
      </w:r>
      <w:r w:rsidRPr="00C30E94">
        <w:rPr>
          <w:bCs/>
          <w:iCs/>
          <w:spacing w:val="-2"/>
          <w:lang w:val="nl-NL"/>
        </w:rPr>
        <w:t xml:space="preserve"> trong đó doanh thu nhóm hàng vật phẩm văn hóa, giáo dục tăng 15,2%; đồ dùng, dụng cụ, trang thiết bị gia đình tăng 11,0%; hàng may mặc tăng 10,6%; l</w:t>
      </w:r>
      <w:r w:rsidRPr="00C30E94">
        <w:rPr>
          <w:iCs/>
          <w:spacing w:val="-2"/>
          <w:lang w:val="nl-NL"/>
        </w:rPr>
        <w:t>ương thực, thực phẩm tăng 7,3%; dịch vụ lưu trú, ăn uống tăng 12,7%; du lịch lữ hành tăng 17,3% do lượng khách quốc tế đến Việt Nam và khách Việt Nam đi du lịch nước ngoài tăng cao so với cùng kỳ năm trước.</w:t>
      </w:r>
      <w:r w:rsidRPr="00C30E94">
        <w:rPr>
          <w:bCs/>
          <w:iCs/>
          <w:spacing w:val="-2"/>
          <w:lang w:val="nl-NL"/>
        </w:rPr>
        <w:t xml:space="preserve"> </w:t>
      </w:r>
    </w:p>
    <w:p w14:paraId="145878FC" w14:textId="57696DF3" w:rsidR="00C66D31" w:rsidRPr="00C30E94" w:rsidRDefault="00C66D31" w:rsidP="00C66D31">
      <w:pPr>
        <w:spacing w:before="120" w:after="60" w:line="288" w:lineRule="auto"/>
        <w:ind w:right="-238"/>
        <w:jc w:val="center"/>
        <w:rPr>
          <w:rFonts w:ascii="Arial" w:hAnsi="Arial" w:cs="Arial"/>
          <w:b/>
          <w:bCs/>
          <w:sz w:val="24"/>
          <w:szCs w:val="24"/>
          <w:lang w:val="nl-NL"/>
        </w:rPr>
      </w:pPr>
      <w:r w:rsidRPr="00C30E94">
        <w:rPr>
          <w:rFonts w:ascii="Arial" w:hAnsi="Arial" w:cs="Arial"/>
          <w:b/>
          <w:sz w:val="24"/>
          <w:szCs w:val="24"/>
          <w:lang w:val="nl-NL"/>
        </w:rPr>
        <w:t xml:space="preserve">Biểu 3. </w:t>
      </w:r>
      <w:r w:rsidRPr="00C30E94">
        <w:rPr>
          <w:rFonts w:ascii="Arial" w:hAnsi="Arial" w:cs="Arial"/>
          <w:b/>
          <w:bCs/>
          <w:sz w:val="24"/>
          <w:szCs w:val="24"/>
          <w:lang w:val="nl-NL"/>
        </w:rPr>
        <w:t>Tổng mức bán lẻ hàng hóa và doanh thu dịch vụ tiêu dùng</w:t>
      </w:r>
      <w:r w:rsidRPr="00C30E94">
        <w:rPr>
          <w:rFonts w:ascii="Arial" w:hAnsi="Arial" w:cs="Arial"/>
          <w:b/>
          <w:bCs/>
          <w:sz w:val="24"/>
          <w:szCs w:val="24"/>
          <w:lang w:val="nl-NL"/>
        </w:rPr>
        <w:br/>
        <w:t>theo giá hiện hành</w:t>
      </w:r>
    </w:p>
    <w:p w14:paraId="21261B03" w14:textId="77777777" w:rsidR="00C66D31" w:rsidRPr="00C30E94" w:rsidRDefault="00C66D31" w:rsidP="00C66D31">
      <w:pPr>
        <w:tabs>
          <w:tab w:val="left" w:pos="2835"/>
        </w:tabs>
        <w:spacing w:before="60" w:after="60" w:line="288" w:lineRule="auto"/>
        <w:ind w:firstLine="561"/>
        <w:jc w:val="right"/>
        <w:rPr>
          <w:rFonts w:ascii="Arial" w:hAnsi="Arial" w:cs="Arial"/>
          <w:b/>
          <w:bCs/>
          <w:i/>
          <w:sz w:val="20"/>
          <w:szCs w:val="20"/>
        </w:rPr>
      </w:pPr>
      <w:r w:rsidRPr="00C30E94">
        <w:rPr>
          <w:rFonts w:ascii="Arial" w:hAnsi="Arial" w:cs="Arial"/>
          <w:b/>
          <w:bCs/>
          <w:i/>
          <w:sz w:val="20"/>
          <w:szCs w:val="20"/>
        </w:rPr>
        <w:t>Nghìn tỷ đồng</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1563"/>
        <w:gridCol w:w="1562"/>
        <w:gridCol w:w="1562"/>
        <w:gridCol w:w="1464"/>
      </w:tblGrid>
      <w:tr w:rsidR="00C30E94" w:rsidRPr="00C30E94" w14:paraId="21C4C0A3" w14:textId="77777777" w:rsidTr="0051761D">
        <w:trPr>
          <w:trHeight w:val="416"/>
        </w:trPr>
        <w:tc>
          <w:tcPr>
            <w:tcW w:w="2844" w:type="dxa"/>
            <w:vMerge w:val="restart"/>
            <w:tcBorders>
              <w:top w:val="single" w:sz="4" w:space="0" w:color="auto"/>
              <w:left w:val="nil"/>
              <w:bottom w:val="nil"/>
              <w:right w:val="nil"/>
            </w:tcBorders>
          </w:tcPr>
          <w:p w14:paraId="4DE71629" w14:textId="77777777" w:rsidR="00C66D31" w:rsidRPr="00C30E94" w:rsidRDefault="00C66D31" w:rsidP="0051761D">
            <w:pPr>
              <w:jc w:val="both"/>
              <w:rPr>
                <w:rFonts w:ascii="Arial" w:hAnsi="Arial" w:cs="Arial"/>
                <w:bCs/>
                <w:sz w:val="20"/>
                <w:szCs w:val="20"/>
                <w:lang w:val="it-IT"/>
              </w:rPr>
            </w:pPr>
          </w:p>
        </w:tc>
        <w:tc>
          <w:tcPr>
            <w:tcW w:w="1563" w:type="dxa"/>
            <w:vMerge w:val="restart"/>
            <w:tcBorders>
              <w:top w:val="single" w:sz="4" w:space="0" w:color="auto"/>
              <w:left w:val="nil"/>
              <w:bottom w:val="single" w:sz="4" w:space="0" w:color="auto"/>
              <w:right w:val="nil"/>
            </w:tcBorders>
            <w:vAlign w:val="center"/>
            <w:hideMark/>
          </w:tcPr>
          <w:p w14:paraId="3549F518" w14:textId="77777777" w:rsidR="00C66D31" w:rsidRPr="00C30E94" w:rsidRDefault="00C66D31" w:rsidP="0051761D">
            <w:pPr>
              <w:jc w:val="center"/>
              <w:rPr>
                <w:rFonts w:ascii="Arial" w:hAnsi="Arial" w:cs="Arial"/>
                <w:sz w:val="20"/>
                <w:szCs w:val="20"/>
                <w:lang w:val="en-US"/>
              </w:rPr>
            </w:pPr>
            <w:r w:rsidRPr="00C30E94">
              <w:rPr>
                <w:rFonts w:ascii="Arial" w:hAnsi="Arial" w:cs="Arial"/>
                <w:sz w:val="20"/>
                <w:szCs w:val="20"/>
              </w:rPr>
              <w:t>Ước tính</w:t>
            </w:r>
          </w:p>
          <w:p w14:paraId="714C5728" w14:textId="17E23248" w:rsidR="00C66D31" w:rsidRPr="00C30E94" w:rsidRDefault="003E5E2A" w:rsidP="0051761D">
            <w:pPr>
              <w:jc w:val="center"/>
              <w:rPr>
                <w:rFonts w:ascii="Arial" w:hAnsi="Arial" w:cs="Arial"/>
                <w:bCs/>
                <w:sz w:val="20"/>
                <w:szCs w:val="20"/>
                <w:lang w:val="en-US"/>
              </w:rPr>
            </w:pPr>
            <w:r>
              <w:rPr>
                <w:rFonts w:ascii="Arial" w:hAnsi="Arial" w:cs="Arial"/>
                <w:sz w:val="20"/>
                <w:szCs w:val="20"/>
                <w:lang w:val="en-US"/>
              </w:rPr>
              <w:t>t</w:t>
            </w:r>
            <w:r w:rsidR="00C66D31" w:rsidRPr="00C30E94">
              <w:rPr>
                <w:rFonts w:ascii="Arial" w:hAnsi="Arial" w:cs="Arial"/>
                <w:sz w:val="20"/>
                <w:szCs w:val="20"/>
              </w:rPr>
              <w:t xml:space="preserve">háng </w:t>
            </w:r>
            <w:r w:rsidR="00C66D31" w:rsidRPr="00C30E94">
              <w:rPr>
                <w:rFonts w:ascii="Arial" w:hAnsi="Arial" w:cs="Arial"/>
                <w:sz w:val="20"/>
                <w:szCs w:val="20"/>
                <w:lang w:val="en-US"/>
              </w:rPr>
              <w:t>02</w:t>
            </w:r>
            <w:r w:rsidR="00C66D31" w:rsidRPr="00C30E94">
              <w:rPr>
                <w:rFonts w:ascii="Arial" w:hAnsi="Arial" w:cs="Arial"/>
                <w:sz w:val="20"/>
                <w:szCs w:val="20"/>
              </w:rPr>
              <w:t xml:space="preserve"> </w:t>
            </w:r>
            <w:r w:rsidR="00C66D31" w:rsidRPr="00C30E94">
              <w:rPr>
                <w:rFonts w:ascii="Arial" w:hAnsi="Arial" w:cs="Arial"/>
                <w:sz w:val="20"/>
                <w:szCs w:val="20"/>
              </w:rPr>
              <w:br/>
              <w:t>năm 202</w:t>
            </w:r>
            <w:r w:rsidR="00C66D31" w:rsidRPr="00C30E94">
              <w:rPr>
                <w:rFonts w:ascii="Arial" w:hAnsi="Arial" w:cs="Arial"/>
                <w:sz w:val="20"/>
                <w:szCs w:val="20"/>
                <w:lang w:val="en-US"/>
              </w:rPr>
              <w:t>5</w:t>
            </w:r>
          </w:p>
        </w:tc>
        <w:tc>
          <w:tcPr>
            <w:tcW w:w="1562" w:type="dxa"/>
            <w:vMerge w:val="restart"/>
            <w:tcBorders>
              <w:top w:val="single" w:sz="4" w:space="0" w:color="auto"/>
              <w:left w:val="nil"/>
              <w:bottom w:val="single" w:sz="4" w:space="0" w:color="auto"/>
              <w:right w:val="nil"/>
            </w:tcBorders>
            <w:vAlign w:val="center"/>
            <w:hideMark/>
          </w:tcPr>
          <w:p w14:paraId="18B897A3" w14:textId="77777777" w:rsidR="00C66D31" w:rsidRPr="00C30E94" w:rsidRDefault="00C66D31" w:rsidP="0051761D">
            <w:pPr>
              <w:jc w:val="center"/>
              <w:rPr>
                <w:rFonts w:ascii="Arial" w:hAnsi="Arial" w:cs="Arial"/>
                <w:sz w:val="20"/>
                <w:szCs w:val="20"/>
                <w:lang w:val="it-IT"/>
              </w:rPr>
            </w:pPr>
            <w:r w:rsidRPr="00C30E94">
              <w:rPr>
                <w:rFonts w:ascii="Arial" w:hAnsi="Arial" w:cs="Arial"/>
                <w:sz w:val="20"/>
                <w:szCs w:val="20"/>
                <w:lang w:val="it-IT"/>
              </w:rPr>
              <w:t>Ước tính</w:t>
            </w:r>
          </w:p>
          <w:p w14:paraId="7C9E16A9" w14:textId="77777777" w:rsidR="00C66D31" w:rsidRPr="00C30E94" w:rsidRDefault="00C66D31" w:rsidP="0051761D">
            <w:pPr>
              <w:jc w:val="center"/>
              <w:rPr>
                <w:rFonts w:ascii="Arial" w:hAnsi="Arial" w:cs="Arial"/>
                <w:bCs/>
                <w:sz w:val="20"/>
                <w:szCs w:val="20"/>
                <w:lang w:val="it-IT"/>
              </w:rPr>
            </w:pPr>
            <w:r w:rsidRPr="00C30E94">
              <w:rPr>
                <w:rFonts w:ascii="Arial" w:hAnsi="Arial" w:cs="Arial"/>
                <w:sz w:val="20"/>
                <w:szCs w:val="20"/>
                <w:lang w:val="it-IT"/>
              </w:rPr>
              <w:t>02 tháng</w:t>
            </w:r>
            <w:r w:rsidRPr="00C30E94">
              <w:rPr>
                <w:rFonts w:ascii="Arial" w:hAnsi="Arial" w:cs="Arial"/>
                <w:sz w:val="20"/>
                <w:szCs w:val="20"/>
                <w:lang w:val="it-IT"/>
              </w:rPr>
              <w:br/>
              <w:t>năm 2025</w:t>
            </w:r>
          </w:p>
        </w:tc>
        <w:tc>
          <w:tcPr>
            <w:tcW w:w="3026" w:type="dxa"/>
            <w:gridSpan w:val="2"/>
            <w:tcBorders>
              <w:top w:val="single" w:sz="4" w:space="0" w:color="auto"/>
              <w:left w:val="nil"/>
              <w:bottom w:val="single" w:sz="4" w:space="0" w:color="auto"/>
              <w:right w:val="nil"/>
            </w:tcBorders>
            <w:hideMark/>
          </w:tcPr>
          <w:p w14:paraId="57D8586A" w14:textId="77777777" w:rsidR="00C66D31" w:rsidRPr="00C30E94" w:rsidRDefault="00C66D31" w:rsidP="0051761D">
            <w:pPr>
              <w:jc w:val="center"/>
              <w:rPr>
                <w:rFonts w:ascii="Arial" w:hAnsi="Arial" w:cs="Arial"/>
                <w:bCs/>
                <w:sz w:val="20"/>
                <w:szCs w:val="20"/>
                <w:lang w:val="it-IT"/>
              </w:rPr>
            </w:pPr>
            <w:r w:rsidRPr="00C30E94">
              <w:rPr>
                <w:rFonts w:ascii="Arial" w:hAnsi="Arial" w:cs="Arial"/>
                <w:sz w:val="20"/>
                <w:szCs w:val="20"/>
                <w:lang w:val="it-IT"/>
              </w:rPr>
              <w:t xml:space="preserve">Tốc độ tăng so với </w:t>
            </w:r>
            <w:r w:rsidRPr="00C30E94">
              <w:rPr>
                <w:rFonts w:ascii="Arial" w:hAnsi="Arial" w:cs="Arial"/>
                <w:sz w:val="20"/>
                <w:szCs w:val="20"/>
                <w:lang w:val="it-IT"/>
              </w:rPr>
              <w:br/>
              <w:t>cùng kỳ năm trước (%)</w:t>
            </w:r>
          </w:p>
        </w:tc>
      </w:tr>
      <w:tr w:rsidR="00C30E94" w:rsidRPr="00C30E94" w14:paraId="458B8691" w14:textId="77777777" w:rsidTr="0051761D">
        <w:trPr>
          <w:trHeight w:val="568"/>
        </w:trPr>
        <w:tc>
          <w:tcPr>
            <w:tcW w:w="0" w:type="auto"/>
            <w:vMerge/>
            <w:tcBorders>
              <w:top w:val="single" w:sz="4" w:space="0" w:color="auto"/>
              <w:left w:val="nil"/>
              <w:bottom w:val="nil"/>
              <w:right w:val="nil"/>
            </w:tcBorders>
            <w:vAlign w:val="center"/>
            <w:hideMark/>
          </w:tcPr>
          <w:p w14:paraId="141EF6CC" w14:textId="77777777" w:rsidR="00C66D31" w:rsidRPr="00C30E94" w:rsidRDefault="00C66D31" w:rsidP="0051761D">
            <w:pPr>
              <w:rPr>
                <w:rFonts w:ascii="Arial" w:hAnsi="Arial" w:cs="Arial"/>
                <w:bCs/>
                <w:sz w:val="20"/>
                <w:szCs w:val="20"/>
                <w:lang w:val="it-IT"/>
              </w:rPr>
            </w:pPr>
          </w:p>
        </w:tc>
        <w:tc>
          <w:tcPr>
            <w:tcW w:w="0" w:type="auto"/>
            <w:vMerge/>
            <w:tcBorders>
              <w:top w:val="single" w:sz="4" w:space="0" w:color="auto"/>
              <w:left w:val="nil"/>
              <w:bottom w:val="single" w:sz="4" w:space="0" w:color="auto"/>
              <w:right w:val="nil"/>
            </w:tcBorders>
            <w:vAlign w:val="center"/>
            <w:hideMark/>
          </w:tcPr>
          <w:p w14:paraId="02EEB1D3" w14:textId="77777777" w:rsidR="00C66D31" w:rsidRPr="00C30E94" w:rsidRDefault="00C66D31" w:rsidP="0051761D">
            <w:pPr>
              <w:rPr>
                <w:rFonts w:ascii="Arial" w:hAnsi="Arial" w:cs="Arial"/>
                <w:bCs/>
                <w:sz w:val="20"/>
                <w:szCs w:val="20"/>
                <w:lang w:val="it-IT"/>
              </w:rPr>
            </w:pPr>
          </w:p>
        </w:tc>
        <w:tc>
          <w:tcPr>
            <w:tcW w:w="0" w:type="auto"/>
            <w:vMerge/>
            <w:tcBorders>
              <w:top w:val="single" w:sz="4" w:space="0" w:color="auto"/>
              <w:left w:val="nil"/>
              <w:bottom w:val="single" w:sz="4" w:space="0" w:color="auto"/>
              <w:right w:val="nil"/>
            </w:tcBorders>
            <w:vAlign w:val="center"/>
            <w:hideMark/>
          </w:tcPr>
          <w:p w14:paraId="1A28AA98" w14:textId="77777777" w:rsidR="00C66D31" w:rsidRPr="00C30E94" w:rsidRDefault="00C66D31" w:rsidP="0051761D">
            <w:pPr>
              <w:rPr>
                <w:rFonts w:ascii="Arial" w:hAnsi="Arial" w:cs="Arial"/>
                <w:bCs/>
                <w:sz w:val="20"/>
                <w:szCs w:val="20"/>
                <w:lang w:val="it-IT"/>
              </w:rPr>
            </w:pPr>
          </w:p>
        </w:tc>
        <w:tc>
          <w:tcPr>
            <w:tcW w:w="1562" w:type="dxa"/>
            <w:tcBorders>
              <w:top w:val="single" w:sz="4" w:space="0" w:color="auto"/>
              <w:left w:val="nil"/>
              <w:bottom w:val="single" w:sz="4" w:space="0" w:color="auto"/>
              <w:right w:val="nil"/>
            </w:tcBorders>
            <w:vAlign w:val="center"/>
            <w:hideMark/>
          </w:tcPr>
          <w:p w14:paraId="252552E1" w14:textId="77777777" w:rsidR="00C66D31" w:rsidRPr="00C30E94" w:rsidRDefault="00C66D31" w:rsidP="0051761D">
            <w:pPr>
              <w:jc w:val="center"/>
              <w:rPr>
                <w:rFonts w:ascii="Arial" w:hAnsi="Arial" w:cs="Arial"/>
                <w:bCs/>
                <w:sz w:val="20"/>
                <w:szCs w:val="20"/>
                <w:lang w:val="en-US"/>
              </w:rPr>
            </w:pPr>
            <w:r w:rsidRPr="00C30E94">
              <w:rPr>
                <w:rFonts w:ascii="Arial" w:hAnsi="Arial" w:cs="Arial"/>
                <w:sz w:val="20"/>
                <w:szCs w:val="20"/>
              </w:rPr>
              <w:t xml:space="preserve">Tháng </w:t>
            </w:r>
            <w:r w:rsidRPr="00C30E94">
              <w:rPr>
                <w:rFonts w:ascii="Arial" w:hAnsi="Arial" w:cs="Arial"/>
                <w:sz w:val="20"/>
                <w:szCs w:val="20"/>
                <w:lang w:val="en-US"/>
              </w:rPr>
              <w:t>02</w:t>
            </w:r>
            <w:r w:rsidRPr="00C30E94">
              <w:rPr>
                <w:rFonts w:ascii="Arial" w:hAnsi="Arial" w:cs="Arial"/>
                <w:sz w:val="20"/>
                <w:szCs w:val="20"/>
              </w:rPr>
              <w:t xml:space="preserve"> </w:t>
            </w:r>
            <w:r w:rsidRPr="00C30E94">
              <w:rPr>
                <w:rFonts w:ascii="Arial" w:hAnsi="Arial" w:cs="Arial"/>
                <w:sz w:val="20"/>
                <w:szCs w:val="20"/>
              </w:rPr>
              <w:br/>
              <w:t>năm 202</w:t>
            </w:r>
            <w:r w:rsidRPr="00C30E94">
              <w:rPr>
                <w:rFonts w:ascii="Arial" w:hAnsi="Arial" w:cs="Arial"/>
                <w:sz w:val="20"/>
                <w:szCs w:val="20"/>
                <w:lang w:val="en-US"/>
              </w:rPr>
              <w:t>5</w:t>
            </w:r>
          </w:p>
        </w:tc>
        <w:tc>
          <w:tcPr>
            <w:tcW w:w="1464" w:type="dxa"/>
            <w:tcBorders>
              <w:top w:val="single" w:sz="4" w:space="0" w:color="auto"/>
              <w:left w:val="nil"/>
              <w:bottom w:val="single" w:sz="4" w:space="0" w:color="auto"/>
              <w:right w:val="nil"/>
            </w:tcBorders>
            <w:vAlign w:val="center"/>
            <w:hideMark/>
          </w:tcPr>
          <w:p w14:paraId="23E93B0F" w14:textId="77777777" w:rsidR="00C66D31" w:rsidRPr="00C30E94" w:rsidRDefault="00C66D31" w:rsidP="0051761D">
            <w:pPr>
              <w:jc w:val="center"/>
              <w:rPr>
                <w:rFonts w:ascii="Arial" w:hAnsi="Arial" w:cs="Arial"/>
                <w:bCs/>
                <w:sz w:val="20"/>
                <w:szCs w:val="20"/>
                <w:lang w:val="en-US"/>
              </w:rPr>
            </w:pPr>
            <w:r w:rsidRPr="00C30E94">
              <w:rPr>
                <w:rFonts w:ascii="Arial" w:hAnsi="Arial" w:cs="Arial"/>
                <w:sz w:val="20"/>
                <w:szCs w:val="20"/>
                <w:lang w:val="en-US"/>
              </w:rPr>
              <w:t>02</w:t>
            </w:r>
            <w:r w:rsidRPr="00C30E94">
              <w:rPr>
                <w:rFonts w:ascii="Arial" w:hAnsi="Arial" w:cs="Arial"/>
                <w:sz w:val="20"/>
                <w:szCs w:val="20"/>
              </w:rPr>
              <w:t xml:space="preserve"> tháng </w:t>
            </w:r>
            <w:r w:rsidRPr="00C30E94">
              <w:rPr>
                <w:rFonts w:ascii="Arial" w:hAnsi="Arial" w:cs="Arial"/>
                <w:sz w:val="20"/>
                <w:szCs w:val="20"/>
              </w:rPr>
              <w:br/>
              <w:t>năm 202</w:t>
            </w:r>
            <w:r w:rsidRPr="00C30E94">
              <w:rPr>
                <w:rFonts w:ascii="Arial" w:hAnsi="Arial" w:cs="Arial"/>
                <w:sz w:val="20"/>
                <w:szCs w:val="20"/>
                <w:lang w:val="en-US"/>
              </w:rPr>
              <w:t>5</w:t>
            </w:r>
          </w:p>
        </w:tc>
      </w:tr>
      <w:tr w:rsidR="00C30E94" w:rsidRPr="00C30E94" w14:paraId="0CC433EC" w14:textId="77777777" w:rsidTr="0051761D">
        <w:trPr>
          <w:trHeight w:val="351"/>
        </w:trPr>
        <w:tc>
          <w:tcPr>
            <w:tcW w:w="2844" w:type="dxa"/>
            <w:vAlign w:val="center"/>
            <w:hideMark/>
          </w:tcPr>
          <w:p w14:paraId="14B63388" w14:textId="77777777" w:rsidR="00C66D31" w:rsidRPr="00C30E94" w:rsidRDefault="00C66D31" w:rsidP="0051761D">
            <w:pPr>
              <w:adjustRightInd w:val="0"/>
              <w:snapToGrid w:val="0"/>
              <w:spacing w:before="40" w:after="40"/>
              <w:jc w:val="both"/>
              <w:rPr>
                <w:rFonts w:ascii="Arial" w:hAnsi="Arial" w:cs="Arial"/>
                <w:b/>
                <w:bCs/>
                <w:sz w:val="20"/>
                <w:szCs w:val="20"/>
                <w:lang w:val="it-IT"/>
              </w:rPr>
            </w:pPr>
            <w:r w:rsidRPr="00C30E94">
              <w:rPr>
                <w:rFonts w:ascii="Arial" w:hAnsi="Arial" w:cs="Arial"/>
                <w:b/>
                <w:bCs/>
                <w:sz w:val="20"/>
                <w:szCs w:val="20"/>
              </w:rPr>
              <w:t>Tổng số</w:t>
            </w:r>
          </w:p>
        </w:tc>
        <w:tc>
          <w:tcPr>
            <w:tcW w:w="1563" w:type="dxa"/>
            <w:tcBorders>
              <w:top w:val="single" w:sz="4" w:space="0" w:color="auto"/>
              <w:left w:val="nil"/>
              <w:bottom w:val="nil"/>
              <w:right w:val="nil"/>
            </w:tcBorders>
            <w:vAlign w:val="center"/>
            <w:hideMark/>
          </w:tcPr>
          <w:p w14:paraId="2CE3AD7E" w14:textId="77777777" w:rsidR="00C66D31" w:rsidRPr="00C30E94" w:rsidRDefault="00C66D31" w:rsidP="0051761D">
            <w:pPr>
              <w:adjustRightInd w:val="0"/>
              <w:snapToGrid w:val="0"/>
              <w:spacing w:before="40" w:after="40"/>
              <w:ind w:right="340"/>
              <w:jc w:val="right"/>
              <w:rPr>
                <w:rFonts w:ascii="Arial" w:hAnsi="Arial" w:cs="Arial"/>
                <w:b/>
                <w:bCs/>
                <w:sz w:val="20"/>
                <w:szCs w:val="20"/>
                <w:lang w:val="en-US"/>
              </w:rPr>
            </w:pPr>
            <w:r w:rsidRPr="00C30E94">
              <w:rPr>
                <w:rFonts w:ascii="Arial" w:hAnsi="Arial" w:cs="Arial"/>
                <w:b/>
                <w:bCs/>
                <w:sz w:val="20"/>
                <w:szCs w:val="20"/>
              </w:rPr>
              <w:t xml:space="preserve">        561,7 </w:t>
            </w:r>
          </w:p>
        </w:tc>
        <w:tc>
          <w:tcPr>
            <w:tcW w:w="1562" w:type="dxa"/>
            <w:tcBorders>
              <w:top w:val="single" w:sz="4" w:space="0" w:color="auto"/>
              <w:left w:val="nil"/>
              <w:bottom w:val="nil"/>
              <w:right w:val="nil"/>
            </w:tcBorders>
            <w:vAlign w:val="center"/>
            <w:hideMark/>
          </w:tcPr>
          <w:p w14:paraId="35838062" w14:textId="77777777" w:rsidR="00C66D31" w:rsidRPr="00C30E94" w:rsidRDefault="00C66D31" w:rsidP="0051761D">
            <w:pPr>
              <w:adjustRightInd w:val="0"/>
              <w:snapToGrid w:val="0"/>
              <w:spacing w:before="40" w:after="40"/>
              <w:ind w:right="342"/>
              <w:jc w:val="right"/>
              <w:rPr>
                <w:rFonts w:ascii="Arial" w:hAnsi="Arial" w:cs="Arial"/>
                <w:b/>
                <w:bCs/>
                <w:sz w:val="20"/>
                <w:szCs w:val="20"/>
              </w:rPr>
            </w:pPr>
            <w:r w:rsidRPr="00C30E94">
              <w:rPr>
                <w:rFonts w:ascii="Arial" w:hAnsi="Arial" w:cs="Arial"/>
                <w:b/>
                <w:bCs/>
                <w:sz w:val="20"/>
                <w:szCs w:val="20"/>
              </w:rPr>
              <w:t xml:space="preserve">      1.137,5 </w:t>
            </w:r>
          </w:p>
        </w:tc>
        <w:tc>
          <w:tcPr>
            <w:tcW w:w="1562" w:type="dxa"/>
            <w:tcBorders>
              <w:top w:val="single" w:sz="4" w:space="0" w:color="auto"/>
              <w:left w:val="nil"/>
              <w:bottom w:val="nil"/>
              <w:right w:val="nil"/>
            </w:tcBorders>
            <w:vAlign w:val="center"/>
            <w:hideMark/>
          </w:tcPr>
          <w:p w14:paraId="10E0FFA1" w14:textId="77777777" w:rsidR="00C66D31" w:rsidRPr="00C30E94" w:rsidRDefault="00C66D31" w:rsidP="0051761D">
            <w:pPr>
              <w:adjustRightInd w:val="0"/>
              <w:snapToGrid w:val="0"/>
              <w:spacing w:before="40" w:after="40"/>
              <w:ind w:right="344"/>
              <w:jc w:val="right"/>
              <w:rPr>
                <w:rFonts w:ascii="Arial" w:hAnsi="Arial" w:cs="Arial"/>
                <w:b/>
                <w:bCs/>
                <w:sz w:val="20"/>
                <w:szCs w:val="20"/>
              </w:rPr>
            </w:pPr>
            <w:r w:rsidRPr="00C30E94">
              <w:rPr>
                <w:rFonts w:ascii="Arial" w:hAnsi="Arial" w:cs="Arial"/>
                <w:b/>
                <w:bCs/>
                <w:sz w:val="20"/>
                <w:szCs w:val="20"/>
              </w:rPr>
              <w:t xml:space="preserve">          9,4 </w:t>
            </w:r>
          </w:p>
        </w:tc>
        <w:tc>
          <w:tcPr>
            <w:tcW w:w="1464" w:type="dxa"/>
            <w:tcBorders>
              <w:top w:val="single" w:sz="4" w:space="0" w:color="auto"/>
              <w:left w:val="nil"/>
              <w:bottom w:val="nil"/>
              <w:right w:val="nil"/>
            </w:tcBorders>
            <w:vAlign w:val="center"/>
            <w:hideMark/>
          </w:tcPr>
          <w:p w14:paraId="22BB76AB" w14:textId="77777777" w:rsidR="00C66D31" w:rsidRPr="00C30E94" w:rsidRDefault="00C66D31" w:rsidP="0051761D">
            <w:pPr>
              <w:adjustRightInd w:val="0"/>
              <w:snapToGrid w:val="0"/>
              <w:spacing w:before="40" w:after="40"/>
              <w:ind w:right="344"/>
              <w:jc w:val="right"/>
              <w:rPr>
                <w:rFonts w:ascii="Arial" w:hAnsi="Arial" w:cs="Arial"/>
                <w:b/>
                <w:bCs/>
                <w:sz w:val="20"/>
                <w:szCs w:val="20"/>
              </w:rPr>
            </w:pPr>
            <w:r w:rsidRPr="00C30E94">
              <w:rPr>
                <w:rFonts w:ascii="Arial" w:hAnsi="Arial" w:cs="Arial"/>
                <w:b/>
                <w:bCs/>
                <w:sz w:val="20"/>
                <w:szCs w:val="20"/>
              </w:rPr>
              <w:t xml:space="preserve">          9,4 </w:t>
            </w:r>
          </w:p>
        </w:tc>
      </w:tr>
      <w:tr w:rsidR="00C30E94" w:rsidRPr="00C30E94" w14:paraId="6B4874F9" w14:textId="77777777" w:rsidTr="0051761D">
        <w:trPr>
          <w:trHeight w:val="341"/>
        </w:trPr>
        <w:tc>
          <w:tcPr>
            <w:tcW w:w="2844" w:type="dxa"/>
            <w:vAlign w:val="center"/>
            <w:hideMark/>
          </w:tcPr>
          <w:p w14:paraId="5E08A83E" w14:textId="77777777" w:rsidR="00C66D31" w:rsidRPr="00C30E94" w:rsidRDefault="00C66D31" w:rsidP="0051761D">
            <w:pPr>
              <w:adjustRightInd w:val="0"/>
              <w:snapToGrid w:val="0"/>
              <w:spacing w:before="40" w:after="40"/>
              <w:jc w:val="both"/>
              <w:rPr>
                <w:rFonts w:ascii="Arial" w:hAnsi="Arial" w:cs="Arial"/>
                <w:bCs/>
                <w:sz w:val="20"/>
                <w:szCs w:val="20"/>
                <w:lang w:val="it-IT"/>
              </w:rPr>
            </w:pPr>
            <w:r w:rsidRPr="00C30E94">
              <w:rPr>
                <w:rFonts w:ascii="Arial" w:hAnsi="Arial" w:cs="Arial"/>
                <w:bCs/>
                <w:sz w:val="20"/>
                <w:szCs w:val="20"/>
              </w:rPr>
              <w:t>Bán lẻ hàng hóa</w:t>
            </w:r>
          </w:p>
        </w:tc>
        <w:tc>
          <w:tcPr>
            <w:tcW w:w="1563" w:type="dxa"/>
            <w:vAlign w:val="center"/>
            <w:hideMark/>
          </w:tcPr>
          <w:p w14:paraId="0D2B459E" w14:textId="77777777" w:rsidR="00C66D31" w:rsidRPr="00C30E94" w:rsidRDefault="00C66D31" w:rsidP="0051761D">
            <w:pPr>
              <w:adjustRightInd w:val="0"/>
              <w:snapToGrid w:val="0"/>
              <w:spacing w:before="40" w:after="40"/>
              <w:ind w:right="340"/>
              <w:jc w:val="right"/>
              <w:rPr>
                <w:rFonts w:ascii="Arial" w:hAnsi="Arial" w:cs="Arial"/>
                <w:bCs/>
                <w:sz w:val="20"/>
                <w:szCs w:val="20"/>
                <w:lang w:val="en-US"/>
              </w:rPr>
            </w:pPr>
            <w:r w:rsidRPr="00C30E94">
              <w:rPr>
                <w:rFonts w:ascii="Arial" w:hAnsi="Arial" w:cs="Arial"/>
                <w:sz w:val="20"/>
                <w:szCs w:val="20"/>
              </w:rPr>
              <w:t xml:space="preserve">         432,</w:t>
            </w:r>
            <w:r w:rsidRPr="00C30E94">
              <w:rPr>
                <w:rFonts w:ascii="Arial" w:hAnsi="Arial" w:cs="Arial"/>
                <w:sz w:val="20"/>
                <w:szCs w:val="20"/>
                <w:lang w:val="en-US"/>
              </w:rPr>
              <w:t>5</w:t>
            </w:r>
            <w:r w:rsidRPr="00C30E94">
              <w:rPr>
                <w:rFonts w:ascii="Arial" w:hAnsi="Arial" w:cs="Arial"/>
                <w:sz w:val="20"/>
                <w:szCs w:val="20"/>
              </w:rPr>
              <w:t xml:space="preserve"> </w:t>
            </w:r>
          </w:p>
        </w:tc>
        <w:tc>
          <w:tcPr>
            <w:tcW w:w="1562" w:type="dxa"/>
            <w:vAlign w:val="center"/>
            <w:hideMark/>
          </w:tcPr>
          <w:p w14:paraId="501A71E0" w14:textId="77777777" w:rsidR="00C66D31" w:rsidRPr="00C30E94" w:rsidRDefault="00C66D31" w:rsidP="0051761D">
            <w:pPr>
              <w:adjustRightInd w:val="0"/>
              <w:snapToGrid w:val="0"/>
              <w:spacing w:before="40" w:after="40"/>
              <w:ind w:right="342"/>
              <w:jc w:val="right"/>
              <w:rPr>
                <w:rFonts w:ascii="Arial" w:hAnsi="Arial" w:cs="Arial"/>
                <w:bCs/>
                <w:sz w:val="20"/>
                <w:szCs w:val="20"/>
              </w:rPr>
            </w:pPr>
            <w:r w:rsidRPr="00C30E94">
              <w:rPr>
                <w:rFonts w:ascii="Arial" w:hAnsi="Arial" w:cs="Arial"/>
                <w:sz w:val="20"/>
                <w:szCs w:val="20"/>
              </w:rPr>
              <w:t xml:space="preserve">         878,4 </w:t>
            </w:r>
          </w:p>
        </w:tc>
        <w:tc>
          <w:tcPr>
            <w:tcW w:w="1562" w:type="dxa"/>
            <w:vAlign w:val="center"/>
            <w:hideMark/>
          </w:tcPr>
          <w:p w14:paraId="218F700D" w14:textId="77777777" w:rsidR="00C66D31" w:rsidRPr="00C30E94" w:rsidRDefault="00C66D31" w:rsidP="0051761D">
            <w:pPr>
              <w:adjustRightInd w:val="0"/>
              <w:snapToGrid w:val="0"/>
              <w:spacing w:before="40" w:after="40"/>
              <w:ind w:right="344"/>
              <w:jc w:val="right"/>
              <w:rPr>
                <w:rFonts w:ascii="Arial" w:hAnsi="Arial" w:cs="Arial"/>
                <w:bCs/>
                <w:sz w:val="20"/>
                <w:szCs w:val="20"/>
              </w:rPr>
            </w:pPr>
            <w:r w:rsidRPr="00C30E94">
              <w:rPr>
                <w:rFonts w:ascii="Arial" w:hAnsi="Arial" w:cs="Arial"/>
                <w:sz w:val="20"/>
                <w:szCs w:val="20"/>
              </w:rPr>
              <w:t xml:space="preserve">          8,3 </w:t>
            </w:r>
          </w:p>
        </w:tc>
        <w:tc>
          <w:tcPr>
            <w:tcW w:w="1464" w:type="dxa"/>
            <w:vAlign w:val="center"/>
            <w:hideMark/>
          </w:tcPr>
          <w:p w14:paraId="16CA55C0" w14:textId="77777777" w:rsidR="00C66D31" w:rsidRPr="00C30E94" w:rsidRDefault="00C66D31" w:rsidP="0051761D">
            <w:pPr>
              <w:adjustRightInd w:val="0"/>
              <w:snapToGrid w:val="0"/>
              <w:spacing w:before="40" w:after="40"/>
              <w:ind w:right="344"/>
              <w:jc w:val="right"/>
              <w:rPr>
                <w:rFonts w:ascii="Arial" w:hAnsi="Arial" w:cs="Arial"/>
                <w:bCs/>
                <w:sz w:val="20"/>
                <w:szCs w:val="20"/>
              </w:rPr>
            </w:pPr>
            <w:r w:rsidRPr="00C30E94">
              <w:rPr>
                <w:rFonts w:ascii="Arial" w:hAnsi="Arial" w:cs="Arial"/>
                <w:sz w:val="20"/>
                <w:szCs w:val="20"/>
              </w:rPr>
              <w:t xml:space="preserve">          8,7 </w:t>
            </w:r>
          </w:p>
        </w:tc>
      </w:tr>
      <w:tr w:rsidR="00C30E94" w:rsidRPr="00C30E94" w14:paraId="31E5C66C" w14:textId="77777777" w:rsidTr="0051761D">
        <w:trPr>
          <w:trHeight w:val="341"/>
        </w:trPr>
        <w:tc>
          <w:tcPr>
            <w:tcW w:w="2844" w:type="dxa"/>
            <w:vAlign w:val="center"/>
            <w:hideMark/>
          </w:tcPr>
          <w:p w14:paraId="55BC6692" w14:textId="77777777" w:rsidR="00C66D31" w:rsidRPr="00C30E94" w:rsidRDefault="00C66D31" w:rsidP="0051761D">
            <w:pPr>
              <w:adjustRightInd w:val="0"/>
              <w:snapToGrid w:val="0"/>
              <w:spacing w:before="40" w:after="40"/>
              <w:jc w:val="both"/>
              <w:rPr>
                <w:rFonts w:ascii="Arial" w:hAnsi="Arial" w:cs="Arial"/>
                <w:bCs/>
                <w:sz w:val="20"/>
                <w:szCs w:val="20"/>
                <w:lang w:val="en-US"/>
              </w:rPr>
            </w:pPr>
            <w:r w:rsidRPr="00C30E94">
              <w:rPr>
                <w:rFonts w:ascii="Arial" w:hAnsi="Arial" w:cs="Arial"/>
                <w:bCs/>
                <w:sz w:val="20"/>
                <w:szCs w:val="20"/>
              </w:rPr>
              <w:t>Dịch vụ lưu trú, ăn uống</w:t>
            </w:r>
          </w:p>
        </w:tc>
        <w:tc>
          <w:tcPr>
            <w:tcW w:w="1563" w:type="dxa"/>
            <w:vAlign w:val="center"/>
            <w:hideMark/>
          </w:tcPr>
          <w:p w14:paraId="37B7E175" w14:textId="77777777" w:rsidR="00C66D31" w:rsidRPr="00C30E94" w:rsidRDefault="00C66D31" w:rsidP="0051761D">
            <w:pPr>
              <w:adjustRightInd w:val="0"/>
              <w:snapToGrid w:val="0"/>
              <w:spacing w:before="40" w:after="40"/>
              <w:ind w:right="340"/>
              <w:jc w:val="right"/>
              <w:rPr>
                <w:rFonts w:ascii="Arial" w:hAnsi="Arial" w:cs="Arial"/>
                <w:bCs/>
                <w:sz w:val="20"/>
                <w:szCs w:val="20"/>
                <w:lang w:val="en-US"/>
              </w:rPr>
            </w:pPr>
            <w:r w:rsidRPr="00C30E94">
              <w:rPr>
                <w:rFonts w:ascii="Arial" w:hAnsi="Arial" w:cs="Arial"/>
                <w:sz w:val="20"/>
                <w:szCs w:val="20"/>
              </w:rPr>
              <w:t xml:space="preserve">           65,2 </w:t>
            </w:r>
          </w:p>
        </w:tc>
        <w:tc>
          <w:tcPr>
            <w:tcW w:w="1562" w:type="dxa"/>
            <w:vAlign w:val="center"/>
            <w:hideMark/>
          </w:tcPr>
          <w:p w14:paraId="245106FE" w14:textId="77777777" w:rsidR="00C66D31" w:rsidRPr="00C30E94" w:rsidRDefault="00C66D31" w:rsidP="0051761D">
            <w:pPr>
              <w:adjustRightInd w:val="0"/>
              <w:snapToGrid w:val="0"/>
              <w:spacing w:before="40" w:after="40"/>
              <w:ind w:right="342"/>
              <w:jc w:val="right"/>
              <w:rPr>
                <w:rFonts w:ascii="Arial" w:hAnsi="Arial" w:cs="Arial"/>
                <w:bCs/>
                <w:sz w:val="20"/>
                <w:szCs w:val="20"/>
              </w:rPr>
            </w:pPr>
            <w:r w:rsidRPr="00C30E94">
              <w:rPr>
                <w:rFonts w:ascii="Arial" w:hAnsi="Arial" w:cs="Arial"/>
                <w:sz w:val="20"/>
                <w:szCs w:val="20"/>
              </w:rPr>
              <w:t xml:space="preserve">         131,1 </w:t>
            </w:r>
          </w:p>
        </w:tc>
        <w:tc>
          <w:tcPr>
            <w:tcW w:w="1562" w:type="dxa"/>
            <w:vAlign w:val="center"/>
            <w:hideMark/>
          </w:tcPr>
          <w:p w14:paraId="53860EAC" w14:textId="77777777" w:rsidR="00C66D31" w:rsidRPr="00C30E94" w:rsidRDefault="00C66D31" w:rsidP="0051761D">
            <w:pPr>
              <w:adjustRightInd w:val="0"/>
              <w:snapToGrid w:val="0"/>
              <w:spacing w:before="40" w:after="40"/>
              <w:ind w:right="344"/>
              <w:jc w:val="right"/>
              <w:rPr>
                <w:rFonts w:ascii="Arial" w:hAnsi="Arial" w:cs="Arial"/>
                <w:bCs/>
                <w:sz w:val="20"/>
                <w:szCs w:val="20"/>
              </w:rPr>
            </w:pPr>
            <w:r w:rsidRPr="00C30E94">
              <w:rPr>
                <w:rFonts w:ascii="Arial" w:hAnsi="Arial" w:cs="Arial"/>
                <w:sz w:val="20"/>
                <w:szCs w:val="20"/>
              </w:rPr>
              <w:t xml:space="preserve">        12,7 </w:t>
            </w:r>
          </w:p>
        </w:tc>
        <w:tc>
          <w:tcPr>
            <w:tcW w:w="1464" w:type="dxa"/>
            <w:vAlign w:val="center"/>
            <w:hideMark/>
          </w:tcPr>
          <w:p w14:paraId="58EDB280" w14:textId="77777777" w:rsidR="00C66D31" w:rsidRPr="00C30E94" w:rsidRDefault="00C66D31" w:rsidP="0051761D">
            <w:pPr>
              <w:adjustRightInd w:val="0"/>
              <w:snapToGrid w:val="0"/>
              <w:spacing w:before="40" w:after="40"/>
              <w:ind w:right="344"/>
              <w:jc w:val="right"/>
              <w:rPr>
                <w:rFonts w:ascii="Arial" w:hAnsi="Arial" w:cs="Arial"/>
                <w:bCs/>
                <w:sz w:val="20"/>
                <w:szCs w:val="20"/>
              </w:rPr>
            </w:pPr>
            <w:r w:rsidRPr="00C30E94">
              <w:rPr>
                <w:rFonts w:ascii="Arial" w:hAnsi="Arial" w:cs="Arial"/>
                <w:sz w:val="20"/>
                <w:szCs w:val="20"/>
              </w:rPr>
              <w:t xml:space="preserve">        12,5 </w:t>
            </w:r>
          </w:p>
        </w:tc>
      </w:tr>
      <w:tr w:rsidR="00C30E94" w:rsidRPr="00C30E94" w14:paraId="01144C24" w14:textId="77777777" w:rsidTr="0051761D">
        <w:trPr>
          <w:trHeight w:val="341"/>
        </w:trPr>
        <w:tc>
          <w:tcPr>
            <w:tcW w:w="2844" w:type="dxa"/>
            <w:vAlign w:val="center"/>
            <w:hideMark/>
          </w:tcPr>
          <w:p w14:paraId="56F9E29E" w14:textId="77777777" w:rsidR="00C66D31" w:rsidRPr="00C30E94" w:rsidRDefault="00C66D31" w:rsidP="0051761D">
            <w:pPr>
              <w:adjustRightInd w:val="0"/>
              <w:snapToGrid w:val="0"/>
              <w:spacing w:before="40" w:after="40"/>
              <w:jc w:val="both"/>
              <w:rPr>
                <w:rFonts w:ascii="Arial" w:hAnsi="Arial" w:cs="Arial"/>
                <w:bCs/>
                <w:sz w:val="20"/>
                <w:szCs w:val="20"/>
                <w:lang w:val="it-IT"/>
              </w:rPr>
            </w:pPr>
            <w:r w:rsidRPr="00C30E94">
              <w:rPr>
                <w:rFonts w:ascii="Arial" w:hAnsi="Arial" w:cs="Arial"/>
                <w:bCs/>
                <w:sz w:val="20"/>
                <w:szCs w:val="20"/>
              </w:rPr>
              <w:t>Du lịch lữ hành</w:t>
            </w:r>
          </w:p>
        </w:tc>
        <w:tc>
          <w:tcPr>
            <w:tcW w:w="1563" w:type="dxa"/>
            <w:vAlign w:val="center"/>
            <w:hideMark/>
          </w:tcPr>
          <w:p w14:paraId="4B77A8E1" w14:textId="77777777" w:rsidR="00C66D31" w:rsidRPr="00C30E94" w:rsidRDefault="00C66D31" w:rsidP="0051761D">
            <w:pPr>
              <w:adjustRightInd w:val="0"/>
              <w:snapToGrid w:val="0"/>
              <w:spacing w:before="40" w:after="40"/>
              <w:ind w:right="340"/>
              <w:jc w:val="right"/>
              <w:rPr>
                <w:rFonts w:ascii="Arial" w:hAnsi="Arial" w:cs="Arial"/>
                <w:bCs/>
                <w:sz w:val="20"/>
                <w:szCs w:val="20"/>
                <w:lang w:val="en-US"/>
              </w:rPr>
            </w:pPr>
            <w:r w:rsidRPr="00C30E94">
              <w:rPr>
                <w:rFonts w:ascii="Arial" w:hAnsi="Arial" w:cs="Arial"/>
                <w:sz w:val="20"/>
                <w:szCs w:val="20"/>
              </w:rPr>
              <w:t xml:space="preserve">             7,1 </w:t>
            </w:r>
          </w:p>
        </w:tc>
        <w:tc>
          <w:tcPr>
            <w:tcW w:w="1562" w:type="dxa"/>
            <w:vAlign w:val="center"/>
            <w:hideMark/>
          </w:tcPr>
          <w:p w14:paraId="4896A5A4" w14:textId="77777777" w:rsidR="00C66D31" w:rsidRPr="00C30E94" w:rsidRDefault="00C66D31" w:rsidP="0051761D">
            <w:pPr>
              <w:adjustRightInd w:val="0"/>
              <w:snapToGrid w:val="0"/>
              <w:spacing w:before="40" w:after="40"/>
              <w:ind w:right="342"/>
              <w:jc w:val="right"/>
              <w:rPr>
                <w:rFonts w:ascii="Arial" w:hAnsi="Arial" w:cs="Arial"/>
                <w:bCs/>
                <w:sz w:val="20"/>
                <w:szCs w:val="20"/>
              </w:rPr>
            </w:pPr>
            <w:r w:rsidRPr="00C30E94">
              <w:rPr>
                <w:rFonts w:ascii="Arial" w:hAnsi="Arial" w:cs="Arial"/>
                <w:sz w:val="20"/>
                <w:szCs w:val="20"/>
              </w:rPr>
              <w:t xml:space="preserve">           14,1 </w:t>
            </w:r>
          </w:p>
        </w:tc>
        <w:tc>
          <w:tcPr>
            <w:tcW w:w="1562" w:type="dxa"/>
            <w:vAlign w:val="center"/>
            <w:hideMark/>
          </w:tcPr>
          <w:p w14:paraId="565D5F9D" w14:textId="77777777" w:rsidR="00C66D31" w:rsidRPr="00C30E94" w:rsidRDefault="00C66D31" w:rsidP="0051761D">
            <w:pPr>
              <w:adjustRightInd w:val="0"/>
              <w:snapToGrid w:val="0"/>
              <w:spacing w:before="40" w:after="40"/>
              <w:ind w:right="344"/>
              <w:jc w:val="right"/>
              <w:rPr>
                <w:rFonts w:ascii="Arial" w:hAnsi="Arial" w:cs="Arial"/>
                <w:bCs/>
                <w:sz w:val="20"/>
                <w:szCs w:val="20"/>
              </w:rPr>
            </w:pPr>
            <w:r w:rsidRPr="00C30E94">
              <w:rPr>
                <w:rFonts w:ascii="Arial" w:hAnsi="Arial" w:cs="Arial"/>
                <w:sz w:val="20"/>
                <w:szCs w:val="20"/>
              </w:rPr>
              <w:t xml:space="preserve">        17,3 </w:t>
            </w:r>
          </w:p>
        </w:tc>
        <w:tc>
          <w:tcPr>
            <w:tcW w:w="1464" w:type="dxa"/>
            <w:vAlign w:val="center"/>
            <w:hideMark/>
          </w:tcPr>
          <w:p w14:paraId="5729FE79" w14:textId="77777777" w:rsidR="00C66D31" w:rsidRPr="00C30E94" w:rsidRDefault="00C66D31" w:rsidP="0051761D">
            <w:pPr>
              <w:adjustRightInd w:val="0"/>
              <w:snapToGrid w:val="0"/>
              <w:spacing w:before="40" w:after="40"/>
              <w:ind w:right="344"/>
              <w:jc w:val="right"/>
              <w:rPr>
                <w:rFonts w:ascii="Arial" w:hAnsi="Arial" w:cs="Arial"/>
                <w:bCs/>
                <w:sz w:val="20"/>
                <w:szCs w:val="20"/>
              </w:rPr>
            </w:pPr>
            <w:r w:rsidRPr="00C30E94">
              <w:rPr>
                <w:rFonts w:ascii="Arial" w:hAnsi="Arial" w:cs="Arial"/>
                <w:sz w:val="20"/>
                <w:szCs w:val="20"/>
              </w:rPr>
              <w:t xml:space="preserve">        16,4 </w:t>
            </w:r>
          </w:p>
        </w:tc>
      </w:tr>
      <w:tr w:rsidR="00C30E94" w:rsidRPr="00C30E94" w14:paraId="503E7563" w14:textId="77777777" w:rsidTr="0051761D">
        <w:trPr>
          <w:trHeight w:val="341"/>
        </w:trPr>
        <w:tc>
          <w:tcPr>
            <w:tcW w:w="2844" w:type="dxa"/>
            <w:tcBorders>
              <w:top w:val="nil"/>
              <w:left w:val="nil"/>
              <w:bottom w:val="single" w:sz="4" w:space="0" w:color="auto"/>
              <w:right w:val="nil"/>
            </w:tcBorders>
            <w:vAlign w:val="center"/>
            <w:hideMark/>
          </w:tcPr>
          <w:p w14:paraId="02B9AEF0" w14:textId="77777777" w:rsidR="00C66D31" w:rsidRPr="00C30E94" w:rsidRDefault="00C66D31" w:rsidP="0051761D">
            <w:pPr>
              <w:adjustRightInd w:val="0"/>
              <w:snapToGrid w:val="0"/>
              <w:spacing w:before="40" w:after="40"/>
              <w:jc w:val="both"/>
              <w:rPr>
                <w:rFonts w:ascii="Arial" w:hAnsi="Arial" w:cs="Arial"/>
                <w:bCs/>
                <w:sz w:val="20"/>
                <w:szCs w:val="20"/>
                <w:lang w:val="it-IT"/>
              </w:rPr>
            </w:pPr>
            <w:r w:rsidRPr="00C30E94">
              <w:rPr>
                <w:rFonts w:ascii="Arial" w:hAnsi="Arial" w:cs="Arial"/>
                <w:bCs/>
                <w:sz w:val="20"/>
                <w:szCs w:val="20"/>
              </w:rPr>
              <w:t>Dịch vụ khác</w:t>
            </w:r>
          </w:p>
        </w:tc>
        <w:tc>
          <w:tcPr>
            <w:tcW w:w="1563" w:type="dxa"/>
            <w:tcBorders>
              <w:top w:val="nil"/>
              <w:left w:val="nil"/>
              <w:bottom w:val="single" w:sz="4" w:space="0" w:color="auto"/>
              <w:right w:val="nil"/>
            </w:tcBorders>
            <w:vAlign w:val="center"/>
            <w:hideMark/>
          </w:tcPr>
          <w:p w14:paraId="2878E6F6" w14:textId="77777777" w:rsidR="00C66D31" w:rsidRPr="00C30E94" w:rsidRDefault="00C66D31" w:rsidP="0051761D">
            <w:pPr>
              <w:adjustRightInd w:val="0"/>
              <w:snapToGrid w:val="0"/>
              <w:spacing w:before="40" w:after="40"/>
              <w:ind w:right="340"/>
              <w:jc w:val="right"/>
              <w:rPr>
                <w:rFonts w:ascii="Arial" w:hAnsi="Arial" w:cs="Arial"/>
                <w:bCs/>
                <w:sz w:val="20"/>
                <w:szCs w:val="20"/>
                <w:lang w:val="en-US"/>
              </w:rPr>
            </w:pPr>
            <w:r w:rsidRPr="00C30E94">
              <w:rPr>
                <w:rFonts w:ascii="Arial" w:hAnsi="Arial" w:cs="Arial"/>
                <w:sz w:val="20"/>
                <w:szCs w:val="20"/>
              </w:rPr>
              <w:t xml:space="preserve">           56,9 </w:t>
            </w:r>
          </w:p>
        </w:tc>
        <w:tc>
          <w:tcPr>
            <w:tcW w:w="1562" w:type="dxa"/>
            <w:tcBorders>
              <w:top w:val="nil"/>
              <w:left w:val="nil"/>
              <w:bottom w:val="single" w:sz="4" w:space="0" w:color="auto"/>
              <w:right w:val="nil"/>
            </w:tcBorders>
            <w:vAlign w:val="center"/>
            <w:hideMark/>
          </w:tcPr>
          <w:p w14:paraId="41412C11" w14:textId="77777777" w:rsidR="00C66D31" w:rsidRPr="00C30E94" w:rsidRDefault="00C66D31" w:rsidP="0051761D">
            <w:pPr>
              <w:adjustRightInd w:val="0"/>
              <w:snapToGrid w:val="0"/>
              <w:spacing w:before="40" w:after="40"/>
              <w:ind w:right="342"/>
              <w:jc w:val="right"/>
              <w:rPr>
                <w:rFonts w:ascii="Arial" w:hAnsi="Arial" w:cs="Arial"/>
                <w:bCs/>
                <w:sz w:val="20"/>
                <w:szCs w:val="20"/>
              </w:rPr>
            </w:pPr>
            <w:r w:rsidRPr="00C30E94">
              <w:rPr>
                <w:rFonts w:ascii="Arial" w:hAnsi="Arial" w:cs="Arial"/>
                <w:sz w:val="20"/>
                <w:szCs w:val="20"/>
              </w:rPr>
              <w:t xml:space="preserve">         113,9 </w:t>
            </w:r>
          </w:p>
        </w:tc>
        <w:tc>
          <w:tcPr>
            <w:tcW w:w="1562" w:type="dxa"/>
            <w:tcBorders>
              <w:top w:val="nil"/>
              <w:left w:val="nil"/>
              <w:bottom w:val="single" w:sz="4" w:space="0" w:color="auto"/>
              <w:right w:val="nil"/>
            </w:tcBorders>
            <w:vAlign w:val="center"/>
            <w:hideMark/>
          </w:tcPr>
          <w:p w14:paraId="7C44584F" w14:textId="77777777" w:rsidR="00C66D31" w:rsidRPr="00C30E94" w:rsidRDefault="00C66D31" w:rsidP="0051761D">
            <w:pPr>
              <w:adjustRightInd w:val="0"/>
              <w:snapToGrid w:val="0"/>
              <w:spacing w:before="40" w:after="40"/>
              <w:ind w:right="344"/>
              <w:jc w:val="right"/>
              <w:rPr>
                <w:rFonts w:ascii="Arial" w:hAnsi="Arial" w:cs="Arial"/>
                <w:bCs/>
                <w:sz w:val="20"/>
                <w:szCs w:val="20"/>
              </w:rPr>
            </w:pPr>
            <w:r w:rsidRPr="00C30E94">
              <w:rPr>
                <w:rFonts w:ascii="Arial" w:hAnsi="Arial" w:cs="Arial"/>
                <w:sz w:val="20"/>
                <w:szCs w:val="20"/>
              </w:rPr>
              <w:t xml:space="preserve">        13,6 </w:t>
            </w:r>
          </w:p>
        </w:tc>
        <w:tc>
          <w:tcPr>
            <w:tcW w:w="1464" w:type="dxa"/>
            <w:tcBorders>
              <w:top w:val="nil"/>
              <w:left w:val="nil"/>
              <w:bottom w:val="single" w:sz="4" w:space="0" w:color="auto"/>
              <w:right w:val="nil"/>
            </w:tcBorders>
            <w:vAlign w:val="center"/>
            <w:hideMark/>
          </w:tcPr>
          <w:p w14:paraId="64FCC5D5" w14:textId="77777777" w:rsidR="00C66D31" w:rsidRPr="00C30E94" w:rsidRDefault="00C66D31" w:rsidP="0051761D">
            <w:pPr>
              <w:adjustRightInd w:val="0"/>
              <w:snapToGrid w:val="0"/>
              <w:spacing w:before="40" w:after="40"/>
              <w:ind w:right="344"/>
              <w:jc w:val="right"/>
              <w:rPr>
                <w:rFonts w:ascii="Arial" w:hAnsi="Arial" w:cs="Arial"/>
                <w:bCs/>
                <w:sz w:val="20"/>
                <w:szCs w:val="20"/>
              </w:rPr>
            </w:pPr>
            <w:r w:rsidRPr="00C30E94">
              <w:rPr>
                <w:rFonts w:ascii="Arial" w:hAnsi="Arial" w:cs="Arial"/>
                <w:sz w:val="20"/>
                <w:szCs w:val="20"/>
              </w:rPr>
              <w:t xml:space="preserve">        10,2 </w:t>
            </w:r>
          </w:p>
        </w:tc>
      </w:tr>
    </w:tbl>
    <w:p w14:paraId="072A3E38" w14:textId="77777777" w:rsidR="00C66D31" w:rsidRPr="00C30E94" w:rsidRDefault="00C66D31" w:rsidP="00C66D31">
      <w:pPr>
        <w:spacing w:before="120" w:after="120" w:line="264" w:lineRule="auto"/>
        <w:ind w:firstLine="720"/>
        <w:jc w:val="both"/>
        <w:rPr>
          <w:bCs/>
        </w:rPr>
      </w:pPr>
      <w:r w:rsidRPr="00C30E94">
        <w:rPr>
          <w:bCs/>
        </w:rPr>
        <w:t>Tính chung hai tháng đầu năm 2025, tổng mức bán lẻ hàng hóa và doanh thu dịch vụ tiêu dùng theo giá hiện hành ước đạt 1.137,5 nghìn tỷ đồng, tăng 9,4% so với cùng kỳ năm trước (cùng kỳ năm 2024 tăng 8,4%), nếu loại trừ yếu tố giá tăng 6,2% (cùng kỳ năm 2024 tăng 5,3%).</w:t>
      </w:r>
    </w:p>
    <w:p w14:paraId="7AA1A95B" w14:textId="010DDEA1" w:rsidR="00C66D31" w:rsidRPr="00C30E94" w:rsidRDefault="00C66D31" w:rsidP="00C66D31">
      <w:pPr>
        <w:spacing w:before="120" w:after="60" w:line="288" w:lineRule="auto"/>
        <w:jc w:val="center"/>
        <w:rPr>
          <w:rFonts w:ascii="Arial" w:hAnsi="Arial" w:cs="Arial"/>
          <w:b/>
          <w:bCs/>
          <w:sz w:val="24"/>
          <w:szCs w:val="24"/>
        </w:rPr>
      </w:pPr>
      <w:r w:rsidRPr="00C30E94">
        <w:rPr>
          <w:rFonts w:ascii="Arial" w:hAnsi="Arial" w:cs="Arial"/>
          <w:b/>
          <w:bCs/>
          <w:sz w:val="24"/>
          <w:szCs w:val="24"/>
        </w:rPr>
        <w:t xml:space="preserve">Hình </w:t>
      </w:r>
      <w:r w:rsidR="00C81562">
        <w:rPr>
          <w:rFonts w:ascii="Arial" w:hAnsi="Arial" w:cs="Arial"/>
          <w:b/>
          <w:bCs/>
          <w:sz w:val="24"/>
          <w:szCs w:val="24"/>
          <w:lang w:val="en-US"/>
        </w:rPr>
        <w:t>10</w:t>
      </w:r>
      <w:r w:rsidRPr="00C30E94">
        <w:rPr>
          <w:rFonts w:ascii="Arial" w:hAnsi="Arial" w:cs="Arial"/>
          <w:b/>
          <w:bCs/>
          <w:sz w:val="24"/>
          <w:szCs w:val="24"/>
        </w:rPr>
        <w:t xml:space="preserve">. Tổng mức bán lẻ hàng hóa và doanh thu dịch vụ tiêu dùng </w:t>
      </w:r>
      <w:r w:rsidRPr="00C30E94">
        <w:rPr>
          <w:rFonts w:ascii="Arial" w:hAnsi="Arial" w:cs="Arial"/>
          <w:b/>
          <w:bCs/>
          <w:sz w:val="24"/>
          <w:szCs w:val="24"/>
        </w:rPr>
        <w:br/>
        <w:t>theo giá hiện hành 02 tháng đầu năm các năm 2021-2025</w:t>
      </w:r>
    </w:p>
    <w:p w14:paraId="26EAFF0C" w14:textId="77777777" w:rsidR="00C66D31" w:rsidRPr="00C30E94" w:rsidRDefault="00C66D31" w:rsidP="00C66D31">
      <w:pPr>
        <w:spacing w:before="120" w:after="60" w:line="288" w:lineRule="auto"/>
        <w:jc w:val="center"/>
        <w:rPr>
          <w:rFonts w:ascii="Arial" w:hAnsi="Arial" w:cs="Arial"/>
          <w:b/>
          <w:bCs/>
          <w:sz w:val="24"/>
          <w:szCs w:val="24"/>
        </w:rPr>
      </w:pPr>
      <w:r w:rsidRPr="00C30E94">
        <w:rPr>
          <w:noProof/>
          <w:lang w:val="en-US"/>
        </w:rPr>
        <w:drawing>
          <wp:inline distT="0" distB="0" distL="0" distR="0" wp14:anchorId="566BA98A" wp14:editId="5011A5D9">
            <wp:extent cx="5432425" cy="2402732"/>
            <wp:effectExtent l="0" t="0" r="15875" b="17145"/>
            <wp:docPr id="34219307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165A30" w14:textId="6BCF872B" w:rsidR="00B16E1C" w:rsidRPr="00C30E94" w:rsidRDefault="00C66D31" w:rsidP="008707C3">
      <w:pPr>
        <w:shd w:val="clear" w:color="auto" w:fill="FFFFFF"/>
        <w:spacing w:after="120" w:line="264" w:lineRule="auto"/>
        <w:ind w:firstLine="720"/>
        <w:jc w:val="both"/>
        <w:rPr>
          <w:spacing w:val="3"/>
          <w:lang w:val="en-US"/>
        </w:rPr>
      </w:pPr>
      <w:r w:rsidRPr="00C30E94">
        <w:rPr>
          <w:bCs/>
          <w:i/>
          <w:iCs/>
        </w:rPr>
        <w:lastRenderedPageBreak/>
        <w:t>Doanh thu bán lẻ hàng hóa</w:t>
      </w:r>
      <w:r w:rsidRPr="00C30E94">
        <w:rPr>
          <w:bCs/>
        </w:rPr>
        <w:t xml:space="preserve"> hai tháng đầu năm 2025 ước đạt 878,4 nghìn tỷ đồng, chiếm 77,2% tổng mức và tăng 8,7% so với cùng kỳ năm trước. </w:t>
      </w:r>
      <w:r w:rsidRPr="00C30E94">
        <w:rPr>
          <w:bCs/>
          <w:lang w:val="it-IT"/>
        </w:rPr>
        <w:t xml:space="preserve">Trong đó, nhóm hàng vật phẩm văn hoá, giáo dục tăng 15,9%; lương thực, thực phẩm tăng 9,9%; </w:t>
      </w:r>
      <w:r w:rsidR="00516CB1">
        <w:rPr>
          <w:bCs/>
          <w:lang w:val="it-IT"/>
        </w:rPr>
        <w:t>hàng</w:t>
      </w:r>
      <w:r w:rsidRPr="00C30E94">
        <w:rPr>
          <w:bCs/>
          <w:lang w:val="it-IT"/>
        </w:rPr>
        <w:t xml:space="preserve"> may mặc tăng 9,0%; </w:t>
      </w:r>
      <w:r w:rsidR="00516CB1">
        <w:rPr>
          <w:bCs/>
          <w:lang w:val="it-IT"/>
        </w:rPr>
        <w:t xml:space="preserve">đồ dùng, </w:t>
      </w:r>
      <w:r w:rsidRPr="00C30E94">
        <w:rPr>
          <w:bCs/>
          <w:lang w:val="it-IT"/>
        </w:rPr>
        <w:t>dụng cụ, trang thiết bị gia đình tăng 6,8%. Doanh thu bán lẻ hàng hóa hai tháng đầu năm 2025 so với cùng kỳ năm trước của một số địa phương như sau:</w:t>
      </w:r>
      <w:r w:rsidR="00B16E1C" w:rsidRPr="00C30E94">
        <w:rPr>
          <w:bCs/>
          <w:lang w:val="it-IT"/>
        </w:rPr>
        <w:t xml:space="preserve"> </w:t>
      </w:r>
      <w:r w:rsidR="00B16E1C" w:rsidRPr="00C30E94">
        <w:rPr>
          <w:spacing w:val="3"/>
          <w:lang w:val="en-US"/>
        </w:rPr>
        <w:t>Hải Phòng tăng 9,4%; Cần Thơ tăng 8,9%; Đà Nẵng tăng 8,7%; Hà Nội tăng 7,3%; Thành phố Hồ Chí Minh tăng 7,1%.</w:t>
      </w:r>
    </w:p>
    <w:p w14:paraId="60E496ED" w14:textId="536B89BD" w:rsidR="00774F1A" w:rsidRPr="00C30E94" w:rsidRDefault="00C66D31" w:rsidP="008707C3">
      <w:pPr>
        <w:spacing w:after="120" w:line="264" w:lineRule="auto"/>
        <w:ind w:firstLine="720"/>
        <w:jc w:val="both"/>
        <w:rPr>
          <w:bCs/>
        </w:rPr>
      </w:pPr>
      <w:r w:rsidRPr="00C30E94">
        <w:rPr>
          <w:bCs/>
          <w:i/>
          <w:lang w:val="nl-NL"/>
        </w:rPr>
        <w:t xml:space="preserve">Doanh thu dịch vụ lưu trú, ăn uống </w:t>
      </w:r>
      <w:r w:rsidRPr="00C30E94">
        <w:rPr>
          <w:bCs/>
          <w:iCs/>
          <w:lang w:val="nl-NL"/>
        </w:rPr>
        <w:t>hai tháng đầu năm 2025</w:t>
      </w:r>
      <w:r w:rsidRPr="00C30E94">
        <w:rPr>
          <w:bCs/>
          <w:shd w:val="clear" w:color="auto" w:fill="FFFFFF"/>
          <w:lang w:val="nl-NL"/>
        </w:rPr>
        <w:t xml:space="preserve"> ước đạt 131,1 nghìn tỷ đồng, chiếm 11,5% tổng mức và tăng 12,5% so với cùng kỳ năm trước. Doanh thu dịch vụ lưu trú, ăn uống hai tháng đầu năm 2025 so với cùng kỳ năm trước của một số địa phương như sau:</w:t>
      </w:r>
      <w:r w:rsidR="00774F1A" w:rsidRPr="00C30E94">
        <w:rPr>
          <w:bCs/>
          <w:shd w:val="clear" w:color="auto" w:fill="FFFFFF"/>
          <w:lang w:val="nl-NL"/>
        </w:rPr>
        <w:t xml:space="preserve"> </w:t>
      </w:r>
      <w:r w:rsidR="00774F1A" w:rsidRPr="00C30E94">
        <w:rPr>
          <w:bCs/>
          <w:lang w:val="nl-NL"/>
        </w:rPr>
        <w:t>Quảng Ninh tăng 20,1%; Đà Nẵng tăng 16,4%; Hải Phòng tăng 13,8%; Cần Thơ tăng 10,4%; Hà Nội tăng 10,0%; Thành phố Hồ Chí Minh tăng 9,2%.</w:t>
      </w:r>
    </w:p>
    <w:p w14:paraId="2845B3FD" w14:textId="77777777" w:rsidR="00774F1A" w:rsidRPr="00C30E94" w:rsidRDefault="00C66D31" w:rsidP="008707C3">
      <w:pPr>
        <w:spacing w:before="60" w:after="60" w:line="264" w:lineRule="auto"/>
        <w:ind w:firstLine="720"/>
        <w:jc w:val="both"/>
        <w:rPr>
          <w:bCs/>
        </w:rPr>
      </w:pPr>
      <w:r w:rsidRPr="00C30E94">
        <w:rPr>
          <w:bCs/>
          <w:i/>
          <w:shd w:val="clear" w:color="auto" w:fill="FFFFFF"/>
          <w:lang w:val="nl-NL"/>
        </w:rPr>
        <w:t>Doanh thu du lịch lữ hành</w:t>
      </w:r>
      <w:r w:rsidRPr="00C30E94">
        <w:rPr>
          <w:bCs/>
          <w:shd w:val="clear" w:color="auto" w:fill="FFFFFF"/>
          <w:lang w:val="nl-NL"/>
        </w:rPr>
        <w:t xml:space="preserve"> hai tháng đầu năm 2025 ước đạt 14,1 nghìn tỷ đồng, chiếm 1,3% tổng mức và tăng 16,4% so với cùng kỳ năm trước. Doanh thu du lịch lữ hành hai tháng đầu năm 2025 của một số địa phương như sau: </w:t>
      </w:r>
      <w:r w:rsidR="00774F1A" w:rsidRPr="00C30E94">
        <w:rPr>
          <w:bCs/>
          <w:lang w:val="nl-NL"/>
        </w:rPr>
        <w:t>Huế tăng 31,5%; Quảng Ninh tăng 21,3%; Bình Dương tăng 17,1%; Đà Nẵng tăng 16,6%; Thành phố Hồ Chí Minh tăng 13,2%; Hà Nội tăng 12,2%.</w:t>
      </w:r>
    </w:p>
    <w:p w14:paraId="5CA44C9A" w14:textId="77777777" w:rsidR="00774F1A" w:rsidRPr="00C30E94" w:rsidRDefault="00C66D31" w:rsidP="008707C3">
      <w:pPr>
        <w:spacing w:after="120" w:line="264" w:lineRule="auto"/>
        <w:ind w:firstLine="720"/>
        <w:jc w:val="both"/>
        <w:rPr>
          <w:rStyle w:val="Strong"/>
          <w:i/>
          <w:iCs/>
        </w:rPr>
      </w:pPr>
      <w:r w:rsidRPr="00C30E94">
        <w:rPr>
          <w:i/>
          <w:lang w:val="nl-NL"/>
        </w:rPr>
        <w:t>D</w:t>
      </w:r>
      <w:r w:rsidRPr="00C30E94">
        <w:rPr>
          <w:bCs/>
          <w:i/>
          <w:lang w:val="nl-NL"/>
        </w:rPr>
        <w:t>oanh thu dịch vụ khác</w:t>
      </w:r>
      <w:r w:rsidRPr="00C30E94">
        <w:rPr>
          <w:lang w:val="nl-NL"/>
        </w:rPr>
        <w:t xml:space="preserve"> hai tháng đầu năm 2025 ước đạt 113,9 nghìn tỷ đồng, chiếm 10,0% tổng mức và tăng 10,2% so với cùng kỳ năm trước. </w:t>
      </w:r>
      <w:r w:rsidRPr="00C30E94">
        <w:rPr>
          <w:bCs/>
          <w:shd w:val="clear" w:color="auto" w:fill="FFFFFF"/>
          <w:lang w:val="nl-NL"/>
        </w:rPr>
        <w:t>Doanh thu dịch vụ khác hai tháng đầu năm 2025 của một số địa phương như sau</w:t>
      </w:r>
      <w:r w:rsidRPr="00C30E94">
        <w:rPr>
          <w:lang w:val="nl-NL"/>
        </w:rPr>
        <w:t xml:space="preserve">: </w:t>
      </w:r>
      <w:r w:rsidR="00774F1A" w:rsidRPr="00C30E94">
        <w:rPr>
          <w:lang w:val="nl-NL"/>
        </w:rPr>
        <w:t xml:space="preserve">Ninh Bình tăng 26,0%; Cần Thơ tăng 18,6%; Lâm Đồng tăng 15,8%; An Giang tăng 13,7%; </w:t>
      </w:r>
      <w:r w:rsidR="00774F1A" w:rsidRPr="00C30E94">
        <w:rPr>
          <w:bCs/>
          <w:lang w:val="nl-NL"/>
        </w:rPr>
        <w:t>Thành phố</w:t>
      </w:r>
      <w:r w:rsidR="00774F1A" w:rsidRPr="00C30E94">
        <w:rPr>
          <w:lang w:val="nl-NL"/>
        </w:rPr>
        <w:t xml:space="preserve"> Hồ Chí Minh tăng 11,8%; Bình Định tăng 9,8%; Hải Phòng tăng 9,1%; Bình Dương tăng 7,6%; </w:t>
      </w:r>
      <w:r w:rsidR="00774F1A" w:rsidRPr="00C30E94">
        <w:t>Bạc Liêu giảm 1,8%; Quảng Ninh giảm 2,7%; Hòa Bình giảm 12,4%.</w:t>
      </w:r>
    </w:p>
    <w:p w14:paraId="271C6222" w14:textId="62313C85" w:rsidR="00DB4D6C" w:rsidRPr="00DB4D6C" w:rsidRDefault="009E7DEF" w:rsidP="008707C3">
      <w:pPr>
        <w:tabs>
          <w:tab w:val="left" w:pos="900"/>
          <w:tab w:val="left" w:pos="9475"/>
        </w:tabs>
        <w:spacing w:after="120" w:line="264" w:lineRule="auto"/>
        <w:ind w:firstLine="720"/>
        <w:jc w:val="both"/>
        <w:rPr>
          <w:b/>
          <w:bCs/>
          <w:i/>
          <w:iCs/>
          <w:lang w:val="de-DE"/>
        </w:rPr>
      </w:pPr>
      <w:r w:rsidRPr="00DB4D6C">
        <w:rPr>
          <w:rStyle w:val="Strong"/>
          <w:i/>
          <w:iCs/>
          <w:lang w:val="de-DE"/>
        </w:rPr>
        <w:t xml:space="preserve">b) </w:t>
      </w:r>
      <w:bookmarkEnd w:id="0"/>
      <w:r w:rsidR="00DB4D6C" w:rsidRPr="00DB4D6C">
        <w:rPr>
          <w:b/>
          <w:bCs/>
          <w:i/>
          <w:iCs/>
          <w:lang w:val="de-DE"/>
        </w:rPr>
        <w:t>Xuất, nhập khẩu hàng hóa</w:t>
      </w:r>
      <w:r w:rsidR="00DB4D6C" w:rsidRPr="00DB4D6C">
        <w:rPr>
          <w:b/>
          <w:bCs/>
          <w:i/>
          <w:iCs/>
          <w:vertAlign w:val="superscript"/>
          <w:lang w:val="de-DE"/>
        </w:rPr>
        <w:footnoteReference w:id="19"/>
      </w:r>
    </w:p>
    <w:p w14:paraId="06ED818E" w14:textId="77777777" w:rsidR="00DB4D6C" w:rsidRPr="00DB4D6C" w:rsidRDefault="00DB4D6C" w:rsidP="008707C3">
      <w:pPr>
        <w:tabs>
          <w:tab w:val="left" w:pos="900"/>
          <w:tab w:val="left" w:pos="9475"/>
        </w:tabs>
        <w:spacing w:after="120" w:line="264" w:lineRule="auto"/>
        <w:ind w:firstLine="720"/>
        <w:jc w:val="both"/>
        <w:rPr>
          <w:b/>
          <w:bCs/>
          <w:sz w:val="2"/>
          <w:szCs w:val="24"/>
          <w:lang w:val="es-NI"/>
        </w:rPr>
      </w:pPr>
      <w:r w:rsidRPr="00DB4D6C">
        <w:rPr>
          <w:i/>
          <w:spacing w:val="-4"/>
          <w:lang w:val="de-DE"/>
        </w:rPr>
        <w:t>Trong tháng Hai, t</w:t>
      </w:r>
      <w:r w:rsidRPr="00DB4D6C">
        <w:rPr>
          <w:i/>
          <w:spacing w:val="-4"/>
          <w:lang w:val="es-NI"/>
        </w:rPr>
        <w:t>ổng kim ngạch xuất, nhập khẩu hàng hóa</w:t>
      </w:r>
      <w:r w:rsidRPr="00DB4D6C">
        <w:rPr>
          <w:i/>
          <w:iCs/>
          <w:spacing w:val="-2"/>
          <w:vertAlign w:val="superscript"/>
          <w:lang w:val="de-DE"/>
        </w:rPr>
        <w:footnoteReference w:id="20"/>
      </w:r>
      <w:r w:rsidRPr="00DB4D6C">
        <w:rPr>
          <w:i/>
          <w:spacing w:val="-4"/>
          <w:lang w:val="es-NI"/>
        </w:rPr>
        <w:t xml:space="preserve"> đạt 63,77 tỷ USD,</w:t>
      </w:r>
      <w:r w:rsidRPr="00DB4D6C">
        <w:rPr>
          <w:i/>
          <w:spacing w:val="-4"/>
          <w:lang w:val="de-DE"/>
        </w:rPr>
        <w:t xml:space="preserve"> tăng 0,7% so với tháng trước và</w:t>
      </w:r>
      <w:r w:rsidRPr="00DB4D6C">
        <w:rPr>
          <w:i/>
          <w:spacing w:val="-4"/>
          <w:lang w:val="es-NI"/>
        </w:rPr>
        <w:t xml:space="preserve"> tăng 32,6% so với cùng kỳ năm trước</w:t>
      </w:r>
      <w:r w:rsidRPr="00DB4D6C">
        <w:rPr>
          <w:rStyle w:val="FootnoteReference"/>
          <w:i/>
          <w:spacing w:val="-4"/>
          <w:lang w:val="es-NI"/>
        </w:rPr>
        <w:footnoteReference w:id="21"/>
      </w:r>
      <w:r w:rsidRPr="00DB4D6C">
        <w:rPr>
          <w:i/>
          <w:spacing w:val="-4"/>
          <w:lang w:val="es-NI"/>
        </w:rPr>
        <w:t>. Tính chung hai tháng đầu năm 2025, tổng kim ngạch xuất, nhập khẩu hàng hóa đạt 127,07 tỷ USD, tăng 12,0% so với cùng kỳ năm trước, trong đó xuất khẩu tăng 8,4%; nhập khẩu tăng 15,9%</w:t>
      </w:r>
      <w:r w:rsidRPr="00DB4D6C">
        <w:rPr>
          <w:i/>
          <w:spacing w:val="-4"/>
          <w:vertAlign w:val="superscript"/>
          <w:lang w:val="es-NI"/>
        </w:rPr>
        <w:footnoteReference w:id="22"/>
      </w:r>
      <w:r w:rsidRPr="00DB4D6C">
        <w:rPr>
          <w:i/>
          <w:spacing w:val="-4"/>
          <w:lang w:val="es-NI"/>
        </w:rPr>
        <w:t xml:space="preserve">. </w:t>
      </w:r>
      <w:r w:rsidRPr="00DB4D6C">
        <w:rPr>
          <w:i/>
          <w:iCs/>
          <w:spacing w:val="-4"/>
          <w:lang w:val="en-US"/>
        </w:rPr>
        <w:t>Cán cân thương mại hàng hóa xuất siêu 1,47 tỷ USD.</w:t>
      </w:r>
    </w:p>
    <w:p w14:paraId="4127977C" w14:textId="77777777" w:rsidR="008707C3" w:rsidRDefault="008707C3" w:rsidP="00DB4D6C">
      <w:pPr>
        <w:tabs>
          <w:tab w:val="left" w:pos="900"/>
          <w:tab w:val="left" w:pos="9475"/>
        </w:tabs>
        <w:spacing w:before="240" w:after="240" w:line="264" w:lineRule="auto"/>
        <w:ind w:right="119"/>
        <w:jc w:val="center"/>
        <w:rPr>
          <w:rFonts w:ascii="Arial" w:hAnsi="Arial" w:cs="Arial"/>
          <w:b/>
          <w:bCs/>
          <w:sz w:val="24"/>
          <w:szCs w:val="24"/>
          <w:lang w:val="es-NI"/>
        </w:rPr>
      </w:pPr>
    </w:p>
    <w:p w14:paraId="608FD7D6" w14:textId="6BAF5A49" w:rsidR="00DB4D6C" w:rsidRPr="009B2633" w:rsidRDefault="00DB4D6C" w:rsidP="00DB4D6C">
      <w:pPr>
        <w:tabs>
          <w:tab w:val="left" w:pos="900"/>
          <w:tab w:val="left" w:pos="9475"/>
        </w:tabs>
        <w:spacing w:before="240" w:after="240" w:line="264" w:lineRule="auto"/>
        <w:ind w:right="119"/>
        <w:jc w:val="center"/>
        <w:rPr>
          <w:rFonts w:ascii="Arial" w:hAnsi="Arial" w:cs="Arial"/>
          <w:b/>
          <w:bCs/>
          <w:sz w:val="24"/>
          <w:szCs w:val="24"/>
          <w:lang w:val="es-NI"/>
        </w:rPr>
      </w:pPr>
      <w:r w:rsidRPr="009B2633">
        <w:rPr>
          <w:rFonts w:ascii="Arial" w:hAnsi="Arial" w:cs="Arial"/>
          <w:b/>
          <w:bCs/>
          <w:sz w:val="24"/>
          <w:szCs w:val="24"/>
          <w:lang w:val="es-NI"/>
        </w:rPr>
        <w:lastRenderedPageBreak/>
        <w:t>Hình 1</w:t>
      </w:r>
      <w:r w:rsidR="00C81562">
        <w:rPr>
          <w:rFonts w:ascii="Arial" w:hAnsi="Arial" w:cs="Arial"/>
          <w:b/>
          <w:bCs/>
          <w:sz w:val="24"/>
          <w:szCs w:val="24"/>
          <w:lang w:val="es-NI"/>
        </w:rPr>
        <w:t>1</w:t>
      </w:r>
      <w:r w:rsidRPr="009B2633">
        <w:rPr>
          <w:rFonts w:ascii="Arial" w:hAnsi="Arial" w:cs="Arial"/>
          <w:b/>
          <w:bCs/>
          <w:sz w:val="24"/>
          <w:szCs w:val="24"/>
          <w:lang w:val="es-NI"/>
        </w:rPr>
        <w:t xml:space="preserve">. Xuất, nhập khẩu hàng hóa </w:t>
      </w:r>
      <w:r w:rsidR="001D362A">
        <w:rPr>
          <w:rFonts w:ascii="Arial" w:hAnsi="Arial" w:cs="Arial"/>
          <w:b/>
          <w:bCs/>
          <w:sz w:val="24"/>
          <w:szCs w:val="24"/>
          <w:lang w:val="es-NI"/>
        </w:rPr>
        <w:t>0</w:t>
      </w:r>
      <w:r>
        <w:rPr>
          <w:rFonts w:ascii="Arial" w:hAnsi="Arial" w:cs="Arial"/>
          <w:b/>
          <w:bCs/>
          <w:sz w:val="24"/>
          <w:szCs w:val="24"/>
          <w:lang w:val="es-NI"/>
        </w:rPr>
        <w:t>2 tháng đầu năm 2025</w:t>
      </w:r>
    </w:p>
    <w:p w14:paraId="09580FE0" w14:textId="77777777" w:rsidR="00DB4D6C" w:rsidRPr="009B2633" w:rsidRDefault="00DB4D6C" w:rsidP="00DB4D6C">
      <w:pPr>
        <w:tabs>
          <w:tab w:val="left" w:pos="900"/>
          <w:tab w:val="left" w:pos="9475"/>
        </w:tabs>
        <w:spacing w:before="120" w:after="240" w:line="264" w:lineRule="auto"/>
        <w:ind w:right="119"/>
        <w:jc w:val="center"/>
        <w:rPr>
          <w:rFonts w:ascii="Arial" w:hAnsi="Arial" w:cs="Arial"/>
          <w:b/>
          <w:bCs/>
          <w:sz w:val="24"/>
          <w:szCs w:val="24"/>
          <w:lang w:val="es-NI"/>
        </w:rPr>
      </w:pPr>
      <w:r>
        <w:rPr>
          <w:noProof/>
          <w:lang w:val="en-US"/>
        </w:rPr>
        <w:drawing>
          <wp:inline distT="0" distB="0" distL="0" distR="0" wp14:anchorId="4EDD0509" wp14:editId="05F90406">
            <wp:extent cx="5477511" cy="1440872"/>
            <wp:effectExtent l="0" t="0" r="8890" b="6985"/>
            <wp:docPr id="11199848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8484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527921" cy="1454133"/>
                    </a:xfrm>
                    <a:prstGeom prst="rect">
                      <a:avLst/>
                    </a:prstGeom>
                  </pic:spPr>
                </pic:pic>
              </a:graphicData>
            </a:graphic>
          </wp:inline>
        </w:drawing>
      </w:r>
    </w:p>
    <w:p w14:paraId="1265C3C4" w14:textId="77777777" w:rsidR="00DB4D6C" w:rsidRPr="009B2633" w:rsidRDefault="00DB4D6C" w:rsidP="00DA1504">
      <w:pPr>
        <w:spacing w:after="120" w:line="252" w:lineRule="auto"/>
        <w:ind w:firstLine="624"/>
        <w:rPr>
          <w:b/>
          <w:bCs/>
          <w:i/>
          <w:iCs/>
          <w:lang w:val="de-DE"/>
        </w:rPr>
      </w:pPr>
      <w:r w:rsidRPr="009B2633">
        <w:rPr>
          <w:b/>
          <w:bCs/>
          <w:i/>
          <w:iCs/>
          <w:lang w:val="de-DE"/>
        </w:rPr>
        <w:t>Xuất khẩu hàng hóa</w:t>
      </w:r>
    </w:p>
    <w:p w14:paraId="6514034D" w14:textId="77777777" w:rsidR="00DB4D6C" w:rsidRPr="009B2633" w:rsidRDefault="00DB4D6C" w:rsidP="00DA1504">
      <w:pPr>
        <w:tabs>
          <w:tab w:val="num" w:pos="0"/>
          <w:tab w:val="left" w:pos="9475"/>
        </w:tabs>
        <w:spacing w:after="120" w:line="252" w:lineRule="auto"/>
        <w:ind w:firstLine="624"/>
        <w:jc w:val="both"/>
        <w:rPr>
          <w:bCs/>
          <w:lang w:val="de-DE"/>
        </w:rPr>
      </w:pPr>
      <w:r w:rsidRPr="009B2633">
        <w:rPr>
          <w:bCs/>
          <w:lang w:val="de-DE"/>
        </w:rPr>
        <w:t xml:space="preserve">Kim ngạch xuất khẩu hàng hóa tháng </w:t>
      </w:r>
      <w:r>
        <w:rPr>
          <w:bCs/>
          <w:lang w:val="de-DE"/>
        </w:rPr>
        <w:t>0</w:t>
      </w:r>
      <w:r w:rsidRPr="009B2633">
        <w:rPr>
          <w:bCs/>
          <w:lang w:val="de-DE"/>
        </w:rPr>
        <w:t>1/202</w:t>
      </w:r>
      <w:r>
        <w:rPr>
          <w:bCs/>
          <w:lang w:val="de-DE"/>
        </w:rPr>
        <w:t>5</w:t>
      </w:r>
      <w:r w:rsidRPr="009B2633">
        <w:rPr>
          <w:bCs/>
          <w:lang w:val="de-DE"/>
        </w:rPr>
        <w:t xml:space="preserve"> đạt 33,</w:t>
      </w:r>
      <w:r>
        <w:rPr>
          <w:bCs/>
          <w:lang w:val="de-DE"/>
        </w:rPr>
        <w:t>16</w:t>
      </w:r>
      <w:r w:rsidRPr="009B2633">
        <w:rPr>
          <w:bCs/>
          <w:lang w:val="de-DE"/>
        </w:rPr>
        <w:t xml:space="preserve"> tỷ USD</w:t>
      </w:r>
      <w:r w:rsidRPr="009B2633">
        <w:rPr>
          <w:bCs/>
          <w:vertAlign w:val="superscript"/>
          <w:lang w:val="de-DE"/>
        </w:rPr>
        <w:footnoteReference w:id="23"/>
      </w:r>
      <w:r w:rsidRPr="009B2633">
        <w:rPr>
          <w:bCs/>
          <w:lang w:val="de-DE"/>
        </w:rPr>
        <w:t>.</w:t>
      </w:r>
    </w:p>
    <w:p w14:paraId="4BCF9DA7" w14:textId="77777777" w:rsidR="00DB4D6C" w:rsidRPr="009B2633" w:rsidRDefault="00DB4D6C" w:rsidP="00DA1504">
      <w:pPr>
        <w:tabs>
          <w:tab w:val="num" w:pos="0"/>
          <w:tab w:val="left" w:pos="9475"/>
        </w:tabs>
        <w:spacing w:after="120" w:line="252" w:lineRule="auto"/>
        <w:ind w:firstLine="624"/>
        <w:jc w:val="both"/>
        <w:rPr>
          <w:bCs/>
          <w:lang w:val="de-DE"/>
        </w:rPr>
      </w:pPr>
      <w:r w:rsidRPr="009B2633">
        <w:rPr>
          <w:bCs/>
          <w:lang w:val="de-DE"/>
        </w:rPr>
        <w:t xml:space="preserve">Kim ngạch xuất khẩu hàng hóa tháng </w:t>
      </w:r>
      <w:r>
        <w:rPr>
          <w:bCs/>
          <w:lang w:val="de-DE"/>
        </w:rPr>
        <w:t>02/2025</w:t>
      </w:r>
      <w:r w:rsidRPr="009B2633">
        <w:rPr>
          <w:bCs/>
          <w:lang w:val="de-DE"/>
        </w:rPr>
        <w:t xml:space="preserve"> đạt 3</w:t>
      </w:r>
      <w:r>
        <w:rPr>
          <w:bCs/>
          <w:lang w:val="de-DE"/>
        </w:rPr>
        <w:t>1</w:t>
      </w:r>
      <w:r w:rsidRPr="009B2633">
        <w:rPr>
          <w:bCs/>
          <w:lang w:val="de-DE"/>
        </w:rPr>
        <w:t>,</w:t>
      </w:r>
      <w:r>
        <w:rPr>
          <w:bCs/>
          <w:lang w:val="de-DE"/>
        </w:rPr>
        <w:t>11</w:t>
      </w:r>
      <w:r w:rsidRPr="009B2633">
        <w:rPr>
          <w:bCs/>
          <w:lang w:val="de-DE"/>
        </w:rPr>
        <w:t xml:space="preserve"> tỷ USD, </w:t>
      </w:r>
      <w:r>
        <w:rPr>
          <w:bCs/>
          <w:lang w:val="de-DE"/>
        </w:rPr>
        <w:t>giảm</w:t>
      </w:r>
      <w:r w:rsidRPr="009B2633">
        <w:rPr>
          <w:bCs/>
          <w:lang w:val="de-DE"/>
        </w:rPr>
        <w:t xml:space="preserve"> </w:t>
      </w:r>
      <w:r>
        <w:rPr>
          <w:bCs/>
          <w:lang w:val="de-DE"/>
        </w:rPr>
        <w:t>6</w:t>
      </w:r>
      <w:r w:rsidRPr="009B2633">
        <w:rPr>
          <w:bCs/>
          <w:lang w:val="de-DE"/>
        </w:rPr>
        <w:t>,</w:t>
      </w:r>
      <w:r>
        <w:rPr>
          <w:bCs/>
          <w:lang w:val="de-DE"/>
        </w:rPr>
        <w:t>2</w:t>
      </w:r>
      <w:r w:rsidRPr="009B2633">
        <w:rPr>
          <w:bCs/>
          <w:lang w:val="de-DE"/>
        </w:rPr>
        <w:t xml:space="preserve">% so với tháng trước. Trong đó, khu vực kinh tế trong nước đạt </w:t>
      </w:r>
      <w:r>
        <w:rPr>
          <w:bCs/>
          <w:lang w:val="de-DE"/>
        </w:rPr>
        <w:t>8</w:t>
      </w:r>
      <w:r w:rsidRPr="009B2633">
        <w:rPr>
          <w:bCs/>
          <w:lang w:val="de-DE"/>
        </w:rPr>
        <w:t>,</w:t>
      </w:r>
      <w:r>
        <w:rPr>
          <w:bCs/>
          <w:lang w:val="de-DE"/>
        </w:rPr>
        <w:t>39</w:t>
      </w:r>
      <w:r w:rsidRPr="009B2633">
        <w:rPr>
          <w:bCs/>
          <w:lang w:val="de-DE"/>
        </w:rPr>
        <w:t xml:space="preserve"> tỷ USD, </w:t>
      </w:r>
      <w:r>
        <w:rPr>
          <w:bCs/>
          <w:lang w:val="de-DE"/>
        </w:rPr>
        <w:t>giảm</w:t>
      </w:r>
      <w:r w:rsidRPr="009B2633">
        <w:rPr>
          <w:bCs/>
          <w:lang w:val="de-DE"/>
        </w:rPr>
        <w:t xml:space="preserve"> </w:t>
      </w:r>
      <w:r>
        <w:rPr>
          <w:bCs/>
          <w:lang w:val="de-DE"/>
        </w:rPr>
        <w:t>12</w:t>
      </w:r>
      <w:r w:rsidRPr="009B2633">
        <w:rPr>
          <w:bCs/>
          <w:lang w:val="de-DE"/>
        </w:rPr>
        <w:t>,</w:t>
      </w:r>
      <w:r>
        <w:rPr>
          <w:bCs/>
          <w:lang w:val="de-DE"/>
        </w:rPr>
        <w:t>0</w:t>
      </w:r>
      <w:r w:rsidRPr="009B2633">
        <w:rPr>
          <w:bCs/>
          <w:lang w:val="de-DE"/>
        </w:rPr>
        <w:t>%; khu vực có vốn đầu tư nước ngoài (kể cả dầu thô) đạt 2</w:t>
      </w:r>
      <w:r>
        <w:rPr>
          <w:bCs/>
          <w:lang w:val="de-DE"/>
        </w:rPr>
        <w:t>2</w:t>
      </w:r>
      <w:r w:rsidRPr="009B2633">
        <w:rPr>
          <w:bCs/>
          <w:lang w:val="de-DE"/>
        </w:rPr>
        <w:t>,</w:t>
      </w:r>
      <w:r>
        <w:rPr>
          <w:bCs/>
          <w:lang w:val="de-DE"/>
        </w:rPr>
        <w:t>72</w:t>
      </w:r>
      <w:r w:rsidRPr="009B2633">
        <w:rPr>
          <w:bCs/>
          <w:lang w:val="de-DE"/>
        </w:rPr>
        <w:t xml:space="preserve"> tỷ USD, </w:t>
      </w:r>
      <w:r>
        <w:rPr>
          <w:bCs/>
          <w:lang w:val="de-DE"/>
        </w:rPr>
        <w:t>giảm</w:t>
      </w:r>
      <w:r w:rsidRPr="009B2633">
        <w:rPr>
          <w:bCs/>
          <w:lang w:val="de-DE"/>
        </w:rPr>
        <w:t xml:space="preserve"> </w:t>
      </w:r>
      <w:r>
        <w:rPr>
          <w:bCs/>
          <w:lang w:val="de-DE"/>
        </w:rPr>
        <w:t>3</w:t>
      </w:r>
      <w:r w:rsidRPr="009B2633">
        <w:rPr>
          <w:bCs/>
          <w:lang w:val="de-DE"/>
        </w:rPr>
        <w:t>,</w:t>
      </w:r>
      <w:r>
        <w:rPr>
          <w:bCs/>
          <w:lang w:val="de-DE"/>
        </w:rPr>
        <w:t>8</w:t>
      </w:r>
      <w:r w:rsidRPr="009B2633">
        <w:rPr>
          <w:bCs/>
          <w:lang w:val="de-DE"/>
        </w:rPr>
        <w:t xml:space="preserve">%. So với cùng kỳ năm trước, kim ngạch xuất khẩu hàng hóa tháng Hai tăng </w:t>
      </w:r>
      <w:r>
        <w:rPr>
          <w:bCs/>
          <w:lang w:val="de-DE"/>
        </w:rPr>
        <w:t>25</w:t>
      </w:r>
      <w:r w:rsidRPr="009B2633">
        <w:rPr>
          <w:bCs/>
          <w:lang w:val="de-DE"/>
        </w:rPr>
        <w:t>,</w:t>
      </w:r>
      <w:r>
        <w:rPr>
          <w:bCs/>
          <w:lang w:val="de-DE"/>
        </w:rPr>
        <w:t>7</w:t>
      </w:r>
      <w:r w:rsidRPr="009B2633">
        <w:rPr>
          <w:bCs/>
          <w:lang w:val="de-DE"/>
        </w:rPr>
        <w:t xml:space="preserve">%, trong đó khu vực kinh tế trong nước tăng </w:t>
      </w:r>
      <w:r>
        <w:rPr>
          <w:bCs/>
          <w:lang w:val="de-DE"/>
        </w:rPr>
        <w:t>32</w:t>
      </w:r>
      <w:r w:rsidRPr="009B2633">
        <w:rPr>
          <w:bCs/>
          <w:lang w:val="de-DE"/>
        </w:rPr>
        <w:t>,</w:t>
      </w:r>
      <w:r>
        <w:rPr>
          <w:bCs/>
          <w:lang w:val="de-DE"/>
        </w:rPr>
        <w:t>8</w:t>
      </w:r>
      <w:r w:rsidRPr="009B2633">
        <w:rPr>
          <w:bCs/>
          <w:lang w:val="de-DE"/>
        </w:rPr>
        <w:t xml:space="preserve">%, khu vực có vốn đầu tư nước ngoài (kể cả dầu thô) tăng </w:t>
      </w:r>
      <w:r>
        <w:rPr>
          <w:bCs/>
          <w:lang w:val="de-DE"/>
        </w:rPr>
        <w:t>23</w:t>
      </w:r>
      <w:r w:rsidRPr="009B2633">
        <w:rPr>
          <w:bCs/>
          <w:lang w:val="de-DE"/>
        </w:rPr>
        <w:t>,</w:t>
      </w:r>
      <w:r>
        <w:rPr>
          <w:bCs/>
          <w:lang w:val="de-DE"/>
        </w:rPr>
        <w:t>2</w:t>
      </w:r>
      <w:r w:rsidRPr="009B2633">
        <w:rPr>
          <w:bCs/>
          <w:lang w:val="de-DE"/>
        </w:rPr>
        <w:t xml:space="preserve">%. </w:t>
      </w:r>
    </w:p>
    <w:p w14:paraId="76DFF318" w14:textId="77777777" w:rsidR="00DB4D6C" w:rsidRPr="009B2633" w:rsidRDefault="00DB4D6C" w:rsidP="00DA1504">
      <w:pPr>
        <w:tabs>
          <w:tab w:val="num" w:pos="0"/>
          <w:tab w:val="left" w:pos="9475"/>
        </w:tabs>
        <w:spacing w:after="120" w:line="252" w:lineRule="auto"/>
        <w:ind w:firstLine="624"/>
        <w:jc w:val="both"/>
        <w:rPr>
          <w:iCs/>
          <w:spacing w:val="-4"/>
          <w:lang w:val="de-DE"/>
        </w:rPr>
      </w:pPr>
      <w:r w:rsidRPr="009B2633">
        <w:rPr>
          <w:iCs/>
          <w:spacing w:val="-4"/>
          <w:lang w:val="de-DE"/>
        </w:rPr>
        <w:t xml:space="preserve">Tính chung </w:t>
      </w:r>
      <w:r>
        <w:rPr>
          <w:iCs/>
          <w:spacing w:val="-4"/>
          <w:lang w:val="de-DE"/>
        </w:rPr>
        <w:t>hai tháng đầu năm 2025</w:t>
      </w:r>
      <w:r w:rsidRPr="009B2633">
        <w:rPr>
          <w:iCs/>
          <w:spacing w:val="-4"/>
          <w:lang w:val="de-DE"/>
        </w:rPr>
        <w:t xml:space="preserve">, kim ngạch xuất khẩu hàng hóa đạt </w:t>
      </w:r>
      <w:r>
        <w:rPr>
          <w:iCs/>
          <w:spacing w:val="-4"/>
          <w:lang w:val="de-DE"/>
        </w:rPr>
        <w:t>6</w:t>
      </w:r>
      <w:r w:rsidRPr="009B2633">
        <w:rPr>
          <w:iCs/>
          <w:spacing w:val="-4"/>
          <w:lang w:val="de-DE"/>
        </w:rPr>
        <w:t>4,</w:t>
      </w:r>
      <w:r>
        <w:rPr>
          <w:iCs/>
          <w:spacing w:val="-4"/>
          <w:lang w:val="de-DE"/>
        </w:rPr>
        <w:t>27</w:t>
      </w:r>
      <w:r w:rsidRPr="009B2633">
        <w:rPr>
          <w:iCs/>
          <w:spacing w:val="-4"/>
          <w:lang w:val="de-DE"/>
        </w:rPr>
        <w:t xml:space="preserve"> tỷ USD, tăng </w:t>
      </w:r>
      <w:r>
        <w:rPr>
          <w:iCs/>
          <w:spacing w:val="-4"/>
          <w:lang w:val="de-DE"/>
        </w:rPr>
        <w:t>8</w:t>
      </w:r>
      <w:r w:rsidRPr="009B2633">
        <w:rPr>
          <w:iCs/>
          <w:spacing w:val="-4"/>
          <w:lang w:val="de-DE"/>
        </w:rPr>
        <w:t>,</w:t>
      </w:r>
      <w:r>
        <w:rPr>
          <w:iCs/>
          <w:spacing w:val="-4"/>
          <w:lang w:val="de-DE"/>
        </w:rPr>
        <w:t>4</w:t>
      </w:r>
      <w:r w:rsidRPr="009B2633">
        <w:rPr>
          <w:iCs/>
          <w:spacing w:val="-4"/>
          <w:lang w:val="de-DE"/>
        </w:rPr>
        <w:t xml:space="preserve">% so với </w:t>
      </w:r>
      <w:r>
        <w:rPr>
          <w:iCs/>
          <w:spacing w:val="-4"/>
          <w:lang w:val="de-DE"/>
        </w:rPr>
        <w:t xml:space="preserve">cùng kỳ </w:t>
      </w:r>
      <w:r w:rsidRPr="009B2633">
        <w:rPr>
          <w:iCs/>
          <w:spacing w:val="-4"/>
          <w:lang w:val="de-DE"/>
        </w:rPr>
        <w:t xml:space="preserve">năm trước. </w:t>
      </w:r>
      <w:bookmarkStart w:id="1" w:name="_Hlk181359904"/>
      <w:r w:rsidRPr="009B2633">
        <w:rPr>
          <w:iCs/>
          <w:spacing w:val="-4"/>
          <w:lang w:val="de-DE"/>
        </w:rPr>
        <w:t>Trong đó, khu vực kinh tế trong nước đạt 1</w:t>
      </w:r>
      <w:r>
        <w:rPr>
          <w:iCs/>
          <w:spacing w:val="-4"/>
          <w:lang w:val="de-DE"/>
        </w:rPr>
        <w:t>7</w:t>
      </w:r>
      <w:r w:rsidRPr="009B2633">
        <w:rPr>
          <w:iCs/>
          <w:spacing w:val="-4"/>
          <w:lang w:val="de-DE"/>
        </w:rPr>
        <w:t>,</w:t>
      </w:r>
      <w:r>
        <w:rPr>
          <w:iCs/>
          <w:spacing w:val="-4"/>
          <w:lang w:val="de-DE"/>
        </w:rPr>
        <w:t>92</w:t>
      </w:r>
      <w:r w:rsidRPr="009B2633">
        <w:rPr>
          <w:iCs/>
          <w:spacing w:val="-4"/>
          <w:lang w:val="de-DE"/>
        </w:rPr>
        <w:t xml:space="preserve"> tỷ USD, tăng 1</w:t>
      </w:r>
      <w:r>
        <w:rPr>
          <w:iCs/>
          <w:spacing w:val="-4"/>
          <w:lang w:val="de-DE"/>
        </w:rPr>
        <w:t>2</w:t>
      </w:r>
      <w:r w:rsidRPr="009B2633">
        <w:rPr>
          <w:iCs/>
          <w:spacing w:val="-4"/>
          <w:lang w:val="de-DE"/>
        </w:rPr>
        <w:t>,8%, chiếm 2</w:t>
      </w:r>
      <w:r>
        <w:rPr>
          <w:iCs/>
          <w:spacing w:val="-4"/>
          <w:lang w:val="de-DE"/>
        </w:rPr>
        <w:t>7</w:t>
      </w:r>
      <w:r w:rsidRPr="009B2633">
        <w:rPr>
          <w:iCs/>
          <w:spacing w:val="-4"/>
          <w:lang w:val="de-DE"/>
        </w:rPr>
        <w:t>,</w:t>
      </w:r>
      <w:r>
        <w:rPr>
          <w:iCs/>
          <w:spacing w:val="-4"/>
          <w:lang w:val="de-DE"/>
        </w:rPr>
        <w:t>9</w:t>
      </w:r>
      <w:r w:rsidRPr="009B2633">
        <w:rPr>
          <w:iCs/>
          <w:spacing w:val="-4"/>
          <w:lang w:val="de-DE"/>
        </w:rPr>
        <w:t xml:space="preserve">% tổng kim ngạch xuất khẩu; khu vực có vốn đầu tư nước ngoài (kể cả dầu thô) đạt </w:t>
      </w:r>
      <w:r>
        <w:rPr>
          <w:iCs/>
          <w:spacing w:val="-4"/>
          <w:lang w:val="de-DE"/>
        </w:rPr>
        <w:t>46</w:t>
      </w:r>
      <w:r w:rsidRPr="009B2633">
        <w:rPr>
          <w:iCs/>
          <w:spacing w:val="-4"/>
          <w:lang w:val="de-DE"/>
        </w:rPr>
        <w:t>,</w:t>
      </w:r>
      <w:r>
        <w:rPr>
          <w:iCs/>
          <w:spacing w:val="-4"/>
          <w:lang w:val="de-DE"/>
        </w:rPr>
        <w:t>35</w:t>
      </w:r>
      <w:r w:rsidRPr="009B2633">
        <w:rPr>
          <w:iCs/>
          <w:spacing w:val="-4"/>
          <w:lang w:val="de-DE"/>
        </w:rPr>
        <w:t xml:space="preserve"> tỷ USD, tăng </w:t>
      </w:r>
      <w:r>
        <w:rPr>
          <w:iCs/>
          <w:spacing w:val="-4"/>
          <w:lang w:val="de-DE"/>
        </w:rPr>
        <w:t>6</w:t>
      </w:r>
      <w:r w:rsidRPr="009B2633">
        <w:rPr>
          <w:iCs/>
          <w:spacing w:val="-4"/>
          <w:lang w:val="de-DE"/>
        </w:rPr>
        <w:t>,</w:t>
      </w:r>
      <w:r>
        <w:rPr>
          <w:iCs/>
          <w:spacing w:val="-4"/>
          <w:lang w:val="de-DE"/>
        </w:rPr>
        <w:t>7</w:t>
      </w:r>
      <w:r w:rsidRPr="009B2633">
        <w:rPr>
          <w:iCs/>
          <w:spacing w:val="-4"/>
          <w:lang w:val="de-DE"/>
        </w:rPr>
        <w:t>%, chiếm 7</w:t>
      </w:r>
      <w:r>
        <w:rPr>
          <w:iCs/>
          <w:spacing w:val="-4"/>
          <w:lang w:val="de-DE"/>
        </w:rPr>
        <w:t>2</w:t>
      </w:r>
      <w:r w:rsidRPr="009B2633">
        <w:rPr>
          <w:iCs/>
          <w:spacing w:val="-4"/>
          <w:lang w:val="de-DE"/>
        </w:rPr>
        <w:t>,</w:t>
      </w:r>
      <w:r>
        <w:rPr>
          <w:iCs/>
          <w:spacing w:val="-4"/>
          <w:lang w:val="de-DE"/>
        </w:rPr>
        <w:t>1</w:t>
      </w:r>
      <w:r w:rsidRPr="009B2633">
        <w:rPr>
          <w:iCs/>
          <w:spacing w:val="-4"/>
          <w:lang w:val="de-DE"/>
        </w:rPr>
        <w:t xml:space="preserve">%. </w:t>
      </w:r>
      <w:bookmarkEnd w:id="1"/>
    </w:p>
    <w:p w14:paraId="087DE159" w14:textId="77777777" w:rsidR="00DB4D6C" w:rsidRPr="009B2633" w:rsidRDefault="00DB4D6C" w:rsidP="00DA1504">
      <w:pPr>
        <w:tabs>
          <w:tab w:val="num" w:pos="0"/>
          <w:tab w:val="left" w:pos="9475"/>
        </w:tabs>
        <w:spacing w:after="120" w:line="252" w:lineRule="auto"/>
        <w:ind w:firstLine="624"/>
        <w:jc w:val="both"/>
        <w:rPr>
          <w:b/>
          <w:bCs/>
          <w:lang w:val="es-NI"/>
        </w:rPr>
      </w:pPr>
      <w:r w:rsidRPr="009B2633">
        <w:rPr>
          <w:lang w:val="de-DE"/>
        </w:rPr>
        <w:t xml:space="preserve">Trong </w:t>
      </w:r>
      <w:r>
        <w:rPr>
          <w:lang w:val="de-DE"/>
        </w:rPr>
        <w:t>hai tháng đầu năm 2025</w:t>
      </w:r>
      <w:r w:rsidRPr="009B2633">
        <w:rPr>
          <w:lang w:val="de-DE"/>
        </w:rPr>
        <w:t xml:space="preserve"> có </w:t>
      </w:r>
      <w:r>
        <w:rPr>
          <w:lang w:val="de-DE"/>
        </w:rPr>
        <w:t>12</w:t>
      </w:r>
      <w:r w:rsidRPr="009B2633">
        <w:rPr>
          <w:lang w:val="de-DE"/>
        </w:rPr>
        <w:t xml:space="preserve"> mặt hàng đạt kim ngạch xuất khẩu trên 1 tỷ USD, chiếm </w:t>
      </w:r>
      <w:r>
        <w:rPr>
          <w:lang w:val="de-DE"/>
        </w:rPr>
        <w:t>77</w:t>
      </w:r>
      <w:r w:rsidRPr="009B2633">
        <w:rPr>
          <w:lang w:val="de-DE"/>
        </w:rPr>
        <w:t>,</w:t>
      </w:r>
      <w:r>
        <w:rPr>
          <w:lang w:val="de-DE"/>
        </w:rPr>
        <w:t>7</w:t>
      </w:r>
      <w:r w:rsidRPr="009B2633">
        <w:rPr>
          <w:lang w:val="de-DE"/>
        </w:rPr>
        <w:t xml:space="preserve">% tổng kim ngạch xuất khẩu (có </w:t>
      </w:r>
      <w:r>
        <w:rPr>
          <w:lang w:val="de-DE"/>
        </w:rPr>
        <w:t>4</w:t>
      </w:r>
      <w:r w:rsidRPr="009B2633">
        <w:rPr>
          <w:lang w:val="de-DE"/>
        </w:rPr>
        <w:t xml:space="preserve"> mặt hàng xuất khẩu trên </w:t>
      </w:r>
      <w:r>
        <w:rPr>
          <w:lang w:val="de-DE"/>
        </w:rPr>
        <w:t>5</w:t>
      </w:r>
      <w:r w:rsidRPr="009B2633">
        <w:rPr>
          <w:lang w:val="de-DE"/>
        </w:rPr>
        <w:t xml:space="preserve"> tỷ USD, chiếm </w:t>
      </w:r>
      <w:r>
        <w:rPr>
          <w:lang w:val="de-DE"/>
        </w:rPr>
        <w:t>54</w:t>
      </w:r>
      <w:r w:rsidRPr="009B2633">
        <w:rPr>
          <w:lang w:val="de-DE"/>
        </w:rPr>
        <w:t>,</w:t>
      </w:r>
      <w:r>
        <w:rPr>
          <w:lang w:val="de-DE"/>
        </w:rPr>
        <w:t>6</w:t>
      </w:r>
      <w:r w:rsidRPr="009B2633">
        <w:rPr>
          <w:lang w:val="de-DE"/>
        </w:rPr>
        <w:t xml:space="preserve">%). </w:t>
      </w:r>
    </w:p>
    <w:p w14:paraId="4B4E34D6" w14:textId="49F97025" w:rsidR="00DB4D6C" w:rsidRPr="009B2633" w:rsidRDefault="00DB4D6C" w:rsidP="00DB4D6C">
      <w:pPr>
        <w:tabs>
          <w:tab w:val="num" w:pos="0"/>
          <w:tab w:val="left" w:pos="9475"/>
        </w:tabs>
        <w:spacing w:before="120" w:after="120" w:line="264" w:lineRule="auto"/>
        <w:ind w:right="119"/>
        <w:jc w:val="center"/>
        <w:rPr>
          <w:rFonts w:ascii="Arial" w:hAnsi="Arial" w:cs="Arial"/>
          <w:b/>
          <w:bCs/>
          <w:sz w:val="24"/>
          <w:szCs w:val="24"/>
          <w:lang w:val="es-NI"/>
        </w:rPr>
      </w:pPr>
      <w:r w:rsidRPr="009B2633">
        <w:rPr>
          <w:rFonts w:ascii="Arial" w:hAnsi="Arial" w:cs="Arial"/>
          <w:b/>
          <w:spacing w:val="-2"/>
          <w:sz w:val="24"/>
          <w:szCs w:val="20"/>
          <w:lang w:val="pl-PL"/>
        </w:rPr>
        <w:t xml:space="preserve">Biểu </w:t>
      </w:r>
      <w:r w:rsidR="001D362A">
        <w:rPr>
          <w:rFonts w:ascii="Arial" w:hAnsi="Arial" w:cs="Arial"/>
          <w:b/>
          <w:spacing w:val="-2"/>
          <w:sz w:val="24"/>
          <w:szCs w:val="20"/>
          <w:lang w:val="pl-PL"/>
        </w:rPr>
        <w:t>4</w:t>
      </w:r>
      <w:r w:rsidRPr="009B2633">
        <w:rPr>
          <w:rFonts w:ascii="Arial" w:hAnsi="Arial" w:cs="Arial"/>
          <w:b/>
          <w:spacing w:val="-2"/>
          <w:sz w:val="24"/>
          <w:szCs w:val="20"/>
          <w:lang w:val="pl-PL"/>
        </w:rPr>
        <w:t>. Giá trị</w:t>
      </w:r>
      <w:r w:rsidRPr="009B2633">
        <w:rPr>
          <w:rFonts w:ascii="Arial" w:hAnsi="Arial" w:cs="Arial"/>
          <w:b/>
          <w:bCs/>
          <w:sz w:val="24"/>
          <w:szCs w:val="24"/>
          <w:lang w:val="es-NI"/>
        </w:rPr>
        <w:t xml:space="preserve"> một số mặt hàng xuất khẩu </w:t>
      </w:r>
      <w:r w:rsidR="001D362A">
        <w:rPr>
          <w:rFonts w:ascii="Arial" w:hAnsi="Arial" w:cs="Arial"/>
          <w:b/>
          <w:bCs/>
          <w:sz w:val="24"/>
          <w:szCs w:val="24"/>
          <w:lang w:val="es-NI"/>
        </w:rPr>
        <w:t>0</w:t>
      </w:r>
      <w:r>
        <w:rPr>
          <w:rFonts w:ascii="Arial" w:hAnsi="Arial" w:cs="Arial"/>
          <w:b/>
          <w:bCs/>
          <w:sz w:val="24"/>
          <w:szCs w:val="24"/>
          <w:lang w:val="es-NI"/>
        </w:rPr>
        <w:t>2 tháng đầu năm 2025</w:t>
      </w:r>
    </w:p>
    <w:tbl>
      <w:tblPr>
        <w:tblStyle w:val="TableGrid"/>
        <w:tblW w:w="911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62"/>
        <w:gridCol w:w="1680"/>
        <w:gridCol w:w="229"/>
        <w:gridCol w:w="2322"/>
        <w:gridCol w:w="323"/>
      </w:tblGrid>
      <w:tr w:rsidR="00DB4D6C" w:rsidRPr="00552BC7" w14:paraId="06B6C38B" w14:textId="77777777" w:rsidTr="00DB4D6C">
        <w:trPr>
          <w:gridAfter w:val="1"/>
          <w:wAfter w:w="323" w:type="dxa"/>
        </w:trPr>
        <w:tc>
          <w:tcPr>
            <w:tcW w:w="4395" w:type="dxa"/>
          </w:tcPr>
          <w:p w14:paraId="124DC2D9" w14:textId="77777777" w:rsidR="00DB4D6C" w:rsidRPr="00552BC7" w:rsidRDefault="00DB4D6C" w:rsidP="00DB4D6C">
            <w:pPr>
              <w:tabs>
                <w:tab w:val="num" w:pos="0"/>
                <w:tab w:val="left" w:pos="9475"/>
              </w:tabs>
              <w:spacing w:before="40" w:after="40" w:line="264" w:lineRule="auto"/>
              <w:ind w:right="119"/>
              <w:jc w:val="right"/>
              <w:rPr>
                <w:rFonts w:ascii="Arial" w:hAnsi="Arial" w:cs="Arial"/>
                <w:b/>
                <w:bCs/>
                <w:i/>
                <w:iCs/>
                <w:sz w:val="20"/>
                <w:lang w:val="es-NI"/>
              </w:rPr>
            </w:pPr>
          </w:p>
          <w:p w14:paraId="4C38AEC9" w14:textId="77777777" w:rsidR="00DB4D6C" w:rsidRPr="00552BC7" w:rsidRDefault="00DB4D6C" w:rsidP="00DB4D6C">
            <w:pPr>
              <w:tabs>
                <w:tab w:val="num" w:pos="0"/>
                <w:tab w:val="left" w:pos="9475"/>
              </w:tabs>
              <w:spacing w:before="40" w:after="40" w:line="264" w:lineRule="auto"/>
              <w:ind w:right="119"/>
              <w:jc w:val="right"/>
              <w:rPr>
                <w:rFonts w:ascii="Arial" w:hAnsi="Arial" w:cs="Arial"/>
                <w:b/>
                <w:bCs/>
                <w:i/>
                <w:iCs/>
                <w:sz w:val="20"/>
                <w:lang w:val="es-NI"/>
              </w:rPr>
            </w:pPr>
          </w:p>
        </w:tc>
        <w:tc>
          <w:tcPr>
            <w:tcW w:w="1842" w:type="dxa"/>
            <w:gridSpan w:val="2"/>
            <w:tcBorders>
              <w:top w:val="single" w:sz="4" w:space="0" w:color="auto"/>
              <w:bottom w:val="single" w:sz="4" w:space="0" w:color="auto"/>
            </w:tcBorders>
          </w:tcPr>
          <w:p w14:paraId="35963873" w14:textId="77777777" w:rsidR="00DB4D6C" w:rsidRPr="00552BC7" w:rsidRDefault="00DB4D6C" w:rsidP="00DB4D6C">
            <w:pPr>
              <w:spacing w:before="40" w:after="40" w:line="264" w:lineRule="auto"/>
              <w:jc w:val="center"/>
              <w:rPr>
                <w:rFonts w:ascii="Arial" w:hAnsi="Arial" w:cs="Arial"/>
                <w:sz w:val="20"/>
                <w:lang w:val="es-NI"/>
              </w:rPr>
            </w:pPr>
            <w:r>
              <w:rPr>
                <w:rFonts w:ascii="Arial" w:hAnsi="Arial" w:cs="Arial"/>
                <w:sz w:val="20"/>
                <w:lang w:val="es-NI"/>
              </w:rPr>
              <w:t>Giá trị</w:t>
            </w:r>
          </w:p>
          <w:p w14:paraId="5F006F0A" w14:textId="77777777" w:rsidR="00DB4D6C" w:rsidRPr="00552BC7" w:rsidRDefault="00DB4D6C" w:rsidP="00DB4D6C">
            <w:pPr>
              <w:spacing w:before="40" w:after="40" w:line="264" w:lineRule="auto"/>
              <w:jc w:val="center"/>
              <w:rPr>
                <w:rFonts w:ascii="Arial" w:hAnsi="Arial" w:cs="Arial"/>
                <w:b/>
                <w:bCs/>
                <w:i/>
                <w:iCs/>
                <w:sz w:val="20"/>
                <w:lang w:val="es-NI"/>
              </w:rPr>
            </w:pPr>
            <w:r w:rsidRPr="00552BC7">
              <w:rPr>
                <w:rFonts w:ascii="Arial" w:hAnsi="Arial" w:cs="Arial"/>
                <w:i/>
                <w:iCs/>
                <w:sz w:val="20"/>
                <w:lang w:val="es-NI"/>
              </w:rPr>
              <w:t>(Triệu USD)</w:t>
            </w:r>
          </w:p>
        </w:tc>
        <w:tc>
          <w:tcPr>
            <w:tcW w:w="2551" w:type="dxa"/>
            <w:gridSpan w:val="2"/>
            <w:tcBorders>
              <w:top w:val="single" w:sz="4" w:space="0" w:color="auto"/>
              <w:bottom w:val="single" w:sz="4" w:space="0" w:color="auto"/>
            </w:tcBorders>
          </w:tcPr>
          <w:p w14:paraId="2EB0B59D" w14:textId="77777777" w:rsidR="00DB4D6C" w:rsidRPr="00552BC7" w:rsidRDefault="00DB4D6C" w:rsidP="00DB4D6C">
            <w:pPr>
              <w:spacing w:before="40" w:after="40" w:line="264" w:lineRule="auto"/>
              <w:jc w:val="center"/>
              <w:rPr>
                <w:rFonts w:ascii="Arial" w:hAnsi="Arial" w:cs="Arial"/>
                <w:sz w:val="20"/>
                <w:lang w:val="es-NI"/>
              </w:rPr>
            </w:pPr>
            <w:r w:rsidRPr="00552BC7">
              <w:rPr>
                <w:rFonts w:ascii="Arial" w:hAnsi="Arial" w:cs="Arial"/>
                <w:sz w:val="20"/>
                <w:lang w:val="es-NI"/>
              </w:rPr>
              <w:t xml:space="preserve">Tốc độ </w:t>
            </w:r>
            <w:r>
              <w:rPr>
                <w:rFonts w:ascii="Arial" w:hAnsi="Arial" w:cs="Arial"/>
                <w:sz w:val="20"/>
                <w:lang w:val="es-NI"/>
              </w:rPr>
              <w:t>tăng/giảm</w:t>
            </w:r>
            <w:r w:rsidRPr="00552BC7">
              <w:rPr>
                <w:rFonts w:ascii="Arial" w:hAnsi="Arial" w:cs="Arial"/>
                <w:sz w:val="20"/>
                <w:lang w:val="es-NI"/>
              </w:rPr>
              <w:t xml:space="preserve"> so với</w:t>
            </w:r>
          </w:p>
          <w:p w14:paraId="4C341FDA" w14:textId="77777777" w:rsidR="00DB4D6C" w:rsidRPr="00552BC7" w:rsidRDefault="00DB4D6C" w:rsidP="00DB4D6C">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DB4D6C" w:rsidRPr="009B2633" w14:paraId="75F6C2E7" w14:textId="77777777" w:rsidTr="00DB4D6C">
        <w:trPr>
          <w:trHeight w:val="344"/>
        </w:trPr>
        <w:tc>
          <w:tcPr>
            <w:tcW w:w="4557" w:type="dxa"/>
            <w:gridSpan w:val="2"/>
            <w:vAlign w:val="bottom"/>
          </w:tcPr>
          <w:p w14:paraId="2C785AB4" w14:textId="77777777" w:rsidR="00DB4D6C" w:rsidRPr="009B2633" w:rsidRDefault="00DB4D6C" w:rsidP="00DB4D6C">
            <w:pPr>
              <w:rPr>
                <w:rFonts w:ascii="Arial" w:hAnsi="Arial" w:cs="Arial"/>
                <w:b/>
                <w:bCs/>
                <w:sz w:val="20"/>
                <w:lang w:val="en-US"/>
              </w:rPr>
            </w:pPr>
            <w:r w:rsidRPr="009B2633">
              <w:rPr>
                <w:rFonts w:ascii="Arial" w:hAnsi="Arial" w:cs="Arial"/>
                <w:b/>
                <w:bCs/>
                <w:sz w:val="20"/>
                <w:lang w:val="en-US"/>
              </w:rPr>
              <w:t xml:space="preserve">Các mặt hàng đạt giá trị trên </w:t>
            </w:r>
            <w:r>
              <w:rPr>
                <w:rFonts w:ascii="Arial" w:hAnsi="Arial" w:cs="Arial"/>
                <w:b/>
                <w:bCs/>
                <w:sz w:val="20"/>
                <w:lang w:val="en-US"/>
              </w:rPr>
              <w:t>5</w:t>
            </w:r>
            <w:r w:rsidRPr="009B2633">
              <w:rPr>
                <w:rFonts w:ascii="Arial" w:hAnsi="Arial" w:cs="Arial"/>
                <w:b/>
                <w:bCs/>
                <w:sz w:val="20"/>
                <w:lang w:val="en-US"/>
              </w:rPr>
              <w:t xml:space="preserve"> tỷ USD</w:t>
            </w:r>
          </w:p>
        </w:tc>
        <w:tc>
          <w:tcPr>
            <w:tcW w:w="1909" w:type="dxa"/>
            <w:gridSpan w:val="2"/>
            <w:tcBorders>
              <w:top w:val="single" w:sz="4" w:space="0" w:color="auto"/>
            </w:tcBorders>
          </w:tcPr>
          <w:p w14:paraId="203C6F81" w14:textId="77777777" w:rsidR="00DB4D6C" w:rsidRPr="009B2633" w:rsidRDefault="00DB4D6C" w:rsidP="00DB4D6C">
            <w:pPr>
              <w:tabs>
                <w:tab w:val="num" w:pos="0"/>
                <w:tab w:val="left" w:pos="9475"/>
              </w:tabs>
              <w:ind w:right="119"/>
              <w:jc w:val="right"/>
              <w:rPr>
                <w:rFonts w:ascii="Arial" w:hAnsi="Arial" w:cs="Arial"/>
                <w:b/>
                <w:bCs/>
                <w:i/>
                <w:iCs/>
                <w:sz w:val="20"/>
                <w:lang w:val="en-US"/>
              </w:rPr>
            </w:pPr>
          </w:p>
        </w:tc>
        <w:tc>
          <w:tcPr>
            <w:tcW w:w="2645" w:type="dxa"/>
            <w:gridSpan w:val="2"/>
            <w:tcBorders>
              <w:top w:val="single" w:sz="4" w:space="0" w:color="auto"/>
            </w:tcBorders>
          </w:tcPr>
          <w:p w14:paraId="498E5F9C" w14:textId="77777777" w:rsidR="00DB4D6C" w:rsidRPr="009B2633" w:rsidRDefault="00DB4D6C" w:rsidP="00DB4D6C">
            <w:pPr>
              <w:tabs>
                <w:tab w:val="num" w:pos="0"/>
                <w:tab w:val="left" w:pos="9475"/>
              </w:tabs>
              <w:ind w:right="119"/>
              <w:jc w:val="right"/>
              <w:rPr>
                <w:rFonts w:ascii="Arial" w:hAnsi="Arial" w:cs="Arial"/>
                <w:b/>
                <w:bCs/>
                <w:i/>
                <w:iCs/>
                <w:sz w:val="20"/>
                <w:lang w:val="en-US"/>
              </w:rPr>
            </w:pPr>
          </w:p>
        </w:tc>
      </w:tr>
      <w:tr w:rsidR="00DB4D6C" w:rsidRPr="009B2633" w14:paraId="28AE21FF" w14:textId="77777777" w:rsidTr="00DB4D6C">
        <w:trPr>
          <w:trHeight w:val="367"/>
        </w:trPr>
        <w:tc>
          <w:tcPr>
            <w:tcW w:w="4557" w:type="dxa"/>
            <w:gridSpan w:val="2"/>
            <w:vAlign w:val="bottom"/>
          </w:tcPr>
          <w:p w14:paraId="16A012F4" w14:textId="77777777" w:rsidR="00DB4D6C" w:rsidRPr="009B2633" w:rsidRDefault="00DB4D6C" w:rsidP="00DB4D6C">
            <w:pPr>
              <w:ind w:firstLine="170"/>
              <w:rPr>
                <w:rFonts w:ascii="Arial" w:hAnsi="Arial" w:cs="Arial"/>
                <w:sz w:val="20"/>
                <w:szCs w:val="20"/>
                <w:lang w:val="en-US"/>
              </w:rPr>
            </w:pPr>
            <w:r w:rsidRPr="009B2633">
              <w:rPr>
                <w:rFonts w:ascii="Arial" w:hAnsi="Arial" w:cs="Arial"/>
                <w:sz w:val="20"/>
                <w:szCs w:val="20"/>
                <w:lang w:val="en-US"/>
              </w:rPr>
              <w:t>Điện tử, máy tính và linh kiện</w:t>
            </w:r>
          </w:p>
        </w:tc>
        <w:tc>
          <w:tcPr>
            <w:tcW w:w="1909" w:type="dxa"/>
            <w:gridSpan w:val="2"/>
            <w:vAlign w:val="bottom"/>
          </w:tcPr>
          <w:p w14:paraId="1603D803" w14:textId="77777777" w:rsidR="00DB4D6C" w:rsidRPr="00D4464E" w:rsidRDefault="00DB4D6C" w:rsidP="00DB4D6C">
            <w:pPr>
              <w:ind w:right="407" w:firstLine="170"/>
              <w:jc w:val="right"/>
              <w:rPr>
                <w:rFonts w:ascii="Arial" w:hAnsi="Arial" w:cs="Arial"/>
                <w:sz w:val="20"/>
                <w:szCs w:val="20"/>
                <w:lang w:val="en-US"/>
              </w:rPr>
            </w:pPr>
            <w:r w:rsidRPr="00D4464E">
              <w:rPr>
                <w:rFonts w:ascii="Arial" w:hAnsi="Arial" w:cs="Arial"/>
                <w:sz w:val="20"/>
                <w:szCs w:val="20"/>
              </w:rPr>
              <w:t>12</w:t>
            </w:r>
            <w:r>
              <w:rPr>
                <w:rFonts w:ascii="Arial" w:hAnsi="Arial" w:cs="Arial"/>
                <w:sz w:val="20"/>
                <w:szCs w:val="20"/>
              </w:rPr>
              <w:t>.</w:t>
            </w:r>
            <w:r w:rsidRPr="00D4464E">
              <w:rPr>
                <w:rFonts w:ascii="Arial" w:hAnsi="Arial" w:cs="Arial"/>
                <w:sz w:val="20"/>
                <w:szCs w:val="20"/>
              </w:rPr>
              <w:t>535</w:t>
            </w:r>
          </w:p>
        </w:tc>
        <w:tc>
          <w:tcPr>
            <w:tcW w:w="2645" w:type="dxa"/>
            <w:gridSpan w:val="2"/>
            <w:vAlign w:val="bottom"/>
          </w:tcPr>
          <w:p w14:paraId="2C829580" w14:textId="77777777" w:rsidR="00DB4D6C" w:rsidRPr="00D4464E" w:rsidRDefault="00DB4D6C" w:rsidP="00DB4D6C">
            <w:pPr>
              <w:ind w:right="880" w:firstLine="170"/>
              <w:jc w:val="right"/>
              <w:rPr>
                <w:rFonts w:ascii="Arial" w:hAnsi="Arial" w:cs="Arial"/>
                <w:sz w:val="20"/>
                <w:szCs w:val="20"/>
                <w:lang w:val="en-US"/>
              </w:rPr>
            </w:pPr>
            <w:r w:rsidRPr="00D4464E">
              <w:rPr>
                <w:rFonts w:ascii="Arial" w:hAnsi="Arial" w:cs="Arial"/>
                <w:sz w:val="20"/>
                <w:szCs w:val="20"/>
              </w:rPr>
              <w:t>25,3</w:t>
            </w:r>
          </w:p>
        </w:tc>
      </w:tr>
      <w:tr w:rsidR="00DB4D6C" w:rsidRPr="009B2633" w14:paraId="5DF39D90" w14:textId="77777777" w:rsidTr="00DB4D6C">
        <w:trPr>
          <w:trHeight w:val="344"/>
        </w:trPr>
        <w:tc>
          <w:tcPr>
            <w:tcW w:w="4557" w:type="dxa"/>
            <w:gridSpan w:val="2"/>
            <w:vAlign w:val="bottom"/>
          </w:tcPr>
          <w:p w14:paraId="3B5B0CF4" w14:textId="77777777" w:rsidR="00DB4D6C" w:rsidRPr="009B2633" w:rsidRDefault="00DB4D6C" w:rsidP="00DB4D6C">
            <w:pPr>
              <w:ind w:firstLine="170"/>
              <w:rPr>
                <w:rFonts w:ascii="Arial" w:hAnsi="Arial" w:cs="Arial"/>
                <w:sz w:val="20"/>
                <w:szCs w:val="20"/>
                <w:lang w:val="en-US"/>
              </w:rPr>
            </w:pPr>
            <w:r w:rsidRPr="009B2633">
              <w:rPr>
                <w:rFonts w:ascii="Arial" w:hAnsi="Arial" w:cs="Arial"/>
                <w:sz w:val="20"/>
                <w:szCs w:val="20"/>
                <w:lang w:val="en-US"/>
              </w:rPr>
              <w:t>Điện thoại các loại và linh kiện</w:t>
            </w:r>
          </w:p>
        </w:tc>
        <w:tc>
          <w:tcPr>
            <w:tcW w:w="1909" w:type="dxa"/>
            <w:gridSpan w:val="2"/>
            <w:vAlign w:val="bottom"/>
          </w:tcPr>
          <w:p w14:paraId="2F0CB3E6" w14:textId="77777777" w:rsidR="00DB4D6C" w:rsidRPr="00D4464E" w:rsidRDefault="00DB4D6C" w:rsidP="00DB4D6C">
            <w:pPr>
              <w:ind w:right="407" w:firstLine="170"/>
              <w:jc w:val="right"/>
              <w:rPr>
                <w:rFonts w:ascii="Arial" w:hAnsi="Arial" w:cs="Arial"/>
                <w:sz w:val="20"/>
                <w:szCs w:val="20"/>
                <w:lang w:val="en-US"/>
              </w:rPr>
            </w:pPr>
            <w:r w:rsidRPr="00D4464E">
              <w:rPr>
                <w:rFonts w:ascii="Arial" w:hAnsi="Arial" w:cs="Arial"/>
                <w:sz w:val="20"/>
                <w:szCs w:val="20"/>
              </w:rPr>
              <w:t>9</w:t>
            </w:r>
            <w:r>
              <w:rPr>
                <w:rFonts w:ascii="Arial" w:hAnsi="Arial" w:cs="Arial"/>
                <w:sz w:val="20"/>
                <w:szCs w:val="20"/>
              </w:rPr>
              <w:t>.</w:t>
            </w:r>
            <w:r w:rsidRPr="00D4464E">
              <w:rPr>
                <w:rFonts w:ascii="Arial" w:hAnsi="Arial" w:cs="Arial"/>
                <w:sz w:val="20"/>
                <w:szCs w:val="20"/>
              </w:rPr>
              <w:t>215</w:t>
            </w:r>
          </w:p>
        </w:tc>
        <w:tc>
          <w:tcPr>
            <w:tcW w:w="2645" w:type="dxa"/>
            <w:gridSpan w:val="2"/>
            <w:vAlign w:val="bottom"/>
          </w:tcPr>
          <w:p w14:paraId="155E4E6E" w14:textId="77777777" w:rsidR="00DB4D6C" w:rsidRPr="00D4464E" w:rsidRDefault="00DB4D6C" w:rsidP="00DB4D6C">
            <w:pPr>
              <w:ind w:right="880" w:firstLine="170"/>
              <w:jc w:val="right"/>
              <w:rPr>
                <w:rFonts w:ascii="Arial" w:hAnsi="Arial" w:cs="Arial"/>
                <w:sz w:val="20"/>
                <w:szCs w:val="20"/>
                <w:lang w:val="en-US"/>
              </w:rPr>
            </w:pPr>
            <w:r w:rsidRPr="00D4464E">
              <w:rPr>
                <w:rFonts w:ascii="Arial" w:hAnsi="Arial" w:cs="Arial"/>
                <w:sz w:val="20"/>
                <w:szCs w:val="20"/>
              </w:rPr>
              <w:t>-3,1</w:t>
            </w:r>
          </w:p>
        </w:tc>
      </w:tr>
      <w:tr w:rsidR="00DB4D6C" w:rsidRPr="009B2633" w14:paraId="0B2333F5" w14:textId="77777777" w:rsidTr="00DB4D6C">
        <w:trPr>
          <w:trHeight w:val="344"/>
        </w:trPr>
        <w:tc>
          <w:tcPr>
            <w:tcW w:w="4557" w:type="dxa"/>
            <w:gridSpan w:val="2"/>
            <w:vAlign w:val="bottom"/>
          </w:tcPr>
          <w:p w14:paraId="65F081B7" w14:textId="77777777" w:rsidR="00DB4D6C" w:rsidRPr="009B2633" w:rsidRDefault="00DB4D6C" w:rsidP="00DB4D6C">
            <w:pPr>
              <w:ind w:firstLine="170"/>
              <w:rPr>
                <w:rFonts w:ascii="Arial" w:hAnsi="Arial" w:cs="Arial"/>
                <w:sz w:val="20"/>
                <w:szCs w:val="20"/>
                <w:lang w:val="en-US"/>
              </w:rPr>
            </w:pPr>
            <w:r w:rsidRPr="009B2633">
              <w:rPr>
                <w:rFonts w:ascii="Arial" w:hAnsi="Arial" w:cs="Arial"/>
                <w:sz w:val="20"/>
                <w:szCs w:val="20"/>
                <w:lang w:val="en-US"/>
              </w:rPr>
              <w:t>Máy móc, thiết bị, dụng cụ, phụ tùng khác</w:t>
            </w:r>
          </w:p>
        </w:tc>
        <w:tc>
          <w:tcPr>
            <w:tcW w:w="1909" w:type="dxa"/>
            <w:gridSpan w:val="2"/>
            <w:vAlign w:val="bottom"/>
          </w:tcPr>
          <w:p w14:paraId="56AD329B" w14:textId="77777777" w:rsidR="00DB4D6C" w:rsidRPr="00D4464E" w:rsidRDefault="00DB4D6C" w:rsidP="00DB4D6C">
            <w:pPr>
              <w:ind w:right="407" w:firstLine="170"/>
              <w:jc w:val="right"/>
              <w:rPr>
                <w:rFonts w:ascii="Arial" w:hAnsi="Arial" w:cs="Arial"/>
                <w:sz w:val="20"/>
                <w:szCs w:val="20"/>
                <w:lang w:val="en-US"/>
              </w:rPr>
            </w:pPr>
            <w:r w:rsidRPr="00D4464E">
              <w:rPr>
                <w:rFonts w:ascii="Arial" w:hAnsi="Arial" w:cs="Arial"/>
                <w:sz w:val="20"/>
                <w:szCs w:val="20"/>
              </w:rPr>
              <w:t>7</w:t>
            </w:r>
            <w:r>
              <w:rPr>
                <w:rFonts w:ascii="Arial" w:hAnsi="Arial" w:cs="Arial"/>
                <w:sz w:val="20"/>
                <w:szCs w:val="20"/>
              </w:rPr>
              <w:t>.</w:t>
            </w:r>
            <w:r w:rsidRPr="00D4464E">
              <w:rPr>
                <w:rFonts w:ascii="Arial" w:hAnsi="Arial" w:cs="Arial"/>
                <w:sz w:val="20"/>
                <w:szCs w:val="20"/>
              </w:rPr>
              <w:t>692</w:t>
            </w:r>
          </w:p>
        </w:tc>
        <w:tc>
          <w:tcPr>
            <w:tcW w:w="2645" w:type="dxa"/>
            <w:gridSpan w:val="2"/>
            <w:vAlign w:val="bottom"/>
          </w:tcPr>
          <w:p w14:paraId="4D7B3814" w14:textId="77777777" w:rsidR="00DB4D6C" w:rsidRPr="00D4464E" w:rsidRDefault="00DB4D6C" w:rsidP="00DB4D6C">
            <w:pPr>
              <w:ind w:right="880" w:firstLine="170"/>
              <w:jc w:val="right"/>
              <w:rPr>
                <w:rFonts w:ascii="Arial" w:hAnsi="Arial" w:cs="Arial"/>
                <w:sz w:val="20"/>
                <w:szCs w:val="20"/>
                <w:lang w:val="en-US"/>
              </w:rPr>
            </w:pPr>
            <w:r w:rsidRPr="00D4464E">
              <w:rPr>
                <w:rFonts w:ascii="Arial" w:hAnsi="Arial" w:cs="Arial"/>
                <w:sz w:val="20"/>
                <w:szCs w:val="20"/>
              </w:rPr>
              <w:t>10,3</w:t>
            </w:r>
          </w:p>
        </w:tc>
      </w:tr>
      <w:tr w:rsidR="00DB4D6C" w:rsidRPr="009B2633" w14:paraId="15913AC4" w14:textId="77777777" w:rsidTr="00DB4D6C">
        <w:trPr>
          <w:trHeight w:val="367"/>
        </w:trPr>
        <w:tc>
          <w:tcPr>
            <w:tcW w:w="4557" w:type="dxa"/>
            <w:gridSpan w:val="2"/>
            <w:vAlign w:val="bottom"/>
          </w:tcPr>
          <w:p w14:paraId="608CE590" w14:textId="77777777" w:rsidR="00DB4D6C" w:rsidRPr="009B2633" w:rsidRDefault="00DB4D6C" w:rsidP="00DB4D6C">
            <w:pPr>
              <w:ind w:firstLine="170"/>
              <w:rPr>
                <w:rFonts w:ascii="Arial" w:hAnsi="Arial" w:cs="Arial"/>
                <w:sz w:val="20"/>
                <w:szCs w:val="20"/>
                <w:lang w:val="en-US"/>
              </w:rPr>
            </w:pPr>
            <w:r w:rsidRPr="009B2633">
              <w:rPr>
                <w:rFonts w:ascii="Arial" w:hAnsi="Arial" w:cs="Arial"/>
                <w:sz w:val="20"/>
                <w:szCs w:val="20"/>
                <w:lang w:val="en-US"/>
              </w:rPr>
              <w:t>Hàng dệt, may</w:t>
            </w:r>
          </w:p>
        </w:tc>
        <w:tc>
          <w:tcPr>
            <w:tcW w:w="1909" w:type="dxa"/>
            <w:gridSpan w:val="2"/>
            <w:vAlign w:val="bottom"/>
          </w:tcPr>
          <w:p w14:paraId="184FC1EC" w14:textId="77777777" w:rsidR="00DB4D6C" w:rsidRPr="00D4464E" w:rsidRDefault="00DB4D6C" w:rsidP="00DB4D6C">
            <w:pPr>
              <w:ind w:right="407" w:firstLine="170"/>
              <w:jc w:val="right"/>
              <w:rPr>
                <w:rFonts w:ascii="Arial" w:hAnsi="Arial" w:cs="Arial"/>
                <w:sz w:val="20"/>
                <w:szCs w:val="20"/>
                <w:lang w:val="en-US"/>
              </w:rPr>
            </w:pPr>
            <w:r w:rsidRPr="00D4464E">
              <w:rPr>
                <w:rFonts w:ascii="Arial" w:hAnsi="Arial" w:cs="Arial"/>
                <w:sz w:val="20"/>
                <w:szCs w:val="20"/>
              </w:rPr>
              <w:t>5</w:t>
            </w:r>
            <w:r>
              <w:rPr>
                <w:rFonts w:ascii="Arial" w:hAnsi="Arial" w:cs="Arial"/>
                <w:sz w:val="20"/>
                <w:szCs w:val="20"/>
              </w:rPr>
              <w:t>.</w:t>
            </w:r>
            <w:r w:rsidRPr="00D4464E">
              <w:rPr>
                <w:rFonts w:ascii="Arial" w:hAnsi="Arial" w:cs="Arial"/>
                <w:sz w:val="20"/>
                <w:szCs w:val="20"/>
              </w:rPr>
              <w:t>634</w:t>
            </w:r>
          </w:p>
        </w:tc>
        <w:tc>
          <w:tcPr>
            <w:tcW w:w="2645" w:type="dxa"/>
            <w:gridSpan w:val="2"/>
            <w:vAlign w:val="bottom"/>
          </w:tcPr>
          <w:p w14:paraId="46CF30D5" w14:textId="77777777" w:rsidR="00DB4D6C" w:rsidRPr="00D4464E" w:rsidRDefault="00DB4D6C" w:rsidP="00DB4D6C">
            <w:pPr>
              <w:ind w:right="880" w:firstLine="170"/>
              <w:jc w:val="right"/>
              <w:rPr>
                <w:rFonts w:ascii="Arial" w:hAnsi="Arial" w:cs="Arial"/>
                <w:sz w:val="20"/>
                <w:szCs w:val="20"/>
                <w:lang w:val="en-US"/>
              </w:rPr>
            </w:pPr>
            <w:r w:rsidRPr="00D4464E">
              <w:rPr>
                <w:rFonts w:ascii="Arial" w:hAnsi="Arial" w:cs="Arial"/>
                <w:sz w:val="20"/>
                <w:szCs w:val="20"/>
              </w:rPr>
              <w:t>9,3</w:t>
            </w:r>
          </w:p>
        </w:tc>
      </w:tr>
    </w:tbl>
    <w:p w14:paraId="7F882D71" w14:textId="77777777" w:rsidR="00DB4D6C" w:rsidRPr="009B2633" w:rsidRDefault="00DB4D6C" w:rsidP="00DB4D6C">
      <w:pPr>
        <w:tabs>
          <w:tab w:val="num" w:pos="0"/>
          <w:tab w:val="left" w:pos="9475"/>
        </w:tabs>
        <w:spacing w:before="40" w:after="40" w:line="264" w:lineRule="auto"/>
        <w:ind w:right="119" w:firstLine="567"/>
        <w:jc w:val="right"/>
        <w:rPr>
          <w:rFonts w:ascii="Arial" w:hAnsi="Arial" w:cs="Arial"/>
          <w:b/>
          <w:bCs/>
          <w:i/>
          <w:iCs/>
          <w:sz w:val="2"/>
          <w:szCs w:val="20"/>
          <w:lang w:val="es-NI"/>
        </w:rPr>
      </w:pPr>
    </w:p>
    <w:p w14:paraId="264449C1" w14:textId="77777777" w:rsidR="00DB4D6C" w:rsidRPr="009B2633" w:rsidRDefault="00DB4D6C" w:rsidP="00DB4D6C">
      <w:pPr>
        <w:spacing w:before="40" w:after="40" w:line="264" w:lineRule="auto"/>
        <w:rPr>
          <w:rFonts w:eastAsia="Batang"/>
          <w:bCs/>
          <w:i/>
          <w:spacing w:val="-6"/>
          <w:sz w:val="2"/>
          <w:lang w:val="en-US"/>
        </w:rPr>
      </w:pPr>
    </w:p>
    <w:p w14:paraId="24CE34C7" w14:textId="77777777" w:rsidR="00DB4D6C" w:rsidRPr="009B2633" w:rsidRDefault="00DB4D6C" w:rsidP="00DB4D6C">
      <w:pPr>
        <w:spacing w:before="240" w:after="40" w:line="288" w:lineRule="auto"/>
        <w:jc w:val="both"/>
        <w:rPr>
          <w:rFonts w:eastAsia="Batang"/>
          <w:bCs/>
          <w:noProof/>
          <w:spacing w:val="-2"/>
          <w:lang w:val="en-US"/>
        </w:rPr>
      </w:pPr>
      <w:r w:rsidRPr="009B2633">
        <w:rPr>
          <w:noProof/>
          <w:spacing w:val="-2"/>
          <w:lang w:val="en-US"/>
        </w:rPr>
        <w:lastRenderedPageBreak/>
        <mc:AlternateContent>
          <mc:Choice Requires="wps">
            <w:drawing>
              <wp:anchor distT="0" distB="0" distL="114300" distR="114300" simplePos="0" relativeHeight="251662848" behindDoc="0" locked="0" layoutInCell="1" allowOverlap="1" wp14:anchorId="5F75674A" wp14:editId="360864DD">
                <wp:simplePos x="0" y="0"/>
                <wp:positionH relativeFrom="column">
                  <wp:posOffset>213995</wp:posOffset>
                </wp:positionH>
                <wp:positionV relativeFrom="paragraph">
                  <wp:posOffset>90805</wp:posOffset>
                </wp:positionV>
                <wp:extent cx="3170555" cy="2381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81250"/>
                        </a:xfrm>
                        <a:prstGeom prst="rect">
                          <a:avLst/>
                        </a:prstGeom>
                        <a:solidFill>
                          <a:srgbClr val="FFFFFF"/>
                        </a:solidFill>
                        <a:ln w="9525">
                          <a:noFill/>
                          <a:miter lim="800000"/>
                          <a:headEnd/>
                          <a:tailEnd/>
                        </a:ln>
                      </wps:spPr>
                      <wps:txbx>
                        <w:txbxContent>
                          <w:p w14:paraId="2997E4BC" w14:textId="7E2EBB4F" w:rsidR="00DB4D6C" w:rsidRDefault="00DB4D6C" w:rsidP="00DB4D6C">
                            <w:pPr>
                              <w:spacing w:after="120"/>
                              <w:jc w:val="center"/>
                              <w:rPr>
                                <w:rFonts w:ascii="Arial" w:hAnsi="Arial" w:cs="Arial"/>
                                <w:b/>
                                <w:bCs/>
                                <w:sz w:val="24"/>
                                <w:szCs w:val="24"/>
                              </w:rPr>
                            </w:pPr>
                            <w:r>
                              <w:rPr>
                                <w:rFonts w:ascii="Arial" w:hAnsi="Arial" w:cs="Arial"/>
                                <w:b/>
                                <w:bCs/>
                                <w:sz w:val="24"/>
                                <w:szCs w:val="24"/>
                              </w:rPr>
                              <w:t>Hình 1</w:t>
                            </w:r>
                            <w:r w:rsidR="00C81562">
                              <w:rPr>
                                <w:rFonts w:ascii="Arial" w:hAnsi="Arial" w:cs="Arial"/>
                                <w:b/>
                                <w:bCs/>
                                <w:sz w:val="24"/>
                                <w:szCs w:val="24"/>
                                <w:lang w:val="en-US"/>
                              </w:rPr>
                              <w:t>2</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p>
                          <w:p w14:paraId="432ED14B" w14:textId="20F74AB3" w:rsidR="00DB4D6C" w:rsidRDefault="001D362A" w:rsidP="00DB4D6C">
                            <w:pPr>
                              <w:spacing w:after="120"/>
                              <w:jc w:val="center"/>
                              <w:rPr>
                                <w:rFonts w:ascii="Arial" w:hAnsi="Arial" w:cs="Arial"/>
                                <w:b/>
                                <w:bCs/>
                                <w:sz w:val="24"/>
                                <w:szCs w:val="24"/>
                              </w:rPr>
                            </w:pPr>
                            <w:r>
                              <w:rPr>
                                <w:rFonts w:ascii="Arial" w:hAnsi="Arial" w:cs="Arial"/>
                                <w:b/>
                                <w:bCs/>
                                <w:sz w:val="24"/>
                                <w:szCs w:val="24"/>
                                <w:lang w:val="en-US"/>
                              </w:rPr>
                              <w:t>0</w:t>
                            </w:r>
                            <w:r w:rsidR="00DB4D6C">
                              <w:rPr>
                                <w:rFonts w:ascii="Arial" w:hAnsi="Arial" w:cs="Arial"/>
                                <w:b/>
                                <w:bCs/>
                                <w:sz w:val="24"/>
                                <w:szCs w:val="24"/>
                              </w:rPr>
                              <w:t xml:space="preserve">2 tháng đầu </w:t>
                            </w:r>
                            <w:r w:rsidR="00DB4D6C" w:rsidRPr="000363AB">
                              <w:rPr>
                                <w:rFonts w:ascii="Arial" w:hAnsi="Arial" w:cs="Arial"/>
                                <w:b/>
                                <w:bCs/>
                                <w:sz w:val="24"/>
                                <w:szCs w:val="24"/>
                              </w:rPr>
                              <w:t xml:space="preserve">năm </w:t>
                            </w:r>
                            <w:r w:rsidR="00DB4D6C">
                              <w:rPr>
                                <w:rFonts w:ascii="Arial" w:hAnsi="Arial" w:cs="Arial"/>
                                <w:b/>
                                <w:bCs/>
                                <w:sz w:val="24"/>
                                <w:szCs w:val="24"/>
                              </w:rPr>
                              <w:t>2025</w:t>
                            </w:r>
                          </w:p>
                          <w:p w14:paraId="762011A5" w14:textId="77777777" w:rsidR="00DB4D6C" w:rsidRPr="00271B83" w:rsidRDefault="00DB4D6C" w:rsidP="00DB4D6C">
                            <w:pPr>
                              <w:spacing w:before="120" w:after="120"/>
                              <w:ind w:left="-142"/>
                              <w:jc w:val="center"/>
                              <w:rPr>
                                <w:rFonts w:ascii="Arial" w:hAnsi="Arial" w:cs="Arial"/>
                                <w:sz w:val="24"/>
                                <w:szCs w:val="24"/>
                              </w:rPr>
                            </w:pPr>
                            <w:r w:rsidRPr="00A02686">
                              <w:rPr>
                                <w:noProof/>
                                <w:lang w:val="en-US"/>
                              </w:rPr>
                              <w:drawing>
                                <wp:inline distT="0" distB="0" distL="0" distR="0" wp14:anchorId="2A2EDE6F" wp14:editId="40D6248B">
                                  <wp:extent cx="3088640" cy="1884218"/>
                                  <wp:effectExtent l="0" t="0" r="0" b="1905"/>
                                  <wp:docPr id="383942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121" cy="1899762"/>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5F75674A" id="_x0000_t202" coordsize="21600,21600" o:spt="202" path="m,l,21600r21600,l21600,xe">
                <v:stroke joinstyle="miter"/>
                <v:path gradientshapeok="t" o:connecttype="rect"/>
              </v:shapetype>
              <v:shape id="Text Box 2" o:spid="_x0000_s1026" type="#_x0000_t202" style="position:absolute;left:0;text-align:left;margin-left:16.85pt;margin-top:7.15pt;width:249.6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" stroked="f">
                <v:textbox inset="1mm,1mm,1mm,1mm">
                  <w:txbxContent>
                    <w:p w14:paraId="2997E4BC" w14:textId="7E2EBB4F" w:rsidR="00DB4D6C" w:rsidRDefault="00DB4D6C" w:rsidP="00DB4D6C">
                      <w:pPr>
                        <w:spacing w:after="120"/>
                        <w:jc w:val="center"/>
                        <w:rPr>
                          <w:rFonts w:ascii="Arial" w:hAnsi="Arial" w:cs="Arial"/>
                          <w:b/>
                          <w:bCs/>
                          <w:sz w:val="24"/>
                          <w:szCs w:val="24"/>
                        </w:rPr>
                      </w:pPr>
                      <w:r>
                        <w:rPr>
                          <w:rFonts w:ascii="Arial" w:hAnsi="Arial" w:cs="Arial"/>
                          <w:b/>
                          <w:bCs/>
                          <w:sz w:val="24"/>
                          <w:szCs w:val="24"/>
                        </w:rPr>
                        <w:t>Hình 1</w:t>
                      </w:r>
                      <w:r w:rsidR="00C81562">
                        <w:rPr>
                          <w:rFonts w:ascii="Arial" w:hAnsi="Arial" w:cs="Arial"/>
                          <w:b/>
                          <w:bCs/>
                          <w:sz w:val="24"/>
                          <w:szCs w:val="24"/>
                          <w:lang w:val="en-US"/>
                        </w:rPr>
                        <w:t>2</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p>
                    <w:p w14:paraId="432ED14B" w14:textId="20F74AB3" w:rsidR="00DB4D6C" w:rsidRDefault="001D362A" w:rsidP="00DB4D6C">
                      <w:pPr>
                        <w:spacing w:after="120"/>
                        <w:jc w:val="center"/>
                        <w:rPr>
                          <w:rFonts w:ascii="Arial" w:hAnsi="Arial" w:cs="Arial"/>
                          <w:b/>
                          <w:bCs/>
                          <w:sz w:val="24"/>
                          <w:szCs w:val="24"/>
                        </w:rPr>
                      </w:pPr>
                      <w:r>
                        <w:rPr>
                          <w:rFonts w:ascii="Arial" w:hAnsi="Arial" w:cs="Arial"/>
                          <w:b/>
                          <w:bCs/>
                          <w:sz w:val="24"/>
                          <w:szCs w:val="24"/>
                          <w:lang w:val="en-US"/>
                        </w:rPr>
                        <w:t>0</w:t>
                      </w:r>
                      <w:r w:rsidR="00DB4D6C">
                        <w:rPr>
                          <w:rFonts w:ascii="Arial" w:hAnsi="Arial" w:cs="Arial"/>
                          <w:b/>
                          <w:bCs/>
                          <w:sz w:val="24"/>
                          <w:szCs w:val="24"/>
                        </w:rPr>
                        <w:t xml:space="preserve">2 tháng đầu </w:t>
                      </w:r>
                      <w:r w:rsidR="00DB4D6C" w:rsidRPr="000363AB">
                        <w:rPr>
                          <w:rFonts w:ascii="Arial" w:hAnsi="Arial" w:cs="Arial"/>
                          <w:b/>
                          <w:bCs/>
                          <w:sz w:val="24"/>
                          <w:szCs w:val="24"/>
                        </w:rPr>
                        <w:t xml:space="preserve">năm </w:t>
                      </w:r>
                      <w:r w:rsidR="00DB4D6C">
                        <w:rPr>
                          <w:rFonts w:ascii="Arial" w:hAnsi="Arial" w:cs="Arial"/>
                          <w:b/>
                          <w:bCs/>
                          <w:sz w:val="24"/>
                          <w:szCs w:val="24"/>
                        </w:rPr>
                        <w:t>2025</w:t>
                      </w:r>
                    </w:p>
                    <w:p w14:paraId="762011A5" w14:textId="77777777" w:rsidR="00DB4D6C" w:rsidRPr="00271B83" w:rsidRDefault="00DB4D6C" w:rsidP="00DB4D6C">
                      <w:pPr>
                        <w:spacing w:before="120" w:after="120"/>
                        <w:ind w:left="-142"/>
                        <w:jc w:val="center"/>
                        <w:rPr>
                          <w:rFonts w:ascii="Arial" w:hAnsi="Arial" w:cs="Arial"/>
                          <w:sz w:val="24"/>
                          <w:szCs w:val="24"/>
                        </w:rPr>
                      </w:pPr>
                      <w:r w:rsidRPr="00A02686">
                        <w:rPr>
                          <w:noProof/>
                          <w:lang w:val="en-US"/>
                        </w:rPr>
                        <w:drawing>
                          <wp:inline distT="0" distB="0" distL="0" distR="0" wp14:anchorId="2A2EDE6F" wp14:editId="40D6248B">
                            <wp:extent cx="3088640" cy="1884218"/>
                            <wp:effectExtent l="0" t="0" r="0" b="1905"/>
                            <wp:docPr id="383942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121" cy="1899762"/>
                                    </a:xfrm>
                                    <a:prstGeom prst="rect">
                                      <a:avLst/>
                                    </a:prstGeom>
                                    <a:noFill/>
                                    <a:ln>
                                      <a:noFill/>
                                    </a:ln>
                                  </pic:spPr>
                                </pic:pic>
                              </a:graphicData>
                            </a:graphic>
                          </wp:inline>
                        </w:drawing>
                      </w:r>
                    </w:p>
                  </w:txbxContent>
                </v:textbox>
                <w10:wrap type="square"/>
              </v:shape>
            </w:pict>
          </mc:Fallback>
        </mc:AlternateContent>
      </w:r>
      <w:r w:rsidRPr="009B2633">
        <w:rPr>
          <w:rFonts w:eastAsia="Batang"/>
          <w:bCs/>
          <w:i/>
          <w:noProof/>
          <w:spacing w:val="-2"/>
          <w:lang w:val="en-US"/>
        </w:rPr>
        <w:t xml:space="preserve"> Về cơ cấu nhóm hàng xuất khẩu </w:t>
      </w:r>
      <w:r>
        <w:rPr>
          <w:rFonts w:eastAsia="Batang"/>
          <w:bCs/>
          <w:i/>
          <w:noProof/>
          <w:spacing w:val="-2"/>
          <w:lang w:val="en-US"/>
        </w:rPr>
        <w:t>hai tháng đầu năm 2025</w:t>
      </w:r>
      <w:r w:rsidRPr="009B2633">
        <w:rPr>
          <w:rFonts w:eastAsia="Batang"/>
          <w:bCs/>
          <w:i/>
          <w:noProof/>
          <w:spacing w:val="-2"/>
          <w:lang w:val="en-US"/>
        </w:rPr>
        <w:t xml:space="preserve">, </w:t>
      </w:r>
      <w:r w:rsidRPr="009B2633">
        <w:rPr>
          <w:rFonts w:eastAsia="Batang"/>
          <w:bCs/>
          <w:noProof/>
          <w:spacing w:val="-2"/>
          <w:lang w:val="en-US"/>
        </w:rPr>
        <w:t xml:space="preserve">nhóm hàng nhiên liệu và khoáng sản đạt </w:t>
      </w:r>
      <w:r>
        <w:rPr>
          <w:rFonts w:eastAsia="Batang"/>
          <w:bCs/>
          <w:noProof/>
          <w:spacing w:val="-2"/>
          <w:lang w:val="en-US"/>
        </w:rPr>
        <w:t>0</w:t>
      </w:r>
      <w:r w:rsidRPr="009B2633">
        <w:rPr>
          <w:rFonts w:eastAsia="Batang"/>
          <w:bCs/>
          <w:noProof/>
          <w:spacing w:val="-2"/>
          <w:lang w:val="en-US"/>
        </w:rPr>
        <w:t>,</w:t>
      </w:r>
      <w:r>
        <w:rPr>
          <w:rFonts w:eastAsia="Batang"/>
          <w:bCs/>
          <w:noProof/>
          <w:spacing w:val="-2"/>
          <w:lang w:val="en-US"/>
        </w:rPr>
        <w:t>48</w:t>
      </w:r>
      <w:r w:rsidRPr="009B2633">
        <w:rPr>
          <w:rFonts w:eastAsia="Batang"/>
          <w:bCs/>
          <w:noProof/>
          <w:spacing w:val="-2"/>
          <w:lang w:val="en-US"/>
        </w:rPr>
        <w:t xml:space="preserve"> tỷ USD, chiếm </w:t>
      </w:r>
      <w:r>
        <w:rPr>
          <w:rFonts w:eastAsia="Batang"/>
          <w:bCs/>
          <w:noProof/>
          <w:spacing w:val="-2"/>
          <w:lang w:val="en-US"/>
        </w:rPr>
        <w:t>0</w:t>
      </w:r>
      <w:r w:rsidRPr="009B2633">
        <w:rPr>
          <w:rFonts w:eastAsia="Batang"/>
          <w:bCs/>
          <w:noProof/>
          <w:spacing w:val="-2"/>
          <w:lang w:val="en-US"/>
        </w:rPr>
        <w:t>,</w:t>
      </w:r>
      <w:r>
        <w:rPr>
          <w:rFonts w:eastAsia="Batang"/>
          <w:bCs/>
          <w:noProof/>
          <w:spacing w:val="-2"/>
          <w:lang w:val="en-US"/>
        </w:rPr>
        <w:t>8</w:t>
      </w:r>
      <w:r w:rsidRPr="009B2633">
        <w:rPr>
          <w:rFonts w:eastAsia="Batang"/>
          <w:bCs/>
          <w:noProof/>
          <w:spacing w:val="-2"/>
          <w:lang w:val="en-US"/>
        </w:rPr>
        <w:t>%; nhóm hàng công nghiệp chế biến đạt 5</w:t>
      </w:r>
      <w:r>
        <w:rPr>
          <w:rFonts w:eastAsia="Batang"/>
          <w:bCs/>
          <w:noProof/>
          <w:spacing w:val="-2"/>
          <w:lang w:val="en-US"/>
        </w:rPr>
        <w:t>7</w:t>
      </w:r>
      <w:r w:rsidRPr="009B2633">
        <w:rPr>
          <w:rFonts w:eastAsia="Batang"/>
          <w:bCs/>
          <w:noProof/>
          <w:spacing w:val="-2"/>
          <w:lang w:val="en-US"/>
        </w:rPr>
        <w:t>,</w:t>
      </w:r>
      <w:r>
        <w:rPr>
          <w:rFonts w:eastAsia="Batang"/>
          <w:bCs/>
          <w:noProof/>
          <w:spacing w:val="-2"/>
          <w:lang w:val="en-US"/>
        </w:rPr>
        <w:t>01</w:t>
      </w:r>
      <w:r w:rsidRPr="009B2633">
        <w:rPr>
          <w:rFonts w:eastAsia="Batang"/>
          <w:bCs/>
          <w:noProof/>
          <w:spacing w:val="-2"/>
          <w:lang w:val="en-US"/>
        </w:rPr>
        <w:t xml:space="preserve"> tỷ USD, chiếm 88,</w:t>
      </w:r>
      <w:r>
        <w:rPr>
          <w:rFonts w:eastAsia="Batang"/>
          <w:bCs/>
          <w:noProof/>
          <w:spacing w:val="-2"/>
          <w:lang w:val="en-US"/>
        </w:rPr>
        <w:t>7</w:t>
      </w:r>
      <w:r w:rsidRPr="009B2633">
        <w:rPr>
          <w:rFonts w:eastAsia="Batang"/>
          <w:bCs/>
          <w:noProof/>
          <w:spacing w:val="-2"/>
          <w:lang w:val="en-US"/>
        </w:rPr>
        <w:t xml:space="preserve">%; nhóm hàng nông sản, lâm sản đạt </w:t>
      </w:r>
      <w:r>
        <w:rPr>
          <w:rFonts w:eastAsia="Batang"/>
          <w:bCs/>
          <w:noProof/>
          <w:spacing w:val="-2"/>
          <w:lang w:val="en-US"/>
        </w:rPr>
        <w:t>5</w:t>
      </w:r>
      <w:r w:rsidRPr="009B2633">
        <w:rPr>
          <w:rFonts w:eastAsia="Batang"/>
          <w:bCs/>
          <w:noProof/>
          <w:spacing w:val="-2"/>
          <w:lang w:val="en-US"/>
        </w:rPr>
        <w:t>,</w:t>
      </w:r>
      <w:r>
        <w:rPr>
          <w:rFonts w:eastAsia="Batang"/>
          <w:bCs/>
          <w:noProof/>
          <w:spacing w:val="-2"/>
          <w:lang w:val="en-US"/>
        </w:rPr>
        <w:t>35</w:t>
      </w:r>
      <w:r w:rsidRPr="009B2633">
        <w:rPr>
          <w:rFonts w:eastAsia="Batang"/>
          <w:bCs/>
          <w:noProof/>
          <w:spacing w:val="-2"/>
          <w:lang w:val="en-US"/>
        </w:rPr>
        <w:t xml:space="preserve"> tỷ USD, chiếm 8,</w:t>
      </w:r>
      <w:r>
        <w:rPr>
          <w:rFonts w:eastAsia="Batang"/>
          <w:bCs/>
          <w:noProof/>
          <w:spacing w:val="-2"/>
          <w:lang w:val="en-US"/>
        </w:rPr>
        <w:t>3</w:t>
      </w:r>
      <w:r w:rsidRPr="009B2633">
        <w:rPr>
          <w:rFonts w:eastAsia="Batang"/>
          <w:bCs/>
          <w:noProof/>
          <w:spacing w:val="-2"/>
          <w:lang w:val="en-US"/>
        </w:rPr>
        <w:t>%; nhóm hàng thủy sản đạt 1,4</w:t>
      </w:r>
      <w:r>
        <w:rPr>
          <w:rFonts w:eastAsia="Batang"/>
          <w:bCs/>
          <w:noProof/>
          <w:spacing w:val="-2"/>
          <w:lang w:val="en-US"/>
        </w:rPr>
        <w:t>3</w:t>
      </w:r>
      <w:r w:rsidRPr="009B2633">
        <w:rPr>
          <w:rFonts w:eastAsia="Batang"/>
          <w:bCs/>
          <w:noProof/>
          <w:spacing w:val="-2"/>
          <w:lang w:val="en-US"/>
        </w:rPr>
        <w:t xml:space="preserve"> tỷ USD, chiếm 2,</w:t>
      </w:r>
      <w:r>
        <w:rPr>
          <w:rFonts w:eastAsia="Batang"/>
          <w:bCs/>
          <w:noProof/>
          <w:spacing w:val="-2"/>
          <w:lang w:val="en-US"/>
        </w:rPr>
        <w:t>2</w:t>
      </w:r>
      <w:r w:rsidRPr="009B2633">
        <w:rPr>
          <w:rFonts w:eastAsia="Batang"/>
          <w:bCs/>
          <w:noProof/>
          <w:spacing w:val="-2"/>
          <w:lang w:val="en-US"/>
        </w:rPr>
        <w:t>%.</w:t>
      </w:r>
    </w:p>
    <w:p w14:paraId="15CB6A99" w14:textId="77777777" w:rsidR="00DB4D6C" w:rsidRPr="009B2633" w:rsidRDefault="00DB4D6C" w:rsidP="00DA1504">
      <w:pPr>
        <w:tabs>
          <w:tab w:val="left" w:pos="900"/>
          <w:tab w:val="left" w:pos="9475"/>
        </w:tabs>
        <w:spacing w:after="120" w:line="269" w:lineRule="auto"/>
        <w:ind w:firstLine="720"/>
        <w:jc w:val="both"/>
        <w:rPr>
          <w:b/>
          <w:bCs/>
          <w:i/>
          <w:iCs/>
          <w:lang w:val="de-DE"/>
        </w:rPr>
      </w:pPr>
      <w:r w:rsidRPr="009B2633">
        <w:rPr>
          <w:b/>
          <w:bCs/>
          <w:i/>
          <w:iCs/>
          <w:lang w:val="de-DE"/>
        </w:rPr>
        <w:t>Nhập khẩu hàng hóa</w:t>
      </w:r>
    </w:p>
    <w:p w14:paraId="37C51AD1" w14:textId="77777777" w:rsidR="00DB4D6C" w:rsidRPr="009B2633" w:rsidRDefault="00DB4D6C" w:rsidP="00DA1504">
      <w:pPr>
        <w:tabs>
          <w:tab w:val="num" w:pos="0"/>
          <w:tab w:val="left" w:pos="9475"/>
        </w:tabs>
        <w:spacing w:after="120" w:line="269" w:lineRule="auto"/>
        <w:ind w:firstLine="720"/>
        <w:jc w:val="both"/>
        <w:rPr>
          <w:bCs/>
          <w:lang w:val="de-DE"/>
        </w:rPr>
      </w:pPr>
      <w:r w:rsidRPr="009B2633">
        <w:rPr>
          <w:bCs/>
          <w:lang w:val="de-DE"/>
        </w:rPr>
        <w:t xml:space="preserve">Kim ngạch nhập khẩu hàng hóa tháng </w:t>
      </w:r>
      <w:r>
        <w:rPr>
          <w:bCs/>
          <w:lang w:val="de-DE"/>
        </w:rPr>
        <w:t>0</w:t>
      </w:r>
      <w:r w:rsidRPr="009B2633">
        <w:rPr>
          <w:bCs/>
          <w:lang w:val="de-DE"/>
        </w:rPr>
        <w:t>1/202</w:t>
      </w:r>
      <w:r>
        <w:rPr>
          <w:bCs/>
          <w:lang w:val="de-DE"/>
        </w:rPr>
        <w:t>5</w:t>
      </w:r>
      <w:r w:rsidRPr="009B2633">
        <w:rPr>
          <w:bCs/>
          <w:lang w:val="de-DE"/>
        </w:rPr>
        <w:t xml:space="preserve"> đạt 3</w:t>
      </w:r>
      <w:r>
        <w:rPr>
          <w:bCs/>
          <w:lang w:val="de-DE"/>
        </w:rPr>
        <w:t>0</w:t>
      </w:r>
      <w:r w:rsidRPr="009B2633">
        <w:rPr>
          <w:bCs/>
          <w:lang w:val="de-DE"/>
        </w:rPr>
        <w:t>,</w:t>
      </w:r>
      <w:r>
        <w:rPr>
          <w:bCs/>
          <w:lang w:val="de-DE"/>
        </w:rPr>
        <w:t>14</w:t>
      </w:r>
      <w:r w:rsidRPr="009B2633">
        <w:rPr>
          <w:bCs/>
          <w:lang w:val="de-DE"/>
        </w:rPr>
        <w:t xml:space="preserve"> tỷ USD</w:t>
      </w:r>
      <w:r w:rsidRPr="009B2633">
        <w:rPr>
          <w:bCs/>
          <w:vertAlign w:val="superscript"/>
          <w:lang w:val="de-DE"/>
        </w:rPr>
        <w:footnoteReference w:id="24"/>
      </w:r>
      <w:r w:rsidRPr="009B2633">
        <w:rPr>
          <w:bCs/>
          <w:lang w:val="de-DE"/>
        </w:rPr>
        <w:t>.</w:t>
      </w:r>
    </w:p>
    <w:p w14:paraId="1FA29659" w14:textId="77777777" w:rsidR="00DB4D6C" w:rsidRPr="00B4186A" w:rsidRDefault="00DB4D6C" w:rsidP="00DA1504">
      <w:pPr>
        <w:tabs>
          <w:tab w:val="num" w:pos="0"/>
          <w:tab w:val="left" w:pos="9475"/>
        </w:tabs>
        <w:spacing w:after="120" w:line="269" w:lineRule="auto"/>
        <w:ind w:firstLine="720"/>
        <w:jc w:val="both"/>
        <w:rPr>
          <w:lang w:val="de-DE"/>
        </w:rPr>
      </w:pPr>
      <w:r w:rsidRPr="00B4186A">
        <w:rPr>
          <w:bCs/>
          <w:lang w:val="de-DE"/>
        </w:rPr>
        <w:t>Kim ngạch nhập khẩu hàng hóa tháng 02/2025 đạt 32,</w:t>
      </w:r>
      <w:r>
        <w:rPr>
          <w:bCs/>
          <w:lang w:val="de-DE"/>
        </w:rPr>
        <w:t>66</w:t>
      </w:r>
      <w:r w:rsidRPr="00B4186A">
        <w:rPr>
          <w:bCs/>
          <w:lang w:val="de-DE"/>
        </w:rPr>
        <w:t xml:space="preserve"> tỷ USD, tăng </w:t>
      </w:r>
      <w:r>
        <w:rPr>
          <w:bCs/>
          <w:lang w:val="de-DE"/>
        </w:rPr>
        <w:t>8</w:t>
      </w:r>
      <w:r w:rsidRPr="00B4186A">
        <w:rPr>
          <w:bCs/>
          <w:lang w:val="de-DE"/>
        </w:rPr>
        <w:t>,</w:t>
      </w:r>
      <w:r>
        <w:rPr>
          <w:bCs/>
          <w:lang w:val="de-DE"/>
        </w:rPr>
        <w:t>4</w:t>
      </w:r>
      <w:r w:rsidRPr="00B4186A">
        <w:rPr>
          <w:bCs/>
          <w:lang w:val="de-DE"/>
        </w:rPr>
        <w:t>% so với tháng trước. Trong đó, khu vực kinh tế trong nước đạt 11,8</w:t>
      </w:r>
      <w:r>
        <w:rPr>
          <w:bCs/>
          <w:lang w:val="de-DE"/>
        </w:rPr>
        <w:t>7</w:t>
      </w:r>
      <w:r w:rsidRPr="00B4186A">
        <w:rPr>
          <w:bCs/>
          <w:lang w:val="de-DE"/>
        </w:rPr>
        <w:t xml:space="preserve"> tỷ USD, tăng </w:t>
      </w:r>
      <w:r>
        <w:rPr>
          <w:bCs/>
          <w:lang w:val="de-DE"/>
        </w:rPr>
        <w:t>8</w:t>
      </w:r>
      <w:r w:rsidRPr="00B4186A">
        <w:rPr>
          <w:bCs/>
          <w:lang w:val="de-DE"/>
        </w:rPr>
        <w:t>,</w:t>
      </w:r>
      <w:r>
        <w:rPr>
          <w:bCs/>
          <w:lang w:val="de-DE"/>
        </w:rPr>
        <w:t>7</w:t>
      </w:r>
      <w:r w:rsidRPr="00B4186A">
        <w:rPr>
          <w:bCs/>
          <w:lang w:val="de-DE"/>
        </w:rPr>
        <w:t>%; khu vực có vốn đầu tư nước ngoài đạt 20,7</w:t>
      </w:r>
      <w:r>
        <w:rPr>
          <w:bCs/>
          <w:lang w:val="de-DE"/>
        </w:rPr>
        <w:t>9</w:t>
      </w:r>
      <w:r w:rsidRPr="00B4186A">
        <w:rPr>
          <w:bCs/>
          <w:lang w:val="de-DE"/>
        </w:rPr>
        <w:t xml:space="preserve"> tỷ USD, tăng 8,</w:t>
      </w:r>
      <w:r>
        <w:rPr>
          <w:bCs/>
          <w:lang w:val="de-DE"/>
        </w:rPr>
        <w:t>1</w:t>
      </w:r>
      <w:r w:rsidRPr="00B4186A">
        <w:rPr>
          <w:bCs/>
          <w:lang w:val="de-DE"/>
        </w:rPr>
        <w:t xml:space="preserve">%. </w:t>
      </w:r>
      <w:r w:rsidRPr="00B4186A">
        <w:rPr>
          <w:lang w:val="de-DE"/>
        </w:rPr>
        <w:t xml:space="preserve">So với cùng kỳ năm trước, kim ngạch nhập khẩu hàng hóa tháng Hai tăng </w:t>
      </w:r>
      <w:r>
        <w:rPr>
          <w:lang w:val="de-DE"/>
        </w:rPr>
        <w:t>40</w:t>
      </w:r>
      <w:r w:rsidRPr="00B4186A">
        <w:rPr>
          <w:lang w:val="de-DE"/>
        </w:rPr>
        <w:t>,</w:t>
      </w:r>
      <w:r>
        <w:rPr>
          <w:lang w:val="de-DE"/>
        </w:rPr>
        <w:t>0</w:t>
      </w:r>
      <w:r w:rsidRPr="00B4186A">
        <w:rPr>
          <w:lang w:val="de-DE"/>
        </w:rPr>
        <w:t>%, trong đó khu vực kinh tế trong nước tăng 49</w:t>
      </w:r>
      <w:r>
        <w:rPr>
          <w:lang w:val="de-DE"/>
        </w:rPr>
        <w:t>,6</w:t>
      </w:r>
      <w:r w:rsidRPr="00B4186A">
        <w:rPr>
          <w:lang w:val="de-DE"/>
        </w:rPr>
        <w:t>%; khu vực có vốn đầu tư nước ngoài tăng 35</w:t>
      </w:r>
      <w:r>
        <w:rPr>
          <w:lang w:val="de-DE"/>
        </w:rPr>
        <w:t>,1</w:t>
      </w:r>
      <w:r w:rsidRPr="00B4186A">
        <w:rPr>
          <w:lang w:val="de-DE"/>
        </w:rPr>
        <w:t xml:space="preserve">%. </w:t>
      </w:r>
    </w:p>
    <w:p w14:paraId="3B6EA6AE" w14:textId="77777777" w:rsidR="00DB4D6C" w:rsidRPr="00B4186A" w:rsidRDefault="00DB4D6C" w:rsidP="00DA1504">
      <w:pPr>
        <w:tabs>
          <w:tab w:val="num" w:pos="0"/>
          <w:tab w:val="left" w:pos="9475"/>
        </w:tabs>
        <w:spacing w:after="120" w:line="269" w:lineRule="auto"/>
        <w:ind w:firstLine="720"/>
        <w:jc w:val="both"/>
        <w:rPr>
          <w:bCs/>
          <w:lang w:val="de-DE"/>
        </w:rPr>
      </w:pPr>
      <w:bookmarkStart w:id="2" w:name="_Hlk181359968"/>
      <w:r w:rsidRPr="00B4186A">
        <w:rPr>
          <w:lang w:val="de-DE"/>
        </w:rPr>
        <w:t>Tính chung hai tháng đầu năm 2025, kim ngạch nhập khẩu hàng hóa đạt 62,</w:t>
      </w:r>
      <w:r>
        <w:rPr>
          <w:lang w:val="de-DE"/>
        </w:rPr>
        <w:t>8</w:t>
      </w:r>
      <w:r w:rsidRPr="00B4186A">
        <w:rPr>
          <w:lang w:val="de-DE"/>
        </w:rPr>
        <w:t xml:space="preserve"> tỷ USD, tăng 15,</w:t>
      </w:r>
      <w:r>
        <w:rPr>
          <w:lang w:val="de-DE"/>
        </w:rPr>
        <w:t>9</w:t>
      </w:r>
      <w:r w:rsidRPr="00B4186A">
        <w:rPr>
          <w:lang w:val="de-DE"/>
        </w:rPr>
        <w:t>% so với cùng kỳ năm trước</w:t>
      </w:r>
      <w:r w:rsidRPr="00B4186A">
        <w:rPr>
          <w:bCs/>
          <w:lang w:val="de-DE"/>
        </w:rPr>
        <w:t>, trong đó khu vực kinh tế trong nước đạt 22,</w:t>
      </w:r>
      <w:r>
        <w:rPr>
          <w:bCs/>
          <w:lang w:val="de-DE"/>
        </w:rPr>
        <w:t>8</w:t>
      </w:r>
      <w:r w:rsidRPr="00B4186A">
        <w:rPr>
          <w:bCs/>
          <w:lang w:val="de-DE"/>
        </w:rPr>
        <w:t xml:space="preserve"> tỷ USD, tăng 1</w:t>
      </w:r>
      <w:r>
        <w:rPr>
          <w:bCs/>
          <w:lang w:val="de-DE"/>
        </w:rPr>
        <w:t>8</w:t>
      </w:r>
      <w:r w:rsidRPr="00B4186A">
        <w:rPr>
          <w:bCs/>
          <w:lang w:val="de-DE"/>
        </w:rPr>
        <w:t>,</w:t>
      </w:r>
      <w:r>
        <w:rPr>
          <w:bCs/>
          <w:lang w:val="de-DE"/>
        </w:rPr>
        <w:t>7</w:t>
      </w:r>
      <w:r w:rsidRPr="00B4186A">
        <w:rPr>
          <w:bCs/>
          <w:lang w:val="de-DE"/>
        </w:rPr>
        <w:t xml:space="preserve">%; khu vực có vốn đầu tư nước ngoài đạt </w:t>
      </w:r>
      <w:r>
        <w:rPr>
          <w:bCs/>
          <w:lang w:val="de-DE"/>
        </w:rPr>
        <w:t>40</w:t>
      </w:r>
      <w:r w:rsidRPr="00B4186A">
        <w:rPr>
          <w:bCs/>
          <w:lang w:val="de-DE"/>
        </w:rPr>
        <w:t>,</w:t>
      </w:r>
      <w:r>
        <w:rPr>
          <w:bCs/>
          <w:lang w:val="de-DE"/>
        </w:rPr>
        <w:t>0</w:t>
      </w:r>
      <w:r w:rsidRPr="00B4186A">
        <w:rPr>
          <w:bCs/>
          <w:lang w:val="de-DE"/>
        </w:rPr>
        <w:t xml:space="preserve"> tỷ USD, tăng 14,</w:t>
      </w:r>
      <w:r>
        <w:rPr>
          <w:bCs/>
          <w:lang w:val="de-DE"/>
        </w:rPr>
        <w:t>4</w:t>
      </w:r>
      <w:r w:rsidRPr="00B4186A">
        <w:rPr>
          <w:bCs/>
          <w:lang w:val="de-DE"/>
        </w:rPr>
        <w:t>%.</w:t>
      </w:r>
      <w:bookmarkEnd w:id="2"/>
      <w:r w:rsidRPr="00B4186A">
        <w:rPr>
          <w:bCs/>
          <w:lang w:val="de-DE"/>
        </w:rPr>
        <w:t xml:space="preserve"> </w:t>
      </w:r>
    </w:p>
    <w:p w14:paraId="1EFD2C97" w14:textId="71788374" w:rsidR="00DB4D6C" w:rsidRDefault="00DB4D6C" w:rsidP="00DA1504">
      <w:pPr>
        <w:tabs>
          <w:tab w:val="left" w:pos="9475"/>
        </w:tabs>
        <w:spacing w:after="120" w:line="269" w:lineRule="auto"/>
        <w:ind w:firstLine="720"/>
        <w:jc w:val="both"/>
        <w:rPr>
          <w:lang w:val="de-DE"/>
        </w:rPr>
      </w:pPr>
      <w:r w:rsidRPr="00B4186A">
        <w:rPr>
          <w:lang w:val="de-DE"/>
        </w:rPr>
        <w:t>Trong hai tháng đầu năm 2025 c</w:t>
      </w:r>
      <w:r w:rsidRPr="00B4186A">
        <w:rPr>
          <w:bCs/>
          <w:lang w:val="de-DE"/>
        </w:rPr>
        <w:t>ó 16 mặt hàng nhập khẩu đạt trị giá trên 1 tỷ USD, chiếm tỷ trọng 76,2% tổng kim ngạch nhập khẩu</w:t>
      </w:r>
      <w:r w:rsidRPr="00B4186A">
        <w:rPr>
          <w:b/>
          <w:bCs/>
          <w:lang w:val="de-DE"/>
        </w:rPr>
        <w:t xml:space="preserve"> </w:t>
      </w:r>
      <w:r w:rsidRPr="00B4186A">
        <w:rPr>
          <w:bCs/>
          <w:lang w:val="de-DE"/>
        </w:rPr>
        <w:t>(có 2 mặt hàng nhập khẩu trên 5 tỷ USD, chiếm 4</w:t>
      </w:r>
      <w:r>
        <w:rPr>
          <w:bCs/>
          <w:lang w:val="de-DE"/>
        </w:rPr>
        <w:t>4</w:t>
      </w:r>
      <w:r w:rsidRPr="00B4186A">
        <w:rPr>
          <w:bCs/>
          <w:lang w:val="de-DE"/>
        </w:rPr>
        <w:t>,</w:t>
      </w:r>
      <w:r>
        <w:rPr>
          <w:bCs/>
          <w:lang w:val="de-DE"/>
        </w:rPr>
        <w:t>5</w:t>
      </w:r>
      <w:r w:rsidRPr="00B4186A">
        <w:rPr>
          <w:bCs/>
          <w:lang w:val="de-DE"/>
        </w:rPr>
        <w:t>%)</w:t>
      </w:r>
      <w:r w:rsidRPr="00B4186A">
        <w:rPr>
          <w:lang w:val="de-DE"/>
        </w:rPr>
        <w:t>.</w:t>
      </w:r>
    </w:p>
    <w:p w14:paraId="71A46C5A" w14:textId="39D7A590" w:rsidR="00DB4D6C" w:rsidRPr="009B2633" w:rsidRDefault="00DB4D6C" w:rsidP="00DB4D6C">
      <w:pPr>
        <w:tabs>
          <w:tab w:val="left" w:pos="9475"/>
        </w:tabs>
        <w:spacing w:before="120" w:after="120" w:line="264" w:lineRule="auto"/>
        <w:ind w:right="6"/>
        <w:jc w:val="center"/>
        <w:rPr>
          <w:rFonts w:ascii="Arial" w:hAnsi="Arial" w:cs="Arial"/>
          <w:b/>
          <w:bCs/>
          <w:sz w:val="8"/>
          <w:szCs w:val="24"/>
          <w:lang w:val="de-DE"/>
        </w:rPr>
      </w:pPr>
      <w:r w:rsidRPr="009B2633">
        <w:rPr>
          <w:rFonts w:ascii="Arial" w:hAnsi="Arial" w:cs="Arial"/>
          <w:b/>
          <w:spacing w:val="-2"/>
          <w:sz w:val="24"/>
          <w:szCs w:val="20"/>
          <w:lang w:val="pl-PL"/>
        </w:rPr>
        <w:t xml:space="preserve">Biểu </w:t>
      </w:r>
      <w:r w:rsidR="001D362A">
        <w:rPr>
          <w:rFonts w:ascii="Arial" w:hAnsi="Arial" w:cs="Arial"/>
          <w:b/>
          <w:spacing w:val="-2"/>
          <w:sz w:val="24"/>
          <w:szCs w:val="20"/>
          <w:lang w:val="pl-PL"/>
        </w:rPr>
        <w:t>5</w:t>
      </w:r>
      <w:r w:rsidRPr="009B2633">
        <w:rPr>
          <w:rFonts w:ascii="Arial" w:hAnsi="Arial" w:cs="Arial"/>
          <w:b/>
          <w:spacing w:val="-2"/>
          <w:sz w:val="24"/>
          <w:szCs w:val="20"/>
          <w:lang w:val="pl-PL"/>
        </w:rPr>
        <w:t>. Giá trị</w:t>
      </w:r>
      <w:r w:rsidRPr="009B2633">
        <w:rPr>
          <w:rFonts w:ascii="Arial" w:hAnsi="Arial" w:cs="Arial"/>
          <w:b/>
          <w:bCs/>
          <w:sz w:val="24"/>
          <w:szCs w:val="24"/>
          <w:lang w:val="de-DE"/>
        </w:rPr>
        <w:t xml:space="preserve"> một số mặt hàng nhập khẩu </w:t>
      </w:r>
      <w:r w:rsidR="001D362A">
        <w:rPr>
          <w:rFonts w:ascii="Arial" w:hAnsi="Arial" w:cs="Arial"/>
          <w:b/>
          <w:bCs/>
          <w:sz w:val="24"/>
          <w:szCs w:val="24"/>
          <w:lang w:val="de-DE"/>
        </w:rPr>
        <w:t>0</w:t>
      </w:r>
      <w:r>
        <w:rPr>
          <w:rFonts w:ascii="Arial" w:hAnsi="Arial" w:cs="Arial"/>
          <w:b/>
          <w:bCs/>
          <w:sz w:val="24"/>
          <w:szCs w:val="24"/>
          <w:lang w:val="de-DE"/>
        </w:rPr>
        <w:t>2 tháng đầu năm 2025</w:t>
      </w:r>
    </w:p>
    <w:tbl>
      <w:tblPr>
        <w:tblStyle w:val="TableGrid"/>
        <w:tblW w:w="911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0"/>
        <w:gridCol w:w="105"/>
        <w:gridCol w:w="1730"/>
        <w:gridCol w:w="149"/>
        <w:gridCol w:w="2393"/>
        <w:gridCol w:w="354"/>
      </w:tblGrid>
      <w:tr w:rsidR="00DB4D6C" w:rsidRPr="00552BC7" w14:paraId="3FE20A83" w14:textId="77777777" w:rsidTr="001D362A">
        <w:trPr>
          <w:gridAfter w:val="1"/>
          <w:wAfter w:w="354" w:type="dxa"/>
          <w:trHeight w:val="835"/>
        </w:trPr>
        <w:tc>
          <w:tcPr>
            <w:tcW w:w="4380" w:type="dxa"/>
          </w:tcPr>
          <w:p w14:paraId="4BDDAE2F" w14:textId="77777777" w:rsidR="00DB4D6C" w:rsidRPr="00552BC7" w:rsidRDefault="00DB4D6C" w:rsidP="00DB4D6C">
            <w:pPr>
              <w:tabs>
                <w:tab w:val="num" w:pos="0"/>
                <w:tab w:val="left" w:pos="9475"/>
              </w:tabs>
              <w:spacing w:before="40" w:after="40" w:line="264" w:lineRule="auto"/>
              <w:ind w:right="119"/>
              <w:jc w:val="right"/>
              <w:rPr>
                <w:rFonts w:ascii="Arial" w:hAnsi="Arial" w:cs="Arial"/>
                <w:b/>
                <w:bCs/>
                <w:i/>
                <w:iCs/>
                <w:sz w:val="20"/>
                <w:lang w:val="es-NI"/>
              </w:rPr>
            </w:pPr>
          </w:p>
          <w:p w14:paraId="127013B9" w14:textId="77777777" w:rsidR="00DB4D6C" w:rsidRPr="00552BC7" w:rsidRDefault="00DB4D6C" w:rsidP="00DB4D6C">
            <w:pPr>
              <w:tabs>
                <w:tab w:val="num" w:pos="0"/>
                <w:tab w:val="left" w:pos="9475"/>
              </w:tabs>
              <w:spacing w:before="40" w:after="40" w:line="264" w:lineRule="auto"/>
              <w:ind w:right="119"/>
              <w:jc w:val="right"/>
              <w:rPr>
                <w:rFonts w:ascii="Arial" w:hAnsi="Arial" w:cs="Arial"/>
                <w:b/>
                <w:bCs/>
                <w:i/>
                <w:iCs/>
                <w:sz w:val="20"/>
                <w:lang w:val="es-NI"/>
              </w:rPr>
            </w:pPr>
          </w:p>
        </w:tc>
        <w:tc>
          <w:tcPr>
            <w:tcW w:w="1835" w:type="dxa"/>
            <w:gridSpan w:val="2"/>
            <w:tcBorders>
              <w:top w:val="single" w:sz="4" w:space="0" w:color="auto"/>
              <w:bottom w:val="single" w:sz="4" w:space="0" w:color="auto"/>
            </w:tcBorders>
          </w:tcPr>
          <w:p w14:paraId="70B16118" w14:textId="77777777" w:rsidR="00DB4D6C" w:rsidRPr="00552BC7" w:rsidRDefault="00DB4D6C" w:rsidP="00DB4D6C">
            <w:pPr>
              <w:spacing w:before="40" w:after="40" w:line="264" w:lineRule="auto"/>
              <w:jc w:val="center"/>
              <w:rPr>
                <w:rFonts w:ascii="Arial" w:hAnsi="Arial" w:cs="Arial"/>
                <w:sz w:val="20"/>
                <w:lang w:val="es-NI"/>
              </w:rPr>
            </w:pPr>
            <w:r>
              <w:rPr>
                <w:rFonts w:ascii="Arial" w:hAnsi="Arial" w:cs="Arial"/>
                <w:sz w:val="20"/>
                <w:lang w:val="es-NI"/>
              </w:rPr>
              <w:t>Giá trị</w:t>
            </w:r>
          </w:p>
          <w:p w14:paraId="5FE6BB18" w14:textId="77777777" w:rsidR="00DB4D6C" w:rsidRPr="00552BC7" w:rsidRDefault="00DB4D6C" w:rsidP="00DB4D6C">
            <w:pPr>
              <w:spacing w:before="40" w:after="40" w:line="264" w:lineRule="auto"/>
              <w:jc w:val="center"/>
              <w:rPr>
                <w:rFonts w:ascii="Arial" w:hAnsi="Arial" w:cs="Arial"/>
                <w:b/>
                <w:bCs/>
                <w:i/>
                <w:iCs/>
                <w:sz w:val="20"/>
                <w:lang w:val="es-NI"/>
              </w:rPr>
            </w:pPr>
            <w:r w:rsidRPr="00552BC7">
              <w:rPr>
                <w:rFonts w:ascii="Arial" w:hAnsi="Arial" w:cs="Arial"/>
                <w:i/>
                <w:iCs/>
                <w:sz w:val="20"/>
                <w:lang w:val="es-NI"/>
              </w:rPr>
              <w:t>(Triệu USD)</w:t>
            </w:r>
          </w:p>
        </w:tc>
        <w:tc>
          <w:tcPr>
            <w:tcW w:w="2542" w:type="dxa"/>
            <w:gridSpan w:val="2"/>
            <w:tcBorders>
              <w:top w:val="single" w:sz="4" w:space="0" w:color="auto"/>
              <w:bottom w:val="single" w:sz="4" w:space="0" w:color="auto"/>
            </w:tcBorders>
          </w:tcPr>
          <w:p w14:paraId="31A47EC8" w14:textId="77777777" w:rsidR="00DB4D6C" w:rsidRPr="00552BC7" w:rsidRDefault="00DB4D6C" w:rsidP="00DB4D6C">
            <w:pPr>
              <w:spacing w:before="40" w:after="40" w:line="264" w:lineRule="auto"/>
              <w:jc w:val="center"/>
              <w:rPr>
                <w:rFonts w:ascii="Arial" w:hAnsi="Arial" w:cs="Arial"/>
                <w:sz w:val="20"/>
                <w:lang w:val="es-NI"/>
              </w:rPr>
            </w:pPr>
            <w:r w:rsidRPr="00552BC7">
              <w:rPr>
                <w:rFonts w:ascii="Arial" w:hAnsi="Arial" w:cs="Arial"/>
                <w:sz w:val="20"/>
                <w:lang w:val="es-NI"/>
              </w:rPr>
              <w:t xml:space="preserve">Tốc độ </w:t>
            </w:r>
            <w:r>
              <w:rPr>
                <w:rFonts w:ascii="Arial" w:hAnsi="Arial" w:cs="Arial"/>
                <w:sz w:val="20"/>
                <w:lang w:val="es-NI"/>
              </w:rPr>
              <w:t>tăng</w:t>
            </w:r>
            <w:r w:rsidRPr="00552BC7">
              <w:rPr>
                <w:rFonts w:ascii="Arial" w:hAnsi="Arial" w:cs="Arial"/>
                <w:sz w:val="20"/>
                <w:lang w:val="es-NI"/>
              </w:rPr>
              <w:t xml:space="preserve"> so với</w:t>
            </w:r>
          </w:p>
          <w:p w14:paraId="0EA08A30" w14:textId="77777777" w:rsidR="00DB4D6C" w:rsidRPr="00552BC7" w:rsidRDefault="00DB4D6C" w:rsidP="00DB4D6C">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DB4D6C" w:rsidRPr="009B2633" w14:paraId="390C7B73" w14:textId="77777777" w:rsidTr="001D362A">
        <w:tblPrEx>
          <w:tblBorders>
            <w:bottom w:val="none" w:sz="0" w:space="0" w:color="auto"/>
          </w:tblBorders>
        </w:tblPrEx>
        <w:trPr>
          <w:trHeight w:val="355"/>
        </w:trPr>
        <w:tc>
          <w:tcPr>
            <w:tcW w:w="4485" w:type="dxa"/>
            <w:gridSpan w:val="2"/>
            <w:vAlign w:val="bottom"/>
          </w:tcPr>
          <w:p w14:paraId="5DBA0A78" w14:textId="77777777" w:rsidR="00DB4D6C" w:rsidRPr="009B2633" w:rsidRDefault="00DB4D6C" w:rsidP="00DB4D6C">
            <w:pPr>
              <w:rPr>
                <w:rFonts w:ascii="Arial" w:hAnsi="Arial" w:cs="Arial"/>
                <w:b/>
                <w:bCs/>
                <w:sz w:val="20"/>
                <w:lang w:val="en-US"/>
              </w:rPr>
            </w:pPr>
            <w:r w:rsidRPr="009B2633">
              <w:rPr>
                <w:rFonts w:ascii="Arial" w:hAnsi="Arial" w:cs="Arial"/>
                <w:b/>
                <w:bCs/>
                <w:sz w:val="20"/>
                <w:lang w:val="en-US"/>
              </w:rPr>
              <w:t xml:space="preserve">Các mặt hàng đạt giá trị trên </w:t>
            </w:r>
            <w:r>
              <w:rPr>
                <w:rFonts w:ascii="Arial" w:hAnsi="Arial" w:cs="Arial"/>
                <w:b/>
                <w:bCs/>
                <w:sz w:val="20"/>
                <w:lang w:val="en-US"/>
              </w:rPr>
              <w:t>5</w:t>
            </w:r>
            <w:r w:rsidRPr="009B2633">
              <w:rPr>
                <w:rFonts w:ascii="Arial" w:hAnsi="Arial" w:cs="Arial"/>
                <w:b/>
                <w:bCs/>
                <w:sz w:val="20"/>
                <w:lang w:val="en-US"/>
              </w:rPr>
              <w:t xml:space="preserve"> tỷ USD</w:t>
            </w:r>
          </w:p>
        </w:tc>
        <w:tc>
          <w:tcPr>
            <w:tcW w:w="1879" w:type="dxa"/>
            <w:gridSpan w:val="2"/>
            <w:tcBorders>
              <w:top w:val="single" w:sz="4" w:space="0" w:color="auto"/>
            </w:tcBorders>
          </w:tcPr>
          <w:p w14:paraId="4530975A" w14:textId="77777777" w:rsidR="00DB4D6C" w:rsidRPr="009B2633" w:rsidRDefault="00DB4D6C" w:rsidP="00DB4D6C">
            <w:pPr>
              <w:tabs>
                <w:tab w:val="num" w:pos="0"/>
                <w:tab w:val="left" w:pos="9475"/>
              </w:tabs>
              <w:ind w:right="119"/>
              <w:jc w:val="right"/>
              <w:rPr>
                <w:rFonts w:ascii="Arial" w:hAnsi="Arial" w:cs="Arial"/>
                <w:b/>
                <w:bCs/>
                <w:i/>
                <w:iCs/>
                <w:sz w:val="20"/>
                <w:lang w:val="en-US"/>
              </w:rPr>
            </w:pPr>
          </w:p>
        </w:tc>
        <w:tc>
          <w:tcPr>
            <w:tcW w:w="2747" w:type="dxa"/>
            <w:gridSpan w:val="2"/>
            <w:tcBorders>
              <w:top w:val="single" w:sz="4" w:space="0" w:color="auto"/>
            </w:tcBorders>
          </w:tcPr>
          <w:p w14:paraId="742B37E6" w14:textId="77777777" w:rsidR="00DB4D6C" w:rsidRPr="009B2633" w:rsidRDefault="00DB4D6C" w:rsidP="00DB4D6C">
            <w:pPr>
              <w:tabs>
                <w:tab w:val="num" w:pos="0"/>
                <w:tab w:val="left" w:pos="9475"/>
              </w:tabs>
              <w:ind w:right="119"/>
              <w:jc w:val="right"/>
              <w:rPr>
                <w:rFonts w:ascii="Arial" w:hAnsi="Arial" w:cs="Arial"/>
                <w:b/>
                <w:bCs/>
                <w:i/>
                <w:iCs/>
                <w:sz w:val="20"/>
                <w:lang w:val="en-US"/>
              </w:rPr>
            </w:pPr>
          </w:p>
        </w:tc>
      </w:tr>
      <w:tr w:rsidR="00DB4D6C" w:rsidRPr="009B2633" w14:paraId="2317F417" w14:textId="77777777" w:rsidTr="001D362A">
        <w:tblPrEx>
          <w:tblBorders>
            <w:bottom w:val="none" w:sz="0" w:space="0" w:color="auto"/>
          </w:tblBorders>
        </w:tblPrEx>
        <w:trPr>
          <w:trHeight w:val="355"/>
        </w:trPr>
        <w:tc>
          <w:tcPr>
            <w:tcW w:w="4485" w:type="dxa"/>
            <w:gridSpan w:val="2"/>
            <w:tcBorders>
              <w:bottom w:val="nil"/>
            </w:tcBorders>
            <w:vAlign w:val="bottom"/>
          </w:tcPr>
          <w:p w14:paraId="2EE8BF39" w14:textId="77777777" w:rsidR="00DB4D6C" w:rsidRPr="009B2633" w:rsidRDefault="00DB4D6C" w:rsidP="00DB4D6C">
            <w:pPr>
              <w:ind w:firstLine="171"/>
              <w:rPr>
                <w:rFonts w:ascii="Arial" w:hAnsi="Arial" w:cs="Arial"/>
                <w:sz w:val="20"/>
                <w:szCs w:val="20"/>
                <w:lang w:val="en-US"/>
              </w:rPr>
            </w:pPr>
            <w:r w:rsidRPr="009B2633">
              <w:rPr>
                <w:rFonts w:ascii="Arial" w:hAnsi="Arial" w:cs="Arial"/>
                <w:sz w:val="20"/>
                <w:szCs w:val="20"/>
                <w:lang w:val="en-US"/>
              </w:rPr>
              <w:t>Điện tử, máy tính và linh kiện</w:t>
            </w:r>
          </w:p>
        </w:tc>
        <w:tc>
          <w:tcPr>
            <w:tcW w:w="1879" w:type="dxa"/>
            <w:gridSpan w:val="2"/>
            <w:tcBorders>
              <w:bottom w:val="nil"/>
            </w:tcBorders>
            <w:vAlign w:val="bottom"/>
          </w:tcPr>
          <w:p w14:paraId="31FCBC62" w14:textId="77777777" w:rsidR="00DB4D6C" w:rsidRPr="00500E98" w:rsidRDefault="00DB4D6C" w:rsidP="00DB4D6C">
            <w:pPr>
              <w:ind w:right="465" w:firstLine="170"/>
              <w:jc w:val="right"/>
              <w:rPr>
                <w:rFonts w:ascii="Arial" w:hAnsi="Arial" w:cs="Arial"/>
                <w:sz w:val="20"/>
                <w:szCs w:val="20"/>
                <w:lang w:val="en-US"/>
              </w:rPr>
            </w:pPr>
            <w:r w:rsidRPr="00500E98">
              <w:rPr>
                <w:rFonts w:ascii="Arial" w:hAnsi="Arial" w:cs="Arial"/>
                <w:sz w:val="20"/>
                <w:szCs w:val="20"/>
              </w:rPr>
              <w:t>20</w:t>
            </w:r>
            <w:r>
              <w:rPr>
                <w:rFonts w:ascii="Arial" w:hAnsi="Arial" w:cs="Arial"/>
                <w:sz w:val="20"/>
                <w:szCs w:val="20"/>
              </w:rPr>
              <w:t>.</w:t>
            </w:r>
            <w:r w:rsidRPr="00500E98">
              <w:rPr>
                <w:rFonts w:ascii="Arial" w:hAnsi="Arial" w:cs="Arial"/>
                <w:sz w:val="20"/>
                <w:szCs w:val="20"/>
              </w:rPr>
              <w:t>147</w:t>
            </w:r>
          </w:p>
        </w:tc>
        <w:tc>
          <w:tcPr>
            <w:tcW w:w="2747" w:type="dxa"/>
            <w:gridSpan w:val="2"/>
            <w:tcBorders>
              <w:bottom w:val="nil"/>
            </w:tcBorders>
            <w:vAlign w:val="bottom"/>
          </w:tcPr>
          <w:p w14:paraId="47D3CACD" w14:textId="77777777" w:rsidR="00DB4D6C" w:rsidRPr="00500E98" w:rsidRDefault="00DB4D6C" w:rsidP="00DB4D6C">
            <w:pPr>
              <w:ind w:right="1023" w:firstLine="170"/>
              <w:jc w:val="right"/>
              <w:rPr>
                <w:rFonts w:ascii="Arial" w:hAnsi="Arial" w:cs="Arial"/>
                <w:sz w:val="20"/>
                <w:szCs w:val="20"/>
                <w:lang w:val="en-US"/>
              </w:rPr>
            </w:pPr>
            <w:r w:rsidRPr="00500E98">
              <w:rPr>
                <w:rFonts w:ascii="Arial" w:hAnsi="Arial" w:cs="Arial"/>
                <w:sz w:val="20"/>
                <w:szCs w:val="20"/>
              </w:rPr>
              <w:t>28,9</w:t>
            </w:r>
          </w:p>
        </w:tc>
      </w:tr>
      <w:tr w:rsidR="00DB4D6C" w:rsidRPr="009B2633" w14:paraId="084C6DE8" w14:textId="77777777" w:rsidTr="001D362A">
        <w:tblPrEx>
          <w:tblBorders>
            <w:bottom w:val="none" w:sz="0" w:space="0" w:color="auto"/>
          </w:tblBorders>
        </w:tblPrEx>
        <w:trPr>
          <w:trHeight w:val="355"/>
        </w:trPr>
        <w:tc>
          <w:tcPr>
            <w:tcW w:w="4485" w:type="dxa"/>
            <w:gridSpan w:val="2"/>
            <w:tcBorders>
              <w:top w:val="nil"/>
              <w:bottom w:val="single" w:sz="4" w:space="0" w:color="auto"/>
            </w:tcBorders>
            <w:vAlign w:val="bottom"/>
          </w:tcPr>
          <w:p w14:paraId="68FBD31F" w14:textId="77777777" w:rsidR="00DB4D6C" w:rsidRPr="009B2633" w:rsidRDefault="00DB4D6C" w:rsidP="00DB4D6C">
            <w:pPr>
              <w:ind w:firstLine="171"/>
              <w:rPr>
                <w:rFonts w:ascii="Arial" w:hAnsi="Arial" w:cs="Arial"/>
                <w:sz w:val="20"/>
                <w:szCs w:val="20"/>
                <w:lang w:val="en-US"/>
              </w:rPr>
            </w:pPr>
            <w:r w:rsidRPr="009B2633">
              <w:rPr>
                <w:rFonts w:ascii="Arial" w:hAnsi="Arial" w:cs="Arial"/>
                <w:sz w:val="20"/>
                <w:szCs w:val="20"/>
                <w:lang w:val="en-US"/>
              </w:rPr>
              <w:t>Máy móc, thiết bị, dụng cụ, phụ tùng khác</w:t>
            </w:r>
          </w:p>
        </w:tc>
        <w:tc>
          <w:tcPr>
            <w:tcW w:w="1879" w:type="dxa"/>
            <w:gridSpan w:val="2"/>
            <w:tcBorders>
              <w:top w:val="nil"/>
              <w:bottom w:val="single" w:sz="4" w:space="0" w:color="auto"/>
            </w:tcBorders>
            <w:vAlign w:val="bottom"/>
          </w:tcPr>
          <w:p w14:paraId="1FDF3204" w14:textId="77777777" w:rsidR="00DB4D6C" w:rsidRPr="00500E98" w:rsidRDefault="00DB4D6C" w:rsidP="00DB4D6C">
            <w:pPr>
              <w:ind w:right="465" w:firstLine="170"/>
              <w:jc w:val="right"/>
              <w:rPr>
                <w:rFonts w:ascii="Arial" w:hAnsi="Arial" w:cs="Arial"/>
                <w:sz w:val="20"/>
                <w:szCs w:val="20"/>
                <w:lang w:val="en-US"/>
              </w:rPr>
            </w:pPr>
            <w:r w:rsidRPr="00500E98">
              <w:rPr>
                <w:rFonts w:ascii="Arial" w:hAnsi="Arial" w:cs="Arial"/>
                <w:sz w:val="20"/>
                <w:szCs w:val="20"/>
              </w:rPr>
              <w:t>7</w:t>
            </w:r>
            <w:r>
              <w:rPr>
                <w:rFonts w:ascii="Arial" w:hAnsi="Arial" w:cs="Arial"/>
                <w:sz w:val="20"/>
                <w:szCs w:val="20"/>
              </w:rPr>
              <w:t>.</w:t>
            </w:r>
            <w:r w:rsidRPr="00500E98">
              <w:rPr>
                <w:rFonts w:ascii="Arial" w:hAnsi="Arial" w:cs="Arial"/>
                <w:sz w:val="20"/>
                <w:szCs w:val="20"/>
              </w:rPr>
              <w:t>787</w:t>
            </w:r>
          </w:p>
        </w:tc>
        <w:tc>
          <w:tcPr>
            <w:tcW w:w="2747" w:type="dxa"/>
            <w:gridSpan w:val="2"/>
            <w:tcBorders>
              <w:top w:val="nil"/>
              <w:bottom w:val="single" w:sz="4" w:space="0" w:color="auto"/>
            </w:tcBorders>
            <w:vAlign w:val="bottom"/>
          </w:tcPr>
          <w:p w14:paraId="508E908E" w14:textId="77777777" w:rsidR="00DB4D6C" w:rsidRPr="00500E98" w:rsidRDefault="00DB4D6C" w:rsidP="00DB4D6C">
            <w:pPr>
              <w:ind w:right="1023" w:firstLine="170"/>
              <w:jc w:val="right"/>
              <w:rPr>
                <w:rFonts w:ascii="Arial" w:hAnsi="Arial" w:cs="Arial"/>
                <w:sz w:val="20"/>
                <w:szCs w:val="20"/>
                <w:lang w:val="en-US"/>
              </w:rPr>
            </w:pPr>
            <w:r w:rsidRPr="00500E98">
              <w:rPr>
                <w:rFonts w:ascii="Arial" w:hAnsi="Arial" w:cs="Arial"/>
                <w:sz w:val="20"/>
                <w:szCs w:val="20"/>
              </w:rPr>
              <w:t>18,5</w:t>
            </w:r>
          </w:p>
        </w:tc>
      </w:tr>
    </w:tbl>
    <w:p w14:paraId="77211A58" w14:textId="77777777" w:rsidR="00DB4D6C" w:rsidRPr="009B2633" w:rsidRDefault="00DB4D6C" w:rsidP="00DB4D6C">
      <w:pPr>
        <w:tabs>
          <w:tab w:val="num" w:pos="0"/>
          <w:tab w:val="left" w:pos="9475"/>
        </w:tabs>
        <w:spacing w:before="40" w:after="40" w:line="264" w:lineRule="auto"/>
        <w:ind w:right="187" w:firstLine="567"/>
        <w:jc w:val="right"/>
        <w:rPr>
          <w:rFonts w:ascii="Arial" w:hAnsi="Arial" w:cs="Arial"/>
          <w:b/>
          <w:bCs/>
          <w:i/>
          <w:iCs/>
          <w:sz w:val="2"/>
          <w:szCs w:val="20"/>
          <w:lang w:val="en-US"/>
        </w:rPr>
      </w:pPr>
    </w:p>
    <w:p w14:paraId="43ADAF44" w14:textId="6E71F9F1" w:rsidR="00397485" w:rsidRDefault="00DB4D6C" w:rsidP="00397485">
      <w:pPr>
        <w:tabs>
          <w:tab w:val="num" w:pos="0"/>
          <w:tab w:val="left" w:pos="9475"/>
        </w:tabs>
        <w:spacing w:before="360" w:after="40" w:line="264" w:lineRule="auto"/>
        <w:jc w:val="both"/>
        <w:rPr>
          <w:iCs/>
          <w:spacing w:val="8"/>
          <w:lang w:val="en-US"/>
        </w:rPr>
      </w:pPr>
      <w:r w:rsidRPr="009B2633">
        <w:rPr>
          <w:noProof/>
          <w:spacing w:val="2"/>
          <w:lang w:val="en-US"/>
        </w:rPr>
        <w:lastRenderedPageBreak/>
        <mc:AlternateContent>
          <mc:Choice Requires="wps">
            <w:drawing>
              <wp:anchor distT="0" distB="0" distL="114300" distR="114300" simplePos="0" relativeHeight="251663872" behindDoc="0" locked="0" layoutInCell="1" allowOverlap="1" wp14:anchorId="7B124A19" wp14:editId="7667A24D">
                <wp:simplePos x="0" y="0"/>
                <wp:positionH relativeFrom="column">
                  <wp:posOffset>86995</wp:posOffset>
                </wp:positionH>
                <wp:positionV relativeFrom="paragraph">
                  <wp:posOffset>125730</wp:posOffset>
                </wp:positionV>
                <wp:extent cx="3628390" cy="25679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2567940"/>
                        </a:xfrm>
                        <a:prstGeom prst="rect">
                          <a:avLst/>
                        </a:prstGeom>
                        <a:solidFill>
                          <a:srgbClr val="FFFFFF"/>
                        </a:solidFill>
                        <a:ln w="9525">
                          <a:noFill/>
                          <a:miter lim="800000"/>
                          <a:headEnd/>
                          <a:tailEnd/>
                        </a:ln>
                      </wps:spPr>
                      <wps:txbx>
                        <w:txbxContent>
                          <w:p w14:paraId="2DDB2E57" w14:textId="2C9B76A3" w:rsidR="00DB4D6C" w:rsidRDefault="00DB4D6C" w:rsidP="00DB4D6C">
                            <w:pPr>
                              <w:ind w:left="-284" w:firstLine="142"/>
                              <w:jc w:val="center"/>
                              <w:rPr>
                                <w:rFonts w:ascii="Arial" w:hAnsi="Arial" w:cs="Arial"/>
                                <w:b/>
                                <w:bCs/>
                                <w:sz w:val="24"/>
                                <w:szCs w:val="24"/>
                              </w:rPr>
                            </w:pPr>
                            <w:r>
                              <w:rPr>
                                <w:rFonts w:ascii="Arial" w:hAnsi="Arial" w:cs="Arial"/>
                                <w:b/>
                                <w:bCs/>
                                <w:sz w:val="24"/>
                                <w:szCs w:val="24"/>
                              </w:rPr>
                              <w:t>Hình 1</w:t>
                            </w:r>
                            <w:r w:rsidR="00C81562">
                              <w:rPr>
                                <w:rFonts w:ascii="Arial" w:hAnsi="Arial" w:cs="Arial"/>
                                <w:b/>
                                <w:bCs/>
                                <w:sz w:val="24"/>
                                <w:szCs w:val="24"/>
                                <w:lang w:val="en-US"/>
                              </w:rPr>
                              <w:t>3</w:t>
                            </w:r>
                            <w:r>
                              <w:rPr>
                                <w:rFonts w:ascii="Arial" w:hAnsi="Arial" w:cs="Arial"/>
                                <w:b/>
                                <w:bCs/>
                                <w:sz w:val="24"/>
                                <w:szCs w:val="24"/>
                              </w:rPr>
                              <w:t xml:space="preserve">. </w:t>
                            </w:r>
                            <w:r w:rsidRPr="005C7C96">
                              <w:rPr>
                                <w:rFonts w:ascii="Arial" w:hAnsi="Arial" w:cs="Arial"/>
                                <w:b/>
                                <w:bCs/>
                                <w:sz w:val="24"/>
                                <w:szCs w:val="24"/>
                              </w:rPr>
                              <w:t>Cơ cấu nhóm hàng nhập khẩu</w:t>
                            </w:r>
                            <w:r>
                              <w:rPr>
                                <w:rFonts w:ascii="Arial" w:hAnsi="Arial" w:cs="Arial"/>
                                <w:b/>
                                <w:bCs/>
                                <w:sz w:val="24"/>
                                <w:szCs w:val="24"/>
                              </w:rPr>
                              <w:br/>
                            </w:r>
                            <w:r w:rsidR="001D362A">
                              <w:rPr>
                                <w:rFonts w:ascii="Arial" w:hAnsi="Arial" w:cs="Arial"/>
                                <w:b/>
                                <w:bCs/>
                                <w:sz w:val="24"/>
                                <w:szCs w:val="24"/>
                                <w:lang w:val="en-US"/>
                              </w:rPr>
                              <w:t>0</w:t>
                            </w:r>
                            <w:r>
                              <w:rPr>
                                <w:rFonts w:ascii="Arial" w:hAnsi="Arial" w:cs="Arial"/>
                                <w:b/>
                                <w:bCs/>
                                <w:sz w:val="24"/>
                                <w:szCs w:val="24"/>
                              </w:rPr>
                              <w:t xml:space="preserve">2 tháng đầu </w:t>
                            </w:r>
                            <w:r w:rsidRPr="005C7C96">
                              <w:rPr>
                                <w:rFonts w:ascii="Arial" w:hAnsi="Arial" w:cs="Arial"/>
                                <w:b/>
                                <w:bCs/>
                                <w:sz w:val="24"/>
                                <w:szCs w:val="24"/>
                              </w:rPr>
                              <w:t xml:space="preserve">năm </w:t>
                            </w:r>
                            <w:r>
                              <w:rPr>
                                <w:rFonts w:ascii="Arial" w:hAnsi="Arial" w:cs="Arial"/>
                                <w:b/>
                                <w:bCs/>
                                <w:sz w:val="24"/>
                                <w:szCs w:val="24"/>
                              </w:rPr>
                              <w:t>2025</w:t>
                            </w:r>
                          </w:p>
                          <w:p w14:paraId="4C8D83A4" w14:textId="77777777" w:rsidR="00DB4D6C" w:rsidRPr="00F66505" w:rsidRDefault="00DB4D6C" w:rsidP="00397485">
                            <w:pPr>
                              <w:ind w:left="-284"/>
                              <w:jc w:val="center"/>
                              <w:rPr>
                                <w:rFonts w:ascii="Arial" w:hAnsi="Arial" w:cs="Arial"/>
                                <w:b/>
                                <w:bCs/>
                                <w:sz w:val="14"/>
                                <w:szCs w:val="24"/>
                              </w:rPr>
                            </w:pPr>
                            <w:r w:rsidRPr="003779A4">
                              <w:rPr>
                                <w:noProof/>
                                <w:lang w:val="en-US"/>
                              </w:rPr>
                              <w:drawing>
                                <wp:inline distT="0" distB="0" distL="0" distR="0" wp14:anchorId="574ED333" wp14:editId="1E49034B">
                                  <wp:extent cx="3180945" cy="2108014"/>
                                  <wp:effectExtent l="0" t="0" r="635" b="698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1472" cy="21149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24A19" id="_x0000_s1027" type="#_x0000_t202" style="position:absolute;left:0;text-align:left;margin-left:6.85pt;margin-top:9.9pt;width:285.7pt;height:20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" stroked="f">
                <v:textbox>
                  <w:txbxContent>
                    <w:p w14:paraId="2DDB2E57" w14:textId="2C9B76A3" w:rsidR="00DB4D6C" w:rsidRDefault="00DB4D6C" w:rsidP="00DB4D6C">
                      <w:pPr>
                        <w:ind w:left="-284" w:firstLine="142"/>
                        <w:jc w:val="center"/>
                        <w:rPr>
                          <w:rFonts w:ascii="Arial" w:hAnsi="Arial" w:cs="Arial"/>
                          <w:b/>
                          <w:bCs/>
                          <w:sz w:val="24"/>
                          <w:szCs w:val="24"/>
                        </w:rPr>
                      </w:pPr>
                      <w:r>
                        <w:rPr>
                          <w:rFonts w:ascii="Arial" w:hAnsi="Arial" w:cs="Arial"/>
                          <w:b/>
                          <w:bCs/>
                          <w:sz w:val="24"/>
                          <w:szCs w:val="24"/>
                        </w:rPr>
                        <w:t>Hình 1</w:t>
                      </w:r>
                      <w:r w:rsidR="00C81562">
                        <w:rPr>
                          <w:rFonts w:ascii="Arial" w:hAnsi="Arial" w:cs="Arial"/>
                          <w:b/>
                          <w:bCs/>
                          <w:sz w:val="24"/>
                          <w:szCs w:val="24"/>
                          <w:lang w:val="en-US"/>
                        </w:rPr>
                        <w:t>3</w:t>
                      </w:r>
                      <w:r>
                        <w:rPr>
                          <w:rFonts w:ascii="Arial" w:hAnsi="Arial" w:cs="Arial"/>
                          <w:b/>
                          <w:bCs/>
                          <w:sz w:val="24"/>
                          <w:szCs w:val="24"/>
                        </w:rPr>
                        <w:t xml:space="preserve">. </w:t>
                      </w:r>
                      <w:r w:rsidRPr="005C7C96">
                        <w:rPr>
                          <w:rFonts w:ascii="Arial" w:hAnsi="Arial" w:cs="Arial"/>
                          <w:b/>
                          <w:bCs/>
                          <w:sz w:val="24"/>
                          <w:szCs w:val="24"/>
                        </w:rPr>
                        <w:t>Cơ cấu nhóm hàng nhập khẩu</w:t>
                      </w:r>
                      <w:r>
                        <w:rPr>
                          <w:rFonts w:ascii="Arial" w:hAnsi="Arial" w:cs="Arial"/>
                          <w:b/>
                          <w:bCs/>
                          <w:sz w:val="24"/>
                          <w:szCs w:val="24"/>
                        </w:rPr>
                        <w:br/>
                      </w:r>
                      <w:r w:rsidR="001D362A">
                        <w:rPr>
                          <w:rFonts w:ascii="Arial" w:hAnsi="Arial" w:cs="Arial"/>
                          <w:b/>
                          <w:bCs/>
                          <w:sz w:val="24"/>
                          <w:szCs w:val="24"/>
                          <w:lang w:val="en-US"/>
                        </w:rPr>
                        <w:t>0</w:t>
                      </w:r>
                      <w:r>
                        <w:rPr>
                          <w:rFonts w:ascii="Arial" w:hAnsi="Arial" w:cs="Arial"/>
                          <w:b/>
                          <w:bCs/>
                          <w:sz w:val="24"/>
                          <w:szCs w:val="24"/>
                        </w:rPr>
                        <w:t xml:space="preserve">2 tháng đầu </w:t>
                      </w:r>
                      <w:r w:rsidRPr="005C7C96">
                        <w:rPr>
                          <w:rFonts w:ascii="Arial" w:hAnsi="Arial" w:cs="Arial"/>
                          <w:b/>
                          <w:bCs/>
                          <w:sz w:val="24"/>
                          <w:szCs w:val="24"/>
                        </w:rPr>
                        <w:t xml:space="preserve">năm </w:t>
                      </w:r>
                      <w:r>
                        <w:rPr>
                          <w:rFonts w:ascii="Arial" w:hAnsi="Arial" w:cs="Arial"/>
                          <w:b/>
                          <w:bCs/>
                          <w:sz w:val="24"/>
                          <w:szCs w:val="24"/>
                        </w:rPr>
                        <w:t>2025</w:t>
                      </w:r>
                    </w:p>
                    <w:p w14:paraId="4C8D83A4" w14:textId="77777777" w:rsidR="00DB4D6C" w:rsidRPr="00F66505" w:rsidRDefault="00DB4D6C" w:rsidP="00397485">
                      <w:pPr>
                        <w:ind w:left="-284"/>
                        <w:jc w:val="center"/>
                        <w:rPr>
                          <w:rFonts w:ascii="Arial" w:hAnsi="Arial" w:cs="Arial"/>
                          <w:b/>
                          <w:bCs/>
                          <w:sz w:val="14"/>
                          <w:szCs w:val="24"/>
                        </w:rPr>
                      </w:pPr>
                      <w:r w:rsidRPr="003779A4">
                        <w:rPr>
                          <w:noProof/>
                          <w:lang w:val="en-US"/>
                        </w:rPr>
                        <w:drawing>
                          <wp:inline distT="0" distB="0" distL="0" distR="0" wp14:anchorId="574ED333" wp14:editId="1E49034B">
                            <wp:extent cx="3180945" cy="2108014"/>
                            <wp:effectExtent l="0" t="0" r="635" b="698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1472" cy="2114990"/>
                                    </a:xfrm>
                                    <a:prstGeom prst="rect">
                                      <a:avLst/>
                                    </a:prstGeom>
                                    <a:noFill/>
                                    <a:ln>
                                      <a:noFill/>
                                    </a:ln>
                                  </pic:spPr>
                                </pic:pic>
                              </a:graphicData>
                            </a:graphic>
                          </wp:inline>
                        </w:drawing>
                      </w:r>
                    </w:p>
                  </w:txbxContent>
                </v:textbox>
                <w10:wrap type="square"/>
              </v:shape>
            </w:pict>
          </mc:Fallback>
        </mc:AlternateContent>
      </w:r>
      <w:r w:rsidRPr="009B2633">
        <w:rPr>
          <w:rFonts w:eastAsia="Batang"/>
          <w:i/>
          <w:iCs/>
          <w:lang w:val="en-US"/>
        </w:rPr>
        <w:t xml:space="preserve">Về cơ cấu nhóm hàng nhập khẩu </w:t>
      </w:r>
      <w:r>
        <w:rPr>
          <w:rFonts w:eastAsia="Batang"/>
          <w:i/>
          <w:iCs/>
          <w:lang w:val="en-US"/>
        </w:rPr>
        <w:t>hai tháng đầu năm 2025</w:t>
      </w:r>
      <w:r w:rsidRPr="009B2633">
        <w:rPr>
          <w:rFonts w:eastAsia="Batang"/>
          <w:i/>
          <w:iCs/>
          <w:lang w:val="en-US"/>
        </w:rPr>
        <w:t>,</w:t>
      </w:r>
      <w:r w:rsidRPr="009B2633">
        <w:rPr>
          <w:rFonts w:eastAsia="Batang"/>
          <w:i/>
          <w:iCs/>
        </w:rPr>
        <w:t xml:space="preserve"> </w:t>
      </w:r>
      <w:r w:rsidRPr="009B2633">
        <w:rPr>
          <w:rFonts w:eastAsia="Batang"/>
          <w:bCs/>
          <w:iCs/>
          <w:lang w:val="en-US"/>
        </w:rPr>
        <w:t>nhóm hàng tư liệu sản xuất đạt 5</w:t>
      </w:r>
      <w:r>
        <w:rPr>
          <w:rFonts w:eastAsia="Batang"/>
          <w:bCs/>
          <w:iCs/>
          <w:lang w:val="en-US"/>
        </w:rPr>
        <w:t>8</w:t>
      </w:r>
      <w:r w:rsidRPr="009B2633">
        <w:rPr>
          <w:rFonts w:eastAsia="Batang"/>
          <w:bCs/>
          <w:iCs/>
          <w:lang w:val="en-US"/>
        </w:rPr>
        <w:t>,</w:t>
      </w:r>
      <w:r>
        <w:rPr>
          <w:rFonts w:eastAsia="Batang"/>
          <w:bCs/>
          <w:iCs/>
          <w:lang w:val="en-US"/>
        </w:rPr>
        <w:t>8</w:t>
      </w:r>
      <w:r w:rsidRPr="009B2633">
        <w:rPr>
          <w:rFonts w:eastAsia="Batang"/>
          <w:bCs/>
          <w:iCs/>
          <w:lang w:val="en-US"/>
        </w:rPr>
        <w:t>3 tỷ USD, chiếm 93,</w:t>
      </w:r>
      <w:r>
        <w:rPr>
          <w:rFonts w:eastAsia="Batang"/>
          <w:bCs/>
          <w:iCs/>
          <w:lang w:val="en-US"/>
        </w:rPr>
        <w:t>7</w:t>
      </w:r>
      <w:r w:rsidRPr="009B2633">
        <w:rPr>
          <w:rFonts w:eastAsia="Batang"/>
          <w:bCs/>
          <w:iCs/>
          <w:lang w:val="en-US"/>
        </w:rPr>
        <w:t xml:space="preserve">%, trong đó nhóm hàng máy móc thiết bị, dụng cụ phụ tùng chiếm </w:t>
      </w:r>
      <w:r>
        <w:rPr>
          <w:rFonts w:eastAsia="Batang"/>
          <w:bCs/>
          <w:iCs/>
          <w:lang w:val="en-US"/>
        </w:rPr>
        <w:t>50</w:t>
      </w:r>
      <w:r w:rsidRPr="009B2633">
        <w:rPr>
          <w:rFonts w:eastAsia="Batang"/>
          <w:bCs/>
          <w:iCs/>
          <w:lang w:val="en-US"/>
        </w:rPr>
        <w:t>,</w:t>
      </w:r>
      <w:r>
        <w:rPr>
          <w:rFonts w:eastAsia="Batang"/>
          <w:bCs/>
          <w:iCs/>
          <w:lang w:val="en-US"/>
        </w:rPr>
        <w:t>8</w:t>
      </w:r>
      <w:r w:rsidRPr="009B2633">
        <w:rPr>
          <w:rFonts w:eastAsia="Batang"/>
          <w:bCs/>
          <w:iCs/>
          <w:lang w:val="en-US"/>
        </w:rPr>
        <w:t>%; nhóm hàng nguyên, nhiên, vật liệu chiếm 4</w:t>
      </w:r>
      <w:r>
        <w:rPr>
          <w:rFonts w:eastAsia="Batang"/>
          <w:bCs/>
          <w:iCs/>
          <w:lang w:val="en-US"/>
        </w:rPr>
        <w:t>2</w:t>
      </w:r>
      <w:r w:rsidRPr="009B2633">
        <w:rPr>
          <w:rFonts w:eastAsia="Batang"/>
          <w:bCs/>
          <w:iCs/>
          <w:lang w:val="en-US"/>
        </w:rPr>
        <w:t>,</w:t>
      </w:r>
      <w:r>
        <w:rPr>
          <w:rFonts w:eastAsia="Batang"/>
          <w:bCs/>
          <w:iCs/>
          <w:lang w:val="en-US"/>
        </w:rPr>
        <w:t>9</w:t>
      </w:r>
      <w:r w:rsidRPr="009B2633">
        <w:rPr>
          <w:rFonts w:eastAsia="Batang"/>
          <w:bCs/>
          <w:iCs/>
          <w:lang w:val="en-US"/>
        </w:rPr>
        <w:t>%.</w:t>
      </w:r>
      <w:r w:rsidRPr="009B2633">
        <w:rPr>
          <w:rFonts w:eastAsia="Batang"/>
          <w:iCs/>
          <w:lang w:val="en-US"/>
        </w:rPr>
        <w:t xml:space="preserve"> Nhóm h</w:t>
      </w:r>
      <w:r w:rsidRPr="009B2633">
        <w:rPr>
          <w:rFonts w:eastAsia="Batang"/>
          <w:bCs/>
          <w:iCs/>
          <w:lang w:val="en-US"/>
        </w:rPr>
        <w:t xml:space="preserve">àng vật phẩm tiêu dùng đạt </w:t>
      </w:r>
      <w:r>
        <w:rPr>
          <w:rFonts w:eastAsia="Batang"/>
          <w:bCs/>
          <w:iCs/>
          <w:lang w:val="en-US"/>
        </w:rPr>
        <w:t>3</w:t>
      </w:r>
      <w:r w:rsidRPr="009B2633">
        <w:rPr>
          <w:rFonts w:eastAsia="Batang"/>
          <w:bCs/>
          <w:iCs/>
          <w:lang w:val="en-US"/>
        </w:rPr>
        <w:t>,</w:t>
      </w:r>
      <w:r>
        <w:rPr>
          <w:rFonts w:eastAsia="Batang"/>
          <w:bCs/>
          <w:iCs/>
          <w:lang w:val="en-US"/>
        </w:rPr>
        <w:t>97</w:t>
      </w:r>
      <w:r w:rsidRPr="009B2633">
        <w:rPr>
          <w:rFonts w:eastAsia="Batang"/>
          <w:bCs/>
          <w:iCs/>
          <w:lang w:val="en-US"/>
        </w:rPr>
        <w:t xml:space="preserve"> tỷ USD, chiếm 6,</w:t>
      </w:r>
      <w:r>
        <w:rPr>
          <w:rFonts w:eastAsia="Batang"/>
          <w:bCs/>
          <w:iCs/>
          <w:lang w:val="en-US"/>
        </w:rPr>
        <w:t>3</w:t>
      </w:r>
      <w:r w:rsidRPr="009B2633">
        <w:rPr>
          <w:rFonts w:eastAsia="Batang"/>
          <w:bCs/>
          <w:iCs/>
          <w:lang w:val="en-US"/>
        </w:rPr>
        <w:t>%.</w:t>
      </w:r>
    </w:p>
    <w:p w14:paraId="02B46EA9" w14:textId="08581079" w:rsidR="005F34BC" w:rsidRDefault="005F34BC" w:rsidP="005F34BC">
      <w:pPr>
        <w:tabs>
          <w:tab w:val="num" w:pos="0"/>
          <w:tab w:val="left" w:pos="9475"/>
        </w:tabs>
        <w:spacing w:after="120" w:line="264" w:lineRule="auto"/>
        <w:ind w:firstLine="720"/>
        <w:jc w:val="both"/>
        <w:rPr>
          <w:iCs/>
          <w:lang w:val="en-US"/>
        </w:rPr>
      </w:pPr>
      <w:r w:rsidRPr="005F34BC">
        <w:rPr>
          <w:bCs/>
          <w:i/>
          <w:lang w:val="en-US"/>
        </w:rPr>
        <w:t>Về thị trường xuất, nhập khẩu hàng hóa hai tháng đầu năm 2025,</w:t>
      </w:r>
      <w:r w:rsidRPr="005F34BC">
        <w:rPr>
          <w:bCs/>
          <w:iCs/>
          <w:lang w:val="en-US"/>
        </w:rPr>
        <w:t xml:space="preserve"> Hoa Kỳ là thị trường xuất khẩu lớn nhất của Việt Nam với kim ngạch đạt 19,6 tỷ USD. </w:t>
      </w:r>
      <w:r w:rsidRPr="005F34BC">
        <w:rPr>
          <w:iCs/>
          <w:lang w:val="en-US"/>
        </w:rPr>
        <w:t>Trung Quốc là thị trường nhập khẩu lớn nhất của Việt Nam với kim ngạch đạt 23,3 tỷ USD. Trong hai tháng đầu năm 2025, xuất siêu sang Hoa Kỳ đạt 17,0 tỷ USD tăng 16,3% so với cùng kỳ năm trước; xuất siêu sang EU 6,4 tỷ USD, tăng 19,2%; xuất siêu sang Nhật Bản 0,5 tỷ USD, gấp gần 10 lần so với 2 tháng đầu năm 2024; nhập siêu từ Trung Quốc 15,4 tỷ USD, tăng 36,9%; nhập siêu từ Hàn Quốc 4,6 tỷ USD, tăng 20,6%; nhập siêu từ ASEAN 2,1 tỷ USD, tăng 116,8%.</w:t>
      </w:r>
    </w:p>
    <w:p w14:paraId="5F060962" w14:textId="5772438E" w:rsidR="005F34BC" w:rsidRPr="005F34BC" w:rsidRDefault="005F34BC" w:rsidP="005F34BC">
      <w:pPr>
        <w:tabs>
          <w:tab w:val="num" w:pos="0"/>
          <w:tab w:val="left" w:pos="9475"/>
        </w:tabs>
        <w:ind w:right="6"/>
        <w:jc w:val="center"/>
        <w:rPr>
          <w:rFonts w:ascii="Arial" w:hAnsi="Arial" w:cs="Arial"/>
          <w:b/>
          <w:iCs/>
          <w:sz w:val="24"/>
          <w:lang w:val="en-US"/>
        </w:rPr>
      </w:pPr>
      <w:r w:rsidRPr="005F34BC">
        <w:rPr>
          <w:rFonts w:ascii="Arial" w:hAnsi="Arial" w:cs="Arial"/>
          <w:b/>
          <w:iCs/>
          <w:sz w:val="24"/>
          <w:lang w:val="en-US"/>
        </w:rPr>
        <w:t>Hình 1</w:t>
      </w:r>
      <w:r w:rsidR="00C81562">
        <w:rPr>
          <w:rFonts w:ascii="Arial" w:hAnsi="Arial" w:cs="Arial"/>
          <w:b/>
          <w:iCs/>
          <w:sz w:val="24"/>
          <w:lang w:val="en-US"/>
        </w:rPr>
        <w:t>4</w:t>
      </w:r>
      <w:r w:rsidRPr="005F34BC">
        <w:rPr>
          <w:rFonts w:ascii="Arial" w:hAnsi="Arial" w:cs="Arial"/>
          <w:b/>
          <w:iCs/>
          <w:sz w:val="24"/>
          <w:lang w:val="en-US"/>
        </w:rPr>
        <w:t>. Thị trường xuất, nhập khẩu hàng hoá chủ yếu 2 tháng đầu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5F34BC" w:rsidRPr="005F34BC" w14:paraId="68E12E1D" w14:textId="77777777" w:rsidTr="00D079BF">
        <w:trPr>
          <w:trHeight w:val="3151"/>
          <w:jc w:val="center"/>
        </w:trPr>
        <w:tc>
          <w:tcPr>
            <w:tcW w:w="4675" w:type="dxa"/>
            <w:gridSpan w:val="3"/>
          </w:tcPr>
          <w:p w14:paraId="05A2D318" w14:textId="77777777" w:rsidR="005F34BC" w:rsidRPr="005F34BC" w:rsidRDefault="005F34BC" w:rsidP="00D079BF">
            <w:pPr>
              <w:tabs>
                <w:tab w:val="num" w:pos="0"/>
                <w:tab w:val="left" w:pos="9475"/>
              </w:tabs>
              <w:spacing w:before="40" w:after="40" w:line="264" w:lineRule="auto"/>
              <w:ind w:right="-118"/>
              <w:jc w:val="both"/>
              <w:rPr>
                <w:rFonts w:cs="Times New Roman"/>
                <w:iCs/>
                <w:lang w:val="en-US"/>
              </w:rPr>
            </w:pPr>
            <w:r w:rsidRPr="005F34BC">
              <w:rPr>
                <w:noProof/>
                <w:lang w:val="en-US"/>
              </w:rPr>
              <w:drawing>
                <wp:inline distT="0" distB="0" distL="0" distR="0" wp14:anchorId="7DC36867" wp14:editId="4C893B71">
                  <wp:extent cx="2901950" cy="2333625"/>
                  <wp:effectExtent l="0" t="0" r="12700" b="9525"/>
                  <wp:docPr id="1067526793"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18" w:type="dxa"/>
            <w:gridSpan w:val="3"/>
            <w:shd w:val="clear" w:color="auto" w:fill="auto"/>
          </w:tcPr>
          <w:p w14:paraId="5288E5B5" w14:textId="77777777" w:rsidR="005F34BC" w:rsidRPr="005F34BC" w:rsidRDefault="005F34BC" w:rsidP="00D079BF">
            <w:pPr>
              <w:tabs>
                <w:tab w:val="num" w:pos="0"/>
                <w:tab w:val="left" w:pos="9475"/>
              </w:tabs>
              <w:spacing w:before="40" w:after="40" w:line="264" w:lineRule="auto"/>
              <w:ind w:right="6" w:hanging="107"/>
              <w:jc w:val="both"/>
              <w:rPr>
                <w:rFonts w:cs="Times New Roman"/>
                <w:iCs/>
                <w:lang w:val="en-US"/>
              </w:rPr>
            </w:pPr>
            <w:r w:rsidRPr="005F34BC">
              <w:rPr>
                <w:noProof/>
                <w:lang w:val="en-US"/>
              </w:rPr>
              <w:drawing>
                <wp:inline distT="0" distB="0" distL="0" distR="0" wp14:anchorId="47BA39FD" wp14:editId="4E4F73E1">
                  <wp:extent cx="2922270" cy="2333625"/>
                  <wp:effectExtent l="0" t="0" r="11430" b="9525"/>
                  <wp:docPr id="462841628"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5F34BC" w:rsidRPr="009B2633" w14:paraId="3632F86D" w14:textId="77777777" w:rsidTr="00D079BF">
        <w:trPr>
          <w:gridAfter w:val="1"/>
          <w:wAfter w:w="532" w:type="dxa"/>
          <w:trHeight w:val="176"/>
          <w:jc w:val="center"/>
        </w:trPr>
        <w:tc>
          <w:tcPr>
            <w:tcW w:w="1791" w:type="dxa"/>
          </w:tcPr>
          <w:p w14:paraId="21B2F4D0" w14:textId="77777777" w:rsidR="005F34BC" w:rsidRPr="005F34BC" w:rsidRDefault="005F34BC" w:rsidP="00D079BF">
            <w:pPr>
              <w:spacing w:before="40" w:after="40" w:line="264" w:lineRule="auto"/>
              <w:jc w:val="both"/>
              <w:rPr>
                <w:rFonts w:cs="Times New Roman"/>
                <w:b/>
                <w:bCs/>
                <w:i/>
                <w:iCs/>
                <w:lang w:val="en-US"/>
              </w:rPr>
            </w:pPr>
          </w:p>
        </w:tc>
        <w:tc>
          <w:tcPr>
            <w:tcW w:w="619" w:type="dxa"/>
            <w:shd w:val="clear" w:color="auto" w:fill="auto"/>
          </w:tcPr>
          <w:p w14:paraId="6966A714" w14:textId="77777777" w:rsidR="005F34BC" w:rsidRPr="005F34BC" w:rsidRDefault="005F34BC" w:rsidP="00D079BF">
            <w:pPr>
              <w:spacing w:before="40" w:after="40" w:line="264" w:lineRule="auto"/>
              <w:jc w:val="both"/>
              <w:rPr>
                <w:rFonts w:cs="Times New Roman"/>
                <w:b/>
                <w:bCs/>
                <w:i/>
                <w:iCs/>
                <w:lang w:val="en-US"/>
              </w:rPr>
            </w:pPr>
          </w:p>
        </w:tc>
        <w:tc>
          <w:tcPr>
            <w:tcW w:w="2265" w:type="dxa"/>
          </w:tcPr>
          <w:p w14:paraId="22248A1A" w14:textId="77777777" w:rsidR="005F34BC" w:rsidRPr="005F34BC" w:rsidRDefault="005F34BC" w:rsidP="00D079BF">
            <w:pPr>
              <w:spacing w:before="40" w:after="40" w:line="264" w:lineRule="auto"/>
              <w:jc w:val="both"/>
              <w:rPr>
                <w:rFonts w:cs="Times New Roman"/>
                <w:b/>
                <w:bCs/>
                <w:i/>
                <w:iCs/>
                <w:lang w:val="en-US"/>
              </w:rPr>
            </w:pPr>
            <w:r w:rsidRPr="005F34BC">
              <w:rPr>
                <w:noProof/>
                <w:lang w:val="en-US"/>
              </w:rPr>
              <mc:AlternateContent>
                <mc:Choice Requires="wps">
                  <w:drawing>
                    <wp:anchor distT="0" distB="0" distL="114300" distR="114300" simplePos="0" relativeHeight="251665920" behindDoc="0" locked="0" layoutInCell="1" allowOverlap="1" wp14:anchorId="591D57D4" wp14:editId="55BF38BB">
                      <wp:simplePos x="0" y="0"/>
                      <wp:positionH relativeFrom="column">
                        <wp:posOffset>98425</wp:posOffset>
                      </wp:positionH>
                      <wp:positionV relativeFrom="paragraph">
                        <wp:posOffset>36195</wp:posOffset>
                      </wp:positionV>
                      <wp:extent cx="125730" cy="90170"/>
                      <wp:effectExtent l="0" t="0" r="7620" b="5080"/>
                      <wp:wrapNone/>
                      <wp:docPr id="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13323" id="Rectangle 28" o:spid="_x0000_s1026" style="position:absolute;margin-left:7.75pt;margin-top:2.85pt;width:9.9pt;height:7.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" fillcolor="#c00000" stroked="f" strokeweight="1pt"/>
                  </w:pict>
                </mc:Fallback>
              </mc:AlternateContent>
            </w:r>
            <w:r w:rsidRPr="005F34BC">
              <w:rPr>
                <w:rFonts w:ascii="Arial" w:hAnsi="Arial" w:cs="Arial"/>
                <w:iCs/>
                <w:sz w:val="16"/>
                <w:szCs w:val="16"/>
                <w:lang w:val="en-US"/>
              </w:rPr>
              <w:t xml:space="preserve">           Xuất khẩu </w:t>
            </w:r>
            <w:r w:rsidRPr="005F34BC">
              <w:rPr>
                <w:rFonts w:ascii="Arial" w:hAnsi="Arial" w:cs="Arial"/>
                <w:iCs/>
                <w:noProof/>
                <w:sz w:val="16"/>
                <w:szCs w:val="16"/>
                <w:lang w:val="en-US" w:eastAsia="en-GB"/>
              </w:rPr>
              <w:t>h</w:t>
            </w:r>
            <w:r w:rsidRPr="005F34BC">
              <w:rPr>
                <w:rFonts w:ascii="Arial" w:hAnsi="Arial" w:cs="Arial"/>
                <w:iCs/>
                <w:sz w:val="16"/>
                <w:szCs w:val="16"/>
                <w:lang w:val="en-US"/>
              </w:rPr>
              <w:t>àng hóa</w:t>
            </w:r>
          </w:p>
        </w:tc>
        <w:tc>
          <w:tcPr>
            <w:tcW w:w="2838" w:type="dxa"/>
          </w:tcPr>
          <w:p w14:paraId="6ED2C722" w14:textId="77777777" w:rsidR="005F34BC" w:rsidRPr="009B2633" w:rsidRDefault="005F34BC" w:rsidP="00D079BF">
            <w:pPr>
              <w:spacing w:before="40" w:after="40" w:line="264" w:lineRule="auto"/>
              <w:jc w:val="both"/>
              <w:rPr>
                <w:rFonts w:cs="Times New Roman"/>
                <w:b/>
                <w:bCs/>
                <w:i/>
                <w:iCs/>
                <w:lang w:val="en-US"/>
              </w:rPr>
            </w:pPr>
            <w:r w:rsidRPr="005F34BC">
              <w:rPr>
                <w:noProof/>
                <w:lang w:val="en-US"/>
              </w:rPr>
              <mc:AlternateContent>
                <mc:Choice Requires="wps">
                  <w:drawing>
                    <wp:anchor distT="0" distB="0" distL="114300" distR="114300" simplePos="0" relativeHeight="251666944" behindDoc="0" locked="0" layoutInCell="1" allowOverlap="1" wp14:anchorId="23F03A2C" wp14:editId="51F47476">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94131" id="Rectangle 29" o:spid="_x0000_s1026" style="position:absolute;margin-left:1.9pt;margin-top:2.85pt;width:9.9pt;height: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5F34BC">
              <w:rPr>
                <w:rFonts w:ascii="Arial" w:hAnsi="Arial" w:cs="Arial"/>
                <w:iCs/>
                <w:sz w:val="16"/>
                <w:szCs w:val="16"/>
                <w:lang w:val="en-US"/>
              </w:rPr>
              <w:t xml:space="preserve">          Nhập khẩu </w:t>
            </w:r>
            <w:r w:rsidRPr="005F34BC">
              <w:rPr>
                <w:rFonts w:ascii="Arial" w:hAnsi="Arial" w:cs="Arial"/>
                <w:iCs/>
                <w:noProof/>
                <w:sz w:val="16"/>
                <w:szCs w:val="16"/>
                <w:lang w:val="en-US" w:eastAsia="en-GB"/>
              </w:rPr>
              <w:t>h</w:t>
            </w:r>
            <w:r w:rsidRPr="005F34BC">
              <w:rPr>
                <w:rFonts w:ascii="Arial" w:hAnsi="Arial" w:cs="Arial"/>
                <w:iCs/>
                <w:sz w:val="16"/>
                <w:szCs w:val="16"/>
                <w:lang w:val="en-US"/>
              </w:rPr>
              <w:t>àng hóa</w:t>
            </w:r>
          </w:p>
        </w:tc>
        <w:tc>
          <w:tcPr>
            <w:tcW w:w="1448" w:type="dxa"/>
          </w:tcPr>
          <w:p w14:paraId="272E4C54" w14:textId="77777777" w:rsidR="005F34BC" w:rsidRPr="009B2633" w:rsidRDefault="005F34BC" w:rsidP="00D079BF">
            <w:pPr>
              <w:spacing w:before="40" w:after="40" w:line="264" w:lineRule="auto"/>
              <w:jc w:val="both"/>
              <w:rPr>
                <w:rFonts w:cs="Times New Roman"/>
                <w:b/>
                <w:bCs/>
                <w:i/>
                <w:iCs/>
                <w:lang w:val="en-US"/>
              </w:rPr>
            </w:pPr>
          </w:p>
        </w:tc>
      </w:tr>
    </w:tbl>
    <w:p w14:paraId="0CFDF917" w14:textId="158A91D0" w:rsidR="00DB4D6C" w:rsidRPr="009B2633" w:rsidRDefault="00DB4D6C" w:rsidP="00397485">
      <w:pPr>
        <w:spacing w:after="120" w:line="252" w:lineRule="auto"/>
        <w:ind w:firstLine="720"/>
        <w:jc w:val="both"/>
        <w:rPr>
          <w:iCs/>
          <w:lang w:val="en-US"/>
        </w:rPr>
      </w:pPr>
      <w:r w:rsidRPr="009B2633">
        <w:rPr>
          <w:iCs/>
          <w:spacing w:val="8"/>
          <w:lang w:val="en-US"/>
        </w:rPr>
        <w:t>Theo</w:t>
      </w:r>
      <w:r w:rsidRPr="009B2633">
        <w:rPr>
          <w:iCs/>
          <w:spacing w:val="8"/>
        </w:rPr>
        <w:t xml:space="preserve"> số liệu sơ bộ, </w:t>
      </w:r>
      <w:r w:rsidRPr="009B2633">
        <w:rPr>
          <w:iCs/>
          <w:spacing w:val="8"/>
          <w:lang w:val="en-US"/>
        </w:rPr>
        <w:t xml:space="preserve">cán cân thương mại hàng hóa tháng Một xuất siêu </w:t>
      </w:r>
      <w:r>
        <w:rPr>
          <w:iCs/>
          <w:spacing w:val="8"/>
          <w:lang w:val="en-US"/>
        </w:rPr>
        <w:t>3</w:t>
      </w:r>
      <w:r w:rsidRPr="009B2633">
        <w:rPr>
          <w:iCs/>
          <w:spacing w:val="8"/>
          <w:lang w:val="en-US"/>
        </w:rPr>
        <w:t>,</w:t>
      </w:r>
      <w:r>
        <w:rPr>
          <w:iCs/>
          <w:spacing w:val="8"/>
          <w:lang w:val="en-US"/>
        </w:rPr>
        <w:t>02</w:t>
      </w:r>
      <w:r w:rsidRPr="009B2633">
        <w:rPr>
          <w:iCs/>
          <w:spacing w:val="8"/>
          <w:lang w:val="en-US"/>
        </w:rPr>
        <w:t xml:space="preserve"> tỷ USD</w:t>
      </w:r>
      <w:r w:rsidRPr="009B2633">
        <w:rPr>
          <w:iCs/>
          <w:vertAlign w:val="superscript"/>
          <w:lang w:val="en-US"/>
        </w:rPr>
        <w:footnoteReference w:id="25"/>
      </w:r>
      <w:r w:rsidRPr="009B2633">
        <w:rPr>
          <w:iCs/>
          <w:lang w:val="en-US"/>
        </w:rPr>
        <w:t xml:space="preserve">; </w:t>
      </w:r>
      <w:bookmarkStart w:id="3" w:name="_Hlk181359994"/>
      <w:r w:rsidRPr="009B2633">
        <w:rPr>
          <w:iCs/>
          <w:lang w:val="en-US"/>
        </w:rPr>
        <w:t xml:space="preserve">tháng Hai </w:t>
      </w:r>
      <w:r>
        <w:rPr>
          <w:iCs/>
          <w:lang w:val="en-US"/>
        </w:rPr>
        <w:t>nhập</w:t>
      </w:r>
      <w:r w:rsidRPr="009B2633">
        <w:rPr>
          <w:iCs/>
          <w:lang w:val="en-US"/>
        </w:rPr>
        <w:t xml:space="preserve"> siêu </w:t>
      </w:r>
      <w:r>
        <w:rPr>
          <w:iCs/>
          <w:lang w:val="en-US"/>
        </w:rPr>
        <w:t>1</w:t>
      </w:r>
      <w:r w:rsidRPr="009B2633">
        <w:rPr>
          <w:iCs/>
          <w:lang w:val="en-US"/>
        </w:rPr>
        <w:t>,5</w:t>
      </w:r>
      <w:r>
        <w:rPr>
          <w:iCs/>
          <w:lang w:val="en-US"/>
        </w:rPr>
        <w:t>5</w:t>
      </w:r>
      <w:r w:rsidRPr="009B2633">
        <w:rPr>
          <w:iCs/>
          <w:lang w:val="en-US"/>
        </w:rPr>
        <w:t xml:space="preserve"> tỷ USD. Tính chung </w:t>
      </w:r>
      <w:r>
        <w:rPr>
          <w:iCs/>
          <w:lang w:val="en-US"/>
        </w:rPr>
        <w:t>hai tháng đầu năm 2025</w:t>
      </w:r>
      <w:r w:rsidRPr="009B2633">
        <w:rPr>
          <w:iCs/>
          <w:lang w:val="en-US"/>
        </w:rPr>
        <w:t xml:space="preserve">, cán cân thương mại hàng hóa xuất siêu </w:t>
      </w:r>
      <w:r>
        <w:rPr>
          <w:iCs/>
          <w:lang w:val="en-US"/>
        </w:rPr>
        <w:t>1</w:t>
      </w:r>
      <w:r w:rsidRPr="009B2633">
        <w:rPr>
          <w:iCs/>
          <w:lang w:val="en-US"/>
        </w:rPr>
        <w:t>,</w:t>
      </w:r>
      <w:r>
        <w:rPr>
          <w:iCs/>
          <w:lang w:val="en-US"/>
        </w:rPr>
        <w:t>4</w:t>
      </w:r>
      <w:r w:rsidRPr="009B2633">
        <w:rPr>
          <w:iCs/>
          <w:lang w:val="en-US"/>
        </w:rPr>
        <w:t>7 tỷ USD (</w:t>
      </w:r>
      <w:r>
        <w:rPr>
          <w:iCs/>
          <w:lang w:val="en-US"/>
        </w:rPr>
        <w:t xml:space="preserve">cùng kỳ </w:t>
      </w:r>
      <w:r w:rsidRPr="009B2633">
        <w:rPr>
          <w:iCs/>
          <w:lang w:val="en-US"/>
        </w:rPr>
        <w:t xml:space="preserve">năm trước xuất siêu </w:t>
      </w:r>
      <w:r>
        <w:rPr>
          <w:iCs/>
          <w:lang w:val="en-US"/>
        </w:rPr>
        <w:t>5</w:t>
      </w:r>
      <w:r w:rsidRPr="009B2633">
        <w:rPr>
          <w:iCs/>
          <w:lang w:val="en-US"/>
        </w:rPr>
        <w:t>,</w:t>
      </w:r>
      <w:r>
        <w:rPr>
          <w:iCs/>
          <w:lang w:val="en-US"/>
        </w:rPr>
        <w:t>13</w:t>
      </w:r>
      <w:r w:rsidRPr="009B2633">
        <w:rPr>
          <w:iCs/>
          <w:lang w:val="en-US"/>
        </w:rPr>
        <w:t xml:space="preserve"> tỷ USD). Trong đó, khu vực kinh tế trong nước nhập siêu </w:t>
      </w:r>
      <w:r>
        <w:rPr>
          <w:iCs/>
          <w:lang w:val="en-US"/>
        </w:rPr>
        <w:t>4</w:t>
      </w:r>
      <w:r w:rsidRPr="009B2633">
        <w:rPr>
          <w:iCs/>
          <w:lang w:val="en-US"/>
        </w:rPr>
        <w:t>,</w:t>
      </w:r>
      <w:r>
        <w:rPr>
          <w:iCs/>
          <w:lang w:val="en-US"/>
        </w:rPr>
        <w:t>87</w:t>
      </w:r>
      <w:r w:rsidRPr="009B2633">
        <w:rPr>
          <w:iCs/>
          <w:lang w:val="en-US"/>
        </w:rPr>
        <w:t xml:space="preserve"> tỷ USD; khu vực có vốn đầu tư nước ngoài (kể cả dầu thô) xuất siêu </w:t>
      </w:r>
      <w:r>
        <w:rPr>
          <w:iCs/>
          <w:lang w:val="en-US"/>
        </w:rPr>
        <w:t>6</w:t>
      </w:r>
      <w:r w:rsidRPr="009B2633">
        <w:rPr>
          <w:iCs/>
          <w:lang w:val="en-US"/>
        </w:rPr>
        <w:t>,</w:t>
      </w:r>
      <w:r>
        <w:rPr>
          <w:iCs/>
          <w:lang w:val="en-US"/>
        </w:rPr>
        <w:t>34</w:t>
      </w:r>
      <w:r w:rsidRPr="009B2633">
        <w:rPr>
          <w:iCs/>
          <w:lang w:val="en-US"/>
        </w:rPr>
        <w:t xml:space="preserve"> tỷ USD.</w:t>
      </w:r>
      <w:bookmarkEnd w:id="3"/>
    </w:p>
    <w:p w14:paraId="13BC4497" w14:textId="65F907E8" w:rsidR="009E7DEF" w:rsidRPr="00C30E94" w:rsidRDefault="009E7DEF" w:rsidP="008707C3">
      <w:pPr>
        <w:spacing w:after="120"/>
        <w:ind w:firstLine="720"/>
        <w:jc w:val="both"/>
        <w:rPr>
          <w:b/>
          <w:i/>
          <w:lang w:val="en-IN"/>
        </w:rPr>
      </w:pPr>
      <w:r w:rsidRPr="00C30E94">
        <w:rPr>
          <w:b/>
          <w:i/>
        </w:rPr>
        <w:lastRenderedPageBreak/>
        <w:t>c) Chỉ số giá tiêu dùng, chỉ số giá vàng và chỉ số giá đô la M</w:t>
      </w:r>
      <w:r w:rsidRPr="00C30E94">
        <w:rPr>
          <w:b/>
          <w:i/>
          <w:lang w:val="en-IN"/>
        </w:rPr>
        <w:t>ỹ</w:t>
      </w:r>
    </w:p>
    <w:p w14:paraId="28B81E7E" w14:textId="77777777" w:rsidR="00C96606" w:rsidRPr="00C30E94" w:rsidRDefault="00C96606" w:rsidP="008707C3">
      <w:pPr>
        <w:pStyle w:val="NormalWeb"/>
        <w:spacing w:before="0" w:beforeAutospacing="0" w:after="120" w:afterAutospacing="0"/>
        <w:ind w:firstLine="720"/>
        <w:jc w:val="both"/>
        <w:rPr>
          <w:i/>
          <w:spacing w:val="-2"/>
          <w:sz w:val="28"/>
          <w:szCs w:val="28"/>
        </w:rPr>
      </w:pPr>
      <w:r w:rsidRPr="00C30E94">
        <w:rPr>
          <w:i/>
          <w:spacing w:val="4"/>
          <w:sz w:val="28"/>
          <w:szCs w:val="28"/>
        </w:rPr>
        <w:t xml:space="preserve">Giá thịt lợn tăng do thiếu hụt nguồn cung, giá ăn uống ngoài gia đình, giá nhà ở thuê và giá dịch vụ giao thông tăng theo nhu cầu tiêu dùng là những nguyên nhân chính làm chỉ số </w:t>
      </w:r>
      <w:r w:rsidRPr="00C30E94">
        <w:rPr>
          <w:i/>
          <w:spacing w:val="-4"/>
          <w:sz w:val="28"/>
          <w:szCs w:val="28"/>
        </w:rPr>
        <w:t xml:space="preserve">giá tiêu dùng (CPI) tháng 02/2025 </w:t>
      </w:r>
      <w:r w:rsidRPr="00C30E94">
        <w:rPr>
          <w:i/>
          <w:spacing w:val="-4"/>
          <w:sz w:val="28"/>
          <w:szCs w:val="28"/>
          <w:lang w:val="en-GB"/>
        </w:rPr>
        <w:t>tăng</w:t>
      </w:r>
      <w:r w:rsidRPr="00C30E94">
        <w:rPr>
          <w:i/>
          <w:spacing w:val="-4"/>
          <w:sz w:val="28"/>
          <w:szCs w:val="28"/>
        </w:rPr>
        <w:t xml:space="preserve"> 0,34% so với tháng trước;</w:t>
      </w:r>
      <w:r w:rsidRPr="00C30E94">
        <w:rPr>
          <w:i/>
          <w:spacing w:val="-4"/>
          <w:sz w:val="28"/>
          <w:szCs w:val="28"/>
          <w:lang w:val="nl-NL"/>
        </w:rPr>
        <w:t xml:space="preserve"> </w:t>
      </w:r>
      <w:r w:rsidRPr="00C30E94">
        <w:rPr>
          <w:i/>
          <w:spacing w:val="-2"/>
          <w:sz w:val="28"/>
          <w:szCs w:val="28"/>
        </w:rPr>
        <w:t>tăng 1,32% so với tháng 12/2024 và tăng 2,91% so với cùng kỳ năm 2024.</w:t>
      </w:r>
    </w:p>
    <w:p w14:paraId="3A769759" w14:textId="5CCE57F6" w:rsidR="00C96606" w:rsidRPr="00C30E94" w:rsidRDefault="00C96606" w:rsidP="008707C3">
      <w:pPr>
        <w:spacing w:after="120"/>
        <w:ind w:firstLine="720"/>
        <w:jc w:val="both"/>
        <w:rPr>
          <w:i/>
        </w:rPr>
      </w:pPr>
      <w:r w:rsidRPr="00C30E94">
        <w:rPr>
          <w:i/>
        </w:rPr>
        <w:t xml:space="preserve">Bình quân </w:t>
      </w:r>
      <w:r w:rsidRPr="00C30E94">
        <w:rPr>
          <w:i/>
          <w:lang w:val="en-US"/>
        </w:rPr>
        <w:t>hai</w:t>
      </w:r>
      <w:r w:rsidRPr="00C30E94">
        <w:rPr>
          <w:i/>
        </w:rPr>
        <w:t xml:space="preserve"> tháng đầu năm 2025, CPI tăng 3,27% so với cùng kỳ năm trước; lạm phát cơ bản tăng 2,97%.</w:t>
      </w:r>
    </w:p>
    <w:p w14:paraId="73BEAF1F" w14:textId="58DE041D" w:rsidR="00C96606" w:rsidRPr="00C30E94" w:rsidRDefault="00C96606" w:rsidP="00C96606">
      <w:pPr>
        <w:jc w:val="center"/>
        <w:rPr>
          <w:rFonts w:ascii="Arial" w:eastAsia="Calibri" w:hAnsi="Arial" w:cs="Arial"/>
          <w:b/>
          <w:sz w:val="24"/>
          <w:szCs w:val="24"/>
          <w:lang w:val="nl-NL"/>
        </w:rPr>
      </w:pPr>
      <w:r w:rsidRPr="00C30E94">
        <w:rPr>
          <w:rFonts w:ascii="Arial" w:eastAsia="Calibri" w:hAnsi="Arial" w:cs="Arial"/>
          <w:b/>
          <w:sz w:val="24"/>
          <w:szCs w:val="24"/>
          <w:lang w:val="nl-NL"/>
        </w:rPr>
        <w:t>Hình 1</w:t>
      </w:r>
      <w:r w:rsidR="00C81562">
        <w:rPr>
          <w:rFonts w:ascii="Arial" w:eastAsia="Calibri" w:hAnsi="Arial" w:cs="Arial"/>
          <w:b/>
          <w:sz w:val="24"/>
          <w:szCs w:val="24"/>
          <w:lang w:val="nl-NL"/>
        </w:rPr>
        <w:t>5</w:t>
      </w:r>
      <w:r w:rsidRPr="00C30E94">
        <w:rPr>
          <w:rFonts w:ascii="Arial" w:eastAsia="Calibri" w:hAnsi="Arial" w:cs="Arial"/>
          <w:b/>
          <w:sz w:val="24"/>
          <w:szCs w:val="24"/>
          <w:lang w:val="nl-NL"/>
        </w:rPr>
        <w:t>. Tốc độ tăng/giảm CPI tháng 02/2025 so với tháng trước</w:t>
      </w:r>
    </w:p>
    <w:p w14:paraId="44412965" w14:textId="77777777" w:rsidR="00C96606" w:rsidRPr="00C30E94" w:rsidRDefault="00C96606" w:rsidP="00C96606">
      <w:pPr>
        <w:tabs>
          <w:tab w:val="left" w:pos="720"/>
        </w:tabs>
        <w:ind w:right="142"/>
        <w:jc w:val="center"/>
        <w:rPr>
          <w:noProof/>
        </w:rPr>
      </w:pPr>
      <w:r w:rsidRPr="00C30E94">
        <w:rPr>
          <w:noProof/>
          <w:lang w:val="en-US"/>
        </w:rPr>
        <w:drawing>
          <wp:inline distT="0" distB="0" distL="0" distR="0" wp14:anchorId="3C66D96A" wp14:editId="6AB934C1">
            <wp:extent cx="5760720" cy="3110164"/>
            <wp:effectExtent l="0" t="0" r="11430" b="14605"/>
            <wp:docPr id="1263547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77D52D" w14:textId="77777777" w:rsidR="00C96606" w:rsidRPr="00C30E94" w:rsidRDefault="00C96606" w:rsidP="008707C3">
      <w:pPr>
        <w:spacing w:after="120" w:line="257" w:lineRule="auto"/>
        <w:ind w:firstLine="720"/>
        <w:jc w:val="both"/>
        <w:rPr>
          <w:rFonts w:eastAsia="Calibri"/>
          <w:lang w:val="nl-NL"/>
        </w:rPr>
      </w:pPr>
      <w:r w:rsidRPr="00C30E94">
        <w:rPr>
          <w:rFonts w:eastAsia="Calibri"/>
          <w:lang w:val="nl-NL"/>
        </w:rPr>
        <w:t>Trong mức tăng 0,34% của CPI tháng 02/2025 so với tháng trước có 09 nhóm hàng hóa và dịch vụ có chỉ số giá tăng, 02 nhóm hàng có chỉ số giá giảm.</w:t>
      </w:r>
    </w:p>
    <w:p w14:paraId="7B3A11E9" w14:textId="77777777" w:rsidR="00C96606" w:rsidRPr="00C30E94" w:rsidRDefault="00C96606" w:rsidP="008707C3">
      <w:pPr>
        <w:tabs>
          <w:tab w:val="left" w:pos="993"/>
        </w:tabs>
        <w:spacing w:after="120" w:line="257" w:lineRule="auto"/>
        <w:ind w:firstLine="720"/>
        <w:jc w:val="both"/>
        <w:rPr>
          <w:rFonts w:eastAsia="Calibri"/>
          <w:lang w:val="nl-NL"/>
        </w:rPr>
      </w:pPr>
      <w:r w:rsidRPr="00C30E94">
        <w:rPr>
          <w:rFonts w:eastAsia="Calibri"/>
          <w:lang w:val="es-NI"/>
        </w:rPr>
        <w:t>(1) Chín nhóm hàng hóa và dịch vụ có chỉ số giá tăng gồm:</w:t>
      </w:r>
    </w:p>
    <w:p w14:paraId="7DCE0D6E" w14:textId="77777777" w:rsidR="00C96606" w:rsidRPr="00C30E94" w:rsidRDefault="00C96606" w:rsidP="008707C3">
      <w:pPr>
        <w:pStyle w:val="NormalWeb"/>
        <w:spacing w:before="0" w:beforeAutospacing="0" w:after="120" w:afterAutospacing="0" w:line="257" w:lineRule="auto"/>
        <w:ind w:firstLine="720"/>
        <w:jc w:val="both"/>
        <w:rPr>
          <w:sz w:val="28"/>
          <w:szCs w:val="28"/>
          <w:lang w:val="nl-NL"/>
        </w:rPr>
      </w:pPr>
      <w:r w:rsidRPr="00C30E94">
        <w:rPr>
          <w:i/>
          <w:sz w:val="28"/>
          <w:szCs w:val="28"/>
          <w:lang w:val="nl-NL"/>
        </w:rPr>
        <w:t>-</w:t>
      </w:r>
      <w:r w:rsidRPr="00C30E94">
        <w:rPr>
          <w:sz w:val="28"/>
          <w:szCs w:val="28"/>
          <w:lang w:val="nl-NL"/>
        </w:rPr>
        <w:t xml:space="preserve"> </w:t>
      </w:r>
      <w:r w:rsidRPr="00C30E94">
        <w:rPr>
          <w:i/>
          <w:sz w:val="28"/>
          <w:szCs w:val="28"/>
        </w:rPr>
        <w:t xml:space="preserve">Nhóm </w:t>
      </w:r>
      <w:r w:rsidRPr="00C30E94">
        <w:rPr>
          <w:i/>
          <w:sz w:val="28"/>
          <w:szCs w:val="28"/>
          <w:lang w:val="es-NI"/>
        </w:rPr>
        <w:t xml:space="preserve">giao thông </w:t>
      </w:r>
      <w:r w:rsidRPr="00C30E94">
        <w:rPr>
          <w:sz w:val="28"/>
          <w:szCs w:val="28"/>
          <w:lang w:val="es-NI"/>
        </w:rPr>
        <w:t xml:space="preserve">tăng cao nhất với 0,63% </w:t>
      </w:r>
      <w:r w:rsidRPr="00C30E94">
        <w:rPr>
          <w:sz w:val="28"/>
          <w:szCs w:val="28"/>
          <w:lang w:val="nl-NL"/>
        </w:rPr>
        <w:t xml:space="preserve">(làm CPI chung tăng 0,06 điểm phần trăm), trong đó: Nhu cầu đi lại của người dân tăng vào dịp đầu năm mới làm cho giá vận tải hành khách bằng đường sắt tăng 61,99%; giá vận tải hành khách bằng đường hàng không tăng 25%; vận tải hành khách bằng tắc xi tăng 0,74%; vận tải hành khách đường bộ tăng 0,26% và vận tải hành khách bằng đường thủy tăng 0,08%. Chỉ số giá xăng tăng 0,61% do ảnh hưởng của các đợt điều chỉnh giá xăng trong nước. </w:t>
      </w:r>
      <w:r w:rsidRPr="00C30E94">
        <w:rPr>
          <w:sz w:val="28"/>
          <w:szCs w:val="28"/>
        </w:rPr>
        <w:t>Giá phụ tùng ô tô tăng 0,23%; lốp, săm xe máy tăng 0,24%; phụ tùng khác của xe máy tăng 0,17% do nhu cầu mua sắm và sửa chữa phương tiện tăng.</w:t>
      </w:r>
      <w:r w:rsidRPr="00C30E94">
        <w:rPr>
          <w:sz w:val="28"/>
          <w:szCs w:val="28"/>
          <w:lang w:val="nl-NL"/>
        </w:rPr>
        <w:t xml:space="preserve"> </w:t>
      </w:r>
      <w:r w:rsidRPr="00C30E94">
        <w:rPr>
          <w:spacing w:val="-2"/>
          <w:sz w:val="28"/>
          <w:szCs w:val="28"/>
          <w:lang w:val="nl-NL"/>
        </w:rPr>
        <w:t>Dịch vụ thuê ô tô, xe máy tự lái tăng 0,49%; học phí lái xe tăng 0,41%; dịch vụ bảo dưỡng phương tiện đi lại tăng 0,32%; dịch vụ rửa xe, bơm xe tăng 0,07%.</w:t>
      </w:r>
      <w:r w:rsidRPr="00C30E94">
        <w:rPr>
          <w:sz w:val="28"/>
          <w:szCs w:val="28"/>
          <w:lang w:val="nl-NL"/>
        </w:rPr>
        <w:t xml:space="preserve"> </w:t>
      </w:r>
      <w:r w:rsidRPr="00C30E94">
        <w:rPr>
          <w:sz w:val="28"/>
          <w:szCs w:val="28"/>
        </w:rPr>
        <w:t xml:space="preserve">Ở chiều ngược lại, giá </w:t>
      </w:r>
      <w:r w:rsidRPr="00C30E94">
        <w:rPr>
          <w:sz w:val="28"/>
          <w:szCs w:val="28"/>
          <w:lang w:val="nl-NL"/>
        </w:rPr>
        <w:t xml:space="preserve">xe </w:t>
      </w:r>
      <w:r w:rsidRPr="00C30E94">
        <w:rPr>
          <w:sz w:val="28"/>
          <w:szCs w:val="28"/>
        </w:rPr>
        <w:t xml:space="preserve">ô tô đã qua sử dụng giảm 0,08%; dịch vụ trông giữ xe giảm 0,2%; </w:t>
      </w:r>
      <w:r w:rsidRPr="00C30E94">
        <w:rPr>
          <w:sz w:val="28"/>
          <w:szCs w:val="28"/>
          <w:lang w:val="nl-NL"/>
        </w:rPr>
        <w:t>chỉ số giá dầu diezen giảm 1,7%.</w:t>
      </w:r>
    </w:p>
    <w:p w14:paraId="64E6237A" w14:textId="77777777" w:rsidR="00C96606" w:rsidRPr="00C30E94" w:rsidRDefault="00C96606" w:rsidP="008707C3">
      <w:pPr>
        <w:pStyle w:val="Normal10"/>
        <w:spacing w:before="0" w:beforeAutospacing="0" w:after="120" w:afterAutospacing="0" w:line="257" w:lineRule="auto"/>
        <w:ind w:firstLine="720"/>
        <w:jc w:val="both"/>
        <w:rPr>
          <w:rFonts w:ascii="Times New Roman" w:hAnsi="Times New Roman" w:cs="Times New Roman"/>
          <w:sz w:val="28"/>
          <w:szCs w:val="28"/>
        </w:rPr>
      </w:pPr>
      <w:r w:rsidRPr="00C30E94">
        <w:rPr>
          <w:rFonts w:ascii="Times New Roman" w:hAnsi="Times New Roman" w:cs="Times New Roman"/>
          <w:i/>
          <w:sz w:val="28"/>
          <w:szCs w:val="28"/>
          <w:lang w:val="nl-NL"/>
        </w:rPr>
        <w:t xml:space="preserve">- </w:t>
      </w:r>
      <w:r w:rsidRPr="00C30E94">
        <w:rPr>
          <w:rFonts w:ascii="Times New Roman" w:hAnsi="Times New Roman" w:cs="Times New Roman"/>
          <w:i/>
          <w:sz w:val="28"/>
          <w:szCs w:val="28"/>
        </w:rPr>
        <w:t>Nhóm nhà ở, điện nước, chất đốt và vật liệu xây dựng</w:t>
      </w:r>
      <w:r w:rsidRPr="00C30E94">
        <w:rPr>
          <w:rFonts w:ascii="Times New Roman" w:hAnsi="Times New Roman" w:cs="Times New Roman"/>
          <w:sz w:val="28"/>
          <w:szCs w:val="28"/>
        </w:rPr>
        <w:t xml:space="preserve"> tăng </w:t>
      </w:r>
      <w:r w:rsidRPr="00C30E94">
        <w:rPr>
          <w:rFonts w:ascii="Times New Roman" w:hAnsi="Times New Roman" w:cs="Times New Roman"/>
          <w:sz w:val="28"/>
          <w:szCs w:val="28"/>
          <w:lang w:val="en-GB"/>
        </w:rPr>
        <w:t>0,55</w:t>
      </w:r>
      <w:r w:rsidRPr="00C30E94">
        <w:rPr>
          <w:rFonts w:ascii="Times New Roman" w:hAnsi="Times New Roman" w:cs="Times New Roman"/>
          <w:sz w:val="28"/>
          <w:szCs w:val="28"/>
        </w:rPr>
        <w:t xml:space="preserve">% (tác động làm tăng CPI chung 0,1 điểm phần trăm), chủ yếu tăng giá ở một số mặt </w:t>
      </w:r>
      <w:r w:rsidRPr="00C30E94">
        <w:rPr>
          <w:rFonts w:ascii="Times New Roman" w:hAnsi="Times New Roman" w:cs="Times New Roman"/>
          <w:sz w:val="28"/>
          <w:szCs w:val="28"/>
        </w:rPr>
        <w:lastRenderedPageBreak/>
        <w:t xml:space="preserve">hàng sau: </w:t>
      </w:r>
      <w:r w:rsidRPr="00C30E94">
        <w:rPr>
          <w:rFonts w:ascii="Times New Roman" w:hAnsi="Times New Roman" w:cs="Times New Roman"/>
          <w:sz w:val="28"/>
          <w:szCs w:val="28"/>
          <w:lang w:val="nl-NL"/>
        </w:rPr>
        <w:t xml:space="preserve">Giá thuê nhà tăng 0,8% do sau Tết Nguyên đán lượng lớn người lao động các tỉnh trở lại thành phố tìm việc và sinh viên quay lại trường học dẫn đến nhu cầu thuê nhà tăng cao. Bên cạnh đó, giá bất động sản ở mức cao khiến nhiều chủ hộ tăng giá thuê để phù hợp với giá trị tài sản. </w:t>
      </w:r>
      <w:r w:rsidRPr="00C30E94">
        <w:rPr>
          <w:rFonts w:ascii="Times New Roman" w:hAnsi="Times New Roman" w:cs="Times New Roman"/>
          <w:spacing w:val="-4"/>
          <w:sz w:val="28"/>
          <w:szCs w:val="28"/>
          <w:lang w:val="nl-NL"/>
        </w:rPr>
        <w:t xml:space="preserve">Giá vật liệu bảo dưỡng nhà ở tăng 0,09% do giá xi măng, giá thép tăng theo chi phí nguyên vật liệu đầu vào như than, giá phôi thép, điện, chi phí nhân công tăng. </w:t>
      </w:r>
      <w:r w:rsidRPr="00C30E94">
        <w:rPr>
          <w:rFonts w:ascii="Times New Roman" w:hAnsi="Times New Roman" w:cs="Times New Roman"/>
          <w:spacing w:val="-2"/>
          <w:sz w:val="28"/>
          <w:szCs w:val="28"/>
          <w:lang w:val="nl-NL"/>
        </w:rPr>
        <w:t>Giá điện sinh hoạt tăng 0,38%; giá nước sinh hoạt tăng 0,26%</w:t>
      </w:r>
      <w:r w:rsidRPr="00C30E94">
        <w:rPr>
          <w:rStyle w:val="FootnoteReference"/>
          <w:rFonts w:ascii="Times New Roman" w:eastAsiaTheme="majorEastAsia" w:hAnsi="Times New Roman" w:cs="Times New Roman"/>
          <w:iCs/>
          <w:spacing w:val="-2"/>
          <w:sz w:val="28"/>
          <w:szCs w:val="28"/>
        </w:rPr>
        <w:footnoteReference w:id="26"/>
      </w:r>
      <w:r w:rsidRPr="00C30E94">
        <w:rPr>
          <w:rFonts w:ascii="Times New Roman" w:hAnsi="Times New Roman" w:cs="Times New Roman"/>
          <w:spacing w:val="-2"/>
          <w:sz w:val="28"/>
          <w:szCs w:val="28"/>
          <w:lang w:val="nl-NL"/>
        </w:rPr>
        <w:t xml:space="preserve"> do nhu cầu tiêu dùng tăng. </w:t>
      </w:r>
      <w:r w:rsidRPr="00C30E94">
        <w:rPr>
          <w:rFonts w:ascii="Times New Roman" w:hAnsi="Times New Roman" w:cs="Times New Roman"/>
          <w:spacing w:val="-2"/>
          <w:sz w:val="28"/>
          <w:szCs w:val="28"/>
        </w:rPr>
        <w:t>Giá gas tăng 0,56</w:t>
      </w:r>
      <w:r w:rsidRPr="00C30E94">
        <w:rPr>
          <w:rFonts w:ascii="Times New Roman" w:hAnsi="Times New Roman" w:cs="Times New Roman"/>
          <w:spacing w:val="-2"/>
          <w:sz w:val="28"/>
          <w:szCs w:val="28"/>
          <w:lang w:val="en-GB"/>
        </w:rPr>
        <w:t>%</w:t>
      </w:r>
      <w:r w:rsidRPr="00C30E94">
        <w:rPr>
          <w:rFonts w:ascii="Times New Roman" w:hAnsi="Times New Roman" w:cs="Times New Roman"/>
          <w:spacing w:val="-2"/>
          <w:sz w:val="28"/>
          <w:szCs w:val="28"/>
        </w:rPr>
        <w:t xml:space="preserve"> do từ ngày 01/02/2025, giá gas trong nước điều chỉnh tăng 3.000 đồng/bình 12 kg sau khi giá gas thế giới tăng 10 USD/tấn ấn định ở mức 630 USD/tấn.</w:t>
      </w:r>
    </w:p>
    <w:p w14:paraId="6BEBFC86" w14:textId="77777777" w:rsidR="00C96606" w:rsidRPr="00C30E94" w:rsidRDefault="00C96606" w:rsidP="008707C3">
      <w:pPr>
        <w:pStyle w:val="NormalWeb"/>
        <w:spacing w:before="0" w:beforeAutospacing="0" w:after="120" w:afterAutospacing="0" w:line="257" w:lineRule="auto"/>
        <w:ind w:firstLine="720"/>
        <w:jc w:val="both"/>
        <w:rPr>
          <w:iCs/>
          <w:sz w:val="28"/>
          <w:szCs w:val="28"/>
        </w:rPr>
      </w:pPr>
      <w:r w:rsidRPr="00C30E94">
        <w:rPr>
          <w:i/>
          <w:sz w:val="28"/>
          <w:szCs w:val="28"/>
          <w:lang w:val="nl-NL"/>
        </w:rPr>
        <w:t>- Nhóm hàng ăn và dịch vụ ăn uống</w:t>
      </w:r>
      <w:r w:rsidRPr="00C30E94">
        <w:rPr>
          <w:sz w:val="28"/>
          <w:szCs w:val="28"/>
          <w:lang w:val="nl-NL"/>
        </w:rPr>
        <w:t xml:space="preserve"> tăng </w:t>
      </w:r>
      <w:r w:rsidRPr="00C30E94">
        <w:rPr>
          <w:iCs/>
          <w:sz w:val="28"/>
          <w:szCs w:val="28"/>
        </w:rPr>
        <w:t xml:space="preserve">0,43% </w:t>
      </w:r>
      <w:r w:rsidRPr="00C30E94">
        <w:rPr>
          <w:iCs/>
          <w:sz w:val="28"/>
          <w:szCs w:val="28"/>
          <w:lang w:val="nl-NL"/>
        </w:rPr>
        <w:t>(</w:t>
      </w:r>
      <w:r w:rsidRPr="00C30E94">
        <w:rPr>
          <w:iCs/>
          <w:sz w:val="28"/>
          <w:szCs w:val="28"/>
        </w:rPr>
        <w:t>tác động làm CPI chung tăng 0,14 điểm phần trăm</w:t>
      </w:r>
      <w:r w:rsidRPr="00C30E94">
        <w:rPr>
          <w:iCs/>
          <w:sz w:val="28"/>
          <w:szCs w:val="28"/>
          <w:lang w:val="nl-NL"/>
        </w:rPr>
        <w:t>)</w:t>
      </w:r>
      <w:r w:rsidRPr="00C30E94">
        <w:rPr>
          <w:sz w:val="28"/>
          <w:szCs w:val="28"/>
          <w:lang w:val="es-NI"/>
        </w:rPr>
        <w:t>, trong đó: T</w:t>
      </w:r>
      <w:r w:rsidRPr="00C30E94">
        <w:rPr>
          <w:sz w:val="28"/>
          <w:szCs w:val="28"/>
          <w:lang w:val="nl-NL"/>
        </w:rPr>
        <w:t xml:space="preserve">hực phẩm </w:t>
      </w:r>
      <w:r w:rsidRPr="00C30E94">
        <w:rPr>
          <w:iCs/>
          <w:sz w:val="28"/>
          <w:szCs w:val="28"/>
        </w:rPr>
        <w:t>tăng 0,41%</w:t>
      </w:r>
      <w:r w:rsidRPr="00C30E94">
        <w:rPr>
          <w:sz w:val="28"/>
          <w:szCs w:val="28"/>
          <w:vertAlign w:val="superscript"/>
          <w:lang w:val="nl-NL"/>
        </w:rPr>
        <w:footnoteReference w:id="27"/>
      </w:r>
      <w:r w:rsidRPr="00C30E94">
        <w:rPr>
          <w:iCs/>
          <w:sz w:val="28"/>
          <w:szCs w:val="28"/>
        </w:rPr>
        <w:t xml:space="preserve"> (tác động làm CPI chung tăng 0,09 điểm phần trăm</w:t>
      </w:r>
      <w:r w:rsidRPr="00C30E94">
        <w:rPr>
          <w:iCs/>
          <w:sz w:val="28"/>
          <w:szCs w:val="28"/>
          <w:lang w:val="nl-NL"/>
        </w:rPr>
        <w:t>)</w:t>
      </w:r>
      <w:r w:rsidRPr="00C30E94">
        <w:rPr>
          <w:sz w:val="28"/>
          <w:szCs w:val="28"/>
          <w:lang w:val="nl-NL"/>
        </w:rPr>
        <w:t xml:space="preserve">; ăn uống ngoài gia đình tăng </w:t>
      </w:r>
      <w:r w:rsidRPr="00C30E94">
        <w:rPr>
          <w:iCs/>
          <w:sz w:val="28"/>
          <w:szCs w:val="28"/>
        </w:rPr>
        <w:t>0,75</w:t>
      </w:r>
      <w:r w:rsidRPr="00C30E94">
        <w:rPr>
          <w:sz w:val="28"/>
          <w:szCs w:val="28"/>
          <w:lang w:val="nl-NL"/>
        </w:rPr>
        <w:t>%</w:t>
      </w:r>
      <w:r w:rsidRPr="00C30E94">
        <w:rPr>
          <w:sz w:val="28"/>
          <w:szCs w:val="28"/>
          <w:vertAlign w:val="superscript"/>
          <w:lang w:val="nl-NL"/>
        </w:rPr>
        <w:footnoteReference w:id="28"/>
      </w:r>
      <w:r w:rsidRPr="00C30E94">
        <w:rPr>
          <w:sz w:val="28"/>
          <w:szCs w:val="28"/>
          <w:lang w:val="nl-NL"/>
        </w:rPr>
        <w:t xml:space="preserve"> </w:t>
      </w:r>
      <w:r w:rsidRPr="00C30E94">
        <w:rPr>
          <w:iCs/>
          <w:sz w:val="28"/>
          <w:szCs w:val="28"/>
          <w:lang w:val="nl-NL"/>
        </w:rPr>
        <w:t>(</w:t>
      </w:r>
      <w:r w:rsidRPr="00C30E94">
        <w:rPr>
          <w:iCs/>
          <w:sz w:val="28"/>
          <w:szCs w:val="28"/>
        </w:rPr>
        <w:t>tác động làm CPI chung tăng 0,06 điểm phần trăm</w:t>
      </w:r>
      <w:r w:rsidRPr="00C30E94">
        <w:rPr>
          <w:iCs/>
          <w:sz w:val="28"/>
          <w:szCs w:val="28"/>
          <w:lang w:val="nl-NL"/>
        </w:rPr>
        <w:t>)</w:t>
      </w:r>
      <w:r w:rsidRPr="00C30E94">
        <w:rPr>
          <w:sz w:val="28"/>
          <w:szCs w:val="28"/>
          <w:lang w:val="nl-NL"/>
        </w:rPr>
        <w:t xml:space="preserve">; </w:t>
      </w:r>
      <w:r w:rsidRPr="00C30E94">
        <w:rPr>
          <w:iCs/>
          <w:sz w:val="28"/>
          <w:szCs w:val="28"/>
        </w:rPr>
        <w:t>riêng nhóm lương thực giảm 0,24%</w:t>
      </w:r>
      <w:r w:rsidRPr="00C30E94">
        <w:rPr>
          <w:rStyle w:val="FootnoteReference"/>
          <w:iCs/>
          <w:sz w:val="28"/>
          <w:szCs w:val="28"/>
        </w:rPr>
        <w:footnoteReference w:id="29"/>
      </w:r>
      <w:r w:rsidRPr="00C30E94">
        <w:rPr>
          <w:iCs/>
          <w:sz w:val="28"/>
          <w:szCs w:val="28"/>
        </w:rPr>
        <w:t>.</w:t>
      </w:r>
    </w:p>
    <w:p w14:paraId="57438E86" w14:textId="77777777" w:rsidR="00C96606" w:rsidRPr="00C30E94" w:rsidRDefault="00C96606" w:rsidP="008707C3">
      <w:pPr>
        <w:pStyle w:val="NormalWeb"/>
        <w:spacing w:before="0" w:beforeAutospacing="0" w:after="120" w:afterAutospacing="0" w:line="257" w:lineRule="auto"/>
        <w:ind w:firstLine="720"/>
        <w:jc w:val="both"/>
        <w:rPr>
          <w:sz w:val="28"/>
          <w:szCs w:val="28"/>
        </w:rPr>
      </w:pPr>
      <w:r w:rsidRPr="00C30E94">
        <w:rPr>
          <w:i/>
          <w:sz w:val="28"/>
          <w:szCs w:val="28"/>
        </w:rPr>
        <w:t>- Nhóm thuốc và dịch vụ y t</w:t>
      </w:r>
      <w:r w:rsidRPr="00C30E94">
        <w:rPr>
          <w:i/>
          <w:iCs/>
          <w:sz w:val="28"/>
          <w:szCs w:val="28"/>
        </w:rPr>
        <w:t>ế</w:t>
      </w:r>
      <w:r w:rsidRPr="00C30E94">
        <w:rPr>
          <w:sz w:val="28"/>
          <w:szCs w:val="28"/>
        </w:rPr>
        <w:t xml:space="preserve"> tăng 0,31%, trong đó, chỉ số giá nhóm dịch vụ y tế tăng 0,36% do một số địa phương triển khai áp dụng giá dịch vụ y tế mới </w:t>
      </w:r>
      <w:r w:rsidRPr="00C30E94">
        <w:rPr>
          <w:spacing w:val="-2"/>
          <w:sz w:val="28"/>
          <w:szCs w:val="28"/>
        </w:rPr>
        <w:t>theo Thông tư số 21/2024/TT-BYT ngày 17/10/2024</w:t>
      </w:r>
      <w:r w:rsidRPr="00C30E94">
        <w:rPr>
          <w:bCs/>
          <w:spacing w:val="-2"/>
          <w:sz w:val="28"/>
          <w:szCs w:val="28"/>
          <w:lang w:val="nl-NL"/>
        </w:rPr>
        <w:t xml:space="preserve"> </w:t>
      </w:r>
      <w:r w:rsidRPr="00C30E94">
        <w:rPr>
          <w:spacing w:val="-2"/>
          <w:sz w:val="28"/>
          <w:szCs w:val="28"/>
        </w:rPr>
        <w:t>của Bộ Y tế quy định phương</w:t>
      </w:r>
      <w:r w:rsidRPr="00C30E94">
        <w:rPr>
          <w:sz w:val="28"/>
          <w:szCs w:val="28"/>
        </w:rPr>
        <w:t xml:space="preserve"> pháp định giá dịch vụ khám bệnh, chữa bệnh. </w:t>
      </w:r>
      <w:r w:rsidRPr="00C30E94">
        <w:rPr>
          <w:sz w:val="28"/>
          <w:szCs w:val="28"/>
          <w:lang w:val="nl-NL"/>
        </w:rPr>
        <w:t>Bên cạnh đó, thời tiết miền Bắc chuyển sang nồm ẩm nên bệnh cảm cúm, đường hô hấp gia tăng, nhu cầu tiêu dùng các loại thuốc về giảm đau, hạ sốt, đường hô hấp, vitamin và khoáng chất của người dân tăng. Cụ thể, giá nhóm thuốc vitamin và khoáng chất tăng 0,21%; thuốc tác dụng trên đường hô hấp tăng 0,17%; thuốc giảm đau, hạ sốt tăng 0,1%; thuốc đường tiêu hóa tăng 0,04%.</w:t>
      </w:r>
    </w:p>
    <w:p w14:paraId="55BF8F9B" w14:textId="066B3BCA" w:rsidR="00C96606" w:rsidRPr="00C30E94" w:rsidRDefault="00C96606" w:rsidP="008707C3">
      <w:pPr>
        <w:pStyle w:val="NormalWeb"/>
        <w:spacing w:before="0" w:beforeAutospacing="0" w:after="120" w:afterAutospacing="0" w:line="257" w:lineRule="auto"/>
        <w:ind w:firstLine="720"/>
        <w:jc w:val="both"/>
        <w:rPr>
          <w:sz w:val="28"/>
          <w:szCs w:val="28"/>
          <w:lang w:val="en-US"/>
        </w:rPr>
      </w:pPr>
      <w:r w:rsidRPr="00C30E94">
        <w:rPr>
          <w:i/>
          <w:sz w:val="28"/>
          <w:szCs w:val="28"/>
        </w:rPr>
        <w:t xml:space="preserve">- </w:t>
      </w:r>
      <w:r w:rsidRPr="00C30E94">
        <w:rPr>
          <w:i/>
          <w:sz w:val="28"/>
          <w:szCs w:val="28"/>
          <w:lang w:val="en-US"/>
        </w:rPr>
        <w:t>N</w:t>
      </w:r>
      <w:r w:rsidRPr="00C30E94">
        <w:rPr>
          <w:i/>
          <w:sz w:val="28"/>
          <w:szCs w:val="28"/>
        </w:rPr>
        <w:t>hóm hàng hóa và dịch vụ khác</w:t>
      </w:r>
      <w:r w:rsidRPr="00C30E94">
        <w:rPr>
          <w:sz w:val="28"/>
          <w:szCs w:val="28"/>
        </w:rPr>
        <w:t xml:space="preserve"> tăng </w:t>
      </w:r>
      <w:r w:rsidRPr="00C30E94">
        <w:rPr>
          <w:sz w:val="28"/>
          <w:szCs w:val="28"/>
          <w:lang w:val="en-GB"/>
        </w:rPr>
        <w:t>0,18</w:t>
      </w:r>
      <w:r w:rsidRPr="00C30E94">
        <w:rPr>
          <w:sz w:val="28"/>
          <w:szCs w:val="28"/>
        </w:rPr>
        <w:t xml:space="preserve">%, chủ yếu tăng giá ở một số mặt hàng: Nhóm đồ trang sức tăng </w:t>
      </w:r>
      <w:r w:rsidRPr="00C30E94">
        <w:rPr>
          <w:sz w:val="28"/>
          <w:szCs w:val="28"/>
          <w:lang w:val="en-GB"/>
        </w:rPr>
        <w:t>4,32</w:t>
      </w:r>
      <w:r w:rsidRPr="00C30E94">
        <w:rPr>
          <w:sz w:val="28"/>
          <w:szCs w:val="28"/>
        </w:rPr>
        <w:t xml:space="preserve">%; </w:t>
      </w:r>
      <w:r w:rsidRPr="00C30E94">
        <w:rPr>
          <w:sz w:val="28"/>
          <w:szCs w:val="28"/>
          <w:lang w:val="de-DE"/>
        </w:rPr>
        <w:t xml:space="preserve">dịch vụ cưới hỏi tăng 0,31%; </w:t>
      </w:r>
      <w:r w:rsidRPr="00C30E94">
        <w:rPr>
          <w:sz w:val="28"/>
          <w:szCs w:val="28"/>
        </w:rPr>
        <w:t>máy dùng điện cho chăm sóc cá nhân tăng 0,25%; dịch vụ chăm sóc cá nhân tăng 0,2%; đồng hồ đeo tay tăng 0,18%</w:t>
      </w:r>
      <w:r w:rsidRPr="00C30E94">
        <w:rPr>
          <w:sz w:val="28"/>
          <w:szCs w:val="28"/>
          <w:lang w:val="de-DE"/>
        </w:rPr>
        <w:t>.</w:t>
      </w:r>
      <w:r w:rsidRPr="00C30E94">
        <w:rPr>
          <w:sz w:val="28"/>
          <w:szCs w:val="28"/>
        </w:rPr>
        <w:t xml:space="preserve"> Ở chiều ngược lại, dịch vụ cắt tóc, gội đầu giảm 0</w:t>
      </w:r>
      <w:r w:rsidRPr="00C30E94">
        <w:rPr>
          <w:sz w:val="28"/>
          <w:szCs w:val="28"/>
          <w:lang w:val="en-GB"/>
        </w:rPr>
        <w:t>,28</w:t>
      </w:r>
      <w:r w:rsidRPr="00C30E94">
        <w:rPr>
          <w:sz w:val="28"/>
          <w:szCs w:val="28"/>
        </w:rPr>
        <w:t>%; dịch vụ hành chính, pháp lý giảm 0,19%</w:t>
      </w:r>
      <w:r w:rsidRPr="00C30E94">
        <w:rPr>
          <w:sz w:val="28"/>
          <w:szCs w:val="28"/>
          <w:lang w:val="en-US"/>
        </w:rPr>
        <w:t>.</w:t>
      </w:r>
    </w:p>
    <w:p w14:paraId="30F520D9" w14:textId="77777777" w:rsidR="00C96606" w:rsidRPr="00C30E94" w:rsidRDefault="00C96606" w:rsidP="008707C3">
      <w:pPr>
        <w:pStyle w:val="NormalWeb"/>
        <w:spacing w:before="0" w:beforeAutospacing="0" w:after="120" w:afterAutospacing="0" w:line="257" w:lineRule="auto"/>
        <w:ind w:firstLine="720"/>
        <w:jc w:val="both"/>
        <w:rPr>
          <w:sz w:val="28"/>
          <w:szCs w:val="28"/>
        </w:rPr>
      </w:pPr>
      <w:r w:rsidRPr="00C30E94">
        <w:rPr>
          <w:i/>
          <w:sz w:val="28"/>
          <w:szCs w:val="28"/>
        </w:rPr>
        <w:t>- Nhóm văn hóa, giải trí và du lịch</w:t>
      </w:r>
      <w:r w:rsidRPr="00C30E94">
        <w:rPr>
          <w:sz w:val="28"/>
          <w:szCs w:val="28"/>
        </w:rPr>
        <w:t xml:space="preserve"> tăng 0,17%, tập trung chủ yếu ở những mặt hàng sau: Giá nhóm hoa, cây cảnh tăng 3,27%; du lịch trọn gói tăng 0,25% </w:t>
      </w:r>
      <w:r w:rsidRPr="00C30E94">
        <w:rPr>
          <w:sz w:val="28"/>
          <w:szCs w:val="28"/>
        </w:rPr>
        <w:lastRenderedPageBreak/>
        <w:t>do nhu cầu du lịch của người dân và chi phí dịch vụ tăng; khách sạn, nhà khách tăng 0,21%; sách, báo, tạp chí các loại tăng 0,03%.</w:t>
      </w:r>
    </w:p>
    <w:p w14:paraId="46FA021E" w14:textId="77777777" w:rsidR="00C96606" w:rsidRPr="00C30E94" w:rsidRDefault="00C96606" w:rsidP="008707C3">
      <w:pPr>
        <w:pStyle w:val="NormalWeb"/>
        <w:spacing w:before="0" w:beforeAutospacing="0" w:after="120" w:afterAutospacing="0" w:line="257" w:lineRule="auto"/>
        <w:ind w:firstLine="720"/>
        <w:jc w:val="both"/>
        <w:rPr>
          <w:iCs/>
          <w:sz w:val="28"/>
          <w:szCs w:val="28"/>
        </w:rPr>
      </w:pPr>
      <w:r w:rsidRPr="00C30E94">
        <w:rPr>
          <w:i/>
          <w:sz w:val="28"/>
          <w:szCs w:val="28"/>
        </w:rPr>
        <w:t>- Nhóm đồ uống và thuốc lá</w:t>
      </w:r>
      <w:r w:rsidRPr="00C30E94">
        <w:rPr>
          <w:iCs/>
          <w:sz w:val="28"/>
          <w:szCs w:val="28"/>
        </w:rPr>
        <w:t xml:space="preserve"> tăng 0,12% do nhu cầu tiêu dùng trong các lễ hội đầu năm mới khiến giá rượu bia tăng 0,06%; thuốc hút tăng 0,22%; đồ uống không cồn tăng 0,07%.</w:t>
      </w:r>
    </w:p>
    <w:p w14:paraId="00301836" w14:textId="77777777" w:rsidR="00C96606" w:rsidRPr="00C30E94" w:rsidRDefault="00C96606" w:rsidP="008707C3">
      <w:pPr>
        <w:pStyle w:val="NormalWeb"/>
        <w:shd w:val="clear" w:color="auto" w:fill="FFFFFF"/>
        <w:spacing w:before="0" w:beforeAutospacing="0" w:after="120" w:afterAutospacing="0" w:line="257" w:lineRule="auto"/>
        <w:ind w:firstLine="720"/>
        <w:jc w:val="both"/>
        <w:rPr>
          <w:spacing w:val="-2"/>
          <w:sz w:val="28"/>
          <w:szCs w:val="28"/>
        </w:rPr>
      </w:pPr>
      <w:r w:rsidRPr="00C30E94">
        <w:rPr>
          <w:i/>
          <w:sz w:val="28"/>
          <w:szCs w:val="28"/>
        </w:rPr>
        <w:t xml:space="preserve">- </w:t>
      </w:r>
      <w:r w:rsidRPr="00C30E94">
        <w:rPr>
          <w:i/>
          <w:spacing w:val="-2"/>
          <w:sz w:val="28"/>
          <w:szCs w:val="28"/>
        </w:rPr>
        <w:t>Nhóm thiết bị và đồ dùng gia đình</w:t>
      </w:r>
      <w:r w:rsidRPr="00C30E94">
        <w:rPr>
          <w:spacing w:val="-2"/>
          <w:sz w:val="28"/>
          <w:szCs w:val="28"/>
        </w:rPr>
        <w:t xml:space="preserve"> tăng 0,05% do chi phí nguyên nhiên vật liệu và vận chuyển tăng. Trong đó, giá đồ nhựa và cao su tăng 0,51%; đồ dùng bằng kim loại tăng 0,38%; đèn điện thắp sáng tăng 0,2%; dịch vụ trong gia đình tăng 0,15%; bếp đun không dùng điện, ga điện và đồ điện cùng tăng 0,14%; giường, tủ, bàn ghế tăng 0,07%; hàng thủy tinh, sành, sứ tăng 0,04%.</w:t>
      </w:r>
    </w:p>
    <w:p w14:paraId="501D84E4" w14:textId="77777777" w:rsidR="00C96606" w:rsidRPr="00C30E94" w:rsidRDefault="00C96606" w:rsidP="008707C3">
      <w:pPr>
        <w:pStyle w:val="NormalWeb"/>
        <w:spacing w:before="0" w:beforeAutospacing="0" w:after="120" w:afterAutospacing="0" w:line="257" w:lineRule="auto"/>
        <w:ind w:firstLine="720"/>
        <w:jc w:val="both"/>
        <w:rPr>
          <w:iCs/>
          <w:sz w:val="28"/>
          <w:szCs w:val="28"/>
        </w:rPr>
      </w:pPr>
      <w:r w:rsidRPr="00C30E94">
        <w:rPr>
          <w:bCs/>
          <w:sz w:val="28"/>
          <w:szCs w:val="28"/>
        </w:rPr>
        <w:t xml:space="preserve">- </w:t>
      </w:r>
      <w:r w:rsidRPr="00C30E94">
        <w:rPr>
          <w:bCs/>
          <w:i/>
          <w:iCs/>
          <w:sz w:val="28"/>
          <w:szCs w:val="28"/>
        </w:rPr>
        <w:t>Nhóm giáo dục</w:t>
      </w:r>
      <w:r w:rsidRPr="00C30E94">
        <w:rPr>
          <w:bCs/>
          <w:sz w:val="28"/>
          <w:szCs w:val="28"/>
        </w:rPr>
        <w:t xml:space="preserve"> tăng nhẹ 0,02% do </w:t>
      </w:r>
      <w:r w:rsidRPr="00C30E94">
        <w:rPr>
          <w:iCs/>
          <w:sz w:val="28"/>
          <w:szCs w:val="28"/>
        </w:rPr>
        <w:t>giá văn phòng phẩm tăng như bút viết các loại tăng 0,3%; văn phòng phẩm và đồ dùng học tập khác tăng 0,37%; sản phẩm từ giấy tăng 0,1%</w:t>
      </w:r>
      <w:r w:rsidRPr="00C30E94">
        <w:rPr>
          <w:bCs/>
          <w:sz w:val="28"/>
          <w:szCs w:val="28"/>
        </w:rPr>
        <w:t>.</w:t>
      </w:r>
    </w:p>
    <w:p w14:paraId="177FFE4B" w14:textId="77777777" w:rsidR="00C96606" w:rsidRPr="00C30E94" w:rsidRDefault="00C96606" w:rsidP="008707C3">
      <w:pPr>
        <w:pStyle w:val="NormalWeb"/>
        <w:spacing w:before="0" w:beforeAutospacing="0" w:after="120" w:afterAutospacing="0" w:line="257" w:lineRule="auto"/>
        <w:ind w:firstLine="720"/>
        <w:jc w:val="both"/>
        <w:rPr>
          <w:sz w:val="28"/>
          <w:szCs w:val="28"/>
          <w:lang w:val="es-NI"/>
        </w:rPr>
      </w:pPr>
      <w:r w:rsidRPr="00C30E94">
        <w:rPr>
          <w:sz w:val="28"/>
          <w:szCs w:val="28"/>
          <w:lang w:val="es-NI"/>
        </w:rPr>
        <w:t>(2) Hai nhóm hàng hóa và dịch vụ có chỉ số giá giảm gồm:</w:t>
      </w:r>
    </w:p>
    <w:p w14:paraId="244B2E7B" w14:textId="77777777" w:rsidR="00C96606" w:rsidRPr="00C30E94" w:rsidRDefault="00C96606" w:rsidP="008707C3">
      <w:pPr>
        <w:pStyle w:val="NormalWeb"/>
        <w:spacing w:before="0" w:beforeAutospacing="0" w:after="120" w:afterAutospacing="0" w:line="257" w:lineRule="auto"/>
        <w:ind w:firstLine="720"/>
        <w:jc w:val="both"/>
        <w:rPr>
          <w:sz w:val="28"/>
          <w:szCs w:val="28"/>
        </w:rPr>
      </w:pPr>
      <w:r w:rsidRPr="00C30E94">
        <w:rPr>
          <w:i/>
          <w:spacing w:val="4"/>
          <w:sz w:val="28"/>
          <w:szCs w:val="28"/>
          <w:lang w:val="es-NI"/>
        </w:rPr>
        <w:t>- Nhóm bưu chính viễn thông</w:t>
      </w:r>
      <w:r w:rsidRPr="00C30E94">
        <w:rPr>
          <w:spacing w:val="4"/>
          <w:sz w:val="28"/>
          <w:szCs w:val="28"/>
          <w:lang w:val="es-NI"/>
        </w:rPr>
        <w:t xml:space="preserve"> </w:t>
      </w:r>
      <w:r w:rsidRPr="00C30E94">
        <w:rPr>
          <w:sz w:val="28"/>
          <w:szCs w:val="28"/>
        </w:rPr>
        <w:t>giảm 0,03%, t</w:t>
      </w:r>
      <w:r w:rsidRPr="00C30E94">
        <w:rPr>
          <w:bCs/>
          <w:sz w:val="28"/>
          <w:szCs w:val="28"/>
          <w:lang w:val="nl-NL"/>
        </w:rPr>
        <w:t>rong đó, phụ kiện máy điện thoại di động thông minh và máy tính bảng giảm 0,75%; máy điện thoại di động thông thường giảm 0,12%; máy điện thoại cố định giảm 0,04%. Ở chiều ngược lại, giá sửa chữa điện thoại tăng 0,5%; giá máy điện thoại di động thông minh và máy tính bảng tăng 0,29%.</w:t>
      </w:r>
    </w:p>
    <w:p w14:paraId="7342F71A" w14:textId="77777777" w:rsidR="00C96606" w:rsidRPr="00C30E94" w:rsidRDefault="00C96606" w:rsidP="008707C3">
      <w:pPr>
        <w:pStyle w:val="NormalWeb"/>
        <w:spacing w:before="0" w:beforeAutospacing="0" w:after="120" w:afterAutospacing="0" w:line="257" w:lineRule="auto"/>
        <w:ind w:firstLine="720"/>
        <w:jc w:val="both"/>
        <w:rPr>
          <w:sz w:val="28"/>
          <w:szCs w:val="28"/>
        </w:rPr>
      </w:pPr>
      <w:r w:rsidRPr="00C30E94">
        <w:rPr>
          <w:i/>
          <w:sz w:val="28"/>
          <w:szCs w:val="28"/>
          <w:lang w:val="nl-NL"/>
        </w:rPr>
        <w:t>-</w:t>
      </w:r>
      <w:r w:rsidRPr="00C30E94">
        <w:rPr>
          <w:i/>
          <w:sz w:val="28"/>
          <w:szCs w:val="28"/>
        </w:rPr>
        <w:t xml:space="preserve"> </w:t>
      </w:r>
      <w:r w:rsidRPr="00C30E94">
        <w:rPr>
          <w:i/>
          <w:sz w:val="28"/>
          <w:szCs w:val="28"/>
          <w:lang w:val="en-US"/>
        </w:rPr>
        <w:t>N</w:t>
      </w:r>
      <w:r w:rsidRPr="00C30E94">
        <w:rPr>
          <w:i/>
          <w:sz w:val="28"/>
          <w:szCs w:val="28"/>
        </w:rPr>
        <w:t>hóm may mặc, mũ nón, giày dép</w:t>
      </w:r>
      <w:r w:rsidRPr="00C30E94">
        <w:rPr>
          <w:sz w:val="28"/>
          <w:szCs w:val="28"/>
        </w:rPr>
        <w:t xml:space="preserve"> giảm </w:t>
      </w:r>
      <w:r w:rsidRPr="00C30E94">
        <w:rPr>
          <w:sz w:val="28"/>
          <w:szCs w:val="28"/>
          <w:lang w:val="en-GB"/>
        </w:rPr>
        <w:t xml:space="preserve">0,11% </w:t>
      </w:r>
      <w:r w:rsidRPr="00C30E94">
        <w:rPr>
          <w:sz w:val="28"/>
          <w:szCs w:val="28"/>
        </w:rPr>
        <w:t>do</w:t>
      </w:r>
      <w:r w:rsidRPr="00C30E94">
        <w:rPr>
          <w:bCs/>
          <w:sz w:val="28"/>
          <w:szCs w:val="28"/>
        </w:rPr>
        <w:t xml:space="preserve"> nhu cầu mua sắm quần áo, giày dép giảm sau dịp Tết Nguyên đán</w:t>
      </w:r>
      <w:r w:rsidRPr="00C30E94">
        <w:rPr>
          <w:sz w:val="28"/>
          <w:szCs w:val="28"/>
        </w:rPr>
        <w:t>. Trong đó, giày dép giảm 0,24%; quần áo may sẵn giảm 0,11%. Ở chiều ngược lại, chỉ số giá vải các loại tăng 0,07%; may mặc khác tăng 0,06%; mũ nón tăng 0,12%; dịch vụ may mặc, mũ nón, giày dép tăng 0,14%.</w:t>
      </w:r>
    </w:p>
    <w:p w14:paraId="6B0E9927" w14:textId="5325679B" w:rsidR="00C96606" w:rsidRPr="00C30E94" w:rsidRDefault="00C96606" w:rsidP="008707C3">
      <w:pPr>
        <w:pStyle w:val="NormalWeb"/>
        <w:spacing w:before="0" w:beforeAutospacing="0" w:after="120" w:afterAutospacing="0" w:line="257" w:lineRule="auto"/>
        <w:ind w:firstLine="720"/>
        <w:jc w:val="both"/>
        <w:rPr>
          <w:spacing w:val="-2"/>
          <w:sz w:val="28"/>
          <w:szCs w:val="28"/>
        </w:rPr>
      </w:pPr>
      <w:r w:rsidRPr="00C30E94">
        <w:rPr>
          <w:sz w:val="28"/>
          <w:szCs w:val="28"/>
          <w:lang w:val="pl-PL"/>
        </w:rPr>
        <w:t>Lạm phát cơ bản</w:t>
      </w:r>
      <w:r w:rsidRPr="00C30E94">
        <w:rPr>
          <w:rStyle w:val="FootnoteReference"/>
          <w:sz w:val="28"/>
          <w:szCs w:val="28"/>
        </w:rPr>
        <w:footnoteReference w:id="30"/>
      </w:r>
      <w:r w:rsidRPr="00C30E94">
        <w:rPr>
          <w:sz w:val="28"/>
          <w:szCs w:val="28"/>
          <w:lang w:val="pl-PL"/>
        </w:rPr>
        <w:t xml:space="preserve"> tháng </w:t>
      </w:r>
      <w:r w:rsidRPr="00C30E94">
        <w:rPr>
          <w:spacing w:val="-2"/>
          <w:sz w:val="28"/>
          <w:szCs w:val="28"/>
        </w:rPr>
        <w:t xml:space="preserve">02/2025 tăng </w:t>
      </w:r>
      <w:r w:rsidRPr="00C30E94">
        <w:rPr>
          <w:spacing w:val="-2"/>
          <w:sz w:val="28"/>
          <w:szCs w:val="28"/>
          <w:lang w:val="en-GB"/>
        </w:rPr>
        <w:t>0,3</w:t>
      </w:r>
      <w:r w:rsidRPr="00C30E94">
        <w:rPr>
          <w:spacing w:val="-2"/>
          <w:sz w:val="28"/>
          <w:szCs w:val="28"/>
        </w:rPr>
        <w:t xml:space="preserve">% so với tháng trước và tăng </w:t>
      </w:r>
      <w:r w:rsidRPr="00C30E94">
        <w:rPr>
          <w:spacing w:val="-2"/>
          <w:sz w:val="28"/>
          <w:szCs w:val="28"/>
          <w:lang w:val="en-GB"/>
        </w:rPr>
        <w:t>2,87</w:t>
      </w:r>
      <w:r w:rsidRPr="00C30E94">
        <w:rPr>
          <w:spacing w:val="-2"/>
          <w:sz w:val="28"/>
          <w:szCs w:val="28"/>
        </w:rPr>
        <w:t xml:space="preserve">% so với cùng kỳ năm trước. </w:t>
      </w:r>
      <w:r w:rsidRPr="00C30E94">
        <w:rPr>
          <w:sz w:val="28"/>
          <w:szCs w:val="28"/>
          <w:lang w:val="pl-PL"/>
        </w:rPr>
        <w:t>Bình quân hai tháng đầu năm 2025, lạm phát cơ bản tăng 2,97% so với cùng kỳ năm trước, thấp hơn mức CPI bình quân chung (tăng 3,27%) chủ yếu do giá lương thực, thực phẩm, điện sinh hoạt, giá dịch vụ y tế là yếu tố tác động tăng CPI nhưng thuộc nhóm hàng được loại trừ trong danh mục tính toán lạm phát cơ bản.</w:t>
      </w:r>
    </w:p>
    <w:p w14:paraId="2A165EFC" w14:textId="10DBE020" w:rsidR="00C96606" w:rsidRPr="00C30E94" w:rsidRDefault="00C96606" w:rsidP="008707C3">
      <w:pPr>
        <w:pStyle w:val="NormalWeb"/>
        <w:spacing w:before="0" w:beforeAutospacing="0" w:after="120" w:afterAutospacing="0" w:line="257" w:lineRule="auto"/>
        <w:ind w:firstLine="720"/>
        <w:jc w:val="both"/>
        <w:rPr>
          <w:sz w:val="28"/>
          <w:szCs w:val="28"/>
        </w:rPr>
      </w:pPr>
      <w:r w:rsidRPr="00C30E94">
        <w:rPr>
          <w:sz w:val="28"/>
          <w:szCs w:val="28"/>
          <w:lang w:val="de-DE"/>
        </w:rPr>
        <w:t xml:space="preserve"> </w:t>
      </w:r>
      <w:r w:rsidRPr="00C30E94">
        <w:rPr>
          <w:sz w:val="28"/>
          <w:szCs w:val="28"/>
        </w:rPr>
        <w:t xml:space="preserve">Giá vàng trong nước biến động cùng chiều với giá vàng thế giới. Tính đến ngày 28/02/2025, bình quân giá vàng thế giới ở mức 2.898,22 USD/ounce, tăng 6,92% so với tháng 01/2025. Trong tháng 02/2025, các tuyên bố về chính sách thuế của Mỹ dẫn đến lo ngại về chiến tranh thương mại leo thang. Điều này đã thúc đẩy nhu cầu đầu tư vào vàng như một tài sản an toàn. Cùng với đó, các ngân hàng trung ương tiếp tục mua vàng để đa dạng hóa dự trữ và bảo vệ tài sản trước biến động tiền tệ. Trong nước, nhu cầu mua sắm vàng lấy may trong ngày Thần </w:t>
      </w:r>
      <w:r w:rsidRPr="00C30E94">
        <w:rPr>
          <w:sz w:val="28"/>
          <w:szCs w:val="28"/>
        </w:rPr>
        <w:lastRenderedPageBreak/>
        <w:t xml:space="preserve">Tài sau Tết Nguyên đán tăng làm chỉ số giá vàng tháng 02/2025 tăng 4,72% so với tháng trước; tăng 32,57% so với cùng kỳ năm trước; tăng 5,8% so với tháng 12/2024; bình quân </w:t>
      </w:r>
      <w:r w:rsidRPr="00C30E94">
        <w:rPr>
          <w:sz w:val="28"/>
          <w:szCs w:val="28"/>
          <w:lang w:val="en-US"/>
        </w:rPr>
        <w:t>hai</w:t>
      </w:r>
      <w:r w:rsidRPr="00C30E94">
        <w:rPr>
          <w:sz w:val="28"/>
          <w:szCs w:val="28"/>
        </w:rPr>
        <w:t xml:space="preserve"> tháng đầu năm 2025, chỉ số giá vàng tăng 30,84%.</w:t>
      </w:r>
    </w:p>
    <w:p w14:paraId="3746C017" w14:textId="7C2EF0E6" w:rsidR="00C96606" w:rsidRPr="00C30E94" w:rsidRDefault="00C96606" w:rsidP="008707C3">
      <w:pPr>
        <w:pStyle w:val="NormalWeb"/>
        <w:spacing w:before="0" w:beforeAutospacing="0" w:after="120" w:afterAutospacing="0" w:line="257" w:lineRule="auto"/>
        <w:ind w:firstLine="720"/>
        <w:jc w:val="both"/>
        <w:rPr>
          <w:sz w:val="28"/>
          <w:szCs w:val="28"/>
        </w:rPr>
      </w:pPr>
      <w:r w:rsidRPr="00C30E94">
        <w:rPr>
          <w:sz w:val="28"/>
          <w:szCs w:val="28"/>
          <w:lang w:val="de-DE"/>
        </w:rPr>
        <w:t xml:space="preserve"> </w:t>
      </w:r>
      <w:r w:rsidRPr="00C30E94">
        <w:rPr>
          <w:sz w:val="28"/>
          <w:szCs w:val="28"/>
        </w:rPr>
        <w:t xml:space="preserve">Tính đến ngày 28/02/2025, chỉ số giá đô la Mỹ trên thị trường quốc tế đạt mức 107,31 điểm, giảm 1,16% so với tháng trước do lợi suất trái phiếu Chính phủ Mỹ giảm và ảnh hưởng từ các chính thuế quan và căng thẳng thương mại từ Mỹ. Trong nước, giá đô la Mỹ bình quân trên thị trường tự do quanh mức 25.548 VND/USD. Chỉ số giá đô la Mỹ tháng 02/2025 giảm 0,06% so với tháng trước; tăng 3,52% so với cùng kỳ năm trước; tăng 0,15% so với tháng 12/2024; bình quân </w:t>
      </w:r>
      <w:r w:rsidRPr="00C30E94">
        <w:rPr>
          <w:sz w:val="28"/>
          <w:szCs w:val="28"/>
          <w:lang w:val="en-US"/>
        </w:rPr>
        <w:t>hai</w:t>
      </w:r>
      <w:r w:rsidRPr="00C30E94">
        <w:rPr>
          <w:sz w:val="28"/>
          <w:szCs w:val="28"/>
        </w:rPr>
        <w:t xml:space="preserve"> tháng đầu năm 2025, chỉ số giá đô la Mỹ tăng 3,75%.</w:t>
      </w:r>
    </w:p>
    <w:p w14:paraId="26352ACD" w14:textId="3886F9B1" w:rsidR="00C66D31" w:rsidRPr="00C30E94" w:rsidRDefault="00C66D31" w:rsidP="008707C3">
      <w:pPr>
        <w:pStyle w:val="ListParagraph"/>
        <w:spacing w:after="120" w:line="257" w:lineRule="auto"/>
        <w:ind w:left="0" w:firstLine="720"/>
        <w:contextualSpacing w:val="0"/>
        <w:jc w:val="both"/>
        <w:rPr>
          <w:b/>
          <w:bCs/>
          <w:lang w:val="de-DE"/>
        </w:rPr>
      </w:pPr>
      <w:r w:rsidRPr="00C30E94">
        <w:rPr>
          <w:b/>
          <w:bCs/>
          <w:i/>
          <w:iCs/>
        </w:rPr>
        <w:t>d) Vận tải hành khách và hàng hóa</w:t>
      </w:r>
    </w:p>
    <w:p w14:paraId="60B7B9C9" w14:textId="77777777" w:rsidR="00C66D31" w:rsidRPr="00C30E94" w:rsidRDefault="00C66D31" w:rsidP="008707C3">
      <w:pPr>
        <w:spacing w:after="120" w:line="257" w:lineRule="auto"/>
        <w:ind w:firstLine="720"/>
        <w:jc w:val="both"/>
        <w:rPr>
          <w:bCs/>
          <w:i/>
          <w:lang w:val="nl-NL"/>
        </w:rPr>
      </w:pPr>
      <w:r w:rsidRPr="00C30E94">
        <w:rPr>
          <w:i/>
          <w:lang w:val="nl-NL"/>
        </w:rPr>
        <w:t>Hoạt động vận tải</w:t>
      </w:r>
      <w:r w:rsidRPr="00C30E94">
        <w:rPr>
          <w:i/>
          <w:lang w:val="de-DE"/>
        </w:rPr>
        <w:t xml:space="preserve"> </w:t>
      </w:r>
      <w:r w:rsidRPr="00C30E94">
        <w:rPr>
          <w:i/>
          <w:lang w:val="nl-NL"/>
        </w:rPr>
        <w:t xml:space="preserve">tháng 02/2025 tiếp tục </w:t>
      </w:r>
      <w:r w:rsidRPr="00C30E94">
        <w:rPr>
          <w:i/>
          <w:lang w:val="es-NI"/>
        </w:rPr>
        <w:t xml:space="preserve">sôi động </w:t>
      </w:r>
      <w:r w:rsidRPr="00C30E94">
        <w:rPr>
          <w:i/>
          <w:lang w:val="nl-NL"/>
        </w:rPr>
        <w:t>đáp ứng nhu cầu đi lại, du xuân của người dân trong nước cũng như khách quốc tế đến Việt Nam, phục vụ sản xuất và xuất nhập khẩu hàng hóa.</w:t>
      </w:r>
      <w:r w:rsidRPr="00C30E94">
        <w:rPr>
          <w:bCs/>
          <w:i/>
          <w:lang w:val="nl-NL"/>
        </w:rPr>
        <w:t xml:space="preserve"> So với cùng kỳ năm trước, vận tải hành khách tháng 02/2025 tăng 12,2% về vận chuyển và tăng 12,7% về luân chuyển; vận tải hàng hóa tăng 16,0% về vận chuyển và tăng 19,1% về luân chuyển. </w:t>
      </w:r>
    </w:p>
    <w:p w14:paraId="035F4085" w14:textId="77777777" w:rsidR="00C66D31" w:rsidRPr="00C30E94" w:rsidRDefault="00C66D31" w:rsidP="008707C3">
      <w:pPr>
        <w:spacing w:after="120" w:line="257" w:lineRule="auto"/>
        <w:ind w:firstLine="720"/>
        <w:jc w:val="both"/>
        <w:rPr>
          <w:bCs/>
          <w:i/>
          <w:lang w:val="nl-NL"/>
        </w:rPr>
      </w:pPr>
      <w:r w:rsidRPr="00C30E94">
        <w:rPr>
          <w:bCs/>
          <w:i/>
          <w:lang w:val="nl-NL"/>
        </w:rPr>
        <w:t>Tính chung hai tháng đầu năm 2025, vận chuyển hành khách tăng 13,8% và luân chuyển tăng 16,2% so với cùng kỳ năm trước; vận chuyển hàng hóa tăng 14,5% và luân chuyển tăng 11,8%.</w:t>
      </w:r>
    </w:p>
    <w:p w14:paraId="783AE263" w14:textId="77777777" w:rsidR="00C66D31" w:rsidRPr="00C30E94" w:rsidRDefault="00C66D31" w:rsidP="008707C3">
      <w:pPr>
        <w:spacing w:after="120" w:line="257" w:lineRule="auto"/>
        <w:ind w:firstLine="720"/>
        <w:jc w:val="both"/>
        <w:rPr>
          <w:lang w:val="nl-NL"/>
        </w:rPr>
      </w:pPr>
      <w:r w:rsidRPr="00C30E94">
        <w:rPr>
          <w:i/>
          <w:lang w:val="nl-NL"/>
        </w:rPr>
        <w:t xml:space="preserve">Vận tải hành khách </w:t>
      </w:r>
      <w:r w:rsidRPr="00C30E94">
        <w:rPr>
          <w:lang w:val="nl-NL"/>
        </w:rPr>
        <w:t>tháng 02/2025 ước đạt 464,3 triệu lượt khách vận chuyển, tăng 3,6% so với tháng trước và luân chuyển 26,3 tỷ lượt khách.km, tăng 1,9%</w:t>
      </w:r>
      <w:r w:rsidRPr="00C30E94">
        <w:rPr>
          <w:lang w:val="es-NI"/>
        </w:rPr>
        <w:t>.</w:t>
      </w:r>
      <w:r w:rsidRPr="00C30E94">
        <w:rPr>
          <w:lang w:val="nl-NL"/>
        </w:rPr>
        <w:t xml:space="preserve"> Tính chung hai tháng đầu năm 2025, vận tải hành khách ước đạt 912,4 triệu lượt khách vận chuyển, tăng 13,8% so với cùng kỳ năm trước và luân chuyển đạt 52,1 tỷ lượt khách.km, tăng 16,2%. Trong đó, vận tải trong nước ước đạt 909,0 triệu lượt khách vận chuyển, tăng 13,8% so với cùng kỳ năm trước và 40,9 tỷ lượt khách.km luân chuyển, tăng 16,3%; vận tải ngoài nước ước đạt 3,4 triệu lượt khách vận chuyển, tăng 15,3% và 11,2 tỷ lượt khách.km luân chuyển, tăng 15,8%.</w:t>
      </w:r>
    </w:p>
    <w:p w14:paraId="060BF963" w14:textId="0CADBC7F" w:rsidR="00C66D31" w:rsidRPr="00C30E94" w:rsidRDefault="00C66D31" w:rsidP="00C66D31">
      <w:pPr>
        <w:tabs>
          <w:tab w:val="left" w:pos="567"/>
        </w:tabs>
        <w:spacing w:before="60" w:after="60" w:line="288" w:lineRule="auto"/>
        <w:jc w:val="center"/>
        <w:rPr>
          <w:rFonts w:ascii="Arial" w:hAnsi="Arial" w:cs="Arial"/>
          <w:b/>
          <w:bCs/>
          <w:sz w:val="24"/>
          <w:szCs w:val="24"/>
          <w:lang w:val="nl-NL"/>
        </w:rPr>
      </w:pPr>
      <w:r w:rsidRPr="00C30E94">
        <w:rPr>
          <w:rFonts w:ascii="Arial" w:hAnsi="Arial" w:cs="Arial"/>
          <w:b/>
          <w:sz w:val="24"/>
          <w:szCs w:val="24"/>
          <w:lang w:val="nl-NL"/>
        </w:rPr>
        <w:t xml:space="preserve">Biểu 6. </w:t>
      </w:r>
      <w:r w:rsidRPr="00C30E94">
        <w:rPr>
          <w:rFonts w:ascii="Arial" w:hAnsi="Arial" w:cs="Arial"/>
          <w:b/>
          <w:bCs/>
          <w:sz w:val="24"/>
          <w:szCs w:val="24"/>
          <w:lang w:val="nl-NL"/>
        </w:rPr>
        <w:t>Vận tải hành khách 02 tháng đầu năm 2025 phân theo ngành vận tải</w:t>
      </w:r>
    </w:p>
    <w:tbl>
      <w:tblPr>
        <w:tblW w:w="9064" w:type="dxa"/>
        <w:jc w:val="center"/>
        <w:tblLook w:val="04A0" w:firstRow="1" w:lastRow="0" w:firstColumn="1" w:lastColumn="0" w:noHBand="0" w:noVBand="1"/>
      </w:tblPr>
      <w:tblGrid>
        <w:gridCol w:w="2182"/>
        <w:gridCol w:w="1786"/>
        <w:gridCol w:w="1858"/>
        <w:gridCol w:w="1751"/>
        <w:gridCol w:w="1487"/>
      </w:tblGrid>
      <w:tr w:rsidR="00C30E94" w:rsidRPr="00C30E94" w14:paraId="3674C999" w14:textId="77777777" w:rsidTr="008707C3">
        <w:trPr>
          <w:trHeight w:val="737"/>
          <w:tblHeader/>
          <w:jc w:val="center"/>
        </w:trPr>
        <w:tc>
          <w:tcPr>
            <w:tcW w:w="2182" w:type="dxa"/>
            <w:tcBorders>
              <w:top w:val="single" w:sz="4" w:space="0" w:color="auto"/>
              <w:left w:val="nil"/>
              <w:bottom w:val="nil"/>
              <w:right w:val="nil"/>
            </w:tcBorders>
            <w:vAlign w:val="center"/>
            <w:hideMark/>
          </w:tcPr>
          <w:p w14:paraId="146B038A" w14:textId="77777777" w:rsidR="00C66D31" w:rsidRPr="00C30E94" w:rsidRDefault="00C66D31" w:rsidP="00FD1D17">
            <w:pPr>
              <w:rPr>
                <w:rFonts w:ascii="Arial" w:hAnsi="Arial" w:cs="Arial"/>
                <w:b/>
                <w:bCs/>
                <w:sz w:val="24"/>
                <w:szCs w:val="24"/>
                <w:lang w:val="nl-NL"/>
              </w:rPr>
            </w:pPr>
          </w:p>
        </w:tc>
        <w:tc>
          <w:tcPr>
            <w:tcW w:w="3644" w:type="dxa"/>
            <w:gridSpan w:val="2"/>
            <w:tcBorders>
              <w:top w:val="single" w:sz="4" w:space="0" w:color="auto"/>
              <w:left w:val="nil"/>
              <w:bottom w:val="single" w:sz="4" w:space="0" w:color="auto"/>
              <w:right w:val="nil"/>
            </w:tcBorders>
            <w:vAlign w:val="center"/>
            <w:hideMark/>
          </w:tcPr>
          <w:p w14:paraId="68737DED" w14:textId="77777777" w:rsidR="00C66D31" w:rsidRPr="00C30E94" w:rsidRDefault="00C66D31" w:rsidP="00FD1D17">
            <w:pPr>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Số lượt hành khách</w:t>
            </w:r>
          </w:p>
        </w:tc>
        <w:tc>
          <w:tcPr>
            <w:tcW w:w="3238" w:type="dxa"/>
            <w:gridSpan w:val="2"/>
            <w:tcBorders>
              <w:top w:val="single" w:sz="4" w:space="0" w:color="auto"/>
              <w:left w:val="nil"/>
              <w:bottom w:val="single" w:sz="4" w:space="0" w:color="auto"/>
              <w:right w:val="nil"/>
            </w:tcBorders>
            <w:vAlign w:val="center"/>
            <w:hideMark/>
          </w:tcPr>
          <w:p w14:paraId="31B2E12A" w14:textId="77777777" w:rsidR="00C66D31" w:rsidRPr="00C30E94" w:rsidRDefault="00C66D31" w:rsidP="00FD1D17">
            <w:pPr>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Tốc độ tăng/giảm so với</w:t>
            </w:r>
            <w:r w:rsidRPr="00C30E94">
              <w:rPr>
                <w:rFonts w:ascii="Arial" w:hAnsi="Arial" w:cs="Arial"/>
                <w:kern w:val="2"/>
                <w:sz w:val="20"/>
                <w:szCs w:val="20"/>
                <w:lang w:eastAsia="vi-VN"/>
                <w14:ligatures w14:val="standardContextual"/>
              </w:rPr>
              <w:br/>
              <w:t>cùng kỳ năm trước (%)</w:t>
            </w:r>
          </w:p>
        </w:tc>
      </w:tr>
      <w:tr w:rsidR="00C30E94" w:rsidRPr="00C30E94" w14:paraId="206CFA2F" w14:textId="77777777" w:rsidTr="008707C3">
        <w:trPr>
          <w:trHeight w:val="671"/>
          <w:tblHeader/>
          <w:jc w:val="center"/>
        </w:trPr>
        <w:tc>
          <w:tcPr>
            <w:tcW w:w="2182" w:type="dxa"/>
            <w:vAlign w:val="center"/>
            <w:hideMark/>
          </w:tcPr>
          <w:p w14:paraId="3966B50B" w14:textId="77777777" w:rsidR="00C66D31" w:rsidRPr="00C30E94" w:rsidRDefault="00C66D31" w:rsidP="00FD1D17">
            <w:pPr>
              <w:rPr>
                <w:rFonts w:ascii="Arial" w:hAnsi="Arial" w:cs="Arial"/>
                <w:kern w:val="2"/>
                <w:sz w:val="20"/>
                <w:szCs w:val="20"/>
                <w:lang w:eastAsia="vi-VN"/>
                <w14:ligatures w14:val="standardContextual"/>
              </w:rPr>
            </w:pPr>
          </w:p>
        </w:tc>
        <w:tc>
          <w:tcPr>
            <w:tcW w:w="1786" w:type="dxa"/>
            <w:tcBorders>
              <w:top w:val="single" w:sz="4" w:space="0" w:color="auto"/>
              <w:left w:val="nil"/>
              <w:bottom w:val="single" w:sz="4" w:space="0" w:color="auto"/>
              <w:right w:val="nil"/>
            </w:tcBorders>
            <w:vAlign w:val="center"/>
            <w:hideMark/>
          </w:tcPr>
          <w:p w14:paraId="343C4542" w14:textId="77777777" w:rsidR="00C66D31" w:rsidRPr="00C30E94" w:rsidRDefault="00C66D31" w:rsidP="00FD1D17">
            <w:pPr>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Vận chuyển</w:t>
            </w:r>
            <w:r w:rsidRPr="00C30E94">
              <w:rPr>
                <w:rFonts w:ascii="Arial" w:hAnsi="Arial" w:cs="Arial"/>
                <w:kern w:val="2"/>
                <w:sz w:val="20"/>
                <w:szCs w:val="20"/>
                <w:lang w:eastAsia="vi-VN"/>
                <w14:ligatures w14:val="standardContextual"/>
              </w:rPr>
              <w:br/>
              <w:t>(Triệu HK)</w:t>
            </w:r>
          </w:p>
        </w:tc>
        <w:tc>
          <w:tcPr>
            <w:tcW w:w="1858" w:type="dxa"/>
            <w:tcBorders>
              <w:top w:val="single" w:sz="4" w:space="0" w:color="auto"/>
              <w:left w:val="nil"/>
              <w:bottom w:val="single" w:sz="4" w:space="0" w:color="auto"/>
              <w:right w:val="nil"/>
            </w:tcBorders>
            <w:vAlign w:val="center"/>
            <w:hideMark/>
          </w:tcPr>
          <w:p w14:paraId="0739BBCA" w14:textId="77777777" w:rsidR="00C66D31" w:rsidRPr="00C30E94" w:rsidRDefault="00C66D31" w:rsidP="00FD1D17">
            <w:pPr>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Luân chuyển</w:t>
            </w:r>
            <w:r w:rsidRPr="00C30E94">
              <w:rPr>
                <w:rFonts w:ascii="Arial" w:hAnsi="Arial" w:cs="Arial"/>
                <w:kern w:val="2"/>
                <w:sz w:val="20"/>
                <w:szCs w:val="20"/>
                <w:lang w:eastAsia="vi-VN"/>
                <w14:ligatures w14:val="standardContextual"/>
              </w:rPr>
              <w:br/>
              <w:t>(Tỷ HK.km)</w:t>
            </w:r>
          </w:p>
        </w:tc>
        <w:tc>
          <w:tcPr>
            <w:tcW w:w="1751" w:type="dxa"/>
            <w:tcBorders>
              <w:top w:val="single" w:sz="4" w:space="0" w:color="auto"/>
              <w:left w:val="nil"/>
              <w:bottom w:val="single" w:sz="4" w:space="0" w:color="auto"/>
              <w:right w:val="nil"/>
            </w:tcBorders>
            <w:vAlign w:val="center"/>
            <w:hideMark/>
          </w:tcPr>
          <w:p w14:paraId="4CE5DA72" w14:textId="77777777" w:rsidR="00C66D31" w:rsidRPr="00C30E94" w:rsidRDefault="00C66D31" w:rsidP="00FD1D17">
            <w:pPr>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Vận chuyển</w:t>
            </w:r>
          </w:p>
        </w:tc>
        <w:tc>
          <w:tcPr>
            <w:tcW w:w="1486" w:type="dxa"/>
            <w:tcBorders>
              <w:top w:val="single" w:sz="4" w:space="0" w:color="auto"/>
              <w:left w:val="nil"/>
              <w:bottom w:val="single" w:sz="4" w:space="0" w:color="auto"/>
              <w:right w:val="nil"/>
            </w:tcBorders>
            <w:vAlign w:val="center"/>
            <w:hideMark/>
          </w:tcPr>
          <w:p w14:paraId="28FA2BBF" w14:textId="77777777" w:rsidR="00C66D31" w:rsidRPr="00C30E94" w:rsidRDefault="00C66D31" w:rsidP="00FD1D17">
            <w:pPr>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Luân chuyển</w:t>
            </w:r>
          </w:p>
        </w:tc>
      </w:tr>
      <w:tr w:rsidR="00C30E94" w:rsidRPr="00C30E94" w14:paraId="7CCA87F8" w14:textId="77777777" w:rsidTr="008707C3">
        <w:trPr>
          <w:trHeight w:val="470"/>
          <w:jc w:val="center"/>
        </w:trPr>
        <w:tc>
          <w:tcPr>
            <w:tcW w:w="2182" w:type="dxa"/>
            <w:noWrap/>
            <w:vAlign w:val="center"/>
            <w:hideMark/>
          </w:tcPr>
          <w:p w14:paraId="0FC68E9B" w14:textId="77777777" w:rsidR="00C66D31" w:rsidRPr="00C30E94" w:rsidRDefault="00C66D31" w:rsidP="00FD1D17">
            <w:pPr>
              <w:rPr>
                <w:rFonts w:ascii="Arial" w:hAnsi="Arial" w:cs="Arial"/>
                <w:b/>
                <w:bCs/>
                <w:kern w:val="2"/>
                <w:sz w:val="20"/>
                <w:szCs w:val="20"/>
                <w:lang w:eastAsia="vi-VN"/>
                <w14:ligatures w14:val="standardContextual"/>
              </w:rPr>
            </w:pPr>
            <w:r w:rsidRPr="00C30E94">
              <w:rPr>
                <w:rFonts w:ascii="Arial" w:hAnsi="Arial" w:cs="Arial"/>
                <w:b/>
                <w:bCs/>
                <w:kern w:val="2"/>
                <w:sz w:val="20"/>
                <w:szCs w:val="20"/>
                <w:lang w:eastAsia="vi-VN"/>
                <w14:ligatures w14:val="standardContextual"/>
              </w:rPr>
              <w:t>Tổng số</w:t>
            </w:r>
          </w:p>
        </w:tc>
        <w:tc>
          <w:tcPr>
            <w:tcW w:w="1786" w:type="dxa"/>
            <w:tcBorders>
              <w:top w:val="single" w:sz="4" w:space="0" w:color="auto"/>
              <w:left w:val="nil"/>
              <w:bottom w:val="nil"/>
              <w:right w:val="nil"/>
            </w:tcBorders>
            <w:noWrap/>
            <w:vAlign w:val="center"/>
            <w:hideMark/>
          </w:tcPr>
          <w:p w14:paraId="4F598642" w14:textId="77777777" w:rsidR="00C66D31" w:rsidRPr="00C30E94" w:rsidRDefault="00C66D31" w:rsidP="00FD1D17">
            <w:pPr>
              <w:ind w:right="502"/>
              <w:jc w:val="right"/>
              <w:rPr>
                <w:rFonts w:ascii="Arial" w:hAnsi="Arial" w:cs="Arial"/>
                <w:b/>
                <w:bCs/>
                <w:kern w:val="2"/>
                <w:sz w:val="20"/>
                <w:szCs w:val="20"/>
                <w14:ligatures w14:val="standardContextual"/>
              </w:rPr>
            </w:pPr>
            <w:r w:rsidRPr="00C30E94">
              <w:rPr>
                <w:rFonts w:ascii="Arial" w:hAnsi="Arial" w:cs="Arial"/>
                <w:b/>
                <w:bCs/>
                <w:sz w:val="20"/>
                <w:szCs w:val="20"/>
              </w:rPr>
              <w:t>912,4</w:t>
            </w:r>
          </w:p>
        </w:tc>
        <w:tc>
          <w:tcPr>
            <w:tcW w:w="1858" w:type="dxa"/>
            <w:tcBorders>
              <w:top w:val="single" w:sz="4" w:space="0" w:color="auto"/>
              <w:left w:val="nil"/>
              <w:bottom w:val="nil"/>
              <w:right w:val="nil"/>
            </w:tcBorders>
            <w:noWrap/>
            <w:vAlign w:val="center"/>
            <w:hideMark/>
          </w:tcPr>
          <w:p w14:paraId="3880636D" w14:textId="77777777" w:rsidR="00C66D31" w:rsidRPr="00C30E94" w:rsidRDefault="00C66D31" w:rsidP="00FD1D17">
            <w:pPr>
              <w:ind w:right="502"/>
              <w:jc w:val="right"/>
              <w:rPr>
                <w:rFonts w:ascii="Arial" w:hAnsi="Arial" w:cs="Arial"/>
                <w:b/>
                <w:bCs/>
                <w:kern w:val="2"/>
                <w:sz w:val="20"/>
                <w:szCs w:val="20"/>
                <w14:ligatures w14:val="standardContextual"/>
              </w:rPr>
            </w:pPr>
            <w:r w:rsidRPr="00C30E94">
              <w:rPr>
                <w:rFonts w:ascii="Arial" w:hAnsi="Arial" w:cs="Arial"/>
                <w:b/>
                <w:bCs/>
                <w:sz w:val="20"/>
                <w:szCs w:val="20"/>
              </w:rPr>
              <w:t>52,1</w:t>
            </w:r>
          </w:p>
        </w:tc>
        <w:tc>
          <w:tcPr>
            <w:tcW w:w="1751" w:type="dxa"/>
            <w:tcBorders>
              <w:top w:val="single" w:sz="4" w:space="0" w:color="auto"/>
              <w:left w:val="nil"/>
              <w:bottom w:val="nil"/>
              <w:right w:val="nil"/>
            </w:tcBorders>
            <w:noWrap/>
            <w:vAlign w:val="center"/>
            <w:hideMark/>
          </w:tcPr>
          <w:p w14:paraId="30731115" w14:textId="77777777" w:rsidR="00C66D31" w:rsidRPr="00C30E94" w:rsidRDefault="00C66D31" w:rsidP="00FD1D17">
            <w:pPr>
              <w:ind w:right="502"/>
              <w:jc w:val="right"/>
              <w:rPr>
                <w:rFonts w:ascii="Arial" w:hAnsi="Arial" w:cs="Arial"/>
                <w:b/>
                <w:bCs/>
                <w:kern w:val="2"/>
                <w:sz w:val="20"/>
                <w:szCs w:val="20"/>
                <w14:ligatures w14:val="standardContextual"/>
              </w:rPr>
            </w:pPr>
            <w:r w:rsidRPr="00C30E94">
              <w:rPr>
                <w:rFonts w:ascii="Arial" w:hAnsi="Arial" w:cs="Arial"/>
                <w:b/>
                <w:bCs/>
                <w:sz w:val="20"/>
                <w:szCs w:val="20"/>
              </w:rPr>
              <w:t>13,8</w:t>
            </w:r>
          </w:p>
        </w:tc>
        <w:tc>
          <w:tcPr>
            <w:tcW w:w="1486" w:type="dxa"/>
            <w:tcBorders>
              <w:top w:val="single" w:sz="4" w:space="0" w:color="auto"/>
              <w:left w:val="nil"/>
              <w:bottom w:val="nil"/>
              <w:right w:val="nil"/>
            </w:tcBorders>
            <w:noWrap/>
            <w:vAlign w:val="center"/>
            <w:hideMark/>
          </w:tcPr>
          <w:p w14:paraId="49632D38" w14:textId="77777777" w:rsidR="00C66D31" w:rsidRPr="00C30E94" w:rsidRDefault="00C66D31" w:rsidP="00FD1D17">
            <w:pPr>
              <w:ind w:right="502"/>
              <w:jc w:val="right"/>
              <w:rPr>
                <w:rFonts w:ascii="Arial" w:hAnsi="Arial" w:cs="Arial"/>
                <w:b/>
                <w:bCs/>
                <w:kern w:val="2"/>
                <w:sz w:val="20"/>
                <w:szCs w:val="20"/>
                <w14:ligatures w14:val="standardContextual"/>
              </w:rPr>
            </w:pPr>
            <w:r w:rsidRPr="00C30E94">
              <w:rPr>
                <w:rFonts w:ascii="Arial" w:hAnsi="Arial" w:cs="Arial"/>
                <w:b/>
                <w:bCs/>
                <w:sz w:val="20"/>
                <w:szCs w:val="20"/>
              </w:rPr>
              <w:t>16,2</w:t>
            </w:r>
          </w:p>
        </w:tc>
      </w:tr>
      <w:tr w:rsidR="00C30E94" w:rsidRPr="00C30E94" w14:paraId="02436201" w14:textId="77777777" w:rsidTr="008707C3">
        <w:trPr>
          <w:trHeight w:val="391"/>
          <w:jc w:val="center"/>
        </w:trPr>
        <w:tc>
          <w:tcPr>
            <w:tcW w:w="2182" w:type="dxa"/>
            <w:noWrap/>
            <w:vAlign w:val="center"/>
            <w:hideMark/>
          </w:tcPr>
          <w:p w14:paraId="00CF3201" w14:textId="77777777" w:rsidR="00C66D31" w:rsidRPr="00C30E94" w:rsidRDefault="00C66D31" w:rsidP="00FD1D17">
            <w:pPr>
              <w:tabs>
                <w:tab w:val="left" w:pos="407"/>
              </w:tabs>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Đường sắt</w:t>
            </w:r>
          </w:p>
        </w:tc>
        <w:tc>
          <w:tcPr>
            <w:tcW w:w="1786" w:type="dxa"/>
            <w:noWrap/>
            <w:vAlign w:val="center"/>
            <w:hideMark/>
          </w:tcPr>
          <w:p w14:paraId="27BDFC0C"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1,2</w:t>
            </w:r>
          </w:p>
        </w:tc>
        <w:tc>
          <w:tcPr>
            <w:tcW w:w="1858" w:type="dxa"/>
            <w:noWrap/>
            <w:vAlign w:val="center"/>
            <w:hideMark/>
          </w:tcPr>
          <w:p w14:paraId="3E7B2E3B"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0,5</w:t>
            </w:r>
          </w:p>
        </w:tc>
        <w:tc>
          <w:tcPr>
            <w:tcW w:w="1751" w:type="dxa"/>
            <w:noWrap/>
            <w:vAlign w:val="center"/>
            <w:hideMark/>
          </w:tcPr>
          <w:p w14:paraId="16A9528F"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4,9</w:t>
            </w:r>
          </w:p>
        </w:tc>
        <w:tc>
          <w:tcPr>
            <w:tcW w:w="1486" w:type="dxa"/>
            <w:noWrap/>
            <w:vAlign w:val="center"/>
            <w:hideMark/>
          </w:tcPr>
          <w:p w14:paraId="78D0EDE5"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7,3</w:t>
            </w:r>
          </w:p>
        </w:tc>
      </w:tr>
      <w:tr w:rsidR="00C30E94" w:rsidRPr="00C30E94" w14:paraId="42BF75EE" w14:textId="77777777" w:rsidTr="008707C3">
        <w:trPr>
          <w:trHeight w:val="391"/>
          <w:jc w:val="center"/>
        </w:trPr>
        <w:tc>
          <w:tcPr>
            <w:tcW w:w="2182" w:type="dxa"/>
            <w:noWrap/>
            <w:vAlign w:val="center"/>
            <w:hideMark/>
          </w:tcPr>
          <w:p w14:paraId="6E1384EC" w14:textId="77777777" w:rsidR="00C66D31" w:rsidRPr="00C30E94" w:rsidRDefault="00C66D31" w:rsidP="00FD1D17">
            <w:pPr>
              <w:tabs>
                <w:tab w:val="left" w:pos="407"/>
              </w:tabs>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Đường biển</w:t>
            </w:r>
          </w:p>
        </w:tc>
        <w:tc>
          <w:tcPr>
            <w:tcW w:w="1786" w:type="dxa"/>
            <w:noWrap/>
            <w:vAlign w:val="center"/>
            <w:hideMark/>
          </w:tcPr>
          <w:p w14:paraId="7DDF334A"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3,4</w:t>
            </w:r>
          </w:p>
        </w:tc>
        <w:tc>
          <w:tcPr>
            <w:tcW w:w="1858" w:type="dxa"/>
            <w:noWrap/>
            <w:vAlign w:val="center"/>
            <w:hideMark/>
          </w:tcPr>
          <w:p w14:paraId="76BFA1D4"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0,2</w:t>
            </w:r>
          </w:p>
        </w:tc>
        <w:tc>
          <w:tcPr>
            <w:tcW w:w="1751" w:type="dxa"/>
            <w:noWrap/>
            <w:vAlign w:val="center"/>
            <w:hideMark/>
          </w:tcPr>
          <w:p w14:paraId="30B03D46"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-6,4</w:t>
            </w:r>
          </w:p>
        </w:tc>
        <w:tc>
          <w:tcPr>
            <w:tcW w:w="1486" w:type="dxa"/>
            <w:noWrap/>
            <w:vAlign w:val="center"/>
            <w:hideMark/>
          </w:tcPr>
          <w:p w14:paraId="742B78A0"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-12,7</w:t>
            </w:r>
          </w:p>
        </w:tc>
      </w:tr>
      <w:tr w:rsidR="00C30E94" w:rsidRPr="00C30E94" w14:paraId="155817EA" w14:textId="77777777" w:rsidTr="008707C3">
        <w:trPr>
          <w:trHeight w:val="391"/>
          <w:jc w:val="center"/>
        </w:trPr>
        <w:tc>
          <w:tcPr>
            <w:tcW w:w="2182" w:type="dxa"/>
            <w:noWrap/>
            <w:vAlign w:val="center"/>
            <w:hideMark/>
          </w:tcPr>
          <w:p w14:paraId="461C0334" w14:textId="77777777" w:rsidR="00C66D31" w:rsidRPr="00C30E94" w:rsidRDefault="00C66D31" w:rsidP="00FD1D17">
            <w:pPr>
              <w:tabs>
                <w:tab w:val="left" w:pos="407"/>
              </w:tabs>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Đường thủy nội địa</w:t>
            </w:r>
          </w:p>
        </w:tc>
        <w:tc>
          <w:tcPr>
            <w:tcW w:w="1786" w:type="dxa"/>
            <w:noWrap/>
            <w:vAlign w:val="center"/>
            <w:hideMark/>
          </w:tcPr>
          <w:p w14:paraId="3BB3B044"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85,5</w:t>
            </w:r>
          </w:p>
        </w:tc>
        <w:tc>
          <w:tcPr>
            <w:tcW w:w="1858" w:type="dxa"/>
            <w:noWrap/>
            <w:vAlign w:val="center"/>
            <w:hideMark/>
          </w:tcPr>
          <w:p w14:paraId="777DFA64"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1,4</w:t>
            </w:r>
          </w:p>
        </w:tc>
        <w:tc>
          <w:tcPr>
            <w:tcW w:w="1751" w:type="dxa"/>
            <w:noWrap/>
            <w:vAlign w:val="center"/>
            <w:hideMark/>
          </w:tcPr>
          <w:p w14:paraId="36FBB86D"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28,7</w:t>
            </w:r>
          </w:p>
        </w:tc>
        <w:tc>
          <w:tcPr>
            <w:tcW w:w="1486" w:type="dxa"/>
            <w:noWrap/>
            <w:vAlign w:val="center"/>
            <w:hideMark/>
          </w:tcPr>
          <w:p w14:paraId="71DF0F3A"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22,1</w:t>
            </w:r>
          </w:p>
        </w:tc>
      </w:tr>
      <w:tr w:rsidR="00C30E94" w:rsidRPr="00C30E94" w14:paraId="424ABFD1" w14:textId="77777777" w:rsidTr="008707C3">
        <w:trPr>
          <w:trHeight w:val="308"/>
          <w:jc w:val="center"/>
        </w:trPr>
        <w:tc>
          <w:tcPr>
            <w:tcW w:w="2182" w:type="dxa"/>
            <w:noWrap/>
            <w:vAlign w:val="center"/>
            <w:hideMark/>
          </w:tcPr>
          <w:p w14:paraId="6F9A1896" w14:textId="77777777" w:rsidR="00C66D31" w:rsidRPr="00C30E94" w:rsidRDefault="00C66D31" w:rsidP="00FD1D17">
            <w:pPr>
              <w:tabs>
                <w:tab w:val="left" w:pos="407"/>
              </w:tabs>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Đường bộ</w:t>
            </w:r>
          </w:p>
        </w:tc>
        <w:tc>
          <w:tcPr>
            <w:tcW w:w="1786" w:type="dxa"/>
            <w:noWrap/>
            <w:vAlign w:val="center"/>
            <w:hideMark/>
          </w:tcPr>
          <w:p w14:paraId="05AE359F"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812,8</w:t>
            </w:r>
          </w:p>
        </w:tc>
        <w:tc>
          <w:tcPr>
            <w:tcW w:w="1858" w:type="dxa"/>
            <w:noWrap/>
            <w:vAlign w:val="center"/>
            <w:hideMark/>
          </w:tcPr>
          <w:p w14:paraId="074BC372"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33,4</w:t>
            </w:r>
          </w:p>
        </w:tc>
        <w:tc>
          <w:tcPr>
            <w:tcW w:w="1751" w:type="dxa"/>
            <w:noWrap/>
            <w:vAlign w:val="center"/>
            <w:hideMark/>
          </w:tcPr>
          <w:p w14:paraId="0095A61D"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12,6</w:t>
            </w:r>
          </w:p>
        </w:tc>
        <w:tc>
          <w:tcPr>
            <w:tcW w:w="1486" w:type="dxa"/>
            <w:noWrap/>
            <w:vAlign w:val="center"/>
            <w:hideMark/>
          </w:tcPr>
          <w:p w14:paraId="081254C5"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18,3</w:t>
            </w:r>
          </w:p>
        </w:tc>
      </w:tr>
      <w:tr w:rsidR="00C30E94" w:rsidRPr="00C30E94" w14:paraId="1010BDDC" w14:textId="77777777" w:rsidTr="008707C3">
        <w:trPr>
          <w:trHeight w:val="391"/>
          <w:jc w:val="center"/>
        </w:trPr>
        <w:tc>
          <w:tcPr>
            <w:tcW w:w="2182" w:type="dxa"/>
            <w:tcBorders>
              <w:top w:val="nil"/>
              <w:left w:val="nil"/>
              <w:bottom w:val="single" w:sz="4" w:space="0" w:color="auto"/>
              <w:right w:val="nil"/>
            </w:tcBorders>
            <w:noWrap/>
            <w:vAlign w:val="center"/>
            <w:hideMark/>
          </w:tcPr>
          <w:p w14:paraId="48AD8762" w14:textId="77777777" w:rsidR="00C66D31" w:rsidRPr="00C30E94" w:rsidRDefault="00C66D31" w:rsidP="00FD1D17">
            <w:pPr>
              <w:tabs>
                <w:tab w:val="left" w:pos="407"/>
              </w:tabs>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Hàng không</w:t>
            </w:r>
          </w:p>
        </w:tc>
        <w:tc>
          <w:tcPr>
            <w:tcW w:w="1786" w:type="dxa"/>
            <w:tcBorders>
              <w:top w:val="nil"/>
              <w:left w:val="nil"/>
              <w:bottom w:val="single" w:sz="4" w:space="0" w:color="auto"/>
              <w:right w:val="nil"/>
            </w:tcBorders>
            <w:noWrap/>
            <w:vAlign w:val="center"/>
            <w:hideMark/>
          </w:tcPr>
          <w:p w14:paraId="442FA3A7"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9,5</w:t>
            </w:r>
          </w:p>
        </w:tc>
        <w:tc>
          <w:tcPr>
            <w:tcW w:w="1858" w:type="dxa"/>
            <w:tcBorders>
              <w:top w:val="nil"/>
              <w:left w:val="nil"/>
              <w:bottom w:val="single" w:sz="4" w:space="0" w:color="auto"/>
              <w:right w:val="nil"/>
            </w:tcBorders>
            <w:noWrap/>
            <w:vAlign w:val="center"/>
            <w:hideMark/>
          </w:tcPr>
          <w:p w14:paraId="72A60A77"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16,6</w:t>
            </w:r>
          </w:p>
        </w:tc>
        <w:tc>
          <w:tcPr>
            <w:tcW w:w="1751" w:type="dxa"/>
            <w:tcBorders>
              <w:top w:val="nil"/>
              <w:left w:val="nil"/>
              <w:bottom w:val="single" w:sz="4" w:space="0" w:color="auto"/>
              <w:right w:val="nil"/>
            </w:tcBorders>
            <w:noWrap/>
            <w:vAlign w:val="center"/>
            <w:hideMark/>
          </w:tcPr>
          <w:p w14:paraId="66EC7E66"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9,5</w:t>
            </w:r>
          </w:p>
        </w:tc>
        <w:tc>
          <w:tcPr>
            <w:tcW w:w="1486" w:type="dxa"/>
            <w:tcBorders>
              <w:top w:val="nil"/>
              <w:left w:val="nil"/>
              <w:bottom w:val="single" w:sz="4" w:space="0" w:color="auto"/>
              <w:right w:val="nil"/>
            </w:tcBorders>
            <w:noWrap/>
            <w:vAlign w:val="center"/>
            <w:hideMark/>
          </w:tcPr>
          <w:p w14:paraId="19BA02F9" w14:textId="77777777" w:rsidR="00C66D31" w:rsidRPr="00C30E94" w:rsidRDefault="00C66D31" w:rsidP="00FD1D17">
            <w:pPr>
              <w:ind w:right="502"/>
              <w:jc w:val="right"/>
              <w:rPr>
                <w:rFonts w:ascii="Arial" w:hAnsi="Arial" w:cs="Arial"/>
                <w:kern w:val="2"/>
                <w:sz w:val="20"/>
                <w:szCs w:val="20"/>
                <w14:ligatures w14:val="standardContextual"/>
              </w:rPr>
            </w:pPr>
            <w:r w:rsidRPr="00C30E94">
              <w:rPr>
                <w:rFonts w:ascii="Arial" w:hAnsi="Arial" w:cs="Arial"/>
                <w:sz w:val="20"/>
                <w:szCs w:val="20"/>
              </w:rPr>
              <w:t>12,4</w:t>
            </w:r>
          </w:p>
        </w:tc>
      </w:tr>
    </w:tbl>
    <w:p w14:paraId="6D506B9F" w14:textId="77777777" w:rsidR="00C66D31" w:rsidRPr="00C30E94" w:rsidRDefault="00C66D31" w:rsidP="008707C3">
      <w:pPr>
        <w:spacing w:before="120" w:after="120" w:line="288" w:lineRule="auto"/>
        <w:ind w:firstLine="720"/>
        <w:jc w:val="both"/>
        <w:rPr>
          <w:rFonts w:ascii="Arial" w:hAnsi="Arial" w:cs="Arial"/>
          <w:b/>
          <w:sz w:val="24"/>
          <w:szCs w:val="24"/>
        </w:rPr>
      </w:pPr>
      <w:r w:rsidRPr="00C30E94">
        <w:rPr>
          <w:i/>
        </w:rPr>
        <w:lastRenderedPageBreak/>
        <w:t>Vận tải hàng hóa</w:t>
      </w:r>
      <w:r w:rsidRPr="00C30E94">
        <w:t xml:space="preserve"> tháng 02/2025 ước đạt 234,2 triệu tấn hàng hóa vận chuyển, giảm 1,4% so với tháng trước và luân chuyển 48,9 tỷ tấn.km, giảm 0,6%. Tính chung hai tháng đầu năm 2025, vận tải hàng hóa ước đạt 471,8 triệu tấn hàng hóa vận chuyển, tăng 14,5% so với cùng kỳ năm trước và luân chuyển 98,1 tỷ tấn.km, tăng 11,8%. Trong đó, vận tải trong nước ước đạt 463,7 triệu tấn hàng hóa vận chuyển, tăng 14,7% và 59,5 tỷ tấn.km luân chuyển, tăng 8,6% so với cùng kỳ năm trước; vận tải ngoài nước ước đạt 8,1 triệu tấn vận chuyển, tăng 5,8% và 38,6 tỷ tấn.km luân chuyển, tăng 17,0%.</w:t>
      </w:r>
    </w:p>
    <w:p w14:paraId="413DB6A3" w14:textId="6FD48E65" w:rsidR="00C66D31" w:rsidRPr="00C30E94" w:rsidRDefault="00C66D31" w:rsidP="00C66D31">
      <w:pPr>
        <w:spacing w:before="120" w:after="120" w:line="288" w:lineRule="auto"/>
        <w:ind w:firstLine="567"/>
        <w:jc w:val="both"/>
        <w:rPr>
          <w:rFonts w:ascii="Arial" w:hAnsi="Arial" w:cs="Arial"/>
          <w:b/>
          <w:bCs/>
          <w:sz w:val="24"/>
          <w:szCs w:val="24"/>
        </w:rPr>
      </w:pPr>
      <w:r w:rsidRPr="00C30E94">
        <w:rPr>
          <w:rFonts w:ascii="Arial" w:hAnsi="Arial" w:cs="Arial"/>
          <w:b/>
          <w:sz w:val="24"/>
          <w:szCs w:val="24"/>
        </w:rPr>
        <w:t xml:space="preserve">Biểu 7. </w:t>
      </w:r>
      <w:r w:rsidRPr="00C30E94">
        <w:rPr>
          <w:rFonts w:ascii="Arial" w:hAnsi="Arial" w:cs="Arial"/>
          <w:b/>
          <w:bCs/>
          <w:sz w:val="24"/>
          <w:szCs w:val="24"/>
        </w:rPr>
        <w:t xml:space="preserve">Vận tải hàng hóa 02 tháng </w:t>
      </w:r>
      <w:r w:rsidR="00516CB1">
        <w:rPr>
          <w:rFonts w:ascii="Arial" w:hAnsi="Arial" w:cs="Arial"/>
          <w:b/>
          <w:bCs/>
          <w:sz w:val="24"/>
          <w:szCs w:val="24"/>
          <w:lang w:val="en-US"/>
        </w:rPr>
        <w:t xml:space="preserve">đầu </w:t>
      </w:r>
      <w:r w:rsidRPr="00C30E94">
        <w:rPr>
          <w:rFonts w:ascii="Arial" w:hAnsi="Arial" w:cs="Arial"/>
          <w:b/>
          <w:bCs/>
          <w:sz w:val="24"/>
          <w:szCs w:val="24"/>
        </w:rPr>
        <w:t>năm 2025 phân theo ngành vận tải</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1809"/>
        <w:gridCol w:w="1875"/>
        <w:gridCol w:w="1770"/>
        <w:gridCol w:w="1504"/>
      </w:tblGrid>
      <w:tr w:rsidR="00C30E94" w:rsidRPr="00C30E94" w14:paraId="7DE3C42B" w14:textId="77777777" w:rsidTr="005F34BC">
        <w:trPr>
          <w:trHeight w:val="836"/>
          <w:jc w:val="center"/>
        </w:trPr>
        <w:tc>
          <w:tcPr>
            <w:tcW w:w="2206" w:type="dxa"/>
            <w:tcBorders>
              <w:top w:val="single" w:sz="4" w:space="0" w:color="auto"/>
              <w:left w:val="nil"/>
              <w:bottom w:val="nil"/>
              <w:right w:val="nil"/>
            </w:tcBorders>
            <w:vAlign w:val="center"/>
            <w:hideMark/>
          </w:tcPr>
          <w:p w14:paraId="77945910" w14:textId="77777777" w:rsidR="00C66D31" w:rsidRPr="00C30E94" w:rsidRDefault="00C66D31" w:rsidP="0051761D">
            <w:pPr>
              <w:rPr>
                <w:rFonts w:ascii="Arial" w:hAnsi="Arial" w:cs="Arial"/>
                <w:b/>
                <w:bCs/>
                <w:sz w:val="24"/>
                <w:szCs w:val="24"/>
              </w:rPr>
            </w:pPr>
          </w:p>
        </w:tc>
        <w:tc>
          <w:tcPr>
            <w:tcW w:w="3684" w:type="dxa"/>
            <w:gridSpan w:val="2"/>
            <w:tcBorders>
              <w:top w:val="single" w:sz="4" w:space="0" w:color="auto"/>
              <w:left w:val="nil"/>
              <w:bottom w:val="single" w:sz="4" w:space="0" w:color="auto"/>
              <w:right w:val="nil"/>
            </w:tcBorders>
            <w:vAlign w:val="center"/>
            <w:hideMark/>
          </w:tcPr>
          <w:p w14:paraId="1129B074" w14:textId="77777777" w:rsidR="00C66D31" w:rsidRPr="00C30E94" w:rsidRDefault="00C66D31" w:rsidP="0051761D">
            <w:pPr>
              <w:spacing w:line="256" w:lineRule="auto"/>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Sản lượng hàng hóa</w:t>
            </w:r>
          </w:p>
        </w:tc>
        <w:tc>
          <w:tcPr>
            <w:tcW w:w="3274" w:type="dxa"/>
            <w:gridSpan w:val="2"/>
            <w:tcBorders>
              <w:top w:val="single" w:sz="4" w:space="0" w:color="auto"/>
              <w:left w:val="nil"/>
              <w:bottom w:val="single" w:sz="4" w:space="0" w:color="auto"/>
              <w:right w:val="nil"/>
            </w:tcBorders>
            <w:vAlign w:val="center"/>
            <w:hideMark/>
          </w:tcPr>
          <w:p w14:paraId="07630C83" w14:textId="77777777" w:rsidR="00C66D31" w:rsidRPr="00C30E94" w:rsidRDefault="00C66D31" w:rsidP="0051761D">
            <w:pPr>
              <w:spacing w:line="256" w:lineRule="auto"/>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Tốc độ tăng/giảm so với</w:t>
            </w:r>
            <w:r w:rsidRPr="00C30E94">
              <w:rPr>
                <w:rFonts w:ascii="Arial" w:hAnsi="Arial" w:cs="Arial"/>
                <w:kern w:val="2"/>
                <w:sz w:val="20"/>
                <w:szCs w:val="20"/>
                <w:lang w:eastAsia="vi-VN"/>
                <w14:ligatures w14:val="standardContextual"/>
              </w:rPr>
              <w:br/>
              <w:t>cùng kỳ năm trước (%)</w:t>
            </w:r>
          </w:p>
        </w:tc>
      </w:tr>
      <w:tr w:rsidR="00C30E94" w:rsidRPr="00C30E94" w14:paraId="210E61AA" w14:textId="77777777" w:rsidTr="005F34BC">
        <w:trPr>
          <w:trHeight w:val="387"/>
          <w:jc w:val="center"/>
        </w:trPr>
        <w:tc>
          <w:tcPr>
            <w:tcW w:w="2206" w:type="dxa"/>
            <w:tcBorders>
              <w:top w:val="nil"/>
              <w:left w:val="nil"/>
              <w:bottom w:val="single" w:sz="4" w:space="0" w:color="auto"/>
              <w:right w:val="nil"/>
            </w:tcBorders>
            <w:vAlign w:val="center"/>
            <w:hideMark/>
          </w:tcPr>
          <w:p w14:paraId="25E9A9DF" w14:textId="77777777" w:rsidR="00C66D31" w:rsidRPr="00C30E94" w:rsidRDefault="00C66D31" w:rsidP="0051761D">
            <w:pPr>
              <w:rPr>
                <w:rFonts w:ascii="Arial" w:hAnsi="Arial" w:cs="Arial"/>
                <w:kern w:val="2"/>
                <w:sz w:val="20"/>
                <w:szCs w:val="20"/>
                <w:lang w:eastAsia="vi-VN"/>
                <w14:ligatures w14:val="standardContextual"/>
              </w:rPr>
            </w:pPr>
          </w:p>
        </w:tc>
        <w:tc>
          <w:tcPr>
            <w:tcW w:w="1809" w:type="dxa"/>
            <w:tcBorders>
              <w:top w:val="single" w:sz="4" w:space="0" w:color="auto"/>
              <w:left w:val="nil"/>
              <w:bottom w:val="single" w:sz="4" w:space="0" w:color="auto"/>
              <w:right w:val="nil"/>
            </w:tcBorders>
            <w:vAlign w:val="center"/>
            <w:hideMark/>
          </w:tcPr>
          <w:p w14:paraId="10269A6B" w14:textId="77777777" w:rsidR="00C66D31" w:rsidRPr="00C30E94" w:rsidRDefault="00C66D31" w:rsidP="0051761D">
            <w:pPr>
              <w:spacing w:line="256" w:lineRule="auto"/>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Vận chuyển</w:t>
            </w:r>
            <w:r w:rsidRPr="00C30E94">
              <w:rPr>
                <w:rFonts w:ascii="Arial" w:hAnsi="Arial" w:cs="Arial"/>
                <w:kern w:val="2"/>
                <w:sz w:val="20"/>
                <w:szCs w:val="20"/>
                <w:lang w:eastAsia="vi-VN"/>
                <w14:ligatures w14:val="standardContextual"/>
              </w:rPr>
              <w:br/>
              <w:t>(Triệu tấn)</w:t>
            </w:r>
          </w:p>
        </w:tc>
        <w:tc>
          <w:tcPr>
            <w:tcW w:w="1874" w:type="dxa"/>
            <w:tcBorders>
              <w:top w:val="single" w:sz="4" w:space="0" w:color="auto"/>
              <w:left w:val="nil"/>
              <w:bottom w:val="single" w:sz="4" w:space="0" w:color="auto"/>
              <w:right w:val="nil"/>
            </w:tcBorders>
            <w:vAlign w:val="center"/>
            <w:hideMark/>
          </w:tcPr>
          <w:p w14:paraId="33FEBC82" w14:textId="77777777" w:rsidR="00C66D31" w:rsidRPr="00C30E94" w:rsidRDefault="00C66D31" w:rsidP="0051761D">
            <w:pPr>
              <w:spacing w:line="256" w:lineRule="auto"/>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Luân chuyển</w:t>
            </w:r>
            <w:r w:rsidRPr="00C30E94">
              <w:rPr>
                <w:rFonts w:ascii="Arial" w:hAnsi="Arial" w:cs="Arial"/>
                <w:kern w:val="2"/>
                <w:sz w:val="20"/>
                <w:szCs w:val="20"/>
                <w:lang w:eastAsia="vi-VN"/>
                <w14:ligatures w14:val="standardContextual"/>
              </w:rPr>
              <w:br/>
              <w:t>(Tỷ tấn.km)</w:t>
            </w:r>
          </w:p>
        </w:tc>
        <w:tc>
          <w:tcPr>
            <w:tcW w:w="1770" w:type="dxa"/>
            <w:tcBorders>
              <w:top w:val="single" w:sz="4" w:space="0" w:color="auto"/>
              <w:left w:val="nil"/>
              <w:bottom w:val="single" w:sz="4" w:space="0" w:color="auto"/>
              <w:right w:val="nil"/>
            </w:tcBorders>
            <w:vAlign w:val="center"/>
            <w:hideMark/>
          </w:tcPr>
          <w:p w14:paraId="4E92A590" w14:textId="77777777" w:rsidR="00C66D31" w:rsidRPr="00C30E94" w:rsidRDefault="00C66D31" w:rsidP="0051761D">
            <w:pPr>
              <w:spacing w:line="256" w:lineRule="auto"/>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Vận chuyển</w:t>
            </w:r>
          </w:p>
        </w:tc>
        <w:tc>
          <w:tcPr>
            <w:tcW w:w="1503" w:type="dxa"/>
            <w:tcBorders>
              <w:top w:val="single" w:sz="4" w:space="0" w:color="auto"/>
              <w:left w:val="nil"/>
              <w:bottom w:val="single" w:sz="4" w:space="0" w:color="auto"/>
              <w:right w:val="nil"/>
            </w:tcBorders>
            <w:vAlign w:val="center"/>
            <w:hideMark/>
          </w:tcPr>
          <w:p w14:paraId="6AE65316" w14:textId="77777777" w:rsidR="00C66D31" w:rsidRPr="00C30E94" w:rsidRDefault="00C66D31" w:rsidP="0051761D">
            <w:pPr>
              <w:spacing w:line="256" w:lineRule="auto"/>
              <w:jc w:val="center"/>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Luân chuyển</w:t>
            </w:r>
          </w:p>
        </w:tc>
      </w:tr>
      <w:tr w:rsidR="00C30E94" w:rsidRPr="00C30E94" w14:paraId="1C4346A3" w14:textId="77777777" w:rsidTr="005F34BC">
        <w:trPr>
          <w:trHeight w:val="351"/>
          <w:jc w:val="center"/>
        </w:trPr>
        <w:tc>
          <w:tcPr>
            <w:tcW w:w="2206" w:type="dxa"/>
            <w:tcBorders>
              <w:top w:val="single" w:sz="4" w:space="0" w:color="auto"/>
              <w:left w:val="nil"/>
              <w:bottom w:val="nil"/>
              <w:right w:val="nil"/>
            </w:tcBorders>
            <w:noWrap/>
            <w:vAlign w:val="center"/>
            <w:hideMark/>
          </w:tcPr>
          <w:p w14:paraId="3FC5752C" w14:textId="77777777" w:rsidR="00C66D31" w:rsidRPr="00C30E94" w:rsidRDefault="00C66D31" w:rsidP="0051761D">
            <w:pPr>
              <w:spacing w:before="60" w:after="60" w:line="257" w:lineRule="auto"/>
              <w:rPr>
                <w:rFonts w:ascii="Arial" w:hAnsi="Arial" w:cs="Arial"/>
                <w:b/>
                <w:bCs/>
                <w:kern w:val="2"/>
                <w:sz w:val="20"/>
                <w:szCs w:val="20"/>
                <w:lang w:eastAsia="vi-VN"/>
                <w14:ligatures w14:val="standardContextual"/>
              </w:rPr>
            </w:pPr>
            <w:r w:rsidRPr="00C30E94">
              <w:rPr>
                <w:rFonts w:ascii="Arial" w:hAnsi="Arial" w:cs="Arial"/>
                <w:b/>
                <w:bCs/>
                <w:kern w:val="2"/>
                <w:sz w:val="20"/>
                <w:szCs w:val="20"/>
                <w:lang w:eastAsia="vi-VN"/>
                <w14:ligatures w14:val="standardContextual"/>
              </w:rPr>
              <w:t>Tổng số</w:t>
            </w:r>
          </w:p>
        </w:tc>
        <w:tc>
          <w:tcPr>
            <w:tcW w:w="1809" w:type="dxa"/>
            <w:tcBorders>
              <w:top w:val="single" w:sz="4" w:space="0" w:color="auto"/>
              <w:left w:val="nil"/>
              <w:bottom w:val="nil"/>
              <w:right w:val="nil"/>
            </w:tcBorders>
            <w:noWrap/>
            <w:vAlign w:val="center"/>
            <w:hideMark/>
          </w:tcPr>
          <w:p w14:paraId="152CFE97" w14:textId="77777777" w:rsidR="00C66D31" w:rsidRPr="00C30E94" w:rsidRDefault="00C66D31" w:rsidP="0051761D">
            <w:pPr>
              <w:spacing w:before="60" w:after="60" w:line="257" w:lineRule="auto"/>
              <w:ind w:right="447"/>
              <w:jc w:val="right"/>
              <w:rPr>
                <w:rFonts w:ascii="Arial" w:hAnsi="Arial" w:cs="Arial"/>
                <w:b/>
                <w:bCs/>
                <w:kern w:val="2"/>
                <w:sz w:val="20"/>
                <w:szCs w:val="20"/>
                <w14:ligatures w14:val="standardContextual"/>
              </w:rPr>
            </w:pPr>
            <w:r w:rsidRPr="00C30E94">
              <w:rPr>
                <w:rFonts w:ascii="Arial" w:hAnsi="Arial" w:cs="Arial"/>
                <w:b/>
                <w:bCs/>
                <w:sz w:val="20"/>
                <w:szCs w:val="20"/>
              </w:rPr>
              <w:t>471,8</w:t>
            </w:r>
          </w:p>
        </w:tc>
        <w:tc>
          <w:tcPr>
            <w:tcW w:w="1874" w:type="dxa"/>
            <w:tcBorders>
              <w:top w:val="single" w:sz="4" w:space="0" w:color="auto"/>
              <w:left w:val="nil"/>
              <w:bottom w:val="nil"/>
              <w:right w:val="nil"/>
            </w:tcBorders>
            <w:noWrap/>
            <w:vAlign w:val="center"/>
            <w:hideMark/>
          </w:tcPr>
          <w:p w14:paraId="7A2FA604" w14:textId="77777777" w:rsidR="00C66D31" w:rsidRPr="00C30E94" w:rsidRDefault="00C66D31" w:rsidP="0051761D">
            <w:pPr>
              <w:spacing w:before="60" w:after="60" w:line="257" w:lineRule="auto"/>
              <w:ind w:right="447"/>
              <w:jc w:val="right"/>
              <w:rPr>
                <w:rFonts w:ascii="Arial" w:hAnsi="Arial" w:cs="Arial"/>
                <w:b/>
                <w:bCs/>
                <w:kern w:val="2"/>
                <w:sz w:val="20"/>
                <w:szCs w:val="20"/>
                <w14:ligatures w14:val="standardContextual"/>
              </w:rPr>
            </w:pPr>
            <w:r w:rsidRPr="00C30E94">
              <w:rPr>
                <w:rFonts w:ascii="Arial" w:hAnsi="Arial" w:cs="Arial"/>
                <w:b/>
                <w:bCs/>
                <w:sz w:val="20"/>
                <w:szCs w:val="20"/>
              </w:rPr>
              <w:t>98,1</w:t>
            </w:r>
          </w:p>
        </w:tc>
        <w:tc>
          <w:tcPr>
            <w:tcW w:w="1770" w:type="dxa"/>
            <w:tcBorders>
              <w:top w:val="single" w:sz="4" w:space="0" w:color="auto"/>
              <w:left w:val="nil"/>
              <w:bottom w:val="nil"/>
              <w:right w:val="nil"/>
            </w:tcBorders>
            <w:noWrap/>
            <w:vAlign w:val="center"/>
          </w:tcPr>
          <w:p w14:paraId="1100EC61" w14:textId="36F7D01B" w:rsidR="00C66D31" w:rsidRPr="00C30E94" w:rsidRDefault="00463A5E" w:rsidP="0051761D">
            <w:pPr>
              <w:spacing w:before="60" w:after="60" w:line="257" w:lineRule="auto"/>
              <w:ind w:right="447"/>
              <w:jc w:val="right"/>
              <w:rPr>
                <w:rFonts w:ascii="Arial" w:hAnsi="Arial" w:cs="Arial"/>
                <w:b/>
                <w:bCs/>
                <w:kern w:val="2"/>
                <w:sz w:val="20"/>
                <w:szCs w:val="20"/>
                <w:lang w:val="en-US"/>
                <w14:ligatures w14:val="standardContextual"/>
              </w:rPr>
            </w:pPr>
            <w:r w:rsidRPr="00C30E94">
              <w:rPr>
                <w:rFonts w:ascii="Arial" w:hAnsi="Arial" w:cs="Arial"/>
                <w:b/>
                <w:bCs/>
                <w:kern w:val="2"/>
                <w:sz w:val="20"/>
                <w:szCs w:val="20"/>
                <w:lang w:val="en-US"/>
                <w14:ligatures w14:val="standardContextual"/>
              </w:rPr>
              <w:t>14,5</w:t>
            </w:r>
          </w:p>
        </w:tc>
        <w:tc>
          <w:tcPr>
            <w:tcW w:w="1503" w:type="dxa"/>
            <w:tcBorders>
              <w:top w:val="single" w:sz="4" w:space="0" w:color="auto"/>
              <w:left w:val="nil"/>
              <w:bottom w:val="nil"/>
              <w:right w:val="nil"/>
            </w:tcBorders>
            <w:noWrap/>
            <w:vAlign w:val="center"/>
          </w:tcPr>
          <w:p w14:paraId="6B7901B4" w14:textId="12B7356E" w:rsidR="00C66D31" w:rsidRPr="00C30E94" w:rsidRDefault="00463A5E" w:rsidP="0051761D">
            <w:pPr>
              <w:spacing w:before="60" w:after="60" w:line="257" w:lineRule="auto"/>
              <w:ind w:right="447"/>
              <w:jc w:val="right"/>
              <w:rPr>
                <w:rFonts w:ascii="Arial" w:hAnsi="Arial" w:cs="Arial"/>
                <w:b/>
                <w:bCs/>
                <w:kern w:val="2"/>
                <w:sz w:val="20"/>
                <w:szCs w:val="20"/>
                <w:lang w:val="en-US"/>
                <w14:ligatures w14:val="standardContextual"/>
              </w:rPr>
            </w:pPr>
            <w:r w:rsidRPr="00C30E94">
              <w:rPr>
                <w:rFonts w:ascii="Arial" w:hAnsi="Arial" w:cs="Arial"/>
                <w:b/>
                <w:bCs/>
                <w:kern w:val="2"/>
                <w:sz w:val="20"/>
                <w:szCs w:val="20"/>
                <w:lang w:val="en-US"/>
                <w14:ligatures w14:val="standardContextual"/>
              </w:rPr>
              <w:t>11,8</w:t>
            </w:r>
          </w:p>
        </w:tc>
      </w:tr>
      <w:tr w:rsidR="00C30E94" w:rsidRPr="00C30E94" w14:paraId="6A42A200" w14:textId="77777777" w:rsidTr="005F34BC">
        <w:trPr>
          <w:trHeight w:val="292"/>
          <w:jc w:val="center"/>
        </w:trPr>
        <w:tc>
          <w:tcPr>
            <w:tcW w:w="2206" w:type="dxa"/>
            <w:tcBorders>
              <w:top w:val="nil"/>
              <w:left w:val="nil"/>
              <w:bottom w:val="nil"/>
              <w:right w:val="nil"/>
            </w:tcBorders>
            <w:noWrap/>
            <w:vAlign w:val="center"/>
            <w:hideMark/>
          </w:tcPr>
          <w:p w14:paraId="5BF99296" w14:textId="77777777" w:rsidR="00C66D31" w:rsidRPr="00C30E94" w:rsidRDefault="00C66D31" w:rsidP="0051761D">
            <w:pPr>
              <w:tabs>
                <w:tab w:val="left" w:pos="407"/>
              </w:tabs>
              <w:spacing w:before="60" w:after="60" w:line="257" w:lineRule="auto"/>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Đường sắt</w:t>
            </w:r>
          </w:p>
        </w:tc>
        <w:tc>
          <w:tcPr>
            <w:tcW w:w="1809" w:type="dxa"/>
            <w:tcBorders>
              <w:top w:val="nil"/>
              <w:left w:val="nil"/>
              <w:bottom w:val="nil"/>
              <w:right w:val="nil"/>
            </w:tcBorders>
            <w:noWrap/>
            <w:vAlign w:val="center"/>
            <w:hideMark/>
          </w:tcPr>
          <w:p w14:paraId="10796740"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0,7</w:t>
            </w:r>
          </w:p>
        </w:tc>
        <w:tc>
          <w:tcPr>
            <w:tcW w:w="1874" w:type="dxa"/>
            <w:tcBorders>
              <w:top w:val="nil"/>
              <w:left w:val="nil"/>
              <w:bottom w:val="nil"/>
              <w:right w:val="nil"/>
            </w:tcBorders>
            <w:noWrap/>
            <w:vAlign w:val="center"/>
            <w:hideMark/>
          </w:tcPr>
          <w:p w14:paraId="1C7AC52A"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0,5</w:t>
            </w:r>
          </w:p>
        </w:tc>
        <w:tc>
          <w:tcPr>
            <w:tcW w:w="1770" w:type="dxa"/>
            <w:tcBorders>
              <w:top w:val="nil"/>
              <w:left w:val="nil"/>
              <w:bottom w:val="nil"/>
              <w:right w:val="nil"/>
            </w:tcBorders>
            <w:noWrap/>
            <w:vAlign w:val="center"/>
          </w:tcPr>
          <w:p w14:paraId="2CEA979A" w14:textId="50098AEE"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-0,9</w:t>
            </w:r>
          </w:p>
        </w:tc>
        <w:tc>
          <w:tcPr>
            <w:tcW w:w="1503" w:type="dxa"/>
            <w:tcBorders>
              <w:top w:val="nil"/>
              <w:left w:val="nil"/>
              <w:bottom w:val="nil"/>
              <w:right w:val="nil"/>
            </w:tcBorders>
            <w:noWrap/>
            <w:vAlign w:val="center"/>
          </w:tcPr>
          <w:p w14:paraId="3EC6C364" w14:textId="307DA91B"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-4,8</w:t>
            </w:r>
          </w:p>
        </w:tc>
      </w:tr>
      <w:tr w:rsidR="00C30E94" w:rsidRPr="00C30E94" w14:paraId="514C0A6E" w14:textId="77777777" w:rsidTr="005F34BC">
        <w:trPr>
          <w:trHeight w:val="292"/>
          <w:jc w:val="center"/>
        </w:trPr>
        <w:tc>
          <w:tcPr>
            <w:tcW w:w="2206" w:type="dxa"/>
            <w:tcBorders>
              <w:top w:val="nil"/>
              <w:left w:val="nil"/>
              <w:bottom w:val="nil"/>
              <w:right w:val="nil"/>
            </w:tcBorders>
            <w:noWrap/>
            <w:vAlign w:val="center"/>
            <w:hideMark/>
          </w:tcPr>
          <w:p w14:paraId="194DCF91" w14:textId="77777777" w:rsidR="00C66D31" w:rsidRPr="00C30E94" w:rsidRDefault="00C66D31" w:rsidP="0051761D">
            <w:pPr>
              <w:tabs>
                <w:tab w:val="left" w:pos="407"/>
              </w:tabs>
              <w:spacing w:before="60" w:after="60" w:line="257" w:lineRule="auto"/>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Đường biển</w:t>
            </w:r>
          </w:p>
        </w:tc>
        <w:tc>
          <w:tcPr>
            <w:tcW w:w="1809" w:type="dxa"/>
            <w:tcBorders>
              <w:top w:val="nil"/>
              <w:left w:val="nil"/>
              <w:bottom w:val="nil"/>
              <w:right w:val="nil"/>
            </w:tcBorders>
            <w:noWrap/>
            <w:vAlign w:val="center"/>
            <w:hideMark/>
          </w:tcPr>
          <w:p w14:paraId="5920A0ED"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27,2</w:t>
            </w:r>
          </w:p>
        </w:tc>
        <w:tc>
          <w:tcPr>
            <w:tcW w:w="1874" w:type="dxa"/>
            <w:tcBorders>
              <w:top w:val="nil"/>
              <w:left w:val="nil"/>
              <w:bottom w:val="nil"/>
              <w:right w:val="nil"/>
            </w:tcBorders>
            <w:noWrap/>
            <w:vAlign w:val="center"/>
            <w:hideMark/>
          </w:tcPr>
          <w:p w14:paraId="53CA873A"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56,5</w:t>
            </w:r>
          </w:p>
        </w:tc>
        <w:tc>
          <w:tcPr>
            <w:tcW w:w="1770" w:type="dxa"/>
            <w:tcBorders>
              <w:top w:val="nil"/>
              <w:left w:val="nil"/>
              <w:bottom w:val="nil"/>
              <w:right w:val="nil"/>
            </w:tcBorders>
            <w:noWrap/>
            <w:vAlign w:val="center"/>
          </w:tcPr>
          <w:p w14:paraId="1BB2A1D3" w14:textId="04420E05"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25,9</w:t>
            </w:r>
          </w:p>
        </w:tc>
        <w:tc>
          <w:tcPr>
            <w:tcW w:w="1503" w:type="dxa"/>
            <w:tcBorders>
              <w:top w:val="nil"/>
              <w:left w:val="nil"/>
              <w:bottom w:val="nil"/>
              <w:right w:val="nil"/>
            </w:tcBorders>
            <w:noWrap/>
            <w:vAlign w:val="center"/>
          </w:tcPr>
          <w:p w14:paraId="2EF6E8C1" w14:textId="48CFC7AE"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24,9</w:t>
            </w:r>
          </w:p>
        </w:tc>
      </w:tr>
      <w:tr w:rsidR="00C30E94" w:rsidRPr="00C30E94" w14:paraId="0523FE4C" w14:textId="77777777" w:rsidTr="005F34BC">
        <w:trPr>
          <w:trHeight w:val="292"/>
          <w:jc w:val="center"/>
        </w:trPr>
        <w:tc>
          <w:tcPr>
            <w:tcW w:w="2206" w:type="dxa"/>
            <w:tcBorders>
              <w:top w:val="nil"/>
              <w:left w:val="nil"/>
              <w:bottom w:val="nil"/>
              <w:right w:val="nil"/>
            </w:tcBorders>
            <w:noWrap/>
            <w:vAlign w:val="center"/>
            <w:hideMark/>
          </w:tcPr>
          <w:p w14:paraId="6D390163" w14:textId="77777777" w:rsidR="00C66D31" w:rsidRPr="00C30E94" w:rsidRDefault="00C66D31" w:rsidP="0051761D">
            <w:pPr>
              <w:tabs>
                <w:tab w:val="left" w:pos="407"/>
              </w:tabs>
              <w:spacing w:before="60" w:after="60" w:line="257" w:lineRule="auto"/>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Đường thủy nội địa</w:t>
            </w:r>
          </w:p>
        </w:tc>
        <w:tc>
          <w:tcPr>
            <w:tcW w:w="1809" w:type="dxa"/>
            <w:tcBorders>
              <w:top w:val="nil"/>
              <w:left w:val="nil"/>
              <w:bottom w:val="nil"/>
              <w:right w:val="nil"/>
            </w:tcBorders>
            <w:noWrap/>
            <w:vAlign w:val="center"/>
            <w:hideMark/>
          </w:tcPr>
          <w:p w14:paraId="3EF73497"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97,5</w:t>
            </w:r>
          </w:p>
        </w:tc>
        <w:tc>
          <w:tcPr>
            <w:tcW w:w="1874" w:type="dxa"/>
            <w:tcBorders>
              <w:top w:val="nil"/>
              <w:left w:val="nil"/>
              <w:bottom w:val="nil"/>
              <w:right w:val="nil"/>
            </w:tcBorders>
            <w:noWrap/>
            <w:vAlign w:val="center"/>
            <w:hideMark/>
          </w:tcPr>
          <w:p w14:paraId="2CA967FD"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18,3</w:t>
            </w:r>
          </w:p>
        </w:tc>
        <w:tc>
          <w:tcPr>
            <w:tcW w:w="1770" w:type="dxa"/>
            <w:tcBorders>
              <w:top w:val="nil"/>
              <w:left w:val="nil"/>
              <w:bottom w:val="nil"/>
              <w:right w:val="nil"/>
            </w:tcBorders>
            <w:noWrap/>
            <w:vAlign w:val="center"/>
          </w:tcPr>
          <w:p w14:paraId="7A07144C" w14:textId="58FFC5DA"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8,7</w:t>
            </w:r>
          </w:p>
        </w:tc>
        <w:tc>
          <w:tcPr>
            <w:tcW w:w="1503" w:type="dxa"/>
            <w:tcBorders>
              <w:top w:val="nil"/>
              <w:left w:val="nil"/>
              <w:bottom w:val="nil"/>
              <w:right w:val="nil"/>
            </w:tcBorders>
            <w:noWrap/>
            <w:vAlign w:val="center"/>
          </w:tcPr>
          <w:p w14:paraId="7CA29B12" w14:textId="736267A1"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-7,6</w:t>
            </w:r>
          </w:p>
        </w:tc>
      </w:tr>
      <w:tr w:rsidR="00C30E94" w:rsidRPr="00C30E94" w14:paraId="68234F99" w14:textId="77777777" w:rsidTr="005F34BC">
        <w:trPr>
          <w:trHeight w:val="278"/>
          <w:jc w:val="center"/>
        </w:trPr>
        <w:tc>
          <w:tcPr>
            <w:tcW w:w="2206" w:type="dxa"/>
            <w:tcBorders>
              <w:top w:val="nil"/>
              <w:left w:val="nil"/>
              <w:bottom w:val="nil"/>
              <w:right w:val="nil"/>
            </w:tcBorders>
            <w:noWrap/>
            <w:vAlign w:val="center"/>
            <w:hideMark/>
          </w:tcPr>
          <w:p w14:paraId="50DF6DB8" w14:textId="77777777" w:rsidR="00C66D31" w:rsidRPr="00C30E94" w:rsidRDefault="00C66D31" w:rsidP="0051761D">
            <w:pPr>
              <w:tabs>
                <w:tab w:val="left" w:pos="407"/>
              </w:tabs>
              <w:spacing w:before="60" w:after="60" w:line="257" w:lineRule="auto"/>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Đường bộ</w:t>
            </w:r>
          </w:p>
        </w:tc>
        <w:tc>
          <w:tcPr>
            <w:tcW w:w="1809" w:type="dxa"/>
            <w:tcBorders>
              <w:top w:val="nil"/>
              <w:left w:val="nil"/>
              <w:bottom w:val="nil"/>
              <w:right w:val="nil"/>
            </w:tcBorders>
            <w:noWrap/>
            <w:vAlign w:val="center"/>
            <w:hideMark/>
          </w:tcPr>
          <w:p w14:paraId="268109F5"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346,3</w:t>
            </w:r>
          </w:p>
        </w:tc>
        <w:tc>
          <w:tcPr>
            <w:tcW w:w="1874" w:type="dxa"/>
            <w:tcBorders>
              <w:top w:val="nil"/>
              <w:left w:val="nil"/>
              <w:bottom w:val="nil"/>
              <w:right w:val="nil"/>
            </w:tcBorders>
            <w:noWrap/>
            <w:vAlign w:val="center"/>
            <w:hideMark/>
          </w:tcPr>
          <w:p w14:paraId="3F67B4E0"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21,1</w:t>
            </w:r>
          </w:p>
        </w:tc>
        <w:tc>
          <w:tcPr>
            <w:tcW w:w="1770" w:type="dxa"/>
            <w:tcBorders>
              <w:top w:val="nil"/>
              <w:left w:val="nil"/>
              <w:bottom w:val="nil"/>
              <w:right w:val="nil"/>
            </w:tcBorders>
            <w:noWrap/>
            <w:vAlign w:val="center"/>
          </w:tcPr>
          <w:p w14:paraId="0892CA0C" w14:textId="6F876DCB"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15,5</w:t>
            </w:r>
          </w:p>
        </w:tc>
        <w:tc>
          <w:tcPr>
            <w:tcW w:w="1503" w:type="dxa"/>
            <w:tcBorders>
              <w:top w:val="nil"/>
              <w:left w:val="nil"/>
              <w:bottom w:val="nil"/>
              <w:right w:val="nil"/>
            </w:tcBorders>
            <w:noWrap/>
            <w:vAlign w:val="center"/>
          </w:tcPr>
          <w:p w14:paraId="025DEB94" w14:textId="6C8AE6AC"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3,0</w:t>
            </w:r>
          </w:p>
        </w:tc>
      </w:tr>
      <w:tr w:rsidR="00C30E94" w:rsidRPr="00C30E94" w14:paraId="462FB41E" w14:textId="77777777" w:rsidTr="005F34BC">
        <w:trPr>
          <w:trHeight w:val="292"/>
          <w:jc w:val="center"/>
        </w:trPr>
        <w:tc>
          <w:tcPr>
            <w:tcW w:w="2206" w:type="dxa"/>
            <w:tcBorders>
              <w:top w:val="nil"/>
              <w:left w:val="nil"/>
              <w:bottom w:val="single" w:sz="4" w:space="0" w:color="auto"/>
              <w:right w:val="nil"/>
            </w:tcBorders>
            <w:noWrap/>
            <w:vAlign w:val="center"/>
            <w:hideMark/>
          </w:tcPr>
          <w:p w14:paraId="2DB1A1B0" w14:textId="77777777" w:rsidR="00C66D31" w:rsidRPr="00C30E94" w:rsidRDefault="00C66D31" w:rsidP="0051761D">
            <w:pPr>
              <w:tabs>
                <w:tab w:val="left" w:pos="407"/>
              </w:tabs>
              <w:spacing w:before="60" w:after="60" w:line="257" w:lineRule="auto"/>
              <w:ind w:firstLine="182"/>
              <w:rPr>
                <w:rFonts w:ascii="Arial" w:hAnsi="Arial" w:cs="Arial"/>
                <w:kern w:val="2"/>
                <w:sz w:val="20"/>
                <w:szCs w:val="20"/>
                <w:lang w:eastAsia="vi-VN"/>
                <w14:ligatures w14:val="standardContextual"/>
              </w:rPr>
            </w:pPr>
            <w:r w:rsidRPr="00C30E94">
              <w:rPr>
                <w:rFonts w:ascii="Arial" w:hAnsi="Arial" w:cs="Arial"/>
                <w:kern w:val="2"/>
                <w:sz w:val="20"/>
                <w:szCs w:val="20"/>
                <w:lang w:eastAsia="vi-VN"/>
                <w14:ligatures w14:val="standardContextual"/>
              </w:rPr>
              <w:t>Hàng không</w:t>
            </w:r>
          </w:p>
        </w:tc>
        <w:tc>
          <w:tcPr>
            <w:tcW w:w="1809" w:type="dxa"/>
            <w:tcBorders>
              <w:top w:val="nil"/>
              <w:left w:val="nil"/>
              <w:bottom w:val="single" w:sz="4" w:space="0" w:color="auto"/>
              <w:right w:val="nil"/>
            </w:tcBorders>
            <w:noWrap/>
            <w:vAlign w:val="center"/>
            <w:hideMark/>
          </w:tcPr>
          <w:p w14:paraId="1294A625"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0,1</w:t>
            </w:r>
          </w:p>
        </w:tc>
        <w:tc>
          <w:tcPr>
            <w:tcW w:w="1874" w:type="dxa"/>
            <w:tcBorders>
              <w:top w:val="nil"/>
              <w:left w:val="nil"/>
              <w:bottom w:val="single" w:sz="4" w:space="0" w:color="auto"/>
              <w:right w:val="nil"/>
            </w:tcBorders>
            <w:noWrap/>
            <w:vAlign w:val="center"/>
            <w:hideMark/>
          </w:tcPr>
          <w:p w14:paraId="6BB69EAC" w14:textId="77777777" w:rsidR="00C66D31" w:rsidRPr="00C30E94" w:rsidRDefault="00C66D31" w:rsidP="0051761D">
            <w:pPr>
              <w:spacing w:before="60" w:after="60" w:line="257" w:lineRule="auto"/>
              <w:ind w:right="447"/>
              <w:jc w:val="right"/>
              <w:rPr>
                <w:rFonts w:ascii="Arial" w:hAnsi="Arial" w:cs="Arial"/>
                <w:kern w:val="2"/>
                <w:sz w:val="20"/>
                <w:szCs w:val="20"/>
                <w14:ligatures w14:val="standardContextual"/>
              </w:rPr>
            </w:pPr>
            <w:r w:rsidRPr="00C30E94">
              <w:rPr>
                <w:rFonts w:ascii="Arial" w:hAnsi="Arial" w:cs="Arial"/>
                <w:sz w:val="20"/>
                <w:szCs w:val="20"/>
              </w:rPr>
              <w:t>1,7</w:t>
            </w:r>
          </w:p>
        </w:tc>
        <w:tc>
          <w:tcPr>
            <w:tcW w:w="1770" w:type="dxa"/>
            <w:tcBorders>
              <w:top w:val="nil"/>
              <w:left w:val="nil"/>
              <w:bottom w:val="single" w:sz="4" w:space="0" w:color="auto"/>
              <w:right w:val="nil"/>
            </w:tcBorders>
            <w:noWrap/>
            <w:vAlign w:val="center"/>
          </w:tcPr>
          <w:p w14:paraId="57F22664" w14:textId="03B4180E"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10,2</w:t>
            </w:r>
          </w:p>
        </w:tc>
        <w:tc>
          <w:tcPr>
            <w:tcW w:w="1503" w:type="dxa"/>
            <w:tcBorders>
              <w:top w:val="nil"/>
              <w:left w:val="nil"/>
              <w:bottom w:val="single" w:sz="4" w:space="0" w:color="auto"/>
              <w:right w:val="nil"/>
            </w:tcBorders>
            <w:noWrap/>
            <w:vAlign w:val="center"/>
          </w:tcPr>
          <w:p w14:paraId="7FB7B88B" w14:textId="3973AAE7" w:rsidR="00C66D31" w:rsidRPr="00C30E94" w:rsidRDefault="001A3E18" w:rsidP="0051761D">
            <w:pPr>
              <w:spacing w:before="60" w:after="60" w:line="257" w:lineRule="auto"/>
              <w:ind w:right="447"/>
              <w:jc w:val="right"/>
              <w:rPr>
                <w:rFonts w:ascii="Arial" w:hAnsi="Arial" w:cs="Arial"/>
                <w:kern w:val="2"/>
                <w:sz w:val="20"/>
                <w:szCs w:val="20"/>
                <w:lang w:val="en-US"/>
                <w14:ligatures w14:val="standardContextual"/>
              </w:rPr>
            </w:pPr>
            <w:r w:rsidRPr="00C30E94">
              <w:rPr>
                <w:rFonts w:ascii="Arial" w:hAnsi="Arial" w:cs="Arial"/>
                <w:kern w:val="2"/>
                <w:sz w:val="20"/>
                <w:szCs w:val="20"/>
                <w:lang w:val="en-US"/>
                <w14:ligatures w14:val="standardContextual"/>
              </w:rPr>
              <w:t>-2,3</w:t>
            </w:r>
          </w:p>
        </w:tc>
      </w:tr>
    </w:tbl>
    <w:p w14:paraId="2F1DB40C" w14:textId="0FE8A9B5" w:rsidR="00C66D31" w:rsidRPr="00C30E94" w:rsidRDefault="00C66D31" w:rsidP="008707C3">
      <w:pPr>
        <w:spacing w:before="120" w:after="120" w:line="288" w:lineRule="auto"/>
        <w:ind w:firstLine="720"/>
        <w:jc w:val="both"/>
        <w:rPr>
          <w:b/>
          <w:bCs/>
          <w:i/>
        </w:rPr>
      </w:pPr>
      <w:r w:rsidRPr="00C30E94">
        <w:rPr>
          <w:b/>
          <w:bCs/>
          <w:i/>
          <w:iCs/>
        </w:rPr>
        <w:t>đ) Khách quốc tế đến Việt Nam</w:t>
      </w:r>
      <w:r w:rsidRPr="00C30E94">
        <w:rPr>
          <w:rStyle w:val="FootnoteReference"/>
          <w:rFonts w:eastAsia="Calibri"/>
          <w:b/>
          <w:bCs/>
          <w:i/>
          <w:iCs/>
        </w:rPr>
        <w:footnoteReference w:id="31"/>
      </w:r>
    </w:p>
    <w:p w14:paraId="2190FF56" w14:textId="658B0EF3" w:rsidR="00C66D31" w:rsidRPr="00C30E94" w:rsidRDefault="00C66D31" w:rsidP="008707C3">
      <w:pPr>
        <w:spacing w:after="120" w:line="288" w:lineRule="auto"/>
        <w:ind w:firstLine="720"/>
        <w:jc w:val="both"/>
        <w:rPr>
          <w:bCs/>
          <w:i/>
          <w:lang w:eastAsia="en-GB"/>
        </w:rPr>
      </w:pPr>
      <w:r w:rsidRPr="00C30E94">
        <w:rPr>
          <w:bCs/>
          <w:i/>
          <w:lang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w:t>
      </w:r>
      <w:r w:rsidR="005E4B05" w:rsidRPr="00C30E94">
        <w:rPr>
          <w:bCs/>
          <w:i/>
          <w:lang w:val="en-US" w:eastAsia="en-GB"/>
        </w:rPr>
        <w:t xml:space="preserve">tiếp tục </w:t>
      </w:r>
      <w:r w:rsidRPr="00C30E94">
        <w:rPr>
          <w:bCs/>
          <w:i/>
          <w:lang w:eastAsia="en-GB"/>
        </w:rPr>
        <w:t>tăng</w:t>
      </w:r>
      <w:r w:rsidR="0032299D" w:rsidRPr="00C30E94">
        <w:rPr>
          <w:bCs/>
          <w:i/>
          <w:lang w:val="en-US" w:eastAsia="en-GB"/>
        </w:rPr>
        <w:t xml:space="preserve"> cao</w:t>
      </w:r>
      <w:r w:rsidRPr="00C30E94">
        <w:rPr>
          <w:bCs/>
          <w:i/>
          <w:lang w:eastAsia="en-GB"/>
        </w:rPr>
        <w:t xml:space="preserve">. </w:t>
      </w:r>
    </w:p>
    <w:p w14:paraId="0CBEC941" w14:textId="510790EB" w:rsidR="00FD1D17" w:rsidRPr="00C30E94" w:rsidRDefault="00C66D31" w:rsidP="008707C3">
      <w:pPr>
        <w:spacing w:after="120" w:line="288" w:lineRule="auto"/>
        <w:ind w:firstLine="720"/>
        <w:jc w:val="both"/>
        <w:rPr>
          <w:rFonts w:ascii="Arial" w:hAnsi="Arial" w:cs="Arial"/>
          <w:b/>
          <w:sz w:val="24"/>
          <w:szCs w:val="24"/>
          <w:lang w:val="pt-BR"/>
        </w:rPr>
      </w:pPr>
      <w:r w:rsidRPr="00C30E94">
        <w:rPr>
          <w:bCs/>
          <w:iCs/>
          <w:lang w:val="pt-BR" w:eastAsia="en-GB"/>
        </w:rPr>
        <w:t>Trong tháng 02/2025</w:t>
      </w:r>
      <w:r w:rsidRPr="00C30E94">
        <w:rPr>
          <w:bCs/>
          <w:iCs/>
          <w:vertAlign w:val="superscript"/>
          <w:lang w:val="pt-BR" w:eastAsia="en-GB"/>
        </w:rPr>
        <w:footnoteReference w:id="32"/>
      </w:r>
      <w:r w:rsidRPr="00C30E94">
        <w:rPr>
          <w:bCs/>
          <w:iCs/>
          <w:lang w:val="pt-BR" w:eastAsia="en-GB"/>
        </w:rPr>
        <w:t xml:space="preserve">, khách quốc tế đến nước ta ước đạt gần 1,9 triệu lượt người, tăng 23,7% so với cùng kỳ năm trước. Tính chung hai tháng đầu năm 2025, khách quốc tế đến Việt Nam đạt hơn 3,96 triệu lượt người, tăng 30,2% so với cùng kỳ năm trước. Trong đó, </w:t>
      </w:r>
      <w:r w:rsidRPr="00C30E94">
        <w:rPr>
          <w:bCs/>
          <w:lang w:val="pt-BR" w:eastAsia="en-GB"/>
        </w:rPr>
        <w:t>khách đến bằng đường hàng không đạt gần 3,4 triệu lượt người, chiếm 85,7% lượng khách quốc tế đến và tăng 32,5% so với cùng kỳ năm trước; bằng đường bộ đạt 467,2 nghìn lượt người, chiếm 11,8% và tăng 20,2%; bằng đường biển đạt 99,4 nghìn lượt người, chiếm 2,5% và tăng 9,6%.</w:t>
      </w:r>
    </w:p>
    <w:p w14:paraId="298B7689" w14:textId="77777777" w:rsidR="008707C3" w:rsidRDefault="008707C3" w:rsidP="00C66D31">
      <w:pPr>
        <w:spacing w:after="120"/>
        <w:jc w:val="center"/>
        <w:rPr>
          <w:rFonts w:ascii="Arial" w:hAnsi="Arial" w:cs="Arial"/>
          <w:b/>
          <w:sz w:val="24"/>
          <w:szCs w:val="24"/>
          <w:lang w:val="pt-BR"/>
        </w:rPr>
      </w:pPr>
    </w:p>
    <w:p w14:paraId="07FD8438" w14:textId="77777777" w:rsidR="008707C3" w:rsidRDefault="008707C3" w:rsidP="00C66D31">
      <w:pPr>
        <w:spacing w:after="120"/>
        <w:jc w:val="center"/>
        <w:rPr>
          <w:rFonts w:ascii="Arial" w:hAnsi="Arial" w:cs="Arial"/>
          <w:b/>
          <w:sz w:val="24"/>
          <w:szCs w:val="24"/>
          <w:lang w:val="pt-BR"/>
        </w:rPr>
      </w:pPr>
    </w:p>
    <w:p w14:paraId="01B75255" w14:textId="77777777" w:rsidR="008707C3" w:rsidRDefault="008707C3" w:rsidP="00C66D31">
      <w:pPr>
        <w:spacing w:after="120"/>
        <w:jc w:val="center"/>
        <w:rPr>
          <w:rFonts w:ascii="Arial" w:hAnsi="Arial" w:cs="Arial"/>
          <w:b/>
          <w:sz w:val="24"/>
          <w:szCs w:val="24"/>
          <w:lang w:val="pt-BR"/>
        </w:rPr>
      </w:pPr>
    </w:p>
    <w:p w14:paraId="6A683BC5" w14:textId="23C618EF" w:rsidR="00C66D31" w:rsidRPr="00C30E94" w:rsidRDefault="00C66D31" w:rsidP="00C66D31">
      <w:pPr>
        <w:spacing w:after="120"/>
        <w:jc w:val="center"/>
        <w:rPr>
          <w:rFonts w:ascii="Arial" w:hAnsi="Arial" w:cs="Arial"/>
          <w:b/>
          <w:sz w:val="24"/>
          <w:szCs w:val="24"/>
          <w:lang w:val="pt-BR"/>
        </w:rPr>
      </w:pPr>
      <w:r w:rsidRPr="00C30E94">
        <w:rPr>
          <w:rFonts w:ascii="Arial" w:hAnsi="Arial" w:cs="Arial"/>
          <w:b/>
          <w:sz w:val="24"/>
          <w:szCs w:val="24"/>
          <w:lang w:val="pt-BR"/>
        </w:rPr>
        <w:lastRenderedPageBreak/>
        <w:t>Hình 1</w:t>
      </w:r>
      <w:r w:rsidR="00C81562">
        <w:rPr>
          <w:rFonts w:ascii="Arial" w:hAnsi="Arial" w:cs="Arial"/>
          <w:b/>
          <w:sz w:val="24"/>
          <w:szCs w:val="24"/>
          <w:lang w:val="pt-BR"/>
        </w:rPr>
        <w:t>6</w:t>
      </w:r>
      <w:r w:rsidRPr="00C30E94">
        <w:rPr>
          <w:rFonts w:ascii="Arial" w:hAnsi="Arial" w:cs="Arial"/>
          <w:b/>
          <w:sz w:val="24"/>
          <w:szCs w:val="24"/>
          <w:lang w:val="pt-BR"/>
        </w:rPr>
        <w:t>. Khách quốc tế đến Việt Nam 02 tháng đầu năm 2025</w:t>
      </w:r>
      <w:r w:rsidRPr="00C30E94">
        <w:rPr>
          <w:rFonts w:ascii="Arial" w:hAnsi="Arial" w:cs="Arial"/>
          <w:b/>
          <w:sz w:val="24"/>
          <w:szCs w:val="24"/>
          <w:lang w:val="pt-BR"/>
        </w:rPr>
        <w:br/>
        <w:t>phân theo vùng lãnh thổ</w:t>
      </w:r>
    </w:p>
    <w:p w14:paraId="3BC9D932" w14:textId="2976E14C" w:rsidR="00C66D31" w:rsidRPr="00C30E94" w:rsidRDefault="00C66D31" w:rsidP="00C66D31">
      <w:pPr>
        <w:pStyle w:val="NormalWeb"/>
        <w:shd w:val="clear" w:color="auto" w:fill="FFFFFF"/>
        <w:spacing w:before="0" w:beforeAutospacing="0" w:after="0" w:afterAutospacing="0"/>
        <w:jc w:val="center"/>
        <w:rPr>
          <w:b/>
          <w:bCs/>
          <w:sz w:val="28"/>
          <w:szCs w:val="28"/>
          <w:lang w:val="pt-BR"/>
        </w:rPr>
      </w:pPr>
      <w:r w:rsidRPr="00C30E94">
        <w:rPr>
          <w:noProof/>
          <w:lang w:val="en-US"/>
        </w:rPr>
        <w:drawing>
          <wp:inline distT="0" distB="0" distL="0" distR="0" wp14:anchorId="50ADE265" wp14:editId="13F52C55">
            <wp:extent cx="5699658" cy="2363273"/>
            <wp:effectExtent l="0" t="0" r="0" b="0"/>
            <wp:docPr id="97646629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66293" name="Picture 1" descr="A screenshot of a grap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8499" cy="2366939"/>
                    </a:xfrm>
                    <a:prstGeom prst="rect">
                      <a:avLst/>
                    </a:prstGeom>
                    <a:noFill/>
                    <a:ln>
                      <a:noFill/>
                    </a:ln>
                  </pic:spPr>
                </pic:pic>
              </a:graphicData>
            </a:graphic>
          </wp:inline>
        </w:drawing>
      </w:r>
    </w:p>
    <w:p w14:paraId="709F0FDB" w14:textId="4E9FF5C4" w:rsidR="009E7DEF" w:rsidRPr="00C30E94" w:rsidRDefault="009E7DEF" w:rsidP="008707C3">
      <w:pPr>
        <w:spacing w:before="120" w:after="120" w:line="264" w:lineRule="auto"/>
        <w:ind w:firstLine="720"/>
        <w:jc w:val="both"/>
        <w:rPr>
          <w:b/>
          <w:bCs/>
        </w:rPr>
      </w:pPr>
      <w:r w:rsidRPr="00C30E94">
        <w:rPr>
          <w:b/>
          <w:bCs/>
        </w:rPr>
        <w:t>7. Một số tình hình xã hội</w:t>
      </w:r>
    </w:p>
    <w:p w14:paraId="213026B8" w14:textId="77777777" w:rsidR="009E7DEF" w:rsidRPr="00C30E94" w:rsidRDefault="009E7DEF" w:rsidP="008707C3">
      <w:pPr>
        <w:tabs>
          <w:tab w:val="left" w:pos="709"/>
          <w:tab w:val="left" w:pos="1134"/>
        </w:tabs>
        <w:spacing w:after="120" w:line="264" w:lineRule="auto"/>
        <w:ind w:firstLine="720"/>
        <w:jc w:val="both"/>
        <w:rPr>
          <w:b/>
          <w:i/>
        </w:rPr>
      </w:pPr>
      <w:r w:rsidRPr="00C30E94">
        <w:rPr>
          <w:b/>
          <w:i/>
        </w:rPr>
        <w:t xml:space="preserve">a) Đời sống dân cư </w:t>
      </w:r>
    </w:p>
    <w:p w14:paraId="4F4A1285" w14:textId="77777777" w:rsidR="009E7DEF" w:rsidRPr="00C30E94" w:rsidRDefault="009E7DEF" w:rsidP="008707C3">
      <w:pPr>
        <w:tabs>
          <w:tab w:val="left" w:pos="851"/>
        </w:tabs>
        <w:spacing w:after="120" w:line="264" w:lineRule="auto"/>
        <w:ind w:firstLine="720"/>
        <w:jc w:val="both"/>
        <w:rPr>
          <w:bCs/>
          <w:snapToGrid w:val="0"/>
          <w:lang w:val="nl-NL"/>
        </w:rPr>
      </w:pPr>
      <w:r w:rsidRPr="00C30E94">
        <w:rPr>
          <w:bCs/>
          <w:snapToGrid w:val="0"/>
          <w:lang w:val="nl-NL"/>
        </w:rPr>
        <w:t xml:space="preserve">Theo kết quả sơ bộ </w:t>
      </w:r>
      <w:r w:rsidRPr="00C30E94">
        <w:rPr>
          <w:rStyle w:val="fontstyle01"/>
          <w:color w:val="auto"/>
        </w:rPr>
        <w:t>Điều tra lao động việc làm</w:t>
      </w:r>
      <w:r w:rsidRPr="00C30E94">
        <w:rPr>
          <w:bCs/>
          <w:snapToGrid w:val="0"/>
          <w:lang w:val="nl-NL"/>
        </w:rPr>
        <w:t>, t</w:t>
      </w:r>
      <w:r w:rsidRPr="00C30E94">
        <w:rPr>
          <w:snapToGrid w:val="0"/>
          <w:lang w:val="nl-NL"/>
        </w:rPr>
        <w:t xml:space="preserve">ỷ lệ hộ đánh giá có thu nhập trong tháng không thay đổi và tăng lên so với tháng cùng kỳ năm trước là </w:t>
      </w:r>
      <w:r w:rsidRPr="00C30E94">
        <w:rPr>
          <w:bCs/>
          <w:snapToGrid w:val="0"/>
          <w:lang w:val="nl-NL"/>
        </w:rPr>
        <w:t>97,0%</w:t>
      </w:r>
      <w:r w:rsidRPr="00C30E94">
        <w:rPr>
          <w:snapToGrid w:val="0"/>
          <w:lang w:val="nl-NL"/>
        </w:rPr>
        <w:t xml:space="preserve"> (tăng </w:t>
      </w:r>
      <w:r w:rsidRPr="00C30E94">
        <w:rPr>
          <w:bCs/>
          <w:snapToGrid w:val="0"/>
          <w:lang w:val="nl-NL"/>
        </w:rPr>
        <w:t>1</w:t>
      </w:r>
      <w:r w:rsidRPr="00C30E94">
        <w:rPr>
          <w:snapToGrid w:val="0"/>
          <w:lang w:val="nl-NL"/>
        </w:rPr>
        <w:t xml:space="preserve"> điểm phần trăm so với kỳ báo cáo tháng 01/2025 và </w:t>
      </w:r>
      <w:r w:rsidRPr="00C30E94">
        <w:rPr>
          <w:bCs/>
          <w:snapToGrid w:val="0"/>
          <w:lang w:val="nl-NL"/>
        </w:rPr>
        <w:t>tăng 2,8 điểm phần trăm so với cùng kỳ năm trước</w:t>
      </w:r>
      <w:r w:rsidRPr="00C30E94">
        <w:rPr>
          <w:snapToGrid w:val="0"/>
          <w:lang w:val="nl-NL"/>
        </w:rPr>
        <w:t>);</w:t>
      </w:r>
      <w:bookmarkStart w:id="4" w:name="_Hlk106803047"/>
      <w:r w:rsidRPr="00C30E94">
        <w:rPr>
          <w:bCs/>
          <w:snapToGrid w:val="0"/>
          <w:lang w:val="nl-NL"/>
        </w:rPr>
        <w:t xml:space="preserve"> tỷ lệ hộ đánh giá có thu nhập giảm là 3,0%</w:t>
      </w:r>
      <w:bookmarkEnd w:id="4"/>
      <w:r w:rsidRPr="00C30E94">
        <w:rPr>
          <w:bCs/>
          <w:snapToGrid w:val="0"/>
          <w:lang w:val="nl-NL"/>
        </w:rPr>
        <w:t>.</w:t>
      </w:r>
    </w:p>
    <w:p w14:paraId="67B56290" w14:textId="77777777" w:rsidR="009E7DEF" w:rsidRPr="00C30E94" w:rsidRDefault="009E7DEF" w:rsidP="008707C3">
      <w:pPr>
        <w:spacing w:after="120" w:line="264" w:lineRule="auto"/>
        <w:ind w:firstLine="720"/>
        <w:jc w:val="both"/>
        <w:rPr>
          <w:bCs/>
          <w:snapToGrid w:val="0"/>
          <w:spacing w:val="-2"/>
          <w:lang w:val="nl-NL"/>
        </w:rPr>
      </w:pPr>
      <w:r w:rsidRPr="00C30E94">
        <w:rPr>
          <w:bCs/>
          <w:snapToGrid w:val="0"/>
          <w:spacing w:val="-4"/>
          <w:lang w:val="nl-NL"/>
        </w:rPr>
        <w:t>Các hộ có thu nhập tháng Hai giảm so với cùng kỳ năm trước nhận định nguyên nhân</w:t>
      </w:r>
      <w:r w:rsidRPr="00C30E94">
        <w:rPr>
          <w:rStyle w:val="FootnoteReference"/>
          <w:bCs/>
          <w:snapToGrid w:val="0"/>
          <w:spacing w:val="-4"/>
          <w:lang w:val="nl-NL"/>
        </w:rPr>
        <w:footnoteReference w:id="33"/>
      </w:r>
      <w:r w:rsidRPr="00C30E94">
        <w:rPr>
          <w:bCs/>
          <w:snapToGrid w:val="0"/>
          <w:spacing w:val="-4"/>
          <w:lang w:val="nl-NL"/>
        </w:rPr>
        <w:t xml:space="preserve"> chủ yếu là: Có thành viên hộ mất việc làm hoặc tạm nghỉ việc </w:t>
      </w:r>
      <w:r w:rsidRPr="00C30E94">
        <w:rPr>
          <w:bCs/>
          <w:snapToGrid w:val="0"/>
          <w:spacing w:val="-2"/>
          <w:lang w:val="nl-NL"/>
        </w:rPr>
        <w:t>(tỷ lệ 48,1</w:t>
      </w:r>
      <w:r w:rsidRPr="00C30E94">
        <w:rPr>
          <w:bCs/>
          <w:snapToGrid w:val="0"/>
          <w:lang w:val="nl-NL"/>
        </w:rPr>
        <w:t>%</w:t>
      </w:r>
      <w:r w:rsidRPr="00C30E94">
        <w:rPr>
          <w:bCs/>
          <w:snapToGrid w:val="0"/>
          <w:spacing w:val="-2"/>
          <w:lang w:val="nl-NL"/>
        </w:rPr>
        <w:t>); do quy mô các hoạt động sản xuất kinh doanh của hộ giảm (</w:t>
      </w:r>
      <w:r w:rsidRPr="00C30E94">
        <w:rPr>
          <w:bCs/>
          <w:snapToGrid w:val="0"/>
          <w:lang w:val="nl-NL"/>
        </w:rPr>
        <w:t>17,6</w:t>
      </w:r>
      <w:r w:rsidRPr="00C30E94">
        <w:rPr>
          <w:bCs/>
          <w:snapToGrid w:val="0"/>
          <w:spacing w:val="-2"/>
          <w:lang w:val="nl-NL"/>
        </w:rPr>
        <w:t>%); do chi phí đầu vào cho các hoạt động sản xuất kinh doanh của hộ tăng (</w:t>
      </w:r>
      <w:r w:rsidRPr="00C30E94">
        <w:rPr>
          <w:bCs/>
          <w:snapToGrid w:val="0"/>
          <w:lang w:val="nl-NL"/>
        </w:rPr>
        <w:t>16,0</w:t>
      </w:r>
      <w:r w:rsidRPr="00C30E94">
        <w:rPr>
          <w:bCs/>
          <w:snapToGrid w:val="0"/>
          <w:spacing w:val="-2"/>
          <w:lang w:val="nl-NL"/>
        </w:rPr>
        <w:t>%); do giá bán các sản phẩm từ các hoạt động sản xuất kinh doanh của hộ giảm (15,1%).</w:t>
      </w:r>
    </w:p>
    <w:p w14:paraId="34931DE2" w14:textId="77777777" w:rsidR="009E7DEF" w:rsidRPr="00C30E94" w:rsidRDefault="009E7DEF" w:rsidP="008707C3">
      <w:pPr>
        <w:spacing w:after="120" w:line="264" w:lineRule="auto"/>
        <w:ind w:firstLine="720"/>
        <w:jc w:val="both"/>
        <w:rPr>
          <w:bCs/>
          <w:snapToGrid w:val="0"/>
          <w:lang w:val="nl-NL"/>
        </w:rPr>
      </w:pPr>
      <w:r w:rsidRPr="00C30E94">
        <w:rPr>
          <w:bCs/>
          <w:snapToGrid w:val="0"/>
          <w:lang w:val="nl-NL"/>
        </w:rPr>
        <w:t xml:space="preserve">Trong hai tháng đầu năm 2025, có </w:t>
      </w:r>
      <w:r w:rsidRPr="00C30E94">
        <w:rPr>
          <w:bCs/>
          <w:snapToGrid w:val="0"/>
          <w:spacing w:val="-4"/>
          <w:lang w:val="nl-NL"/>
        </w:rPr>
        <w:t>30,4</w:t>
      </w:r>
      <w:r w:rsidRPr="00C30E94">
        <w:rPr>
          <w:bCs/>
          <w:snapToGrid w:val="0"/>
          <w:lang w:val="nl-NL"/>
        </w:rPr>
        <w:t xml:space="preserve">% hộ cho biết đã trải qua ít nhất một sự kiện gây ảnh hưởng tiêu cực đến đời sống gia đình, tương đương với kỳ báo cáo tháng 01/2025 và giảm </w:t>
      </w:r>
      <w:r w:rsidRPr="00C30E94">
        <w:rPr>
          <w:bCs/>
          <w:snapToGrid w:val="0"/>
          <w:spacing w:val="-4"/>
          <w:lang w:val="nl-NL"/>
        </w:rPr>
        <w:t xml:space="preserve">2,6 </w:t>
      </w:r>
      <w:r w:rsidRPr="00C30E94">
        <w:rPr>
          <w:bCs/>
          <w:snapToGrid w:val="0"/>
          <w:lang w:val="nl-NL"/>
        </w:rPr>
        <w:t xml:space="preserve">điểm phần trăm so với kỳ báo cáo tháng 02/2024. Trong số các hộ chịu ảnh hưởng tiêu cực của các sự kiện: Có </w:t>
      </w:r>
      <w:r w:rsidRPr="00C30E94">
        <w:rPr>
          <w:bCs/>
          <w:snapToGrid w:val="0"/>
          <w:spacing w:val="-4"/>
          <w:lang w:val="nl-NL"/>
        </w:rPr>
        <w:t>29,4</w:t>
      </w:r>
      <w:r w:rsidRPr="00C30E94">
        <w:rPr>
          <w:bCs/>
          <w:snapToGrid w:val="0"/>
          <w:lang w:val="nl-NL"/>
        </w:rPr>
        <w:t xml:space="preserve">% hộ đang phải chịu những ảnh hưởng do giá cả hàng hóa, dịch vụ tăng cao; </w:t>
      </w:r>
      <w:r w:rsidRPr="00C30E94">
        <w:rPr>
          <w:bCs/>
          <w:snapToGrid w:val="0"/>
          <w:spacing w:val="-4"/>
          <w:lang w:val="nl-NL"/>
        </w:rPr>
        <w:t>2,1</w:t>
      </w:r>
      <w:r w:rsidRPr="00C30E94">
        <w:rPr>
          <w:bCs/>
          <w:snapToGrid w:val="0"/>
          <w:lang w:val="nl-NL"/>
        </w:rPr>
        <w:t xml:space="preserve">% hộ gia đình chịu ảnh hưởng tiêu cực từ thiên tai; </w:t>
      </w:r>
      <w:r w:rsidRPr="00C30E94">
        <w:rPr>
          <w:bCs/>
          <w:snapToGrid w:val="0"/>
          <w:spacing w:val="-4"/>
          <w:lang w:val="nl-NL"/>
        </w:rPr>
        <w:t>2,5</w:t>
      </w:r>
      <w:r w:rsidRPr="00C30E94">
        <w:rPr>
          <w:bCs/>
          <w:snapToGrid w:val="0"/>
          <w:lang w:val="nl-NL"/>
        </w:rPr>
        <w:t>% hộ gia đình chịu ảnh hưởng tiêu cực từ dịch bệnh đối với con người và 1,7% hộ gia đình chịu ảnh hưởng tiêu cực từ dịch bệnh đối với vật nuôi, cây trồng.</w:t>
      </w:r>
    </w:p>
    <w:p w14:paraId="0AEE2C57" w14:textId="77777777" w:rsidR="009E7DEF" w:rsidRPr="00C30E94" w:rsidRDefault="009E7DEF" w:rsidP="008707C3">
      <w:pPr>
        <w:tabs>
          <w:tab w:val="left" w:pos="851"/>
        </w:tabs>
        <w:spacing w:after="120" w:line="264" w:lineRule="auto"/>
        <w:ind w:firstLine="720"/>
        <w:jc w:val="both"/>
        <w:rPr>
          <w:bCs/>
          <w:snapToGrid w:val="0"/>
          <w:spacing w:val="-2"/>
          <w:lang w:val="nl-NL"/>
        </w:rPr>
      </w:pPr>
      <w:r w:rsidRPr="00C30E94">
        <w:rPr>
          <w:bCs/>
          <w:snapToGrid w:val="0"/>
          <w:spacing w:val="-2"/>
          <w:lang w:val="nl-NL"/>
        </w:rPr>
        <w:t>Trong tháng Hai, có 14,3% hộ gia đình được phỏng vấn nhận được sự trợ giúp từ các nguồn hỗ trợ khác nhau. Trong đó, tỷ lệ hộ nhận được trợ giúp từ họ hàng, người thân là 10,0%; từ các chương trình, chính sách của địa phương là 5,1%; từ các chương trình, chính sách chung của quốc gia là 4,8%; từ các hoạt động từ thiện của các tổ chức và cá nhân khác là 1,9% và từ các nguồn khác là 0,01%.</w:t>
      </w:r>
    </w:p>
    <w:p w14:paraId="6E27B2C9" w14:textId="20F026AF" w:rsidR="009E7DEF" w:rsidRPr="00C30E94" w:rsidRDefault="009E7DEF" w:rsidP="008707C3">
      <w:pPr>
        <w:pStyle w:val="BodyTextIndent"/>
        <w:tabs>
          <w:tab w:val="left" w:pos="0"/>
          <w:tab w:val="left" w:pos="720"/>
        </w:tabs>
        <w:spacing w:before="120" w:line="264" w:lineRule="auto"/>
        <w:ind w:left="0" w:firstLine="720"/>
        <w:jc w:val="both"/>
        <w:rPr>
          <w:bCs/>
          <w:snapToGrid w:val="0"/>
        </w:rPr>
      </w:pPr>
      <w:r w:rsidRPr="00C30E94">
        <w:rPr>
          <w:iCs/>
          <w:snapToGrid w:val="0"/>
          <w:lang w:val="nl-NL"/>
        </w:rPr>
        <w:lastRenderedPageBreak/>
        <w:t xml:space="preserve">Công tác bảo đảm an sinh xã hội luôn được các cấp, ngành thực hiện kịp thời. </w:t>
      </w:r>
      <w:r w:rsidRPr="00C30E94">
        <w:rPr>
          <w:bCs/>
          <w:snapToGrid w:val="0"/>
        </w:rPr>
        <w:t>Tính từ đầu năm đến ngày 27/2/2025, Chính phủ đã hỗ trợ cho người dân gần 6,9 nghìn tấn gạo, trong đó:</w:t>
      </w:r>
      <w:r w:rsidRPr="00C30E94">
        <w:rPr>
          <w:bCs/>
          <w:snapToGrid w:val="0"/>
          <w:lang w:val="en-US"/>
        </w:rPr>
        <w:t xml:space="preserve"> </w:t>
      </w:r>
      <w:r w:rsidRPr="00C30E94">
        <w:rPr>
          <w:bCs/>
          <w:snapToGrid w:val="0"/>
        </w:rPr>
        <w:t xml:space="preserve">Hỗ trợ </w:t>
      </w:r>
      <w:r w:rsidRPr="00C30E94">
        <w:rPr>
          <w:bCs/>
          <w:snapToGrid w:val="0"/>
          <w:lang w:val="en-US"/>
        </w:rPr>
        <w:t xml:space="preserve">hơn </w:t>
      </w:r>
      <w:r w:rsidRPr="00C30E94">
        <w:rPr>
          <w:bCs/>
          <w:snapToGrid w:val="0"/>
        </w:rPr>
        <w:t>6</w:t>
      </w:r>
      <w:r w:rsidRPr="00C30E94">
        <w:rPr>
          <w:bCs/>
          <w:snapToGrid w:val="0"/>
          <w:lang w:val="en-US"/>
        </w:rPr>
        <w:t>,0</w:t>
      </w:r>
      <w:r w:rsidRPr="00C30E94">
        <w:rPr>
          <w:bCs/>
          <w:snapToGrid w:val="0"/>
        </w:rPr>
        <w:t xml:space="preserve"> nghìn tấn gạo cứu đói nhân dịp Tết Nguyên đán cho 402</w:t>
      </w:r>
      <w:r w:rsidRPr="00C30E94">
        <w:rPr>
          <w:bCs/>
          <w:snapToGrid w:val="0"/>
          <w:lang w:val="en-US"/>
        </w:rPr>
        <w:t>,6 nghìn</w:t>
      </w:r>
      <w:r w:rsidRPr="00C30E94">
        <w:rPr>
          <w:bCs/>
          <w:snapToGrid w:val="0"/>
        </w:rPr>
        <w:t xml:space="preserve"> nhân khẩu</w:t>
      </w:r>
      <w:r w:rsidRPr="00C30E94">
        <w:rPr>
          <w:rStyle w:val="FootnoteReference"/>
          <w:bCs/>
          <w:snapToGrid w:val="0"/>
        </w:rPr>
        <w:footnoteReference w:id="34"/>
      </w:r>
      <w:r w:rsidRPr="00C30E94">
        <w:rPr>
          <w:bCs/>
          <w:snapToGrid w:val="0"/>
          <w:lang w:val="en-US"/>
        </w:rPr>
        <w:t>; h</w:t>
      </w:r>
      <w:r w:rsidRPr="00C30E94">
        <w:rPr>
          <w:bCs/>
          <w:snapToGrid w:val="0"/>
        </w:rPr>
        <w:t>ỗ trợ 836 tấn gạo cứu đói giáp hạt năm 2025 cho 55</w:t>
      </w:r>
      <w:r w:rsidRPr="00C30E94">
        <w:rPr>
          <w:bCs/>
          <w:snapToGrid w:val="0"/>
          <w:lang w:val="en-US"/>
        </w:rPr>
        <w:t>,8 nghìn</w:t>
      </w:r>
      <w:r w:rsidRPr="00C30E94">
        <w:rPr>
          <w:bCs/>
          <w:snapToGrid w:val="0"/>
        </w:rPr>
        <w:t xml:space="preserve"> nhân khẩu.</w:t>
      </w:r>
      <w:r w:rsidRPr="00C30E94">
        <w:rPr>
          <w:b/>
          <w:snapToGrid w:val="0"/>
          <w:lang w:val="nl-NL"/>
        </w:rPr>
        <w:t xml:space="preserve"> </w:t>
      </w:r>
    </w:p>
    <w:p w14:paraId="0402B72B" w14:textId="77777777" w:rsidR="009E7DEF" w:rsidRPr="00C30E94" w:rsidRDefault="009E7DEF" w:rsidP="008707C3">
      <w:pPr>
        <w:pStyle w:val="BodyTextIndent"/>
        <w:tabs>
          <w:tab w:val="left" w:pos="0"/>
          <w:tab w:val="left" w:pos="720"/>
        </w:tabs>
        <w:spacing w:line="264" w:lineRule="auto"/>
        <w:ind w:left="0" w:firstLine="720"/>
        <w:jc w:val="both"/>
        <w:rPr>
          <w:rStyle w:val="normalchar"/>
          <w:b/>
          <w:bCs/>
          <w:i/>
          <w:iCs/>
          <w:lang w:val="nl-NL"/>
        </w:rPr>
      </w:pPr>
      <w:r w:rsidRPr="00C30E94">
        <w:rPr>
          <w:rStyle w:val="normalchar"/>
          <w:b/>
          <w:bCs/>
          <w:i/>
          <w:iCs/>
          <w:lang w:val="nl-NL"/>
        </w:rPr>
        <w:t>b) Tình hình dịch bệnh, ngộ độc thực phẩm</w:t>
      </w:r>
    </w:p>
    <w:p w14:paraId="7739A0B1" w14:textId="77777777" w:rsidR="009E7DEF" w:rsidRPr="00C30E94" w:rsidRDefault="009E7DEF" w:rsidP="008707C3">
      <w:pPr>
        <w:spacing w:after="120" w:line="264" w:lineRule="auto"/>
        <w:ind w:firstLine="720"/>
        <w:jc w:val="both"/>
        <w:rPr>
          <w:lang w:val="de-DE"/>
        </w:rPr>
      </w:pPr>
      <w:r w:rsidRPr="00C30E94">
        <w:rPr>
          <w:lang w:val="de-DE"/>
        </w:rPr>
        <w:t xml:space="preserve">Theo báo cáo của Bộ Y tế, trong tháng (từ ngày 19/01-18/02/2025), cả nước có </w:t>
      </w:r>
      <w:r w:rsidRPr="00C30E94">
        <w:rPr>
          <w:lang w:val="es-ES"/>
        </w:rPr>
        <w:t xml:space="preserve">6.540 </w:t>
      </w:r>
      <w:r w:rsidRPr="00C30E94">
        <w:rPr>
          <w:lang w:val="de-DE"/>
        </w:rPr>
        <w:t xml:space="preserve">trường hợp mắc bệnh sốt xuất huyết; </w:t>
      </w:r>
      <w:r w:rsidRPr="00C30E94">
        <w:rPr>
          <w:iCs/>
          <w:lang w:val="nl-NL"/>
        </w:rPr>
        <w:t xml:space="preserve">1.989 </w:t>
      </w:r>
      <w:r w:rsidRPr="00C30E94">
        <w:rPr>
          <w:lang w:val="de-DE"/>
        </w:rPr>
        <w:t xml:space="preserve">trường hợp mắc bệnh tay chân miệng; 18,5 nghìn trường hợp sốt phát ban nghi sởi (01 ca tử vong); 08 trường hợp tử vong do bệnh dại; 26 trường hợp mắc bệnh viêm não vi rút; </w:t>
      </w:r>
      <w:r w:rsidRPr="00C30E94">
        <w:rPr>
          <w:lang w:val="nl-NL"/>
        </w:rPr>
        <w:t>03</w:t>
      </w:r>
      <w:r w:rsidRPr="00C30E94">
        <w:rPr>
          <w:iCs/>
          <w:snapToGrid w:val="0"/>
          <w:lang w:val="nl-NL"/>
        </w:rPr>
        <w:t xml:space="preserve"> </w:t>
      </w:r>
      <w:r w:rsidRPr="00C30E94">
        <w:rPr>
          <w:lang w:val="de-DE"/>
        </w:rPr>
        <w:t>trường hợp</w:t>
      </w:r>
      <w:r w:rsidRPr="00C30E94">
        <w:rPr>
          <w:iCs/>
          <w:snapToGrid w:val="0"/>
          <w:lang w:val="nl-NL"/>
        </w:rPr>
        <w:t xml:space="preserve"> mắc viêm màng não do não mô cầu</w:t>
      </w:r>
      <w:r w:rsidRPr="00C30E94">
        <w:rPr>
          <w:lang w:val="de-DE"/>
        </w:rPr>
        <w:t xml:space="preserve">. Tính chung hai tháng năm 2025, cả nước có 16.607 trường hợp mắc bệnh sốt xuất huyết (01 ca tử vong); </w:t>
      </w:r>
      <w:r w:rsidRPr="00C30E94">
        <w:rPr>
          <w:iCs/>
          <w:lang w:val="de-DE"/>
        </w:rPr>
        <w:t>5.595</w:t>
      </w:r>
      <w:r w:rsidRPr="00C30E94">
        <w:rPr>
          <w:iCs/>
          <w:snapToGrid w:val="0"/>
          <w:lang w:val="de-DE"/>
        </w:rPr>
        <w:t xml:space="preserve"> </w:t>
      </w:r>
      <w:r w:rsidRPr="00C30E94">
        <w:rPr>
          <w:lang w:val="de-DE"/>
        </w:rPr>
        <w:t>trường hợp mắc bệnh tay chân miệng; 38,7 nghìn trường hợp sốt phát ban nghi sởi (04 ca tử vong); 10 trường hợp tử vong do bệnh dại; 50 trường hợp mắc bệnh viêm não vi rút; 06</w:t>
      </w:r>
      <w:r w:rsidRPr="00C30E94">
        <w:rPr>
          <w:iCs/>
          <w:snapToGrid w:val="0"/>
          <w:lang w:val="de-DE"/>
        </w:rPr>
        <w:t xml:space="preserve"> </w:t>
      </w:r>
      <w:r w:rsidRPr="00C30E94">
        <w:rPr>
          <w:lang w:val="de-DE"/>
        </w:rPr>
        <w:t>trường hợp</w:t>
      </w:r>
      <w:r w:rsidRPr="00C30E94">
        <w:rPr>
          <w:iCs/>
          <w:snapToGrid w:val="0"/>
          <w:lang w:val="de-DE"/>
        </w:rPr>
        <w:t xml:space="preserve"> mắc viêm màng não do não mô cầu</w:t>
      </w:r>
      <w:r w:rsidRPr="00C30E94">
        <w:rPr>
          <w:lang w:val="de-DE"/>
        </w:rPr>
        <w:t>.</w:t>
      </w:r>
    </w:p>
    <w:p w14:paraId="78D6AFB7" w14:textId="77777777" w:rsidR="009E7DEF" w:rsidRPr="00C30E94" w:rsidRDefault="009E7DEF" w:rsidP="008707C3">
      <w:pPr>
        <w:spacing w:after="120" w:line="264" w:lineRule="auto"/>
        <w:ind w:firstLine="720"/>
        <w:jc w:val="both"/>
        <w:rPr>
          <w:lang w:val="de-DE"/>
        </w:rPr>
      </w:pPr>
      <w:r w:rsidRPr="00C30E94">
        <w:rPr>
          <w:lang w:val="de-DE"/>
        </w:rPr>
        <w:t xml:space="preserve">Tổng số người nhiễm HIV của cả nước hiện còn sống tính đến thời điểm 18/02/2025 là </w:t>
      </w:r>
      <w:r w:rsidRPr="00C30E94">
        <w:rPr>
          <w:bCs/>
          <w:lang w:val="es-ES"/>
        </w:rPr>
        <w:t>246,9</w:t>
      </w:r>
      <w:r w:rsidRPr="00C30E94">
        <w:rPr>
          <w:bCs/>
          <w:lang w:val="pl-PL"/>
        </w:rPr>
        <w:t xml:space="preserve"> </w:t>
      </w:r>
      <w:r w:rsidRPr="00C30E94">
        <w:rPr>
          <w:lang w:val="de-DE"/>
        </w:rPr>
        <w:t xml:space="preserve">nghìn người; số người tử vong do HIV/AIDS là </w:t>
      </w:r>
      <w:r w:rsidRPr="00C30E94">
        <w:rPr>
          <w:bCs/>
          <w:lang w:val="pl-PL"/>
        </w:rPr>
        <w:t xml:space="preserve">116,1 </w:t>
      </w:r>
      <w:r w:rsidRPr="00C30E94">
        <w:rPr>
          <w:bCs/>
          <w:lang w:val="pl-PL"/>
        </w:rPr>
        <w:br/>
      </w:r>
      <w:r w:rsidRPr="00C30E94">
        <w:rPr>
          <w:lang w:val="de-DE"/>
        </w:rPr>
        <w:t>nghìn người.</w:t>
      </w:r>
    </w:p>
    <w:p w14:paraId="5F2004C7" w14:textId="78BD1B9B" w:rsidR="009E7DEF" w:rsidRPr="00C30E94" w:rsidRDefault="009E7DEF" w:rsidP="008707C3">
      <w:pPr>
        <w:spacing w:after="120" w:line="264" w:lineRule="auto"/>
        <w:ind w:firstLine="720"/>
        <w:jc w:val="both"/>
        <w:rPr>
          <w:lang w:val="de-DE"/>
        </w:rPr>
      </w:pPr>
      <w:r w:rsidRPr="00C30E94">
        <w:rPr>
          <w:lang w:val="de-DE"/>
        </w:rPr>
        <w:t xml:space="preserve">Về ngộ độc thực phẩm, trong tháng 02/2025 không xảy ra ngộ độc thực phẩm. Tính chung hai tháng </w:t>
      </w:r>
      <w:r w:rsidR="00C461FC">
        <w:rPr>
          <w:lang w:val="de-DE"/>
        </w:rPr>
        <w:t xml:space="preserve">đầu </w:t>
      </w:r>
      <w:r w:rsidRPr="00C30E94">
        <w:rPr>
          <w:lang w:val="de-DE"/>
        </w:rPr>
        <w:t>năm 2025 (từ ngày 19/01-18/02/2025), cả nước xảy ra 05 vụ với 37 người bị ngộ độc (05 người tử vong).</w:t>
      </w:r>
    </w:p>
    <w:p w14:paraId="6A642586" w14:textId="34760FBD" w:rsidR="009E7DEF" w:rsidRPr="00C30E94" w:rsidRDefault="009E7DEF" w:rsidP="008707C3">
      <w:pPr>
        <w:spacing w:after="120" w:line="264" w:lineRule="auto"/>
        <w:ind w:firstLine="720"/>
        <w:jc w:val="both"/>
        <w:outlineLvl w:val="0"/>
        <w:rPr>
          <w:rStyle w:val="normalchar"/>
          <w:b/>
          <w:i/>
          <w:iCs/>
          <w:lang w:val="nl-NL"/>
        </w:rPr>
      </w:pPr>
      <w:r w:rsidRPr="00C30E94">
        <w:rPr>
          <w:b/>
          <w:bCs/>
          <w:i/>
          <w:iCs/>
          <w:lang w:val="pl-PL"/>
        </w:rPr>
        <w:t xml:space="preserve">c) </w:t>
      </w:r>
      <w:r w:rsidRPr="00C30E94">
        <w:rPr>
          <w:rStyle w:val="normalchar"/>
          <w:b/>
          <w:i/>
          <w:iCs/>
          <w:lang w:val="nl-NL"/>
        </w:rPr>
        <w:t>Hoạt động thể thao</w:t>
      </w:r>
    </w:p>
    <w:p w14:paraId="1F0080B7" w14:textId="77777777" w:rsidR="009E7DEF" w:rsidRPr="00C30E94" w:rsidRDefault="009E7DEF" w:rsidP="008707C3">
      <w:pPr>
        <w:spacing w:after="120" w:line="264" w:lineRule="auto"/>
        <w:ind w:firstLine="720"/>
        <w:jc w:val="both"/>
        <w:rPr>
          <w:bCs/>
          <w:spacing w:val="-2"/>
          <w:lang w:val="nl-NL"/>
        </w:rPr>
      </w:pPr>
      <w:r w:rsidRPr="00C30E94">
        <w:rPr>
          <w:bCs/>
          <w:spacing w:val="-2"/>
          <w:lang w:val="nl-NL"/>
        </w:rPr>
        <w:t>Trong tháng Hai, trên cả nước diễn ra nhiều hoạt động trọng thể kỷ niệm 95 năm ngày thành lập Đảng Cộng sản Việt Nam (03/02/1930-03/02/2025). Đây cũng là dịp đầu xuân năm mới nên nhiều lễ hội được các địa phương trên cả nước tổ chức nhằm gìn giữ bản sắc văn hóa truyền thống của dân tộc và quảng bá lịch sử, văn hóa, du lịch tới du khách trong nước và quốc tế. Các lễ hội nổi bật như: Lễ hội chùa Hương - Hà Nội, lễ hội Đống Đa - Hà Nội, lễ hội Yên Tử - Quảng Ninh, hội Lim - Bắc Ninh, hội Đền Trần - Nam Định, lễ hội chùa Tam Chúc - Hà Nam…</w:t>
      </w:r>
    </w:p>
    <w:p w14:paraId="7156A9B2" w14:textId="6FE68836" w:rsidR="009E7DEF" w:rsidRPr="00C30E94" w:rsidRDefault="009E7DEF" w:rsidP="008707C3">
      <w:pPr>
        <w:spacing w:after="120" w:line="264" w:lineRule="auto"/>
        <w:ind w:firstLine="720"/>
        <w:jc w:val="both"/>
        <w:rPr>
          <w:bCs/>
          <w:lang w:val="nl-NL"/>
        </w:rPr>
      </w:pPr>
      <w:r w:rsidRPr="00C30E94">
        <w:rPr>
          <w:bCs/>
          <w:lang w:val="nl-NL"/>
        </w:rPr>
        <w:t xml:space="preserve">Về phong trào thể dục thể thao quần chúng, một số hoạt động nổi bật diễn ra trong tháng như: Giải bóng đá nữ vô địch U19 Quốc gia - Cúp Acecook 2025; vòng chung kết giải bóng đá vô địch U19 quốc gia 2024-2025; giải bóng đá vô địch quốc gia V-League 2024-2025; giải đua thuyền nam truyền thống huyện Krông Ana - Đắk Lắk lần thứ </w:t>
      </w:r>
      <w:r w:rsidR="00C461FC">
        <w:rPr>
          <w:bCs/>
          <w:lang w:val="nl-NL"/>
        </w:rPr>
        <w:t>30</w:t>
      </w:r>
      <w:r w:rsidRPr="00C30E94">
        <w:rPr>
          <w:bCs/>
          <w:lang w:val="nl-NL"/>
        </w:rPr>
        <w:t xml:space="preserve"> năm 2025; giải leo núi Tà Cú - Bình Thuận mở rộng lần thứ 27 năm 2025…</w:t>
      </w:r>
    </w:p>
    <w:p w14:paraId="24B8FADE" w14:textId="77777777" w:rsidR="009E7DEF" w:rsidRPr="00C30E94" w:rsidRDefault="009E7DEF" w:rsidP="008707C3">
      <w:pPr>
        <w:spacing w:after="120" w:line="264" w:lineRule="auto"/>
        <w:ind w:firstLine="720"/>
        <w:jc w:val="both"/>
        <w:rPr>
          <w:bCs/>
          <w:lang w:val="nl-NL"/>
        </w:rPr>
      </w:pPr>
      <w:r w:rsidRPr="00C30E94">
        <w:rPr>
          <w:bCs/>
          <w:lang w:val="nl-NL"/>
        </w:rPr>
        <w:lastRenderedPageBreak/>
        <w:t>Về thể thao thành tích cao, trong tháng Hai diễn ra một số sự kiện nổi bật như: Giải cầu lông Singapore International 2025 khởi tranh từ ngày 18-23/02/2025 tại Xin-ga-po; đội tuyển futsal nữ Việt Nam giành vé dự giải futsal nữ châu Á 2025; giải cầu lông quốc tế Indonesia Masters 2025 khởi tranh từ ngày 21-26/01/2025 tại In-đô-nê-xi-a; giải xe đạp đường trường vô địch châu Á 2025 từ ngày 05-17/02/2025 tại Thái Lan; đại hội Thể thao mùa đông châu Á lần IX năm 2025 diễn ra từ ngày 07-14/02/2025 tại Trung Quốc.</w:t>
      </w:r>
    </w:p>
    <w:p w14:paraId="677CCB05" w14:textId="77777777" w:rsidR="009E7DEF" w:rsidRPr="00C30E94" w:rsidRDefault="009E7DEF" w:rsidP="008707C3">
      <w:pPr>
        <w:spacing w:after="120" w:line="264" w:lineRule="auto"/>
        <w:ind w:firstLine="720"/>
        <w:jc w:val="both"/>
        <w:outlineLvl w:val="0"/>
        <w:rPr>
          <w:b/>
          <w:i/>
          <w:lang w:val="nl-NL"/>
        </w:rPr>
      </w:pPr>
      <w:r w:rsidRPr="00C30E94">
        <w:rPr>
          <w:b/>
          <w:i/>
          <w:lang w:val="nl-NL"/>
        </w:rPr>
        <w:t>d) Tai nạn giao thông</w:t>
      </w:r>
      <w:r w:rsidRPr="00C30E94">
        <w:rPr>
          <w:b/>
          <w:bCs/>
          <w:iCs/>
          <w:vertAlign w:val="superscript"/>
        </w:rPr>
        <w:footnoteReference w:id="35"/>
      </w:r>
    </w:p>
    <w:p w14:paraId="39857DBF" w14:textId="77777777" w:rsidR="009E7DEF" w:rsidRPr="00C30E94" w:rsidRDefault="009E7DEF" w:rsidP="008707C3">
      <w:pPr>
        <w:tabs>
          <w:tab w:val="left" w:pos="567"/>
        </w:tabs>
        <w:spacing w:after="120" w:line="252" w:lineRule="auto"/>
        <w:ind w:firstLine="720"/>
        <w:jc w:val="both"/>
        <w:rPr>
          <w:lang w:val="nl-NL"/>
        </w:rPr>
      </w:pPr>
      <w:r w:rsidRPr="00C30E94">
        <w:rPr>
          <w:rFonts w:eastAsia="Calibri"/>
          <w:lang w:val="de-DE"/>
        </w:rPr>
        <w:t xml:space="preserve">Trong tháng Hai (từ </w:t>
      </w:r>
      <w:r w:rsidRPr="00C30E94">
        <w:rPr>
          <w:lang w:val="nl-NL"/>
        </w:rPr>
        <w:t>26/01-25/02/2025</w:t>
      </w:r>
      <w:r w:rsidRPr="00C30E94">
        <w:rPr>
          <w:rFonts w:eastAsia="Calibri"/>
          <w:lang w:val="de-DE"/>
        </w:rPr>
        <w:t xml:space="preserve">), </w:t>
      </w:r>
      <w:r w:rsidRPr="00C30E94">
        <w:rPr>
          <w:lang w:val="nl-NL"/>
        </w:rPr>
        <w:t xml:space="preserve">cả nước xảy ra 1.431 vụ tai nạn giao thông, làm chết 784 người và bị thương 1.053 người. So với tháng 01/2025, số vụ tai nạn giao thông giảm 19,2%; số người chết giảm 18,7%; số người bị thương giảm 7,5%. So với cùng kỳ năm 2024, số vụ tai nạn giao thông giảm 36,8%; số người chết giảm 21,5%; số người bị thương giảm 40,4%. </w:t>
      </w:r>
    </w:p>
    <w:p w14:paraId="5135D6B0" w14:textId="77777777" w:rsidR="009E7DEF" w:rsidRPr="00C30E94" w:rsidRDefault="009E7DEF" w:rsidP="008707C3">
      <w:pPr>
        <w:tabs>
          <w:tab w:val="left" w:pos="567"/>
        </w:tabs>
        <w:spacing w:after="120" w:line="252" w:lineRule="auto"/>
        <w:ind w:firstLine="720"/>
        <w:jc w:val="both"/>
        <w:rPr>
          <w:spacing w:val="2"/>
          <w:lang w:val="nl-NL"/>
        </w:rPr>
      </w:pPr>
      <w:r w:rsidRPr="00C30E94">
        <w:rPr>
          <w:spacing w:val="2"/>
          <w:lang w:val="nl-NL"/>
        </w:rPr>
        <w:t xml:space="preserve">Tính chung hai tháng đầu năm 2025, trên địa bàn cả nước xảy </w:t>
      </w:r>
      <w:r w:rsidRPr="00C30E94">
        <w:rPr>
          <w:lang w:val="nl-NL"/>
        </w:rPr>
        <w:t>ra 3.203 vụ tai nạn giao thông, làm chết 1.748 người và bị thương 2.191 người</w:t>
      </w:r>
      <w:r w:rsidRPr="00C30E94">
        <w:rPr>
          <w:spacing w:val="2"/>
          <w:lang w:val="nl-NL"/>
        </w:rPr>
        <w:t xml:space="preserve">. So với cùng kỳ năm trước, số vụ tai nạn giao thông giảm 31,2%; số người chết giảm 10,5%; số người bị thương giảm 41,0%. Bình quân một ngày trong hai tháng đầu năm 2025, trên địa bàn cả nước xảy ra 52 vụ tai nạn giao thông, làm chết 28 người, bị thương 35 người. </w:t>
      </w:r>
    </w:p>
    <w:p w14:paraId="1979F0A9" w14:textId="77777777" w:rsidR="009E7DEF" w:rsidRPr="00C30E94" w:rsidRDefault="009E7DEF" w:rsidP="008707C3">
      <w:pPr>
        <w:pStyle w:val="Normal11"/>
        <w:spacing w:before="0" w:beforeAutospacing="0" w:after="120" w:afterAutospacing="0" w:line="252" w:lineRule="auto"/>
        <w:ind w:firstLine="720"/>
        <w:jc w:val="both"/>
        <w:rPr>
          <w:rFonts w:ascii="Times New Roman" w:hAnsi="Times New Roman" w:cs="Times New Roman"/>
          <w:b/>
          <w:i/>
          <w:sz w:val="28"/>
          <w:szCs w:val="28"/>
          <w:lang w:val="pl-PL"/>
        </w:rPr>
      </w:pPr>
      <w:r w:rsidRPr="00C30E94">
        <w:rPr>
          <w:rFonts w:ascii="Times New Roman" w:hAnsi="Times New Roman" w:cs="Times New Roman"/>
          <w:b/>
          <w:i/>
          <w:sz w:val="28"/>
          <w:szCs w:val="28"/>
          <w:lang w:val="pl-PL"/>
        </w:rPr>
        <w:t>đ) Thiệt hại do thiên tai</w:t>
      </w:r>
      <w:r w:rsidRPr="00C30E94">
        <w:rPr>
          <w:rStyle w:val="FootnoteReference"/>
          <w:rFonts w:eastAsia="Calibri"/>
          <w:b/>
          <w:bCs/>
          <w:i/>
          <w:lang w:val="pl-PL"/>
        </w:rPr>
        <w:footnoteReference w:id="36"/>
      </w:r>
    </w:p>
    <w:p w14:paraId="76124B3F" w14:textId="77777777" w:rsidR="009E7DEF" w:rsidRPr="00C30E94" w:rsidRDefault="009E7DEF" w:rsidP="008707C3">
      <w:pPr>
        <w:tabs>
          <w:tab w:val="left" w:pos="426"/>
          <w:tab w:val="left" w:pos="900"/>
        </w:tabs>
        <w:spacing w:after="120" w:line="252" w:lineRule="auto"/>
        <w:ind w:firstLine="720"/>
        <w:jc w:val="both"/>
        <w:rPr>
          <w:spacing w:val="-2"/>
          <w:lang w:val="de-DE"/>
        </w:rPr>
      </w:pPr>
      <w:r w:rsidRPr="00C30E94">
        <w:rPr>
          <w:lang w:val="de-DE"/>
        </w:rPr>
        <w:t xml:space="preserve">Thiệt hại do thiên tai trong tháng Hai chủ yếu do ảnh hưởng của </w:t>
      </w:r>
      <w:r w:rsidRPr="00C30E94">
        <w:rPr>
          <w:bCs/>
          <w:iCs/>
        </w:rPr>
        <w:t>mưa lốc, giông sét</w:t>
      </w:r>
      <w:r w:rsidRPr="00C30E94">
        <w:rPr>
          <w:lang w:val="de-DE"/>
        </w:rPr>
        <w:t xml:space="preserve"> làm </w:t>
      </w:r>
      <w:r w:rsidRPr="00C30E94">
        <w:rPr>
          <w:rFonts w:eastAsia="Calibri"/>
          <w:spacing w:val="-2"/>
          <w:lang w:val="de-DE"/>
        </w:rPr>
        <w:t>5</w:t>
      </w:r>
      <w:r w:rsidRPr="00C30E94">
        <w:rPr>
          <w:spacing w:val="-2"/>
          <w:lang w:val="de-DE"/>
        </w:rPr>
        <w:t xml:space="preserve"> người bị thương; 545,3 ha lúa và hoa màu bị ngập, hư hỏng; tổng giá trị thiệt hại về tài sản do thiên tai gây ra trong tháng là gần 6 tỷ đồng, giảm 64,7% so với cùng kỳ năm trước</w:t>
      </w:r>
      <w:r w:rsidRPr="00C30E94">
        <w:rPr>
          <w:snapToGrid w:val="0"/>
          <w:spacing w:val="-2"/>
          <w:lang w:val="nl-NL"/>
        </w:rPr>
        <w:t>.</w:t>
      </w:r>
      <w:r w:rsidRPr="00C30E94" w:rsidDel="004C76CE">
        <w:rPr>
          <w:spacing w:val="-2"/>
          <w:lang w:val="de-DE"/>
        </w:rPr>
        <w:t xml:space="preserve"> </w:t>
      </w:r>
      <w:r w:rsidRPr="00C30E94">
        <w:rPr>
          <w:rFonts w:eastAsia="Calibri"/>
          <w:spacing w:val="-2"/>
          <w:lang w:val="de-DE"/>
        </w:rPr>
        <w:t>Tính chung hai tháng đầu năm nay, thiên tai làm 5</w:t>
      </w:r>
      <w:r w:rsidRPr="00C30E94">
        <w:rPr>
          <w:spacing w:val="-2"/>
          <w:lang w:val="de-DE"/>
        </w:rPr>
        <w:t xml:space="preserve"> người bị thương;</w:t>
      </w:r>
      <w:r w:rsidRPr="00C30E94">
        <w:rPr>
          <w:rFonts w:eastAsia="Calibri"/>
          <w:spacing w:val="-2"/>
          <w:lang w:val="de-DE"/>
        </w:rPr>
        <w:t xml:space="preserve"> 2,7 nghìn ha lúa và hoa màu bị hư hỏng; tổng giá trị thiệt hại về tài sản ước tính 20,8 tỷ đồng, giảm 73,7% so với cùng kỳ năm 2024.</w:t>
      </w:r>
    </w:p>
    <w:p w14:paraId="36DDB782" w14:textId="2B79FECC" w:rsidR="009E7DEF" w:rsidRPr="00C30E94" w:rsidRDefault="009E7DEF" w:rsidP="008707C3">
      <w:pPr>
        <w:tabs>
          <w:tab w:val="left" w:pos="426"/>
          <w:tab w:val="left" w:pos="900"/>
        </w:tabs>
        <w:spacing w:after="120" w:line="252" w:lineRule="auto"/>
        <w:ind w:firstLine="720"/>
        <w:jc w:val="both"/>
        <w:rPr>
          <w:rFonts w:eastAsia="Calibri"/>
          <w:b/>
          <w:i/>
          <w:lang w:val="de-DE"/>
        </w:rPr>
      </w:pPr>
      <w:r w:rsidRPr="00C30E94">
        <w:rPr>
          <w:rFonts w:eastAsia="Calibri"/>
          <w:b/>
          <w:i/>
          <w:lang w:val="de-DE"/>
        </w:rPr>
        <w:t>e)</w:t>
      </w:r>
      <w:r w:rsidRPr="00C30E94">
        <w:rPr>
          <w:b/>
          <w:i/>
          <w:lang w:val="pl-PL"/>
        </w:rPr>
        <w:t xml:space="preserve"> Bảo vệ môi trường và phòng chống cháy, nổ</w:t>
      </w:r>
    </w:p>
    <w:p w14:paraId="72D5C75F" w14:textId="77777777" w:rsidR="009E7DEF" w:rsidRPr="00C30E94" w:rsidRDefault="009E7DEF" w:rsidP="008707C3">
      <w:pPr>
        <w:tabs>
          <w:tab w:val="left" w:pos="426"/>
          <w:tab w:val="left" w:pos="900"/>
        </w:tabs>
        <w:spacing w:after="120" w:line="252" w:lineRule="auto"/>
        <w:ind w:firstLine="720"/>
        <w:jc w:val="both"/>
        <w:rPr>
          <w:rFonts w:eastAsia="Calibri"/>
          <w:lang w:val="de-DE"/>
        </w:rPr>
      </w:pPr>
      <w:r w:rsidRPr="00C30E94">
        <w:rPr>
          <w:rFonts w:eastAsia="Calibri"/>
          <w:lang w:val="de-DE"/>
        </w:rPr>
        <w:t>Trong tháng Hai (từ 18/01-17/02/2025)</w:t>
      </w:r>
      <w:r w:rsidRPr="00C30E94">
        <w:rPr>
          <w:rStyle w:val="FootnoteReference"/>
          <w:rFonts w:eastAsia="Calibri"/>
          <w:lang w:val="de-DE"/>
        </w:rPr>
        <w:footnoteReference w:id="37"/>
      </w:r>
      <w:r w:rsidRPr="00C30E94">
        <w:rPr>
          <w:rFonts w:eastAsia="Calibri"/>
          <w:lang w:val="de-DE"/>
        </w:rPr>
        <w:t xml:space="preserve">, các cơ quan chức năng phát hiện 1.535 vụ vi phạm môi trường tại </w:t>
      </w:r>
      <w:r w:rsidRPr="00C30E94">
        <w:rPr>
          <w:noProof/>
        </w:rPr>
        <w:t xml:space="preserve">54/63 </w:t>
      </w:r>
      <w:r w:rsidRPr="00C30E94">
        <w:rPr>
          <w:noProof/>
          <w:lang w:val="de-DE"/>
        </w:rPr>
        <w:t>địa phương</w:t>
      </w:r>
      <w:r w:rsidRPr="00C30E94">
        <w:rPr>
          <w:rStyle w:val="FootnoteReference"/>
          <w:noProof/>
        </w:rPr>
        <w:footnoteReference w:id="38"/>
      </w:r>
      <w:r w:rsidRPr="00C30E94">
        <w:rPr>
          <w:noProof/>
          <w:lang w:val="de-DE"/>
        </w:rPr>
        <w:t xml:space="preserve">, </w:t>
      </w:r>
      <w:r w:rsidRPr="00C30E94">
        <w:rPr>
          <w:rFonts w:eastAsia="Calibri"/>
          <w:lang w:val="de-DE"/>
        </w:rPr>
        <w:t>trong đó xử lý 1.522 vụ với tổng số tiền phạt 24,9 tỷ đồng, giảm 17,0% so với tháng trước và giảm 13,4% so với cùng kỳ năm trước. Tính chung hai tháng đầu năm nay, các cơ quan chức năng phát hiện 5.329 vụ vi phạm môi trường, trong đó xử lý 4.659 vụ với tổng số tiền phạt 54,9 tỷ đồng, giảm 1,1% so với cùng kỳ năm trước.</w:t>
      </w:r>
    </w:p>
    <w:p w14:paraId="0E4E7CDA" w14:textId="77777777" w:rsidR="009E7DEF" w:rsidRPr="00C30E94" w:rsidRDefault="009E7DEF" w:rsidP="008707C3">
      <w:pPr>
        <w:pStyle w:val="Normal10"/>
        <w:spacing w:before="0" w:beforeAutospacing="0" w:after="120" w:afterAutospacing="0" w:line="264" w:lineRule="auto"/>
        <w:ind w:firstLine="720"/>
        <w:jc w:val="both"/>
        <w:rPr>
          <w:rStyle w:val="normalchar"/>
          <w:b/>
          <w:bCs/>
          <w:i/>
          <w:spacing w:val="4"/>
          <w:lang w:val="nl-NL"/>
        </w:rPr>
      </w:pPr>
      <w:r w:rsidRPr="00C30E94">
        <w:rPr>
          <w:rFonts w:ascii="Times New Roman" w:eastAsia="Calibri" w:hAnsi="Times New Roman" w:cs="Times New Roman"/>
          <w:spacing w:val="4"/>
          <w:sz w:val="28"/>
          <w:szCs w:val="28"/>
          <w:lang w:val="de-DE"/>
        </w:rPr>
        <w:lastRenderedPageBreak/>
        <w:t>Trong tháng (từ 15/01-14/02/2025)</w:t>
      </w:r>
      <w:r w:rsidRPr="00C30E94">
        <w:rPr>
          <w:rStyle w:val="FootnoteReference"/>
          <w:rFonts w:ascii="Times New Roman" w:eastAsia="Calibri" w:hAnsi="Times New Roman" w:cs="Times New Roman"/>
          <w:spacing w:val="4"/>
          <w:sz w:val="28"/>
          <w:szCs w:val="28"/>
          <w:lang w:val="de-DE"/>
        </w:rPr>
        <w:footnoteReference w:id="39"/>
      </w:r>
      <w:r w:rsidRPr="00C30E94">
        <w:rPr>
          <w:rFonts w:ascii="Times New Roman" w:eastAsia="Calibri" w:hAnsi="Times New Roman" w:cs="Times New Roman"/>
          <w:spacing w:val="4"/>
          <w:sz w:val="28"/>
          <w:szCs w:val="28"/>
          <w:lang w:val="de-DE"/>
        </w:rPr>
        <w:t>, cả nước xảy ra 338 vụ cháy, nổ, làm 06 người chết và 04 người bị thương, thiệt hại ước tính 24,6 tỷ đồng, gấp 2,1 lần tháng trước và giảm 11,2% so với cùng kỳ năm trước. Tính chung hai tháng đầu năm nay, trên địa bàn cả nước xảy ra 715 vụ cháy, nổ, làm 14 người chết và 12 người bị thương, thiệt hại ước tính 36,3 tỷ đồng, giảm 23,0% so với cùng kỳ năm trước./.</w:t>
      </w:r>
    </w:p>
    <w:tbl>
      <w:tblPr>
        <w:tblW w:w="0" w:type="auto"/>
        <w:tblLook w:val="04A0" w:firstRow="1" w:lastRow="0" w:firstColumn="1" w:lastColumn="0" w:noHBand="0" w:noVBand="1"/>
      </w:tblPr>
      <w:tblGrid>
        <w:gridCol w:w="3921"/>
        <w:gridCol w:w="5055"/>
      </w:tblGrid>
      <w:tr w:rsidR="00D15631" w:rsidRPr="00C30E94" w14:paraId="7D463711" w14:textId="77777777" w:rsidTr="00A856E8">
        <w:tc>
          <w:tcPr>
            <w:tcW w:w="3921" w:type="dxa"/>
            <w:shd w:val="clear" w:color="auto" w:fill="auto"/>
          </w:tcPr>
          <w:p w14:paraId="5B756723" w14:textId="77777777" w:rsidR="00C144DC" w:rsidRPr="00C30E94" w:rsidRDefault="00C144DC" w:rsidP="004D508D">
            <w:pPr>
              <w:ind w:left="-57"/>
              <w:rPr>
                <w:b/>
                <w:i/>
                <w:sz w:val="24"/>
                <w:lang w:val="de-DE"/>
              </w:rPr>
            </w:pPr>
            <w:r w:rsidRPr="00C30E94">
              <w:rPr>
                <w:b/>
                <w:i/>
                <w:sz w:val="24"/>
                <w:lang w:val="de-DE"/>
              </w:rPr>
              <w:t>Nơi nhận:</w:t>
            </w:r>
          </w:p>
          <w:p w14:paraId="420289A0" w14:textId="77777777" w:rsidR="00B87A5F" w:rsidRPr="00C30E94" w:rsidRDefault="00C144DC" w:rsidP="004D508D">
            <w:pPr>
              <w:ind w:left="-57"/>
              <w:rPr>
                <w:sz w:val="22"/>
                <w:szCs w:val="22"/>
                <w:lang w:val="de-DE"/>
              </w:rPr>
            </w:pPr>
            <w:r w:rsidRPr="00C30E94">
              <w:rPr>
                <w:sz w:val="22"/>
                <w:szCs w:val="22"/>
                <w:lang w:val="de-DE"/>
              </w:rPr>
              <w:t>- Tổng Bí thư</w:t>
            </w:r>
            <w:r w:rsidR="00B87A5F" w:rsidRPr="00C30E94">
              <w:rPr>
                <w:sz w:val="22"/>
                <w:szCs w:val="22"/>
                <w:lang w:val="de-DE"/>
              </w:rPr>
              <w:t>;</w:t>
            </w:r>
          </w:p>
          <w:p w14:paraId="766685C8" w14:textId="77777777" w:rsidR="00C144DC" w:rsidRPr="00C30E94" w:rsidRDefault="00B87A5F" w:rsidP="004D508D">
            <w:pPr>
              <w:ind w:left="-57"/>
              <w:rPr>
                <w:sz w:val="22"/>
                <w:szCs w:val="22"/>
                <w:lang w:val="de-DE"/>
              </w:rPr>
            </w:pPr>
            <w:r w:rsidRPr="00C30E94">
              <w:rPr>
                <w:sz w:val="22"/>
                <w:szCs w:val="22"/>
                <w:lang w:val="de-DE"/>
              </w:rPr>
              <w:t>-</w:t>
            </w:r>
            <w:r w:rsidR="00C144DC" w:rsidRPr="00C30E94">
              <w:rPr>
                <w:sz w:val="22"/>
                <w:szCs w:val="22"/>
                <w:lang w:val="de-DE"/>
              </w:rPr>
              <w:t xml:space="preserve"> Chủ tịch nước;</w:t>
            </w:r>
          </w:p>
          <w:p w14:paraId="56272E82" w14:textId="77777777" w:rsidR="00C144DC" w:rsidRPr="00C30E94" w:rsidRDefault="00C144DC" w:rsidP="004D508D">
            <w:pPr>
              <w:ind w:left="-57"/>
              <w:rPr>
                <w:sz w:val="22"/>
                <w:szCs w:val="22"/>
                <w:lang w:val="de-DE"/>
              </w:rPr>
            </w:pPr>
            <w:r w:rsidRPr="00C30E94">
              <w:rPr>
                <w:sz w:val="22"/>
                <w:szCs w:val="22"/>
                <w:lang w:val="de-DE"/>
              </w:rPr>
              <w:t>- Chủ tịch Quốc hội;</w:t>
            </w:r>
          </w:p>
          <w:p w14:paraId="38301DF3" w14:textId="77777777" w:rsidR="00C144DC" w:rsidRPr="00C30E94" w:rsidRDefault="00C144DC" w:rsidP="004D508D">
            <w:pPr>
              <w:ind w:left="-57"/>
              <w:rPr>
                <w:sz w:val="22"/>
                <w:szCs w:val="22"/>
                <w:lang w:val="de-DE"/>
              </w:rPr>
            </w:pPr>
            <w:r w:rsidRPr="00C30E94">
              <w:rPr>
                <w:sz w:val="22"/>
                <w:szCs w:val="22"/>
                <w:lang w:val="de-DE"/>
              </w:rPr>
              <w:t>- Thủ tướng Chính phủ;</w:t>
            </w:r>
          </w:p>
          <w:p w14:paraId="28F9BC42" w14:textId="77777777" w:rsidR="00C144DC" w:rsidRPr="00C30E94" w:rsidRDefault="00C144DC" w:rsidP="004D508D">
            <w:pPr>
              <w:ind w:left="-57"/>
              <w:rPr>
                <w:sz w:val="22"/>
                <w:szCs w:val="22"/>
                <w:lang w:val="de-DE"/>
              </w:rPr>
            </w:pPr>
            <w:r w:rsidRPr="00C30E94">
              <w:rPr>
                <w:sz w:val="22"/>
                <w:szCs w:val="22"/>
                <w:lang w:val="de-DE"/>
              </w:rPr>
              <w:t>- Các Phó Thủ tướng Chính phủ;</w:t>
            </w:r>
          </w:p>
          <w:p w14:paraId="0FB806AC" w14:textId="470CB777" w:rsidR="00C144DC" w:rsidRPr="00C30E94" w:rsidRDefault="00C144DC" w:rsidP="004D508D">
            <w:pPr>
              <w:ind w:left="-57"/>
              <w:rPr>
                <w:sz w:val="22"/>
                <w:szCs w:val="22"/>
                <w:lang w:val="de-DE"/>
              </w:rPr>
            </w:pPr>
            <w:r w:rsidRPr="00C30E94">
              <w:rPr>
                <w:sz w:val="22"/>
                <w:szCs w:val="22"/>
                <w:lang w:val="de-DE"/>
              </w:rPr>
              <w:t xml:space="preserve">- Lãnh đạo Bộ </w:t>
            </w:r>
            <w:r w:rsidR="00C832CB" w:rsidRPr="00C30E94">
              <w:rPr>
                <w:sz w:val="22"/>
                <w:szCs w:val="22"/>
                <w:lang w:val="de-DE"/>
              </w:rPr>
              <w:t>Tài chính</w:t>
            </w:r>
            <w:r w:rsidRPr="00C30E94">
              <w:rPr>
                <w:sz w:val="22"/>
                <w:szCs w:val="22"/>
                <w:lang w:val="de-DE"/>
              </w:rPr>
              <w:t>;</w:t>
            </w:r>
          </w:p>
          <w:p w14:paraId="21E4AE08" w14:textId="77777777" w:rsidR="00C144DC" w:rsidRPr="00C30E94" w:rsidRDefault="00C144DC" w:rsidP="004D508D">
            <w:pPr>
              <w:ind w:left="-57"/>
              <w:rPr>
                <w:sz w:val="22"/>
                <w:szCs w:val="22"/>
                <w:lang w:val="de-DE"/>
              </w:rPr>
            </w:pPr>
            <w:r w:rsidRPr="00C30E94">
              <w:rPr>
                <w:sz w:val="22"/>
                <w:szCs w:val="22"/>
                <w:lang w:val="de-DE"/>
              </w:rPr>
              <w:t>- Các cơ quan thuộc Trung ương Đảng;</w:t>
            </w:r>
          </w:p>
          <w:p w14:paraId="5CF52F90" w14:textId="77777777" w:rsidR="00C144DC" w:rsidRPr="00C30E94" w:rsidRDefault="00C144DC" w:rsidP="004D508D">
            <w:pPr>
              <w:ind w:left="-57"/>
              <w:rPr>
                <w:sz w:val="22"/>
                <w:szCs w:val="22"/>
                <w:lang w:val="de-DE"/>
              </w:rPr>
            </w:pPr>
            <w:r w:rsidRPr="00C30E94">
              <w:rPr>
                <w:sz w:val="22"/>
                <w:szCs w:val="22"/>
                <w:lang w:val="de-DE"/>
              </w:rPr>
              <w:t>- Văn phòng Chủ tịch nước;</w:t>
            </w:r>
          </w:p>
          <w:p w14:paraId="452E8C2A" w14:textId="77777777" w:rsidR="00C144DC" w:rsidRPr="00C30E94" w:rsidRDefault="00C144DC" w:rsidP="004D508D">
            <w:pPr>
              <w:ind w:left="-57"/>
              <w:rPr>
                <w:sz w:val="22"/>
                <w:szCs w:val="22"/>
                <w:lang w:val="de-DE"/>
              </w:rPr>
            </w:pPr>
            <w:r w:rsidRPr="00C30E94">
              <w:rPr>
                <w:sz w:val="22"/>
                <w:szCs w:val="22"/>
                <w:lang w:val="de-DE"/>
              </w:rPr>
              <w:t>- Các cơ quan thuộc Quốc hội;</w:t>
            </w:r>
          </w:p>
          <w:p w14:paraId="25C413D5" w14:textId="77777777" w:rsidR="00C144DC" w:rsidRPr="00C30E94" w:rsidRDefault="00C144DC" w:rsidP="004D508D">
            <w:pPr>
              <w:ind w:left="-57"/>
              <w:rPr>
                <w:sz w:val="22"/>
                <w:szCs w:val="22"/>
                <w:lang w:val="de-DE"/>
              </w:rPr>
            </w:pPr>
            <w:r w:rsidRPr="00C30E94">
              <w:rPr>
                <w:sz w:val="22"/>
                <w:szCs w:val="22"/>
                <w:lang w:val="de-DE"/>
              </w:rPr>
              <w:t>- Các Bộ, cơ quan ngang Bộ,</w:t>
            </w:r>
          </w:p>
          <w:p w14:paraId="6E398D6B" w14:textId="77777777" w:rsidR="00C144DC" w:rsidRPr="00C30E94" w:rsidRDefault="00C144DC" w:rsidP="004D508D">
            <w:pPr>
              <w:ind w:left="-57"/>
              <w:rPr>
                <w:sz w:val="22"/>
                <w:szCs w:val="22"/>
                <w:lang w:val="en-US"/>
              </w:rPr>
            </w:pPr>
            <w:r w:rsidRPr="00C30E94">
              <w:rPr>
                <w:sz w:val="22"/>
                <w:szCs w:val="22"/>
                <w:lang w:val="de-DE"/>
              </w:rPr>
              <w:t xml:space="preserve">   </w:t>
            </w:r>
            <w:r w:rsidRPr="00C30E94">
              <w:rPr>
                <w:sz w:val="22"/>
                <w:szCs w:val="22"/>
                <w:lang w:val="en-US"/>
              </w:rPr>
              <w:t>cơ quan thuộc Chính phủ;</w:t>
            </w:r>
          </w:p>
          <w:p w14:paraId="30F3472B" w14:textId="77777777" w:rsidR="00C144DC" w:rsidRPr="00C30E94" w:rsidRDefault="00C144DC" w:rsidP="004D508D">
            <w:pPr>
              <w:ind w:left="-57"/>
              <w:rPr>
                <w:sz w:val="22"/>
                <w:szCs w:val="22"/>
                <w:lang w:val="en-US"/>
              </w:rPr>
            </w:pPr>
            <w:r w:rsidRPr="00C30E94">
              <w:rPr>
                <w:sz w:val="22"/>
                <w:szCs w:val="22"/>
                <w:lang w:val="en-US"/>
              </w:rPr>
              <w:t>- Toà án Nhân dân tối cao;</w:t>
            </w:r>
          </w:p>
          <w:p w14:paraId="7FFE1BDA" w14:textId="77777777" w:rsidR="00C144DC" w:rsidRPr="00C30E94" w:rsidRDefault="00C144DC" w:rsidP="004D508D">
            <w:pPr>
              <w:ind w:left="-57"/>
              <w:rPr>
                <w:sz w:val="22"/>
                <w:szCs w:val="22"/>
                <w:lang w:val="en-US"/>
              </w:rPr>
            </w:pPr>
            <w:r w:rsidRPr="00C30E94">
              <w:rPr>
                <w:sz w:val="22"/>
                <w:szCs w:val="22"/>
                <w:lang w:val="en-US"/>
              </w:rPr>
              <w:t>- Viện Kiểm sát Nhân dân tối cao;</w:t>
            </w:r>
          </w:p>
          <w:p w14:paraId="527F753A" w14:textId="77777777" w:rsidR="00C144DC" w:rsidRPr="00C30E94" w:rsidRDefault="00C144DC" w:rsidP="004D508D">
            <w:pPr>
              <w:ind w:left="-57"/>
              <w:rPr>
                <w:sz w:val="22"/>
                <w:szCs w:val="22"/>
                <w:lang w:val="en-US"/>
              </w:rPr>
            </w:pPr>
            <w:r w:rsidRPr="00C30E94">
              <w:rPr>
                <w:sz w:val="22"/>
                <w:szCs w:val="22"/>
                <w:lang w:val="en-US"/>
              </w:rPr>
              <w:t>- Các đoàn thể Trung ương;</w:t>
            </w:r>
          </w:p>
          <w:p w14:paraId="7EC115CC" w14:textId="77777777" w:rsidR="00C144DC" w:rsidRPr="00C30E94" w:rsidRDefault="00C144DC" w:rsidP="004D508D">
            <w:pPr>
              <w:ind w:left="-57"/>
              <w:rPr>
                <w:sz w:val="22"/>
                <w:szCs w:val="22"/>
                <w:lang w:val="en-US"/>
              </w:rPr>
            </w:pPr>
            <w:r w:rsidRPr="00C30E94">
              <w:rPr>
                <w:sz w:val="22"/>
                <w:szCs w:val="22"/>
                <w:lang w:val="en-US"/>
              </w:rPr>
              <w:t>- Các tỉnh, thành phố trực thuộc TW;</w:t>
            </w:r>
          </w:p>
          <w:p w14:paraId="506E2A3F" w14:textId="77777777" w:rsidR="00C144DC" w:rsidRPr="00C30E94" w:rsidRDefault="00C144DC" w:rsidP="004D508D">
            <w:pPr>
              <w:ind w:left="-57"/>
              <w:rPr>
                <w:sz w:val="22"/>
                <w:szCs w:val="22"/>
                <w:lang w:val="en-US"/>
              </w:rPr>
            </w:pPr>
            <w:r w:rsidRPr="00C30E94">
              <w:rPr>
                <w:sz w:val="22"/>
                <w:szCs w:val="22"/>
                <w:lang w:val="en-US"/>
              </w:rPr>
              <w:t>- Phòng Thương mại và Công nghiệp VN;</w:t>
            </w:r>
          </w:p>
          <w:p w14:paraId="2D578589" w14:textId="2E37D0DA" w:rsidR="00C144DC" w:rsidRPr="00C30E94" w:rsidRDefault="00C144DC" w:rsidP="004D508D">
            <w:pPr>
              <w:ind w:left="-57"/>
              <w:rPr>
                <w:sz w:val="22"/>
                <w:szCs w:val="22"/>
                <w:lang w:val="en-US"/>
              </w:rPr>
            </w:pPr>
            <w:r w:rsidRPr="00C30E94">
              <w:rPr>
                <w:sz w:val="22"/>
                <w:szCs w:val="22"/>
                <w:lang w:val="en-US"/>
              </w:rPr>
              <w:t xml:space="preserve">- Các đơn vị thuộc Bộ </w:t>
            </w:r>
            <w:r w:rsidR="00C832CB" w:rsidRPr="00C30E94">
              <w:rPr>
                <w:sz w:val="22"/>
                <w:szCs w:val="22"/>
                <w:lang w:val="en-US"/>
              </w:rPr>
              <w:t>Tài chính</w:t>
            </w:r>
            <w:r w:rsidRPr="00C30E94">
              <w:rPr>
                <w:sz w:val="22"/>
                <w:szCs w:val="22"/>
                <w:lang w:val="en-US"/>
              </w:rPr>
              <w:t>;</w:t>
            </w:r>
          </w:p>
          <w:p w14:paraId="11AA99A9" w14:textId="77777777" w:rsidR="00C144DC" w:rsidRPr="00C30E94" w:rsidRDefault="00C144DC" w:rsidP="004D508D">
            <w:pPr>
              <w:ind w:left="-57"/>
              <w:rPr>
                <w:sz w:val="22"/>
                <w:szCs w:val="22"/>
                <w:lang w:val="en-US"/>
              </w:rPr>
            </w:pPr>
            <w:r w:rsidRPr="00C30E94">
              <w:rPr>
                <w:sz w:val="22"/>
                <w:szCs w:val="22"/>
                <w:lang w:val="en-US"/>
              </w:rPr>
              <w:t>- Cơ quan Thông tấn, báo chí;</w:t>
            </w:r>
          </w:p>
          <w:p w14:paraId="58D5A768" w14:textId="2E540D3E" w:rsidR="00C144DC" w:rsidRPr="00C30E94" w:rsidRDefault="00C144DC" w:rsidP="004D508D">
            <w:pPr>
              <w:ind w:left="-57"/>
              <w:rPr>
                <w:sz w:val="22"/>
                <w:szCs w:val="22"/>
                <w:lang w:val="en-US"/>
              </w:rPr>
            </w:pPr>
            <w:r w:rsidRPr="00C30E94">
              <w:rPr>
                <w:sz w:val="22"/>
                <w:szCs w:val="22"/>
                <w:lang w:val="en-US"/>
              </w:rPr>
              <w:t>- Các đơn vị thuộc CTK;</w:t>
            </w:r>
          </w:p>
          <w:p w14:paraId="178437C5" w14:textId="1C5F5610" w:rsidR="00C144DC" w:rsidRPr="00C30E94" w:rsidRDefault="00C144DC" w:rsidP="004D508D">
            <w:pPr>
              <w:ind w:left="-57"/>
              <w:rPr>
                <w:b/>
                <w:i/>
                <w:sz w:val="24"/>
                <w:lang w:val="en-US"/>
              </w:rPr>
            </w:pPr>
            <w:r w:rsidRPr="00C30E94">
              <w:rPr>
                <w:sz w:val="22"/>
                <w:szCs w:val="22"/>
                <w:lang w:val="en-US"/>
              </w:rPr>
              <w:t>- Lưu: VT, TH</w:t>
            </w:r>
            <w:r w:rsidR="00C832CB" w:rsidRPr="00C30E94">
              <w:rPr>
                <w:sz w:val="22"/>
                <w:szCs w:val="22"/>
                <w:lang w:val="en-US"/>
              </w:rPr>
              <w:t>ĐN</w:t>
            </w:r>
            <w:r w:rsidRPr="00C30E94">
              <w:rPr>
                <w:sz w:val="22"/>
                <w:szCs w:val="22"/>
                <w:lang w:val="en-US"/>
              </w:rPr>
              <w:t>.</w:t>
            </w:r>
          </w:p>
        </w:tc>
        <w:tc>
          <w:tcPr>
            <w:tcW w:w="5055" w:type="dxa"/>
            <w:shd w:val="clear" w:color="auto" w:fill="auto"/>
          </w:tcPr>
          <w:p w14:paraId="465C4520" w14:textId="536EB032" w:rsidR="00C144DC" w:rsidRPr="00C30E94" w:rsidRDefault="00C144DC" w:rsidP="004D508D">
            <w:pPr>
              <w:shd w:val="clear" w:color="auto" w:fill="FFFFFF"/>
              <w:tabs>
                <w:tab w:val="left" w:pos="6540"/>
              </w:tabs>
              <w:ind w:firstLine="894"/>
              <w:jc w:val="center"/>
              <w:rPr>
                <w:rFonts w:eastAsia="Calibri"/>
                <w:b/>
                <w:bCs/>
                <w:lang w:val="en-US" w:eastAsia="x-none"/>
              </w:rPr>
            </w:pPr>
            <w:r w:rsidRPr="00C30E94">
              <w:rPr>
                <w:rFonts w:eastAsia="Calibri"/>
                <w:b/>
                <w:bCs/>
                <w:lang w:val="en-US" w:eastAsia="x-none"/>
              </w:rPr>
              <w:t>CỤC TRƯỞNG</w:t>
            </w:r>
          </w:p>
          <w:p w14:paraId="5CD4BE2E" w14:textId="77777777" w:rsidR="00C144DC" w:rsidRPr="00C30E94" w:rsidRDefault="00C144DC" w:rsidP="004D508D">
            <w:pPr>
              <w:ind w:firstLine="894"/>
              <w:jc w:val="center"/>
              <w:rPr>
                <w:b/>
                <w:bCs/>
                <w:lang w:val="en-US"/>
              </w:rPr>
            </w:pPr>
          </w:p>
          <w:p w14:paraId="6890D794" w14:textId="77777777" w:rsidR="00C144DC" w:rsidRPr="00C30E94" w:rsidRDefault="00C144DC" w:rsidP="004D508D">
            <w:pPr>
              <w:ind w:firstLine="894"/>
              <w:jc w:val="center"/>
              <w:rPr>
                <w:b/>
                <w:bCs/>
                <w:lang w:val="en-US"/>
              </w:rPr>
            </w:pPr>
          </w:p>
          <w:p w14:paraId="17AB460C" w14:textId="77777777" w:rsidR="00C144DC" w:rsidRPr="00C30E94" w:rsidRDefault="00C144DC" w:rsidP="004D508D">
            <w:pPr>
              <w:ind w:firstLine="894"/>
              <w:jc w:val="center"/>
              <w:rPr>
                <w:b/>
                <w:bCs/>
                <w:lang w:val="en-US"/>
              </w:rPr>
            </w:pPr>
          </w:p>
          <w:p w14:paraId="20AB08D0" w14:textId="77777777" w:rsidR="00C144DC" w:rsidRPr="00C30E94" w:rsidRDefault="00C144DC" w:rsidP="004D508D">
            <w:pPr>
              <w:ind w:firstLine="894"/>
              <w:jc w:val="center"/>
              <w:rPr>
                <w:b/>
                <w:bCs/>
                <w:lang w:val="en-US"/>
              </w:rPr>
            </w:pPr>
          </w:p>
          <w:p w14:paraId="5C7DCDDB" w14:textId="77777777" w:rsidR="00C144DC" w:rsidRPr="00C30E94" w:rsidRDefault="00C144DC" w:rsidP="004D508D">
            <w:pPr>
              <w:ind w:firstLine="894"/>
              <w:jc w:val="center"/>
              <w:rPr>
                <w:b/>
                <w:bCs/>
                <w:lang w:val="en-US"/>
              </w:rPr>
            </w:pPr>
          </w:p>
          <w:p w14:paraId="614F3089" w14:textId="77777777" w:rsidR="00C144DC" w:rsidRPr="00C30E94" w:rsidRDefault="00C144DC" w:rsidP="004D508D">
            <w:pPr>
              <w:ind w:firstLine="894"/>
              <w:jc w:val="center"/>
              <w:rPr>
                <w:b/>
                <w:bCs/>
                <w:lang w:val="en-US"/>
              </w:rPr>
            </w:pPr>
          </w:p>
          <w:p w14:paraId="3605D9C7" w14:textId="77777777" w:rsidR="00C144DC" w:rsidRPr="00C30E94" w:rsidRDefault="00C144DC" w:rsidP="004D508D">
            <w:pPr>
              <w:ind w:firstLine="894"/>
              <w:jc w:val="center"/>
              <w:rPr>
                <w:b/>
                <w:bCs/>
                <w:lang w:val="en-US"/>
              </w:rPr>
            </w:pPr>
            <w:r w:rsidRPr="00C30E94">
              <w:rPr>
                <w:b/>
                <w:bCs/>
                <w:lang w:val="en-US"/>
              </w:rPr>
              <w:t>Nguyễn Thị Hương</w:t>
            </w:r>
          </w:p>
          <w:p w14:paraId="19807140" w14:textId="77777777" w:rsidR="00C144DC" w:rsidRPr="00C30E94" w:rsidRDefault="00C144DC" w:rsidP="004D508D">
            <w:pPr>
              <w:ind w:firstLine="894"/>
              <w:jc w:val="center"/>
              <w:rPr>
                <w:b/>
                <w:bCs/>
                <w:lang w:val="en-US"/>
              </w:rPr>
            </w:pPr>
          </w:p>
          <w:p w14:paraId="6F856270" w14:textId="77777777" w:rsidR="00C144DC" w:rsidRPr="00C30E94" w:rsidRDefault="00C144DC" w:rsidP="004D508D">
            <w:pPr>
              <w:ind w:firstLine="894"/>
              <w:jc w:val="center"/>
              <w:rPr>
                <w:b/>
                <w:bCs/>
                <w:lang w:val="en-US"/>
              </w:rPr>
            </w:pPr>
          </w:p>
          <w:p w14:paraId="6B1E59BF" w14:textId="77777777" w:rsidR="00C144DC" w:rsidRPr="00C30E94" w:rsidRDefault="00C144DC" w:rsidP="004D508D">
            <w:pPr>
              <w:ind w:firstLine="894"/>
              <w:jc w:val="center"/>
              <w:rPr>
                <w:b/>
                <w:bCs/>
                <w:lang w:val="en-US"/>
              </w:rPr>
            </w:pPr>
          </w:p>
          <w:p w14:paraId="0665E65B" w14:textId="77777777" w:rsidR="00C144DC" w:rsidRPr="00C30E94" w:rsidRDefault="00C144DC" w:rsidP="004D508D">
            <w:pPr>
              <w:ind w:firstLine="894"/>
              <w:jc w:val="center"/>
              <w:rPr>
                <w:b/>
                <w:bCs/>
                <w:lang w:val="en-US"/>
              </w:rPr>
            </w:pPr>
          </w:p>
          <w:p w14:paraId="0E42EF2D" w14:textId="77777777" w:rsidR="00C144DC" w:rsidRPr="00C30E94" w:rsidRDefault="00C144DC" w:rsidP="004D508D">
            <w:pPr>
              <w:ind w:firstLine="894"/>
              <w:jc w:val="center"/>
              <w:rPr>
                <w:b/>
                <w:bCs/>
                <w:lang w:val="en-US"/>
              </w:rPr>
            </w:pPr>
          </w:p>
          <w:p w14:paraId="38DE5B14" w14:textId="77777777" w:rsidR="00C144DC" w:rsidRPr="00C30E94" w:rsidRDefault="00C144DC" w:rsidP="004D508D">
            <w:pPr>
              <w:ind w:firstLine="894"/>
              <w:jc w:val="center"/>
              <w:rPr>
                <w:b/>
                <w:bCs/>
                <w:lang w:val="en-US"/>
              </w:rPr>
            </w:pPr>
          </w:p>
          <w:p w14:paraId="4558DDEA" w14:textId="77777777" w:rsidR="00C144DC" w:rsidRPr="00C30E94" w:rsidRDefault="00C144DC" w:rsidP="004D508D">
            <w:pPr>
              <w:ind w:firstLine="894"/>
              <w:jc w:val="center"/>
              <w:rPr>
                <w:b/>
                <w:i/>
                <w:sz w:val="24"/>
                <w:lang w:val="en-US"/>
              </w:rPr>
            </w:pPr>
          </w:p>
        </w:tc>
      </w:tr>
    </w:tbl>
    <w:p w14:paraId="09BB77F2" w14:textId="77777777" w:rsidR="00591556" w:rsidRPr="00C30E94" w:rsidRDefault="00591556" w:rsidP="00BE279B">
      <w:pPr>
        <w:pStyle w:val="Normal10"/>
        <w:spacing w:before="40" w:beforeAutospacing="0" w:after="40" w:afterAutospacing="0" w:line="264" w:lineRule="auto"/>
        <w:jc w:val="both"/>
        <w:rPr>
          <w:b/>
          <w:bCs/>
          <w:sz w:val="8"/>
          <w:lang w:val="en-GB"/>
        </w:rPr>
      </w:pPr>
    </w:p>
    <w:sectPr w:rsidR="00591556" w:rsidRPr="00C30E94" w:rsidSect="00F50DF7">
      <w:headerReference w:type="default" r:id="rId28"/>
      <w:pgSz w:w="11907" w:h="16840" w:code="9"/>
      <w:pgMar w:top="1134" w:right="1134" w:bottom="1134" w:left="1701"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04365" w14:textId="77777777" w:rsidR="00BD324E" w:rsidRDefault="00BD324E" w:rsidP="001A07A9">
      <w:r>
        <w:separator/>
      </w:r>
    </w:p>
  </w:endnote>
  <w:endnote w:type="continuationSeparator" w:id="0">
    <w:p w14:paraId="2C8EFCE9" w14:textId="77777777" w:rsidR="00BD324E" w:rsidRDefault="00BD324E"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B4A88" w14:textId="77777777" w:rsidR="00BD324E" w:rsidRDefault="00BD324E" w:rsidP="001A07A9">
      <w:r>
        <w:separator/>
      </w:r>
    </w:p>
  </w:footnote>
  <w:footnote w:type="continuationSeparator" w:id="0">
    <w:p w14:paraId="7F5AF5F9" w14:textId="77777777" w:rsidR="00BD324E" w:rsidRDefault="00BD324E" w:rsidP="001A07A9">
      <w:r>
        <w:continuationSeparator/>
      </w:r>
    </w:p>
  </w:footnote>
  <w:footnote w:id="1">
    <w:p w14:paraId="0E96C4C3" w14:textId="77777777" w:rsidR="00DB4D6C" w:rsidRPr="00F1270D" w:rsidRDefault="00DB4D6C" w:rsidP="00926365">
      <w:pPr>
        <w:pStyle w:val="FootnoteText"/>
        <w:spacing w:after="40"/>
        <w:ind w:left="142" w:hanging="142"/>
        <w:jc w:val="both"/>
        <w:rPr>
          <w:lang w:val="sv-SE"/>
        </w:rPr>
      </w:pPr>
      <w:r w:rsidRPr="00F1270D">
        <w:rPr>
          <w:rStyle w:val="FootnoteReference"/>
        </w:rPr>
        <w:footnoteRef/>
      </w:r>
      <w:r w:rsidRPr="00F1270D">
        <w:t xml:space="preserve"> </w:t>
      </w:r>
      <w:r w:rsidRPr="00F1270D">
        <w:rPr>
          <w:rStyle w:val="normalchar"/>
          <w:lang w:val="af-ZA"/>
        </w:rPr>
        <w:t>Chăn nuôi trâu, bò lấy thịt giảm chủ yếu do điều kiện chăn nuôi khó khăn, chi phí chăn nuôi cao, lợi nhuận mang lại thấp, dẫn đến việc giảm số lượng đầu con</w:t>
      </w:r>
      <w:r w:rsidRPr="00F1270D">
        <w:rPr>
          <w:lang w:val="sv-SE"/>
        </w:rPr>
        <w:t>. Tuy nhiên, đàn bò sữa vẫn phát triển ổn định.</w:t>
      </w:r>
    </w:p>
  </w:footnote>
  <w:footnote w:id="2">
    <w:p w14:paraId="0E5C1DB0" w14:textId="4D0D347C" w:rsidR="00DB4D6C" w:rsidRPr="00F1270D" w:rsidRDefault="00DB4D6C" w:rsidP="00774F1A">
      <w:pPr>
        <w:pStyle w:val="FootnoteText"/>
        <w:spacing w:after="40"/>
        <w:ind w:left="142" w:hanging="142"/>
        <w:jc w:val="both"/>
        <w:rPr>
          <w:lang w:val="en-US"/>
        </w:rPr>
      </w:pPr>
      <w:r w:rsidRPr="00F1270D">
        <w:rPr>
          <w:rStyle w:val="FootnoteReference"/>
        </w:rPr>
        <w:footnoteRef/>
      </w:r>
      <w:r w:rsidRPr="00F1270D">
        <w:t xml:space="preserve"> </w:t>
      </w:r>
      <w:r w:rsidRPr="00F1270D">
        <w:rPr>
          <w:lang w:val="de-DE"/>
        </w:rPr>
        <w:t>Hà Nội, Lào Cai, Đà Nẵng, Quảng Nam, Đắk Lắk, Ninh Thuận, Tây Ninh, Đồng Nai, Bình Thuận, Long An, Đồng Tháp và Bến Tre.</w:t>
      </w:r>
    </w:p>
  </w:footnote>
  <w:footnote w:id="3">
    <w:p w14:paraId="4D9EAAA7" w14:textId="0EA366F8" w:rsidR="00DB4D6C" w:rsidRPr="00F1270D" w:rsidRDefault="00DB4D6C" w:rsidP="00774F1A">
      <w:pPr>
        <w:pStyle w:val="FootnoteText"/>
        <w:spacing w:after="40"/>
        <w:ind w:left="142" w:hanging="142"/>
        <w:jc w:val="both"/>
        <w:rPr>
          <w:lang w:val="en-US"/>
        </w:rPr>
      </w:pPr>
      <w:r w:rsidRPr="00F1270D">
        <w:rPr>
          <w:rStyle w:val="FootnoteReference"/>
        </w:rPr>
        <w:footnoteRef/>
      </w:r>
      <w:r w:rsidRPr="00F1270D">
        <w:t xml:space="preserve"> </w:t>
      </w:r>
      <w:r w:rsidRPr="00F1270D">
        <w:rPr>
          <w:lang w:val="de-DE"/>
        </w:rPr>
        <w:t>Ninh Bình, Cao Bằng, Lai Châu, Hà Tĩnh, Quảng Ngãi, Kon Tum, Bình Phước, Long An, Tiền Giang, Vĩnh Long và Cà Mau.</w:t>
      </w:r>
    </w:p>
  </w:footnote>
  <w:footnote w:id="4">
    <w:p w14:paraId="73625D70" w14:textId="2AE092CE" w:rsidR="00DB4D6C" w:rsidRPr="00F1270D" w:rsidRDefault="00DB4D6C" w:rsidP="009E7DEF">
      <w:pPr>
        <w:pStyle w:val="FootnoteText"/>
        <w:spacing w:after="40"/>
        <w:ind w:left="142" w:hanging="142"/>
        <w:jc w:val="both"/>
        <w:rPr>
          <w:lang w:val="en-US"/>
        </w:rPr>
      </w:pPr>
      <w:r w:rsidRPr="00F1270D">
        <w:rPr>
          <w:rStyle w:val="FootnoteReference"/>
        </w:rPr>
        <w:footnoteRef/>
      </w:r>
      <w:r w:rsidRPr="00F1270D">
        <w:t xml:space="preserve"> </w:t>
      </w:r>
      <w:r w:rsidRPr="00F1270D">
        <w:rPr>
          <w:lang w:val="sv-SE"/>
        </w:rPr>
        <w:t>Theo số liệu của Bộ Nông nghiệp và Phát triển nông thôn, tính từ 16/01-15/02/2025.</w:t>
      </w:r>
    </w:p>
  </w:footnote>
  <w:footnote w:id="5">
    <w:p w14:paraId="23313432" w14:textId="3D0F9A4C" w:rsidR="00DB4D6C" w:rsidRPr="00F1270D" w:rsidRDefault="00DB4D6C" w:rsidP="00774F1A">
      <w:pPr>
        <w:pStyle w:val="FootnoteText"/>
        <w:ind w:left="142" w:hanging="142"/>
        <w:jc w:val="both"/>
        <w:rPr>
          <w:lang w:val="en-US"/>
        </w:rPr>
      </w:pPr>
      <w:r w:rsidRPr="00F1270D">
        <w:rPr>
          <w:rStyle w:val="FootnoteReference"/>
        </w:rPr>
        <w:footnoteRef/>
      </w:r>
      <w:r w:rsidRPr="00F1270D">
        <w:t xml:space="preserve"> </w:t>
      </w:r>
      <w:r w:rsidRPr="00F1270D">
        <w:rPr>
          <w:lang w:val="en-US"/>
        </w:rPr>
        <w:t>Tháng Hai năm 2024, diện tích rừng bị thiệt hại là 54,2 ha, trong đó diện tích rừng bị cháy là 0,4 ha, diện tích rừng bị chặt, phá là 53,8 ha.</w:t>
      </w:r>
    </w:p>
  </w:footnote>
  <w:footnote w:id="6">
    <w:p w14:paraId="1FA77B1D" w14:textId="43055BEC" w:rsidR="00DB4D6C" w:rsidRPr="00F1270D" w:rsidRDefault="00DB4D6C" w:rsidP="009E7DEF">
      <w:pPr>
        <w:pStyle w:val="FootnoteText"/>
        <w:spacing w:after="40"/>
        <w:ind w:left="142" w:hanging="142"/>
        <w:jc w:val="both"/>
        <w:rPr>
          <w:spacing w:val="-4"/>
          <w:lang w:val="en-US"/>
        </w:rPr>
      </w:pPr>
      <w:r w:rsidRPr="00F1270D">
        <w:rPr>
          <w:rStyle w:val="FootnoteReference"/>
        </w:rPr>
        <w:footnoteRef/>
      </w:r>
      <w:r w:rsidRPr="00F1270D">
        <w:t xml:space="preserve"> </w:t>
      </w:r>
      <w:r w:rsidRPr="00F1270D">
        <w:rPr>
          <w:spacing w:val="-4"/>
        </w:rPr>
        <w:t>Nguồn: Tổng hợp từ báo cáo các tỉnh Đồng bằng sông C</w:t>
      </w:r>
      <w:r>
        <w:rPr>
          <w:spacing w:val="-4"/>
          <w:lang w:val="en-US"/>
        </w:rPr>
        <w:t>ử</w:t>
      </w:r>
      <w:r w:rsidRPr="00F1270D">
        <w:rPr>
          <w:spacing w:val="-4"/>
        </w:rPr>
        <w:t>u Long:</w:t>
      </w:r>
      <w:r w:rsidRPr="00F1270D">
        <w:rPr>
          <w:bCs/>
          <w:spacing w:val="-4"/>
        </w:rPr>
        <w:t xml:space="preserve"> Giá cá tra nguyên liệu tăng từ hai tuần cuối của tháng 12/2024 kéo dài cho đến nay. Hiện nay, </w:t>
      </w:r>
      <w:r w:rsidRPr="00F1270D">
        <w:rPr>
          <w:bCs/>
          <w:iCs/>
          <w:spacing w:val="-4"/>
          <w:shd w:val="clear" w:color="auto" w:fill="FFFFFF"/>
          <w:lang w:val="nl-NL"/>
        </w:rPr>
        <w:t>giá</w:t>
      </w:r>
      <w:r w:rsidRPr="00F1270D">
        <w:rPr>
          <w:bCs/>
          <w:iCs/>
          <w:spacing w:val="-4"/>
          <w:shd w:val="clear" w:color="auto" w:fill="FFFFFF"/>
        </w:rPr>
        <w:t xml:space="preserve"> </w:t>
      </w:r>
      <w:r w:rsidRPr="00F1270D">
        <w:rPr>
          <w:bCs/>
          <w:iCs/>
          <w:spacing w:val="-4"/>
          <w:shd w:val="clear" w:color="auto" w:fill="FFFFFF"/>
          <w:lang w:val="nl-NL"/>
        </w:rPr>
        <w:t>cá tra nguyên</w:t>
      </w:r>
      <w:r w:rsidRPr="00F1270D">
        <w:rPr>
          <w:bCs/>
          <w:iCs/>
          <w:spacing w:val="-4"/>
          <w:shd w:val="clear" w:color="auto" w:fill="FFFFFF"/>
        </w:rPr>
        <w:t xml:space="preserve"> liệu tại Đồng bằng sông Cửu Long</w:t>
      </w:r>
      <w:r w:rsidRPr="00F1270D">
        <w:rPr>
          <w:bCs/>
          <w:iCs/>
          <w:spacing w:val="-4"/>
          <w:shd w:val="clear" w:color="auto" w:fill="FFFFFF"/>
          <w:lang w:val="nl-NL"/>
        </w:rPr>
        <w:t xml:space="preserve"> đang dao động ở</w:t>
      </w:r>
      <w:r w:rsidRPr="00F1270D">
        <w:rPr>
          <w:bCs/>
          <w:iCs/>
          <w:spacing w:val="-4"/>
          <w:shd w:val="clear" w:color="auto" w:fill="FFFFFF"/>
        </w:rPr>
        <w:t xml:space="preserve"> mức</w:t>
      </w:r>
      <w:r w:rsidRPr="00F1270D">
        <w:rPr>
          <w:bCs/>
          <w:iCs/>
          <w:spacing w:val="-4"/>
          <w:shd w:val="clear" w:color="auto" w:fill="FFFFFF"/>
          <w:lang w:val="nl-NL"/>
        </w:rPr>
        <w:t xml:space="preserve"> 31.500-31.800 đồng/kg tăng khoảng</w:t>
      </w:r>
      <w:r w:rsidRPr="00F1270D">
        <w:rPr>
          <w:bCs/>
          <w:iCs/>
          <w:spacing w:val="-4"/>
          <w:shd w:val="clear" w:color="auto" w:fill="FFFFFF"/>
        </w:rPr>
        <w:t xml:space="preserve"> </w:t>
      </w:r>
      <w:r w:rsidRPr="00F1270D">
        <w:rPr>
          <w:bCs/>
          <w:iCs/>
          <w:spacing w:val="-4"/>
          <w:shd w:val="clear" w:color="auto" w:fill="FFFFFF"/>
          <w:lang w:val="nl-NL"/>
        </w:rPr>
        <w:t>3</w:t>
      </w:r>
      <w:r w:rsidRPr="00F1270D">
        <w:rPr>
          <w:bCs/>
          <w:iCs/>
          <w:spacing w:val="-4"/>
          <w:shd w:val="clear" w:color="auto" w:fill="FFFFFF"/>
        </w:rPr>
        <w:t>.</w:t>
      </w:r>
      <w:r w:rsidRPr="00F1270D">
        <w:rPr>
          <w:bCs/>
          <w:iCs/>
          <w:spacing w:val="-4"/>
          <w:shd w:val="clear" w:color="auto" w:fill="FFFFFF"/>
          <w:lang w:val="nl-NL"/>
        </w:rPr>
        <w:t>000-</w:t>
      </w:r>
      <w:r w:rsidRPr="00F1270D">
        <w:rPr>
          <w:bCs/>
          <w:iCs/>
          <w:spacing w:val="-4"/>
          <w:shd w:val="clear" w:color="auto" w:fill="FFFFFF"/>
        </w:rPr>
        <w:t>3.500</w:t>
      </w:r>
      <w:r w:rsidRPr="00F1270D">
        <w:rPr>
          <w:bCs/>
          <w:iCs/>
          <w:spacing w:val="-4"/>
          <w:shd w:val="clear" w:color="auto" w:fill="FFFFFF"/>
          <w:lang w:val="nl-NL"/>
        </w:rPr>
        <w:t xml:space="preserve"> đồng/kg so với mức giá bán cùng kỳ năm trước.</w:t>
      </w:r>
    </w:p>
  </w:footnote>
  <w:footnote w:id="7">
    <w:p w14:paraId="772AD0E3" w14:textId="6B055E7A" w:rsidR="00DB4D6C" w:rsidRPr="00F1270D" w:rsidRDefault="00DB4D6C" w:rsidP="009E7DEF">
      <w:pPr>
        <w:pStyle w:val="FootnoteText"/>
        <w:spacing w:after="40"/>
        <w:ind w:left="142" w:hanging="142"/>
        <w:rPr>
          <w:lang w:val="en-GB"/>
        </w:rPr>
      </w:pPr>
      <w:r w:rsidRPr="00F1270D">
        <w:rPr>
          <w:rStyle w:val="FootnoteReference"/>
        </w:rPr>
        <w:footnoteRef/>
      </w:r>
      <w:r w:rsidRPr="00F1270D">
        <w:t xml:space="preserve"> </w:t>
      </w:r>
      <w:hyperlink r:id="rId1" w:history="1">
        <w:r w:rsidRPr="00F1270D">
          <w:rPr>
            <w:rStyle w:val="Hyperlink"/>
            <w:color w:val="auto"/>
          </w:rPr>
          <w:t>https://vasep.com.vn/gia-thuy-san/gia-trong-nuoc/gia-thuy-san-tai-khanh-hoa-tu-14-20-02-2025-24800</w:t>
        </w:r>
      </w:hyperlink>
      <w:r w:rsidRPr="00F1270D">
        <w:t xml:space="preserve">: </w:t>
      </w:r>
      <w:r w:rsidRPr="00F1270D">
        <w:rPr>
          <w:bCs/>
          <w:lang w:val="it-IT"/>
        </w:rPr>
        <w:t>Giá tôm thẻ chân trắng loại 100 con/kg có giá 85.000-95.000 đồng/kg</w:t>
      </w:r>
      <w:r w:rsidRPr="00F1270D">
        <w:rPr>
          <w:bCs/>
        </w:rPr>
        <w:t xml:space="preserve">, loại 60-80 con/kg dao động ở mức 150.000-160.000 đồng/kg, </w:t>
      </w:r>
      <w:r w:rsidRPr="00F1270D">
        <w:rPr>
          <w:bCs/>
          <w:lang w:val="it-IT"/>
        </w:rPr>
        <w:t>giá tôm sú nguyên liệu loại 40 con/kg có</w:t>
      </w:r>
      <w:r w:rsidRPr="00F1270D">
        <w:rPr>
          <w:bCs/>
        </w:rPr>
        <w:t xml:space="preserve"> giá </w:t>
      </w:r>
      <w:r w:rsidRPr="00F1270D">
        <w:rPr>
          <w:bCs/>
          <w:lang w:val="it-IT"/>
        </w:rPr>
        <w:t>150.000-155.000 đồng/kg, loại 30 con/kg có</w:t>
      </w:r>
      <w:r w:rsidRPr="00F1270D">
        <w:rPr>
          <w:bCs/>
        </w:rPr>
        <w:t xml:space="preserve"> giá </w:t>
      </w:r>
      <w:r w:rsidRPr="00F1270D">
        <w:rPr>
          <w:bCs/>
          <w:lang w:val="it-IT"/>
        </w:rPr>
        <w:t>175.000-180.000</w:t>
      </w:r>
      <w:r w:rsidRPr="00F1270D">
        <w:rPr>
          <w:bCs/>
        </w:rPr>
        <w:t xml:space="preserve"> đồng/kg</w:t>
      </w:r>
      <w:r w:rsidRPr="00F1270D">
        <w:rPr>
          <w:bCs/>
          <w:lang w:val="it-IT"/>
        </w:rPr>
        <w:t>, loại 20 con/kg có</w:t>
      </w:r>
      <w:r w:rsidRPr="00F1270D">
        <w:rPr>
          <w:bCs/>
        </w:rPr>
        <w:t xml:space="preserve"> giá </w:t>
      </w:r>
      <w:r w:rsidRPr="00F1270D">
        <w:rPr>
          <w:bCs/>
          <w:lang w:val="it-IT"/>
        </w:rPr>
        <w:t>230.000-235.000 đồng/kg</w:t>
      </w:r>
      <w:r w:rsidRPr="00F1270D">
        <w:rPr>
          <w:bCs/>
        </w:rPr>
        <w:t>.</w:t>
      </w:r>
    </w:p>
  </w:footnote>
  <w:footnote w:id="8">
    <w:p w14:paraId="409C8E00" w14:textId="48A342D6" w:rsidR="00DB4D6C" w:rsidRPr="00F1270D" w:rsidRDefault="00DB4D6C" w:rsidP="003A54BB">
      <w:pPr>
        <w:spacing w:after="40"/>
        <w:ind w:left="142" w:hanging="142"/>
        <w:jc w:val="both"/>
        <w:rPr>
          <w:sz w:val="20"/>
          <w:szCs w:val="20"/>
        </w:rPr>
      </w:pPr>
      <w:r w:rsidRPr="00F1270D">
        <w:rPr>
          <w:rStyle w:val="FootnoteReference"/>
          <w:sz w:val="20"/>
          <w:szCs w:val="20"/>
        </w:rPr>
        <w:footnoteRef/>
      </w:r>
      <w:r w:rsidRPr="00F1270D">
        <w:rPr>
          <w:sz w:val="20"/>
          <w:szCs w:val="20"/>
        </w:rPr>
        <w:t xml:space="preserve"> </w:t>
      </w:r>
      <w:r w:rsidRPr="00F1270D">
        <w:rPr>
          <w:bCs/>
          <w:sz w:val="20"/>
          <w:szCs w:val="20"/>
          <w:lang w:val="de-DE"/>
        </w:rPr>
        <w:t>Thời tiết biển thuận lợi, giá dầu giảm (</w:t>
      </w:r>
      <w:r w:rsidRPr="00F1270D">
        <w:rPr>
          <w:sz w:val="20"/>
          <w:szCs w:val="20"/>
        </w:rPr>
        <w:t xml:space="preserve">Giá dầu DO 0,05S-II tháng 2/2024 là 20.910 đồng/ lít, Giá dầu DO 0,05S-II tháng </w:t>
      </w:r>
      <w:r>
        <w:rPr>
          <w:sz w:val="20"/>
          <w:szCs w:val="20"/>
          <w:lang w:val="en-US"/>
        </w:rPr>
        <w:t>0</w:t>
      </w:r>
      <w:r w:rsidRPr="00F1270D">
        <w:rPr>
          <w:sz w:val="20"/>
          <w:szCs w:val="20"/>
        </w:rPr>
        <w:t>2/2025 là 19.050 đồng/lít</w:t>
      </w:r>
      <w:r w:rsidRPr="00F1270D">
        <w:rPr>
          <w:bCs/>
          <w:sz w:val="20"/>
          <w:szCs w:val="20"/>
          <w:lang w:val="de-DE"/>
        </w:rPr>
        <w:t>), nhu cầu tiêu dùng tăng đã khuyến khích ngư dân ra khơi đánh bắt.</w:t>
      </w:r>
    </w:p>
  </w:footnote>
  <w:footnote w:id="9">
    <w:p w14:paraId="3E80DD4E" w14:textId="07864796" w:rsidR="00DB4D6C" w:rsidRPr="00F1270D" w:rsidRDefault="00DB4D6C" w:rsidP="009E7DEF">
      <w:pPr>
        <w:pStyle w:val="FootnoteText"/>
        <w:spacing w:after="40"/>
        <w:ind w:left="142" w:hanging="142"/>
        <w:jc w:val="both"/>
        <w:rPr>
          <w:lang w:val="en-US"/>
        </w:rPr>
      </w:pPr>
      <w:r w:rsidRPr="00F1270D">
        <w:rPr>
          <w:rStyle w:val="FootnoteReference"/>
        </w:rPr>
        <w:footnoteRef/>
      </w:r>
      <w:r w:rsidRPr="00F1270D">
        <w:t xml:space="preserve"> </w:t>
      </w:r>
      <w:r w:rsidRPr="00F1270D">
        <w:rPr>
          <w:spacing w:val="3"/>
          <w:shd w:val="clear" w:color="auto" w:fill="FFFFFF"/>
        </w:rPr>
        <w:t>Chỉ số IIP tháng 02/202</w:t>
      </w:r>
      <w:r w:rsidRPr="00F1270D">
        <w:rPr>
          <w:spacing w:val="3"/>
          <w:shd w:val="clear" w:color="auto" w:fill="FFFFFF"/>
          <w:lang w:val="en-US"/>
        </w:rPr>
        <w:t>5</w:t>
      </w:r>
      <w:r w:rsidRPr="00F1270D">
        <w:rPr>
          <w:spacing w:val="3"/>
          <w:shd w:val="clear" w:color="auto" w:fill="FFFFFF"/>
        </w:rPr>
        <w:t xml:space="preserve"> so với tháng trước của một số địa phương có quy mô công nghiệp </w:t>
      </w:r>
      <w:r w:rsidRPr="00F1270D">
        <w:rPr>
          <w:spacing w:val="3"/>
          <w:shd w:val="clear" w:color="auto" w:fill="FFFFFF"/>
          <w:lang w:val="en-US"/>
        </w:rPr>
        <w:t>lớn giảm mạnh</w:t>
      </w:r>
      <w:r w:rsidRPr="00F1270D">
        <w:rPr>
          <w:spacing w:val="3"/>
          <w:shd w:val="clear" w:color="auto" w:fill="FFFFFF"/>
        </w:rPr>
        <w:t>:</w:t>
      </w:r>
      <w:r w:rsidRPr="00F1270D">
        <w:rPr>
          <w:spacing w:val="3"/>
          <w:shd w:val="clear" w:color="auto" w:fill="FFFFFF"/>
          <w:lang w:val="en-US"/>
        </w:rPr>
        <w:t xml:space="preserve"> </w:t>
      </w:r>
      <w:r w:rsidRPr="00F1270D">
        <w:rPr>
          <w:spacing w:val="3"/>
          <w:shd w:val="clear" w:color="auto" w:fill="FFFFFF"/>
        </w:rPr>
        <w:t>Quảng Ngãi giảm 14,9%; Quảng Nam giảm 10,4%; Bắc Ninh giảm 7,2%;</w:t>
      </w:r>
      <w:r w:rsidRPr="00F1270D">
        <w:rPr>
          <w:spacing w:val="3"/>
          <w:shd w:val="clear" w:color="auto" w:fill="FFFFFF"/>
          <w:lang w:val="en-US"/>
        </w:rPr>
        <w:t xml:space="preserve"> </w:t>
      </w:r>
      <w:r w:rsidRPr="00F1270D">
        <w:rPr>
          <w:spacing w:val="3"/>
          <w:shd w:val="clear" w:color="auto" w:fill="FFFFFF"/>
        </w:rPr>
        <w:t>Quảng Ninh giảm 6,9</w:t>
      </w:r>
      <w:r w:rsidRPr="00F1270D">
        <w:rPr>
          <w:spacing w:val="3"/>
          <w:shd w:val="clear" w:color="auto" w:fill="FFFFFF"/>
          <w:lang w:val="en-US"/>
        </w:rPr>
        <w:t>%</w:t>
      </w:r>
      <w:r w:rsidRPr="00F1270D">
        <w:rPr>
          <w:spacing w:val="3"/>
          <w:shd w:val="clear" w:color="auto" w:fill="FFFFFF"/>
        </w:rPr>
        <w:t xml:space="preserve">; Cần Thơ giảm 6,7%; </w:t>
      </w:r>
      <w:r w:rsidR="00DC3944" w:rsidRPr="00F1270D">
        <w:rPr>
          <w:spacing w:val="3"/>
          <w:shd w:val="clear" w:color="auto" w:fill="FFFFFF"/>
        </w:rPr>
        <w:t>Bà Rịa</w:t>
      </w:r>
      <w:r w:rsidR="00DC3944" w:rsidRPr="00F1270D">
        <w:rPr>
          <w:spacing w:val="3"/>
          <w:shd w:val="clear" w:color="auto" w:fill="FFFFFF"/>
          <w:lang w:val="en-US"/>
        </w:rPr>
        <w:t xml:space="preserve"> </w:t>
      </w:r>
      <w:r w:rsidR="00DC3944" w:rsidRPr="00F1270D">
        <w:rPr>
          <w:spacing w:val="3"/>
          <w:shd w:val="clear" w:color="auto" w:fill="FFFFFF"/>
        </w:rPr>
        <w:t xml:space="preserve">- Vũng Tàu giảm </w:t>
      </w:r>
      <w:r w:rsidR="00DC3944">
        <w:rPr>
          <w:spacing w:val="3"/>
          <w:shd w:val="clear" w:color="auto" w:fill="FFFFFF"/>
          <w:lang w:val="en-US"/>
        </w:rPr>
        <w:t>5</w:t>
      </w:r>
      <w:r w:rsidR="00DC3944" w:rsidRPr="00F1270D">
        <w:rPr>
          <w:spacing w:val="3"/>
          <w:shd w:val="clear" w:color="auto" w:fill="FFFFFF"/>
        </w:rPr>
        <w:t>,7%;</w:t>
      </w:r>
      <w:r w:rsidR="00DC3944">
        <w:rPr>
          <w:spacing w:val="3"/>
          <w:shd w:val="clear" w:color="auto" w:fill="FFFFFF"/>
          <w:lang w:val="en-US"/>
        </w:rPr>
        <w:t xml:space="preserve"> </w:t>
      </w:r>
      <w:r w:rsidRPr="00F1270D">
        <w:rPr>
          <w:spacing w:val="3"/>
          <w:shd w:val="clear" w:color="auto" w:fill="FFFFFF"/>
        </w:rPr>
        <w:t>Hải Phòng giảm 4,2%; Thái Nguyên giảm 1,9%.</w:t>
      </w:r>
    </w:p>
  </w:footnote>
  <w:footnote w:id="10">
    <w:p w14:paraId="70B6D5A5" w14:textId="5765CAC1" w:rsidR="00DB4D6C" w:rsidRPr="00F1270D" w:rsidRDefault="00DB4D6C" w:rsidP="009E7DEF">
      <w:pPr>
        <w:pStyle w:val="FootnoteText"/>
        <w:spacing w:after="40"/>
        <w:ind w:left="142" w:hanging="142"/>
        <w:jc w:val="both"/>
        <w:rPr>
          <w:lang w:val="en-US"/>
        </w:rPr>
      </w:pPr>
      <w:r w:rsidRPr="00F1270D">
        <w:rPr>
          <w:rStyle w:val="FootnoteReference"/>
        </w:rPr>
        <w:footnoteRef/>
      </w:r>
      <w:r w:rsidRPr="00F1270D">
        <w:t xml:space="preserve"> </w:t>
      </w:r>
      <w:r w:rsidRPr="00F1270D">
        <w:rPr>
          <w:lang w:val="en-US"/>
        </w:rPr>
        <w:t xml:space="preserve">Cùng kỳ năm trước ngày nghỉ Tết Giáp Thìn trọn trong tháng 02/2024 (từ ngày 08/02 đến hết ngày 14/02/2024). </w:t>
      </w:r>
    </w:p>
  </w:footnote>
  <w:footnote w:id="11">
    <w:p w14:paraId="4DB72F2F" w14:textId="39B5C505" w:rsidR="00DB4D6C" w:rsidRPr="00F1270D" w:rsidRDefault="00DB4D6C" w:rsidP="00AC69B0">
      <w:pPr>
        <w:pStyle w:val="FootnoteText"/>
        <w:ind w:left="198" w:hanging="198"/>
        <w:jc w:val="both"/>
        <w:rPr>
          <w:lang w:val="en-US"/>
        </w:rPr>
      </w:pPr>
      <w:r w:rsidRPr="00F1270D">
        <w:rPr>
          <w:rStyle w:val="FootnoteReference"/>
        </w:rPr>
        <w:footnoteRef/>
      </w:r>
      <w:r w:rsidRPr="00F1270D">
        <w:t xml:space="preserve"> </w:t>
      </w:r>
      <w:r w:rsidRPr="00F1270D">
        <w:rPr>
          <w:spacing w:val="3"/>
          <w:shd w:val="clear" w:color="auto" w:fill="FFFFFF"/>
        </w:rPr>
        <w:t xml:space="preserve">Theo báo cáo của Tâp đoàn Điện lực Việt Nam, </w:t>
      </w:r>
      <w:r w:rsidRPr="00F1270D">
        <w:rPr>
          <w:spacing w:val="3"/>
          <w:shd w:val="clear" w:color="auto" w:fill="FFFFFF"/>
          <w:lang w:val="en-US"/>
        </w:rPr>
        <w:t xml:space="preserve">hai tháng đầu năm 2025 </w:t>
      </w:r>
      <w:r w:rsidRPr="00F1270D">
        <w:rPr>
          <w:spacing w:val="3"/>
          <w:shd w:val="clear" w:color="auto" w:fill="FFFFFF"/>
        </w:rPr>
        <w:t>điện cho sản xuất công nghiệp và xây dựng tăng 4,6%; điện cho quản lý và tiêu dùng dân cư giảm 4</w:t>
      </w:r>
      <w:r w:rsidRPr="00F1270D">
        <w:rPr>
          <w:spacing w:val="3"/>
          <w:shd w:val="clear" w:color="auto" w:fill="FFFFFF"/>
          <w:lang w:val="en-US"/>
        </w:rPr>
        <w:t>,0</w:t>
      </w:r>
      <w:r w:rsidRPr="00F1270D">
        <w:rPr>
          <w:spacing w:val="3"/>
          <w:shd w:val="clear" w:color="auto" w:fill="FFFFFF"/>
        </w:rPr>
        <w:t>%</w:t>
      </w:r>
      <w:r w:rsidRPr="00F1270D">
        <w:rPr>
          <w:spacing w:val="3"/>
          <w:shd w:val="clear" w:color="auto" w:fill="FFFFFF"/>
          <w:lang w:val="en-US"/>
        </w:rPr>
        <w:t xml:space="preserve"> so với cùng kỳ năm trước.</w:t>
      </w:r>
    </w:p>
  </w:footnote>
  <w:footnote w:id="12">
    <w:p w14:paraId="312F12C1" w14:textId="77777777" w:rsidR="00DB4D6C" w:rsidRPr="00F1270D" w:rsidRDefault="00DB4D6C" w:rsidP="009E7DEF">
      <w:pPr>
        <w:ind w:left="142" w:hanging="142"/>
        <w:jc w:val="both"/>
        <w:rPr>
          <w:sz w:val="20"/>
          <w:szCs w:val="20"/>
          <w:lang w:val="en-US"/>
        </w:rPr>
      </w:pPr>
      <w:r w:rsidRPr="00F1270D">
        <w:rPr>
          <w:rStyle w:val="FootnoteReference"/>
          <w:sz w:val="20"/>
          <w:szCs w:val="20"/>
        </w:rPr>
        <w:footnoteRef/>
      </w:r>
      <w:r w:rsidRPr="00F1270D">
        <w:rPr>
          <w:sz w:val="20"/>
          <w:szCs w:val="20"/>
        </w:rPr>
        <w:t xml:space="preserve"> </w:t>
      </w:r>
      <w:r w:rsidRPr="00F1270D">
        <w:rPr>
          <w:spacing w:val="3"/>
          <w:sz w:val="20"/>
          <w:szCs w:val="20"/>
          <w:shd w:val="clear" w:color="auto" w:fill="FFFFFF"/>
        </w:rPr>
        <w:t>Địa phương có chỉ số sản xuất của ngành công nghiệp chế biến, chế tạo hai tháng đầu năm 2025 tăng cao so với cùng kỳ năm trước: Phú Thọ tăng 48,5%; Bắc Kạn tăng 41,4%; Bắc Giang tăng 26,8%; Thanh Hóa tăng 19,9%; Quảng Nam tăng 19,5%; Nam Định tăng 18,0%; Kiên Giang tăng 17,8%. Các địa phương có chỉ số sản xuất của ngành sản xuất và phân phối điện tăng cao: Trà Vinh tăng 51,3%; Hòa Bình tăng 43,6%; Quảng Nam tăng 13,8%; Kiên Giang tăng 12,7%; Bến Tre tăng 9,1%.</w:t>
      </w:r>
    </w:p>
  </w:footnote>
  <w:footnote w:id="13">
    <w:p w14:paraId="75EF3AAB" w14:textId="77D375B7" w:rsidR="00DB4D6C" w:rsidRPr="00F1270D" w:rsidRDefault="00DB4D6C" w:rsidP="009E7DEF">
      <w:pPr>
        <w:ind w:left="142" w:hanging="142"/>
        <w:jc w:val="both"/>
        <w:rPr>
          <w:sz w:val="22"/>
          <w:szCs w:val="22"/>
        </w:rPr>
      </w:pPr>
      <w:r w:rsidRPr="00F1270D">
        <w:rPr>
          <w:rStyle w:val="FootnoteReference"/>
          <w:sz w:val="20"/>
          <w:szCs w:val="20"/>
        </w:rPr>
        <w:footnoteRef/>
      </w:r>
      <w:r w:rsidRPr="00F1270D">
        <w:rPr>
          <w:sz w:val="20"/>
          <w:szCs w:val="20"/>
        </w:rPr>
        <w:t xml:space="preserve"> Các địa phương có chỉ số sản xuất của ngành công nghiệp chế biến, chế tạo hai tháng đầu năm 2025 giảm so với cùng kỳ năm trước: Hà Tĩnh giảm 11,1%; Cà Mau giảm 4,6%; Cao Bằng giảm 3,2%; Quảng Ngãi giảm 0,5%. Các địa phương có chỉ số của ngành sản xuất và phân phối điện hai tháng đầu năm 2025 giảm so với cùng kỳ năm trước: Bạc Liêu giảm 29,7%; Cà Mau giảm 16,5%; Lào Cai giảm 9,0%; Hà Tĩnh giảm 5,7%. Địa phương có chỉ số sản xuất của ngành khai khoáng hai tháng đầu năm 2025 so với cùng kỳ năm trước giảm: Gia Lai giảm 60,7%; </w:t>
      </w:r>
      <w:r w:rsidR="00D114F6" w:rsidRPr="00F1270D">
        <w:rPr>
          <w:sz w:val="20"/>
          <w:szCs w:val="20"/>
        </w:rPr>
        <w:t xml:space="preserve">Bà Rịa - Vũng Tàu giảm </w:t>
      </w:r>
      <w:r w:rsidR="00D114F6">
        <w:rPr>
          <w:sz w:val="20"/>
          <w:szCs w:val="20"/>
          <w:lang w:val="en-US"/>
        </w:rPr>
        <w:t>13,7</w:t>
      </w:r>
      <w:r w:rsidR="00D114F6" w:rsidRPr="00F1270D">
        <w:rPr>
          <w:sz w:val="20"/>
          <w:szCs w:val="20"/>
        </w:rPr>
        <w:t>%;</w:t>
      </w:r>
      <w:r w:rsidR="00D114F6">
        <w:rPr>
          <w:sz w:val="20"/>
          <w:szCs w:val="20"/>
          <w:lang w:val="en-US"/>
        </w:rPr>
        <w:t xml:space="preserve"> </w:t>
      </w:r>
      <w:r w:rsidRPr="00F1270D">
        <w:rPr>
          <w:sz w:val="20"/>
          <w:szCs w:val="20"/>
        </w:rPr>
        <w:t>Hà Nội giảm 3,7%.</w:t>
      </w:r>
    </w:p>
  </w:footnote>
  <w:footnote w:id="14">
    <w:p w14:paraId="54B0EA43" w14:textId="16790C80" w:rsidR="00DB4D6C" w:rsidRPr="00F1270D" w:rsidRDefault="00DB4D6C" w:rsidP="00B63265">
      <w:pPr>
        <w:pStyle w:val="FootnoteText"/>
        <w:ind w:left="198" w:hanging="198"/>
        <w:jc w:val="both"/>
        <w:rPr>
          <w:spacing w:val="-4"/>
          <w:lang w:val="en-US"/>
        </w:rPr>
      </w:pPr>
      <w:r w:rsidRPr="00F1270D">
        <w:rPr>
          <w:rStyle w:val="FootnoteReference"/>
        </w:rPr>
        <w:footnoteRef/>
      </w:r>
      <w:r w:rsidRPr="00F1270D">
        <w:t xml:space="preserve"> Nguồn: Hệ thống thông tin đăng ký doanh nghiệp quốc gia, Cục </w:t>
      </w:r>
      <w:r>
        <w:rPr>
          <w:lang w:val="en-US"/>
        </w:rPr>
        <w:t xml:space="preserve">Phát triển doanh nghiệp tư nhân và </w:t>
      </w:r>
      <w:r w:rsidR="001D362A">
        <w:rPr>
          <w:lang w:val="en-US"/>
        </w:rPr>
        <w:t>k</w:t>
      </w:r>
      <w:r>
        <w:rPr>
          <w:lang w:val="en-US"/>
        </w:rPr>
        <w:t>inh tế tập thể</w:t>
      </w:r>
      <w:r w:rsidRPr="00F1270D">
        <w:t xml:space="preserve">, Bộ </w:t>
      </w:r>
      <w:r>
        <w:rPr>
          <w:lang w:val="en-US"/>
        </w:rPr>
        <w:t>Tài chính</w:t>
      </w:r>
      <w:r w:rsidRPr="00F1270D">
        <w:t xml:space="preserve">, </w:t>
      </w:r>
      <w:r w:rsidRPr="00F1270D">
        <w:rPr>
          <w:lang w:val="en-US"/>
        </w:rPr>
        <w:t xml:space="preserve">nhận </w:t>
      </w:r>
      <w:r w:rsidRPr="00F1270D">
        <w:t xml:space="preserve">ngày </w:t>
      </w:r>
      <w:r w:rsidRPr="00F1270D">
        <w:rPr>
          <w:lang w:val="en-US"/>
        </w:rPr>
        <w:t>0</w:t>
      </w:r>
      <w:r>
        <w:rPr>
          <w:lang w:val="en-US"/>
        </w:rPr>
        <w:t>3</w:t>
      </w:r>
      <w:r w:rsidRPr="00F1270D">
        <w:rPr>
          <w:lang w:val="en-US"/>
        </w:rPr>
        <w:t>/3/</w:t>
      </w:r>
      <w:r w:rsidRPr="00F1270D">
        <w:t>202</w:t>
      </w:r>
      <w:r w:rsidRPr="00F1270D">
        <w:rPr>
          <w:lang w:val="en-US"/>
        </w:rPr>
        <w:t>5</w:t>
      </w:r>
      <w:r w:rsidRPr="00F1270D">
        <w:t>.</w:t>
      </w:r>
      <w:r w:rsidRPr="00F1270D">
        <w:rPr>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15">
    <w:p w14:paraId="5B027315" w14:textId="479EF6F8" w:rsidR="00DB4D6C" w:rsidRPr="00F1270D" w:rsidRDefault="00DB4D6C" w:rsidP="004856EE">
      <w:pPr>
        <w:pStyle w:val="FootnoteText"/>
      </w:pPr>
      <w:r w:rsidRPr="00F1270D">
        <w:rPr>
          <w:rStyle w:val="FootnoteReference"/>
        </w:rPr>
        <w:footnoteRef/>
      </w:r>
      <w:r w:rsidRPr="00F1270D">
        <w:rPr>
          <w:lang w:val="en-GB"/>
        </w:rPr>
        <w:t xml:space="preserve"> </w:t>
      </w:r>
      <w:r w:rsidRPr="00F1270D">
        <w:t xml:space="preserve">Theo báo cáo của Cục Đầu tư nước ngoài, Bộ </w:t>
      </w:r>
      <w:r>
        <w:rPr>
          <w:lang w:val="en-US"/>
        </w:rPr>
        <w:t>Tài chính</w:t>
      </w:r>
      <w:r w:rsidRPr="00F1270D">
        <w:t xml:space="preserve">, nhận ngày </w:t>
      </w:r>
      <w:r>
        <w:rPr>
          <w:lang w:val="en-US"/>
        </w:rPr>
        <w:t>01</w:t>
      </w:r>
      <w:r w:rsidRPr="00F1270D">
        <w:t>/</w:t>
      </w:r>
      <w:r>
        <w:rPr>
          <w:lang w:val="en-US"/>
        </w:rPr>
        <w:t>3</w:t>
      </w:r>
      <w:r w:rsidRPr="00F1270D">
        <w:t>/2025.</w:t>
      </w:r>
    </w:p>
  </w:footnote>
  <w:footnote w:id="16">
    <w:p w14:paraId="2338201F" w14:textId="4994DCB2" w:rsidR="00DB4D6C" w:rsidRPr="00F1270D" w:rsidRDefault="00DB4D6C" w:rsidP="003A54BB">
      <w:pPr>
        <w:spacing w:after="40"/>
        <w:ind w:left="142" w:hanging="142"/>
        <w:jc w:val="both"/>
        <w:rPr>
          <w:lang w:val="it-IT"/>
        </w:rPr>
      </w:pPr>
      <w:r w:rsidRPr="00F1270D">
        <w:rPr>
          <w:rStyle w:val="FootnoteReference"/>
          <w:sz w:val="20"/>
          <w:szCs w:val="20"/>
        </w:rPr>
        <w:footnoteRef/>
      </w:r>
      <w:r w:rsidRPr="00F1270D">
        <w:rPr>
          <w:sz w:val="20"/>
          <w:szCs w:val="20"/>
        </w:rPr>
        <w:t xml:space="preserve"> </w:t>
      </w:r>
      <w:r w:rsidRPr="00F1270D">
        <w:rPr>
          <w:sz w:val="20"/>
          <w:szCs w:val="20"/>
          <w:lang w:val="nl-NL"/>
        </w:rPr>
        <w:t>Theo Báo cáo số 56/BC-BTC ngày 26/02/2025 của Bộ Tài chính.</w:t>
      </w:r>
    </w:p>
  </w:footnote>
  <w:footnote w:id="17">
    <w:p w14:paraId="5B24E05C" w14:textId="70D42636" w:rsidR="00DB4D6C" w:rsidRPr="00F1270D" w:rsidRDefault="00DB4D6C" w:rsidP="003A54BB">
      <w:pPr>
        <w:pStyle w:val="FootnoteText"/>
        <w:ind w:left="198" w:hanging="198"/>
        <w:jc w:val="both"/>
        <w:rPr>
          <w:lang w:val="en-US"/>
        </w:rPr>
      </w:pPr>
      <w:r w:rsidRPr="00F1270D">
        <w:rPr>
          <w:rStyle w:val="FootnoteReference"/>
        </w:rPr>
        <w:footnoteRef/>
      </w:r>
      <w:r w:rsidRPr="00F1270D">
        <w:t xml:space="preserve"> </w:t>
      </w:r>
      <w:r w:rsidRPr="00F1270D">
        <w:rPr>
          <w:spacing w:val="2"/>
          <w:lang w:val="en-US"/>
        </w:rPr>
        <w:t>T</w:t>
      </w:r>
      <w:r w:rsidRPr="00F1270D">
        <w:rPr>
          <w:spacing w:val="2"/>
        </w:rPr>
        <w:t xml:space="preserve">ốc độ tăng thu </w:t>
      </w:r>
      <w:r w:rsidRPr="00F1270D">
        <w:rPr>
          <w:spacing w:val="2"/>
          <w:lang w:val="en-US"/>
        </w:rPr>
        <w:t>ngân sách nhà nước hai</w:t>
      </w:r>
      <w:r w:rsidRPr="00F1270D">
        <w:rPr>
          <w:spacing w:val="2"/>
        </w:rPr>
        <w:t xml:space="preserve"> tháng </w:t>
      </w:r>
      <w:r w:rsidRPr="00F1270D">
        <w:rPr>
          <w:spacing w:val="2"/>
          <w:lang w:val="en-US"/>
        </w:rPr>
        <w:t xml:space="preserve">năm 2025 </w:t>
      </w:r>
      <w:r w:rsidRPr="00F1270D">
        <w:rPr>
          <w:spacing w:val="2"/>
        </w:rPr>
        <w:t xml:space="preserve">tăng khá do là tăng trưởng kinh tế từ quý IV năm trước ở mức tăng khá, làm thu nội địa tăng cao như thu thuế thu nhập, thuế giá trị gia tăng của doanh nghiệp, chênh lệch thu chi </w:t>
      </w:r>
      <w:r w:rsidRPr="00F1270D">
        <w:rPr>
          <w:spacing w:val="2"/>
          <w:lang w:val="en-US"/>
        </w:rPr>
        <w:t>ngân sách nhà nước</w:t>
      </w:r>
      <w:r w:rsidRPr="00F1270D">
        <w:rPr>
          <w:spacing w:val="2"/>
        </w:rPr>
        <w:t xml:space="preserve"> phát sinh quý IV năm 2024 và nộp </w:t>
      </w:r>
      <w:r w:rsidRPr="00F1270D">
        <w:rPr>
          <w:spacing w:val="2"/>
          <w:lang w:val="en-US"/>
        </w:rPr>
        <w:t>ngân sách nhà nước</w:t>
      </w:r>
      <w:r w:rsidRPr="00F1270D">
        <w:rPr>
          <w:spacing w:val="2"/>
        </w:rPr>
        <w:t xml:space="preserve"> vào thời điểm đầu năm 2025</w:t>
      </w:r>
      <w:r w:rsidRPr="00F1270D">
        <w:rPr>
          <w:spacing w:val="2"/>
          <w:lang w:val="en-US"/>
        </w:rPr>
        <w:t>.</w:t>
      </w:r>
    </w:p>
  </w:footnote>
  <w:footnote w:id="18">
    <w:p w14:paraId="2BF43713" w14:textId="58AEA773" w:rsidR="00DB4D6C" w:rsidRPr="00F1270D" w:rsidRDefault="00DB4D6C" w:rsidP="00774F1A">
      <w:pPr>
        <w:pStyle w:val="FootnoteText"/>
      </w:pPr>
      <w:r w:rsidRPr="00F1270D">
        <w:rPr>
          <w:rStyle w:val="FootnoteReference"/>
        </w:rPr>
        <w:footnoteRef/>
      </w:r>
      <w:r w:rsidRPr="00F1270D">
        <w:t xml:space="preserve"> </w:t>
      </w:r>
      <w:r w:rsidRPr="00F1270D">
        <w:rPr>
          <w:bCs/>
          <w:lang w:val="it-IT"/>
        </w:rPr>
        <w:t>Tết Nguyên đán Ất Tỵ trong tháng 01/2025, trong khi đó Tết Nguyên đán Giáp Thìn rơi vào tháng 02/2024.</w:t>
      </w:r>
    </w:p>
  </w:footnote>
  <w:footnote w:id="19">
    <w:p w14:paraId="43D8C707" w14:textId="77777777" w:rsidR="00DB4D6C" w:rsidRPr="00315DF3" w:rsidRDefault="00DB4D6C" w:rsidP="00DB4D6C">
      <w:pPr>
        <w:pStyle w:val="FootnoteText"/>
        <w:ind w:left="142" w:hanging="142"/>
        <w:jc w:val="both"/>
        <w:rPr>
          <w:lang w:val="en-IN"/>
        </w:rPr>
      </w:pPr>
      <w:r w:rsidRPr="00315DF3">
        <w:rPr>
          <w:rStyle w:val="FootnoteReference"/>
        </w:rPr>
        <w:footnoteRef/>
      </w:r>
      <w:r w:rsidRPr="00315DF3">
        <w:t xml:space="preserve"> </w:t>
      </w:r>
      <w:r w:rsidRPr="00315DF3">
        <w:rPr>
          <w:lang w:val="en-IN"/>
        </w:rPr>
        <w:t>K</w:t>
      </w:r>
      <w:r w:rsidRPr="00315DF3">
        <w:t>im ngạch xuất khẩu tính theo giá F.O.B và kim ngạch nhập khẩu tính theo giá C.I.F (bao gồm chi phí vận tải, bảo hiểm của hàng nhập khẩu).</w:t>
      </w:r>
    </w:p>
  </w:footnote>
  <w:footnote w:id="20">
    <w:p w14:paraId="6E58229E" w14:textId="77777777" w:rsidR="00DB4D6C" w:rsidRPr="00315DF3" w:rsidRDefault="00DB4D6C" w:rsidP="00DB4D6C">
      <w:pPr>
        <w:ind w:left="142" w:hanging="142"/>
        <w:jc w:val="both"/>
        <w:rPr>
          <w:sz w:val="20"/>
          <w:szCs w:val="20"/>
        </w:rPr>
      </w:pPr>
      <w:r w:rsidRPr="00315DF3">
        <w:rPr>
          <w:rStyle w:val="FootnoteReference"/>
          <w:sz w:val="20"/>
          <w:szCs w:val="20"/>
        </w:rPr>
        <w:footnoteRef/>
      </w:r>
      <w:r w:rsidRPr="00315DF3">
        <w:rPr>
          <w:spacing w:val="-2"/>
          <w:sz w:val="20"/>
          <w:szCs w:val="20"/>
        </w:rPr>
        <w:t xml:space="preserve"> Số liệu sơ bộ xuất khẩu, nhập khẩu hàng hóa tháng 02/2025 do Cục Hải quan cung cấp ngày 03/3/2025.</w:t>
      </w:r>
    </w:p>
  </w:footnote>
  <w:footnote w:id="21">
    <w:p w14:paraId="463507C0" w14:textId="77777777" w:rsidR="00DB4D6C" w:rsidRPr="00315DF3" w:rsidRDefault="00DB4D6C" w:rsidP="00DB4D6C">
      <w:pPr>
        <w:pStyle w:val="FootnoteText"/>
        <w:ind w:left="142" w:hanging="142"/>
        <w:jc w:val="both"/>
        <w:rPr>
          <w:lang w:val="en-US"/>
        </w:rPr>
      </w:pPr>
      <w:r w:rsidRPr="00315DF3">
        <w:rPr>
          <w:rStyle w:val="FootnoteReference"/>
        </w:rPr>
        <w:footnoteRef/>
      </w:r>
      <w:r w:rsidRPr="00315DF3">
        <w:t xml:space="preserve"> D</w:t>
      </w:r>
      <w:r w:rsidRPr="00315DF3">
        <w:rPr>
          <w:spacing w:val="-2"/>
        </w:rPr>
        <w:t>o tháng Hai năm trước có kỳ nghỉ Tết Nguyên đán nên số ngày làm việc của tháng Hai năm nay nhiều hơn tháng Hai năm trước</w:t>
      </w:r>
      <w:r w:rsidRPr="00315DF3">
        <w:rPr>
          <w:spacing w:val="-2"/>
          <w:lang w:val="en-US"/>
        </w:rPr>
        <w:t xml:space="preserve"> 5 ngày</w:t>
      </w:r>
      <w:r w:rsidRPr="00315DF3">
        <w:rPr>
          <w:spacing w:val="-2"/>
        </w:rPr>
        <w:t>.</w:t>
      </w:r>
    </w:p>
  </w:footnote>
  <w:footnote w:id="22">
    <w:p w14:paraId="7B77306E" w14:textId="77777777" w:rsidR="00DB4D6C" w:rsidRPr="00315DF3" w:rsidRDefault="00DB4D6C" w:rsidP="00DB4D6C">
      <w:pPr>
        <w:pStyle w:val="FootnoteText"/>
        <w:ind w:left="142" w:hanging="142"/>
        <w:jc w:val="both"/>
      </w:pPr>
      <w:r w:rsidRPr="00315DF3">
        <w:rPr>
          <w:rStyle w:val="FootnoteReference"/>
        </w:rPr>
        <w:footnoteRef/>
      </w:r>
      <w:r w:rsidRPr="00315DF3">
        <w:t xml:space="preserve"> Tổng kim ngạch xuất, nhập khẩu hàng hóa hai tháng đầu năm 2024 đạt 113,5 tỷ USD, tăng 18,2% so với cùng kỳ năm trước, trong đó xuất khẩu đạt 59,3 tỷ USD, tăng 19,2%; nhập khẩu đạt 54,2 tỷ USD, tăng 17,1%.</w:t>
      </w:r>
    </w:p>
  </w:footnote>
  <w:footnote w:id="23">
    <w:p w14:paraId="2689EA71" w14:textId="77777777" w:rsidR="00DB4D6C" w:rsidRPr="00315DF3" w:rsidRDefault="00DB4D6C" w:rsidP="00DB4D6C">
      <w:pPr>
        <w:pStyle w:val="FootnoteText"/>
        <w:ind w:left="142" w:hanging="142"/>
        <w:jc w:val="both"/>
        <w:rPr>
          <w:lang w:val="en-US"/>
        </w:rPr>
      </w:pPr>
      <w:r w:rsidRPr="00315DF3">
        <w:rPr>
          <w:rStyle w:val="FootnoteReference"/>
        </w:rPr>
        <w:footnoteRef/>
      </w:r>
      <w:r w:rsidRPr="00315DF3">
        <w:t xml:space="preserve"> Cao hơn 74 triệu USD so với số liệu Cục Hải quan gửi Cục Thống kê ngày 03/02/2025</w:t>
      </w:r>
      <w:r w:rsidRPr="00315DF3">
        <w:rPr>
          <w:bCs/>
          <w:lang w:val="de-DE"/>
        </w:rPr>
        <w:t>.</w:t>
      </w:r>
    </w:p>
  </w:footnote>
  <w:footnote w:id="24">
    <w:p w14:paraId="13F3BBE8" w14:textId="77777777" w:rsidR="00DB4D6C" w:rsidRPr="00B4186A" w:rsidRDefault="00DB4D6C" w:rsidP="00DB4D6C">
      <w:pPr>
        <w:pStyle w:val="FootnoteText"/>
        <w:rPr>
          <w:lang w:val="en-US" w:eastAsia="x-none"/>
        </w:rPr>
      </w:pPr>
      <w:r w:rsidRPr="008B6C43">
        <w:rPr>
          <w:rStyle w:val="FootnoteReference"/>
        </w:rPr>
        <w:footnoteRef/>
      </w:r>
      <w:r w:rsidRPr="008B6C43">
        <w:t xml:space="preserve"> </w:t>
      </w:r>
      <w:r w:rsidRPr="00B4186A">
        <w:rPr>
          <w:lang w:val="x-none" w:eastAsia="x-none"/>
        </w:rPr>
        <w:t>C</w:t>
      </w:r>
      <w:r w:rsidRPr="00B4186A">
        <w:rPr>
          <w:bCs/>
          <w:lang w:val="de-DE" w:eastAsia="x-none"/>
        </w:rPr>
        <w:t xml:space="preserve">ao hơn </w:t>
      </w:r>
      <w:r>
        <w:rPr>
          <w:bCs/>
          <w:lang w:val="de-DE" w:eastAsia="x-none"/>
        </w:rPr>
        <w:t>7</w:t>
      </w:r>
      <w:r w:rsidRPr="00B4186A">
        <w:rPr>
          <w:bCs/>
          <w:lang w:val="de-DE" w:eastAsia="x-none"/>
        </w:rPr>
        <w:t>9 triệu USD so với số liệu Cục Hải quan gửi Cục Thống kê ngày 03/02/2025</w:t>
      </w:r>
      <w:r w:rsidRPr="008B6C43">
        <w:rPr>
          <w:bCs/>
          <w:lang w:val="de-DE"/>
        </w:rPr>
        <w:t>.</w:t>
      </w:r>
    </w:p>
  </w:footnote>
  <w:footnote w:id="25">
    <w:p w14:paraId="087C785E" w14:textId="77777777" w:rsidR="00DB4D6C" w:rsidRPr="008B6C43" w:rsidRDefault="00DB4D6C" w:rsidP="00DB4D6C">
      <w:pPr>
        <w:pStyle w:val="FootnoteText"/>
        <w:spacing w:before="40" w:after="40" w:line="250" w:lineRule="auto"/>
        <w:ind w:left="198" w:hanging="198"/>
        <w:jc w:val="both"/>
        <w:rPr>
          <w:lang w:val="en-US"/>
        </w:rPr>
      </w:pPr>
      <w:r w:rsidRPr="008B6C43">
        <w:rPr>
          <w:rStyle w:val="FootnoteReference"/>
        </w:rPr>
        <w:footnoteRef/>
      </w:r>
      <w:r w:rsidRPr="008B6C43">
        <w:t xml:space="preserve"> </w:t>
      </w:r>
      <w:r w:rsidRPr="008B6C43">
        <w:rPr>
          <w:lang w:val="en-US"/>
        </w:rPr>
        <w:t xml:space="preserve">Kỳ báo cáo </w:t>
      </w:r>
      <w:r w:rsidRPr="008B6C43">
        <w:t xml:space="preserve">tháng </w:t>
      </w:r>
      <w:r w:rsidRPr="008B6C43">
        <w:rPr>
          <w:lang w:val="en-US"/>
        </w:rPr>
        <w:t>Một sơ bộ xuất</w:t>
      </w:r>
      <w:r w:rsidRPr="008B6C43">
        <w:t xml:space="preserve"> siêu </w:t>
      </w:r>
      <w:r>
        <w:rPr>
          <w:lang w:val="en-US"/>
        </w:rPr>
        <w:t>3</w:t>
      </w:r>
      <w:r w:rsidRPr="008B6C43">
        <w:rPr>
          <w:lang w:val="en-US"/>
        </w:rPr>
        <w:t>,0</w:t>
      </w:r>
      <w:r>
        <w:rPr>
          <w:lang w:val="en-US"/>
        </w:rPr>
        <w:t>3</w:t>
      </w:r>
      <w:r w:rsidRPr="008B6C43">
        <w:t xml:space="preserve"> </w:t>
      </w:r>
      <w:r w:rsidRPr="008B6C43">
        <w:rPr>
          <w:lang w:val="en-US"/>
        </w:rPr>
        <w:t>tỷ</w:t>
      </w:r>
      <w:r w:rsidRPr="008B6C43">
        <w:t xml:space="preserve"> USD.</w:t>
      </w:r>
    </w:p>
  </w:footnote>
  <w:footnote w:id="26">
    <w:p w14:paraId="7BF1A348" w14:textId="77777777" w:rsidR="00DB4D6C" w:rsidRPr="00D86931" w:rsidRDefault="00DB4D6C" w:rsidP="00C96606">
      <w:pPr>
        <w:pStyle w:val="FootnoteText"/>
        <w:ind w:left="142" w:hanging="142"/>
        <w:jc w:val="both"/>
      </w:pPr>
      <w:r>
        <w:rPr>
          <w:rStyle w:val="FootnoteReference"/>
        </w:rPr>
        <w:footnoteRef/>
      </w:r>
      <w:r>
        <w:t xml:space="preserve"> Chỉ số giá điện, nước sinh hoạt tháng 02/2025</w:t>
      </w:r>
      <w:r w:rsidRPr="00AA654E">
        <w:t xml:space="preserve"> </w:t>
      </w:r>
      <w:r>
        <w:t>phản ánh biến động trễ một tháng so với các mặt hàng khác do được tính dựa trên doanh thu và sản lượng tiêu dùng của tháng 01/2025.</w:t>
      </w:r>
    </w:p>
  </w:footnote>
  <w:footnote w:id="27">
    <w:p w14:paraId="00120BC7" w14:textId="77777777" w:rsidR="00DB4D6C" w:rsidRPr="00150620" w:rsidRDefault="00DB4D6C" w:rsidP="00C96606">
      <w:pPr>
        <w:pStyle w:val="FootnoteText"/>
        <w:spacing w:before="40" w:after="40"/>
        <w:ind w:left="198" w:hanging="198"/>
        <w:jc w:val="both"/>
        <w:rPr>
          <w:lang w:val="en-US"/>
        </w:rPr>
      </w:pPr>
      <w:r w:rsidRPr="009044DD">
        <w:rPr>
          <w:rStyle w:val="FootnoteReference"/>
        </w:rPr>
        <w:footnoteRef/>
      </w:r>
      <w:r w:rsidRPr="009044DD">
        <w:t xml:space="preserve"> </w:t>
      </w:r>
      <w:r w:rsidRPr="006F7141">
        <w:t>Chỉ số giá thịt lợn tăng 1,74%</w:t>
      </w:r>
      <w:r>
        <w:t>; c</w:t>
      </w:r>
      <w:r w:rsidRPr="006F7141">
        <w:t>hỉ số giá quả tươi, chế biến tăng 2,01%</w:t>
      </w:r>
      <w:r>
        <w:t>; c</w:t>
      </w:r>
      <w:r w:rsidRPr="006F7141">
        <w:t>hỉ số giá thủy sản tươi sống tăng 1,18%; thủy sản chế biến tăng 0,29%</w:t>
      </w:r>
      <w:r>
        <w:t>; c</w:t>
      </w:r>
      <w:r w:rsidRPr="006F7141">
        <w:t>hỉ số giá nước mắm, nước chấm tăng 0,35%; các loại đậu và hạt tăng 0,2%; đồ gia vị tăng 0,19%; chè, cà phê, ca cao tăng 0,17%; bánh, mứt, kẹo tăng 0,11%; sữa, bơ, pho mát tăng 0,09%.</w:t>
      </w:r>
      <w:r>
        <w:t xml:space="preserve"> </w:t>
      </w:r>
      <w:r w:rsidRPr="006F7141">
        <w:t>Ở chiều ngược lại, chỉ số giá rau tươi, khô và chế biến giảm 2,69%, trong đó giá cà chua giảm 11,94%; su hào giảm 8,26%; bắp cải giảm 7,06%; rau gia vị tươi, khô các loại giảm 2,77% do thời tiết thuận lợi khiến nguồn cung dồi dào, phong phú.</w:t>
      </w:r>
    </w:p>
  </w:footnote>
  <w:footnote w:id="28">
    <w:p w14:paraId="4F5A8644" w14:textId="77777777" w:rsidR="00DB4D6C" w:rsidRPr="002C19D3" w:rsidRDefault="00DB4D6C" w:rsidP="00C96606">
      <w:pPr>
        <w:pStyle w:val="FootnoteText"/>
        <w:spacing w:before="40" w:after="40"/>
        <w:ind w:left="198" w:hanging="198"/>
        <w:jc w:val="both"/>
        <w:rPr>
          <w:lang w:val="en-US"/>
        </w:rPr>
      </w:pPr>
      <w:r>
        <w:rPr>
          <w:rStyle w:val="FootnoteReference"/>
        </w:rPr>
        <w:footnoteRef/>
      </w:r>
      <w:r>
        <w:t xml:space="preserve"> </w:t>
      </w:r>
      <w:r w:rsidRPr="00C96606">
        <w:rPr>
          <w:spacing w:val="-4"/>
          <w:lang w:val="en-US"/>
        </w:rPr>
        <w:t>D</w:t>
      </w:r>
      <w:r w:rsidRPr="00C96606">
        <w:rPr>
          <w:spacing w:val="-4"/>
        </w:rPr>
        <w:t>o nhu cầu tiêu dùng của người dân tăng trong các dịp lễ hội đầu năm, du xuân, họp mặt. Cùng với đó, giá nguyên liệu chế biến và chi phí nhân công cao sau kỳ nghỉ Tết Nguyên đán đã đẩy giá ăn uống ngoài gia đình tăng. Trong đó, giá ăn ngoài gia đình tăng 0,74%; uống ngoài gia đình tăng 0,99%; đồ ăn nhanh mang đi tăng 0,62%.</w:t>
      </w:r>
    </w:p>
  </w:footnote>
  <w:footnote w:id="29">
    <w:p w14:paraId="5EDDC8A7" w14:textId="77777777" w:rsidR="00DB4D6C" w:rsidRPr="006F7141" w:rsidRDefault="00DB4D6C" w:rsidP="00C96606">
      <w:pPr>
        <w:pStyle w:val="FootnoteText"/>
        <w:ind w:left="198" w:hanging="198"/>
        <w:jc w:val="both"/>
        <w:rPr>
          <w:lang w:val="en-US"/>
        </w:rPr>
      </w:pPr>
      <w:r>
        <w:rPr>
          <w:rStyle w:val="FootnoteReference"/>
        </w:rPr>
        <w:footnoteRef/>
      </w:r>
      <w:r>
        <w:t xml:space="preserve"> </w:t>
      </w:r>
      <w:r w:rsidRPr="00E60DF2">
        <w:t>Giá gạo trong nước giảm do nhu cầu tiêu dùng gạo của người dân giảm sau Tết Nguyên đán, bên cạnh đó giá gạo xuất khẩu giảm do nguồn cung gạo thế giới tăng khi Ấn Độ quay lại thị trường xuất khẩu gạo sau hai năm hạn chế</w:t>
      </w:r>
      <w:r>
        <w:t xml:space="preserve">, theo đó </w:t>
      </w:r>
      <w:r w:rsidRPr="00FD3F1E">
        <w:t>chỉ số giá nhóm gạo giảm 0,54% (Gạo tẻ thường giảm 0,7%; gạo tẻ ngon giảm 0,1%).</w:t>
      </w:r>
    </w:p>
  </w:footnote>
  <w:footnote w:id="30">
    <w:p w14:paraId="7D678FFF" w14:textId="77777777" w:rsidR="00DB4D6C" w:rsidRDefault="00DB4D6C" w:rsidP="00C96606">
      <w:pPr>
        <w:pStyle w:val="FootnoteText"/>
        <w:ind w:left="142" w:hanging="142"/>
        <w:jc w:val="both"/>
      </w:pPr>
      <w:r>
        <w:rPr>
          <w:rStyle w:val="FootnoteReference"/>
        </w:rPr>
        <w:footnoteRef/>
      </w:r>
      <w:r>
        <w:t xml:space="preserve"> CPI sau khi loại trừ lương thực, thực phẩm tươi sống, năng lượng và mặt hàng do Nhà nước quản lý bao gồm dịch vụ y tế và giáo dục.</w:t>
      </w:r>
    </w:p>
  </w:footnote>
  <w:footnote w:id="31">
    <w:p w14:paraId="53DDF4C9" w14:textId="77777777" w:rsidR="00DB4D6C" w:rsidRPr="00F1270D" w:rsidRDefault="00DB4D6C" w:rsidP="00463A5E">
      <w:pPr>
        <w:pStyle w:val="FootnoteText"/>
        <w:ind w:left="198" w:hanging="198"/>
        <w:jc w:val="both"/>
        <w:rPr>
          <w:lang w:val="nl-NL"/>
        </w:rPr>
      </w:pPr>
      <w:r w:rsidRPr="00F1270D">
        <w:rPr>
          <w:rStyle w:val="FootnoteReference"/>
        </w:rPr>
        <w:footnoteRef/>
      </w:r>
      <w:r w:rsidRPr="00F1270D">
        <w:rPr>
          <w:lang w:val="nl-NL"/>
        </w:rPr>
        <w:t xml:space="preserve"> </w:t>
      </w:r>
      <w:r w:rsidRPr="00F1270D">
        <w:t xml:space="preserve">Theo báo cáo của Cục cửa khẩu, Bộ Tư lệnh Bộ đội biên phòng, Bộ Quốc phòng và Cục Xuất nhập cảnh, </w:t>
      </w:r>
      <w:r w:rsidRPr="00F1270D">
        <w:br/>
        <w:t xml:space="preserve">Bộ Công an </w:t>
      </w:r>
      <w:r w:rsidRPr="00F1270D">
        <w:rPr>
          <w:lang w:val="nl-NL"/>
        </w:rPr>
        <w:t>ngày 27/02/2025</w:t>
      </w:r>
      <w:r w:rsidRPr="00F1270D">
        <w:t>.</w:t>
      </w:r>
    </w:p>
  </w:footnote>
  <w:footnote w:id="32">
    <w:p w14:paraId="0504A0D5" w14:textId="77777777" w:rsidR="00DB4D6C" w:rsidRPr="00F1270D" w:rsidRDefault="00DB4D6C" w:rsidP="00463A5E">
      <w:pPr>
        <w:pStyle w:val="FootnoteText"/>
        <w:ind w:left="198" w:hanging="198"/>
        <w:jc w:val="both"/>
        <w:rPr>
          <w:lang w:val="nl-NL"/>
        </w:rPr>
      </w:pPr>
      <w:r w:rsidRPr="00F1270D">
        <w:rPr>
          <w:rStyle w:val="FootnoteReference"/>
        </w:rPr>
        <w:footnoteRef/>
      </w:r>
      <w:r w:rsidRPr="00F1270D">
        <w:rPr>
          <w:lang w:val="nl-NL"/>
        </w:rPr>
        <w:t xml:space="preserve"> Kỳ báo cáo từ ngày 26/01/2025-25/02/2025.</w:t>
      </w:r>
    </w:p>
  </w:footnote>
  <w:footnote w:id="33">
    <w:p w14:paraId="6A5BFC26" w14:textId="77777777" w:rsidR="00DB4D6C" w:rsidRPr="00F1270D" w:rsidRDefault="00DB4D6C" w:rsidP="009E7DEF">
      <w:pPr>
        <w:pStyle w:val="FootnoteText"/>
        <w:rPr>
          <w:lang w:val="nl-NL"/>
        </w:rPr>
      </w:pPr>
      <w:r w:rsidRPr="00F1270D">
        <w:rPr>
          <w:rStyle w:val="FootnoteReference"/>
        </w:rPr>
        <w:footnoteRef/>
      </w:r>
      <w:r w:rsidRPr="00F1270D">
        <w:t xml:space="preserve"> </w:t>
      </w:r>
      <w:r w:rsidRPr="00F1270D">
        <w:rPr>
          <w:lang w:val="nl-NL"/>
        </w:rPr>
        <w:t>Một hộ dân cư có thể lựa chọn nhiều nguyên nhân làm giảm thu nhập.</w:t>
      </w:r>
    </w:p>
  </w:footnote>
  <w:footnote w:id="34">
    <w:p w14:paraId="65E540B4" w14:textId="4A75BA18" w:rsidR="00DB4D6C" w:rsidRPr="00F1270D" w:rsidRDefault="00DB4D6C" w:rsidP="009E7DEF">
      <w:pPr>
        <w:pStyle w:val="FootnoteText"/>
      </w:pPr>
      <w:r w:rsidRPr="00F1270D">
        <w:rPr>
          <w:rStyle w:val="FootnoteReference"/>
        </w:rPr>
        <w:footnoteRef/>
      </w:r>
      <w:r w:rsidRPr="00F1270D">
        <w:t xml:space="preserve"> Báo cáo cập nhật 218,0 tấn gạo Chính phủ hỗ trợ cho tỉnh Tuyên Quang theo Quyết định số 227/QĐ-TTg ngày 24/01/2025.</w:t>
      </w:r>
    </w:p>
  </w:footnote>
  <w:footnote w:id="35">
    <w:p w14:paraId="26F01FBF" w14:textId="77777777" w:rsidR="00DB4D6C" w:rsidRPr="00F1270D" w:rsidRDefault="00DB4D6C" w:rsidP="009E7DEF">
      <w:pPr>
        <w:pStyle w:val="FootnoteText"/>
        <w:ind w:left="198" w:hanging="198"/>
        <w:jc w:val="both"/>
      </w:pPr>
      <w:r w:rsidRPr="00F1270D">
        <w:rPr>
          <w:rStyle w:val="FootnoteReference"/>
        </w:rPr>
        <w:footnoteRef/>
      </w:r>
      <w:r w:rsidRPr="00F1270D">
        <w:t xml:space="preserve"> </w:t>
      </w:r>
      <w:r w:rsidRPr="00F1270D">
        <w:rPr>
          <w:spacing w:val="8"/>
        </w:rPr>
        <w:t>Theo báo cáo nhanh từ Văn phòng Bộ Công an và Cục Hàng hải Việt Nam (Bộ Giao thông vận tải)</w:t>
      </w:r>
      <w:r w:rsidRPr="00F1270D">
        <w:t xml:space="preserve"> </w:t>
      </w:r>
      <w:r w:rsidRPr="00F1270D">
        <w:rPr>
          <w:lang w:val="de-DE"/>
        </w:rPr>
        <w:t>ngày 28/02/2025</w:t>
      </w:r>
      <w:r w:rsidRPr="00F1270D">
        <w:t>.</w:t>
      </w:r>
    </w:p>
  </w:footnote>
  <w:footnote w:id="36">
    <w:p w14:paraId="64FE9A82" w14:textId="2B44007C" w:rsidR="00DB4D6C" w:rsidRPr="00F1270D" w:rsidRDefault="00DB4D6C" w:rsidP="009E7DEF">
      <w:pPr>
        <w:pStyle w:val="FootnoteText"/>
        <w:spacing w:after="40"/>
        <w:ind w:left="198" w:hanging="198"/>
        <w:jc w:val="both"/>
        <w:rPr>
          <w:spacing w:val="-2"/>
        </w:rPr>
      </w:pPr>
      <w:r w:rsidRPr="00F1270D">
        <w:rPr>
          <w:rStyle w:val="FootnoteReference"/>
        </w:rPr>
        <w:footnoteRef/>
      </w:r>
      <w:r w:rsidRPr="00F1270D">
        <w:t xml:space="preserve"> Tổng hợp Báo cáo từ 63 Sở Nông nghiệp và </w:t>
      </w:r>
      <w:r>
        <w:rPr>
          <w:lang w:val="en-US"/>
        </w:rPr>
        <w:t>Môi trường,</w:t>
      </w:r>
      <w:r w:rsidRPr="00F1270D">
        <w:t xml:space="preserve"> kỳ báo cáo từ ngày 19/</w:t>
      </w:r>
      <w:r w:rsidRPr="00F1270D">
        <w:rPr>
          <w:lang w:val="en-US"/>
        </w:rPr>
        <w:t>01</w:t>
      </w:r>
      <w:r w:rsidRPr="00F1270D">
        <w:t>-18/</w:t>
      </w:r>
      <w:r w:rsidRPr="00F1270D">
        <w:rPr>
          <w:lang w:val="en-US"/>
        </w:rPr>
        <w:t>02</w:t>
      </w:r>
      <w:r w:rsidRPr="00F1270D">
        <w:t>/202</w:t>
      </w:r>
      <w:r w:rsidRPr="00F1270D">
        <w:rPr>
          <w:lang w:val="en-US"/>
        </w:rPr>
        <w:t>5</w:t>
      </w:r>
      <w:r w:rsidRPr="00F1270D">
        <w:t>.</w:t>
      </w:r>
    </w:p>
  </w:footnote>
  <w:footnote w:id="37">
    <w:p w14:paraId="167A48F1" w14:textId="25714F58" w:rsidR="00DB4D6C" w:rsidRPr="00F1270D" w:rsidRDefault="00DB4D6C" w:rsidP="009E7DEF">
      <w:pPr>
        <w:pStyle w:val="FootnoteText"/>
        <w:spacing w:after="40"/>
        <w:ind w:left="198" w:hanging="198"/>
        <w:jc w:val="both"/>
        <w:rPr>
          <w:lang w:val="en-US"/>
        </w:rPr>
      </w:pPr>
      <w:r w:rsidRPr="00F1270D">
        <w:rPr>
          <w:rStyle w:val="FootnoteReference"/>
        </w:rPr>
        <w:footnoteRef/>
      </w:r>
      <w:r w:rsidRPr="00F1270D">
        <w:t xml:space="preserve"> </w:t>
      </w:r>
      <w:r w:rsidRPr="00F1270D">
        <w:rPr>
          <w:lang w:val="en-US"/>
        </w:rPr>
        <w:t>T</w:t>
      </w:r>
      <w:r w:rsidRPr="00F1270D">
        <w:rPr>
          <w:lang w:val="de-DE"/>
        </w:rPr>
        <w:t xml:space="preserve">heo báo cáo từ Sở </w:t>
      </w:r>
      <w:r>
        <w:rPr>
          <w:lang w:val="de-DE"/>
        </w:rPr>
        <w:t xml:space="preserve">Nông nghiệp </w:t>
      </w:r>
      <w:r w:rsidRPr="00F1270D">
        <w:rPr>
          <w:lang w:val="de-DE"/>
        </w:rPr>
        <w:t xml:space="preserve">và Môi trường, Công an tỉnh, thành phố trực thuộc Trung ương được các </w:t>
      </w:r>
      <w:r w:rsidRPr="00F1270D">
        <w:rPr>
          <w:lang w:val="de-DE"/>
        </w:rPr>
        <w:br/>
      </w:r>
      <w:r>
        <w:rPr>
          <w:lang w:val="de-DE"/>
        </w:rPr>
        <w:t>Chi c</w:t>
      </w:r>
      <w:r w:rsidRPr="00F1270D">
        <w:rPr>
          <w:lang w:val="de-DE"/>
        </w:rPr>
        <w:t>ục Thống kê tổng hợp.</w:t>
      </w:r>
    </w:p>
  </w:footnote>
  <w:footnote w:id="38">
    <w:p w14:paraId="6C4D059D" w14:textId="77777777" w:rsidR="00DB4D6C" w:rsidRPr="00F1270D" w:rsidRDefault="00DB4D6C" w:rsidP="009E7DEF">
      <w:pPr>
        <w:tabs>
          <w:tab w:val="left" w:pos="426"/>
          <w:tab w:val="left" w:pos="900"/>
        </w:tabs>
        <w:spacing w:after="40"/>
        <w:ind w:left="198" w:hanging="198"/>
        <w:jc w:val="both"/>
        <w:rPr>
          <w:sz w:val="20"/>
          <w:szCs w:val="20"/>
        </w:rPr>
      </w:pPr>
      <w:r w:rsidRPr="00F1270D">
        <w:rPr>
          <w:rStyle w:val="FootnoteReference"/>
          <w:sz w:val="20"/>
          <w:szCs w:val="20"/>
        </w:rPr>
        <w:footnoteRef/>
      </w:r>
      <w:r w:rsidRPr="00F1270D">
        <w:rPr>
          <w:sz w:val="20"/>
          <w:szCs w:val="20"/>
        </w:rPr>
        <w:t xml:space="preserve"> C</w:t>
      </w:r>
      <w:r w:rsidRPr="00F1270D">
        <w:rPr>
          <w:noProof/>
          <w:sz w:val="20"/>
          <w:szCs w:val="20"/>
        </w:rPr>
        <w:t>ó 09 địa phương không phát hiện vi phạm môi trường trong tháng 02/2025: Lào Cai, Khánh Hòa, Kon Tum, Đắk Nông, Lâm Đồng, Bà Rịa - Vũng Tàu, Long An, An Giang và Cần Thơ.</w:t>
      </w:r>
    </w:p>
  </w:footnote>
  <w:footnote w:id="39">
    <w:p w14:paraId="61DD3D7D" w14:textId="77777777" w:rsidR="00DB4D6C" w:rsidRPr="00F1270D" w:rsidRDefault="00DB4D6C" w:rsidP="009E7DEF">
      <w:pPr>
        <w:pStyle w:val="FootnoteText"/>
        <w:spacing w:after="40"/>
        <w:ind w:left="198" w:hanging="198"/>
      </w:pPr>
      <w:r w:rsidRPr="00F1270D">
        <w:rPr>
          <w:rStyle w:val="FootnoteReference"/>
        </w:rPr>
        <w:footnoteRef/>
      </w:r>
      <w:r w:rsidRPr="00F1270D">
        <w:t xml:space="preserve"> Theo báo cáo nhanh từ Bộ Công an ngày 23/</w:t>
      </w:r>
      <w:r w:rsidRPr="00F1270D">
        <w:rPr>
          <w:lang w:val="en-US"/>
        </w:rPr>
        <w:t>02</w:t>
      </w:r>
      <w:r w:rsidRPr="00F1270D">
        <w:t>/202</w:t>
      </w:r>
      <w:r w:rsidRPr="00F1270D">
        <w:rPr>
          <w:lang w:val="en-US"/>
        </w:rPr>
        <w:t>5</w:t>
      </w:r>
      <w:r w:rsidRPr="00F1270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11A8" w14:textId="57F04A3E" w:rsidR="00DB4D6C" w:rsidRPr="00800C1E" w:rsidRDefault="00DB4D6C">
    <w:pPr>
      <w:pStyle w:val="Header"/>
      <w:jc w:val="center"/>
      <w:rPr>
        <w:sz w:val="26"/>
        <w:szCs w:val="26"/>
      </w:rPr>
    </w:pPr>
    <w:r w:rsidRPr="00800C1E">
      <w:rPr>
        <w:sz w:val="26"/>
        <w:szCs w:val="26"/>
      </w:rPr>
      <w:fldChar w:fldCharType="begin"/>
    </w:r>
    <w:r w:rsidRPr="00800C1E">
      <w:rPr>
        <w:sz w:val="26"/>
        <w:szCs w:val="26"/>
      </w:rPr>
      <w:instrText xml:space="preserve"> PAGE   \* MERGEFORMAT </w:instrText>
    </w:r>
    <w:r w:rsidRPr="00800C1E">
      <w:rPr>
        <w:sz w:val="26"/>
        <w:szCs w:val="26"/>
      </w:rPr>
      <w:fldChar w:fldCharType="separate"/>
    </w:r>
    <w:r w:rsidR="00DA1504">
      <w:rPr>
        <w:noProof/>
        <w:sz w:val="26"/>
        <w:szCs w:val="26"/>
      </w:rPr>
      <w:t>25</w:t>
    </w:r>
    <w:r w:rsidRPr="00800C1E">
      <w:rPr>
        <w:sz w:val="26"/>
        <w:szCs w:val="26"/>
      </w:rPr>
      <w:fldChar w:fldCharType="end"/>
    </w:r>
  </w:p>
  <w:p w14:paraId="631711C7" w14:textId="77777777" w:rsidR="00DB4D6C" w:rsidRDefault="00DB4D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565E2B91"/>
    <w:multiLevelType w:val="hybridMultilevel"/>
    <w:tmpl w:val="3EBC3802"/>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5D7D4D4C"/>
    <w:multiLevelType w:val="hybridMultilevel"/>
    <w:tmpl w:val="D5D4C2F0"/>
    <w:lvl w:ilvl="0" w:tplc="E986636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614325A7"/>
    <w:multiLevelType w:val="hybridMultilevel"/>
    <w:tmpl w:val="46A6E0A4"/>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8"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7EDF1437"/>
    <w:multiLevelType w:val="hybridMultilevel"/>
    <w:tmpl w:val="5D982C46"/>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
  </w:num>
  <w:num w:numId="2">
    <w:abstractNumId w:val="7"/>
  </w:num>
  <w:num w:numId="3">
    <w:abstractNumId w:val="8"/>
  </w:num>
  <w:num w:numId="4">
    <w:abstractNumId w:val="6"/>
  </w:num>
  <w:num w:numId="5">
    <w:abstractNumId w:val="4"/>
  </w:num>
  <w:num w:numId="6">
    <w:abstractNumId w:val="5"/>
  </w:num>
  <w:num w:numId="7">
    <w:abstractNumId w:val="0"/>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SystemFonts/>
  <w:mirrorMargins/>
  <w:activeWritingStyle w:appName="MSWord" w:lang="en-US" w:vendorID="64" w:dllVersion="6" w:nlCheck="1" w:checkStyle="0"/>
  <w:activeWritingStyle w:appName="MSWord" w:lang="es-NI" w:vendorID="64" w:dllVersion="6" w:nlCheck="1" w:checkStyle="0"/>
  <w:activeWritingStyle w:appName="MSWord" w:lang="fr-FR" w:vendorID="64" w:dllVersion="6" w:nlCheck="1" w:checkStyle="0"/>
  <w:activeWritingStyle w:appName="MSWord" w:lang="es-BO" w:vendorID="64" w:dllVersion="6" w:nlCheck="1" w:checkStyle="0"/>
  <w:activeWritingStyle w:appName="MSWord" w:lang="es-AR" w:vendorID="64" w:dllVersion="6" w:nlCheck="1" w:checkStyle="1"/>
  <w:activeWritingStyle w:appName="MSWord" w:lang="en-GB" w:vendorID="64" w:dllVersion="6" w:nlCheck="1" w:checkStyle="1"/>
  <w:activeWritingStyle w:appName="MSWord" w:lang="en-IN" w:vendorID="64" w:dllVersion="6" w:nlCheck="1" w:checkStyle="0"/>
  <w:activeWritingStyle w:appName="MSWord" w:lang="en-US" w:vendorID="64" w:dllVersion="0" w:nlCheck="1" w:checkStyle="0"/>
  <w:activeWritingStyle w:appName="MSWord" w:lang="en-IN" w:vendorID="64" w:dllVersion="0" w:nlCheck="1" w:checkStyle="0"/>
  <w:activeWritingStyle w:appName="MSWord" w:lang="es-NI" w:vendorID="64" w:dllVersion="0" w:nlCheck="1" w:checkStyle="0"/>
  <w:activeWritingStyle w:appName="MSWord" w:lang="en-GB" w:vendorID="64" w:dllVersion="0" w:nlCheck="1" w:checkStyle="0"/>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68"/>
    <w:rsid w:val="0000060A"/>
    <w:rsid w:val="00000A13"/>
    <w:rsid w:val="0000106D"/>
    <w:rsid w:val="00001C22"/>
    <w:rsid w:val="00001D5F"/>
    <w:rsid w:val="00002B3F"/>
    <w:rsid w:val="000036C2"/>
    <w:rsid w:val="0000461D"/>
    <w:rsid w:val="0000480E"/>
    <w:rsid w:val="0000524B"/>
    <w:rsid w:val="00005622"/>
    <w:rsid w:val="0000631B"/>
    <w:rsid w:val="000071F9"/>
    <w:rsid w:val="000077D5"/>
    <w:rsid w:val="00007C4C"/>
    <w:rsid w:val="000111B7"/>
    <w:rsid w:val="00011FBD"/>
    <w:rsid w:val="00012187"/>
    <w:rsid w:val="00012976"/>
    <w:rsid w:val="00012C2C"/>
    <w:rsid w:val="00013D33"/>
    <w:rsid w:val="000143C8"/>
    <w:rsid w:val="00014846"/>
    <w:rsid w:val="00014A30"/>
    <w:rsid w:val="00014AB2"/>
    <w:rsid w:val="000154AA"/>
    <w:rsid w:val="00015CFE"/>
    <w:rsid w:val="00016203"/>
    <w:rsid w:val="0001752D"/>
    <w:rsid w:val="00020671"/>
    <w:rsid w:val="000217C7"/>
    <w:rsid w:val="00022151"/>
    <w:rsid w:val="000227FE"/>
    <w:rsid w:val="00022B6E"/>
    <w:rsid w:val="00023FC2"/>
    <w:rsid w:val="00024AC9"/>
    <w:rsid w:val="00024ACD"/>
    <w:rsid w:val="00025359"/>
    <w:rsid w:val="0002579C"/>
    <w:rsid w:val="00026379"/>
    <w:rsid w:val="000277B8"/>
    <w:rsid w:val="00030096"/>
    <w:rsid w:val="00030AF3"/>
    <w:rsid w:val="00030B8D"/>
    <w:rsid w:val="00030D8A"/>
    <w:rsid w:val="00031001"/>
    <w:rsid w:val="00031327"/>
    <w:rsid w:val="000315D0"/>
    <w:rsid w:val="000319D7"/>
    <w:rsid w:val="0003230D"/>
    <w:rsid w:val="00032396"/>
    <w:rsid w:val="0003264C"/>
    <w:rsid w:val="00032B7F"/>
    <w:rsid w:val="00033079"/>
    <w:rsid w:val="000343AC"/>
    <w:rsid w:val="00034406"/>
    <w:rsid w:val="0003481E"/>
    <w:rsid w:val="000361A7"/>
    <w:rsid w:val="000363F6"/>
    <w:rsid w:val="00036452"/>
    <w:rsid w:val="00037209"/>
    <w:rsid w:val="00040137"/>
    <w:rsid w:val="00041B98"/>
    <w:rsid w:val="000420D5"/>
    <w:rsid w:val="00042223"/>
    <w:rsid w:val="00042EB9"/>
    <w:rsid w:val="00044A7D"/>
    <w:rsid w:val="00044E15"/>
    <w:rsid w:val="00045745"/>
    <w:rsid w:val="00045C3C"/>
    <w:rsid w:val="00045C5A"/>
    <w:rsid w:val="000461E1"/>
    <w:rsid w:val="000463F1"/>
    <w:rsid w:val="00046995"/>
    <w:rsid w:val="00046EB2"/>
    <w:rsid w:val="000500C6"/>
    <w:rsid w:val="000506B5"/>
    <w:rsid w:val="00050839"/>
    <w:rsid w:val="00050A08"/>
    <w:rsid w:val="00050B6D"/>
    <w:rsid w:val="00051916"/>
    <w:rsid w:val="00053C08"/>
    <w:rsid w:val="00054126"/>
    <w:rsid w:val="00054562"/>
    <w:rsid w:val="00055398"/>
    <w:rsid w:val="0005565B"/>
    <w:rsid w:val="00055C58"/>
    <w:rsid w:val="00056734"/>
    <w:rsid w:val="00057126"/>
    <w:rsid w:val="000601AD"/>
    <w:rsid w:val="00060433"/>
    <w:rsid w:val="000604D5"/>
    <w:rsid w:val="00060A18"/>
    <w:rsid w:val="00060EF3"/>
    <w:rsid w:val="00061C45"/>
    <w:rsid w:val="00062AED"/>
    <w:rsid w:val="00062BEB"/>
    <w:rsid w:val="00062D3D"/>
    <w:rsid w:val="00062EB5"/>
    <w:rsid w:val="00062FE7"/>
    <w:rsid w:val="00063032"/>
    <w:rsid w:val="00063509"/>
    <w:rsid w:val="000637D9"/>
    <w:rsid w:val="0006483F"/>
    <w:rsid w:val="0006495B"/>
    <w:rsid w:val="0006555A"/>
    <w:rsid w:val="000658A7"/>
    <w:rsid w:val="00065AB9"/>
    <w:rsid w:val="00065CCF"/>
    <w:rsid w:val="0006703E"/>
    <w:rsid w:val="00071050"/>
    <w:rsid w:val="000712EE"/>
    <w:rsid w:val="00071312"/>
    <w:rsid w:val="00072295"/>
    <w:rsid w:val="00072810"/>
    <w:rsid w:val="00072939"/>
    <w:rsid w:val="00072A12"/>
    <w:rsid w:val="0007467D"/>
    <w:rsid w:val="00074861"/>
    <w:rsid w:val="0007509B"/>
    <w:rsid w:val="00075B8C"/>
    <w:rsid w:val="0007626A"/>
    <w:rsid w:val="00076466"/>
    <w:rsid w:val="00076F40"/>
    <w:rsid w:val="0007721A"/>
    <w:rsid w:val="0007787D"/>
    <w:rsid w:val="00077957"/>
    <w:rsid w:val="000809AB"/>
    <w:rsid w:val="00082A5E"/>
    <w:rsid w:val="00082EDE"/>
    <w:rsid w:val="000831C8"/>
    <w:rsid w:val="00083379"/>
    <w:rsid w:val="00083536"/>
    <w:rsid w:val="00083FA5"/>
    <w:rsid w:val="000851C7"/>
    <w:rsid w:val="00085E39"/>
    <w:rsid w:val="00086EEA"/>
    <w:rsid w:val="000906F5"/>
    <w:rsid w:val="000909CE"/>
    <w:rsid w:val="0009196E"/>
    <w:rsid w:val="00091E96"/>
    <w:rsid w:val="00092690"/>
    <w:rsid w:val="00092A06"/>
    <w:rsid w:val="00092C77"/>
    <w:rsid w:val="00092E0E"/>
    <w:rsid w:val="000930DA"/>
    <w:rsid w:val="0009345E"/>
    <w:rsid w:val="000937B1"/>
    <w:rsid w:val="00093A8F"/>
    <w:rsid w:val="00093D99"/>
    <w:rsid w:val="0009449A"/>
    <w:rsid w:val="00095257"/>
    <w:rsid w:val="00095F89"/>
    <w:rsid w:val="00096C40"/>
    <w:rsid w:val="00097457"/>
    <w:rsid w:val="00097770"/>
    <w:rsid w:val="000A0827"/>
    <w:rsid w:val="000A0849"/>
    <w:rsid w:val="000A0F2C"/>
    <w:rsid w:val="000A1186"/>
    <w:rsid w:val="000A173F"/>
    <w:rsid w:val="000A192B"/>
    <w:rsid w:val="000A1CCE"/>
    <w:rsid w:val="000A21CF"/>
    <w:rsid w:val="000A2C95"/>
    <w:rsid w:val="000A3467"/>
    <w:rsid w:val="000A39E0"/>
    <w:rsid w:val="000A4A08"/>
    <w:rsid w:val="000A6278"/>
    <w:rsid w:val="000A63DE"/>
    <w:rsid w:val="000A7BD3"/>
    <w:rsid w:val="000B1DBB"/>
    <w:rsid w:val="000B2181"/>
    <w:rsid w:val="000B2507"/>
    <w:rsid w:val="000B3A76"/>
    <w:rsid w:val="000B3B84"/>
    <w:rsid w:val="000B4674"/>
    <w:rsid w:val="000B46CF"/>
    <w:rsid w:val="000B481F"/>
    <w:rsid w:val="000B49D3"/>
    <w:rsid w:val="000B56FF"/>
    <w:rsid w:val="000B5981"/>
    <w:rsid w:val="000B79A2"/>
    <w:rsid w:val="000C006C"/>
    <w:rsid w:val="000C0548"/>
    <w:rsid w:val="000C0B99"/>
    <w:rsid w:val="000C1215"/>
    <w:rsid w:val="000C1A58"/>
    <w:rsid w:val="000C1AEE"/>
    <w:rsid w:val="000C1F7D"/>
    <w:rsid w:val="000C3957"/>
    <w:rsid w:val="000C452E"/>
    <w:rsid w:val="000C4535"/>
    <w:rsid w:val="000C4883"/>
    <w:rsid w:val="000C5209"/>
    <w:rsid w:val="000C53E9"/>
    <w:rsid w:val="000C5818"/>
    <w:rsid w:val="000C5829"/>
    <w:rsid w:val="000C5F2B"/>
    <w:rsid w:val="000C6226"/>
    <w:rsid w:val="000C6AB4"/>
    <w:rsid w:val="000C6F18"/>
    <w:rsid w:val="000C75FC"/>
    <w:rsid w:val="000C7688"/>
    <w:rsid w:val="000C78CD"/>
    <w:rsid w:val="000C7F9F"/>
    <w:rsid w:val="000D0051"/>
    <w:rsid w:val="000D3A06"/>
    <w:rsid w:val="000D4CC8"/>
    <w:rsid w:val="000D4E58"/>
    <w:rsid w:val="000D53AB"/>
    <w:rsid w:val="000D573D"/>
    <w:rsid w:val="000D5891"/>
    <w:rsid w:val="000D58AA"/>
    <w:rsid w:val="000D713B"/>
    <w:rsid w:val="000D71B7"/>
    <w:rsid w:val="000D76D0"/>
    <w:rsid w:val="000E0006"/>
    <w:rsid w:val="000E08E4"/>
    <w:rsid w:val="000E0C6F"/>
    <w:rsid w:val="000E0E7B"/>
    <w:rsid w:val="000E236D"/>
    <w:rsid w:val="000E388B"/>
    <w:rsid w:val="000E3A29"/>
    <w:rsid w:val="000E4E3C"/>
    <w:rsid w:val="000E535D"/>
    <w:rsid w:val="000E6165"/>
    <w:rsid w:val="000E689F"/>
    <w:rsid w:val="000E6961"/>
    <w:rsid w:val="000E72B3"/>
    <w:rsid w:val="000E780A"/>
    <w:rsid w:val="000F0084"/>
    <w:rsid w:val="000F0802"/>
    <w:rsid w:val="000F0A9B"/>
    <w:rsid w:val="000F1F80"/>
    <w:rsid w:val="000F2026"/>
    <w:rsid w:val="000F22AE"/>
    <w:rsid w:val="000F394F"/>
    <w:rsid w:val="000F3CA3"/>
    <w:rsid w:val="000F423F"/>
    <w:rsid w:val="000F4742"/>
    <w:rsid w:val="000F4AC9"/>
    <w:rsid w:val="000F4DEC"/>
    <w:rsid w:val="000F54B1"/>
    <w:rsid w:val="000F6092"/>
    <w:rsid w:val="000F74AD"/>
    <w:rsid w:val="000F7AB5"/>
    <w:rsid w:val="000F7BC2"/>
    <w:rsid w:val="000F7E82"/>
    <w:rsid w:val="00100DF0"/>
    <w:rsid w:val="00100E80"/>
    <w:rsid w:val="00100EB4"/>
    <w:rsid w:val="00101235"/>
    <w:rsid w:val="00101826"/>
    <w:rsid w:val="0010267B"/>
    <w:rsid w:val="00102967"/>
    <w:rsid w:val="00103A80"/>
    <w:rsid w:val="00103B7E"/>
    <w:rsid w:val="00103D41"/>
    <w:rsid w:val="001053C0"/>
    <w:rsid w:val="001067DB"/>
    <w:rsid w:val="00106E40"/>
    <w:rsid w:val="00107927"/>
    <w:rsid w:val="00110D60"/>
    <w:rsid w:val="001111A4"/>
    <w:rsid w:val="00111673"/>
    <w:rsid w:val="00112582"/>
    <w:rsid w:val="00112F57"/>
    <w:rsid w:val="001131C5"/>
    <w:rsid w:val="0011328C"/>
    <w:rsid w:val="00113542"/>
    <w:rsid w:val="00113C4F"/>
    <w:rsid w:val="001141BD"/>
    <w:rsid w:val="00114287"/>
    <w:rsid w:val="0011450B"/>
    <w:rsid w:val="001145F4"/>
    <w:rsid w:val="0011581B"/>
    <w:rsid w:val="0011627C"/>
    <w:rsid w:val="001163E2"/>
    <w:rsid w:val="001163FC"/>
    <w:rsid w:val="0011680F"/>
    <w:rsid w:val="0011728C"/>
    <w:rsid w:val="00117732"/>
    <w:rsid w:val="00117781"/>
    <w:rsid w:val="00120614"/>
    <w:rsid w:val="00120AA1"/>
    <w:rsid w:val="00120DCB"/>
    <w:rsid w:val="001219F9"/>
    <w:rsid w:val="00122D61"/>
    <w:rsid w:val="00124496"/>
    <w:rsid w:val="00124520"/>
    <w:rsid w:val="00124AE1"/>
    <w:rsid w:val="00124D0A"/>
    <w:rsid w:val="00124F5E"/>
    <w:rsid w:val="001268F2"/>
    <w:rsid w:val="00126B64"/>
    <w:rsid w:val="00126BCD"/>
    <w:rsid w:val="00127476"/>
    <w:rsid w:val="00127893"/>
    <w:rsid w:val="001311D0"/>
    <w:rsid w:val="00131897"/>
    <w:rsid w:val="00132327"/>
    <w:rsid w:val="00132A25"/>
    <w:rsid w:val="00132AB4"/>
    <w:rsid w:val="00132C6D"/>
    <w:rsid w:val="00132F80"/>
    <w:rsid w:val="001335C1"/>
    <w:rsid w:val="0013362F"/>
    <w:rsid w:val="00134829"/>
    <w:rsid w:val="0013560B"/>
    <w:rsid w:val="00135708"/>
    <w:rsid w:val="0013616D"/>
    <w:rsid w:val="00136657"/>
    <w:rsid w:val="00137243"/>
    <w:rsid w:val="001372A3"/>
    <w:rsid w:val="00137F3E"/>
    <w:rsid w:val="00140121"/>
    <w:rsid w:val="0014056F"/>
    <w:rsid w:val="001409C2"/>
    <w:rsid w:val="00141006"/>
    <w:rsid w:val="00141224"/>
    <w:rsid w:val="001413DD"/>
    <w:rsid w:val="00141744"/>
    <w:rsid w:val="00141BCE"/>
    <w:rsid w:val="00142010"/>
    <w:rsid w:val="00142019"/>
    <w:rsid w:val="001426FE"/>
    <w:rsid w:val="00142D28"/>
    <w:rsid w:val="00143773"/>
    <w:rsid w:val="00143A0F"/>
    <w:rsid w:val="001444E6"/>
    <w:rsid w:val="0014472B"/>
    <w:rsid w:val="00144921"/>
    <w:rsid w:val="00147218"/>
    <w:rsid w:val="00147B24"/>
    <w:rsid w:val="00150717"/>
    <w:rsid w:val="001507DD"/>
    <w:rsid w:val="00150E8C"/>
    <w:rsid w:val="00150FBF"/>
    <w:rsid w:val="00151028"/>
    <w:rsid w:val="0015190E"/>
    <w:rsid w:val="00151AF6"/>
    <w:rsid w:val="0015299C"/>
    <w:rsid w:val="00152CFB"/>
    <w:rsid w:val="0015336C"/>
    <w:rsid w:val="00154EB4"/>
    <w:rsid w:val="00155547"/>
    <w:rsid w:val="00156312"/>
    <w:rsid w:val="00156BA8"/>
    <w:rsid w:val="001573FD"/>
    <w:rsid w:val="0016093E"/>
    <w:rsid w:val="0016098B"/>
    <w:rsid w:val="001609D3"/>
    <w:rsid w:val="00161BCD"/>
    <w:rsid w:val="0016207C"/>
    <w:rsid w:val="00162689"/>
    <w:rsid w:val="00162BB1"/>
    <w:rsid w:val="001631CA"/>
    <w:rsid w:val="001639D0"/>
    <w:rsid w:val="00164709"/>
    <w:rsid w:val="00164CDE"/>
    <w:rsid w:val="0016658F"/>
    <w:rsid w:val="001665C1"/>
    <w:rsid w:val="00166711"/>
    <w:rsid w:val="00166F19"/>
    <w:rsid w:val="00170272"/>
    <w:rsid w:val="00170E86"/>
    <w:rsid w:val="00171A4B"/>
    <w:rsid w:val="00174088"/>
    <w:rsid w:val="00174CD4"/>
    <w:rsid w:val="00175126"/>
    <w:rsid w:val="0017608F"/>
    <w:rsid w:val="00176E13"/>
    <w:rsid w:val="0017716A"/>
    <w:rsid w:val="00177248"/>
    <w:rsid w:val="001802FE"/>
    <w:rsid w:val="00180A37"/>
    <w:rsid w:val="00180D47"/>
    <w:rsid w:val="0018214D"/>
    <w:rsid w:val="00182AE3"/>
    <w:rsid w:val="00183076"/>
    <w:rsid w:val="00183269"/>
    <w:rsid w:val="001842C2"/>
    <w:rsid w:val="00184CDD"/>
    <w:rsid w:val="00184D21"/>
    <w:rsid w:val="00185B08"/>
    <w:rsid w:val="00185C7C"/>
    <w:rsid w:val="00185CEB"/>
    <w:rsid w:val="001867C2"/>
    <w:rsid w:val="00186D19"/>
    <w:rsid w:val="0018771F"/>
    <w:rsid w:val="001907B3"/>
    <w:rsid w:val="001909BC"/>
    <w:rsid w:val="00190AEB"/>
    <w:rsid w:val="00190D72"/>
    <w:rsid w:val="00190DC7"/>
    <w:rsid w:val="00191B9D"/>
    <w:rsid w:val="001932BB"/>
    <w:rsid w:val="00193B56"/>
    <w:rsid w:val="001940EF"/>
    <w:rsid w:val="00194244"/>
    <w:rsid w:val="0019426B"/>
    <w:rsid w:val="00194ABE"/>
    <w:rsid w:val="00195284"/>
    <w:rsid w:val="0019559C"/>
    <w:rsid w:val="0019657C"/>
    <w:rsid w:val="0019666F"/>
    <w:rsid w:val="001967B1"/>
    <w:rsid w:val="00197DF8"/>
    <w:rsid w:val="001A02E3"/>
    <w:rsid w:val="001A07A9"/>
    <w:rsid w:val="001A1D48"/>
    <w:rsid w:val="001A1DE3"/>
    <w:rsid w:val="001A1F71"/>
    <w:rsid w:val="001A2056"/>
    <w:rsid w:val="001A24A0"/>
    <w:rsid w:val="001A29A8"/>
    <w:rsid w:val="001A307B"/>
    <w:rsid w:val="001A3E18"/>
    <w:rsid w:val="001A5466"/>
    <w:rsid w:val="001A547A"/>
    <w:rsid w:val="001A6265"/>
    <w:rsid w:val="001A632D"/>
    <w:rsid w:val="001A6566"/>
    <w:rsid w:val="001A7B87"/>
    <w:rsid w:val="001A7D38"/>
    <w:rsid w:val="001B0212"/>
    <w:rsid w:val="001B0377"/>
    <w:rsid w:val="001B05F7"/>
    <w:rsid w:val="001B1245"/>
    <w:rsid w:val="001B17CD"/>
    <w:rsid w:val="001B1F8B"/>
    <w:rsid w:val="001B2DC9"/>
    <w:rsid w:val="001B31A8"/>
    <w:rsid w:val="001B34BB"/>
    <w:rsid w:val="001B3974"/>
    <w:rsid w:val="001B46A1"/>
    <w:rsid w:val="001B471E"/>
    <w:rsid w:val="001B47EE"/>
    <w:rsid w:val="001B5F6C"/>
    <w:rsid w:val="001B62F7"/>
    <w:rsid w:val="001B70E3"/>
    <w:rsid w:val="001B733C"/>
    <w:rsid w:val="001B7A79"/>
    <w:rsid w:val="001B7CA1"/>
    <w:rsid w:val="001B7CA9"/>
    <w:rsid w:val="001B7D2D"/>
    <w:rsid w:val="001C04DA"/>
    <w:rsid w:val="001C07D6"/>
    <w:rsid w:val="001C0EAD"/>
    <w:rsid w:val="001C1B98"/>
    <w:rsid w:val="001C26B0"/>
    <w:rsid w:val="001C2B53"/>
    <w:rsid w:val="001C2CC3"/>
    <w:rsid w:val="001C2D57"/>
    <w:rsid w:val="001C2E28"/>
    <w:rsid w:val="001C3319"/>
    <w:rsid w:val="001C37BF"/>
    <w:rsid w:val="001C41D3"/>
    <w:rsid w:val="001C43F7"/>
    <w:rsid w:val="001C4575"/>
    <w:rsid w:val="001C4946"/>
    <w:rsid w:val="001C6113"/>
    <w:rsid w:val="001C76B1"/>
    <w:rsid w:val="001D01E3"/>
    <w:rsid w:val="001D0DCE"/>
    <w:rsid w:val="001D13CD"/>
    <w:rsid w:val="001D2BBA"/>
    <w:rsid w:val="001D362A"/>
    <w:rsid w:val="001D3772"/>
    <w:rsid w:val="001D40B8"/>
    <w:rsid w:val="001D49F4"/>
    <w:rsid w:val="001D4B0E"/>
    <w:rsid w:val="001D4F7E"/>
    <w:rsid w:val="001D5059"/>
    <w:rsid w:val="001D5CA2"/>
    <w:rsid w:val="001D6579"/>
    <w:rsid w:val="001D6E05"/>
    <w:rsid w:val="001D7967"/>
    <w:rsid w:val="001D7D63"/>
    <w:rsid w:val="001E014E"/>
    <w:rsid w:val="001E07EA"/>
    <w:rsid w:val="001E0E49"/>
    <w:rsid w:val="001E0EF9"/>
    <w:rsid w:val="001E2941"/>
    <w:rsid w:val="001E3544"/>
    <w:rsid w:val="001E39D0"/>
    <w:rsid w:val="001E4475"/>
    <w:rsid w:val="001E4A2C"/>
    <w:rsid w:val="001E4ACD"/>
    <w:rsid w:val="001E53E6"/>
    <w:rsid w:val="001E541B"/>
    <w:rsid w:val="001E5C74"/>
    <w:rsid w:val="001E6570"/>
    <w:rsid w:val="001E6760"/>
    <w:rsid w:val="001E678D"/>
    <w:rsid w:val="001E6957"/>
    <w:rsid w:val="001E6C19"/>
    <w:rsid w:val="001E6D2D"/>
    <w:rsid w:val="001E76A4"/>
    <w:rsid w:val="001E7B07"/>
    <w:rsid w:val="001F016A"/>
    <w:rsid w:val="001F1CBC"/>
    <w:rsid w:val="001F39ED"/>
    <w:rsid w:val="001F3C7C"/>
    <w:rsid w:val="001F402B"/>
    <w:rsid w:val="001F4845"/>
    <w:rsid w:val="001F4A1C"/>
    <w:rsid w:val="001F508E"/>
    <w:rsid w:val="001F55D6"/>
    <w:rsid w:val="001F5713"/>
    <w:rsid w:val="001F588B"/>
    <w:rsid w:val="001F66C2"/>
    <w:rsid w:val="001F672A"/>
    <w:rsid w:val="001F6C7A"/>
    <w:rsid w:val="001F716C"/>
    <w:rsid w:val="001F73A1"/>
    <w:rsid w:val="001F76F2"/>
    <w:rsid w:val="002001DC"/>
    <w:rsid w:val="00200B66"/>
    <w:rsid w:val="0020207F"/>
    <w:rsid w:val="00203D62"/>
    <w:rsid w:val="00204E46"/>
    <w:rsid w:val="00205B07"/>
    <w:rsid w:val="00205E9D"/>
    <w:rsid w:val="002065EA"/>
    <w:rsid w:val="00206E2F"/>
    <w:rsid w:val="002073D6"/>
    <w:rsid w:val="00207B86"/>
    <w:rsid w:val="00210C01"/>
    <w:rsid w:val="00210EA7"/>
    <w:rsid w:val="00211595"/>
    <w:rsid w:val="002119D4"/>
    <w:rsid w:val="00211AEB"/>
    <w:rsid w:val="00213126"/>
    <w:rsid w:val="00213504"/>
    <w:rsid w:val="00213741"/>
    <w:rsid w:val="0021390B"/>
    <w:rsid w:val="002147F9"/>
    <w:rsid w:val="00215A08"/>
    <w:rsid w:val="00215C85"/>
    <w:rsid w:val="00216288"/>
    <w:rsid w:val="002163FC"/>
    <w:rsid w:val="00216F88"/>
    <w:rsid w:val="00217A98"/>
    <w:rsid w:val="0022109E"/>
    <w:rsid w:val="0022158C"/>
    <w:rsid w:val="0022317F"/>
    <w:rsid w:val="002232D9"/>
    <w:rsid w:val="0022390D"/>
    <w:rsid w:val="00224B8D"/>
    <w:rsid w:val="002254DC"/>
    <w:rsid w:val="002255B4"/>
    <w:rsid w:val="002260F3"/>
    <w:rsid w:val="0022663B"/>
    <w:rsid w:val="0022689D"/>
    <w:rsid w:val="00227769"/>
    <w:rsid w:val="00227FAD"/>
    <w:rsid w:val="00230997"/>
    <w:rsid w:val="00230D3B"/>
    <w:rsid w:val="0023108B"/>
    <w:rsid w:val="00232350"/>
    <w:rsid w:val="00232402"/>
    <w:rsid w:val="0023258A"/>
    <w:rsid w:val="00232811"/>
    <w:rsid w:val="002331DD"/>
    <w:rsid w:val="00233480"/>
    <w:rsid w:val="00233CFF"/>
    <w:rsid w:val="00234AEA"/>
    <w:rsid w:val="00234E05"/>
    <w:rsid w:val="00234FB7"/>
    <w:rsid w:val="0023513E"/>
    <w:rsid w:val="00235BAD"/>
    <w:rsid w:val="00235F70"/>
    <w:rsid w:val="00235F8C"/>
    <w:rsid w:val="002360BA"/>
    <w:rsid w:val="002362A4"/>
    <w:rsid w:val="002365E8"/>
    <w:rsid w:val="00237434"/>
    <w:rsid w:val="002374E8"/>
    <w:rsid w:val="00237CFC"/>
    <w:rsid w:val="00240415"/>
    <w:rsid w:val="002410E5"/>
    <w:rsid w:val="002411CF"/>
    <w:rsid w:val="00241982"/>
    <w:rsid w:val="00241FA7"/>
    <w:rsid w:val="002424B1"/>
    <w:rsid w:val="002428EB"/>
    <w:rsid w:val="002430F5"/>
    <w:rsid w:val="00244001"/>
    <w:rsid w:val="002441BC"/>
    <w:rsid w:val="002443F6"/>
    <w:rsid w:val="002447BD"/>
    <w:rsid w:val="00245678"/>
    <w:rsid w:val="0024587A"/>
    <w:rsid w:val="00245B4B"/>
    <w:rsid w:val="002460EF"/>
    <w:rsid w:val="002462D2"/>
    <w:rsid w:val="00246DB4"/>
    <w:rsid w:val="002472AA"/>
    <w:rsid w:val="00247313"/>
    <w:rsid w:val="002473DA"/>
    <w:rsid w:val="002517FD"/>
    <w:rsid w:val="002527C3"/>
    <w:rsid w:val="0025330A"/>
    <w:rsid w:val="00253AA2"/>
    <w:rsid w:val="0025432E"/>
    <w:rsid w:val="00255261"/>
    <w:rsid w:val="002558D1"/>
    <w:rsid w:val="00256661"/>
    <w:rsid w:val="0026046F"/>
    <w:rsid w:val="002606E1"/>
    <w:rsid w:val="00260DDA"/>
    <w:rsid w:val="00260F60"/>
    <w:rsid w:val="0026129F"/>
    <w:rsid w:val="002613FE"/>
    <w:rsid w:val="00261703"/>
    <w:rsid w:val="002618D5"/>
    <w:rsid w:val="00261A90"/>
    <w:rsid w:val="00261AAE"/>
    <w:rsid w:val="00264213"/>
    <w:rsid w:val="002646C7"/>
    <w:rsid w:val="00265DB4"/>
    <w:rsid w:val="002678A7"/>
    <w:rsid w:val="00267DEF"/>
    <w:rsid w:val="00267FE6"/>
    <w:rsid w:val="002700EC"/>
    <w:rsid w:val="002703C0"/>
    <w:rsid w:val="002703FD"/>
    <w:rsid w:val="00270CB2"/>
    <w:rsid w:val="00270F84"/>
    <w:rsid w:val="00271552"/>
    <w:rsid w:val="00271B3A"/>
    <w:rsid w:val="00271D3A"/>
    <w:rsid w:val="00271EC2"/>
    <w:rsid w:val="00272C69"/>
    <w:rsid w:val="00272DD0"/>
    <w:rsid w:val="00272FD8"/>
    <w:rsid w:val="00273B0E"/>
    <w:rsid w:val="00274077"/>
    <w:rsid w:val="002746F6"/>
    <w:rsid w:val="00275947"/>
    <w:rsid w:val="00275D11"/>
    <w:rsid w:val="00276597"/>
    <w:rsid w:val="00276AEF"/>
    <w:rsid w:val="00276BBB"/>
    <w:rsid w:val="00280560"/>
    <w:rsid w:val="00280A50"/>
    <w:rsid w:val="00281200"/>
    <w:rsid w:val="00281B8E"/>
    <w:rsid w:val="00281CE7"/>
    <w:rsid w:val="00282303"/>
    <w:rsid w:val="00282EF0"/>
    <w:rsid w:val="00283199"/>
    <w:rsid w:val="002833E3"/>
    <w:rsid w:val="00283490"/>
    <w:rsid w:val="002845AF"/>
    <w:rsid w:val="00284E13"/>
    <w:rsid w:val="00285772"/>
    <w:rsid w:val="0028627E"/>
    <w:rsid w:val="00286623"/>
    <w:rsid w:val="00286CBE"/>
    <w:rsid w:val="00286EA9"/>
    <w:rsid w:val="00287B47"/>
    <w:rsid w:val="00287F87"/>
    <w:rsid w:val="00290648"/>
    <w:rsid w:val="0029123C"/>
    <w:rsid w:val="002923F1"/>
    <w:rsid w:val="0029276C"/>
    <w:rsid w:val="00292F96"/>
    <w:rsid w:val="002931B4"/>
    <w:rsid w:val="00294043"/>
    <w:rsid w:val="0029416B"/>
    <w:rsid w:val="00294BF0"/>
    <w:rsid w:val="00294F67"/>
    <w:rsid w:val="00294F82"/>
    <w:rsid w:val="0029538F"/>
    <w:rsid w:val="00295D9D"/>
    <w:rsid w:val="002978A7"/>
    <w:rsid w:val="002A06B7"/>
    <w:rsid w:val="002A1098"/>
    <w:rsid w:val="002A1D7F"/>
    <w:rsid w:val="002A20F4"/>
    <w:rsid w:val="002A2190"/>
    <w:rsid w:val="002A2303"/>
    <w:rsid w:val="002A2344"/>
    <w:rsid w:val="002A2D5D"/>
    <w:rsid w:val="002A4AB1"/>
    <w:rsid w:val="002A4BAC"/>
    <w:rsid w:val="002A4FCA"/>
    <w:rsid w:val="002A5269"/>
    <w:rsid w:val="002A564D"/>
    <w:rsid w:val="002A5F08"/>
    <w:rsid w:val="002A693B"/>
    <w:rsid w:val="002A7813"/>
    <w:rsid w:val="002B0104"/>
    <w:rsid w:val="002B20B1"/>
    <w:rsid w:val="002B2B49"/>
    <w:rsid w:val="002B49CD"/>
    <w:rsid w:val="002B4DB3"/>
    <w:rsid w:val="002B56C3"/>
    <w:rsid w:val="002B651E"/>
    <w:rsid w:val="002B705E"/>
    <w:rsid w:val="002B79F2"/>
    <w:rsid w:val="002C0B39"/>
    <w:rsid w:val="002C0DFE"/>
    <w:rsid w:val="002C0EC1"/>
    <w:rsid w:val="002C1136"/>
    <w:rsid w:val="002C18EC"/>
    <w:rsid w:val="002C2838"/>
    <w:rsid w:val="002C2AB0"/>
    <w:rsid w:val="002C324A"/>
    <w:rsid w:val="002C4F8A"/>
    <w:rsid w:val="002C593B"/>
    <w:rsid w:val="002C5CAB"/>
    <w:rsid w:val="002C5FC9"/>
    <w:rsid w:val="002C642A"/>
    <w:rsid w:val="002C685B"/>
    <w:rsid w:val="002C7ABA"/>
    <w:rsid w:val="002D0732"/>
    <w:rsid w:val="002D1706"/>
    <w:rsid w:val="002D1C87"/>
    <w:rsid w:val="002D1EFF"/>
    <w:rsid w:val="002D329A"/>
    <w:rsid w:val="002D3707"/>
    <w:rsid w:val="002D4AFE"/>
    <w:rsid w:val="002D591D"/>
    <w:rsid w:val="002D5980"/>
    <w:rsid w:val="002D5AA3"/>
    <w:rsid w:val="002D6001"/>
    <w:rsid w:val="002D6E24"/>
    <w:rsid w:val="002D764F"/>
    <w:rsid w:val="002D7B78"/>
    <w:rsid w:val="002D7E9A"/>
    <w:rsid w:val="002E01CF"/>
    <w:rsid w:val="002E172E"/>
    <w:rsid w:val="002E21D6"/>
    <w:rsid w:val="002E2E79"/>
    <w:rsid w:val="002E32F5"/>
    <w:rsid w:val="002E34C4"/>
    <w:rsid w:val="002E3DCA"/>
    <w:rsid w:val="002E5077"/>
    <w:rsid w:val="002E52FC"/>
    <w:rsid w:val="002E5AA0"/>
    <w:rsid w:val="002E746D"/>
    <w:rsid w:val="002E76FF"/>
    <w:rsid w:val="002E7AC4"/>
    <w:rsid w:val="002F06C5"/>
    <w:rsid w:val="002F0878"/>
    <w:rsid w:val="002F165C"/>
    <w:rsid w:val="002F1A02"/>
    <w:rsid w:val="002F217A"/>
    <w:rsid w:val="002F276E"/>
    <w:rsid w:val="002F2CE1"/>
    <w:rsid w:val="002F35DF"/>
    <w:rsid w:val="002F39FD"/>
    <w:rsid w:val="002F3DF2"/>
    <w:rsid w:val="002F4203"/>
    <w:rsid w:val="002F455A"/>
    <w:rsid w:val="002F5491"/>
    <w:rsid w:val="002F59DA"/>
    <w:rsid w:val="002F6257"/>
    <w:rsid w:val="002F6316"/>
    <w:rsid w:val="002F6F8F"/>
    <w:rsid w:val="002F7B74"/>
    <w:rsid w:val="002F7C5C"/>
    <w:rsid w:val="002F7EFD"/>
    <w:rsid w:val="002F7F0F"/>
    <w:rsid w:val="00300597"/>
    <w:rsid w:val="003005FF"/>
    <w:rsid w:val="003008D9"/>
    <w:rsid w:val="00301C19"/>
    <w:rsid w:val="0030244C"/>
    <w:rsid w:val="00302CEC"/>
    <w:rsid w:val="00303057"/>
    <w:rsid w:val="003030A7"/>
    <w:rsid w:val="003031B7"/>
    <w:rsid w:val="0030372C"/>
    <w:rsid w:val="00304BCC"/>
    <w:rsid w:val="003050B9"/>
    <w:rsid w:val="003053FB"/>
    <w:rsid w:val="00305768"/>
    <w:rsid w:val="00305A47"/>
    <w:rsid w:val="00305DFC"/>
    <w:rsid w:val="00306ECA"/>
    <w:rsid w:val="0030747B"/>
    <w:rsid w:val="00307751"/>
    <w:rsid w:val="00310425"/>
    <w:rsid w:val="0031106B"/>
    <w:rsid w:val="003115FD"/>
    <w:rsid w:val="00311735"/>
    <w:rsid w:val="003121AE"/>
    <w:rsid w:val="00313295"/>
    <w:rsid w:val="00313398"/>
    <w:rsid w:val="0031572E"/>
    <w:rsid w:val="00315CC4"/>
    <w:rsid w:val="0031609F"/>
    <w:rsid w:val="003164EB"/>
    <w:rsid w:val="00317259"/>
    <w:rsid w:val="003172F0"/>
    <w:rsid w:val="0032299D"/>
    <w:rsid w:val="00325783"/>
    <w:rsid w:val="003259F5"/>
    <w:rsid w:val="003270FC"/>
    <w:rsid w:val="00327199"/>
    <w:rsid w:val="003300AC"/>
    <w:rsid w:val="003303B3"/>
    <w:rsid w:val="00330865"/>
    <w:rsid w:val="00330EDD"/>
    <w:rsid w:val="00331023"/>
    <w:rsid w:val="00332849"/>
    <w:rsid w:val="00333314"/>
    <w:rsid w:val="00333A1D"/>
    <w:rsid w:val="00333B83"/>
    <w:rsid w:val="00333CC2"/>
    <w:rsid w:val="00333D9D"/>
    <w:rsid w:val="00333E05"/>
    <w:rsid w:val="00333E6A"/>
    <w:rsid w:val="00333FCB"/>
    <w:rsid w:val="00334154"/>
    <w:rsid w:val="00334421"/>
    <w:rsid w:val="00335BEB"/>
    <w:rsid w:val="00335C3A"/>
    <w:rsid w:val="00335D3E"/>
    <w:rsid w:val="00336285"/>
    <w:rsid w:val="003369FF"/>
    <w:rsid w:val="00337239"/>
    <w:rsid w:val="0033792B"/>
    <w:rsid w:val="00337C63"/>
    <w:rsid w:val="00337EF8"/>
    <w:rsid w:val="00340518"/>
    <w:rsid w:val="00340870"/>
    <w:rsid w:val="00342138"/>
    <w:rsid w:val="00343FEC"/>
    <w:rsid w:val="00344A45"/>
    <w:rsid w:val="0034570B"/>
    <w:rsid w:val="00347553"/>
    <w:rsid w:val="003476BA"/>
    <w:rsid w:val="0034791B"/>
    <w:rsid w:val="003503F9"/>
    <w:rsid w:val="0035061B"/>
    <w:rsid w:val="00350F5B"/>
    <w:rsid w:val="003512F5"/>
    <w:rsid w:val="00351A00"/>
    <w:rsid w:val="00351AB3"/>
    <w:rsid w:val="00351ACE"/>
    <w:rsid w:val="00351BCA"/>
    <w:rsid w:val="003529A3"/>
    <w:rsid w:val="00353826"/>
    <w:rsid w:val="00353AD8"/>
    <w:rsid w:val="00353EA3"/>
    <w:rsid w:val="00354AC6"/>
    <w:rsid w:val="00355C91"/>
    <w:rsid w:val="00355F6E"/>
    <w:rsid w:val="00356186"/>
    <w:rsid w:val="00356BC8"/>
    <w:rsid w:val="0035708D"/>
    <w:rsid w:val="0036078D"/>
    <w:rsid w:val="003609F8"/>
    <w:rsid w:val="0036113B"/>
    <w:rsid w:val="003616D1"/>
    <w:rsid w:val="0036195D"/>
    <w:rsid w:val="00362475"/>
    <w:rsid w:val="00362576"/>
    <w:rsid w:val="00362821"/>
    <w:rsid w:val="00363026"/>
    <w:rsid w:val="003630BA"/>
    <w:rsid w:val="00363E45"/>
    <w:rsid w:val="00365B3D"/>
    <w:rsid w:val="00365F85"/>
    <w:rsid w:val="00366A55"/>
    <w:rsid w:val="00367639"/>
    <w:rsid w:val="003707C8"/>
    <w:rsid w:val="003708B8"/>
    <w:rsid w:val="00370984"/>
    <w:rsid w:val="00370BAA"/>
    <w:rsid w:val="00371200"/>
    <w:rsid w:val="00371A3B"/>
    <w:rsid w:val="003720CF"/>
    <w:rsid w:val="00372772"/>
    <w:rsid w:val="003730D0"/>
    <w:rsid w:val="0037340B"/>
    <w:rsid w:val="00373E5D"/>
    <w:rsid w:val="00374525"/>
    <w:rsid w:val="00374579"/>
    <w:rsid w:val="00374EC0"/>
    <w:rsid w:val="00374EE1"/>
    <w:rsid w:val="00375519"/>
    <w:rsid w:val="00375819"/>
    <w:rsid w:val="00376173"/>
    <w:rsid w:val="00376242"/>
    <w:rsid w:val="0037639A"/>
    <w:rsid w:val="003765FA"/>
    <w:rsid w:val="00377414"/>
    <w:rsid w:val="00380345"/>
    <w:rsid w:val="003806F1"/>
    <w:rsid w:val="00380C91"/>
    <w:rsid w:val="00381426"/>
    <w:rsid w:val="00381CF0"/>
    <w:rsid w:val="00382A2F"/>
    <w:rsid w:val="00382C10"/>
    <w:rsid w:val="0038331F"/>
    <w:rsid w:val="003846E8"/>
    <w:rsid w:val="00384978"/>
    <w:rsid w:val="00384C8B"/>
    <w:rsid w:val="00385852"/>
    <w:rsid w:val="00385F3F"/>
    <w:rsid w:val="003860A9"/>
    <w:rsid w:val="00386775"/>
    <w:rsid w:val="0038699B"/>
    <w:rsid w:val="00386D7F"/>
    <w:rsid w:val="00387749"/>
    <w:rsid w:val="00387AC8"/>
    <w:rsid w:val="00390782"/>
    <w:rsid w:val="00390A08"/>
    <w:rsid w:val="00390D55"/>
    <w:rsid w:val="00392166"/>
    <w:rsid w:val="003921AB"/>
    <w:rsid w:val="00393310"/>
    <w:rsid w:val="00394017"/>
    <w:rsid w:val="00394184"/>
    <w:rsid w:val="00394497"/>
    <w:rsid w:val="003948C3"/>
    <w:rsid w:val="003951EE"/>
    <w:rsid w:val="0039524D"/>
    <w:rsid w:val="00395AE7"/>
    <w:rsid w:val="00396456"/>
    <w:rsid w:val="00396735"/>
    <w:rsid w:val="00396B3C"/>
    <w:rsid w:val="00396D19"/>
    <w:rsid w:val="0039734B"/>
    <w:rsid w:val="00397485"/>
    <w:rsid w:val="003A0F38"/>
    <w:rsid w:val="003A1C2C"/>
    <w:rsid w:val="003A1D75"/>
    <w:rsid w:val="003A20D9"/>
    <w:rsid w:val="003A35EA"/>
    <w:rsid w:val="003A414B"/>
    <w:rsid w:val="003A43B6"/>
    <w:rsid w:val="003A54BB"/>
    <w:rsid w:val="003A557C"/>
    <w:rsid w:val="003A5AB4"/>
    <w:rsid w:val="003A60C9"/>
    <w:rsid w:val="003A6648"/>
    <w:rsid w:val="003A71BE"/>
    <w:rsid w:val="003A7DD3"/>
    <w:rsid w:val="003B0DB4"/>
    <w:rsid w:val="003B0FBF"/>
    <w:rsid w:val="003B13C6"/>
    <w:rsid w:val="003B19AB"/>
    <w:rsid w:val="003B1BEE"/>
    <w:rsid w:val="003B2006"/>
    <w:rsid w:val="003B220C"/>
    <w:rsid w:val="003B2373"/>
    <w:rsid w:val="003B3508"/>
    <w:rsid w:val="003B3AF1"/>
    <w:rsid w:val="003B4A16"/>
    <w:rsid w:val="003B4BF9"/>
    <w:rsid w:val="003B4F22"/>
    <w:rsid w:val="003B506E"/>
    <w:rsid w:val="003B59BD"/>
    <w:rsid w:val="003B59E4"/>
    <w:rsid w:val="003B5A6F"/>
    <w:rsid w:val="003B5F91"/>
    <w:rsid w:val="003B6797"/>
    <w:rsid w:val="003C17C1"/>
    <w:rsid w:val="003C1DD3"/>
    <w:rsid w:val="003C2153"/>
    <w:rsid w:val="003C2361"/>
    <w:rsid w:val="003C240F"/>
    <w:rsid w:val="003C2625"/>
    <w:rsid w:val="003C364E"/>
    <w:rsid w:val="003C38A5"/>
    <w:rsid w:val="003C3A4E"/>
    <w:rsid w:val="003C3B1A"/>
    <w:rsid w:val="003C4AD1"/>
    <w:rsid w:val="003C5032"/>
    <w:rsid w:val="003C573B"/>
    <w:rsid w:val="003C57CE"/>
    <w:rsid w:val="003C62B6"/>
    <w:rsid w:val="003C6B83"/>
    <w:rsid w:val="003C6FB9"/>
    <w:rsid w:val="003C74EA"/>
    <w:rsid w:val="003D1C6F"/>
    <w:rsid w:val="003D362A"/>
    <w:rsid w:val="003D3666"/>
    <w:rsid w:val="003D3A33"/>
    <w:rsid w:val="003D3A69"/>
    <w:rsid w:val="003D46E1"/>
    <w:rsid w:val="003D528E"/>
    <w:rsid w:val="003D56F2"/>
    <w:rsid w:val="003D5902"/>
    <w:rsid w:val="003E02F4"/>
    <w:rsid w:val="003E038D"/>
    <w:rsid w:val="003E04D7"/>
    <w:rsid w:val="003E12E4"/>
    <w:rsid w:val="003E1FF6"/>
    <w:rsid w:val="003E20B1"/>
    <w:rsid w:val="003E2930"/>
    <w:rsid w:val="003E2BC6"/>
    <w:rsid w:val="003E4B8B"/>
    <w:rsid w:val="003E5310"/>
    <w:rsid w:val="003E5E2A"/>
    <w:rsid w:val="003E7967"/>
    <w:rsid w:val="003F0288"/>
    <w:rsid w:val="003F0B2F"/>
    <w:rsid w:val="003F1828"/>
    <w:rsid w:val="003F1C0F"/>
    <w:rsid w:val="003F374A"/>
    <w:rsid w:val="003F4705"/>
    <w:rsid w:val="003F55B3"/>
    <w:rsid w:val="003F613E"/>
    <w:rsid w:val="003F6605"/>
    <w:rsid w:val="003F6B51"/>
    <w:rsid w:val="003F6C2A"/>
    <w:rsid w:val="003F75DC"/>
    <w:rsid w:val="003F7BE8"/>
    <w:rsid w:val="00401734"/>
    <w:rsid w:val="00401746"/>
    <w:rsid w:val="00401A24"/>
    <w:rsid w:val="00401B5D"/>
    <w:rsid w:val="00402123"/>
    <w:rsid w:val="004021C5"/>
    <w:rsid w:val="0040245A"/>
    <w:rsid w:val="00403340"/>
    <w:rsid w:val="0040343C"/>
    <w:rsid w:val="004035AC"/>
    <w:rsid w:val="00403790"/>
    <w:rsid w:val="00404955"/>
    <w:rsid w:val="004049DE"/>
    <w:rsid w:val="004061A5"/>
    <w:rsid w:val="0040664D"/>
    <w:rsid w:val="004073AE"/>
    <w:rsid w:val="00407DC9"/>
    <w:rsid w:val="004101A7"/>
    <w:rsid w:val="00410F17"/>
    <w:rsid w:val="00411D2D"/>
    <w:rsid w:val="00411DFA"/>
    <w:rsid w:val="004127B5"/>
    <w:rsid w:val="00412CB5"/>
    <w:rsid w:val="00413335"/>
    <w:rsid w:val="00413672"/>
    <w:rsid w:val="004157EB"/>
    <w:rsid w:val="00415915"/>
    <w:rsid w:val="00416AA5"/>
    <w:rsid w:val="00416BAE"/>
    <w:rsid w:val="0041742B"/>
    <w:rsid w:val="004201C3"/>
    <w:rsid w:val="00420769"/>
    <w:rsid w:val="00420BA5"/>
    <w:rsid w:val="00420ED8"/>
    <w:rsid w:val="00421023"/>
    <w:rsid w:val="00421AA1"/>
    <w:rsid w:val="00421DA1"/>
    <w:rsid w:val="00422253"/>
    <w:rsid w:val="0042245B"/>
    <w:rsid w:val="00422B12"/>
    <w:rsid w:val="00422B6A"/>
    <w:rsid w:val="00422E8F"/>
    <w:rsid w:val="00422E90"/>
    <w:rsid w:val="0042400D"/>
    <w:rsid w:val="004243E2"/>
    <w:rsid w:val="00424496"/>
    <w:rsid w:val="00424772"/>
    <w:rsid w:val="0042538E"/>
    <w:rsid w:val="00425F37"/>
    <w:rsid w:val="004266CF"/>
    <w:rsid w:val="00426894"/>
    <w:rsid w:val="00427015"/>
    <w:rsid w:val="00430B5F"/>
    <w:rsid w:val="00431E9E"/>
    <w:rsid w:val="00431ECB"/>
    <w:rsid w:val="00434658"/>
    <w:rsid w:val="00434668"/>
    <w:rsid w:val="004347CF"/>
    <w:rsid w:val="00434946"/>
    <w:rsid w:val="00435A2C"/>
    <w:rsid w:val="00435E67"/>
    <w:rsid w:val="00437559"/>
    <w:rsid w:val="0044006F"/>
    <w:rsid w:val="004419D3"/>
    <w:rsid w:val="00442443"/>
    <w:rsid w:val="00442876"/>
    <w:rsid w:val="00443644"/>
    <w:rsid w:val="00443A0C"/>
    <w:rsid w:val="00443BE8"/>
    <w:rsid w:val="00443F6F"/>
    <w:rsid w:val="00444D4C"/>
    <w:rsid w:val="00445039"/>
    <w:rsid w:val="004453F0"/>
    <w:rsid w:val="004453FE"/>
    <w:rsid w:val="00445670"/>
    <w:rsid w:val="00445766"/>
    <w:rsid w:val="00445783"/>
    <w:rsid w:val="00445A08"/>
    <w:rsid w:val="00446B19"/>
    <w:rsid w:val="00446E10"/>
    <w:rsid w:val="00446E13"/>
    <w:rsid w:val="00447723"/>
    <w:rsid w:val="00447B8B"/>
    <w:rsid w:val="00447C5F"/>
    <w:rsid w:val="0045127B"/>
    <w:rsid w:val="004518BD"/>
    <w:rsid w:val="004521E2"/>
    <w:rsid w:val="00452434"/>
    <w:rsid w:val="00452C21"/>
    <w:rsid w:val="00452EDA"/>
    <w:rsid w:val="0045308E"/>
    <w:rsid w:val="004535EF"/>
    <w:rsid w:val="004535F6"/>
    <w:rsid w:val="0045657A"/>
    <w:rsid w:val="00457074"/>
    <w:rsid w:val="00457B96"/>
    <w:rsid w:val="00457EB6"/>
    <w:rsid w:val="00457FA3"/>
    <w:rsid w:val="0046080A"/>
    <w:rsid w:val="00461375"/>
    <w:rsid w:val="00462AE3"/>
    <w:rsid w:val="00462AF7"/>
    <w:rsid w:val="00462C66"/>
    <w:rsid w:val="00462DBB"/>
    <w:rsid w:val="00462EAE"/>
    <w:rsid w:val="004630BD"/>
    <w:rsid w:val="00463A5E"/>
    <w:rsid w:val="00463FD1"/>
    <w:rsid w:val="00464105"/>
    <w:rsid w:val="0046414A"/>
    <w:rsid w:val="00464B71"/>
    <w:rsid w:val="004662EB"/>
    <w:rsid w:val="0046723B"/>
    <w:rsid w:val="00467556"/>
    <w:rsid w:val="00467716"/>
    <w:rsid w:val="00467FDC"/>
    <w:rsid w:val="00471354"/>
    <w:rsid w:val="004717A5"/>
    <w:rsid w:val="00471A25"/>
    <w:rsid w:val="00471BBB"/>
    <w:rsid w:val="00471D6D"/>
    <w:rsid w:val="00471EFD"/>
    <w:rsid w:val="004720F0"/>
    <w:rsid w:val="004722F7"/>
    <w:rsid w:val="00473639"/>
    <w:rsid w:val="00474E3C"/>
    <w:rsid w:val="0047502D"/>
    <w:rsid w:val="00475AEF"/>
    <w:rsid w:val="00475BE3"/>
    <w:rsid w:val="00475D80"/>
    <w:rsid w:val="00476E50"/>
    <w:rsid w:val="004811C2"/>
    <w:rsid w:val="004820F1"/>
    <w:rsid w:val="0048210B"/>
    <w:rsid w:val="00482AD6"/>
    <w:rsid w:val="004834B6"/>
    <w:rsid w:val="00483677"/>
    <w:rsid w:val="00484583"/>
    <w:rsid w:val="00484623"/>
    <w:rsid w:val="00484754"/>
    <w:rsid w:val="00484F26"/>
    <w:rsid w:val="004856EE"/>
    <w:rsid w:val="00485881"/>
    <w:rsid w:val="00485E3A"/>
    <w:rsid w:val="00485F2B"/>
    <w:rsid w:val="00486A1C"/>
    <w:rsid w:val="004872D8"/>
    <w:rsid w:val="00487872"/>
    <w:rsid w:val="00487E32"/>
    <w:rsid w:val="00487EEF"/>
    <w:rsid w:val="0049033C"/>
    <w:rsid w:val="004908F8"/>
    <w:rsid w:val="004911CB"/>
    <w:rsid w:val="004923BA"/>
    <w:rsid w:val="00492E95"/>
    <w:rsid w:val="00492F48"/>
    <w:rsid w:val="00493200"/>
    <w:rsid w:val="00493CB0"/>
    <w:rsid w:val="00494124"/>
    <w:rsid w:val="00495364"/>
    <w:rsid w:val="0049579E"/>
    <w:rsid w:val="004958E9"/>
    <w:rsid w:val="00495B24"/>
    <w:rsid w:val="00495C1C"/>
    <w:rsid w:val="0049648C"/>
    <w:rsid w:val="00496963"/>
    <w:rsid w:val="004972B7"/>
    <w:rsid w:val="0049756D"/>
    <w:rsid w:val="004A08A3"/>
    <w:rsid w:val="004A0CBC"/>
    <w:rsid w:val="004A0CFB"/>
    <w:rsid w:val="004A107C"/>
    <w:rsid w:val="004A1889"/>
    <w:rsid w:val="004A1C4A"/>
    <w:rsid w:val="004A1DC5"/>
    <w:rsid w:val="004A23B8"/>
    <w:rsid w:val="004A247F"/>
    <w:rsid w:val="004A24A9"/>
    <w:rsid w:val="004A26E7"/>
    <w:rsid w:val="004A285C"/>
    <w:rsid w:val="004A28D5"/>
    <w:rsid w:val="004A2B69"/>
    <w:rsid w:val="004A2B72"/>
    <w:rsid w:val="004A2C67"/>
    <w:rsid w:val="004A37E8"/>
    <w:rsid w:val="004A4924"/>
    <w:rsid w:val="004A4A01"/>
    <w:rsid w:val="004A4C06"/>
    <w:rsid w:val="004A572E"/>
    <w:rsid w:val="004A5C2F"/>
    <w:rsid w:val="004A6E79"/>
    <w:rsid w:val="004A6EE4"/>
    <w:rsid w:val="004A724D"/>
    <w:rsid w:val="004B0889"/>
    <w:rsid w:val="004B1981"/>
    <w:rsid w:val="004B3275"/>
    <w:rsid w:val="004B3451"/>
    <w:rsid w:val="004B3698"/>
    <w:rsid w:val="004B3C45"/>
    <w:rsid w:val="004B5A26"/>
    <w:rsid w:val="004B5DCF"/>
    <w:rsid w:val="004B7E7F"/>
    <w:rsid w:val="004C075B"/>
    <w:rsid w:val="004C0D70"/>
    <w:rsid w:val="004C0DE3"/>
    <w:rsid w:val="004C1B59"/>
    <w:rsid w:val="004C2737"/>
    <w:rsid w:val="004C2A87"/>
    <w:rsid w:val="004C3D22"/>
    <w:rsid w:val="004C4EB5"/>
    <w:rsid w:val="004C6435"/>
    <w:rsid w:val="004C6C0F"/>
    <w:rsid w:val="004C6E9C"/>
    <w:rsid w:val="004C7323"/>
    <w:rsid w:val="004C7696"/>
    <w:rsid w:val="004D0148"/>
    <w:rsid w:val="004D02E5"/>
    <w:rsid w:val="004D04CF"/>
    <w:rsid w:val="004D1571"/>
    <w:rsid w:val="004D1996"/>
    <w:rsid w:val="004D1BEF"/>
    <w:rsid w:val="004D1DFA"/>
    <w:rsid w:val="004D2772"/>
    <w:rsid w:val="004D3AF3"/>
    <w:rsid w:val="004D4509"/>
    <w:rsid w:val="004D4553"/>
    <w:rsid w:val="004D4976"/>
    <w:rsid w:val="004D508D"/>
    <w:rsid w:val="004D68DC"/>
    <w:rsid w:val="004D6F79"/>
    <w:rsid w:val="004D76BC"/>
    <w:rsid w:val="004D7860"/>
    <w:rsid w:val="004D7D08"/>
    <w:rsid w:val="004E1177"/>
    <w:rsid w:val="004E1566"/>
    <w:rsid w:val="004E1A41"/>
    <w:rsid w:val="004E1BF1"/>
    <w:rsid w:val="004E2443"/>
    <w:rsid w:val="004E2E80"/>
    <w:rsid w:val="004E4906"/>
    <w:rsid w:val="004E58F1"/>
    <w:rsid w:val="004E59E6"/>
    <w:rsid w:val="004E6050"/>
    <w:rsid w:val="004E60C1"/>
    <w:rsid w:val="004E688F"/>
    <w:rsid w:val="004E693F"/>
    <w:rsid w:val="004E7A71"/>
    <w:rsid w:val="004E7F32"/>
    <w:rsid w:val="004F02BE"/>
    <w:rsid w:val="004F067A"/>
    <w:rsid w:val="004F0C36"/>
    <w:rsid w:val="004F24F7"/>
    <w:rsid w:val="004F2569"/>
    <w:rsid w:val="004F342F"/>
    <w:rsid w:val="004F414F"/>
    <w:rsid w:val="004F4886"/>
    <w:rsid w:val="004F4E31"/>
    <w:rsid w:val="004F530D"/>
    <w:rsid w:val="004F53E4"/>
    <w:rsid w:val="004F5B5C"/>
    <w:rsid w:val="004F60D2"/>
    <w:rsid w:val="004F6540"/>
    <w:rsid w:val="004F6A6B"/>
    <w:rsid w:val="004F721B"/>
    <w:rsid w:val="004F7320"/>
    <w:rsid w:val="004F75CE"/>
    <w:rsid w:val="00500D7A"/>
    <w:rsid w:val="0050115F"/>
    <w:rsid w:val="00501259"/>
    <w:rsid w:val="00502C6D"/>
    <w:rsid w:val="00502F24"/>
    <w:rsid w:val="0050315D"/>
    <w:rsid w:val="0050318D"/>
    <w:rsid w:val="005037C5"/>
    <w:rsid w:val="005048DD"/>
    <w:rsid w:val="005048E9"/>
    <w:rsid w:val="0050494D"/>
    <w:rsid w:val="005049BA"/>
    <w:rsid w:val="00505976"/>
    <w:rsid w:val="00505ACA"/>
    <w:rsid w:val="00506501"/>
    <w:rsid w:val="00506888"/>
    <w:rsid w:val="00507D89"/>
    <w:rsid w:val="00510318"/>
    <w:rsid w:val="005103CA"/>
    <w:rsid w:val="00510750"/>
    <w:rsid w:val="0051116C"/>
    <w:rsid w:val="005116CF"/>
    <w:rsid w:val="005119B9"/>
    <w:rsid w:val="00512510"/>
    <w:rsid w:val="00512F85"/>
    <w:rsid w:val="00513A5B"/>
    <w:rsid w:val="00513C6B"/>
    <w:rsid w:val="00513E50"/>
    <w:rsid w:val="005153C3"/>
    <w:rsid w:val="0051543A"/>
    <w:rsid w:val="005155A0"/>
    <w:rsid w:val="00515C56"/>
    <w:rsid w:val="00515FFC"/>
    <w:rsid w:val="005160B7"/>
    <w:rsid w:val="00516CB1"/>
    <w:rsid w:val="0051761D"/>
    <w:rsid w:val="005201F3"/>
    <w:rsid w:val="00520C9C"/>
    <w:rsid w:val="00520D37"/>
    <w:rsid w:val="005218DD"/>
    <w:rsid w:val="005219E8"/>
    <w:rsid w:val="00521B67"/>
    <w:rsid w:val="00521ECD"/>
    <w:rsid w:val="00522FB2"/>
    <w:rsid w:val="005233C5"/>
    <w:rsid w:val="0052363D"/>
    <w:rsid w:val="0052399A"/>
    <w:rsid w:val="00523AE7"/>
    <w:rsid w:val="00523CD6"/>
    <w:rsid w:val="00525131"/>
    <w:rsid w:val="00525B7D"/>
    <w:rsid w:val="005260D5"/>
    <w:rsid w:val="00526C09"/>
    <w:rsid w:val="00526C84"/>
    <w:rsid w:val="00527C77"/>
    <w:rsid w:val="00527F1D"/>
    <w:rsid w:val="005307E2"/>
    <w:rsid w:val="005311D0"/>
    <w:rsid w:val="00531764"/>
    <w:rsid w:val="00531C5F"/>
    <w:rsid w:val="00531CC2"/>
    <w:rsid w:val="00531FBA"/>
    <w:rsid w:val="00532036"/>
    <w:rsid w:val="0053213A"/>
    <w:rsid w:val="00533B03"/>
    <w:rsid w:val="00534241"/>
    <w:rsid w:val="00534AD9"/>
    <w:rsid w:val="00534F89"/>
    <w:rsid w:val="00535297"/>
    <w:rsid w:val="0053549F"/>
    <w:rsid w:val="005363A9"/>
    <w:rsid w:val="00536D67"/>
    <w:rsid w:val="00536DC1"/>
    <w:rsid w:val="00536F62"/>
    <w:rsid w:val="0053702E"/>
    <w:rsid w:val="0053717E"/>
    <w:rsid w:val="00537EF3"/>
    <w:rsid w:val="0054023E"/>
    <w:rsid w:val="005408A4"/>
    <w:rsid w:val="00540E90"/>
    <w:rsid w:val="005410D2"/>
    <w:rsid w:val="0054138F"/>
    <w:rsid w:val="005413B5"/>
    <w:rsid w:val="005417C8"/>
    <w:rsid w:val="0054210B"/>
    <w:rsid w:val="005422F7"/>
    <w:rsid w:val="00542E5C"/>
    <w:rsid w:val="005430CA"/>
    <w:rsid w:val="00543730"/>
    <w:rsid w:val="00543D37"/>
    <w:rsid w:val="005447CC"/>
    <w:rsid w:val="005449D6"/>
    <w:rsid w:val="00544B44"/>
    <w:rsid w:val="00545366"/>
    <w:rsid w:val="005458EE"/>
    <w:rsid w:val="00545B73"/>
    <w:rsid w:val="005462CF"/>
    <w:rsid w:val="00547007"/>
    <w:rsid w:val="00547082"/>
    <w:rsid w:val="0054773E"/>
    <w:rsid w:val="00547D56"/>
    <w:rsid w:val="00550A4C"/>
    <w:rsid w:val="00551275"/>
    <w:rsid w:val="00551592"/>
    <w:rsid w:val="0055283E"/>
    <w:rsid w:val="00552A61"/>
    <w:rsid w:val="00553379"/>
    <w:rsid w:val="005540B3"/>
    <w:rsid w:val="00554346"/>
    <w:rsid w:val="00554896"/>
    <w:rsid w:val="0055518C"/>
    <w:rsid w:val="005559BF"/>
    <w:rsid w:val="0055664D"/>
    <w:rsid w:val="00556A4B"/>
    <w:rsid w:val="00557377"/>
    <w:rsid w:val="0056059D"/>
    <w:rsid w:val="00562AF4"/>
    <w:rsid w:val="00564A36"/>
    <w:rsid w:val="005654CF"/>
    <w:rsid w:val="00565EE6"/>
    <w:rsid w:val="0056605B"/>
    <w:rsid w:val="0056647E"/>
    <w:rsid w:val="00566BB4"/>
    <w:rsid w:val="00566C77"/>
    <w:rsid w:val="00567985"/>
    <w:rsid w:val="005719DF"/>
    <w:rsid w:val="005724F5"/>
    <w:rsid w:val="00573547"/>
    <w:rsid w:val="00573D4F"/>
    <w:rsid w:val="005749EA"/>
    <w:rsid w:val="00575674"/>
    <w:rsid w:val="00575969"/>
    <w:rsid w:val="00576263"/>
    <w:rsid w:val="005767A5"/>
    <w:rsid w:val="0057792E"/>
    <w:rsid w:val="00577AEC"/>
    <w:rsid w:val="00580219"/>
    <w:rsid w:val="005811F0"/>
    <w:rsid w:val="00581863"/>
    <w:rsid w:val="005820C6"/>
    <w:rsid w:val="00582601"/>
    <w:rsid w:val="005827A9"/>
    <w:rsid w:val="00582D4B"/>
    <w:rsid w:val="005842FB"/>
    <w:rsid w:val="005845FF"/>
    <w:rsid w:val="00584B5A"/>
    <w:rsid w:val="00584D09"/>
    <w:rsid w:val="00585C21"/>
    <w:rsid w:val="005861DD"/>
    <w:rsid w:val="00587538"/>
    <w:rsid w:val="005879A5"/>
    <w:rsid w:val="00587CC5"/>
    <w:rsid w:val="00587FA0"/>
    <w:rsid w:val="00590379"/>
    <w:rsid w:val="00590980"/>
    <w:rsid w:val="00591015"/>
    <w:rsid w:val="00591556"/>
    <w:rsid w:val="00592381"/>
    <w:rsid w:val="00593524"/>
    <w:rsid w:val="005944D5"/>
    <w:rsid w:val="005944FE"/>
    <w:rsid w:val="00594D82"/>
    <w:rsid w:val="005957C6"/>
    <w:rsid w:val="005961B9"/>
    <w:rsid w:val="005962C7"/>
    <w:rsid w:val="00596527"/>
    <w:rsid w:val="0059662F"/>
    <w:rsid w:val="005975DA"/>
    <w:rsid w:val="00597A54"/>
    <w:rsid w:val="005A0A82"/>
    <w:rsid w:val="005A0B2B"/>
    <w:rsid w:val="005A205C"/>
    <w:rsid w:val="005A2243"/>
    <w:rsid w:val="005A2D13"/>
    <w:rsid w:val="005A44D5"/>
    <w:rsid w:val="005A506E"/>
    <w:rsid w:val="005A53DA"/>
    <w:rsid w:val="005A614A"/>
    <w:rsid w:val="005A6770"/>
    <w:rsid w:val="005A6831"/>
    <w:rsid w:val="005A6CCA"/>
    <w:rsid w:val="005B0242"/>
    <w:rsid w:val="005B027B"/>
    <w:rsid w:val="005B03DF"/>
    <w:rsid w:val="005B04E2"/>
    <w:rsid w:val="005B0DFE"/>
    <w:rsid w:val="005B1317"/>
    <w:rsid w:val="005B15FC"/>
    <w:rsid w:val="005B1763"/>
    <w:rsid w:val="005B2474"/>
    <w:rsid w:val="005B318F"/>
    <w:rsid w:val="005B3950"/>
    <w:rsid w:val="005B3D0F"/>
    <w:rsid w:val="005B4192"/>
    <w:rsid w:val="005B43D0"/>
    <w:rsid w:val="005B44A2"/>
    <w:rsid w:val="005B4A75"/>
    <w:rsid w:val="005B64DA"/>
    <w:rsid w:val="005B69DC"/>
    <w:rsid w:val="005B711B"/>
    <w:rsid w:val="005B748E"/>
    <w:rsid w:val="005C0C96"/>
    <w:rsid w:val="005C1133"/>
    <w:rsid w:val="005C14A0"/>
    <w:rsid w:val="005C14E4"/>
    <w:rsid w:val="005C41C1"/>
    <w:rsid w:val="005C4A2D"/>
    <w:rsid w:val="005C6AC9"/>
    <w:rsid w:val="005C78CB"/>
    <w:rsid w:val="005D0080"/>
    <w:rsid w:val="005D029B"/>
    <w:rsid w:val="005D0720"/>
    <w:rsid w:val="005D08AD"/>
    <w:rsid w:val="005D0CBC"/>
    <w:rsid w:val="005D0F1B"/>
    <w:rsid w:val="005D15EB"/>
    <w:rsid w:val="005D16E2"/>
    <w:rsid w:val="005D17BD"/>
    <w:rsid w:val="005D217B"/>
    <w:rsid w:val="005D234A"/>
    <w:rsid w:val="005D292E"/>
    <w:rsid w:val="005D2DF7"/>
    <w:rsid w:val="005D473B"/>
    <w:rsid w:val="005D5236"/>
    <w:rsid w:val="005D597F"/>
    <w:rsid w:val="005D5AC7"/>
    <w:rsid w:val="005D5E3F"/>
    <w:rsid w:val="005D658A"/>
    <w:rsid w:val="005D67ED"/>
    <w:rsid w:val="005D6DB3"/>
    <w:rsid w:val="005D6EEE"/>
    <w:rsid w:val="005D7D78"/>
    <w:rsid w:val="005E07B3"/>
    <w:rsid w:val="005E0AF1"/>
    <w:rsid w:val="005E0E5D"/>
    <w:rsid w:val="005E0F7E"/>
    <w:rsid w:val="005E111A"/>
    <w:rsid w:val="005E1CA7"/>
    <w:rsid w:val="005E21FC"/>
    <w:rsid w:val="005E2339"/>
    <w:rsid w:val="005E2793"/>
    <w:rsid w:val="005E27AC"/>
    <w:rsid w:val="005E33B2"/>
    <w:rsid w:val="005E3871"/>
    <w:rsid w:val="005E3C96"/>
    <w:rsid w:val="005E40D7"/>
    <w:rsid w:val="005E4164"/>
    <w:rsid w:val="005E47CC"/>
    <w:rsid w:val="005E4B05"/>
    <w:rsid w:val="005E4DF1"/>
    <w:rsid w:val="005E52F9"/>
    <w:rsid w:val="005E55BC"/>
    <w:rsid w:val="005E7DE9"/>
    <w:rsid w:val="005E7EF6"/>
    <w:rsid w:val="005F021A"/>
    <w:rsid w:val="005F087A"/>
    <w:rsid w:val="005F0A29"/>
    <w:rsid w:val="005F144E"/>
    <w:rsid w:val="005F1F9E"/>
    <w:rsid w:val="005F2199"/>
    <w:rsid w:val="005F231B"/>
    <w:rsid w:val="005F34BC"/>
    <w:rsid w:val="005F3A63"/>
    <w:rsid w:val="005F3C1B"/>
    <w:rsid w:val="005F3D50"/>
    <w:rsid w:val="005F3E59"/>
    <w:rsid w:val="005F4387"/>
    <w:rsid w:val="005F43EB"/>
    <w:rsid w:val="005F4438"/>
    <w:rsid w:val="005F4B1E"/>
    <w:rsid w:val="005F5833"/>
    <w:rsid w:val="005F5A83"/>
    <w:rsid w:val="005F6692"/>
    <w:rsid w:val="005F7316"/>
    <w:rsid w:val="005F737C"/>
    <w:rsid w:val="005F790E"/>
    <w:rsid w:val="00600233"/>
    <w:rsid w:val="00600FA2"/>
    <w:rsid w:val="00601D8E"/>
    <w:rsid w:val="00602620"/>
    <w:rsid w:val="00602EF9"/>
    <w:rsid w:val="00603E59"/>
    <w:rsid w:val="0060421C"/>
    <w:rsid w:val="006050D9"/>
    <w:rsid w:val="0060651F"/>
    <w:rsid w:val="00606B3E"/>
    <w:rsid w:val="006107E7"/>
    <w:rsid w:val="00610C77"/>
    <w:rsid w:val="006115E9"/>
    <w:rsid w:val="00611D27"/>
    <w:rsid w:val="00611DA3"/>
    <w:rsid w:val="00611F07"/>
    <w:rsid w:val="00611FB3"/>
    <w:rsid w:val="00612744"/>
    <w:rsid w:val="0061286E"/>
    <w:rsid w:val="00612F02"/>
    <w:rsid w:val="00613079"/>
    <w:rsid w:val="00613868"/>
    <w:rsid w:val="00613A3C"/>
    <w:rsid w:val="00613D91"/>
    <w:rsid w:val="006143FA"/>
    <w:rsid w:val="00615CC5"/>
    <w:rsid w:val="006168F8"/>
    <w:rsid w:val="0061778E"/>
    <w:rsid w:val="006178A2"/>
    <w:rsid w:val="00617DFD"/>
    <w:rsid w:val="00621C23"/>
    <w:rsid w:val="00621F52"/>
    <w:rsid w:val="00621FD6"/>
    <w:rsid w:val="0062253F"/>
    <w:rsid w:val="006232DC"/>
    <w:rsid w:val="006233C2"/>
    <w:rsid w:val="0062390B"/>
    <w:rsid w:val="006243B3"/>
    <w:rsid w:val="00624660"/>
    <w:rsid w:val="00624C04"/>
    <w:rsid w:val="00624FD7"/>
    <w:rsid w:val="006252A2"/>
    <w:rsid w:val="006253B3"/>
    <w:rsid w:val="006254D3"/>
    <w:rsid w:val="00626407"/>
    <w:rsid w:val="00626816"/>
    <w:rsid w:val="00626A94"/>
    <w:rsid w:val="00626AA7"/>
    <w:rsid w:val="00630E22"/>
    <w:rsid w:val="00631415"/>
    <w:rsid w:val="006314F1"/>
    <w:rsid w:val="00631C06"/>
    <w:rsid w:val="00632116"/>
    <w:rsid w:val="006327B4"/>
    <w:rsid w:val="00634AFE"/>
    <w:rsid w:val="00635BB1"/>
    <w:rsid w:val="00635D72"/>
    <w:rsid w:val="00635E7A"/>
    <w:rsid w:val="0063786F"/>
    <w:rsid w:val="006379FB"/>
    <w:rsid w:val="00637E9B"/>
    <w:rsid w:val="006405D5"/>
    <w:rsid w:val="00640B70"/>
    <w:rsid w:val="00641802"/>
    <w:rsid w:val="00641880"/>
    <w:rsid w:val="00641FF4"/>
    <w:rsid w:val="0064367A"/>
    <w:rsid w:val="00643F71"/>
    <w:rsid w:val="00644250"/>
    <w:rsid w:val="00644900"/>
    <w:rsid w:val="00645B5B"/>
    <w:rsid w:val="00645CEA"/>
    <w:rsid w:val="00647678"/>
    <w:rsid w:val="006476C9"/>
    <w:rsid w:val="00647C00"/>
    <w:rsid w:val="0065059E"/>
    <w:rsid w:val="0065072E"/>
    <w:rsid w:val="00651940"/>
    <w:rsid w:val="00651CA2"/>
    <w:rsid w:val="00653653"/>
    <w:rsid w:val="0065379C"/>
    <w:rsid w:val="00654009"/>
    <w:rsid w:val="006551CA"/>
    <w:rsid w:val="00655C8A"/>
    <w:rsid w:val="0065628F"/>
    <w:rsid w:val="00656FC2"/>
    <w:rsid w:val="00662AE7"/>
    <w:rsid w:val="00663097"/>
    <w:rsid w:val="00663280"/>
    <w:rsid w:val="00663890"/>
    <w:rsid w:val="006648A4"/>
    <w:rsid w:val="00664CDE"/>
    <w:rsid w:val="00664F00"/>
    <w:rsid w:val="00665070"/>
    <w:rsid w:val="00665110"/>
    <w:rsid w:val="00665133"/>
    <w:rsid w:val="00665140"/>
    <w:rsid w:val="00665C7E"/>
    <w:rsid w:val="006662B3"/>
    <w:rsid w:val="006665E3"/>
    <w:rsid w:val="00666959"/>
    <w:rsid w:val="006671E6"/>
    <w:rsid w:val="00667394"/>
    <w:rsid w:val="00670D53"/>
    <w:rsid w:val="0067114E"/>
    <w:rsid w:val="00671511"/>
    <w:rsid w:val="00672242"/>
    <w:rsid w:val="00672380"/>
    <w:rsid w:val="0067242E"/>
    <w:rsid w:val="0067355D"/>
    <w:rsid w:val="00674261"/>
    <w:rsid w:val="006742E3"/>
    <w:rsid w:val="0067483E"/>
    <w:rsid w:val="00675797"/>
    <w:rsid w:val="0067586F"/>
    <w:rsid w:val="00675FB9"/>
    <w:rsid w:val="00676219"/>
    <w:rsid w:val="00676947"/>
    <w:rsid w:val="00676968"/>
    <w:rsid w:val="00677041"/>
    <w:rsid w:val="006778C4"/>
    <w:rsid w:val="006779C4"/>
    <w:rsid w:val="0068033A"/>
    <w:rsid w:val="00680ED9"/>
    <w:rsid w:val="00682749"/>
    <w:rsid w:val="0068376A"/>
    <w:rsid w:val="00683C58"/>
    <w:rsid w:val="00683DD8"/>
    <w:rsid w:val="006857AF"/>
    <w:rsid w:val="00685EEC"/>
    <w:rsid w:val="00686051"/>
    <w:rsid w:val="0068606E"/>
    <w:rsid w:val="00686D1D"/>
    <w:rsid w:val="00686FB1"/>
    <w:rsid w:val="006902C7"/>
    <w:rsid w:val="00691566"/>
    <w:rsid w:val="006916F3"/>
    <w:rsid w:val="0069209E"/>
    <w:rsid w:val="0069243E"/>
    <w:rsid w:val="006925C1"/>
    <w:rsid w:val="006926E1"/>
    <w:rsid w:val="00692BAC"/>
    <w:rsid w:val="00693983"/>
    <w:rsid w:val="006939CC"/>
    <w:rsid w:val="00693A41"/>
    <w:rsid w:val="00693B1B"/>
    <w:rsid w:val="00694188"/>
    <w:rsid w:val="00695E4A"/>
    <w:rsid w:val="006966D6"/>
    <w:rsid w:val="0069726E"/>
    <w:rsid w:val="006973ED"/>
    <w:rsid w:val="00697423"/>
    <w:rsid w:val="0069774E"/>
    <w:rsid w:val="006A0136"/>
    <w:rsid w:val="006A3732"/>
    <w:rsid w:val="006A39A7"/>
    <w:rsid w:val="006A45D3"/>
    <w:rsid w:val="006A4B7A"/>
    <w:rsid w:val="006A4BE4"/>
    <w:rsid w:val="006A57DF"/>
    <w:rsid w:val="006A628D"/>
    <w:rsid w:val="006A64FE"/>
    <w:rsid w:val="006A6538"/>
    <w:rsid w:val="006A6619"/>
    <w:rsid w:val="006A6EBC"/>
    <w:rsid w:val="006A6FF3"/>
    <w:rsid w:val="006A70CD"/>
    <w:rsid w:val="006A7236"/>
    <w:rsid w:val="006A7249"/>
    <w:rsid w:val="006A75C8"/>
    <w:rsid w:val="006B07E4"/>
    <w:rsid w:val="006B0854"/>
    <w:rsid w:val="006B0EDC"/>
    <w:rsid w:val="006B10DD"/>
    <w:rsid w:val="006B11BC"/>
    <w:rsid w:val="006B1BE4"/>
    <w:rsid w:val="006B1EB1"/>
    <w:rsid w:val="006B2BBF"/>
    <w:rsid w:val="006B2F16"/>
    <w:rsid w:val="006B2F89"/>
    <w:rsid w:val="006B30C4"/>
    <w:rsid w:val="006B3797"/>
    <w:rsid w:val="006B392D"/>
    <w:rsid w:val="006B3E32"/>
    <w:rsid w:val="006B4B24"/>
    <w:rsid w:val="006B4BF2"/>
    <w:rsid w:val="006B4DCE"/>
    <w:rsid w:val="006B5400"/>
    <w:rsid w:val="006B5B6D"/>
    <w:rsid w:val="006B676A"/>
    <w:rsid w:val="006B7524"/>
    <w:rsid w:val="006B78B8"/>
    <w:rsid w:val="006B7C8E"/>
    <w:rsid w:val="006B7F2E"/>
    <w:rsid w:val="006C01CB"/>
    <w:rsid w:val="006C0B92"/>
    <w:rsid w:val="006C0D2E"/>
    <w:rsid w:val="006C12B9"/>
    <w:rsid w:val="006C158C"/>
    <w:rsid w:val="006C2691"/>
    <w:rsid w:val="006C2A70"/>
    <w:rsid w:val="006C2FDE"/>
    <w:rsid w:val="006C3076"/>
    <w:rsid w:val="006C3892"/>
    <w:rsid w:val="006C3D64"/>
    <w:rsid w:val="006C4C00"/>
    <w:rsid w:val="006C5855"/>
    <w:rsid w:val="006C58CE"/>
    <w:rsid w:val="006C65FE"/>
    <w:rsid w:val="006C67B0"/>
    <w:rsid w:val="006C6EB0"/>
    <w:rsid w:val="006C7364"/>
    <w:rsid w:val="006C7FF8"/>
    <w:rsid w:val="006D02A0"/>
    <w:rsid w:val="006D0341"/>
    <w:rsid w:val="006D03DA"/>
    <w:rsid w:val="006D267C"/>
    <w:rsid w:val="006D4066"/>
    <w:rsid w:val="006D479A"/>
    <w:rsid w:val="006D5B6E"/>
    <w:rsid w:val="006D5C2E"/>
    <w:rsid w:val="006D5DD4"/>
    <w:rsid w:val="006D63EA"/>
    <w:rsid w:val="006D6791"/>
    <w:rsid w:val="006D7146"/>
    <w:rsid w:val="006D759B"/>
    <w:rsid w:val="006D7812"/>
    <w:rsid w:val="006D7E35"/>
    <w:rsid w:val="006E0C56"/>
    <w:rsid w:val="006E2097"/>
    <w:rsid w:val="006E2671"/>
    <w:rsid w:val="006E2C2D"/>
    <w:rsid w:val="006E31A9"/>
    <w:rsid w:val="006E3394"/>
    <w:rsid w:val="006E4A0D"/>
    <w:rsid w:val="006E6A29"/>
    <w:rsid w:val="006E6B99"/>
    <w:rsid w:val="006E7295"/>
    <w:rsid w:val="006E77E9"/>
    <w:rsid w:val="006E798C"/>
    <w:rsid w:val="006F0149"/>
    <w:rsid w:val="006F02AC"/>
    <w:rsid w:val="006F06F6"/>
    <w:rsid w:val="006F0C32"/>
    <w:rsid w:val="006F1CDE"/>
    <w:rsid w:val="006F2CC0"/>
    <w:rsid w:val="006F2EE5"/>
    <w:rsid w:val="006F36C8"/>
    <w:rsid w:val="006F3E32"/>
    <w:rsid w:val="006F405B"/>
    <w:rsid w:val="006F4B88"/>
    <w:rsid w:val="006F5DAE"/>
    <w:rsid w:val="006F6890"/>
    <w:rsid w:val="006F765E"/>
    <w:rsid w:val="00700F0C"/>
    <w:rsid w:val="0070102C"/>
    <w:rsid w:val="007018F4"/>
    <w:rsid w:val="007033FA"/>
    <w:rsid w:val="007034D5"/>
    <w:rsid w:val="0070388E"/>
    <w:rsid w:val="00704A55"/>
    <w:rsid w:val="007057CB"/>
    <w:rsid w:val="007060ED"/>
    <w:rsid w:val="0070642D"/>
    <w:rsid w:val="00706A5E"/>
    <w:rsid w:val="007073D9"/>
    <w:rsid w:val="00710239"/>
    <w:rsid w:val="00710A24"/>
    <w:rsid w:val="00711849"/>
    <w:rsid w:val="00712AFF"/>
    <w:rsid w:val="00712FDC"/>
    <w:rsid w:val="0071307C"/>
    <w:rsid w:val="00713D96"/>
    <w:rsid w:val="00714381"/>
    <w:rsid w:val="00714A1C"/>
    <w:rsid w:val="00716EF8"/>
    <w:rsid w:val="00717C12"/>
    <w:rsid w:val="007212B6"/>
    <w:rsid w:val="007222F7"/>
    <w:rsid w:val="007226EF"/>
    <w:rsid w:val="007228EF"/>
    <w:rsid w:val="0072454A"/>
    <w:rsid w:val="00724576"/>
    <w:rsid w:val="007246BB"/>
    <w:rsid w:val="00724D96"/>
    <w:rsid w:val="00726732"/>
    <w:rsid w:val="0072676D"/>
    <w:rsid w:val="00726E0A"/>
    <w:rsid w:val="00726E9E"/>
    <w:rsid w:val="0072754F"/>
    <w:rsid w:val="00727D9C"/>
    <w:rsid w:val="007301AD"/>
    <w:rsid w:val="007319EB"/>
    <w:rsid w:val="007326F3"/>
    <w:rsid w:val="007329A2"/>
    <w:rsid w:val="00732AD6"/>
    <w:rsid w:val="00732BCC"/>
    <w:rsid w:val="00733631"/>
    <w:rsid w:val="007336A9"/>
    <w:rsid w:val="00733A41"/>
    <w:rsid w:val="007340AC"/>
    <w:rsid w:val="0073439F"/>
    <w:rsid w:val="00734BF6"/>
    <w:rsid w:val="00735017"/>
    <w:rsid w:val="00736030"/>
    <w:rsid w:val="00736430"/>
    <w:rsid w:val="0073668C"/>
    <w:rsid w:val="007372E4"/>
    <w:rsid w:val="007407C1"/>
    <w:rsid w:val="00740DF5"/>
    <w:rsid w:val="0074198A"/>
    <w:rsid w:val="00742C11"/>
    <w:rsid w:val="0074341B"/>
    <w:rsid w:val="00743426"/>
    <w:rsid w:val="0074440E"/>
    <w:rsid w:val="0074452B"/>
    <w:rsid w:val="007448C4"/>
    <w:rsid w:val="0074553E"/>
    <w:rsid w:val="00745974"/>
    <w:rsid w:val="00745A63"/>
    <w:rsid w:val="00745F67"/>
    <w:rsid w:val="007464B9"/>
    <w:rsid w:val="0074700D"/>
    <w:rsid w:val="0074741D"/>
    <w:rsid w:val="007474C5"/>
    <w:rsid w:val="00747A86"/>
    <w:rsid w:val="007504B9"/>
    <w:rsid w:val="00751148"/>
    <w:rsid w:val="0075162B"/>
    <w:rsid w:val="00751B39"/>
    <w:rsid w:val="00752FED"/>
    <w:rsid w:val="0075389D"/>
    <w:rsid w:val="00753C2F"/>
    <w:rsid w:val="0075436E"/>
    <w:rsid w:val="00755981"/>
    <w:rsid w:val="00755C7F"/>
    <w:rsid w:val="00755F1C"/>
    <w:rsid w:val="007568FE"/>
    <w:rsid w:val="00756A4D"/>
    <w:rsid w:val="00757226"/>
    <w:rsid w:val="0076113B"/>
    <w:rsid w:val="007616EE"/>
    <w:rsid w:val="007617D9"/>
    <w:rsid w:val="00761B6E"/>
    <w:rsid w:val="00761FD8"/>
    <w:rsid w:val="00762FA9"/>
    <w:rsid w:val="0076337C"/>
    <w:rsid w:val="00763744"/>
    <w:rsid w:val="007645A8"/>
    <w:rsid w:val="007654B8"/>
    <w:rsid w:val="007654EA"/>
    <w:rsid w:val="00765BF5"/>
    <w:rsid w:val="00766099"/>
    <w:rsid w:val="007664A2"/>
    <w:rsid w:val="00767678"/>
    <w:rsid w:val="007678A6"/>
    <w:rsid w:val="007678D8"/>
    <w:rsid w:val="00767FEC"/>
    <w:rsid w:val="00770891"/>
    <w:rsid w:val="0077102C"/>
    <w:rsid w:val="007714DE"/>
    <w:rsid w:val="00771EAD"/>
    <w:rsid w:val="00772217"/>
    <w:rsid w:val="007725AD"/>
    <w:rsid w:val="00772D5C"/>
    <w:rsid w:val="00773927"/>
    <w:rsid w:val="00774CCF"/>
    <w:rsid w:val="00774F1A"/>
    <w:rsid w:val="007762C6"/>
    <w:rsid w:val="0077767B"/>
    <w:rsid w:val="007777B8"/>
    <w:rsid w:val="00777D3D"/>
    <w:rsid w:val="007800A6"/>
    <w:rsid w:val="00780F86"/>
    <w:rsid w:val="007816E1"/>
    <w:rsid w:val="00781781"/>
    <w:rsid w:val="00782EE7"/>
    <w:rsid w:val="0078357C"/>
    <w:rsid w:val="00783AFE"/>
    <w:rsid w:val="00783EA5"/>
    <w:rsid w:val="00783EF8"/>
    <w:rsid w:val="0078484C"/>
    <w:rsid w:val="007848EF"/>
    <w:rsid w:val="00784A05"/>
    <w:rsid w:val="00785ECC"/>
    <w:rsid w:val="00787E50"/>
    <w:rsid w:val="00787F31"/>
    <w:rsid w:val="00790614"/>
    <w:rsid w:val="00791935"/>
    <w:rsid w:val="007945D5"/>
    <w:rsid w:val="00795AA3"/>
    <w:rsid w:val="007979E8"/>
    <w:rsid w:val="007A0B41"/>
    <w:rsid w:val="007A1671"/>
    <w:rsid w:val="007A2649"/>
    <w:rsid w:val="007A32F9"/>
    <w:rsid w:val="007A3468"/>
    <w:rsid w:val="007A3646"/>
    <w:rsid w:val="007A4389"/>
    <w:rsid w:val="007A4661"/>
    <w:rsid w:val="007A5672"/>
    <w:rsid w:val="007A6F48"/>
    <w:rsid w:val="007B1378"/>
    <w:rsid w:val="007B2402"/>
    <w:rsid w:val="007B276E"/>
    <w:rsid w:val="007B2931"/>
    <w:rsid w:val="007B2FA7"/>
    <w:rsid w:val="007B3DD0"/>
    <w:rsid w:val="007B4E70"/>
    <w:rsid w:val="007B5901"/>
    <w:rsid w:val="007B5C25"/>
    <w:rsid w:val="007B6548"/>
    <w:rsid w:val="007B7662"/>
    <w:rsid w:val="007B7FA2"/>
    <w:rsid w:val="007C08F7"/>
    <w:rsid w:val="007C1128"/>
    <w:rsid w:val="007C1675"/>
    <w:rsid w:val="007C1810"/>
    <w:rsid w:val="007C25AE"/>
    <w:rsid w:val="007C2867"/>
    <w:rsid w:val="007C2EBF"/>
    <w:rsid w:val="007C3CC8"/>
    <w:rsid w:val="007C4023"/>
    <w:rsid w:val="007C4C99"/>
    <w:rsid w:val="007C4DE8"/>
    <w:rsid w:val="007C5402"/>
    <w:rsid w:val="007C5E3D"/>
    <w:rsid w:val="007C6684"/>
    <w:rsid w:val="007C69B9"/>
    <w:rsid w:val="007C6A81"/>
    <w:rsid w:val="007C7D1D"/>
    <w:rsid w:val="007C7F4B"/>
    <w:rsid w:val="007D03EE"/>
    <w:rsid w:val="007D0AD7"/>
    <w:rsid w:val="007D0E02"/>
    <w:rsid w:val="007D1D1E"/>
    <w:rsid w:val="007D23CC"/>
    <w:rsid w:val="007D3058"/>
    <w:rsid w:val="007D3B10"/>
    <w:rsid w:val="007D3C7D"/>
    <w:rsid w:val="007D462D"/>
    <w:rsid w:val="007D46FC"/>
    <w:rsid w:val="007D4903"/>
    <w:rsid w:val="007D54BD"/>
    <w:rsid w:val="007D5963"/>
    <w:rsid w:val="007D5C66"/>
    <w:rsid w:val="007D5FE7"/>
    <w:rsid w:val="007D7772"/>
    <w:rsid w:val="007D7B11"/>
    <w:rsid w:val="007D7FD1"/>
    <w:rsid w:val="007E05CA"/>
    <w:rsid w:val="007E0A04"/>
    <w:rsid w:val="007E0BDA"/>
    <w:rsid w:val="007E25AD"/>
    <w:rsid w:val="007E25EB"/>
    <w:rsid w:val="007E312D"/>
    <w:rsid w:val="007E3AF4"/>
    <w:rsid w:val="007E41AA"/>
    <w:rsid w:val="007E42E9"/>
    <w:rsid w:val="007E4880"/>
    <w:rsid w:val="007E4D6E"/>
    <w:rsid w:val="007E4EFC"/>
    <w:rsid w:val="007E52F9"/>
    <w:rsid w:val="007E5594"/>
    <w:rsid w:val="007E5858"/>
    <w:rsid w:val="007E5BA9"/>
    <w:rsid w:val="007E637C"/>
    <w:rsid w:val="007E6A18"/>
    <w:rsid w:val="007E6DD6"/>
    <w:rsid w:val="007E72DE"/>
    <w:rsid w:val="007F09F4"/>
    <w:rsid w:val="007F114F"/>
    <w:rsid w:val="007F1364"/>
    <w:rsid w:val="007F3BAA"/>
    <w:rsid w:val="007F47C9"/>
    <w:rsid w:val="007F4838"/>
    <w:rsid w:val="007F4A04"/>
    <w:rsid w:val="007F5BDF"/>
    <w:rsid w:val="007F647C"/>
    <w:rsid w:val="007F693F"/>
    <w:rsid w:val="007F6F6D"/>
    <w:rsid w:val="007F702F"/>
    <w:rsid w:val="007F74C1"/>
    <w:rsid w:val="008002E4"/>
    <w:rsid w:val="0080041B"/>
    <w:rsid w:val="008009C7"/>
    <w:rsid w:val="00800A0B"/>
    <w:rsid w:val="00800C1E"/>
    <w:rsid w:val="00800FFC"/>
    <w:rsid w:val="00802101"/>
    <w:rsid w:val="008025AC"/>
    <w:rsid w:val="0080275B"/>
    <w:rsid w:val="00802BD8"/>
    <w:rsid w:val="00802F81"/>
    <w:rsid w:val="00803FAC"/>
    <w:rsid w:val="00804E3D"/>
    <w:rsid w:val="00804F0A"/>
    <w:rsid w:val="00804F0F"/>
    <w:rsid w:val="00805079"/>
    <w:rsid w:val="008053A7"/>
    <w:rsid w:val="008062BE"/>
    <w:rsid w:val="00806EFB"/>
    <w:rsid w:val="00806F39"/>
    <w:rsid w:val="00807C6E"/>
    <w:rsid w:val="00810F42"/>
    <w:rsid w:val="00810FD1"/>
    <w:rsid w:val="00811E81"/>
    <w:rsid w:val="008120F6"/>
    <w:rsid w:val="00812759"/>
    <w:rsid w:val="00813446"/>
    <w:rsid w:val="008138A9"/>
    <w:rsid w:val="00813CA8"/>
    <w:rsid w:val="00813E8E"/>
    <w:rsid w:val="008141D7"/>
    <w:rsid w:val="00814574"/>
    <w:rsid w:val="0081496C"/>
    <w:rsid w:val="00816211"/>
    <w:rsid w:val="00817089"/>
    <w:rsid w:val="008218CD"/>
    <w:rsid w:val="00821E00"/>
    <w:rsid w:val="008228B8"/>
    <w:rsid w:val="008230C5"/>
    <w:rsid w:val="00824C09"/>
    <w:rsid w:val="00824EE3"/>
    <w:rsid w:val="00825299"/>
    <w:rsid w:val="00825328"/>
    <w:rsid w:val="0082535F"/>
    <w:rsid w:val="00826219"/>
    <w:rsid w:val="00827233"/>
    <w:rsid w:val="0082768B"/>
    <w:rsid w:val="008310E9"/>
    <w:rsid w:val="008312AD"/>
    <w:rsid w:val="0083222F"/>
    <w:rsid w:val="008334C2"/>
    <w:rsid w:val="00834C65"/>
    <w:rsid w:val="00834DAA"/>
    <w:rsid w:val="00834F0D"/>
    <w:rsid w:val="00835237"/>
    <w:rsid w:val="0083541D"/>
    <w:rsid w:val="0083595C"/>
    <w:rsid w:val="00835F09"/>
    <w:rsid w:val="0083634B"/>
    <w:rsid w:val="0083708A"/>
    <w:rsid w:val="00840116"/>
    <w:rsid w:val="00840D3F"/>
    <w:rsid w:val="00840DBE"/>
    <w:rsid w:val="008414F8"/>
    <w:rsid w:val="00841D42"/>
    <w:rsid w:val="008420D4"/>
    <w:rsid w:val="00842635"/>
    <w:rsid w:val="00843211"/>
    <w:rsid w:val="00844186"/>
    <w:rsid w:val="00844E7E"/>
    <w:rsid w:val="00844ECF"/>
    <w:rsid w:val="00845A92"/>
    <w:rsid w:val="00845CF6"/>
    <w:rsid w:val="00846541"/>
    <w:rsid w:val="00846D08"/>
    <w:rsid w:val="00846DE6"/>
    <w:rsid w:val="00847523"/>
    <w:rsid w:val="008501CC"/>
    <w:rsid w:val="00850D45"/>
    <w:rsid w:val="008516A6"/>
    <w:rsid w:val="0085217C"/>
    <w:rsid w:val="00852352"/>
    <w:rsid w:val="008523C2"/>
    <w:rsid w:val="0085269A"/>
    <w:rsid w:val="00852BA0"/>
    <w:rsid w:val="008539A7"/>
    <w:rsid w:val="00853A56"/>
    <w:rsid w:val="00855077"/>
    <w:rsid w:val="008553BC"/>
    <w:rsid w:val="0085560B"/>
    <w:rsid w:val="00856069"/>
    <w:rsid w:val="008562F1"/>
    <w:rsid w:val="00856C17"/>
    <w:rsid w:val="00857249"/>
    <w:rsid w:val="00857B0A"/>
    <w:rsid w:val="00857B3D"/>
    <w:rsid w:val="008603AC"/>
    <w:rsid w:val="00860E32"/>
    <w:rsid w:val="00862276"/>
    <w:rsid w:val="008623F8"/>
    <w:rsid w:val="00862BEF"/>
    <w:rsid w:val="00863576"/>
    <w:rsid w:val="00863FC5"/>
    <w:rsid w:val="00863FF7"/>
    <w:rsid w:val="00864BAC"/>
    <w:rsid w:val="00864E69"/>
    <w:rsid w:val="008658AA"/>
    <w:rsid w:val="00865932"/>
    <w:rsid w:val="00866174"/>
    <w:rsid w:val="0086662D"/>
    <w:rsid w:val="008669C1"/>
    <w:rsid w:val="00866B10"/>
    <w:rsid w:val="0086787C"/>
    <w:rsid w:val="0087033F"/>
    <w:rsid w:val="008703C4"/>
    <w:rsid w:val="008707C3"/>
    <w:rsid w:val="008708C1"/>
    <w:rsid w:val="00872820"/>
    <w:rsid w:val="00872CFA"/>
    <w:rsid w:val="0087302C"/>
    <w:rsid w:val="0087367C"/>
    <w:rsid w:val="00874271"/>
    <w:rsid w:val="008742E2"/>
    <w:rsid w:val="0087454A"/>
    <w:rsid w:val="0087527D"/>
    <w:rsid w:val="00875774"/>
    <w:rsid w:val="00875858"/>
    <w:rsid w:val="00875CF2"/>
    <w:rsid w:val="00876BC7"/>
    <w:rsid w:val="008771D2"/>
    <w:rsid w:val="008775A6"/>
    <w:rsid w:val="008776DA"/>
    <w:rsid w:val="00877A72"/>
    <w:rsid w:val="00877BBA"/>
    <w:rsid w:val="00877C31"/>
    <w:rsid w:val="0088057C"/>
    <w:rsid w:val="0088070C"/>
    <w:rsid w:val="00880D9A"/>
    <w:rsid w:val="00880FD6"/>
    <w:rsid w:val="0088115D"/>
    <w:rsid w:val="00881284"/>
    <w:rsid w:val="008814CC"/>
    <w:rsid w:val="00882EB5"/>
    <w:rsid w:val="00883A35"/>
    <w:rsid w:val="00885A90"/>
    <w:rsid w:val="00885D68"/>
    <w:rsid w:val="00886773"/>
    <w:rsid w:val="00887103"/>
    <w:rsid w:val="00887165"/>
    <w:rsid w:val="00887597"/>
    <w:rsid w:val="00887959"/>
    <w:rsid w:val="0089070A"/>
    <w:rsid w:val="0089090A"/>
    <w:rsid w:val="00890D28"/>
    <w:rsid w:val="008923B8"/>
    <w:rsid w:val="0089337C"/>
    <w:rsid w:val="00893528"/>
    <w:rsid w:val="008945F4"/>
    <w:rsid w:val="00894F19"/>
    <w:rsid w:val="008966BC"/>
    <w:rsid w:val="008969AF"/>
    <w:rsid w:val="008A0E83"/>
    <w:rsid w:val="008A1575"/>
    <w:rsid w:val="008A175C"/>
    <w:rsid w:val="008A1A4E"/>
    <w:rsid w:val="008A259A"/>
    <w:rsid w:val="008A3328"/>
    <w:rsid w:val="008A3AF4"/>
    <w:rsid w:val="008A3C68"/>
    <w:rsid w:val="008A3F11"/>
    <w:rsid w:val="008A4131"/>
    <w:rsid w:val="008A4280"/>
    <w:rsid w:val="008A44A2"/>
    <w:rsid w:val="008A4838"/>
    <w:rsid w:val="008A4F3E"/>
    <w:rsid w:val="008A6421"/>
    <w:rsid w:val="008A67BC"/>
    <w:rsid w:val="008A72CF"/>
    <w:rsid w:val="008A7D7F"/>
    <w:rsid w:val="008B0138"/>
    <w:rsid w:val="008B048D"/>
    <w:rsid w:val="008B2631"/>
    <w:rsid w:val="008B3D24"/>
    <w:rsid w:val="008B4E45"/>
    <w:rsid w:val="008B5BAF"/>
    <w:rsid w:val="008B6477"/>
    <w:rsid w:val="008B6E60"/>
    <w:rsid w:val="008B753C"/>
    <w:rsid w:val="008B7F46"/>
    <w:rsid w:val="008C06BD"/>
    <w:rsid w:val="008C111A"/>
    <w:rsid w:val="008C11AE"/>
    <w:rsid w:val="008C134B"/>
    <w:rsid w:val="008C1ECD"/>
    <w:rsid w:val="008C28E6"/>
    <w:rsid w:val="008C2FAF"/>
    <w:rsid w:val="008C366B"/>
    <w:rsid w:val="008C48A8"/>
    <w:rsid w:val="008C5B46"/>
    <w:rsid w:val="008C62A9"/>
    <w:rsid w:val="008C63D6"/>
    <w:rsid w:val="008C63DB"/>
    <w:rsid w:val="008C70A1"/>
    <w:rsid w:val="008D0705"/>
    <w:rsid w:val="008D0CE5"/>
    <w:rsid w:val="008D0FA8"/>
    <w:rsid w:val="008D143A"/>
    <w:rsid w:val="008D1ADD"/>
    <w:rsid w:val="008D230C"/>
    <w:rsid w:val="008D2DF1"/>
    <w:rsid w:val="008D36DB"/>
    <w:rsid w:val="008D4094"/>
    <w:rsid w:val="008D4166"/>
    <w:rsid w:val="008D4174"/>
    <w:rsid w:val="008D46D2"/>
    <w:rsid w:val="008D4B4F"/>
    <w:rsid w:val="008D6A9E"/>
    <w:rsid w:val="008D7304"/>
    <w:rsid w:val="008D78F0"/>
    <w:rsid w:val="008D7F41"/>
    <w:rsid w:val="008D7FAF"/>
    <w:rsid w:val="008E05B0"/>
    <w:rsid w:val="008E0C3D"/>
    <w:rsid w:val="008E0D8D"/>
    <w:rsid w:val="008E2295"/>
    <w:rsid w:val="008E24E4"/>
    <w:rsid w:val="008E2B2E"/>
    <w:rsid w:val="008E2D1D"/>
    <w:rsid w:val="008E33D2"/>
    <w:rsid w:val="008E463A"/>
    <w:rsid w:val="008E5586"/>
    <w:rsid w:val="008E5A0E"/>
    <w:rsid w:val="008E6109"/>
    <w:rsid w:val="008E610E"/>
    <w:rsid w:val="008E667F"/>
    <w:rsid w:val="008E6D4B"/>
    <w:rsid w:val="008E771A"/>
    <w:rsid w:val="008E77E3"/>
    <w:rsid w:val="008F0535"/>
    <w:rsid w:val="008F0E80"/>
    <w:rsid w:val="008F151F"/>
    <w:rsid w:val="008F18CE"/>
    <w:rsid w:val="008F1AA4"/>
    <w:rsid w:val="008F28BF"/>
    <w:rsid w:val="008F2AB7"/>
    <w:rsid w:val="008F2C43"/>
    <w:rsid w:val="008F2D02"/>
    <w:rsid w:val="008F2FD6"/>
    <w:rsid w:val="008F31DC"/>
    <w:rsid w:val="008F435A"/>
    <w:rsid w:val="008F50E4"/>
    <w:rsid w:val="008F5353"/>
    <w:rsid w:val="008F5413"/>
    <w:rsid w:val="008F5B01"/>
    <w:rsid w:val="008F5BDE"/>
    <w:rsid w:val="008F6291"/>
    <w:rsid w:val="008F63B2"/>
    <w:rsid w:val="008F6D39"/>
    <w:rsid w:val="008F7BF9"/>
    <w:rsid w:val="008F7E93"/>
    <w:rsid w:val="009006D0"/>
    <w:rsid w:val="0090084D"/>
    <w:rsid w:val="00900CDB"/>
    <w:rsid w:val="009023F1"/>
    <w:rsid w:val="009023F5"/>
    <w:rsid w:val="00902DDB"/>
    <w:rsid w:val="009035A4"/>
    <w:rsid w:val="00903B85"/>
    <w:rsid w:val="0090415B"/>
    <w:rsid w:val="00906159"/>
    <w:rsid w:val="0090631E"/>
    <w:rsid w:val="0090646F"/>
    <w:rsid w:val="0090769B"/>
    <w:rsid w:val="00907B98"/>
    <w:rsid w:val="00907C6B"/>
    <w:rsid w:val="00910195"/>
    <w:rsid w:val="00910335"/>
    <w:rsid w:val="009106A5"/>
    <w:rsid w:val="00912514"/>
    <w:rsid w:val="00912910"/>
    <w:rsid w:val="0091302A"/>
    <w:rsid w:val="00913134"/>
    <w:rsid w:val="00913879"/>
    <w:rsid w:val="009140A9"/>
    <w:rsid w:val="009158EE"/>
    <w:rsid w:val="00915B8D"/>
    <w:rsid w:val="00915BEF"/>
    <w:rsid w:val="009164A3"/>
    <w:rsid w:val="00916646"/>
    <w:rsid w:val="009167DC"/>
    <w:rsid w:val="00916F80"/>
    <w:rsid w:val="0092008F"/>
    <w:rsid w:val="00920C39"/>
    <w:rsid w:val="009212F1"/>
    <w:rsid w:val="009217A2"/>
    <w:rsid w:val="0092215E"/>
    <w:rsid w:val="009226DE"/>
    <w:rsid w:val="009233BF"/>
    <w:rsid w:val="009234A3"/>
    <w:rsid w:val="00923626"/>
    <w:rsid w:val="009239EF"/>
    <w:rsid w:val="00923B2C"/>
    <w:rsid w:val="0092403D"/>
    <w:rsid w:val="009241D2"/>
    <w:rsid w:val="00925BD0"/>
    <w:rsid w:val="00926365"/>
    <w:rsid w:val="00927325"/>
    <w:rsid w:val="00927C53"/>
    <w:rsid w:val="0093153E"/>
    <w:rsid w:val="00931A53"/>
    <w:rsid w:val="009333AF"/>
    <w:rsid w:val="00933E07"/>
    <w:rsid w:val="00934204"/>
    <w:rsid w:val="009344AD"/>
    <w:rsid w:val="00934DDC"/>
    <w:rsid w:val="00935240"/>
    <w:rsid w:val="00935551"/>
    <w:rsid w:val="00936D98"/>
    <w:rsid w:val="0093739E"/>
    <w:rsid w:val="0094088B"/>
    <w:rsid w:val="00940A41"/>
    <w:rsid w:val="00940AF2"/>
    <w:rsid w:val="00941B7D"/>
    <w:rsid w:val="00941C8F"/>
    <w:rsid w:val="009437C9"/>
    <w:rsid w:val="0094380E"/>
    <w:rsid w:val="0094454B"/>
    <w:rsid w:val="00944B45"/>
    <w:rsid w:val="00944FE1"/>
    <w:rsid w:val="0094509E"/>
    <w:rsid w:val="0094524E"/>
    <w:rsid w:val="0094537A"/>
    <w:rsid w:val="009459BB"/>
    <w:rsid w:val="009464A1"/>
    <w:rsid w:val="00947374"/>
    <w:rsid w:val="00947717"/>
    <w:rsid w:val="00947C70"/>
    <w:rsid w:val="00947D64"/>
    <w:rsid w:val="009502F8"/>
    <w:rsid w:val="00950743"/>
    <w:rsid w:val="00952AE4"/>
    <w:rsid w:val="00953157"/>
    <w:rsid w:val="00953B7C"/>
    <w:rsid w:val="00953EE8"/>
    <w:rsid w:val="009542AD"/>
    <w:rsid w:val="00954A7B"/>
    <w:rsid w:val="009550E9"/>
    <w:rsid w:val="009553FF"/>
    <w:rsid w:val="00955E47"/>
    <w:rsid w:val="0095647F"/>
    <w:rsid w:val="009565A4"/>
    <w:rsid w:val="0095677C"/>
    <w:rsid w:val="00956A94"/>
    <w:rsid w:val="009572FF"/>
    <w:rsid w:val="009604D1"/>
    <w:rsid w:val="00960550"/>
    <w:rsid w:val="009609E0"/>
    <w:rsid w:val="00961197"/>
    <w:rsid w:val="0096179E"/>
    <w:rsid w:val="00962A97"/>
    <w:rsid w:val="00962D26"/>
    <w:rsid w:val="00963125"/>
    <w:rsid w:val="009637BF"/>
    <w:rsid w:val="009640A5"/>
    <w:rsid w:val="009640B4"/>
    <w:rsid w:val="009640EF"/>
    <w:rsid w:val="00970E82"/>
    <w:rsid w:val="0097190B"/>
    <w:rsid w:val="00971AB5"/>
    <w:rsid w:val="00971ABA"/>
    <w:rsid w:val="00971E05"/>
    <w:rsid w:val="00972103"/>
    <w:rsid w:val="00973244"/>
    <w:rsid w:val="00973A8C"/>
    <w:rsid w:val="009743BF"/>
    <w:rsid w:val="009749D5"/>
    <w:rsid w:val="00975937"/>
    <w:rsid w:val="00975A61"/>
    <w:rsid w:val="00976333"/>
    <w:rsid w:val="0097656D"/>
    <w:rsid w:val="00976846"/>
    <w:rsid w:val="00977670"/>
    <w:rsid w:val="009777FF"/>
    <w:rsid w:val="00977EAE"/>
    <w:rsid w:val="00980880"/>
    <w:rsid w:val="009822F2"/>
    <w:rsid w:val="0098315B"/>
    <w:rsid w:val="00983602"/>
    <w:rsid w:val="00983924"/>
    <w:rsid w:val="00984145"/>
    <w:rsid w:val="009844F1"/>
    <w:rsid w:val="00985175"/>
    <w:rsid w:val="0098569B"/>
    <w:rsid w:val="009858CC"/>
    <w:rsid w:val="00985B0D"/>
    <w:rsid w:val="00985EAF"/>
    <w:rsid w:val="0098755F"/>
    <w:rsid w:val="00987D75"/>
    <w:rsid w:val="0099088E"/>
    <w:rsid w:val="00990B97"/>
    <w:rsid w:val="00990C0A"/>
    <w:rsid w:val="00990C1A"/>
    <w:rsid w:val="00992196"/>
    <w:rsid w:val="0099243F"/>
    <w:rsid w:val="00992468"/>
    <w:rsid w:val="009931D8"/>
    <w:rsid w:val="00993215"/>
    <w:rsid w:val="00993470"/>
    <w:rsid w:val="00993807"/>
    <w:rsid w:val="00993A28"/>
    <w:rsid w:val="0099434E"/>
    <w:rsid w:val="00994392"/>
    <w:rsid w:val="009950CF"/>
    <w:rsid w:val="0099582C"/>
    <w:rsid w:val="009A0F10"/>
    <w:rsid w:val="009A22A9"/>
    <w:rsid w:val="009A28D0"/>
    <w:rsid w:val="009A3EAE"/>
    <w:rsid w:val="009A418E"/>
    <w:rsid w:val="009A43A0"/>
    <w:rsid w:val="009A498B"/>
    <w:rsid w:val="009A4BF3"/>
    <w:rsid w:val="009A50E4"/>
    <w:rsid w:val="009A523A"/>
    <w:rsid w:val="009A536A"/>
    <w:rsid w:val="009A5801"/>
    <w:rsid w:val="009A6714"/>
    <w:rsid w:val="009A6FCF"/>
    <w:rsid w:val="009A7778"/>
    <w:rsid w:val="009B0356"/>
    <w:rsid w:val="009B117F"/>
    <w:rsid w:val="009B2F77"/>
    <w:rsid w:val="009B36D1"/>
    <w:rsid w:val="009B3A15"/>
    <w:rsid w:val="009B58AD"/>
    <w:rsid w:val="009B5B49"/>
    <w:rsid w:val="009B5F95"/>
    <w:rsid w:val="009B6842"/>
    <w:rsid w:val="009B6ABE"/>
    <w:rsid w:val="009B6CC1"/>
    <w:rsid w:val="009B6F24"/>
    <w:rsid w:val="009B712C"/>
    <w:rsid w:val="009C09FF"/>
    <w:rsid w:val="009C0FEB"/>
    <w:rsid w:val="009C16F7"/>
    <w:rsid w:val="009C1FEB"/>
    <w:rsid w:val="009C208D"/>
    <w:rsid w:val="009C23CC"/>
    <w:rsid w:val="009C25D6"/>
    <w:rsid w:val="009C3F89"/>
    <w:rsid w:val="009C489E"/>
    <w:rsid w:val="009C4BC7"/>
    <w:rsid w:val="009C6439"/>
    <w:rsid w:val="009C6AF8"/>
    <w:rsid w:val="009C7BDE"/>
    <w:rsid w:val="009C7EAE"/>
    <w:rsid w:val="009D0C54"/>
    <w:rsid w:val="009D132C"/>
    <w:rsid w:val="009D1745"/>
    <w:rsid w:val="009D1A29"/>
    <w:rsid w:val="009D281B"/>
    <w:rsid w:val="009D2B9C"/>
    <w:rsid w:val="009D2D8A"/>
    <w:rsid w:val="009D2EFB"/>
    <w:rsid w:val="009D307E"/>
    <w:rsid w:val="009D42CF"/>
    <w:rsid w:val="009D48F9"/>
    <w:rsid w:val="009D4986"/>
    <w:rsid w:val="009D5360"/>
    <w:rsid w:val="009D5B3F"/>
    <w:rsid w:val="009D66C7"/>
    <w:rsid w:val="009D6AA7"/>
    <w:rsid w:val="009E037F"/>
    <w:rsid w:val="009E0718"/>
    <w:rsid w:val="009E0731"/>
    <w:rsid w:val="009E1007"/>
    <w:rsid w:val="009E11DA"/>
    <w:rsid w:val="009E187C"/>
    <w:rsid w:val="009E18AD"/>
    <w:rsid w:val="009E1EBE"/>
    <w:rsid w:val="009E2156"/>
    <w:rsid w:val="009E25CE"/>
    <w:rsid w:val="009E25F0"/>
    <w:rsid w:val="009E2B03"/>
    <w:rsid w:val="009E2DFB"/>
    <w:rsid w:val="009E31AF"/>
    <w:rsid w:val="009E4120"/>
    <w:rsid w:val="009E41DB"/>
    <w:rsid w:val="009E4271"/>
    <w:rsid w:val="009E4425"/>
    <w:rsid w:val="009E44EE"/>
    <w:rsid w:val="009E488E"/>
    <w:rsid w:val="009E48B7"/>
    <w:rsid w:val="009E49E3"/>
    <w:rsid w:val="009E5914"/>
    <w:rsid w:val="009E5AAA"/>
    <w:rsid w:val="009E5CA4"/>
    <w:rsid w:val="009E5DA0"/>
    <w:rsid w:val="009E5ED1"/>
    <w:rsid w:val="009E6A0E"/>
    <w:rsid w:val="009E6E7E"/>
    <w:rsid w:val="009E7DEF"/>
    <w:rsid w:val="009F0294"/>
    <w:rsid w:val="009F0D9B"/>
    <w:rsid w:val="009F2CA0"/>
    <w:rsid w:val="009F3348"/>
    <w:rsid w:val="009F366F"/>
    <w:rsid w:val="009F4693"/>
    <w:rsid w:val="009F5287"/>
    <w:rsid w:val="009F5D5F"/>
    <w:rsid w:val="009F64F9"/>
    <w:rsid w:val="009F6C1F"/>
    <w:rsid w:val="009F6E24"/>
    <w:rsid w:val="009F7401"/>
    <w:rsid w:val="009F79E6"/>
    <w:rsid w:val="009F7A26"/>
    <w:rsid w:val="00A000DE"/>
    <w:rsid w:val="00A01109"/>
    <w:rsid w:val="00A021F9"/>
    <w:rsid w:val="00A032BE"/>
    <w:rsid w:val="00A03334"/>
    <w:rsid w:val="00A03AAE"/>
    <w:rsid w:val="00A03FB6"/>
    <w:rsid w:val="00A04265"/>
    <w:rsid w:val="00A04C7A"/>
    <w:rsid w:val="00A0793B"/>
    <w:rsid w:val="00A11891"/>
    <w:rsid w:val="00A119D5"/>
    <w:rsid w:val="00A11B1D"/>
    <w:rsid w:val="00A12AF1"/>
    <w:rsid w:val="00A12C99"/>
    <w:rsid w:val="00A1389F"/>
    <w:rsid w:val="00A13F42"/>
    <w:rsid w:val="00A14625"/>
    <w:rsid w:val="00A14EFB"/>
    <w:rsid w:val="00A1528B"/>
    <w:rsid w:val="00A16520"/>
    <w:rsid w:val="00A17999"/>
    <w:rsid w:val="00A17AA6"/>
    <w:rsid w:val="00A17BA4"/>
    <w:rsid w:val="00A17C84"/>
    <w:rsid w:val="00A20738"/>
    <w:rsid w:val="00A219D8"/>
    <w:rsid w:val="00A22DD2"/>
    <w:rsid w:val="00A22F99"/>
    <w:rsid w:val="00A2373F"/>
    <w:rsid w:val="00A25E39"/>
    <w:rsid w:val="00A26D12"/>
    <w:rsid w:val="00A26EF2"/>
    <w:rsid w:val="00A27640"/>
    <w:rsid w:val="00A27906"/>
    <w:rsid w:val="00A30001"/>
    <w:rsid w:val="00A309DB"/>
    <w:rsid w:val="00A31139"/>
    <w:rsid w:val="00A31568"/>
    <w:rsid w:val="00A32F48"/>
    <w:rsid w:val="00A3353B"/>
    <w:rsid w:val="00A33B93"/>
    <w:rsid w:val="00A340DA"/>
    <w:rsid w:val="00A358CC"/>
    <w:rsid w:val="00A35E6B"/>
    <w:rsid w:val="00A35EE8"/>
    <w:rsid w:val="00A360C3"/>
    <w:rsid w:val="00A365DA"/>
    <w:rsid w:val="00A36810"/>
    <w:rsid w:val="00A36A9D"/>
    <w:rsid w:val="00A36CA5"/>
    <w:rsid w:val="00A36D19"/>
    <w:rsid w:val="00A37D87"/>
    <w:rsid w:val="00A37E71"/>
    <w:rsid w:val="00A37FCB"/>
    <w:rsid w:val="00A40060"/>
    <w:rsid w:val="00A40285"/>
    <w:rsid w:val="00A4095E"/>
    <w:rsid w:val="00A40D51"/>
    <w:rsid w:val="00A40F9F"/>
    <w:rsid w:val="00A40FC6"/>
    <w:rsid w:val="00A41BBA"/>
    <w:rsid w:val="00A41C17"/>
    <w:rsid w:val="00A4212D"/>
    <w:rsid w:val="00A429F9"/>
    <w:rsid w:val="00A43442"/>
    <w:rsid w:val="00A43BF1"/>
    <w:rsid w:val="00A44689"/>
    <w:rsid w:val="00A449F0"/>
    <w:rsid w:val="00A44A41"/>
    <w:rsid w:val="00A456A8"/>
    <w:rsid w:val="00A45F71"/>
    <w:rsid w:val="00A45F7D"/>
    <w:rsid w:val="00A46722"/>
    <w:rsid w:val="00A46A0F"/>
    <w:rsid w:val="00A46FF9"/>
    <w:rsid w:val="00A5003F"/>
    <w:rsid w:val="00A5054F"/>
    <w:rsid w:val="00A50E1E"/>
    <w:rsid w:val="00A510D2"/>
    <w:rsid w:val="00A51141"/>
    <w:rsid w:val="00A51C69"/>
    <w:rsid w:val="00A51EA3"/>
    <w:rsid w:val="00A52D4B"/>
    <w:rsid w:val="00A5349B"/>
    <w:rsid w:val="00A54090"/>
    <w:rsid w:val="00A540E6"/>
    <w:rsid w:val="00A54567"/>
    <w:rsid w:val="00A54D2B"/>
    <w:rsid w:val="00A553A7"/>
    <w:rsid w:val="00A556E5"/>
    <w:rsid w:val="00A5653F"/>
    <w:rsid w:val="00A56A03"/>
    <w:rsid w:val="00A56B3D"/>
    <w:rsid w:val="00A600C3"/>
    <w:rsid w:val="00A604A5"/>
    <w:rsid w:val="00A612FC"/>
    <w:rsid w:val="00A61F9A"/>
    <w:rsid w:val="00A624D3"/>
    <w:rsid w:val="00A62C08"/>
    <w:rsid w:val="00A62CC7"/>
    <w:rsid w:val="00A62E42"/>
    <w:rsid w:val="00A6347E"/>
    <w:rsid w:val="00A63E37"/>
    <w:rsid w:val="00A64797"/>
    <w:rsid w:val="00A64AE7"/>
    <w:rsid w:val="00A650C4"/>
    <w:rsid w:val="00A651C2"/>
    <w:rsid w:val="00A651D4"/>
    <w:rsid w:val="00A65D6C"/>
    <w:rsid w:val="00A65FE6"/>
    <w:rsid w:val="00A66AF2"/>
    <w:rsid w:val="00A66D92"/>
    <w:rsid w:val="00A67352"/>
    <w:rsid w:val="00A6767D"/>
    <w:rsid w:val="00A67A1E"/>
    <w:rsid w:val="00A702F7"/>
    <w:rsid w:val="00A70353"/>
    <w:rsid w:val="00A70B24"/>
    <w:rsid w:val="00A71933"/>
    <w:rsid w:val="00A71C97"/>
    <w:rsid w:val="00A71F52"/>
    <w:rsid w:val="00A72123"/>
    <w:rsid w:val="00A722E3"/>
    <w:rsid w:val="00A72D9A"/>
    <w:rsid w:val="00A73AAD"/>
    <w:rsid w:val="00A73D6B"/>
    <w:rsid w:val="00A74450"/>
    <w:rsid w:val="00A76468"/>
    <w:rsid w:val="00A77FBA"/>
    <w:rsid w:val="00A80335"/>
    <w:rsid w:val="00A80373"/>
    <w:rsid w:val="00A810AB"/>
    <w:rsid w:val="00A81FB7"/>
    <w:rsid w:val="00A82B9F"/>
    <w:rsid w:val="00A82E1A"/>
    <w:rsid w:val="00A83B49"/>
    <w:rsid w:val="00A83BAF"/>
    <w:rsid w:val="00A83D18"/>
    <w:rsid w:val="00A849AB"/>
    <w:rsid w:val="00A85021"/>
    <w:rsid w:val="00A856E8"/>
    <w:rsid w:val="00A85BCE"/>
    <w:rsid w:val="00A868DE"/>
    <w:rsid w:val="00A86E31"/>
    <w:rsid w:val="00A87808"/>
    <w:rsid w:val="00A87EC8"/>
    <w:rsid w:val="00A908D0"/>
    <w:rsid w:val="00A90AD1"/>
    <w:rsid w:val="00A90BDD"/>
    <w:rsid w:val="00A91406"/>
    <w:rsid w:val="00A92223"/>
    <w:rsid w:val="00A939C1"/>
    <w:rsid w:val="00A939EF"/>
    <w:rsid w:val="00A9424E"/>
    <w:rsid w:val="00A94F63"/>
    <w:rsid w:val="00A95AF7"/>
    <w:rsid w:val="00A95BC4"/>
    <w:rsid w:val="00A9683D"/>
    <w:rsid w:val="00A96F4F"/>
    <w:rsid w:val="00A97A04"/>
    <w:rsid w:val="00A97A97"/>
    <w:rsid w:val="00A97FD7"/>
    <w:rsid w:val="00AA004F"/>
    <w:rsid w:val="00AA135C"/>
    <w:rsid w:val="00AA1EF9"/>
    <w:rsid w:val="00AA3442"/>
    <w:rsid w:val="00AA34D3"/>
    <w:rsid w:val="00AA459C"/>
    <w:rsid w:val="00AA464B"/>
    <w:rsid w:val="00AA4D35"/>
    <w:rsid w:val="00AA500A"/>
    <w:rsid w:val="00AA5D42"/>
    <w:rsid w:val="00AA5F1E"/>
    <w:rsid w:val="00AA658F"/>
    <w:rsid w:val="00AA679A"/>
    <w:rsid w:val="00AA6973"/>
    <w:rsid w:val="00AA6B04"/>
    <w:rsid w:val="00AA6B7F"/>
    <w:rsid w:val="00AB1140"/>
    <w:rsid w:val="00AB1506"/>
    <w:rsid w:val="00AB1640"/>
    <w:rsid w:val="00AB272A"/>
    <w:rsid w:val="00AB2819"/>
    <w:rsid w:val="00AB2B43"/>
    <w:rsid w:val="00AB367D"/>
    <w:rsid w:val="00AB3B15"/>
    <w:rsid w:val="00AB4540"/>
    <w:rsid w:val="00AB4719"/>
    <w:rsid w:val="00AB4B6A"/>
    <w:rsid w:val="00AB52F4"/>
    <w:rsid w:val="00AB6260"/>
    <w:rsid w:val="00AB6AD0"/>
    <w:rsid w:val="00AB75F2"/>
    <w:rsid w:val="00AB7A1E"/>
    <w:rsid w:val="00AC050E"/>
    <w:rsid w:val="00AC06E8"/>
    <w:rsid w:val="00AC0C74"/>
    <w:rsid w:val="00AC0FAE"/>
    <w:rsid w:val="00AC1820"/>
    <w:rsid w:val="00AC194B"/>
    <w:rsid w:val="00AC21C3"/>
    <w:rsid w:val="00AC21DD"/>
    <w:rsid w:val="00AC2EC1"/>
    <w:rsid w:val="00AC3D25"/>
    <w:rsid w:val="00AC40A3"/>
    <w:rsid w:val="00AC4C61"/>
    <w:rsid w:val="00AC5807"/>
    <w:rsid w:val="00AC5833"/>
    <w:rsid w:val="00AC595C"/>
    <w:rsid w:val="00AC648E"/>
    <w:rsid w:val="00AC65AD"/>
    <w:rsid w:val="00AC69B0"/>
    <w:rsid w:val="00AC6D83"/>
    <w:rsid w:val="00AC7A50"/>
    <w:rsid w:val="00AD0135"/>
    <w:rsid w:val="00AD14FC"/>
    <w:rsid w:val="00AD1C06"/>
    <w:rsid w:val="00AD1D64"/>
    <w:rsid w:val="00AD1FFC"/>
    <w:rsid w:val="00AD2601"/>
    <w:rsid w:val="00AD27B7"/>
    <w:rsid w:val="00AD3617"/>
    <w:rsid w:val="00AD4374"/>
    <w:rsid w:val="00AD4502"/>
    <w:rsid w:val="00AD4873"/>
    <w:rsid w:val="00AD4F3C"/>
    <w:rsid w:val="00AD7CC0"/>
    <w:rsid w:val="00AE1618"/>
    <w:rsid w:val="00AE19DB"/>
    <w:rsid w:val="00AE1A05"/>
    <w:rsid w:val="00AE1F6F"/>
    <w:rsid w:val="00AE346E"/>
    <w:rsid w:val="00AE3FAD"/>
    <w:rsid w:val="00AE410D"/>
    <w:rsid w:val="00AE45F6"/>
    <w:rsid w:val="00AE4604"/>
    <w:rsid w:val="00AE4968"/>
    <w:rsid w:val="00AE5B71"/>
    <w:rsid w:val="00AE6695"/>
    <w:rsid w:val="00AE6A2F"/>
    <w:rsid w:val="00AF098D"/>
    <w:rsid w:val="00AF11A9"/>
    <w:rsid w:val="00AF138F"/>
    <w:rsid w:val="00AF1FDC"/>
    <w:rsid w:val="00AF2148"/>
    <w:rsid w:val="00AF23A3"/>
    <w:rsid w:val="00AF3253"/>
    <w:rsid w:val="00AF44FD"/>
    <w:rsid w:val="00AF4B41"/>
    <w:rsid w:val="00AF52A3"/>
    <w:rsid w:val="00AF6993"/>
    <w:rsid w:val="00AF69BC"/>
    <w:rsid w:val="00AF7386"/>
    <w:rsid w:val="00AF7786"/>
    <w:rsid w:val="00AF7881"/>
    <w:rsid w:val="00B00CF7"/>
    <w:rsid w:val="00B00DC2"/>
    <w:rsid w:val="00B01C1C"/>
    <w:rsid w:val="00B027CA"/>
    <w:rsid w:val="00B028D8"/>
    <w:rsid w:val="00B02B42"/>
    <w:rsid w:val="00B041CF"/>
    <w:rsid w:val="00B041FF"/>
    <w:rsid w:val="00B04339"/>
    <w:rsid w:val="00B04C0F"/>
    <w:rsid w:val="00B05544"/>
    <w:rsid w:val="00B05C7C"/>
    <w:rsid w:val="00B05CC4"/>
    <w:rsid w:val="00B0628E"/>
    <w:rsid w:val="00B0724D"/>
    <w:rsid w:val="00B07ADD"/>
    <w:rsid w:val="00B10489"/>
    <w:rsid w:val="00B108B0"/>
    <w:rsid w:val="00B1130E"/>
    <w:rsid w:val="00B11336"/>
    <w:rsid w:val="00B113EF"/>
    <w:rsid w:val="00B114F2"/>
    <w:rsid w:val="00B11706"/>
    <w:rsid w:val="00B11BB2"/>
    <w:rsid w:val="00B121BF"/>
    <w:rsid w:val="00B12792"/>
    <w:rsid w:val="00B12B40"/>
    <w:rsid w:val="00B13AC9"/>
    <w:rsid w:val="00B1412B"/>
    <w:rsid w:val="00B153C4"/>
    <w:rsid w:val="00B1568A"/>
    <w:rsid w:val="00B161AB"/>
    <w:rsid w:val="00B163B9"/>
    <w:rsid w:val="00B16881"/>
    <w:rsid w:val="00B16BB7"/>
    <w:rsid w:val="00B16E1C"/>
    <w:rsid w:val="00B17238"/>
    <w:rsid w:val="00B2003B"/>
    <w:rsid w:val="00B214E4"/>
    <w:rsid w:val="00B2156F"/>
    <w:rsid w:val="00B217B7"/>
    <w:rsid w:val="00B2192D"/>
    <w:rsid w:val="00B2196D"/>
    <w:rsid w:val="00B22057"/>
    <w:rsid w:val="00B223A3"/>
    <w:rsid w:val="00B225AF"/>
    <w:rsid w:val="00B23136"/>
    <w:rsid w:val="00B24962"/>
    <w:rsid w:val="00B257B5"/>
    <w:rsid w:val="00B261C1"/>
    <w:rsid w:val="00B26434"/>
    <w:rsid w:val="00B268BF"/>
    <w:rsid w:val="00B26CA2"/>
    <w:rsid w:val="00B270C4"/>
    <w:rsid w:val="00B2765E"/>
    <w:rsid w:val="00B27EE6"/>
    <w:rsid w:val="00B302D5"/>
    <w:rsid w:val="00B30500"/>
    <w:rsid w:val="00B30592"/>
    <w:rsid w:val="00B3061B"/>
    <w:rsid w:val="00B30905"/>
    <w:rsid w:val="00B310F8"/>
    <w:rsid w:val="00B3119D"/>
    <w:rsid w:val="00B31697"/>
    <w:rsid w:val="00B32435"/>
    <w:rsid w:val="00B32A2F"/>
    <w:rsid w:val="00B32B1B"/>
    <w:rsid w:val="00B33750"/>
    <w:rsid w:val="00B33D58"/>
    <w:rsid w:val="00B3419C"/>
    <w:rsid w:val="00B34B94"/>
    <w:rsid w:val="00B362BA"/>
    <w:rsid w:val="00B36F4E"/>
    <w:rsid w:val="00B37F10"/>
    <w:rsid w:val="00B401BC"/>
    <w:rsid w:val="00B4030F"/>
    <w:rsid w:val="00B404CC"/>
    <w:rsid w:val="00B4063E"/>
    <w:rsid w:val="00B40E0E"/>
    <w:rsid w:val="00B41669"/>
    <w:rsid w:val="00B41AB2"/>
    <w:rsid w:val="00B41D02"/>
    <w:rsid w:val="00B4232A"/>
    <w:rsid w:val="00B43442"/>
    <w:rsid w:val="00B442D5"/>
    <w:rsid w:val="00B44764"/>
    <w:rsid w:val="00B44BC7"/>
    <w:rsid w:val="00B44F6C"/>
    <w:rsid w:val="00B45484"/>
    <w:rsid w:val="00B4594E"/>
    <w:rsid w:val="00B45E71"/>
    <w:rsid w:val="00B47F5D"/>
    <w:rsid w:val="00B5114D"/>
    <w:rsid w:val="00B516C7"/>
    <w:rsid w:val="00B5170E"/>
    <w:rsid w:val="00B51CF6"/>
    <w:rsid w:val="00B51DB9"/>
    <w:rsid w:val="00B52C06"/>
    <w:rsid w:val="00B541A0"/>
    <w:rsid w:val="00B56438"/>
    <w:rsid w:val="00B569D7"/>
    <w:rsid w:val="00B56A44"/>
    <w:rsid w:val="00B575CD"/>
    <w:rsid w:val="00B57704"/>
    <w:rsid w:val="00B61D56"/>
    <w:rsid w:val="00B61EBD"/>
    <w:rsid w:val="00B62479"/>
    <w:rsid w:val="00B62FB4"/>
    <w:rsid w:val="00B63265"/>
    <w:rsid w:val="00B6349B"/>
    <w:rsid w:val="00B63B5C"/>
    <w:rsid w:val="00B63F04"/>
    <w:rsid w:val="00B649BA"/>
    <w:rsid w:val="00B64CB6"/>
    <w:rsid w:val="00B64DF8"/>
    <w:rsid w:val="00B66332"/>
    <w:rsid w:val="00B66E8B"/>
    <w:rsid w:val="00B67BAF"/>
    <w:rsid w:val="00B71012"/>
    <w:rsid w:val="00B710B7"/>
    <w:rsid w:val="00B711CC"/>
    <w:rsid w:val="00B714E2"/>
    <w:rsid w:val="00B7190C"/>
    <w:rsid w:val="00B71B55"/>
    <w:rsid w:val="00B71EB6"/>
    <w:rsid w:val="00B7238E"/>
    <w:rsid w:val="00B72458"/>
    <w:rsid w:val="00B732C1"/>
    <w:rsid w:val="00B736EA"/>
    <w:rsid w:val="00B73C17"/>
    <w:rsid w:val="00B740F5"/>
    <w:rsid w:val="00B74328"/>
    <w:rsid w:val="00B744F1"/>
    <w:rsid w:val="00B75242"/>
    <w:rsid w:val="00B75B20"/>
    <w:rsid w:val="00B75F07"/>
    <w:rsid w:val="00B75F5D"/>
    <w:rsid w:val="00B779C4"/>
    <w:rsid w:val="00B77D16"/>
    <w:rsid w:val="00B8035D"/>
    <w:rsid w:val="00B8088D"/>
    <w:rsid w:val="00B80B92"/>
    <w:rsid w:val="00B8120B"/>
    <w:rsid w:val="00B8124B"/>
    <w:rsid w:val="00B81C03"/>
    <w:rsid w:val="00B81C2E"/>
    <w:rsid w:val="00B81E14"/>
    <w:rsid w:val="00B822A1"/>
    <w:rsid w:val="00B82745"/>
    <w:rsid w:val="00B82CCB"/>
    <w:rsid w:val="00B848F9"/>
    <w:rsid w:val="00B853E6"/>
    <w:rsid w:val="00B854AD"/>
    <w:rsid w:val="00B854E5"/>
    <w:rsid w:val="00B8551D"/>
    <w:rsid w:val="00B85BEE"/>
    <w:rsid w:val="00B86346"/>
    <w:rsid w:val="00B86AD3"/>
    <w:rsid w:val="00B86BA3"/>
    <w:rsid w:val="00B86D15"/>
    <w:rsid w:val="00B86E3B"/>
    <w:rsid w:val="00B87263"/>
    <w:rsid w:val="00B87451"/>
    <w:rsid w:val="00B8750D"/>
    <w:rsid w:val="00B87A5F"/>
    <w:rsid w:val="00B87D0B"/>
    <w:rsid w:val="00B909C2"/>
    <w:rsid w:val="00B90BF6"/>
    <w:rsid w:val="00B91C95"/>
    <w:rsid w:val="00B922FB"/>
    <w:rsid w:val="00B928D4"/>
    <w:rsid w:val="00B93249"/>
    <w:rsid w:val="00B935F7"/>
    <w:rsid w:val="00B94447"/>
    <w:rsid w:val="00B948AA"/>
    <w:rsid w:val="00B950EB"/>
    <w:rsid w:val="00B951ED"/>
    <w:rsid w:val="00B953F0"/>
    <w:rsid w:val="00B95948"/>
    <w:rsid w:val="00B96122"/>
    <w:rsid w:val="00B96DF9"/>
    <w:rsid w:val="00B97A5E"/>
    <w:rsid w:val="00BA28EF"/>
    <w:rsid w:val="00BA3216"/>
    <w:rsid w:val="00BA32FA"/>
    <w:rsid w:val="00BA356D"/>
    <w:rsid w:val="00BA3B6D"/>
    <w:rsid w:val="00BA3BAD"/>
    <w:rsid w:val="00BA425B"/>
    <w:rsid w:val="00BA4A7B"/>
    <w:rsid w:val="00BA6358"/>
    <w:rsid w:val="00BA67B0"/>
    <w:rsid w:val="00BA6CF3"/>
    <w:rsid w:val="00BA6D32"/>
    <w:rsid w:val="00BA6FE7"/>
    <w:rsid w:val="00BA7510"/>
    <w:rsid w:val="00BA79D9"/>
    <w:rsid w:val="00BA7CD1"/>
    <w:rsid w:val="00BB08D8"/>
    <w:rsid w:val="00BB0BAC"/>
    <w:rsid w:val="00BB0FD7"/>
    <w:rsid w:val="00BB2BDC"/>
    <w:rsid w:val="00BB3E58"/>
    <w:rsid w:val="00BB407A"/>
    <w:rsid w:val="00BB4A9E"/>
    <w:rsid w:val="00BB58AF"/>
    <w:rsid w:val="00BB600E"/>
    <w:rsid w:val="00BB6625"/>
    <w:rsid w:val="00BB6A31"/>
    <w:rsid w:val="00BB6B6F"/>
    <w:rsid w:val="00BB7238"/>
    <w:rsid w:val="00BB7CA6"/>
    <w:rsid w:val="00BC062B"/>
    <w:rsid w:val="00BC06CE"/>
    <w:rsid w:val="00BC0C3D"/>
    <w:rsid w:val="00BC0C9C"/>
    <w:rsid w:val="00BC0E73"/>
    <w:rsid w:val="00BC137D"/>
    <w:rsid w:val="00BC179C"/>
    <w:rsid w:val="00BC187D"/>
    <w:rsid w:val="00BC1C44"/>
    <w:rsid w:val="00BC1CEC"/>
    <w:rsid w:val="00BC34E2"/>
    <w:rsid w:val="00BC3C18"/>
    <w:rsid w:val="00BC3C52"/>
    <w:rsid w:val="00BC4F2E"/>
    <w:rsid w:val="00BC57BD"/>
    <w:rsid w:val="00BC6377"/>
    <w:rsid w:val="00BC6F2D"/>
    <w:rsid w:val="00BD034A"/>
    <w:rsid w:val="00BD074D"/>
    <w:rsid w:val="00BD0C21"/>
    <w:rsid w:val="00BD2267"/>
    <w:rsid w:val="00BD2379"/>
    <w:rsid w:val="00BD2969"/>
    <w:rsid w:val="00BD2EBC"/>
    <w:rsid w:val="00BD324E"/>
    <w:rsid w:val="00BD3305"/>
    <w:rsid w:val="00BD34BD"/>
    <w:rsid w:val="00BD43F9"/>
    <w:rsid w:val="00BD4835"/>
    <w:rsid w:val="00BD52DD"/>
    <w:rsid w:val="00BD6953"/>
    <w:rsid w:val="00BD6AB7"/>
    <w:rsid w:val="00BD759C"/>
    <w:rsid w:val="00BD75F1"/>
    <w:rsid w:val="00BD77B2"/>
    <w:rsid w:val="00BD786B"/>
    <w:rsid w:val="00BD7BA9"/>
    <w:rsid w:val="00BD7C09"/>
    <w:rsid w:val="00BE0373"/>
    <w:rsid w:val="00BE05AE"/>
    <w:rsid w:val="00BE0F2E"/>
    <w:rsid w:val="00BE1D14"/>
    <w:rsid w:val="00BE220D"/>
    <w:rsid w:val="00BE25FE"/>
    <w:rsid w:val="00BE279B"/>
    <w:rsid w:val="00BE345F"/>
    <w:rsid w:val="00BE3DE9"/>
    <w:rsid w:val="00BE4A83"/>
    <w:rsid w:val="00BE4E3E"/>
    <w:rsid w:val="00BE4FEB"/>
    <w:rsid w:val="00BE5491"/>
    <w:rsid w:val="00BE561B"/>
    <w:rsid w:val="00BE596D"/>
    <w:rsid w:val="00BE5D64"/>
    <w:rsid w:val="00BE5EBB"/>
    <w:rsid w:val="00BF102A"/>
    <w:rsid w:val="00BF164F"/>
    <w:rsid w:val="00BF17F8"/>
    <w:rsid w:val="00BF1A84"/>
    <w:rsid w:val="00BF1F7C"/>
    <w:rsid w:val="00BF2494"/>
    <w:rsid w:val="00BF30F0"/>
    <w:rsid w:val="00BF37F3"/>
    <w:rsid w:val="00BF3F7D"/>
    <w:rsid w:val="00BF3FBD"/>
    <w:rsid w:val="00BF4517"/>
    <w:rsid w:val="00BF4C93"/>
    <w:rsid w:val="00BF53F4"/>
    <w:rsid w:val="00BF60C1"/>
    <w:rsid w:val="00BF69D3"/>
    <w:rsid w:val="00BF6A0F"/>
    <w:rsid w:val="00BF6FD9"/>
    <w:rsid w:val="00BF7B07"/>
    <w:rsid w:val="00C002ED"/>
    <w:rsid w:val="00C005F7"/>
    <w:rsid w:val="00C00CF7"/>
    <w:rsid w:val="00C010DE"/>
    <w:rsid w:val="00C018BB"/>
    <w:rsid w:val="00C0234F"/>
    <w:rsid w:val="00C02C4A"/>
    <w:rsid w:val="00C03069"/>
    <w:rsid w:val="00C031A9"/>
    <w:rsid w:val="00C03581"/>
    <w:rsid w:val="00C03EC5"/>
    <w:rsid w:val="00C04DCB"/>
    <w:rsid w:val="00C0560B"/>
    <w:rsid w:val="00C058C3"/>
    <w:rsid w:val="00C05C40"/>
    <w:rsid w:val="00C05C5A"/>
    <w:rsid w:val="00C05D09"/>
    <w:rsid w:val="00C05D6C"/>
    <w:rsid w:val="00C075CA"/>
    <w:rsid w:val="00C077A9"/>
    <w:rsid w:val="00C07D49"/>
    <w:rsid w:val="00C104FE"/>
    <w:rsid w:val="00C10660"/>
    <w:rsid w:val="00C1084D"/>
    <w:rsid w:val="00C10A0A"/>
    <w:rsid w:val="00C10DF0"/>
    <w:rsid w:val="00C12B0E"/>
    <w:rsid w:val="00C1358B"/>
    <w:rsid w:val="00C136B2"/>
    <w:rsid w:val="00C144DC"/>
    <w:rsid w:val="00C1451D"/>
    <w:rsid w:val="00C14780"/>
    <w:rsid w:val="00C14C8F"/>
    <w:rsid w:val="00C14DA5"/>
    <w:rsid w:val="00C15679"/>
    <w:rsid w:val="00C16175"/>
    <w:rsid w:val="00C174C9"/>
    <w:rsid w:val="00C177EF"/>
    <w:rsid w:val="00C17C7C"/>
    <w:rsid w:val="00C201C3"/>
    <w:rsid w:val="00C2081A"/>
    <w:rsid w:val="00C208AD"/>
    <w:rsid w:val="00C20F7C"/>
    <w:rsid w:val="00C21056"/>
    <w:rsid w:val="00C21383"/>
    <w:rsid w:val="00C21786"/>
    <w:rsid w:val="00C230C3"/>
    <w:rsid w:val="00C23E95"/>
    <w:rsid w:val="00C260ED"/>
    <w:rsid w:val="00C2656A"/>
    <w:rsid w:val="00C26920"/>
    <w:rsid w:val="00C26DA1"/>
    <w:rsid w:val="00C26F53"/>
    <w:rsid w:val="00C270EA"/>
    <w:rsid w:val="00C27B69"/>
    <w:rsid w:val="00C30551"/>
    <w:rsid w:val="00C3098B"/>
    <w:rsid w:val="00C30E94"/>
    <w:rsid w:val="00C312CF"/>
    <w:rsid w:val="00C3215C"/>
    <w:rsid w:val="00C328C1"/>
    <w:rsid w:val="00C32938"/>
    <w:rsid w:val="00C33352"/>
    <w:rsid w:val="00C33610"/>
    <w:rsid w:val="00C33BE6"/>
    <w:rsid w:val="00C33E8C"/>
    <w:rsid w:val="00C34525"/>
    <w:rsid w:val="00C34552"/>
    <w:rsid w:val="00C357C9"/>
    <w:rsid w:val="00C35ED8"/>
    <w:rsid w:val="00C3620B"/>
    <w:rsid w:val="00C36AE4"/>
    <w:rsid w:val="00C372B5"/>
    <w:rsid w:val="00C379C2"/>
    <w:rsid w:val="00C37BF0"/>
    <w:rsid w:val="00C40BB2"/>
    <w:rsid w:val="00C40C43"/>
    <w:rsid w:val="00C40F6F"/>
    <w:rsid w:val="00C413F3"/>
    <w:rsid w:val="00C41DD8"/>
    <w:rsid w:val="00C429D1"/>
    <w:rsid w:val="00C44497"/>
    <w:rsid w:val="00C44580"/>
    <w:rsid w:val="00C45690"/>
    <w:rsid w:val="00C45AE0"/>
    <w:rsid w:val="00C45F27"/>
    <w:rsid w:val="00C461FC"/>
    <w:rsid w:val="00C46ECF"/>
    <w:rsid w:val="00C47B08"/>
    <w:rsid w:val="00C47EA5"/>
    <w:rsid w:val="00C50BF9"/>
    <w:rsid w:val="00C50CF1"/>
    <w:rsid w:val="00C5170D"/>
    <w:rsid w:val="00C51DAA"/>
    <w:rsid w:val="00C52658"/>
    <w:rsid w:val="00C528E3"/>
    <w:rsid w:val="00C52D45"/>
    <w:rsid w:val="00C53A1D"/>
    <w:rsid w:val="00C53E6A"/>
    <w:rsid w:val="00C54850"/>
    <w:rsid w:val="00C54B8E"/>
    <w:rsid w:val="00C5512A"/>
    <w:rsid w:val="00C55570"/>
    <w:rsid w:val="00C55D37"/>
    <w:rsid w:val="00C561D9"/>
    <w:rsid w:val="00C5733B"/>
    <w:rsid w:val="00C57798"/>
    <w:rsid w:val="00C600E3"/>
    <w:rsid w:val="00C60FA3"/>
    <w:rsid w:val="00C61283"/>
    <w:rsid w:val="00C61AF3"/>
    <w:rsid w:val="00C61DA6"/>
    <w:rsid w:val="00C6262C"/>
    <w:rsid w:val="00C62643"/>
    <w:rsid w:val="00C645F2"/>
    <w:rsid w:val="00C6525C"/>
    <w:rsid w:val="00C6575B"/>
    <w:rsid w:val="00C66682"/>
    <w:rsid w:val="00C669A2"/>
    <w:rsid w:val="00C66A06"/>
    <w:rsid w:val="00C66D31"/>
    <w:rsid w:val="00C66D6A"/>
    <w:rsid w:val="00C66DD5"/>
    <w:rsid w:val="00C671F2"/>
    <w:rsid w:val="00C6723F"/>
    <w:rsid w:val="00C67B3B"/>
    <w:rsid w:val="00C71215"/>
    <w:rsid w:val="00C7151E"/>
    <w:rsid w:val="00C718A1"/>
    <w:rsid w:val="00C72295"/>
    <w:rsid w:val="00C73CF1"/>
    <w:rsid w:val="00C74651"/>
    <w:rsid w:val="00C7534E"/>
    <w:rsid w:val="00C755C9"/>
    <w:rsid w:val="00C756F4"/>
    <w:rsid w:val="00C75848"/>
    <w:rsid w:val="00C771AB"/>
    <w:rsid w:val="00C7737F"/>
    <w:rsid w:val="00C77776"/>
    <w:rsid w:val="00C77792"/>
    <w:rsid w:val="00C77A60"/>
    <w:rsid w:val="00C80638"/>
    <w:rsid w:val="00C809F0"/>
    <w:rsid w:val="00C80C1D"/>
    <w:rsid w:val="00C81562"/>
    <w:rsid w:val="00C81769"/>
    <w:rsid w:val="00C824B0"/>
    <w:rsid w:val="00C82791"/>
    <w:rsid w:val="00C82DE2"/>
    <w:rsid w:val="00C832CB"/>
    <w:rsid w:val="00C83F81"/>
    <w:rsid w:val="00C85027"/>
    <w:rsid w:val="00C8612B"/>
    <w:rsid w:val="00C911A3"/>
    <w:rsid w:val="00C91C52"/>
    <w:rsid w:val="00C923B6"/>
    <w:rsid w:val="00C932AB"/>
    <w:rsid w:val="00C93A69"/>
    <w:rsid w:val="00C94753"/>
    <w:rsid w:val="00C9546A"/>
    <w:rsid w:val="00C954E7"/>
    <w:rsid w:val="00C95840"/>
    <w:rsid w:val="00C96606"/>
    <w:rsid w:val="00C97109"/>
    <w:rsid w:val="00C9790E"/>
    <w:rsid w:val="00CA003F"/>
    <w:rsid w:val="00CA1B04"/>
    <w:rsid w:val="00CA2733"/>
    <w:rsid w:val="00CA3B30"/>
    <w:rsid w:val="00CA3DC1"/>
    <w:rsid w:val="00CA4EF2"/>
    <w:rsid w:val="00CA699C"/>
    <w:rsid w:val="00CA6A31"/>
    <w:rsid w:val="00CA7142"/>
    <w:rsid w:val="00CA7278"/>
    <w:rsid w:val="00CA72AB"/>
    <w:rsid w:val="00CA7532"/>
    <w:rsid w:val="00CA76F4"/>
    <w:rsid w:val="00CB0EAA"/>
    <w:rsid w:val="00CB2DE3"/>
    <w:rsid w:val="00CB3909"/>
    <w:rsid w:val="00CB441B"/>
    <w:rsid w:val="00CB471C"/>
    <w:rsid w:val="00CB4B08"/>
    <w:rsid w:val="00CB510E"/>
    <w:rsid w:val="00CB6202"/>
    <w:rsid w:val="00CB73F4"/>
    <w:rsid w:val="00CB7E28"/>
    <w:rsid w:val="00CB7FF8"/>
    <w:rsid w:val="00CC0004"/>
    <w:rsid w:val="00CC0EB2"/>
    <w:rsid w:val="00CC1B2D"/>
    <w:rsid w:val="00CC2879"/>
    <w:rsid w:val="00CC311D"/>
    <w:rsid w:val="00CC3647"/>
    <w:rsid w:val="00CC3CD2"/>
    <w:rsid w:val="00CC43DE"/>
    <w:rsid w:val="00CC50BF"/>
    <w:rsid w:val="00CC5C00"/>
    <w:rsid w:val="00CC7316"/>
    <w:rsid w:val="00CC760E"/>
    <w:rsid w:val="00CC7A2C"/>
    <w:rsid w:val="00CC7B47"/>
    <w:rsid w:val="00CC7E85"/>
    <w:rsid w:val="00CD2079"/>
    <w:rsid w:val="00CD233E"/>
    <w:rsid w:val="00CD2605"/>
    <w:rsid w:val="00CD3BFB"/>
    <w:rsid w:val="00CD477B"/>
    <w:rsid w:val="00CD4EC7"/>
    <w:rsid w:val="00CD687F"/>
    <w:rsid w:val="00CD7CBD"/>
    <w:rsid w:val="00CD7D6B"/>
    <w:rsid w:val="00CE08BA"/>
    <w:rsid w:val="00CE1232"/>
    <w:rsid w:val="00CE15F1"/>
    <w:rsid w:val="00CE1B4E"/>
    <w:rsid w:val="00CE1B72"/>
    <w:rsid w:val="00CE1EDD"/>
    <w:rsid w:val="00CE228A"/>
    <w:rsid w:val="00CE2D82"/>
    <w:rsid w:val="00CE3C55"/>
    <w:rsid w:val="00CE5880"/>
    <w:rsid w:val="00CE5D50"/>
    <w:rsid w:val="00CE654A"/>
    <w:rsid w:val="00CE7433"/>
    <w:rsid w:val="00CE7B7A"/>
    <w:rsid w:val="00CF0983"/>
    <w:rsid w:val="00CF158E"/>
    <w:rsid w:val="00CF19DF"/>
    <w:rsid w:val="00CF1A7F"/>
    <w:rsid w:val="00CF1B54"/>
    <w:rsid w:val="00CF1C8B"/>
    <w:rsid w:val="00CF338D"/>
    <w:rsid w:val="00CF457B"/>
    <w:rsid w:val="00CF49C0"/>
    <w:rsid w:val="00CF4A7D"/>
    <w:rsid w:val="00CF4BA0"/>
    <w:rsid w:val="00CF51B3"/>
    <w:rsid w:val="00CF52F3"/>
    <w:rsid w:val="00CF550C"/>
    <w:rsid w:val="00CF56C6"/>
    <w:rsid w:val="00CF582C"/>
    <w:rsid w:val="00CF5CA7"/>
    <w:rsid w:val="00CF5F97"/>
    <w:rsid w:val="00CF6256"/>
    <w:rsid w:val="00CF78D3"/>
    <w:rsid w:val="00CF7C76"/>
    <w:rsid w:val="00CF7E95"/>
    <w:rsid w:val="00CF7F2F"/>
    <w:rsid w:val="00CF7F4C"/>
    <w:rsid w:val="00CF7F7A"/>
    <w:rsid w:val="00D00674"/>
    <w:rsid w:val="00D00B28"/>
    <w:rsid w:val="00D00F9C"/>
    <w:rsid w:val="00D012F1"/>
    <w:rsid w:val="00D018E0"/>
    <w:rsid w:val="00D01A43"/>
    <w:rsid w:val="00D01B57"/>
    <w:rsid w:val="00D01C00"/>
    <w:rsid w:val="00D01F6C"/>
    <w:rsid w:val="00D029DA"/>
    <w:rsid w:val="00D02F88"/>
    <w:rsid w:val="00D033F4"/>
    <w:rsid w:val="00D038F7"/>
    <w:rsid w:val="00D03C60"/>
    <w:rsid w:val="00D0460F"/>
    <w:rsid w:val="00D05CE4"/>
    <w:rsid w:val="00D062AF"/>
    <w:rsid w:val="00D06490"/>
    <w:rsid w:val="00D06744"/>
    <w:rsid w:val="00D06FF7"/>
    <w:rsid w:val="00D07C6B"/>
    <w:rsid w:val="00D106C0"/>
    <w:rsid w:val="00D1087B"/>
    <w:rsid w:val="00D11296"/>
    <w:rsid w:val="00D114F6"/>
    <w:rsid w:val="00D12488"/>
    <w:rsid w:val="00D13FDE"/>
    <w:rsid w:val="00D140D9"/>
    <w:rsid w:val="00D14950"/>
    <w:rsid w:val="00D14A57"/>
    <w:rsid w:val="00D1530E"/>
    <w:rsid w:val="00D15631"/>
    <w:rsid w:val="00D15F99"/>
    <w:rsid w:val="00D175C6"/>
    <w:rsid w:val="00D17776"/>
    <w:rsid w:val="00D1781D"/>
    <w:rsid w:val="00D17A5D"/>
    <w:rsid w:val="00D20594"/>
    <w:rsid w:val="00D20935"/>
    <w:rsid w:val="00D21319"/>
    <w:rsid w:val="00D21322"/>
    <w:rsid w:val="00D2186E"/>
    <w:rsid w:val="00D226F8"/>
    <w:rsid w:val="00D22DA6"/>
    <w:rsid w:val="00D230DF"/>
    <w:rsid w:val="00D23945"/>
    <w:rsid w:val="00D23C55"/>
    <w:rsid w:val="00D245A1"/>
    <w:rsid w:val="00D25575"/>
    <w:rsid w:val="00D25957"/>
    <w:rsid w:val="00D25CFE"/>
    <w:rsid w:val="00D25F0E"/>
    <w:rsid w:val="00D25F14"/>
    <w:rsid w:val="00D2611D"/>
    <w:rsid w:val="00D26B59"/>
    <w:rsid w:val="00D26EFC"/>
    <w:rsid w:val="00D27A83"/>
    <w:rsid w:val="00D300E6"/>
    <w:rsid w:val="00D30E1F"/>
    <w:rsid w:val="00D30EA9"/>
    <w:rsid w:val="00D312DD"/>
    <w:rsid w:val="00D31500"/>
    <w:rsid w:val="00D3154D"/>
    <w:rsid w:val="00D31980"/>
    <w:rsid w:val="00D31DED"/>
    <w:rsid w:val="00D31EA4"/>
    <w:rsid w:val="00D323E7"/>
    <w:rsid w:val="00D3287C"/>
    <w:rsid w:val="00D328AD"/>
    <w:rsid w:val="00D32CF5"/>
    <w:rsid w:val="00D32DC6"/>
    <w:rsid w:val="00D3308E"/>
    <w:rsid w:val="00D33A58"/>
    <w:rsid w:val="00D3477A"/>
    <w:rsid w:val="00D3487D"/>
    <w:rsid w:val="00D34DB2"/>
    <w:rsid w:val="00D34EF6"/>
    <w:rsid w:val="00D359D2"/>
    <w:rsid w:val="00D3676F"/>
    <w:rsid w:val="00D36E3E"/>
    <w:rsid w:val="00D3739F"/>
    <w:rsid w:val="00D37E87"/>
    <w:rsid w:val="00D40119"/>
    <w:rsid w:val="00D4183D"/>
    <w:rsid w:val="00D41C3A"/>
    <w:rsid w:val="00D42065"/>
    <w:rsid w:val="00D42730"/>
    <w:rsid w:val="00D43095"/>
    <w:rsid w:val="00D4313D"/>
    <w:rsid w:val="00D43803"/>
    <w:rsid w:val="00D43BE8"/>
    <w:rsid w:val="00D44ADA"/>
    <w:rsid w:val="00D44E2E"/>
    <w:rsid w:val="00D4532D"/>
    <w:rsid w:val="00D45518"/>
    <w:rsid w:val="00D458BF"/>
    <w:rsid w:val="00D45C86"/>
    <w:rsid w:val="00D46C2D"/>
    <w:rsid w:val="00D47509"/>
    <w:rsid w:val="00D47840"/>
    <w:rsid w:val="00D5106F"/>
    <w:rsid w:val="00D51BEA"/>
    <w:rsid w:val="00D51D4A"/>
    <w:rsid w:val="00D52515"/>
    <w:rsid w:val="00D52705"/>
    <w:rsid w:val="00D53B4F"/>
    <w:rsid w:val="00D53FCD"/>
    <w:rsid w:val="00D54688"/>
    <w:rsid w:val="00D54D51"/>
    <w:rsid w:val="00D5503C"/>
    <w:rsid w:val="00D550F3"/>
    <w:rsid w:val="00D55221"/>
    <w:rsid w:val="00D55548"/>
    <w:rsid w:val="00D55DD7"/>
    <w:rsid w:val="00D5622B"/>
    <w:rsid w:val="00D56736"/>
    <w:rsid w:val="00D56E7F"/>
    <w:rsid w:val="00D56FF7"/>
    <w:rsid w:val="00D605F2"/>
    <w:rsid w:val="00D60C5A"/>
    <w:rsid w:val="00D60EC2"/>
    <w:rsid w:val="00D614EC"/>
    <w:rsid w:val="00D61892"/>
    <w:rsid w:val="00D62199"/>
    <w:rsid w:val="00D6227C"/>
    <w:rsid w:val="00D635F3"/>
    <w:rsid w:val="00D639EA"/>
    <w:rsid w:val="00D63AAD"/>
    <w:rsid w:val="00D64E40"/>
    <w:rsid w:val="00D64F1E"/>
    <w:rsid w:val="00D655EA"/>
    <w:rsid w:val="00D659B1"/>
    <w:rsid w:val="00D66284"/>
    <w:rsid w:val="00D66767"/>
    <w:rsid w:val="00D66893"/>
    <w:rsid w:val="00D66ACF"/>
    <w:rsid w:val="00D66AEB"/>
    <w:rsid w:val="00D675FE"/>
    <w:rsid w:val="00D676E2"/>
    <w:rsid w:val="00D678D0"/>
    <w:rsid w:val="00D67C70"/>
    <w:rsid w:val="00D70080"/>
    <w:rsid w:val="00D700D5"/>
    <w:rsid w:val="00D70279"/>
    <w:rsid w:val="00D709F7"/>
    <w:rsid w:val="00D70DA7"/>
    <w:rsid w:val="00D714A5"/>
    <w:rsid w:val="00D7279E"/>
    <w:rsid w:val="00D72D8D"/>
    <w:rsid w:val="00D72E8F"/>
    <w:rsid w:val="00D73548"/>
    <w:rsid w:val="00D739F2"/>
    <w:rsid w:val="00D73EA7"/>
    <w:rsid w:val="00D7410E"/>
    <w:rsid w:val="00D7468D"/>
    <w:rsid w:val="00D75387"/>
    <w:rsid w:val="00D762DF"/>
    <w:rsid w:val="00D77774"/>
    <w:rsid w:val="00D77941"/>
    <w:rsid w:val="00D77B62"/>
    <w:rsid w:val="00D77B8F"/>
    <w:rsid w:val="00D77D81"/>
    <w:rsid w:val="00D80551"/>
    <w:rsid w:val="00D80AC9"/>
    <w:rsid w:val="00D81343"/>
    <w:rsid w:val="00D8135D"/>
    <w:rsid w:val="00D81612"/>
    <w:rsid w:val="00D81634"/>
    <w:rsid w:val="00D818D4"/>
    <w:rsid w:val="00D81D51"/>
    <w:rsid w:val="00D82F31"/>
    <w:rsid w:val="00D8323F"/>
    <w:rsid w:val="00D83C2C"/>
    <w:rsid w:val="00D849F4"/>
    <w:rsid w:val="00D85B0F"/>
    <w:rsid w:val="00D8654D"/>
    <w:rsid w:val="00D86666"/>
    <w:rsid w:val="00D86B6B"/>
    <w:rsid w:val="00D86FE9"/>
    <w:rsid w:val="00D876D5"/>
    <w:rsid w:val="00D87AAD"/>
    <w:rsid w:val="00D90B98"/>
    <w:rsid w:val="00D90F52"/>
    <w:rsid w:val="00D91777"/>
    <w:rsid w:val="00D91AE0"/>
    <w:rsid w:val="00D91ED3"/>
    <w:rsid w:val="00D92402"/>
    <w:rsid w:val="00D9244F"/>
    <w:rsid w:val="00D92984"/>
    <w:rsid w:val="00D9363C"/>
    <w:rsid w:val="00D93948"/>
    <w:rsid w:val="00D93AA7"/>
    <w:rsid w:val="00D93CA8"/>
    <w:rsid w:val="00D943D6"/>
    <w:rsid w:val="00D9479B"/>
    <w:rsid w:val="00D9529F"/>
    <w:rsid w:val="00D9549C"/>
    <w:rsid w:val="00D956F0"/>
    <w:rsid w:val="00D963BF"/>
    <w:rsid w:val="00D963FF"/>
    <w:rsid w:val="00DA0EC0"/>
    <w:rsid w:val="00DA1504"/>
    <w:rsid w:val="00DA1A54"/>
    <w:rsid w:val="00DA2122"/>
    <w:rsid w:val="00DA2589"/>
    <w:rsid w:val="00DA2FB9"/>
    <w:rsid w:val="00DA319B"/>
    <w:rsid w:val="00DA34E3"/>
    <w:rsid w:val="00DA3EC8"/>
    <w:rsid w:val="00DA65FD"/>
    <w:rsid w:val="00DA67AE"/>
    <w:rsid w:val="00DA72A3"/>
    <w:rsid w:val="00DA79E5"/>
    <w:rsid w:val="00DB04AC"/>
    <w:rsid w:val="00DB0DE8"/>
    <w:rsid w:val="00DB13E1"/>
    <w:rsid w:val="00DB199D"/>
    <w:rsid w:val="00DB4D6C"/>
    <w:rsid w:val="00DB5D3D"/>
    <w:rsid w:val="00DB5E62"/>
    <w:rsid w:val="00DB5F85"/>
    <w:rsid w:val="00DB791F"/>
    <w:rsid w:val="00DC06EA"/>
    <w:rsid w:val="00DC1202"/>
    <w:rsid w:val="00DC23B1"/>
    <w:rsid w:val="00DC290A"/>
    <w:rsid w:val="00DC2A6C"/>
    <w:rsid w:val="00DC3944"/>
    <w:rsid w:val="00DC3F3B"/>
    <w:rsid w:val="00DC6E6F"/>
    <w:rsid w:val="00DD007C"/>
    <w:rsid w:val="00DD1A12"/>
    <w:rsid w:val="00DD1A4A"/>
    <w:rsid w:val="00DD1C46"/>
    <w:rsid w:val="00DD1F8F"/>
    <w:rsid w:val="00DD3001"/>
    <w:rsid w:val="00DD52B1"/>
    <w:rsid w:val="00DD6602"/>
    <w:rsid w:val="00DD6724"/>
    <w:rsid w:val="00DE212A"/>
    <w:rsid w:val="00DE267B"/>
    <w:rsid w:val="00DE2818"/>
    <w:rsid w:val="00DE32B4"/>
    <w:rsid w:val="00DE361B"/>
    <w:rsid w:val="00DE376A"/>
    <w:rsid w:val="00DE3D1D"/>
    <w:rsid w:val="00DE5146"/>
    <w:rsid w:val="00DE64C4"/>
    <w:rsid w:val="00DE6E3A"/>
    <w:rsid w:val="00DE703B"/>
    <w:rsid w:val="00DF02F2"/>
    <w:rsid w:val="00DF03F0"/>
    <w:rsid w:val="00DF2612"/>
    <w:rsid w:val="00DF2EB7"/>
    <w:rsid w:val="00DF32FA"/>
    <w:rsid w:val="00DF3355"/>
    <w:rsid w:val="00DF3544"/>
    <w:rsid w:val="00DF385E"/>
    <w:rsid w:val="00DF39FB"/>
    <w:rsid w:val="00DF4AC5"/>
    <w:rsid w:val="00DF50CC"/>
    <w:rsid w:val="00DF681C"/>
    <w:rsid w:val="00DF70EF"/>
    <w:rsid w:val="00DF7787"/>
    <w:rsid w:val="00E00297"/>
    <w:rsid w:val="00E008B3"/>
    <w:rsid w:val="00E00A4C"/>
    <w:rsid w:val="00E00A73"/>
    <w:rsid w:val="00E012E6"/>
    <w:rsid w:val="00E01736"/>
    <w:rsid w:val="00E02038"/>
    <w:rsid w:val="00E02769"/>
    <w:rsid w:val="00E02C94"/>
    <w:rsid w:val="00E0337F"/>
    <w:rsid w:val="00E0406B"/>
    <w:rsid w:val="00E048BC"/>
    <w:rsid w:val="00E049E7"/>
    <w:rsid w:val="00E05038"/>
    <w:rsid w:val="00E052A6"/>
    <w:rsid w:val="00E06119"/>
    <w:rsid w:val="00E0679E"/>
    <w:rsid w:val="00E068CD"/>
    <w:rsid w:val="00E06A32"/>
    <w:rsid w:val="00E07D5A"/>
    <w:rsid w:val="00E07D7E"/>
    <w:rsid w:val="00E107ED"/>
    <w:rsid w:val="00E1150D"/>
    <w:rsid w:val="00E11596"/>
    <w:rsid w:val="00E11CB6"/>
    <w:rsid w:val="00E11DA4"/>
    <w:rsid w:val="00E12456"/>
    <w:rsid w:val="00E126CF"/>
    <w:rsid w:val="00E12DE3"/>
    <w:rsid w:val="00E13D1C"/>
    <w:rsid w:val="00E1461F"/>
    <w:rsid w:val="00E147FC"/>
    <w:rsid w:val="00E15863"/>
    <w:rsid w:val="00E159FC"/>
    <w:rsid w:val="00E164FE"/>
    <w:rsid w:val="00E17B74"/>
    <w:rsid w:val="00E17C78"/>
    <w:rsid w:val="00E20C12"/>
    <w:rsid w:val="00E20CC0"/>
    <w:rsid w:val="00E227DB"/>
    <w:rsid w:val="00E22AEF"/>
    <w:rsid w:val="00E23F8A"/>
    <w:rsid w:val="00E24520"/>
    <w:rsid w:val="00E2690F"/>
    <w:rsid w:val="00E26CC4"/>
    <w:rsid w:val="00E2740F"/>
    <w:rsid w:val="00E277CC"/>
    <w:rsid w:val="00E277F9"/>
    <w:rsid w:val="00E304D8"/>
    <w:rsid w:val="00E3063E"/>
    <w:rsid w:val="00E3075A"/>
    <w:rsid w:val="00E3194F"/>
    <w:rsid w:val="00E3207B"/>
    <w:rsid w:val="00E32717"/>
    <w:rsid w:val="00E32BA5"/>
    <w:rsid w:val="00E32D9F"/>
    <w:rsid w:val="00E33832"/>
    <w:rsid w:val="00E3521D"/>
    <w:rsid w:val="00E35D59"/>
    <w:rsid w:val="00E374B2"/>
    <w:rsid w:val="00E40895"/>
    <w:rsid w:val="00E40D49"/>
    <w:rsid w:val="00E41A08"/>
    <w:rsid w:val="00E42F89"/>
    <w:rsid w:val="00E4320F"/>
    <w:rsid w:val="00E433F5"/>
    <w:rsid w:val="00E4380A"/>
    <w:rsid w:val="00E43D6E"/>
    <w:rsid w:val="00E43E51"/>
    <w:rsid w:val="00E442D9"/>
    <w:rsid w:val="00E4559F"/>
    <w:rsid w:val="00E456F5"/>
    <w:rsid w:val="00E460DA"/>
    <w:rsid w:val="00E46295"/>
    <w:rsid w:val="00E46BDD"/>
    <w:rsid w:val="00E477B7"/>
    <w:rsid w:val="00E47EED"/>
    <w:rsid w:val="00E5049E"/>
    <w:rsid w:val="00E515C7"/>
    <w:rsid w:val="00E5190A"/>
    <w:rsid w:val="00E527B5"/>
    <w:rsid w:val="00E53BA7"/>
    <w:rsid w:val="00E53CF4"/>
    <w:rsid w:val="00E53EF8"/>
    <w:rsid w:val="00E54779"/>
    <w:rsid w:val="00E54FB7"/>
    <w:rsid w:val="00E56312"/>
    <w:rsid w:val="00E56B92"/>
    <w:rsid w:val="00E56E28"/>
    <w:rsid w:val="00E57FED"/>
    <w:rsid w:val="00E60391"/>
    <w:rsid w:val="00E60806"/>
    <w:rsid w:val="00E619C2"/>
    <w:rsid w:val="00E62F25"/>
    <w:rsid w:val="00E6323B"/>
    <w:rsid w:val="00E64C4E"/>
    <w:rsid w:val="00E64CA9"/>
    <w:rsid w:val="00E64DEC"/>
    <w:rsid w:val="00E65288"/>
    <w:rsid w:val="00E652C2"/>
    <w:rsid w:val="00E6689E"/>
    <w:rsid w:val="00E66BD9"/>
    <w:rsid w:val="00E67593"/>
    <w:rsid w:val="00E6793A"/>
    <w:rsid w:val="00E67CA3"/>
    <w:rsid w:val="00E70549"/>
    <w:rsid w:val="00E71187"/>
    <w:rsid w:val="00E7159F"/>
    <w:rsid w:val="00E716DD"/>
    <w:rsid w:val="00E71D2C"/>
    <w:rsid w:val="00E72AD1"/>
    <w:rsid w:val="00E735E6"/>
    <w:rsid w:val="00E73ED8"/>
    <w:rsid w:val="00E744C7"/>
    <w:rsid w:val="00E74613"/>
    <w:rsid w:val="00E74B8A"/>
    <w:rsid w:val="00E75836"/>
    <w:rsid w:val="00E75E74"/>
    <w:rsid w:val="00E76815"/>
    <w:rsid w:val="00E76DD8"/>
    <w:rsid w:val="00E77B26"/>
    <w:rsid w:val="00E80379"/>
    <w:rsid w:val="00E80E34"/>
    <w:rsid w:val="00E81A95"/>
    <w:rsid w:val="00E81AC8"/>
    <w:rsid w:val="00E81BE8"/>
    <w:rsid w:val="00E83A34"/>
    <w:rsid w:val="00E83D63"/>
    <w:rsid w:val="00E84CBC"/>
    <w:rsid w:val="00E8529A"/>
    <w:rsid w:val="00E856ED"/>
    <w:rsid w:val="00E85CCA"/>
    <w:rsid w:val="00E866D2"/>
    <w:rsid w:val="00E8686C"/>
    <w:rsid w:val="00E86C14"/>
    <w:rsid w:val="00E90836"/>
    <w:rsid w:val="00E90C17"/>
    <w:rsid w:val="00E910E1"/>
    <w:rsid w:val="00E91787"/>
    <w:rsid w:val="00E91994"/>
    <w:rsid w:val="00E91B53"/>
    <w:rsid w:val="00E91E0E"/>
    <w:rsid w:val="00E92B40"/>
    <w:rsid w:val="00E949C1"/>
    <w:rsid w:val="00E94A80"/>
    <w:rsid w:val="00E95BB4"/>
    <w:rsid w:val="00E95C55"/>
    <w:rsid w:val="00E95D8A"/>
    <w:rsid w:val="00E96459"/>
    <w:rsid w:val="00E97B4F"/>
    <w:rsid w:val="00E97FF4"/>
    <w:rsid w:val="00EA0268"/>
    <w:rsid w:val="00EA03BA"/>
    <w:rsid w:val="00EA18A1"/>
    <w:rsid w:val="00EA2283"/>
    <w:rsid w:val="00EA2709"/>
    <w:rsid w:val="00EA2E1A"/>
    <w:rsid w:val="00EA3157"/>
    <w:rsid w:val="00EA48C6"/>
    <w:rsid w:val="00EA4AC1"/>
    <w:rsid w:val="00EA5CEC"/>
    <w:rsid w:val="00EA608D"/>
    <w:rsid w:val="00EA6146"/>
    <w:rsid w:val="00EA7AD2"/>
    <w:rsid w:val="00EA7F0C"/>
    <w:rsid w:val="00EB030A"/>
    <w:rsid w:val="00EB0424"/>
    <w:rsid w:val="00EB070C"/>
    <w:rsid w:val="00EB164A"/>
    <w:rsid w:val="00EB1B16"/>
    <w:rsid w:val="00EB229B"/>
    <w:rsid w:val="00EB2FF4"/>
    <w:rsid w:val="00EB31E9"/>
    <w:rsid w:val="00EB3F3E"/>
    <w:rsid w:val="00EB4DED"/>
    <w:rsid w:val="00EB5A5E"/>
    <w:rsid w:val="00EB5ED1"/>
    <w:rsid w:val="00EB6051"/>
    <w:rsid w:val="00EB6186"/>
    <w:rsid w:val="00EB634C"/>
    <w:rsid w:val="00EB65B6"/>
    <w:rsid w:val="00EB69CD"/>
    <w:rsid w:val="00EB76AD"/>
    <w:rsid w:val="00EC06C1"/>
    <w:rsid w:val="00EC07A9"/>
    <w:rsid w:val="00EC0A0E"/>
    <w:rsid w:val="00EC0D4B"/>
    <w:rsid w:val="00EC2A4E"/>
    <w:rsid w:val="00EC31D1"/>
    <w:rsid w:val="00EC3F0D"/>
    <w:rsid w:val="00EC42CC"/>
    <w:rsid w:val="00EC42E9"/>
    <w:rsid w:val="00EC46CB"/>
    <w:rsid w:val="00EC5145"/>
    <w:rsid w:val="00EC5A3D"/>
    <w:rsid w:val="00EC6166"/>
    <w:rsid w:val="00EC66FE"/>
    <w:rsid w:val="00EC6AAE"/>
    <w:rsid w:val="00EC706B"/>
    <w:rsid w:val="00EC78D4"/>
    <w:rsid w:val="00ED0031"/>
    <w:rsid w:val="00ED1011"/>
    <w:rsid w:val="00ED1418"/>
    <w:rsid w:val="00ED19DB"/>
    <w:rsid w:val="00ED25F4"/>
    <w:rsid w:val="00ED29E1"/>
    <w:rsid w:val="00ED35C0"/>
    <w:rsid w:val="00ED507A"/>
    <w:rsid w:val="00ED52C3"/>
    <w:rsid w:val="00ED5502"/>
    <w:rsid w:val="00ED6676"/>
    <w:rsid w:val="00ED6747"/>
    <w:rsid w:val="00ED702E"/>
    <w:rsid w:val="00ED7A58"/>
    <w:rsid w:val="00EE00F4"/>
    <w:rsid w:val="00EE10DF"/>
    <w:rsid w:val="00EE11BE"/>
    <w:rsid w:val="00EE13BE"/>
    <w:rsid w:val="00EE1C4D"/>
    <w:rsid w:val="00EE2103"/>
    <w:rsid w:val="00EE2A58"/>
    <w:rsid w:val="00EE3ADF"/>
    <w:rsid w:val="00EE3EB3"/>
    <w:rsid w:val="00EE44A2"/>
    <w:rsid w:val="00EE4558"/>
    <w:rsid w:val="00EE458C"/>
    <w:rsid w:val="00EE490B"/>
    <w:rsid w:val="00EE534F"/>
    <w:rsid w:val="00EE57CB"/>
    <w:rsid w:val="00EE5A6B"/>
    <w:rsid w:val="00EE62DC"/>
    <w:rsid w:val="00EE70FF"/>
    <w:rsid w:val="00EF040C"/>
    <w:rsid w:val="00EF0779"/>
    <w:rsid w:val="00EF0AA3"/>
    <w:rsid w:val="00EF1114"/>
    <w:rsid w:val="00EF2957"/>
    <w:rsid w:val="00EF2E06"/>
    <w:rsid w:val="00EF3B40"/>
    <w:rsid w:val="00EF4597"/>
    <w:rsid w:val="00EF5501"/>
    <w:rsid w:val="00EF56E7"/>
    <w:rsid w:val="00EF5D27"/>
    <w:rsid w:val="00EF5D78"/>
    <w:rsid w:val="00EF5EAD"/>
    <w:rsid w:val="00EF64DB"/>
    <w:rsid w:val="00EF650A"/>
    <w:rsid w:val="00EF6567"/>
    <w:rsid w:val="00F000F0"/>
    <w:rsid w:val="00F0053F"/>
    <w:rsid w:val="00F011CB"/>
    <w:rsid w:val="00F0248A"/>
    <w:rsid w:val="00F028DC"/>
    <w:rsid w:val="00F03236"/>
    <w:rsid w:val="00F03AB0"/>
    <w:rsid w:val="00F042C9"/>
    <w:rsid w:val="00F04A4A"/>
    <w:rsid w:val="00F04E4D"/>
    <w:rsid w:val="00F05192"/>
    <w:rsid w:val="00F05A60"/>
    <w:rsid w:val="00F069A7"/>
    <w:rsid w:val="00F06AF7"/>
    <w:rsid w:val="00F07733"/>
    <w:rsid w:val="00F101A8"/>
    <w:rsid w:val="00F103BC"/>
    <w:rsid w:val="00F1068B"/>
    <w:rsid w:val="00F110DB"/>
    <w:rsid w:val="00F12065"/>
    <w:rsid w:val="00F120ED"/>
    <w:rsid w:val="00F1270D"/>
    <w:rsid w:val="00F1463A"/>
    <w:rsid w:val="00F15BAC"/>
    <w:rsid w:val="00F16A72"/>
    <w:rsid w:val="00F16BDA"/>
    <w:rsid w:val="00F16C7A"/>
    <w:rsid w:val="00F16E73"/>
    <w:rsid w:val="00F20B33"/>
    <w:rsid w:val="00F211A2"/>
    <w:rsid w:val="00F213F7"/>
    <w:rsid w:val="00F2173E"/>
    <w:rsid w:val="00F22224"/>
    <w:rsid w:val="00F22398"/>
    <w:rsid w:val="00F223C1"/>
    <w:rsid w:val="00F22460"/>
    <w:rsid w:val="00F2270B"/>
    <w:rsid w:val="00F22961"/>
    <w:rsid w:val="00F22D55"/>
    <w:rsid w:val="00F23B8E"/>
    <w:rsid w:val="00F23C93"/>
    <w:rsid w:val="00F246A5"/>
    <w:rsid w:val="00F25274"/>
    <w:rsid w:val="00F259F0"/>
    <w:rsid w:val="00F2744C"/>
    <w:rsid w:val="00F27C69"/>
    <w:rsid w:val="00F3013B"/>
    <w:rsid w:val="00F301D2"/>
    <w:rsid w:val="00F30395"/>
    <w:rsid w:val="00F303B9"/>
    <w:rsid w:val="00F31574"/>
    <w:rsid w:val="00F319CA"/>
    <w:rsid w:val="00F320FC"/>
    <w:rsid w:val="00F32700"/>
    <w:rsid w:val="00F32AC2"/>
    <w:rsid w:val="00F33021"/>
    <w:rsid w:val="00F33045"/>
    <w:rsid w:val="00F34219"/>
    <w:rsid w:val="00F344E2"/>
    <w:rsid w:val="00F3474A"/>
    <w:rsid w:val="00F3499B"/>
    <w:rsid w:val="00F34EA8"/>
    <w:rsid w:val="00F34F28"/>
    <w:rsid w:val="00F359E0"/>
    <w:rsid w:val="00F40DA7"/>
    <w:rsid w:val="00F40E10"/>
    <w:rsid w:val="00F41304"/>
    <w:rsid w:val="00F4137D"/>
    <w:rsid w:val="00F41416"/>
    <w:rsid w:val="00F42848"/>
    <w:rsid w:val="00F42E45"/>
    <w:rsid w:val="00F4472A"/>
    <w:rsid w:val="00F44BF8"/>
    <w:rsid w:val="00F44F64"/>
    <w:rsid w:val="00F453BB"/>
    <w:rsid w:val="00F4636F"/>
    <w:rsid w:val="00F47060"/>
    <w:rsid w:val="00F4759B"/>
    <w:rsid w:val="00F4796B"/>
    <w:rsid w:val="00F50892"/>
    <w:rsid w:val="00F50DBF"/>
    <w:rsid w:val="00F50DF7"/>
    <w:rsid w:val="00F50EFF"/>
    <w:rsid w:val="00F516B9"/>
    <w:rsid w:val="00F5190C"/>
    <w:rsid w:val="00F51EAF"/>
    <w:rsid w:val="00F5214D"/>
    <w:rsid w:val="00F5215C"/>
    <w:rsid w:val="00F5373E"/>
    <w:rsid w:val="00F5427A"/>
    <w:rsid w:val="00F54BB3"/>
    <w:rsid w:val="00F56874"/>
    <w:rsid w:val="00F569C6"/>
    <w:rsid w:val="00F57F74"/>
    <w:rsid w:val="00F612CA"/>
    <w:rsid w:val="00F61469"/>
    <w:rsid w:val="00F6165C"/>
    <w:rsid w:val="00F61B21"/>
    <w:rsid w:val="00F62963"/>
    <w:rsid w:val="00F636ED"/>
    <w:rsid w:val="00F63D80"/>
    <w:rsid w:val="00F643EB"/>
    <w:rsid w:val="00F64885"/>
    <w:rsid w:val="00F652B2"/>
    <w:rsid w:val="00F653C2"/>
    <w:rsid w:val="00F65584"/>
    <w:rsid w:val="00F655BE"/>
    <w:rsid w:val="00F66F1C"/>
    <w:rsid w:val="00F673B1"/>
    <w:rsid w:val="00F67526"/>
    <w:rsid w:val="00F713C0"/>
    <w:rsid w:val="00F713D6"/>
    <w:rsid w:val="00F71447"/>
    <w:rsid w:val="00F73A23"/>
    <w:rsid w:val="00F73F1B"/>
    <w:rsid w:val="00F74820"/>
    <w:rsid w:val="00F74C95"/>
    <w:rsid w:val="00F759B2"/>
    <w:rsid w:val="00F761CC"/>
    <w:rsid w:val="00F76AC5"/>
    <w:rsid w:val="00F76E04"/>
    <w:rsid w:val="00F76E3C"/>
    <w:rsid w:val="00F770ED"/>
    <w:rsid w:val="00F80261"/>
    <w:rsid w:val="00F80DCF"/>
    <w:rsid w:val="00F80EA3"/>
    <w:rsid w:val="00F80EC4"/>
    <w:rsid w:val="00F824C9"/>
    <w:rsid w:val="00F826E5"/>
    <w:rsid w:val="00F83730"/>
    <w:rsid w:val="00F83D3B"/>
    <w:rsid w:val="00F84478"/>
    <w:rsid w:val="00F8461D"/>
    <w:rsid w:val="00F84CA2"/>
    <w:rsid w:val="00F8573D"/>
    <w:rsid w:val="00F8580A"/>
    <w:rsid w:val="00F85B3B"/>
    <w:rsid w:val="00F86382"/>
    <w:rsid w:val="00F864A0"/>
    <w:rsid w:val="00F86F11"/>
    <w:rsid w:val="00F87A92"/>
    <w:rsid w:val="00F9065D"/>
    <w:rsid w:val="00F90B1B"/>
    <w:rsid w:val="00F912F9"/>
    <w:rsid w:val="00F93FC8"/>
    <w:rsid w:val="00F95340"/>
    <w:rsid w:val="00F96330"/>
    <w:rsid w:val="00F96578"/>
    <w:rsid w:val="00F96696"/>
    <w:rsid w:val="00F96841"/>
    <w:rsid w:val="00F96FD0"/>
    <w:rsid w:val="00FA0706"/>
    <w:rsid w:val="00FA1C54"/>
    <w:rsid w:val="00FA1D55"/>
    <w:rsid w:val="00FA26DF"/>
    <w:rsid w:val="00FA2D97"/>
    <w:rsid w:val="00FA2DFE"/>
    <w:rsid w:val="00FA37C8"/>
    <w:rsid w:val="00FA37E2"/>
    <w:rsid w:val="00FA481A"/>
    <w:rsid w:val="00FA5E13"/>
    <w:rsid w:val="00FB0264"/>
    <w:rsid w:val="00FB040F"/>
    <w:rsid w:val="00FB050B"/>
    <w:rsid w:val="00FB12B5"/>
    <w:rsid w:val="00FB15D4"/>
    <w:rsid w:val="00FB17FE"/>
    <w:rsid w:val="00FB19AD"/>
    <w:rsid w:val="00FB1B5C"/>
    <w:rsid w:val="00FB219C"/>
    <w:rsid w:val="00FB255D"/>
    <w:rsid w:val="00FB4C98"/>
    <w:rsid w:val="00FB4FA0"/>
    <w:rsid w:val="00FB50EF"/>
    <w:rsid w:val="00FB6D59"/>
    <w:rsid w:val="00FB70DD"/>
    <w:rsid w:val="00FB7D06"/>
    <w:rsid w:val="00FC064D"/>
    <w:rsid w:val="00FC2C86"/>
    <w:rsid w:val="00FC32BD"/>
    <w:rsid w:val="00FC36BC"/>
    <w:rsid w:val="00FC3A8F"/>
    <w:rsid w:val="00FC402E"/>
    <w:rsid w:val="00FC4AD5"/>
    <w:rsid w:val="00FC4BF0"/>
    <w:rsid w:val="00FC5078"/>
    <w:rsid w:val="00FC5C7F"/>
    <w:rsid w:val="00FC65D0"/>
    <w:rsid w:val="00FC6EAF"/>
    <w:rsid w:val="00FC707A"/>
    <w:rsid w:val="00FC7396"/>
    <w:rsid w:val="00FC76B9"/>
    <w:rsid w:val="00FD090D"/>
    <w:rsid w:val="00FD1435"/>
    <w:rsid w:val="00FD1A63"/>
    <w:rsid w:val="00FD1C5D"/>
    <w:rsid w:val="00FD1D17"/>
    <w:rsid w:val="00FD265F"/>
    <w:rsid w:val="00FD278E"/>
    <w:rsid w:val="00FD3097"/>
    <w:rsid w:val="00FD412B"/>
    <w:rsid w:val="00FD5FDF"/>
    <w:rsid w:val="00FD77CE"/>
    <w:rsid w:val="00FD7D16"/>
    <w:rsid w:val="00FE03C8"/>
    <w:rsid w:val="00FE07CB"/>
    <w:rsid w:val="00FE08E3"/>
    <w:rsid w:val="00FE09FD"/>
    <w:rsid w:val="00FE0EDA"/>
    <w:rsid w:val="00FE25C7"/>
    <w:rsid w:val="00FE271C"/>
    <w:rsid w:val="00FE286E"/>
    <w:rsid w:val="00FE2A5C"/>
    <w:rsid w:val="00FE3ECA"/>
    <w:rsid w:val="00FE4FB5"/>
    <w:rsid w:val="00FE5A02"/>
    <w:rsid w:val="00FE5C76"/>
    <w:rsid w:val="00FE6B12"/>
    <w:rsid w:val="00FE6C83"/>
    <w:rsid w:val="00FE71B2"/>
    <w:rsid w:val="00FF13A2"/>
    <w:rsid w:val="00FF1F90"/>
    <w:rsid w:val="00FF215B"/>
    <w:rsid w:val="00FF2C47"/>
    <w:rsid w:val="00FF3117"/>
    <w:rsid w:val="00FF3759"/>
    <w:rsid w:val="00FF46C4"/>
    <w:rsid w:val="00FF4A50"/>
    <w:rsid w:val="00FF5621"/>
    <w:rsid w:val="00FF59EB"/>
    <w:rsid w:val="00FF5EE6"/>
    <w:rsid w:val="00FF5F01"/>
    <w:rsid w:val="00FF734C"/>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038921"/>
  <w15:docId w15:val="{D506D891-0929-4334-AD3A-F1C905B9A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68"/>
    <w:rPr>
      <w:rFonts w:ascii="Times New Roman" w:eastAsia="Times New Roman" w:hAnsi="Times New Roman"/>
      <w:sz w:val="28"/>
      <w:szCs w:val="28"/>
      <w:lang w:val="vi-VN"/>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9E07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basedOn w:val="DefaultParagraphFont"/>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cs="Calibri"/>
      <w:sz w:val="24"/>
      <w:szCs w:val="24"/>
    </w:rPr>
  </w:style>
  <w:style w:type="character" w:customStyle="1" w:styleId="BodyTextChar">
    <w:name w:val="Body Text Char"/>
    <w:basedOn w:val="DefaultParagraphFont"/>
    <w:uiPriority w:val="99"/>
    <w:semiHidden/>
    <w:locked/>
    <w:rsid w:val="008D4094"/>
    <w:rPr>
      <w:rFonts w:ascii="Times New Roman" w:hAnsi="Times New Roman" w:cs="Times New Roman"/>
      <w:sz w:val="28"/>
      <w:szCs w:val="28"/>
    </w:rPr>
  </w:style>
  <w:style w:type="character" w:styleId="Strong">
    <w:name w:val="Strong"/>
    <w:basedOn w:val="DefaultParagraphFont"/>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style>
  <w:style w:type="character" w:customStyle="1" w:styleId="HeaderChar">
    <w:name w:val="Header Char"/>
    <w:basedOn w:val="DefaultParagraphFont"/>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style>
  <w:style w:type="character" w:customStyle="1" w:styleId="FooterChar">
    <w:name w:val="Footer Char"/>
    <w:basedOn w:val="DefaultParagraphFont"/>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b/>
      <w:bCs/>
      <w:lang w:val="nl-NL"/>
    </w:rPr>
  </w:style>
  <w:style w:type="character" w:customStyle="1" w:styleId="BodyTextTimesNewRomanChar">
    <w:name w:val="Body Text + Times New Roman Char"/>
    <w:aliases w:val="14 pt Char,Bold Char,First line:  1 Char,27 cm Char,Before:  4 Char,5 ... Char,5 ... ... Char"/>
    <w:basedOn w:val="BodyText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6A70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rPr>
  </w:style>
  <w:style w:type="character" w:customStyle="1" w:styleId="TitleChar">
    <w:name w:val="Title Char"/>
    <w:basedOn w:val="DefaultParagraphFont"/>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qFormat/>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nhideWhenUsed/>
    <w:rsid w:val="005B43D0"/>
    <w:pPr>
      <w:spacing w:after="120"/>
      <w:ind w:left="360"/>
    </w:pPr>
  </w:style>
  <w:style w:type="character" w:customStyle="1" w:styleId="BodyTextIndentChar">
    <w:name w:val="Body Text Indent Char"/>
    <w:basedOn w:val="DefaultParagraphFont"/>
    <w:link w:val="BodyTextIndent"/>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style>
  <w:style w:type="character" w:customStyle="1" w:styleId="BodyTextIndent2Char">
    <w:name w:val="Body Text Indent 2 Char"/>
    <w:basedOn w:val="DefaultParagraphFont"/>
    <w:link w:val="BodyTextIndent2"/>
    <w:uiPriority w:val="99"/>
    <w:semiHidden/>
    <w:rsid w:val="00BB4A9E"/>
    <w:rPr>
      <w:rFonts w:ascii="Times New Roman" w:eastAsia="Times New Roman" w:hAnsi="Times New Roman"/>
      <w:sz w:val="28"/>
      <w:szCs w:val="28"/>
    </w:rPr>
  </w:style>
  <w:style w:type="character" w:styleId="Emphasis">
    <w:name w:val="Emphasis"/>
    <w:basedOn w:val="DefaultParagraphFont"/>
    <w:uiPriority w:val="20"/>
    <w:qFormat/>
    <w:locked/>
    <w:rsid w:val="00C372B5"/>
    <w:rPr>
      <w:i/>
      <w:iCs/>
    </w:rPr>
  </w:style>
  <w:style w:type="character" w:customStyle="1" w:styleId="body0020textchar">
    <w:name w:val="body_0020text__char"/>
    <w:basedOn w:val="DefaultParagraphFont"/>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416BAE"/>
    <w:rPr>
      <w:rFonts w:ascii="Calibri" w:eastAsia="Calibri" w:hAnsi="Calibri" w:cs="Times New Roman"/>
    </w:rPr>
  </w:style>
  <w:style w:type="character" w:styleId="EndnoteReference">
    <w:name w:val="endnote reference"/>
    <w:basedOn w:val="DefaultParagraphFont"/>
    <w:uiPriority w:val="99"/>
    <w:semiHidden/>
    <w:unhideWhenUsed/>
    <w:rsid w:val="00416BAE"/>
    <w:rPr>
      <w:vertAlign w:val="superscript"/>
    </w:rPr>
  </w:style>
  <w:style w:type="character" w:customStyle="1" w:styleId="Heading1Char">
    <w:name w:val="Heading 1 Char"/>
    <w:basedOn w:val="DefaultParagraphFont"/>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styleId="BodyTextIndent3">
    <w:name w:val="Body Text Indent 3"/>
    <w:basedOn w:val="Normal"/>
    <w:link w:val="BodyTextIndent3Char"/>
    <w:uiPriority w:val="99"/>
    <w:semiHidden/>
    <w:unhideWhenUsed/>
    <w:rsid w:val="000B25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B2507"/>
    <w:rPr>
      <w:rFonts w:ascii="Times New Roman" w:eastAsia="Times New Roman" w:hAnsi="Times New Roman"/>
      <w:sz w:val="16"/>
      <w:szCs w:val="16"/>
      <w:lang w:val="en-US" w:eastAsia="en-US"/>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72454A"/>
    <w:rPr>
      <w:rFonts w:ascii="Times New Roman" w:hAnsi="Times New Roman"/>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977670"/>
    <w:pPr>
      <w:spacing w:after="160" w:line="240" w:lineRule="exact"/>
    </w:pPr>
    <w:rPr>
      <w:rFonts w:ascii="Calibri" w:eastAsia="Calibri" w:hAnsi="Calibri"/>
      <w:sz w:val="20"/>
      <w:szCs w:val="20"/>
      <w:vertAlign w:val="superscript"/>
    </w:rPr>
  </w:style>
  <w:style w:type="character" w:customStyle="1" w:styleId="a21">
    <w:name w:val="a21"/>
    <w:basedOn w:val="DefaultParagraphFont"/>
    <w:uiPriority w:val="99"/>
    <w:rsid w:val="00F12065"/>
    <w:rPr>
      <w:rFonts w:ascii="Arial" w:hAnsi="Arial" w:cs="Arial"/>
      <w:sz w:val="20"/>
      <w:szCs w:val="20"/>
      <w:u w:val="none"/>
      <w:effect w:val="none"/>
    </w:rPr>
  </w:style>
  <w:style w:type="paragraph" w:customStyle="1" w:styleId="Normal2">
    <w:name w:val="Normal2"/>
    <w:basedOn w:val="Normal"/>
    <w:rsid w:val="00C144DC"/>
    <w:pPr>
      <w:spacing w:before="100" w:beforeAutospacing="1" w:after="100" w:afterAutospacing="1"/>
    </w:pPr>
    <w:rPr>
      <w:rFonts w:ascii="Calibri" w:hAnsi="Calibri" w:cs="Calibri"/>
      <w:sz w:val="24"/>
      <w:szCs w:val="24"/>
      <w:lang w:val="en-US"/>
    </w:rPr>
  </w:style>
  <w:style w:type="paragraph" w:customStyle="1" w:styleId="list00203">
    <w:name w:val="list_00203"/>
    <w:basedOn w:val="Normal"/>
    <w:rsid w:val="00A939C1"/>
    <w:pPr>
      <w:spacing w:before="100" w:beforeAutospacing="1" w:after="100" w:afterAutospacing="1"/>
    </w:pPr>
    <w:rPr>
      <w:sz w:val="24"/>
      <w:szCs w:val="24"/>
      <w:lang w:val="en-US"/>
    </w:rPr>
  </w:style>
  <w:style w:type="paragraph" w:styleId="BodyText2">
    <w:name w:val="Body Text 2"/>
    <w:basedOn w:val="Normal"/>
    <w:link w:val="BodyText2Char"/>
    <w:uiPriority w:val="99"/>
    <w:unhideWhenUsed/>
    <w:rsid w:val="00AA004F"/>
    <w:pPr>
      <w:spacing w:after="120" w:line="480" w:lineRule="auto"/>
    </w:pPr>
    <w:rPr>
      <w:rFonts w:ascii="Calibri" w:eastAsia="Calibri" w:hAnsi="Calibri"/>
      <w:sz w:val="22"/>
      <w:szCs w:val="22"/>
      <w:lang w:val="en-US"/>
    </w:rPr>
  </w:style>
  <w:style w:type="character" w:customStyle="1" w:styleId="BodyText2Char">
    <w:name w:val="Body Text 2 Char"/>
    <w:basedOn w:val="DefaultParagraphFont"/>
    <w:link w:val="BodyText2"/>
    <w:uiPriority w:val="99"/>
    <w:rsid w:val="00AA004F"/>
    <w:rPr>
      <w:sz w:val="22"/>
      <w:szCs w:val="22"/>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0E0E7B"/>
    <w:rPr>
      <w:rFonts w:ascii="Times New Roman" w:hAnsi="Times New Roman"/>
      <w:sz w:val="28"/>
      <w:szCs w:val="28"/>
      <w:lang w:val="vi-VN"/>
    </w:rPr>
  </w:style>
  <w:style w:type="character" w:customStyle="1" w:styleId="fontstyle01">
    <w:name w:val="fontstyle01"/>
    <w:rsid w:val="00390D55"/>
    <w:rPr>
      <w:rFonts w:ascii="Times New Roman" w:hAnsi="Times New Roman"/>
      <w:color w:val="000000"/>
      <w:sz w:val="28"/>
    </w:rPr>
  </w:style>
  <w:style w:type="table" w:styleId="TableGrid">
    <w:name w:val="Table Grid"/>
    <w:basedOn w:val="TableNormal"/>
    <w:uiPriority w:val="39"/>
    <w:locked/>
    <w:rsid w:val="00B40E0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121AE"/>
    <w:rPr>
      <w:color w:val="0000FF" w:themeColor="hyperlink"/>
      <w:u w:val="single"/>
    </w:rPr>
  </w:style>
  <w:style w:type="character" w:styleId="CommentReference">
    <w:name w:val="annotation reference"/>
    <w:basedOn w:val="DefaultParagraphFont"/>
    <w:uiPriority w:val="99"/>
    <w:semiHidden/>
    <w:unhideWhenUsed/>
    <w:rsid w:val="003121AE"/>
    <w:rPr>
      <w:sz w:val="16"/>
      <w:szCs w:val="16"/>
    </w:rPr>
  </w:style>
  <w:style w:type="paragraph" w:styleId="CommentText">
    <w:name w:val="annotation text"/>
    <w:basedOn w:val="Normal"/>
    <w:link w:val="CommentTextChar"/>
    <w:uiPriority w:val="99"/>
    <w:unhideWhenUsed/>
    <w:rsid w:val="003121AE"/>
    <w:rPr>
      <w:sz w:val="20"/>
      <w:szCs w:val="20"/>
    </w:rPr>
  </w:style>
  <w:style w:type="character" w:customStyle="1" w:styleId="CommentTextChar">
    <w:name w:val="Comment Text Char"/>
    <w:basedOn w:val="DefaultParagraphFont"/>
    <w:link w:val="CommentText"/>
    <w:uiPriority w:val="99"/>
    <w:rsid w:val="003121AE"/>
    <w:rPr>
      <w:rFonts w:ascii="Times New Roman" w:eastAsia="Times New Roman" w:hAnsi="Times New Roman"/>
      <w:lang w:val="vi-VN"/>
    </w:rPr>
  </w:style>
  <w:style w:type="paragraph" w:customStyle="1" w:styleId="Normal11">
    <w:name w:val="Normal11"/>
    <w:basedOn w:val="Normal"/>
    <w:rsid w:val="00736430"/>
    <w:pPr>
      <w:spacing w:before="100" w:beforeAutospacing="1" w:after="100" w:afterAutospacing="1"/>
    </w:pPr>
    <w:rPr>
      <w:rFonts w:ascii="Calibri" w:hAnsi="Calibri" w:cs="Calibri"/>
      <w:sz w:val="24"/>
      <w:szCs w:val="24"/>
      <w:lang w:val="en-US"/>
    </w:rPr>
  </w:style>
  <w:style w:type="character" w:customStyle="1" w:styleId="text">
    <w:name w:val="text"/>
    <w:basedOn w:val="DefaultParagraphFont"/>
    <w:rsid w:val="008708C1"/>
  </w:style>
  <w:style w:type="paragraph" w:styleId="CommentSubject">
    <w:name w:val="annotation subject"/>
    <w:basedOn w:val="CommentText"/>
    <w:next w:val="CommentText"/>
    <w:link w:val="CommentSubjectChar"/>
    <w:uiPriority w:val="99"/>
    <w:semiHidden/>
    <w:unhideWhenUsed/>
    <w:rsid w:val="008A6421"/>
    <w:rPr>
      <w:b/>
      <w:bCs/>
    </w:rPr>
  </w:style>
  <w:style w:type="character" w:customStyle="1" w:styleId="CommentSubjectChar">
    <w:name w:val="Comment Subject Char"/>
    <w:basedOn w:val="CommentTextChar"/>
    <w:link w:val="CommentSubject"/>
    <w:uiPriority w:val="99"/>
    <w:semiHidden/>
    <w:rsid w:val="008A6421"/>
    <w:rPr>
      <w:rFonts w:ascii="Times New Roman" w:eastAsia="Times New Roman" w:hAnsi="Times New Roman"/>
      <w:b/>
      <w:bCs/>
      <w:lang w:val="vi-VN"/>
    </w:rPr>
  </w:style>
  <w:style w:type="character" w:customStyle="1" w:styleId="Heading2Char">
    <w:name w:val="Heading 2 Char"/>
    <w:basedOn w:val="DefaultParagraphFont"/>
    <w:link w:val="Heading2"/>
    <w:semiHidden/>
    <w:rsid w:val="009E0731"/>
    <w:rPr>
      <w:rFonts w:asciiTheme="majorHAnsi" w:eastAsiaTheme="majorEastAsia" w:hAnsiTheme="majorHAnsi" w:cstheme="majorBidi"/>
      <w:color w:val="365F91" w:themeColor="accent1" w:themeShade="BF"/>
      <w:sz w:val="26"/>
      <w:szCs w:val="26"/>
      <w:lang w:val="vi-VN"/>
    </w:rPr>
  </w:style>
  <w:style w:type="paragraph" w:styleId="Revision">
    <w:name w:val="Revision"/>
    <w:hidden/>
    <w:uiPriority w:val="99"/>
    <w:semiHidden/>
    <w:rsid w:val="002F4203"/>
    <w:rPr>
      <w:rFonts w:ascii="Times New Roman" w:eastAsia="Times New Roman" w:hAnsi="Times New Roman"/>
      <w:sz w:val="28"/>
      <w:szCs w:val="28"/>
      <w:lang w:val="vi-VN"/>
    </w:rPr>
  </w:style>
  <w:style w:type="character" w:customStyle="1" w:styleId="card-send-timesendtime">
    <w:name w:val="card-send-time__sendtime"/>
    <w:basedOn w:val="DefaultParagraphFont"/>
    <w:rsid w:val="00B16E1C"/>
  </w:style>
  <w:style w:type="character" w:customStyle="1" w:styleId="emoji-sizer">
    <w:name w:val="emoji-sizer"/>
    <w:basedOn w:val="DefaultParagraphFont"/>
    <w:rsid w:val="00B16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29225">
      <w:bodyDiv w:val="1"/>
      <w:marLeft w:val="0"/>
      <w:marRight w:val="0"/>
      <w:marTop w:val="0"/>
      <w:marBottom w:val="0"/>
      <w:divBdr>
        <w:top w:val="none" w:sz="0" w:space="0" w:color="auto"/>
        <w:left w:val="none" w:sz="0" w:space="0" w:color="auto"/>
        <w:bottom w:val="none" w:sz="0" w:space="0" w:color="auto"/>
        <w:right w:val="none" w:sz="0" w:space="0" w:color="auto"/>
      </w:divBdr>
    </w:div>
    <w:div w:id="112596837">
      <w:bodyDiv w:val="1"/>
      <w:marLeft w:val="0"/>
      <w:marRight w:val="0"/>
      <w:marTop w:val="0"/>
      <w:marBottom w:val="0"/>
      <w:divBdr>
        <w:top w:val="none" w:sz="0" w:space="0" w:color="auto"/>
        <w:left w:val="none" w:sz="0" w:space="0" w:color="auto"/>
        <w:bottom w:val="none" w:sz="0" w:space="0" w:color="auto"/>
        <w:right w:val="none" w:sz="0" w:space="0" w:color="auto"/>
      </w:divBdr>
    </w:div>
    <w:div w:id="357507503">
      <w:bodyDiv w:val="1"/>
      <w:marLeft w:val="0"/>
      <w:marRight w:val="0"/>
      <w:marTop w:val="0"/>
      <w:marBottom w:val="0"/>
      <w:divBdr>
        <w:top w:val="none" w:sz="0" w:space="0" w:color="auto"/>
        <w:left w:val="none" w:sz="0" w:space="0" w:color="auto"/>
        <w:bottom w:val="none" w:sz="0" w:space="0" w:color="auto"/>
        <w:right w:val="none" w:sz="0" w:space="0" w:color="auto"/>
      </w:divBdr>
    </w:div>
    <w:div w:id="613946265">
      <w:bodyDiv w:val="1"/>
      <w:marLeft w:val="0"/>
      <w:marRight w:val="0"/>
      <w:marTop w:val="0"/>
      <w:marBottom w:val="0"/>
      <w:divBdr>
        <w:top w:val="none" w:sz="0" w:space="0" w:color="auto"/>
        <w:left w:val="none" w:sz="0" w:space="0" w:color="auto"/>
        <w:bottom w:val="none" w:sz="0" w:space="0" w:color="auto"/>
        <w:right w:val="none" w:sz="0" w:space="0" w:color="auto"/>
      </w:divBdr>
      <w:divsChild>
        <w:div w:id="1503544567">
          <w:marLeft w:val="0"/>
          <w:marRight w:val="0"/>
          <w:marTop w:val="0"/>
          <w:marBottom w:val="0"/>
          <w:divBdr>
            <w:top w:val="none" w:sz="0" w:space="0" w:color="auto"/>
            <w:left w:val="none" w:sz="0" w:space="0" w:color="auto"/>
            <w:bottom w:val="none" w:sz="0" w:space="0" w:color="auto"/>
            <w:right w:val="none" w:sz="0" w:space="0" w:color="auto"/>
          </w:divBdr>
          <w:divsChild>
            <w:div w:id="1784573738">
              <w:marLeft w:val="750"/>
              <w:marRight w:val="0"/>
              <w:marTop w:val="0"/>
              <w:marBottom w:val="0"/>
              <w:divBdr>
                <w:top w:val="none" w:sz="0" w:space="0" w:color="auto"/>
                <w:left w:val="none" w:sz="0" w:space="0" w:color="auto"/>
                <w:bottom w:val="none" w:sz="0" w:space="0" w:color="auto"/>
                <w:right w:val="none" w:sz="0" w:space="0" w:color="auto"/>
              </w:divBdr>
              <w:divsChild>
                <w:div w:id="2106725070">
                  <w:marLeft w:val="0"/>
                  <w:marRight w:val="0"/>
                  <w:marTop w:val="0"/>
                  <w:marBottom w:val="0"/>
                  <w:divBdr>
                    <w:top w:val="none" w:sz="0" w:space="0" w:color="auto"/>
                    <w:left w:val="none" w:sz="0" w:space="0" w:color="auto"/>
                    <w:bottom w:val="none" w:sz="0" w:space="0" w:color="auto"/>
                    <w:right w:val="none" w:sz="0" w:space="0" w:color="auto"/>
                  </w:divBdr>
                  <w:divsChild>
                    <w:div w:id="1012798952">
                      <w:marLeft w:val="0"/>
                      <w:marRight w:val="0"/>
                      <w:marTop w:val="0"/>
                      <w:marBottom w:val="0"/>
                      <w:divBdr>
                        <w:top w:val="none" w:sz="0" w:space="0" w:color="auto"/>
                        <w:left w:val="none" w:sz="0" w:space="0" w:color="auto"/>
                        <w:bottom w:val="none" w:sz="0" w:space="0" w:color="auto"/>
                        <w:right w:val="none" w:sz="0" w:space="0" w:color="auto"/>
                      </w:divBdr>
                      <w:divsChild>
                        <w:div w:id="1931349715">
                          <w:marLeft w:val="0"/>
                          <w:marRight w:val="0"/>
                          <w:marTop w:val="0"/>
                          <w:marBottom w:val="0"/>
                          <w:divBdr>
                            <w:top w:val="none" w:sz="0" w:space="0" w:color="auto"/>
                            <w:left w:val="none" w:sz="0" w:space="0" w:color="auto"/>
                            <w:bottom w:val="none" w:sz="0" w:space="0" w:color="auto"/>
                            <w:right w:val="none" w:sz="0" w:space="0" w:color="auto"/>
                          </w:divBdr>
                          <w:divsChild>
                            <w:div w:id="599676373">
                              <w:marLeft w:val="0"/>
                              <w:marRight w:val="0"/>
                              <w:marTop w:val="0"/>
                              <w:marBottom w:val="0"/>
                              <w:divBdr>
                                <w:top w:val="none" w:sz="0" w:space="0" w:color="auto"/>
                                <w:left w:val="none" w:sz="0" w:space="0" w:color="auto"/>
                                <w:bottom w:val="none" w:sz="0" w:space="0" w:color="auto"/>
                                <w:right w:val="none" w:sz="0" w:space="0" w:color="auto"/>
                              </w:divBdr>
                              <w:divsChild>
                                <w:div w:id="1473206369">
                                  <w:marLeft w:val="0"/>
                                  <w:marRight w:val="0"/>
                                  <w:marTop w:val="0"/>
                                  <w:marBottom w:val="0"/>
                                  <w:divBdr>
                                    <w:top w:val="none" w:sz="0" w:space="0" w:color="auto"/>
                                    <w:left w:val="none" w:sz="0" w:space="0" w:color="auto"/>
                                    <w:bottom w:val="none" w:sz="0" w:space="0" w:color="auto"/>
                                    <w:right w:val="none" w:sz="0" w:space="0" w:color="auto"/>
                                  </w:divBdr>
                                  <w:divsChild>
                                    <w:div w:id="652032143">
                                      <w:marLeft w:val="0"/>
                                      <w:marRight w:val="0"/>
                                      <w:marTop w:val="0"/>
                                      <w:marBottom w:val="0"/>
                                      <w:divBdr>
                                        <w:top w:val="none" w:sz="0" w:space="0" w:color="auto"/>
                                        <w:left w:val="none" w:sz="0" w:space="0" w:color="auto"/>
                                        <w:bottom w:val="none" w:sz="0" w:space="0" w:color="auto"/>
                                        <w:right w:val="none" w:sz="0" w:space="0" w:color="auto"/>
                                      </w:divBdr>
                                      <w:divsChild>
                                        <w:div w:id="2132049729">
                                          <w:marLeft w:val="0"/>
                                          <w:marRight w:val="0"/>
                                          <w:marTop w:val="0"/>
                                          <w:marBottom w:val="0"/>
                                          <w:divBdr>
                                            <w:top w:val="none" w:sz="0" w:space="0" w:color="auto"/>
                                            <w:left w:val="none" w:sz="0" w:space="0" w:color="auto"/>
                                            <w:bottom w:val="none" w:sz="0" w:space="0" w:color="auto"/>
                                            <w:right w:val="none" w:sz="0" w:space="0" w:color="auto"/>
                                          </w:divBdr>
                                          <w:divsChild>
                                            <w:div w:id="1276060164">
                                              <w:marLeft w:val="0"/>
                                              <w:marRight w:val="0"/>
                                              <w:marTop w:val="0"/>
                                              <w:marBottom w:val="0"/>
                                              <w:divBdr>
                                                <w:top w:val="none" w:sz="0" w:space="0" w:color="auto"/>
                                                <w:left w:val="none" w:sz="0" w:space="0" w:color="auto"/>
                                                <w:bottom w:val="none" w:sz="0" w:space="0" w:color="auto"/>
                                                <w:right w:val="none" w:sz="0" w:space="0" w:color="auto"/>
                                              </w:divBdr>
                                              <w:divsChild>
                                                <w:div w:id="1337149253">
                                                  <w:marLeft w:val="0"/>
                                                  <w:marRight w:val="0"/>
                                                  <w:marTop w:val="0"/>
                                                  <w:marBottom w:val="0"/>
                                                  <w:divBdr>
                                                    <w:top w:val="none" w:sz="0" w:space="0" w:color="auto"/>
                                                    <w:left w:val="none" w:sz="0" w:space="0" w:color="auto"/>
                                                    <w:bottom w:val="none" w:sz="0" w:space="0" w:color="auto"/>
                                                    <w:right w:val="none" w:sz="0" w:space="0" w:color="auto"/>
                                                  </w:divBdr>
                                                  <w:divsChild>
                                                    <w:div w:id="13660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5092">
                                          <w:marLeft w:val="0"/>
                                          <w:marRight w:val="0"/>
                                          <w:marTop w:val="60"/>
                                          <w:marBottom w:val="0"/>
                                          <w:divBdr>
                                            <w:top w:val="none" w:sz="0" w:space="0" w:color="auto"/>
                                            <w:left w:val="none" w:sz="0" w:space="0" w:color="auto"/>
                                            <w:bottom w:val="none" w:sz="0" w:space="0" w:color="auto"/>
                                            <w:right w:val="none" w:sz="0" w:space="0" w:color="auto"/>
                                          </w:divBdr>
                                        </w:div>
                                        <w:div w:id="257905370">
                                          <w:marLeft w:val="0"/>
                                          <w:marRight w:val="0"/>
                                          <w:marTop w:val="0"/>
                                          <w:marBottom w:val="0"/>
                                          <w:divBdr>
                                            <w:top w:val="none" w:sz="0" w:space="0" w:color="auto"/>
                                            <w:left w:val="none" w:sz="0" w:space="0" w:color="auto"/>
                                            <w:bottom w:val="none" w:sz="0" w:space="0" w:color="auto"/>
                                            <w:right w:val="none" w:sz="0" w:space="0" w:color="auto"/>
                                          </w:divBdr>
                                          <w:divsChild>
                                            <w:div w:id="689987205">
                                              <w:marLeft w:val="0"/>
                                              <w:marRight w:val="60"/>
                                              <w:marTop w:val="0"/>
                                              <w:marBottom w:val="0"/>
                                              <w:divBdr>
                                                <w:top w:val="none" w:sz="0" w:space="0" w:color="auto"/>
                                                <w:left w:val="none" w:sz="0" w:space="0" w:color="auto"/>
                                                <w:bottom w:val="none" w:sz="0" w:space="0" w:color="auto"/>
                                                <w:right w:val="none" w:sz="0" w:space="0" w:color="auto"/>
                                              </w:divBdr>
                                              <w:divsChild>
                                                <w:div w:id="1444954810">
                                                  <w:marLeft w:val="0"/>
                                                  <w:marRight w:val="0"/>
                                                  <w:marTop w:val="100"/>
                                                  <w:marBottom w:val="100"/>
                                                  <w:divBdr>
                                                    <w:top w:val="none" w:sz="0" w:space="0" w:color="auto"/>
                                                    <w:left w:val="none" w:sz="0" w:space="0" w:color="auto"/>
                                                    <w:bottom w:val="none" w:sz="0" w:space="0" w:color="auto"/>
                                                    <w:right w:val="none" w:sz="0" w:space="0" w:color="auto"/>
                                                  </w:divBdr>
                                                  <w:divsChild>
                                                    <w:div w:id="1607425503">
                                                      <w:marLeft w:val="0"/>
                                                      <w:marRight w:val="0"/>
                                                      <w:marTop w:val="0"/>
                                                      <w:marBottom w:val="0"/>
                                                      <w:divBdr>
                                                        <w:top w:val="none" w:sz="0" w:space="0" w:color="auto"/>
                                                        <w:left w:val="none" w:sz="0" w:space="0" w:color="auto"/>
                                                        <w:bottom w:val="none" w:sz="0" w:space="0" w:color="auto"/>
                                                        <w:right w:val="none" w:sz="0" w:space="0" w:color="auto"/>
                                                      </w:divBdr>
                                                    </w:div>
                                                  </w:divsChild>
                                                </w:div>
                                                <w:div w:id="1819030115">
                                                  <w:marLeft w:val="60"/>
                                                  <w:marRight w:val="0"/>
                                                  <w:marTop w:val="0"/>
                                                  <w:marBottom w:val="30"/>
                                                  <w:divBdr>
                                                    <w:top w:val="none" w:sz="0" w:space="0" w:color="auto"/>
                                                    <w:left w:val="none" w:sz="0" w:space="0" w:color="auto"/>
                                                    <w:bottom w:val="none" w:sz="0" w:space="0" w:color="auto"/>
                                                    <w:right w:val="none" w:sz="0" w:space="0" w:color="auto"/>
                                                  </w:divBdr>
                                                </w:div>
                                              </w:divsChild>
                                            </w:div>
                                            <w:div w:id="974064027">
                                              <w:marLeft w:val="0"/>
                                              <w:marRight w:val="0"/>
                                              <w:marTop w:val="0"/>
                                              <w:marBottom w:val="0"/>
                                              <w:divBdr>
                                                <w:top w:val="none" w:sz="0" w:space="0" w:color="auto"/>
                                                <w:left w:val="none" w:sz="0" w:space="0" w:color="auto"/>
                                                <w:bottom w:val="none" w:sz="0" w:space="0" w:color="auto"/>
                                                <w:right w:val="none" w:sz="0" w:space="0" w:color="auto"/>
                                              </w:divBdr>
                                              <w:divsChild>
                                                <w:div w:id="613947962">
                                                  <w:marLeft w:val="0"/>
                                                  <w:marRight w:val="0"/>
                                                  <w:marTop w:val="0"/>
                                                  <w:marBottom w:val="0"/>
                                                  <w:divBdr>
                                                    <w:top w:val="none" w:sz="0" w:space="0" w:color="auto"/>
                                                    <w:left w:val="none" w:sz="0" w:space="0" w:color="auto"/>
                                                    <w:bottom w:val="none" w:sz="0" w:space="0" w:color="auto"/>
                                                    <w:right w:val="none" w:sz="0" w:space="0" w:color="auto"/>
                                                  </w:divBdr>
                                                  <w:divsChild>
                                                    <w:div w:id="181405147">
                                                      <w:marLeft w:val="0"/>
                                                      <w:marRight w:val="0"/>
                                                      <w:marTop w:val="0"/>
                                                      <w:marBottom w:val="0"/>
                                                      <w:divBdr>
                                                        <w:top w:val="none" w:sz="0" w:space="0" w:color="auto"/>
                                                        <w:left w:val="none" w:sz="0" w:space="0" w:color="auto"/>
                                                        <w:bottom w:val="none" w:sz="0" w:space="0" w:color="auto"/>
                                                        <w:right w:val="none" w:sz="0" w:space="0" w:color="auto"/>
                                                      </w:divBdr>
                                                      <w:divsChild>
                                                        <w:div w:id="775366041">
                                                          <w:marLeft w:val="105"/>
                                                          <w:marRight w:val="105"/>
                                                          <w:marTop w:val="90"/>
                                                          <w:marBottom w:val="150"/>
                                                          <w:divBdr>
                                                            <w:top w:val="none" w:sz="0" w:space="0" w:color="auto"/>
                                                            <w:left w:val="none" w:sz="0" w:space="0" w:color="auto"/>
                                                            <w:bottom w:val="none" w:sz="0" w:space="0" w:color="auto"/>
                                                            <w:right w:val="none" w:sz="0" w:space="0" w:color="auto"/>
                                                          </w:divBdr>
                                                        </w:div>
                                                        <w:div w:id="2051029359">
                                                          <w:marLeft w:val="105"/>
                                                          <w:marRight w:val="105"/>
                                                          <w:marTop w:val="90"/>
                                                          <w:marBottom w:val="150"/>
                                                          <w:divBdr>
                                                            <w:top w:val="none" w:sz="0" w:space="0" w:color="auto"/>
                                                            <w:left w:val="none" w:sz="0" w:space="0" w:color="auto"/>
                                                            <w:bottom w:val="none" w:sz="0" w:space="0" w:color="auto"/>
                                                            <w:right w:val="none" w:sz="0" w:space="0" w:color="auto"/>
                                                          </w:divBdr>
                                                        </w:div>
                                                        <w:div w:id="1606841261">
                                                          <w:marLeft w:val="105"/>
                                                          <w:marRight w:val="105"/>
                                                          <w:marTop w:val="90"/>
                                                          <w:marBottom w:val="150"/>
                                                          <w:divBdr>
                                                            <w:top w:val="none" w:sz="0" w:space="0" w:color="auto"/>
                                                            <w:left w:val="none" w:sz="0" w:space="0" w:color="auto"/>
                                                            <w:bottom w:val="none" w:sz="0" w:space="0" w:color="auto"/>
                                                            <w:right w:val="none" w:sz="0" w:space="0" w:color="auto"/>
                                                          </w:divBdr>
                                                        </w:div>
                                                        <w:div w:id="1598178381">
                                                          <w:marLeft w:val="105"/>
                                                          <w:marRight w:val="105"/>
                                                          <w:marTop w:val="90"/>
                                                          <w:marBottom w:val="150"/>
                                                          <w:divBdr>
                                                            <w:top w:val="none" w:sz="0" w:space="0" w:color="auto"/>
                                                            <w:left w:val="none" w:sz="0" w:space="0" w:color="auto"/>
                                                            <w:bottom w:val="none" w:sz="0" w:space="0" w:color="auto"/>
                                                            <w:right w:val="none" w:sz="0" w:space="0" w:color="auto"/>
                                                          </w:divBdr>
                                                        </w:div>
                                                        <w:div w:id="1759328144">
                                                          <w:marLeft w:val="105"/>
                                                          <w:marRight w:val="105"/>
                                                          <w:marTop w:val="90"/>
                                                          <w:marBottom w:val="150"/>
                                                          <w:divBdr>
                                                            <w:top w:val="none" w:sz="0" w:space="0" w:color="auto"/>
                                                            <w:left w:val="none" w:sz="0" w:space="0" w:color="auto"/>
                                                            <w:bottom w:val="none" w:sz="0" w:space="0" w:color="auto"/>
                                                            <w:right w:val="none" w:sz="0" w:space="0" w:color="auto"/>
                                                          </w:divBdr>
                                                        </w:div>
                                                        <w:div w:id="47726145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4440917">
      <w:bodyDiv w:val="1"/>
      <w:marLeft w:val="0"/>
      <w:marRight w:val="0"/>
      <w:marTop w:val="0"/>
      <w:marBottom w:val="0"/>
      <w:divBdr>
        <w:top w:val="none" w:sz="0" w:space="0" w:color="auto"/>
        <w:left w:val="none" w:sz="0" w:space="0" w:color="auto"/>
        <w:bottom w:val="none" w:sz="0" w:space="0" w:color="auto"/>
        <w:right w:val="none" w:sz="0" w:space="0" w:color="auto"/>
      </w:divBdr>
    </w:div>
    <w:div w:id="817771441">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1145851443">
      <w:bodyDiv w:val="1"/>
      <w:marLeft w:val="0"/>
      <w:marRight w:val="0"/>
      <w:marTop w:val="0"/>
      <w:marBottom w:val="0"/>
      <w:divBdr>
        <w:top w:val="none" w:sz="0" w:space="0" w:color="auto"/>
        <w:left w:val="none" w:sz="0" w:space="0" w:color="auto"/>
        <w:bottom w:val="none" w:sz="0" w:space="0" w:color="auto"/>
        <w:right w:val="none" w:sz="0" w:space="0" w:color="auto"/>
      </w:divBdr>
    </w:div>
    <w:div w:id="1180970205">
      <w:bodyDiv w:val="1"/>
      <w:marLeft w:val="0"/>
      <w:marRight w:val="0"/>
      <w:marTop w:val="0"/>
      <w:marBottom w:val="0"/>
      <w:divBdr>
        <w:top w:val="none" w:sz="0" w:space="0" w:color="auto"/>
        <w:left w:val="none" w:sz="0" w:space="0" w:color="auto"/>
        <w:bottom w:val="none" w:sz="0" w:space="0" w:color="auto"/>
        <w:right w:val="none" w:sz="0" w:space="0" w:color="auto"/>
      </w:divBdr>
    </w:div>
    <w:div w:id="1223909073">
      <w:bodyDiv w:val="1"/>
      <w:marLeft w:val="0"/>
      <w:marRight w:val="0"/>
      <w:marTop w:val="0"/>
      <w:marBottom w:val="0"/>
      <w:divBdr>
        <w:top w:val="none" w:sz="0" w:space="0" w:color="auto"/>
        <w:left w:val="none" w:sz="0" w:space="0" w:color="auto"/>
        <w:bottom w:val="none" w:sz="0" w:space="0" w:color="auto"/>
        <w:right w:val="none" w:sz="0" w:space="0" w:color="auto"/>
      </w:divBdr>
    </w:div>
    <w:div w:id="1259561667">
      <w:bodyDiv w:val="1"/>
      <w:marLeft w:val="0"/>
      <w:marRight w:val="0"/>
      <w:marTop w:val="0"/>
      <w:marBottom w:val="0"/>
      <w:divBdr>
        <w:top w:val="none" w:sz="0" w:space="0" w:color="auto"/>
        <w:left w:val="none" w:sz="0" w:space="0" w:color="auto"/>
        <w:bottom w:val="none" w:sz="0" w:space="0" w:color="auto"/>
        <w:right w:val="none" w:sz="0" w:space="0" w:color="auto"/>
      </w:divBdr>
      <w:divsChild>
        <w:div w:id="1187064768">
          <w:marLeft w:val="0"/>
          <w:marRight w:val="0"/>
          <w:marTop w:val="0"/>
          <w:marBottom w:val="0"/>
          <w:divBdr>
            <w:top w:val="none" w:sz="0" w:space="0" w:color="auto"/>
            <w:left w:val="none" w:sz="0" w:space="0" w:color="auto"/>
            <w:bottom w:val="none" w:sz="0" w:space="0" w:color="auto"/>
            <w:right w:val="none" w:sz="0" w:space="0" w:color="auto"/>
          </w:divBdr>
          <w:divsChild>
            <w:div w:id="224029912">
              <w:marLeft w:val="0"/>
              <w:marRight w:val="0"/>
              <w:marTop w:val="0"/>
              <w:marBottom w:val="0"/>
              <w:divBdr>
                <w:top w:val="none" w:sz="0" w:space="0" w:color="auto"/>
                <w:left w:val="none" w:sz="0" w:space="0" w:color="auto"/>
                <w:bottom w:val="none" w:sz="0" w:space="0" w:color="auto"/>
                <w:right w:val="none" w:sz="0" w:space="0" w:color="auto"/>
              </w:divBdr>
              <w:divsChild>
                <w:div w:id="469172538">
                  <w:marLeft w:val="0"/>
                  <w:marRight w:val="-90"/>
                  <w:marTop w:val="0"/>
                  <w:marBottom w:val="0"/>
                  <w:divBdr>
                    <w:top w:val="none" w:sz="0" w:space="0" w:color="auto"/>
                    <w:left w:val="none" w:sz="0" w:space="0" w:color="auto"/>
                    <w:bottom w:val="none" w:sz="0" w:space="0" w:color="auto"/>
                    <w:right w:val="none" w:sz="0" w:space="0" w:color="auto"/>
                  </w:divBdr>
                  <w:divsChild>
                    <w:div w:id="598755424">
                      <w:marLeft w:val="0"/>
                      <w:marRight w:val="0"/>
                      <w:marTop w:val="0"/>
                      <w:marBottom w:val="420"/>
                      <w:divBdr>
                        <w:top w:val="none" w:sz="0" w:space="0" w:color="auto"/>
                        <w:left w:val="none" w:sz="0" w:space="0" w:color="auto"/>
                        <w:bottom w:val="none" w:sz="0" w:space="0" w:color="auto"/>
                        <w:right w:val="none" w:sz="0" w:space="0" w:color="auto"/>
                      </w:divBdr>
                      <w:divsChild>
                        <w:div w:id="2085684072">
                          <w:marLeft w:val="240"/>
                          <w:marRight w:val="240"/>
                          <w:marTop w:val="0"/>
                          <w:marBottom w:val="165"/>
                          <w:divBdr>
                            <w:top w:val="none" w:sz="0" w:space="0" w:color="auto"/>
                            <w:left w:val="none" w:sz="0" w:space="0" w:color="auto"/>
                            <w:bottom w:val="none" w:sz="0" w:space="0" w:color="auto"/>
                            <w:right w:val="none" w:sz="0" w:space="0" w:color="auto"/>
                          </w:divBdr>
                          <w:divsChild>
                            <w:div w:id="2051833401">
                              <w:marLeft w:val="150"/>
                              <w:marRight w:val="0"/>
                              <w:marTop w:val="0"/>
                              <w:marBottom w:val="0"/>
                              <w:divBdr>
                                <w:top w:val="none" w:sz="0" w:space="0" w:color="auto"/>
                                <w:left w:val="none" w:sz="0" w:space="0" w:color="auto"/>
                                <w:bottom w:val="none" w:sz="0" w:space="0" w:color="auto"/>
                                <w:right w:val="none" w:sz="0" w:space="0" w:color="auto"/>
                              </w:divBdr>
                              <w:divsChild>
                                <w:div w:id="1353453976">
                                  <w:marLeft w:val="0"/>
                                  <w:marRight w:val="0"/>
                                  <w:marTop w:val="0"/>
                                  <w:marBottom w:val="0"/>
                                  <w:divBdr>
                                    <w:top w:val="none" w:sz="0" w:space="0" w:color="auto"/>
                                    <w:left w:val="none" w:sz="0" w:space="0" w:color="auto"/>
                                    <w:bottom w:val="none" w:sz="0" w:space="0" w:color="auto"/>
                                    <w:right w:val="none" w:sz="0" w:space="0" w:color="auto"/>
                                  </w:divBdr>
                                  <w:divsChild>
                                    <w:div w:id="296575041">
                                      <w:marLeft w:val="0"/>
                                      <w:marRight w:val="0"/>
                                      <w:marTop w:val="0"/>
                                      <w:marBottom w:val="0"/>
                                      <w:divBdr>
                                        <w:top w:val="none" w:sz="0" w:space="0" w:color="auto"/>
                                        <w:left w:val="none" w:sz="0" w:space="0" w:color="auto"/>
                                        <w:bottom w:val="none" w:sz="0" w:space="0" w:color="auto"/>
                                        <w:right w:val="none" w:sz="0" w:space="0" w:color="auto"/>
                                      </w:divBdr>
                                      <w:divsChild>
                                        <w:div w:id="1872911367">
                                          <w:marLeft w:val="0"/>
                                          <w:marRight w:val="0"/>
                                          <w:marTop w:val="0"/>
                                          <w:marBottom w:val="60"/>
                                          <w:divBdr>
                                            <w:top w:val="none" w:sz="0" w:space="0" w:color="auto"/>
                                            <w:left w:val="none" w:sz="0" w:space="0" w:color="auto"/>
                                            <w:bottom w:val="none" w:sz="0" w:space="0" w:color="auto"/>
                                            <w:right w:val="none" w:sz="0" w:space="0" w:color="auto"/>
                                          </w:divBdr>
                                          <w:divsChild>
                                            <w:div w:id="750004299">
                                              <w:marLeft w:val="0"/>
                                              <w:marRight w:val="0"/>
                                              <w:marTop w:val="0"/>
                                              <w:marBottom w:val="0"/>
                                              <w:divBdr>
                                                <w:top w:val="none" w:sz="0" w:space="0" w:color="auto"/>
                                                <w:left w:val="none" w:sz="0" w:space="0" w:color="auto"/>
                                                <w:bottom w:val="none" w:sz="0" w:space="0" w:color="auto"/>
                                                <w:right w:val="none" w:sz="0" w:space="0" w:color="auto"/>
                                              </w:divBdr>
                                            </w:div>
                                            <w:div w:id="17867344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2590591">
      <w:bodyDiv w:val="1"/>
      <w:marLeft w:val="0"/>
      <w:marRight w:val="0"/>
      <w:marTop w:val="0"/>
      <w:marBottom w:val="0"/>
      <w:divBdr>
        <w:top w:val="none" w:sz="0" w:space="0" w:color="auto"/>
        <w:left w:val="none" w:sz="0" w:space="0" w:color="auto"/>
        <w:bottom w:val="none" w:sz="0" w:space="0" w:color="auto"/>
        <w:right w:val="none" w:sz="0" w:space="0" w:color="auto"/>
      </w:divBdr>
    </w:div>
    <w:div w:id="1318071516">
      <w:bodyDiv w:val="1"/>
      <w:marLeft w:val="0"/>
      <w:marRight w:val="0"/>
      <w:marTop w:val="0"/>
      <w:marBottom w:val="0"/>
      <w:divBdr>
        <w:top w:val="none" w:sz="0" w:space="0" w:color="auto"/>
        <w:left w:val="none" w:sz="0" w:space="0" w:color="auto"/>
        <w:bottom w:val="none" w:sz="0" w:space="0" w:color="auto"/>
        <w:right w:val="none" w:sz="0" w:space="0" w:color="auto"/>
      </w:divBdr>
    </w:div>
    <w:div w:id="1575164284">
      <w:bodyDiv w:val="1"/>
      <w:marLeft w:val="0"/>
      <w:marRight w:val="0"/>
      <w:marTop w:val="0"/>
      <w:marBottom w:val="0"/>
      <w:divBdr>
        <w:top w:val="none" w:sz="0" w:space="0" w:color="auto"/>
        <w:left w:val="none" w:sz="0" w:space="0" w:color="auto"/>
        <w:bottom w:val="none" w:sz="0" w:space="0" w:color="auto"/>
        <w:right w:val="none" w:sz="0" w:space="0" w:color="auto"/>
      </w:divBdr>
    </w:div>
    <w:div w:id="1600211713">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 w:id="1869677456">
      <w:bodyDiv w:val="1"/>
      <w:marLeft w:val="0"/>
      <w:marRight w:val="0"/>
      <w:marTop w:val="0"/>
      <w:marBottom w:val="0"/>
      <w:divBdr>
        <w:top w:val="none" w:sz="0" w:space="0" w:color="auto"/>
        <w:left w:val="none" w:sz="0" w:space="0" w:color="auto"/>
        <w:bottom w:val="none" w:sz="0" w:space="0" w:color="auto"/>
        <w:right w:val="none" w:sz="0" w:space="0" w:color="auto"/>
      </w:divBdr>
    </w:div>
    <w:div w:id="1940481420">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100.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0.wmf"/><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1.wmf"/><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vasep.com.vn/gia-thuy-san/gia-trong-nuoc/gia-thuy-san-tai-khanh-hoa-tu-14-20-02-2025-248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htu\OneDrive\Desktop\N&#258;M%202024%20PHUONG\Th&#225;ng%2011.2024\Bi&#7875;u%20&#273;&#7891;%20th&#225;ng%20ti&#7871;ng%20T5%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N&#259;m%202025\b&#225;o%20cao%20th&#225;ng\Th&#225;ng%202%202025\bi&#7875;u%20&#273;&#7891;%20FDI%20T2%20202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N&#259;m%202025\b&#225;o%20cao%20th&#225;ng\Th&#225;ng%202%202025\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gsofs05\tkth02\01%20Bao%20cao%20thang\2025\Th&#225;ng%202\Chuy&#234;n%20vi&#234;n\&#272;&#244;&#768;%20thi&#803;%20t&#244;&#777;ng%20m&#432;&#769;c%202.2025.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5\Th&#225;ng%202.2025\V&#7909;%20TH\Bi&#7875;u%20&#273;&#7891;%20XNK%20T2.2025.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5\Th&#225;ng%202.2025\V&#7909;%20TH\Bi&#7875;u%20&#273;&#7891;%20XNK%20T2.2025.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D:\Huong\Bi&#7875;u%20&#273;&#7891;%20CPI_%20Ngan%2028.2.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2 tháng đầu năm 2024</c:v>
                </c:pt>
              </c:strCache>
            </c:strRef>
          </c:tx>
          <c:spPr>
            <a:solidFill>
              <a:srgbClr val="CFB09D"/>
            </a:solidFill>
            <a:ln>
              <a:noFill/>
            </a:ln>
            <a:effectLst/>
          </c:spPr>
          <c:invertIfNegative val="0"/>
          <c:cat>
            <c:strRef>
              <c:f>'Hình 7. Địa phương'!$C$5:$C$13</c:f>
              <c:strCache>
                <c:ptCount val="9"/>
                <c:pt idx="0">
                  <c:v>Hà Nội</c:v>
                </c:pt>
                <c:pt idx="1">
                  <c:v>TP. Hồ Chí Minh</c:v>
                </c:pt>
                <c:pt idx="2">
                  <c:v>Hưng Yên</c:v>
                </c:pt>
                <c:pt idx="3">
                  <c:v>Bình Dương</c:v>
                </c:pt>
                <c:pt idx="4">
                  <c:v>Hải Phòng</c:v>
                </c:pt>
                <c:pt idx="5">
                  <c:v>Bà Rịa - Vũng Tàu</c:v>
                </c:pt>
                <c:pt idx="6">
                  <c:v>Đồng Nai</c:v>
                </c:pt>
                <c:pt idx="7">
                  <c:v>Thanh Hóa</c:v>
                </c:pt>
                <c:pt idx="8">
                  <c:v>Quảng Ninh</c:v>
                </c:pt>
              </c:strCache>
            </c:strRef>
          </c:cat>
          <c:val>
            <c:numRef>
              <c:f>'Hình 7. Địa phương'!$D$5:$D$13</c:f>
              <c:numCache>
                <c:formatCode>0.0</c:formatCode>
                <c:ptCount val="9"/>
                <c:pt idx="0">
                  <c:v>6310.1589999999997</c:v>
                </c:pt>
                <c:pt idx="1">
                  <c:v>3683.694</c:v>
                </c:pt>
                <c:pt idx="2">
                  <c:v>1681.14</c:v>
                </c:pt>
                <c:pt idx="3">
                  <c:v>1584.5329999999999</c:v>
                </c:pt>
                <c:pt idx="4">
                  <c:v>1421.56</c:v>
                </c:pt>
                <c:pt idx="5">
                  <c:v>1747.2478100000001</c:v>
                </c:pt>
                <c:pt idx="6">
                  <c:v>1306.221</c:v>
                </c:pt>
                <c:pt idx="7">
                  <c:v>1190.3389999999999</c:v>
                </c:pt>
                <c:pt idx="8">
                  <c:v>1633.9659999999999</c:v>
                </c:pt>
              </c:numCache>
            </c:numRef>
          </c:val>
          <c:extLst>
            <c:ext xmlns:c16="http://schemas.microsoft.com/office/drawing/2014/chart" uri="{C3380CC4-5D6E-409C-BE32-E72D297353CC}">
              <c16:uniqueId val="{00000000-1FFF-4057-9D36-9A24BF199EA0}"/>
            </c:ext>
          </c:extLst>
        </c:ser>
        <c:ser>
          <c:idx val="1"/>
          <c:order val="1"/>
          <c:tx>
            <c:strRef>
              <c:f>'Hình 7. Địa phương'!$E$4</c:f>
              <c:strCache>
                <c:ptCount val="1"/>
                <c:pt idx="0">
                  <c:v>2 tháng đầu năm 2025</c:v>
                </c:pt>
              </c:strCache>
            </c:strRef>
          </c:tx>
          <c:spPr>
            <a:solidFill>
              <a:srgbClr val="C84863"/>
            </a:solidFill>
            <a:ln>
              <a:noFill/>
            </a:ln>
            <a:effectLst/>
          </c:spPr>
          <c:invertIfNegative val="0"/>
          <c:dLbls>
            <c:dLbl>
              <c:idx val="0"/>
              <c:layout>
                <c:manualLayout>
                  <c:x val="-7.4785352983400277E-3"/>
                  <c:y val="1.7022965976891276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9.282707450030285E-2"/>
                      <c:h val="4.3811693751047071E-2"/>
                    </c:manualLayout>
                  </c15:layout>
                </c:ext>
                <c:ext xmlns:c16="http://schemas.microsoft.com/office/drawing/2014/chart" uri="{C3380CC4-5D6E-409C-BE32-E72D297353CC}">
                  <c16:uniqueId val="{00000001-1FFF-4057-9D36-9A24BF199EA0}"/>
                </c:ext>
              </c:extLst>
            </c:dLbl>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FF-4057-9D36-9A24BF199EA0}"/>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Hưng Yên</c:v>
                </c:pt>
                <c:pt idx="3">
                  <c:v>Bình Dương</c:v>
                </c:pt>
                <c:pt idx="4">
                  <c:v>Hải Phòng</c:v>
                </c:pt>
                <c:pt idx="5">
                  <c:v>Bà Rịa - Vũng Tàu</c:v>
                </c:pt>
                <c:pt idx="6">
                  <c:v>Đồng Nai</c:v>
                </c:pt>
                <c:pt idx="7">
                  <c:v>Thanh Hóa</c:v>
                </c:pt>
                <c:pt idx="8">
                  <c:v>Quảng Ninh</c:v>
                </c:pt>
              </c:strCache>
            </c:strRef>
          </c:cat>
          <c:val>
            <c:numRef>
              <c:f>'Hình 7. Địa phương'!$E$5:$E$13</c:f>
              <c:numCache>
                <c:formatCode>0.0</c:formatCode>
                <c:ptCount val="9"/>
                <c:pt idx="0">
                  <c:v>9095.0149999999994</c:v>
                </c:pt>
                <c:pt idx="1">
                  <c:v>4230.1099999999997</c:v>
                </c:pt>
                <c:pt idx="2">
                  <c:v>2921.0650000000001</c:v>
                </c:pt>
                <c:pt idx="3">
                  <c:v>1986.1659999999999</c:v>
                </c:pt>
                <c:pt idx="4">
                  <c:v>1915.471</c:v>
                </c:pt>
                <c:pt idx="5">
                  <c:v>1872.8710000000001</c:v>
                </c:pt>
                <c:pt idx="6">
                  <c:v>1438.7840000000001</c:v>
                </c:pt>
                <c:pt idx="7">
                  <c:v>1435.9860000000001</c:v>
                </c:pt>
                <c:pt idx="8">
                  <c:v>1349.3710000000001</c:v>
                </c:pt>
              </c:numCache>
            </c:numRef>
          </c:val>
          <c:extLst>
            <c:ext xmlns:c16="http://schemas.microsoft.com/office/drawing/2014/chart" uri="{C3380CC4-5D6E-409C-BE32-E72D297353CC}">
              <c16:uniqueId val="{00000003-1FFF-4057-9D36-9A24BF199EA0}"/>
            </c:ext>
          </c:extLst>
        </c:ser>
        <c:dLbls>
          <c:showLegendKey val="0"/>
          <c:showVal val="0"/>
          <c:showCatName val="0"/>
          <c:showSerName val="0"/>
          <c:showPercent val="0"/>
          <c:showBubbleSize val="0"/>
        </c:dLbls>
        <c:gapWidth val="36"/>
        <c:axId val="1181525376"/>
        <c:axId val="1181524832"/>
      </c:barChart>
      <c:catAx>
        <c:axId val="118152537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1524832"/>
        <c:crosses val="autoZero"/>
        <c:auto val="1"/>
        <c:lblAlgn val="ctr"/>
        <c:lblOffset val="100"/>
        <c:noMultiLvlLbl val="0"/>
      </c:catAx>
      <c:valAx>
        <c:axId val="11815248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181525376"/>
        <c:crosses val="autoZero"/>
        <c:crossBetween val="between"/>
      </c:valAx>
      <c:spPr>
        <a:noFill/>
        <a:ln>
          <a:noFill/>
        </a:ln>
        <a:effectLst/>
      </c:spPr>
    </c:plotArea>
    <c:legend>
      <c:legendPos val="b"/>
      <c:layout>
        <c:manualLayout>
          <c:xMode val="edge"/>
          <c:yMode val="edge"/>
          <c:x val="9.6837775085806585E-2"/>
          <c:y val="0.92931736287201383"/>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'[biểu đồ FDI T2 2025.xlsx]04.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3,31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9C-4DB7-9F41-AE5CEFA5A62A}"/>
                </c:ext>
              </c:extLst>
            </c:dLbl>
            <c:dLbl>
              <c:idx val="1"/>
              <c:tx>
                <c:rich>
                  <a:bodyPr/>
                  <a:lstStyle/>
                  <a:p>
                    <a:r>
                      <a:rPr lang="en-US"/>
                      <a:t>0,64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9C-4DB7-9F41-AE5CEFA5A62A}"/>
                </c:ext>
              </c:extLst>
            </c:dLbl>
            <c:dLbl>
              <c:idx val="2"/>
              <c:tx>
                <c:rich>
                  <a:bodyPr/>
                  <a:lstStyle/>
                  <a:p>
                    <a:r>
                      <a:rPr lang="en-US"/>
                      <a:t>1,76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B9C-4DB7-9F41-AE5CEFA5A62A}"/>
                </c:ext>
              </c:extLst>
            </c:dLbl>
            <c:dLbl>
              <c:idx val="3"/>
              <c:layout>
                <c:manualLayout>
                  <c:x val="-1.9219215583605901E-2"/>
                  <c:y val="-3.819400322405998E-17"/>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B9C-4DB7-9F41-AE5CEFA5A62A}"/>
                </c:ext>
              </c:extLst>
            </c:dLbl>
            <c:dLbl>
              <c:idx val="4"/>
              <c:tx>
                <c:rich>
                  <a:bodyPr/>
                  <a:lstStyle/>
                  <a:p>
                    <a:r>
                      <a:rPr lang="en-US"/>
                      <a:t>2,19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B9C-4DB7-9F41-AE5CEFA5A62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'[biểu đồ FDI T2 2025.xlsx]04. FDI SO SANH '!$B$15:$F$15</c:f>
              <c:numCache>
                <c:formatCode>General</c:formatCode>
                <c:ptCount val="5"/>
                <c:pt idx="0">
                  <c:v>2021</c:v>
                </c:pt>
                <c:pt idx="1">
                  <c:v>2022</c:v>
                </c:pt>
                <c:pt idx="2">
                  <c:v>2023</c:v>
                </c:pt>
                <c:pt idx="3">
                  <c:v>2024</c:v>
                </c:pt>
                <c:pt idx="4">
                  <c:v>2025</c:v>
                </c:pt>
              </c:numCache>
            </c:numRef>
          </c:cat>
          <c:val>
            <c:numRef>
              <c:f>'[biểu đồ FDI T2 2025.xlsx]04. FDI SO SANH '!$B$16:$F$16</c:f>
              <c:numCache>
                <c:formatCode>0.00</c:formatCode>
                <c:ptCount val="5"/>
                <c:pt idx="0">
                  <c:v>3.30866813</c:v>
                </c:pt>
                <c:pt idx="1">
                  <c:v>0.63176240644999992</c:v>
                </c:pt>
                <c:pt idx="2">
                  <c:v>1.76414061691</c:v>
                </c:pt>
                <c:pt idx="3">
                  <c:v>3.5959377820000009</c:v>
                </c:pt>
                <c:pt idx="4">
                  <c:v>2.1910348144399996</c:v>
                </c:pt>
              </c:numCache>
            </c:numRef>
          </c:val>
          <c:extLst>
            <c:ext xmlns:c16="http://schemas.microsoft.com/office/drawing/2014/chart" uri="{C3380CC4-5D6E-409C-BE32-E72D297353CC}">
              <c16:uniqueId val="{00000005-1B9C-4DB7-9F41-AE5CEFA5A62A}"/>
            </c:ext>
          </c:extLst>
        </c:ser>
        <c:ser>
          <c:idx val="1"/>
          <c:order val="1"/>
          <c:tx>
            <c:strRef>
              <c:f>'[biểu đồ FDI T2 2025.xlsx]04. FDI SO SANH '!$A$17</c:f>
              <c:strCache>
                <c:ptCount val="1"/>
                <c:pt idx="0">
                  <c:v>    Đăng ký điều chỉnh</c:v>
                </c:pt>
              </c:strCache>
            </c:strRef>
          </c:tx>
          <c:invertIfNegative val="0"/>
          <c:dLbls>
            <c:dLbl>
              <c:idx val="0"/>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B9C-4DB7-9F41-AE5CEFA5A62A}"/>
                </c:ext>
              </c:extLst>
            </c:dLbl>
            <c:dLbl>
              <c:idx val="1"/>
              <c:layout>
                <c:manualLayout>
                  <c:x val="3.6036029219260982E-2"/>
                  <c:y val="-7.638800644811996E-17"/>
                </c:manualLayout>
              </c:layout>
              <c:tx>
                <c:rich>
                  <a:bodyPr/>
                  <a:lstStyle/>
                  <a:p>
                    <a:r>
                      <a:rPr lang="en-US"/>
                      <a:t>3,59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B9C-4DB7-9F41-AE5CEFA5A62A}"/>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0,54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1B9C-4DB7-9F41-AE5CEFA5A62A}"/>
                </c:ext>
              </c:extLst>
            </c:dLbl>
            <c:dLbl>
              <c:idx val="3"/>
              <c:layout>
                <c:manualLayout>
                  <c:x val="-9.6096077918029297E-3"/>
                  <c:y val="-8.3333333333333714E-3"/>
                </c:manualLayout>
              </c:layout>
              <c:tx>
                <c:rich>
                  <a:bodyPr/>
                  <a:lstStyle/>
                  <a:p>
                    <a:r>
                      <a:rPr lang="en-US"/>
                      <a:t>0,44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B9C-4DB7-9F41-AE5CEFA5A62A}"/>
                </c:ext>
              </c:extLst>
            </c:dLbl>
            <c:dLbl>
              <c:idx val="4"/>
              <c:tx>
                <c:rich>
                  <a:bodyPr/>
                  <a:lstStyle/>
                  <a:p>
                    <a:r>
                      <a:rPr lang="en-US"/>
                      <a:t>4,18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B9C-4DB7-9F41-AE5CEFA5A62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'[biểu đồ FDI T2 2025.xlsx]04. FDI SO SANH '!$B$15:$F$15</c:f>
              <c:numCache>
                <c:formatCode>General</c:formatCode>
                <c:ptCount val="5"/>
                <c:pt idx="0">
                  <c:v>2021</c:v>
                </c:pt>
                <c:pt idx="1">
                  <c:v>2022</c:v>
                </c:pt>
                <c:pt idx="2">
                  <c:v>2023</c:v>
                </c:pt>
                <c:pt idx="3">
                  <c:v>2024</c:v>
                </c:pt>
                <c:pt idx="4">
                  <c:v>2025</c:v>
                </c:pt>
              </c:numCache>
            </c:numRef>
          </c:cat>
          <c:val>
            <c:numRef>
              <c:f>'[biểu đồ FDI T2 2025.xlsx]04. FDI SO SANH '!$B$17:$F$17</c:f>
              <c:numCache>
                <c:formatCode>0.00</c:formatCode>
                <c:ptCount val="5"/>
                <c:pt idx="0">
                  <c:v>1.6064025292812498</c:v>
                </c:pt>
                <c:pt idx="1">
                  <c:v>3.5944651162343755</c:v>
                </c:pt>
                <c:pt idx="2">
                  <c:v>0.53535032283984374</c:v>
                </c:pt>
                <c:pt idx="3">
                  <c:v>0.44209694651806636</c:v>
                </c:pt>
                <c:pt idx="4">
                  <c:v>4.1841099008242191</c:v>
                </c:pt>
              </c:numCache>
            </c:numRef>
          </c:val>
          <c:extLst>
            <c:ext xmlns:c16="http://schemas.microsoft.com/office/drawing/2014/chart" uri="{C3380CC4-5D6E-409C-BE32-E72D297353CC}">
              <c16:uniqueId val="{0000000B-1B9C-4DB7-9F41-AE5CEFA5A62A}"/>
            </c:ext>
          </c:extLst>
        </c:ser>
        <c:ser>
          <c:idx val="2"/>
          <c:order val="2"/>
          <c:tx>
            <c:strRef>
              <c:f>'[biểu đồ FDI T2 2025.xlsx]04. FDI SO SANH '!$A$18</c:f>
              <c:strCache>
                <c:ptCount val="1"/>
                <c:pt idx="0">
                  <c:v>Góp vốn, mua cổ phần</c:v>
                </c:pt>
              </c:strCache>
            </c:strRef>
          </c:tx>
          <c:invertIfNegative val="0"/>
          <c:dLbls>
            <c:dLbl>
              <c:idx val="0"/>
              <c:tx>
                <c:rich>
                  <a:bodyPr/>
                  <a:lstStyle/>
                  <a:p>
                    <a:r>
                      <a:rPr lang="en-US"/>
                      <a:t>0,54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B9C-4DB7-9F41-AE5CEFA5A62A}"/>
                </c:ext>
              </c:extLst>
            </c:dLbl>
            <c:dLbl>
              <c:idx val="1"/>
              <c:tx>
                <c:rich>
                  <a:bodyPr/>
                  <a:lstStyle/>
                  <a:p>
                    <a:r>
                      <a:rPr lang="en-US" baseline="0"/>
                      <a:t>0,77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B9C-4DB7-9F41-AE5CEFA5A62A}"/>
                </c:ext>
              </c:extLst>
            </c:dLbl>
            <c:dLbl>
              <c:idx val="2"/>
              <c:layout>
                <c:manualLayout>
                  <c:x val="-1.2012009739753662E-2"/>
                  <c:y val="-3.819400322405998E-17"/>
                </c:manualLayout>
              </c:layout>
              <c:tx>
                <c:rich>
                  <a:bodyPr/>
                  <a:lstStyle/>
                  <a:p>
                    <a:r>
                      <a:rPr lang="en-US"/>
                      <a:t>0,80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B9C-4DB7-9F41-AE5CEFA5A62A}"/>
                </c:ext>
              </c:extLst>
            </c:dLbl>
            <c:dLbl>
              <c:idx val="3"/>
              <c:layout>
                <c:manualLayout>
                  <c:x val="1.2012009739753573E-2"/>
                  <c:y val="-8.3333333333333714E-3"/>
                </c:manualLayout>
              </c:layout>
              <c:tx>
                <c:rich>
                  <a:bodyPr wrap="square" lIns="38100" tIns="19050" rIns="38100" bIns="19050" anchor="ctr">
                    <a:noAutofit/>
                  </a:bodyPr>
                  <a:lstStyle/>
                  <a:p>
                    <a:pPr>
                      <a:defRPr/>
                    </a:pPr>
                    <a:r>
                      <a:rPr lang="en-US"/>
                      <a:t>0,25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1B9C-4DB7-9F41-AE5CEFA5A62A}"/>
                </c:ext>
              </c:extLst>
            </c:dLbl>
            <c:dLbl>
              <c:idx val="4"/>
              <c:layout>
                <c:manualLayout>
                  <c:x val="2.4024019479507323E-2"/>
                  <c:y val="0"/>
                </c:manualLayout>
              </c:layout>
              <c:tx>
                <c:rich>
                  <a:bodyPr/>
                  <a:lstStyle/>
                  <a:p>
                    <a:r>
                      <a:rPr lang="en-US"/>
                      <a:t> 0,53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B9C-4DB7-9F41-AE5CEFA5A62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'[biểu đồ FDI T2 2025.xlsx]04. FDI SO SANH '!$B$15:$F$15</c:f>
              <c:numCache>
                <c:formatCode>General</c:formatCode>
                <c:ptCount val="5"/>
                <c:pt idx="0">
                  <c:v>2021</c:v>
                </c:pt>
                <c:pt idx="1">
                  <c:v>2022</c:v>
                </c:pt>
                <c:pt idx="2">
                  <c:v>2023</c:v>
                </c:pt>
                <c:pt idx="3">
                  <c:v>2024</c:v>
                </c:pt>
                <c:pt idx="4">
                  <c:v>2025</c:v>
                </c:pt>
              </c:numCache>
            </c:numRef>
          </c:cat>
          <c:val>
            <c:numRef>
              <c:f>'[biểu đồ FDI T2 2025.xlsx]04. FDI SO SANH '!$B$18:$F$18</c:f>
              <c:numCache>
                <c:formatCode>0.00</c:formatCode>
                <c:ptCount val="5"/>
                <c:pt idx="0">
                  <c:v>0.54309769858322487</c:v>
                </c:pt>
                <c:pt idx="1">
                  <c:v>0.76959727012500001</c:v>
                </c:pt>
                <c:pt idx="2">
                  <c:v>0.79787088626999991</c:v>
                </c:pt>
                <c:pt idx="3">
                  <c:v>0.25542473719000003</c:v>
                </c:pt>
                <c:pt idx="4">
                  <c:v>0.52976791101000031</c:v>
                </c:pt>
              </c:numCache>
            </c:numRef>
          </c:val>
          <c:extLst>
            <c:ext xmlns:c16="http://schemas.microsoft.com/office/drawing/2014/chart" uri="{C3380CC4-5D6E-409C-BE32-E72D297353CC}">
              <c16:uniqueId val="{00000011-1B9C-4DB7-9F41-AE5CEFA5A62A}"/>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2.5</c:v>
                </c:pt>
                <c:pt idx="1">
                  <c:v>2.68</c:v>
                </c:pt>
                <c:pt idx="2">
                  <c:v>2.5499999999999998</c:v>
                </c:pt>
                <c:pt idx="3">
                  <c:v>2.8</c:v>
                </c:pt>
                <c:pt idx="4">
                  <c:v>2.95</c:v>
                </c:pt>
              </c:numCache>
            </c:numRef>
          </c:val>
          <c:extLst>
            <c:ext xmlns:c16="http://schemas.microsoft.com/office/drawing/2014/chart" uri="{C3380CC4-5D6E-409C-BE32-E72D297353CC}">
              <c16:uniqueId val="{00000000-A2A5-470F-BA26-C15A6C9A692C}"/>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2.5426950211001531E-3"/>
                  <c:y val="-7.0840843689719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A5-4E41-93FC-9489F2B08C98}"/>
                </c:ext>
              </c:extLst>
            </c:dLbl>
            <c:dLbl>
              <c:idx val="1"/>
              <c:layout>
                <c:manualLayout>
                  <c:x val="3.176297878019485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A5-4E41-93FC-9489F2B08C98}"/>
                </c:ext>
              </c:extLst>
            </c:dLbl>
            <c:dLbl>
              <c:idx val="2"/>
              <c:layout>
                <c:manualLayout>
                  <c:x val="-1.9253148911941563E-3"/>
                  <c:y val="-2.0404136229959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A5-4E41-93FC-9489F2B08C98}"/>
                </c:ext>
              </c:extLst>
            </c:dLbl>
            <c:dLbl>
              <c:idx val="3"/>
              <c:layout>
                <c:manualLayout>
                  <c:x val="1.8838732242046599E-3"/>
                  <c:y val="-1.5299307466084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A5-4E41-93FC-9489F2B08C98}"/>
                </c:ext>
              </c:extLst>
            </c:dLbl>
            <c:dLbl>
              <c:idx val="4"/>
              <c:layout>
                <c:manualLayout>
                  <c:x val="7.0134424313268813E-3"/>
                  <c:y val="-1.8701577965404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A5-4E41-93FC-9489F2B08C98}"/>
                </c:ext>
              </c:extLst>
            </c:dLbl>
            <c:numFmt formatCode="#,##0.0" sourceLinked="0"/>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2021</c:v>
                </c:pt>
                <c:pt idx="1">
                  <c:v>2022</c:v>
                </c:pt>
                <c:pt idx="2">
                  <c:v>2023</c:v>
                </c:pt>
                <c:pt idx="3">
                  <c:v>2024</c:v>
                </c:pt>
                <c:pt idx="4">
                  <c:v>2025</c:v>
                </c:pt>
              </c:numCache>
            </c:numRef>
          </c:cat>
          <c:val>
            <c:numRef>
              <c:f>VN!$B$4:$F$4</c:f>
              <c:numCache>
                <c:formatCode>0.0</c:formatCode>
                <c:ptCount val="5"/>
                <c:pt idx="0">
                  <c:v>800.08702064356794</c:v>
                </c:pt>
                <c:pt idx="1">
                  <c:v>831.35702851668213</c:v>
                </c:pt>
                <c:pt idx="2">
                  <c:v>959.28304436056283</c:v>
                </c:pt>
                <c:pt idx="3">
                  <c:v>1039.9420807425263</c:v>
                </c:pt>
                <c:pt idx="4">
                  <c:v>1137.5030359333407</c:v>
                </c:pt>
              </c:numCache>
            </c:numRef>
          </c:val>
          <c:extLst>
            <c:ext xmlns:c16="http://schemas.microsoft.com/office/drawing/2014/chart" uri="{C3380CC4-5D6E-409C-BE32-E72D297353CC}">
              <c16:uniqueId val="{00000005-3DA5-4E41-93FC-9489F2B08C98}"/>
            </c:ext>
          </c:extLst>
        </c:ser>
        <c:dLbls>
          <c:showLegendKey val="0"/>
          <c:showVal val="0"/>
          <c:showCatName val="0"/>
          <c:showSerName val="0"/>
          <c:showPercent val="0"/>
          <c:showBubbleSize val="0"/>
        </c:dLbls>
        <c:gapWidth val="120"/>
        <c:overlap val="-27"/>
        <c:axId val="1181522656"/>
        <c:axId val="1181520480"/>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2519132799808554E-2"/>
                  <c:y val="4.4894538785061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A5-4E41-93FC-9489F2B08C98}"/>
                </c:ext>
              </c:extLst>
            </c:dLbl>
            <c:dLbl>
              <c:idx val="1"/>
              <c:layout>
                <c:manualLayout>
                  <c:x val="-3.5374815615066627E-2"/>
                  <c:y val="-0.103707884153965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A5-4E41-93FC-9489F2B08C98}"/>
                </c:ext>
              </c:extLst>
            </c:dLbl>
            <c:dLbl>
              <c:idx val="2"/>
              <c:layout>
                <c:manualLayout>
                  <c:x val="-4.1584927541567535E-2"/>
                  <c:y val="0.127291528317996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A5-4E41-93FC-9489F2B08C98}"/>
                </c:ext>
              </c:extLst>
            </c:dLbl>
            <c:dLbl>
              <c:idx val="3"/>
              <c:layout>
                <c:manualLayout>
                  <c:x val="-4.2175823872395844E-2"/>
                  <c:y val="6.4515068146602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A5-4E41-93FC-9489F2B08C98}"/>
                </c:ext>
              </c:extLst>
            </c:dLbl>
            <c:dLbl>
              <c:idx val="4"/>
              <c:layout>
                <c:manualLayout>
                  <c:x val="-4.0387856252042137E-2"/>
                  <c:y val="5.5956424121683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DA5-4E41-93FC-9489F2B08C98}"/>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2021</c:v>
                </c:pt>
                <c:pt idx="1">
                  <c:v>2022</c:v>
                </c:pt>
                <c:pt idx="2">
                  <c:v>2023</c:v>
                </c:pt>
                <c:pt idx="3">
                  <c:v>2024</c:v>
                </c:pt>
                <c:pt idx="4">
                  <c:v>2025</c:v>
                </c:pt>
              </c:numCache>
            </c:numRef>
          </c:cat>
          <c:val>
            <c:numRef>
              <c:f>VN!$B$5:$F$5</c:f>
              <c:numCache>
                <c:formatCode>0.0</c:formatCode>
                <c:ptCount val="5"/>
                <c:pt idx="0">
                  <c:v>-4.2127275915935485</c:v>
                </c:pt>
                <c:pt idx="1">
                  <c:v>3.9083258528505525</c:v>
                </c:pt>
                <c:pt idx="2">
                  <c:v>15.387614641585202</c:v>
                </c:pt>
                <c:pt idx="3">
                  <c:v>8.4082624889642403</c:v>
                </c:pt>
                <c:pt idx="4">
                  <c:v>9.381383540240563</c:v>
                </c:pt>
              </c:numCache>
            </c:numRef>
          </c:val>
          <c:smooth val="0"/>
          <c:extLst>
            <c:ext xmlns:c16="http://schemas.microsoft.com/office/drawing/2014/chart" uri="{C3380CC4-5D6E-409C-BE32-E72D297353CC}">
              <c16:uniqueId val="{0000000B-3DA5-4E41-93FC-9489F2B08C98}"/>
            </c:ext>
          </c:extLst>
        </c:ser>
        <c:dLbls>
          <c:showLegendKey val="0"/>
          <c:showVal val="0"/>
          <c:showCatName val="0"/>
          <c:showSerName val="0"/>
          <c:showPercent val="0"/>
          <c:showBubbleSize val="0"/>
        </c:dLbls>
        <c:marker val="1"/>
        <c:smooth val="0"/>
        <c:axId val="1181547136"/>
        <c:axId val="1181546048"/>
      </c:lineChart>
      <c:catAx>
        <c:axId val="118152265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181520480"/>
        <c:crosses val="autoZero"/>
        <c:auto val="1"/>
        <c:lblAlgn val="ctr"/>
        <c:lblOffset val="100"/>
        <c:noMultiLvlLbl val="0"/>
      </c:catAx>
      <c:valAx>
        <c:axId val="1181520480"/>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1181522656"/>
        <c:crosses val="autoZero"/>
        <c:crossBetween val="between"/>
      </c:valAx>
      <c:valAx>
        <c:axId val="1181546048"/>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1181547136"/>
        <c:crosses val="max"/>
        <c:crossBetween val="between"/>
      </c:valAx>
      <c:catAx>
        <c:axId val="1181547136"/>
        <c:scaling>
          <c:orientation val="minMax"/>
        </c:scaling>
        <c:delete val="1"/>
        <c:axPos val="b"/>
        <c:numFmt formatCode="General" sourceLinked="1"/>
        <c:majorTickMark val="out"/>
        <c:minorTickMark val="none"/>
        <c:tickLblPos val="nextTo"/>
        <c:crossAx val="1181546048"/>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7.9</c:v>
                </c:pt>
                <c:pt idx="1">
                  <c:v>19.600000000000001</c:v>
                </c:pt>
                <c:pt idx="2">
                  <c:v>5.7</c:v>
                </c:pt>
                <c:pt idx="3">
                  <c:v>4.4000000000000004</c:v>
                </c:pt>
                <c:pt idx="4">
                  <c:v>8.8000000000000007</c:v>
                </c:pt>
                <c:pt idx="5">
                  <c:v>4.2</c:v>
                </c:pt>
              </c:numCache>
            </c:numRef>
          </c:val>
          <c:extLst>
            <c:ext xmlns:c16="http://schemas.microsoft.com/office/drawing/2014/chart" uri="{C3380CC4-5D6E-409C-BE32-E72D297353CC}">
              <c16:uniqueId val="{00000000-B585-477A-82B1-F01834BE86C6}"/>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23.3</c:v>
                </c:pt>
                <c:pt idx="1">
                  <c:v>2.6</c:v>
                </c:pt>
                <c:pt idx="2">
                  <c:v>7.8</c:v>
                </c:pt>
                <c:pt idx="3">
                  <c:v>9</c:v>
                </c:pt>
                <c:pt idx="4">
                  <c:v>2.4</c:v>
                </c:pt>
                <c:pt idx="5">
                  <c:v>3.7</c:v>
                </c:pt>
              </c:numCache>
            </c:numRef>
          </c:val>
          <c:extLst>
            <c:ext xmlns:c16="http://schemas.microsoft.com/office/drawing/2014/chart" uri="{C3380CC4-5D6E-409C-BE32-E72D297353CC}">
              <c16:uniqueId val="{00000001-B585-477A-82B1-F01834BE86C6}"/>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F0-4204-8729-166DF23FF7C7}"/>
                </c:ext>
              </c:extLst>
            </c:dLbl>
            <c:dLbl>
              <c:idx val="1"/>
              <c:layout>
                <c:manualLayout>
                  <c:x val="-1.3098721199615368E-2"/>
                  <c:y val="1.3580588140768119E-2"/>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F0-4204-8729-166DF23FF7C7}"/>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F0-4204-8729-166DF23FF7C7}"/>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F0-4204-8729-166DF23FF7C7}"/>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F0-4204-8729-166DF23FF7C7}"/>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F0-4204-8729-166DF23FF7C7}"/>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-2.1</c:v>
                </c:pt>
                <c:pt idx="1">
                  <c:v>16.5</c:v>
                </c:pt>
                <c:pt idx="2">
                  <c:v>-1.4</c:v>
                </c:pt>
                <c:pt idx="3">
                  <c:v>4.9000000000000004</c:v>
                </c:pt>
                <c:pt idx="4">
                  <c:v>13.3</c:v>
                </c:pt>
                <c:pt idx="5">
                  <c:v>15.1</c:v>
                </c:pt>
              </c:numCache>
            </c:numRef>
          </c:val>
          <c:extLst>
            <c:ext xmlns:c16="http://schemas.microsoft.com/office/drawing/2014/chart" uri="{C3380CC4-5D6E-409C-BE32-E72D297353CC}">
              <c16:uniqueId val="{00000006-7CF0-4204-8729-166DF23FF7C7}"/>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F0-4204-8729-166DF23FF7C7}"/>
                </c:ext>
              </c:extLst>
            </c:dLbl>
            <c:dLbl>
              <c:idx val="1"/>
              <c:layout>
                <c:manualLayout>
                  <c:x val="2.0818062670458201E-2"/>
                  <c:y val="8.13969682361133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F0-4204-8729-166DF23FF7C7}"/>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F0-4204-8729-166DF23FF7C7}"/>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F0-4204-8729-166DF23FF7C7}"/>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F0-4204-8729-166DF23FF7C7}"/>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20.7</c:v>
                </c:pt>
                <c:pt idx="1">
                  <c:v>17.399999999999999</c:v>
                </c:pt>
                <c:pt idx="2">
                  <c:v>15.9</c:v>
                </c:pt>
                <c:pt idx="3">
                  <c:v>12.4</c:v>
                </c:pt>
                <c:pt idx="4" formatCode="0.0">
                  <c:v>0.4</c:v>
                </c:pt>
                <c:pt idx="5" formatCode="0.0">
                  <c:v>4.7</c:v>
                </c:pt>
              </c:numCache>
            </c:numRef>
          </c:val>
          <c:extLst>
            <c:ext xmlns:c16="http://schemas.microsoft.com/office/drawing/2014/chart" uri="{C3380CC4-5D6E-409C-BE32-E72D297353CC}">
              <c16:uniqueId val="{0000000C-7CF0-4204-8729-166DF23FF7C7}"/>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02/2025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CA93-497C-ACB2-89FEE91CA8CC}"/>
              </c:ext>
            </c:extLst>
          </c:dPt>
          <c:dPt>
            <c:idx val="1"/>
            <c:invertIfNegative val="0"/>
            <c:bubble3D val="0"/>
            <c:spPr>
              <a:solidFill>
                <a:srgbClr val="FF0000"/>
              </a:solidFill>
              <a:ln>
                <a:noFill/>
              </a:ln>
              <a:effectLst/>
            </c:spPr>
            <c:extLst>
              <c:ext xmlns:c16="http://schemas.microsoft.com/office/drawing/2014/chart" uri="{C3380CC4-5D6E-409C-BE32-E72D297353CC}">
                <c16:uniqueId val="{00000003-CA93-497C-ACB2-89FEE91CA8CC}"/>
              </c:ext>
            </c:extLst>
          </c:dPt>
          <c:dPt>
            <c:idx val="2"/>
            <c:invertIfNegative val="0"/>
            <c:bubble3D val="0"/>
            <c:spPr>
              <a:solidFill>
                <a:srgbClr val="FF0000"/>
              </a:solidFill>
              <a:ln>
                <a:noFill/>
              </a:ln>
              <a:effectLst/>
            </c:spPr>
            <c:extLst>
              <c:ext xmlns:c16="http://schemas.microsoft.com/office/drawing/2014/chart" uri="{C3380CC4-5D6E-409C-BE32-E72D297353CC}">
                <c16:uniqueId val="{00000005-CA93-497C-ACB2-89FEE91CA8CC}"/>
              </c:ext>
            </c:extLst>
          </c:dPt>
          <c:dPt>
            <c:idx val="3"/>
            <c:invertIfNegative val="0"/>
            <c:bubble3D val="0"/>
            <c:spPr>
              <a:solidFill>
                <a:srgbClr val="FF0000"/>
              </a:solidFill>
              <a:ln>
                <a:noFill/>
              </a:ln>
              <a:effectLst/>
            </c:spPr>
            <c:extLst>
              <c:ext xmlns:c16="http://schemas.microsoft.com/office/drawing/2014/chart" uri="{C3380CC4-5D6E-409C-BE32-E72D297353CC}">
                <c16:uniqueId val="{00000007-CA93-497C-ACB2-89FEE91CA8CC}"/>
              </c:ext>
            </c:extLst>
          </c:dPt>
          <c:dPt>
            <c:idx val="4"/>
            <c:invertIfNegative val="0"/>
            <c:bubble3D val="0"/>
            <c:spPr>
              <a:solidFill>
                <a:srgbClr val="FF0000"/>
              </a:solidFill>
              <a:ln>
                <a:noFill/>
              </a:ln>
              <a:effectLst/>
            </c:spPr>
            <c:extLst>
              <c:ext xmlns:c16="http://schemas.microsoft.com/office/drawing/2014/chart" uri="{C3380CC4-5D6E-409C-BE32-E72D297353CC}">
                <c16:uniqueId val="{00000009-CA93-497C-ACB2-89FEE91CA8CC}"/>
              </c:ext>
            </c:extLst>
          </c:dPt>
          <c:dPt>
            <c:idx val="5"/>
            <c:invertIfNegative val="0"/>
            <c:bubble3D val="0"/>
            <c:spPr>
              <a:solidFill>
                <a:srgbClr val="FF0000"/>
              </a:solidFill>
              <a:ln>
                <a:noFill/>
              </a:ln>
              <a:effectLst/>
            </c:spPr>
            <c:extLst>
              <c:ext xmlns:c16="http://schemas.microsoft.com/office/drawing/2014/chart" uri="{C3380CC4-5D6E-409C-BE32-E72D297353CC}">
                <c16:uniqueId val="{0000000B-CA93-497C-ACB2-89FEE91CA8CC}"/>
              </c:ext>
            </c:extLst>
          </c:dPt>
          <c:dPt>
            <c:idx val="6"/>
            <c:invertIfNegative val="0"/>
            <c:bubble3D val="0"/>
            <c:spPr>
              <a:solidFill>
                <a:srgbClr val="FF0000"/>
              </a:solidFill>
              <a:ln>
                <a:noFill/>
              </a:ln>
              <a:effectLst/>
            </c:spPr>
            <c:extLst>
              <c:ext xmlns:c16="http://schemas.microsoft.com/office/drawing/2014/chart" uri="{C3380CC4-5D6E-409C-BE32-E72D297353CC}">
                <c16:uniqueId val="{0000000D-CA93-497C-ACB2-89FEE91CA8CC}"/>
              </c:ext>
            </c:extLst>
          </c:dPt>
          <c:dPt>
            <c:idx val="7"/>
            <c:invertIfNegative val="0"/>
            <c:bubble3D val="0"/>
            <c:spPr>
              <a:solidFill>
                <a:srgbClr val="FF0000"/>
              </a:solidFill>
              <a:ln>
                <a:noFill/>
              </a:ln>
              <a:effectLst/>
            </c:spPr>
            <c:extLst>
              <c:ext xmlns:c16="http://schemas.microsoft.com/office/drawing/2014/chart" uri="{C3380CC4-5D6E-409C-BE32-E72D297353CC}">
                <c16:uniqueId val="{0000000F-CA93-497C-ACB2-89FEE91CA8CC}"/>
              </c:ext>
            </c:extLst>
          </c:dPt>
          <c:dPt>
            <c:idx val="8"/>
            <c:invertIfNegative val="0"/>
            <c:bubble3D val="0"/>
            <c:spPr>
              <a:solidFill>
                <a:srgbClr val="FF0000"/>
              </a:solidFill>
              <a:ln>
                <a:noFill/>
              </a:ln>
              <a:effectLst/>
            </c:spPr>
            <c:extLst>
              <c:ext xmlns:c16="http://schemas.microsoft.com/office/drawing/2014/chart" uri="{C3380CC4-5D6E-409C-BE32-E72D297353CC}">
                <c16:uniqueId val="{00000011-CA93-497C-ACB2-89FEE91CA8CC}"/>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CA93-497C-ACB2-89FEE91CA8CC}"/>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CA93-497C-ACB2-89FEE91CA8CC}"/>
              </c:ext>
            </c:extLst>
          </c:dPt>
          <c:dPt>
            <c:idx val="11"/>
            <c:invertIfNegative val="0"/>
            <c:bubble3D val="0"/>
            <c:spPr>
              <a:solidFill>
                <a:srgbClr val="00B050"/>
              </a:solidFill>
              <a:ln>
                <a:noFill/>
              </a:ln>
              <a:effectLst/>
            </c:spPr>
            <c:extLst>
              <c:ext xmlns:c16="http://schemas.microsoft.com/office/drawing/2014/chart" uri="{C3380CC4-5D6E-409C-BE32-E72D297353CC}">
                <c16:uniqueId val="{00000017-CA93-497C-ACB2-89FEE91CA8CC}"/>
              </c:ext>
            </c:extLst>
          </c:dPt>
          <c:dLbls>
            <c:dLbl>
              <c:idx val="6"/>
              <c:tx>
                <c:rich>
                  <a:bodyPr/>
                  <a:lstStyle/>
                  <a:p>
                    <a:r>
                      <a:rPr lang="en-US"/>
                      <a:t>0,17%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A93-497C-ACB2-89FEE91CA8CC}"/>
                </c:ext>
              </c:extLst>
            </c:dLbl>
            <c:dLbl>
              <c:idx val="7"/>
              <c:tx>
                <c:rich>
                  <a:bodyPr/>
                  <a:lstStyle/>
                  <a:p>
                    <a:r>
                      <a:rPr lang="en-US"/>
                      <a:t>0,12%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CA93-497C-ACB2-89FEE91CA8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VII. Giao thông</c:v>
                </c:pt>
                <c:pt idx="2">
                  <c:v>IV. Nhà ở, điện nước, chất đốt và VLXD</c:v>
                </c:pt>
                <c:pt idx="3">
                  <c:v>I. Hàng ăn và dịch vụ ăn uống</c:v>
                </c:pt>
                <c:pt idx="4">
                  <c:v>VI. Thuốc và dịch vụ y tế</c:v>
                </c:pt>
                <c:pt idx="5">
                  <c:v>XI. Hàng hoá và dịch vụ khác</c:v>
                </c:pt>
                <c:pt idx="6">
                  <c:v>X. Văn hoá, giải trí và du lịch</c:v>
                </c:pt>
                <c:pt idx="7">
                  <c:v>II. Đồ uống và thuốc lá</c:v>
                </c:pt>
                <c:pt idx="8">
                  <c:v>V. Thiết bị và đồ dùng gia đình</c:v>
                </c:pt>
                <c:pt idx="9">
                  <c:v>IX. Giáo dục</c:v>
                </c:pt>
                <c:pt idx="10">
                  <c:v>VIII. Bưu chính viễn thông</c:v>
                </c:pt>
                <c:pt idx="11">
                  <c:v>III. May mặc, mũ nón, giày dép</c:v>
                </c:pt>
              </c:strCache>
            </c:strRef>
          </c:cat>
          <c:val>
            <c:numRef>
              <c:f>'Biểu đồ 1'!$B$2:$B$13</c:f>
              <c:numCache>
                <c:formatCode>0.00%</c:formatCode>
                <c:ptCount val="12"/>
                <c:pt idx="0">
                  <c:v>3.3889999999999532E-3</c:v>
                </c:pt>
                <c:pt idx="1">
                  <c:v>6.2669999999999957E-3</c:v>
                </c:pt>
                <c:pt idx="2">
                  <c:v>5.5429999999999776E-3</c:v>
                </c:pt>
                <c:pt idx="3">
                  <c:v>4.2610000000000529E-3</c:v>
                </c:pt>
                <c:pt idx="4">
                  <c:v>3.0819999999999936E-3</c:v>
                </c:pt>
                <c:pt idx="5">
                  <c:v>1.7619999999999435E-3</c:v>
                </c:pt>
                <c:pt idx="6">
                  <c:v>1.723999999999961E-3</c:v>
                </c:pt>
                <c:pt idx="7">
                  <c:v>1.1780000000000256E-3</c:v>
                </c:pt>
                <c:pt idx="8">
                  <c:v>5.0799999999995293E-4</c:v>
                </c:pt>
                <c:pt idx="9">
                  <c:v>1.7300000000005866E-4</c:v>
                </c:pt>
                <c:pt idx="10">
                  <c:v>-3.1099999999995021E-4</c:v>
                </c:pt>
                <c:pt idx="11">
                  <c:v>-1.0769999999999413E-3</c:v>
                </c:pt>
              </c:numCache>
            </c:numRef>
          </c:val>
          <c:extLst>
            <c:ext xmlns:c16="http://schemas.microsoft.com/office/drawing/2014/chart" uri="{C3380CC4-5D6E-409C-BE32-E72D297353CC}">
              <c16:uniqueId val="{00000018-CA93-497C-ACB2-89FEE91CA8CC}"/>
            </c:ext>
          </c:extLst>
        </c:ser>
        <c:dLbls>
          <c:showLegendKey val="0"/>
          <c:showVal val="0"/>
          <c:showCatName val="0"/>
          <c:showSerName val="0"/>
          <c:showPercent val="0"/>
          <c:showBubbleSize val="0"/>
        </c:dLbls>
        <c:gapWidth val="166"/>
        <c:axId val="1621770432"/>
        <c:axId val="1621771520"/>
      </c:barChart>
      <c:catAx>
        <c:axId val="162177043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1771520"/>
        <c:crosses val="autoZero"/>
        <c:auto val="1"/>
        <c:lblAlgn val="ctr"/>
        <c:lblOffset val="100"/>
        <c:noMultiLvlLbl val="0"/>
      </c:catAx>
      <c:valAx>
        <c:axId val="16217715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621770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0.20677</cdr:x>
      <cdr:y>0.0902</cdr:y>
    </cdr:from>
    <cdr:to>
      <cdr:x>0.31385</cdr:x>
      <cdr:y>0.14314</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228954" y="336499"/>
          <a:ext cx="636422" cy="1975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44,1%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0.72528</cdr:x>
      <cdr:y>0.52047</cdr:y>
    </cdr:from>
    <cdr:to>
      <cdr:x>0.80738</cdr:x>
      <cdr:y>0.58237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10779" y="1941674"/>
          <a:ext cx="487992" cy="2309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0.19126</cdr:x>
      <cdr:y>0.09208</cdr:y>
    </cdr:from>
    <cdr:to>
      <cdr:x>0.21044</cdr:x>
      <cdr:y>0.12749</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127744" y="352582"/>
          <a:ext cx="132101"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0.24983</cdr:x>
      <cdr:y>0.39894</cdr:y>
    </cdr:from>
    <cdr:to>
      <cdr:x>0.36926</cdr:x>
      <cdr:y>0.43981</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484890" y="1488290"/>
          <a:ext cx="709844" cy="1524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0.35155</cdr:x>
      <cdr:y>0.47974</cdr:y>
    </cdr:from>
    <cdr:to>
      <cdr:x>0.44912</cdr:x>
      <cdr:y>0.57986</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28271" y="208073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73,8%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34,7%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0.55036</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28492" y="2308385"/>
          <a:ext cx="912068" cy="3184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7</a:t>
          </a:r>
          <a:r>
            <a:rPr lang="en-US" sz="800">
              <a:solidFill>
                <a:sysClr val="windowText" lastClr="000000"/>
              </a:solidFill>
              <a:latin typeface="Arial" panose="020B0604020202020204" pitchFamily="34" charset="0"/>
              <a:cs typeface="Arial" panose="020B0604020202020204" pitchFamily="34" charset="0"/>
            </a:rPr>
            <a:t>,2%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20,6%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0.90092</cdr:x>
      <cdr:y>0.57257</cdr:y>
    </cdr:from>
    <cdr:to>
      <cdr:x>1</cdr:x>
      <cdr:y>0.66081</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354727" y="2136038"/>
          <a:ext cx="588873" cy="3291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17,4%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0.24251</cdr:x>
      <cdr:y>0.40367</cdr:y>
    </cdr:from>
    <cdr:to>
      <cdr:x>0.26169</cdr:x>
      <cdr:y>0.43908</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432360" y="1514992"/>
          <a:ext cx="132101"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0.34001</cdr:x>
      <cdr:y>0.49058</cdr:y>
    </cdr:from>
    <cdr:to>
      <cdr:x>0.35919</cdr:x>
      <cdr:y>0.52599</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634351" y="2001166"/>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0.90285</cdr:x>
      <cdr:y>0.58012</cdr:y>
    </cdr:from>
    <cdr:to>
      <cdr:x>0.92203</cdr:x>
      <cdr:y>0.61553</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5400000">
          <a:off x="5357132" y="2173256"/>
          <a:ext cx="132102" cy="11399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0.83243</cdr:x>
      <cdr:y>0.05278</cdr:y>
    </cdr:from>
    <cdr:to>
      <cdr:x>0.94054</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00551" y="160873"/>
          <a:ext cx="57150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6,90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0.61261</cdr:x>
      <cdr:y>0.19444</cdr:y>
    </cdr:from>
    <cdr:to>
      <cdr:x>0.70811</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238501" y="592653"/>
          <a:ext cx="50482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4,29</a:t>
          </a:r>
        </a:p>
      </cdr:txBody>
    </cdr:sp>
  </cdr:relSizeAnchor>
  <cdr:relSizeAnchor xmlns:cdr="http://schemas.openxmlformats.org/drawingml/2006/chartDrawing">
    <cdr:from>
      <cdr:x>0.48829</cdr:x>
      <cdr:y>0.32188</cdr:y>
    </cdr:from>
    <cdr:to>
      <cdr:x>0.62342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2581275" y="981090"/>
          <a:ext cx="71437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3,10</a:t>
          </a:r>
        </a:p>
      </cdr:txBody>
    </cdr:sp>
  </cdr:relSizeAnchor>
  <cdr:relSizeAnchor xmlns:cdr="http://schemas.openxmlformats.org/drawingml/2006/chartDrawing">
    <cdr:from>
      <cdr:x>0.66306</cdr:x>
      <cdr:y>0.46367</cdr:y>
    </cdr:from>
    <cdr:to>
      <cdr:x>0.76036</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505201" y="1413266"/>
          <a:ext cx="5143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0.71171</cdr:x>
      <cdr:y>0.60625</cdr:y>
    </cdr:from>
    <cdr:to>
      <cdr:x>0.87928</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762375" y="1847850"/>
          <a:ext cx="8858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26</Pages>
  <Words>10438</Words>
  <Characters>39042</Characters>
  <Application>Microsoft Office Word</Application>
  <DocSecurity>0</DocSecurity>
  <Lines>325</Lines>
  <Paragraphs>98</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49382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ltanh</dc:creator>
  <cp:lastModifiedBy>tuấn anh lê</cp:lastModifiedBy>
  <cp:revision>7</cp:revision>
  <cp:lastPrinted>2025-03-04T07:39:00Z</cp:lastPrinted>
  <dcterms:created xsi:type="dcterms:W3CDTF">2025-03-06T02:59:00Z</dcterms:created>
  <dcterms:modified xsi:type="dcterms:W3CDTF">2025-03-06T03:44:00Z</dcterms:modified>
</cp:coreProperties>
</file>