
<file path=[Content_Types].xml><?xml version="1.0" encoding="utf-8"?>
<Types xmlns="http://schemas.openxmlformats.org/package/2006/content-types">
  <Default Extension="png" ContentType="image/png"/>
  <Default Extension="svg" ContentType="image/svg+xml"/>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2"/>
        <w:tblW w:w="10710" w:type="dxa"/>
        <w:tblLayout w:type="fixed"/>
        <w:tblLook w:val="04A0" w:firstRow="1" w:lastRow="0" w:firstColumn="1" w:lastColumn="0" w:noHBand="0" w:noVBand="1"/>
      </w:tblPr>
      <w:tblGrid>
        <w:gridCol w:w="5490"/>
        <w:gridCol w:w="5220"/>
      </w:tblGrid>
      <w:tr w:rsidR="00253440" w14:paraId="24FBCEFE" w14:textId="77777777" w:rsidTr="00253440">
        <w:trPr>
          <w:trHeight w:val="1026"/>
        </w:trPr>
        <w:tc>
          <w:tcPr>
            <w:tcW w:w="5490" w:type="dxa"/>
          </w:tcPr>
          <w:p w14:paraId="15ABDA72" w14:textId="7EA84CEE" w:rsidR="00253440" w:rsidRPr="00753A68" w:rsidRDefault="00253440" w:rsidP="00FA1C14">
            <w:pPr>
              <w:spacing w:beforeLines="40" w:before="96" w:afterLines="40" w:after="96" w:line="264" w:lineRule="auto"/>
              <w:ind w:left="72" w:right="-115"/>
              <w:jc w:val="center"/>
              <w:rPr>
                <w:spacing w:val="-6"/>
                <w:sz w:val="24"/>
                <w:szCs w:val="24"/>
                <w:lang w:val="vi-VN"/>
              </w:rPr>
            </w:pPr>
            <w:r>
              <w:rPr>
                <w:spacing w:val="-6"/>
                <w:sz w:val="24"/>
                <w:szCs w:val="24"/>
              </w:rPr>
              <w:softHyphen/>
            </w:r>
            <w:r>
              <w:rPr>
                <w:spacing w:val="-6"/>
                <w:sz w:val="24"/>
                <w:szCs w:val="24"/>
              </w:rPr>
              <w:softHyphen/>
            </w:r>
            <w:r>
              <w:rPr>
                <w:spacing w:val="-6"/>
                <w:sz w:val="24"/>
                <w:szCs w:val="24"/>
              </w:rPr>
              <w:softHyphen/>
            </w:r>
            <w:r>
              <w:rPr>
                <w:spacing w:val="-6"/>
                <w:sz w:val="24"/>
                <w:szCs w:val="24"/>
              </w:rPr>
              <w:softHyphen/>
              <w:t xml:space="preserve">MINISTRY OF </w:t>
            </w:r>
            <w:r w:rsidR="00753A68">
              <w:rPr>
                <w:spacing w:val="-6"/>
                <w:sz w:val="24"/>
                <w:szCs w:val="24"/>
                <w:lang w:val="vi-VN"/>
              </w:rPr>
              <w:t>FINANCE</w:t>
            </w:r>
          </w:p>
          <w:p w14:paraId="7CE80EAB" w14:textId="370133DE" w:rsidR="00253440" w:rsidRDefault="00253440" w:rsidP="00FA1C14">
            <w:pPr>
              <w:spacing w:beforeLines="40" w:before="96" w:afterLines="40" w:after="96" w:line="264" w:lineRule="auto"/>
              <w:ind w:left="72" w:right="-115"/>
              <w:jc w:val="center"/>
              <w:rPr>
                <w:b/>
                <w:bCs/>
                <w:spacing w:val="-6"/>
                <w:sz w:val="24"/>
                <w:szCs w:val="24"/>
              </w:rPr>
            </w:pPr>
            <w:r>
              <w:rPr>
                <w:noProof/>
                <w:lang w:val="en-US"/>
              </w:rPr>
              <mc:AlternateContent>
                <mc:Choice Requires="wps">
                  <w:drawing>
                    <wp:anchor distT="4294967292" distB="4294967292" distL="114300" distR="114300" simplePos="0" relativeHeight="251651072" behindDoc="0" locked="0" layoutInCell="1" allowOverlap="1" wp14:anchorId="2AEFDE0E" wp14:editId="101C1A3A">
                      <wp:simplePos x="0" y="0"/>
                      <wp:positionH relativeFrom="column">
                        <wp:posOffset>1145540</wp:posOffset>
                      </wp:positionH>
                      <wp:positionV relativeFrom="paragraph">
                        <wp:posOffset>203200</wp:posOffset>
                      </wp:positionV>
                      <wp:extent cx="971550" cy="0"/>
                      <wp:effectExtent l="0" t="0" r="0" b="0"/>
                      <wp:wrapNone/>
                      <wp:docPr id="3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3E5C582" id="Straight Connector 2" o:spid="_x0000_s1026" style="position:absolute;z-index:251651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0.2pt,16pt" to="166.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" strokeweight="1pt"/>
                  </w:pict>
                </mc:Fallback>
              </mc:AlternateContent>
            </w:r>
            <w:r>
              <w:rPr>
                <w:b/>
                <w:bCs/>
                <w:spacing w:val="-6"/>
                <w:sz w:val="24"/>
                <w:szCs w:val="24"/>
              </w:rPr>
              <w:t>STATISTICS OFFICE</w:t>
            </w:r>
          </w:p>
          <w:p w14:paraId="08EC112E" w14:textId="73F37069" w:rsidR="00253440" w:rsidRPr="00753A68" w:rsidRDefault="00253440" w:rsidP="00FA1C14">
            <w:pPr>
              <w:spacing w:beforeLines="40" w:before="96" w:afterLines="40" w:after="96" w:line="264" w:lineRule="auto"/>
              <w:ind w:left="16" w:right="-18"/>
              <w:jc w:val="center"/>
              <w:rPr>
                <w:sz w:val="26"/>
                <w:szCs w:val="26"/>
                <w:lang w:val="vi-VN"/>
              </w:rPr>
            </w:pPr>
            <w:r>
              <w:rPr>
                <w:sz w:val="26"/>
                <w:szCs w:val="26"/>
              </w:rPr>
              <w:t xml:space="preserve">No: </w:t>
            </w:r>
            <w:r>
              <w:rPr>
                <w:sz w:val="26"/>
                <w:szCs w:val="26"/>
                <w:lang w:val="en-US"/>
              </w:rPr>
              <w:t xml:space="preserve">      </w:t>
            </w:r>
            <w:r w:rsidR="00753A68">
              <w:rPr>
                <w:sz w:val="26"/>
                <w:szCs w:val="26"/>
              </w:rPr>
              <w:t>/BC-</w:t>
            </w:r>
            <w:r w:rsidR="00753A68">
              <w:rPr>
                <w:sz w:val="26"/>
                <w:szCs w:val="26"/>
                <w:lang w:val="vi-VN"/>
              </w:rPr>
              <w:t>CTK</w:t>
            </w:r>
          </w:p>
        </w:tc>
        <w:tc>
          <w:tcPr>
            <w:tcW w:w="5220" w:type="dxa"/>
          </w:tcPr>
          <w:p w14:paraId="635BB766" w14:textId="77777777" w:rsidR="00253440" w:rsidRDefault="00253440" w:rsidP="00FA1C14">
            <w:pPr>
              <w:spacing w:beforeLines="40" w:before="96" w:afterLines="40" w:after="96" w:line="264" w:lineRule="auto"/>
              <w:rPr>
                <w:b/>
                <w:bCs/>
                <w:sz w:val="24"/>
                <w:szCs w:val="24"/>
              </w:rPr>
            </w:pPr>
            <w:r>
              <w:rPr>
                <w:b/>
                <w:bCs/>
                <w:sz w:val="24"/>
                <w:szCs w:val="24"/>
              </w:rPr>
              <w:t>SOCIALIST REPUBLIC OF VIET NAM</w:t>
            </w:r>
          </w:p>
          <w:p w14:paraId="5097ABE8" w14:textId="3E08CEC2" w:rsidR="00253440" w:rsidRDefault="00253440" w:rsidP="00FA1C14">
            <w:pPr>
              <w:spacing w:beforeLines="40" w:before="96" w:afterLines="40" w:after="96" w:line="264" w:lineRule="auto"/>
              <w:rPr>
                <w:b/>
                <w:bCs/>
                <w:sz w:val="24"/>
                <w:szCs w:val="24"/>
              </w:rPr>
            </w:pPr>
            <w:r>
              <w:rPr>
                <w:noProof/>
                <w:lang w:val="en-US"/>
              </w:rPr>
              <mc:AlternateContent>
                <mc:Choice Requires="wps">
                  <w:drawing>
                    <wp:anchor distT="4294967292" distB="4294967292" distL="114300" distR="114300" simplePos="0" relativeHeight="251652096" behindDoc="0" locked="0" layoutInCell="1" allowOverlap="1" wp14:anchorId="4F269195" wp14:editId="2126D832">
                      <wp:simplePos x="0" y="0"/>
                      <wp:positionH relativeFrom="column">
                        <wp:posOffset>336550</wp:posOffset>
                      </wp:positionH>
                      <wp:positionV relativeFrom="paragraph">
                        <wp:posOffset>203200</wp:posOffset>
                      </wp:positionV>
                      <wp:extent cx="1884045" cy="0"/>
                      <wp:effectExtent l="0" t="0" r="0" b="0"/>
                      <wp:wrapNone/>
                      <wp:docPr id="189135130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4045" cy="0"/>
                              </a:xfrm>
                              <a:prstGeom prst="line">
                                <a:avLst/>
                              </a:prstGeom>
                              <a:noFill/>
                              <a:ln w="127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3AE65A29" id="Straight Connector 1" o:spid="_x0000_s1026" style="position:absolute;z-index:251652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6.5pt,16pt" to="174.8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" strokeweight="1pt"/>
                  </w:pict>
                </mc:Fallback>
              </mc:AlternateContent>
            </w:r>
            <w:r>
              <w:rPr>
                <w:b/>
                <w:bCs/>
                <w:sz w:val="24"/>
                <w:szCs w:val="24"/>
              </w:rPr>
              <w:t xml:space="preserve">      Independence-Freedom-Happiness</w:t>
            </w:r>
          </w:p>
          <w:p w14:paraId="65AAB3AD" w14:textId="77777777" w:rsidR="00253440" w:rsidRDefault="00253440" w:rsidP="00FA1C14">
            <w:pPr>
              <w:spacing w:beforeLines="40" w:before="96" w:afterLines="40" w:after="96" w:line="264" w:lineRule="auto"/>
              <w:ind w:left="72"/>
              <w:jc w:val="center"/>
              <w:rPr>
                <w:i/>
                <w:iCs/>
                <w:sz w:val="26"/>
                <w:szCs w:val="26"/>
              </w:rPr>
            </w:pPr>
          </w:p>
          <w:p w14:paraId="60BBF03A" w14:textId="79E369B9" w:rsidR="00253440" w:rsidRPr="00753A68" w:rsidRDefault="00753A68" w:rsidP="00FA1C14">
            <w:pPr>
              <w:spacing w:beforeLines="40" w:before="96" w:afterLines="40" w:after="96" w:line="264" w:lineRule="auto"/>
              <w:ind w:left="72" w:right="849"/>
              <w:jc w:val="center"/>
              <w:rPr>
                <w:b/>
                <w:bCs/>
                <w:i/>
                <w:iCs/>
                <w:sz w:val="26"/>
                <w:szCs w:val="26"/>
                <w:lang w:val="vi-VN"/>
              </w:rPr>
            </w:pPr>
            <w:r>
              <w:rPr>
                <w:i/>
                <w:iCs/>
                <w:sz w:val="26"/>
                <w:szCs w:val="26"/>
              </w:rPr>
              <w:t xml:space="preserve">Ha Noi, </w:t>
            </w:r>
            <w:r>
              <w:rPr>
                <w:i/>
                <w:iCs/>
                <w:sz w:val="26"/>
                <w:szCs w:val="26"/>
                <w:lang w:val="vi-VN"/>
              </w:rPr>
              <w:t>6</w:t>
            </w:r>
            <w:r w:rsidR="00253440">
              <w:rPr>
                <w:i/>
                <w:iCs/>
                <w:sz w:val="26"/>
                <w:szCs w:val="26"/>
                <w:vertAlign w:val="superscript"/>
              </w:rPr>
              <w:t>th</w:t>
            </w:r>
            <w:r>
              <w:rPr>
                <w:i/>
                <w:iCs/>
                <w:sz w:val="26"/>
                <w:szCs w:val="26"/>
              </w:rPr>
              <w:t xml:space="preserve"> </w:t>
            </w:r>
            <w:r>
              <w:rPr>
                <w:i/>
                <w:iCs/>
                <w:sz w:val="26"/>
                <w:szCs w:val="26"/>
                <w:lang w:val="vi-VN"/>
              </w:rPr>
              <w:t>March</w:t>
            </w:r>
            <w:r w:rsidR="00253440">
              <w:rPr>
                <w:i/>
                <w:iCs/>
                <w:sz w:val="26"/>
                <w:szCs w:val="26"/>
              </w:rPr>
              <w:t xml:space="preserve"> 202</w:t>
            </w:r>
            <w:r>
              <w:rPr>
                <w:i/>
                <w:iCs/>
                <w:sz w:val="26"/>
                <w:szCs w:val="26"/>
                <w:lang w:val="vi-VN"/>
              </w:rPr>
              <w:t>5</w:t>
            </w:r>
          </w:p>
        </w:tc>
      </w:tr>
    </w:tbl>
    <w:p w14:paraId="1785F390" w14:textId="77777777" w:rsidR="00FA1C14" w:rsidRPr="008E343B" w:rsidRDefault="00FA1C14" w:rsidP="00FA1C14">
      <w:pPr>
        <w:spacing w:beforeLines="40" w:before="96" w:afterLines="40" w:after="96" w:line="264" w:lineRule="auto"/>
        <w:jc w:val="center"/>
        <w:rPr>
          <w:b/>
          <w:bCs/>
          <w:sz w:val="10"/>
          <w:szCs w:val="10"/>
          <w:lang w:val="pt-BR"/>
        </w:rPr>
      </w:pPr>
    </w:p>
    <w:p w14:paraId="6B40ABA8" w14:textId="21E5E79E" w:rsidR="00253440" w:rsidRPr="00753A68" w:rsidRDefault="00253440" w:rsidP="00FA1C14">
      <w:pPr>
        <w:spacing w:beforeLines="40" w:before="96" w:afterLines="40" w:after="96" w:line="264" w:lineRule="auto"/>
        <w:jc w:val="center"/>
        <w:rPr>
          <w:b/>
          <w:bCs/>
          <w:sz w:val="32"/>
          <w:szCs w:val="32"/>
          <w:lang w:val="vi-VN"/>
        </w:rPr>
      </w:pPr>
      <w:r>
        <w:rPr>
          <w:b/>
          <w:bCs/>
          <w:sz w:val="32"/>
          <w:szCs w:val="32"/>
          <w:lang w:val="pt-BR"/>
        </w:rPr>
        <w:t>Socio-economic s</w:t>
      </w:r>
      <w:r w:rsidR="00753A68">
        <w:rPr>
          <w:b/>
          <w:bCs/>
          <w:sz w:val="32"/>
          <w:szCs w:val="32"/>
          <w:lang w:val="pt-BR"/>
        </w:rPr>
        <w:t>ituation report in February 202</w:t>
      </w:r>
      <w:r w:rsidR="00753A68">
        <w:rPr>
          <w:b/>
          <w:bCs/>
          <w:sz w:val="32"/>
          <w:szCs w:val="32"/>
          <w:lang w:val="vi-VN"/>
        </w:rPr>
        <w:t>5</w:t>
      </w:r>
    </w:p>
    <w:p w14:paraId="26F6910B" w14:textId="77777777" w:rsidR="00253440" w:rsidRPr="00253440" w:rsidRDefault="00253440" w:rsidP="00FA1C14">
      <w:pPr>
        <w:spacing w:beforeLines="40" w:before="96" w:afterLines="40" w:after="96" w:line="264" w:lineRule="auto"/>
        <w:ind w:firstLine="567"/>
        <w:jc w:val="both"/>
        <w:rPr>
          <w:b/>
          <w:bCs/>
          <w:sz w:val="10"/>
          <w:szCs w:val="10"/>
        </w:rPr>
      </w:pPr>
    </w:p>
    <w:p w14:paraId="4D169EFF" w14:textId="77777777" w:rsidR="00753A68" w:rsidRPr="00052095" w:rsidRDefault="00753A68" w:rsidP="00753A68">
      <w:pPr>
        <w:spacing w:beforeLines="40" w:before="96" w:afterLines="40" w:after="96" w:line="252" w:lineRule="auto"/>
        <w:ind w:firstLine="567"/>
        <w:jc w:val="both"/>
        <w:rPr>
          <w:b/>
          <w:bCs/>
        </w:rPr>
      </w:pPr>
      <w:r w:rsidRPr="00052095">
        <w:rPr>
          <w:b/>
          <w:bCs/>
        </w:rPr>
        <w:t xml:space="preserve">1. </w:t>
      </w:r>
      <w:r w:rsidRPr="00EE6A7D">
        <w:rPr>
          <w:b/>
          <w:bCs/>
        </w:rPr>
        <w:t>Agriculture, forestry and fishery</w:t>
      </w:r>
    </w:p>
    <w:p w14:paraId="77DE8921" w14:textId="77777777" w:rsidR="00753A68" w:rsidRDefault="00753A68" w:rsidP="00753A68">
      <w:pPr>
        <w:tabs>
          <w:tab w:val="left" w:pos="360"/>
          <w:tab w:val="left" w:pos="1134"/>
        </w:tabs>
        <w:spacing w:after="120" w:line="264" w:lineRule="auto"/>
        <w:ind w:firstLine="720"/>
        <w:jc w:val="both"/>
        <w:rPr>
          <w:bCs/>
          <w:i/>
          <w:lang w:val="en-US"/>
        </w:rPr>
      </w:pPr>
      <w:r w:rsidRPr="00E01B1E">
        <w:rPr>
          <w:bCs/>
          <w:i/>
        </w:rPr>
        <w:t xml:space="preserve">Agricultural production in February focused on planting and tending </w:t>
      </w:r>
      <w:r>
        <w:rPr>
          <w:bCs/>
          <w:i/>
          <w:lang w:val="en-US"/>
        </w:rPr>
        <w:t>s</w:t>
      </w:r>
      <w:r w:rsidRPr="00E01B1E">
        <w:rPr>
          <w:bCs/>
          <w:i/>
        </w:rPr>
        <w:t>pring rice and vegetables nationwide. Pig and poultry farming developed steadily. Forestry production mainly planted forests according to plan and implemented the "Tet tree planting festival to forever remember Uncle Ho" in the year of At Ty 2025. Timber output increased sharply compared to the same period last year. Marine aquatic product output was quite good, aquaculture was favorable when the price of aquaculture products increased.</w:t>
      </w:r>
    </w:p>
    <w:p w14:paraId="2F3FB7CB" w14:textId="77777777" w:rsidR="00753A68" w:rsidRPr="00E01B1E" w:rsidRDefault="00753A68" w:rsidP="00753A68">
      <w:pPr>
        <w:tabs>
          <w:tab w:val="left" w:pos="360"/>
          <w:tab w:val="left" w:pos="1134"/>
        </w:tabs>
        <w:spacing w:after="120" w:line="264" w:lineRule="auto"/>
        <w:ind w:firstLine="720"/>
        <w:jc w:val="both"/>
        <w:rPr>
          <w:b/>
          <w:bCs/>
          <w:i/>
          <w:iCs/>
          <w:lang w:val="sv-SE"/>
        </w:rPr>
      </w:pPr>
      <w:r w:rsidRPr="00E01B1E">
        <w:rPr>
          <w:b/>
          <w:bCs/>
          <w:i/>
          <w:iCs/>
          <w:lang w:val="sv-SE"/>
        </w:rPr>
        <w:t xml:space="preserve">a) </w:t>
      </w:r>
      <w:r w:rsidRPr="00E01B1E">
        <w:rPr>
          <w:b/>
          <w:bCs/>
          <w:i/>
          <w:iCs/>
        </w:rPr>
        <w:t>Agriculture</w:t>
      </w:r>
      <w:r w:rsidRPr="00E01B1E">
        <w:rPr>
          <w:b/>
          <w:bCs/>
          <w:i/>
          <w:iCs/>
          <w:lang w:val="sv-SE"/>
        </w:rPr>
        <w:t xml:space="preserve">  </w:t>
      </w:r>
    </w:p>
    <w:p w14:paraId="3A7AA383" w14:textId="77777777" w:rsidR="00753A68" w:rsidRDefault="00753A68" w:rsidP="00753A68">
      <w:pPr>
        <w:tabs>
          <w:tab w:val="left" w:pos="720"/>
        </w:tabs>
        <w:spacing w:after="120" w:line="264" w:lineRule="auto"/>
        <w:ind w:firstLine="720"/>
        <w:jc w:val="both"/>
        <w:rPr>
          <w:lang w:val="af-ZA"/>
        </w:rPr>
      </w:pPr>
      <w:r w:rsidRPr="00E01B1E">
        <w:rPr>
          <w:lang w:val="af-ZA"/>
        </w:rPr>
        <w:t>As of February 20, 2025, the whole country had cultivated 2,756.1 thousand hectares of spring rice, an increase of 4.2% over the same period last year. Of which, the northern localities cultivated 852.4 thousand hectares, an increase of 12.0%; the southern localities cultivated 1,903.7 thousand hectares, an increase of 1.1%. The progress of spring rice cultivation in the North increased quite well because after Tet, the weather was favorable, many localities took advantage of speeding up the cultivation progress. Some localities had a sharp increase in cultivated area compared to the same period last year: Nam Dinh reached 70.1 thousand hectares, an increase of 73.4%; Hanoi reached 55.6 thousand hectares, an increase of 160%; Bac Giang reached 21.6 thousand hectares, an increase of 18.5%; Bac Ninh reached 18.8 thousand hectares, an increase of 29.7%.</w:t>
      </w:r>
    </w:p>
    <w:p w14:paraId="0DDFBE59" w14:textId="77777777" w:rsidR="00753A68" w:rsidRDefault="00753A68" w:rsidP="00753A68">
      <w:pPr>
        <w:spacing w:after="120" w:line="264" w:lineRule="auto"/>
        <w:ind w:firstLine="720"/>
        <w:jc w:val="both"/>
        <w:rPr>
          <w:lang w:val="pl-PL"/>
        </w:rPr>
      </w:pPr>
      <w:r w:rsidRPr="00E01B1E">
        <w:rPr>
          <w:lang w:val="pl-PL"/>
        </w:rPr>
        <w:t xml:space="preserve">Southern localities have basically completed the spring rice cultivation and started harvesting some early rice crops. In the Mekong Delta, the spring rice cultivation area reached 1,505.0 thousand hectares, up 1.2% over the same period last year. Some localities proactively planted early to avoid drought and salinity, such as Ben Tre with 7.6 thousand hectares, up 6.8 thousand hectares; Bac Lieu with 58.2 thousand hectares, up 12.3 thousand hectares; Long An with 239.7 thousand hectares, up 3.9 thousand hectares. </w:t>
      </w:r>
      <w:r>
        <w:rPr>
          <w:lang w:val="pl-PL"/>
        </w:rPr>
        <w:t>Due</w:t>
      </w:r>
      <w:r w:rsidRPr="00E01B1E">
        <w:rPr>
          <w:lang w:val="pl-PL"/>
        </w:rPr>
        <w:t xml:space="preserve"> to the early planting schedule, the spring rice harvest in the Mekong Delta has also been faster; so far, the whole region has harvested 395.4 thousand hectares, equal to 139.2% over the same period in 2024.</w:t>
      </w:r>
    </w:p>
    <w:p w14:paraId="5B960312" w14:textId="77777777" w:rsidR="00753A68" w:rsidRDefault="00753A68" w:rsidP="00753A68">
      <w:pPr>
        <w:spacing w:after="120" w:line="264" w:lineRule="auto"/>
        <w:ind w:firstLine="720"/>
        <w:jc w:val="both"/>
        <w:rPr>
          <w:lang w:val="pl-PL"/>
        </w:rPr>
      </w:pPr>
      <w:r w:rsidRPr="009265B9">
        <w:rPr>
          <w:iCs/>
          <w:lang w:val="pl-PL"/>
        </w:rPr>
        <w:lastRenderedPageBreak/>
        <w:t xml:space="preserve">Along with the spring rice planting, localities across the country </w:t>
      </w:r>
      <w:r>
        <w:rPr>
          <w:iCs/>
          <w:lang w:val="pl-PL"/>
        </w:rPr>
        <w:t>were</w:t>
      </w:r>
      <w:r w:rsidRPr="009265B9">
        <w:rPr>
          <w:iCs/>
          <w:lang w:val="pl-PL"/>
        </w:rPr>
        <w:t xml:space="preserve"> planting crops. The area of ​​some crops such as sweet potatoes and soybeans </w:t>
      </w:r>
      <w:r>
        <w:rPr>
          <w:iCs/>
          <w:lang w:val="pl-PL"/>
        </w:rPr>
        <w:t>have</w:t>
      </w:r>
      <w:r w:rsidRPr="009265B9">
        <w:rPr>
          <w:iCs/>
          <w:lang w:val="pl-PL"/>
        </w:rPr>
        <w:t xml:space="preserve"> decreased compared to the same period last year, mainly due to low economic efficiency and difficulties in product consumption.</w:t>
      </w:r>
      <w:r w:rsidRPr="00C30E94">
        <w:rPr>
          <w:lang w:val="pl-PL"/>
        </w:rPr>
        <w:t xml:space="preserve"> </w:t>
      </w:r>
    </w:p>
    <w:p w14:paraId="25009FDC" w14:textId="77777777" w:rsidR="00753A68" w:rsidRPr="00F66A22" w:rsidRDefault="00753A68" w:rsidP="00753A68">
      <w:pPr>
        <w:spacing w:beforeLines="40" w:before="96" w:afterLines="40" w:after="96" w:line="264" w:lineRule="auto"/>
        <w:ind w:firstLine="567"/>
        <w:jc w:val="center"/>
        <w:rPr>
          <w:lang w:val="de-DE"/>
        </w:rPr>
      </w:pPr>
      <w:r w:rsidRPr="00F66A22">
        <w:rPr>
          <w:b/>
          <w:lang w:val="de-DE"/>
        </w:rPr>
        <w:t>Figure 1: Cultivation of main spring crops</w:t>
      </w:r>
    </w:p>
    <w:p w14:paraId="240177FE" w14:textId="77777777" w:rsidR="00753A68" w:rsidRPr="00C30E94" w:rsidRDefault="00753A68" w:rsidP="00753A68">
      <w:pPr>
        <w:spacing w:after="120" w:line="264" w:lineRule="auto"/>
        <w:ind w:firstLine="720"/>
        <w:jc w:val="center"/>
        <w:rPr>
          <w:lang w:val="pl-PL"/>
        </w:rPr>
      </w:pPr>
      <w:r w:rsidRPr="00F66A22">
        <w:rPr>
          <w:lang w:val="de-DE"/>
        </w:rPr>
        <w:t>(As of 20/0</w:t>
      </w:r>
      <w:r>
        <w:rPr>
          <w:lang w:val="de-DE"/>
        </w:rPr>
        <w:t>2</w:t>
      </w:r>
      <w:r w:rsidRPr="00F66A22">
        <w:rPr>
          <w:lang w:val="de-DE"/>
        </w:rPr>
        <w:t>/2025)</w:t>
      </w:r>
    </w:p>
    <w:p w14:paraId="6765002C" w14:textId="77777777" w:rsidR="00753A68" w:rsidRPr="00C30E94" w:rsidRDefault="00753A68" w:rsidP="00753A68">
      <w:pPr>
        <w:spacing w:before="40" w:after="40" w:line="268" w:lineRule="auto"/>
        <w:jc w:val="center"/>
        <w:rPr>
          <w:lang w:val="pl-PL"/>
        </w:rPr>
      </w:pPr>
      <w:r>
        <w:rPr>
          <w:noProof/>
          <w:lang w:val="en-US"/>
        </w:rPr>
        <w:drawing>
          <wp:inline distT="0" distB="0" distL="0" distR="0" wp14:anchorId="1E7C2885" wp14:editId="1C2B2E71">
            <wp:extent cx="5893435" cy="2325370"/>
            <wp:effectExtent l="0" t="0" r="0" b="0"/>
            <wp:docPr id="19565439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3435" cy="2325370"/>
                    </a:xfrm>
                    <a:prstGeom prst="rect">
                      <a:avLst/>
                    </a:prstGeom>
                    <a:noFill/>
                    <a:ln>
                      <a:noFill/>
                    </a:ln>
                  </pic:spPr>
                </pic:pic>
              </a:graphicData>
            </a:graphic>
          </wp:inline>
        </w:drawing>
      </w:r>
    </w:p>
    <w:p w14:paraId="28C47AF7" w14:textId="77777777" w:rsidR="00753A68" w:rsidRDefault="00753A68" w:rsidP="00753A68">
      <w:pPr>
        <w:spacing w:beforeLines="40" w:before="96" w:afterLines="40" w:after="96" w:line="264" w:lineRule="auto"/>
        <w:ind w:firstLine="567"/>
        <w:jc w:val="both"/>
        <w:rPr>
          <w:lang w:val="pl-PL"/>
        </w:rPr>
      </w:pPr>
      <w:r w:rsidRPr="00306D21">
        <w:rPr>
          <w:lang w:val="de-DE"/>
        </w:rPr>
        <w:t xml:space="preserve">Buffalo and cow husbandry </w:t>
      </w:r>
      <w:r>
        <w:rPr>
          <w:lang w:val="de-DE"/>
        </w:rPr>
        <w:t xml:space="preserve">in the </w:t>
      </w:r>
      <w:r w:rsidRPr="00306D21">
        <w:rPr>
          <w:lang w:val="de-DE"/>
        </w:rPr>
        <w:t>month tended to decrease</w:t>
      </w:r>
      <w:r w:rsidRPr="00306D21">
        <w:rPr>
          <w:rStyle w:val="FootnoteReference"/>
          <w:rFonts w:eastAsiaTheme="majorEastAsia"/>
          <w:lang w:val="pt-BR"/>
        </w:rPr>
        <w:footnoteReference w:id="1"/>
      </w:r>
      <w:r>
        <w:rPr>
          <w:lang w:val="de-DE"/>
        </w:rPr>
        <w:t xml:space="preserve">. </w:t>
      </w:r>
      <w:r w:rsidRPr="0024596C">
        <w:rPr>
          <w:lang w:val="de-DE"/>
        </w:rPr>
        <w:t>Pig and poultry farming has developed well due to effective disease control, stable prices and consumption markets, help favorable conditions for farmers to expand production and improve product quality. However, in the first months of the year, the weather in the northern localities is prone to disease outbreaks for livestock and poultry, so farmers need to strengthen measures to control and prevent diseases and ensure the safety of livestock.</w:t>
      </w:r>
      <w:r w:rsidRPr="00C30E94">
        <w:rPr>
          <w:lang w:val="pl-PL"/>
        </w:rPr>
        <w:t xml:space="preserve"> </w:t>
      </w:r>
    </w:p>
    <w:p w14:paraId="14AE2D8D" w14:textId="77777777" w:rsidR="00753A68" w:rsidRPr="00F66A22" w:rsidRDefault="00753A68" w:rsidP="00753A68">
      <w:pPr>
        <w:spacing w:line="259" w:lineRule="auto"/>
        <w:ind w:firstLine="567"/>
        <w:jc w:val="center"/>
        <w:rPr>
          <w:rFonts w:eastAsia="Calibri"/>
          <w:b/>
          <w:kern w:val="2"/>
          <w:lang w:val="en-US"/>
          <w14:ligatures w14:val="standardContextual"/>
        </w:rPr>
      </w:pPr>
      <w:r w:rsidRPr="00F66A22">
        <w:rPr>
          <w:rFonts w:eastAsia="Calibri"/>
          <w:b/>
          <w:kern w:val="2"/>
          <w:lang w:val="en-US"/>
          <w14:ligatures w14:val="standardContextual"/>
        </w:rPr>
        <w:t>Figure 2. The growth rate of the population of livestock</w:t>
      </w:r>
    </w:p>
    <w:p w14:paraId="79162933" w14:textId="77777777" w:rsidR="00753A68" w:rsidRDefault="00753A68" w:rsidP="00753A68">
      <w:pPr>
        <w:spacing w:line="259" w:lineRule="auto"/>
        <w:ind w:firstLine="567"/>
        <w:jc w:val="center"/>
        <w:rPr>
          <w:rFonts w:eastAsia="Calibri"/>
          <w:b/>
          <w:kern w:val="2"/>
          <w:lang w:val="en-US"/>
          <w14:ligatures w14:val="standardContextual"/>
        </w:rPr>
      </w:pPr>
      <w:r w:rsidRPr="00F66A22">
        <w:rPr>
          <w:rFonts w:eastAsia="Calibri"/>
          <w:b/>
          <w:kern w:val="2"/>
          <w:lang w:val="en-US"/>
          <w14:ligatures w14:val="standardContextual"/>
        </w:rPr>
        <w:t xml:space="preserve">at the end of </w:t>
      </w:r>
      <w:r>
        <w:rPr>
          <w:rFonts w:eastAsia="Calibri"/>
          <w:b/>
          <w:kern w:val="2"/>
          <w:lang w:val="en-US"/>
          <w14:ligatures w14:val="standardContextual"/>
        </w:rPr>
        <w:t>Feb</w:t>
      </w:r>
      <w:r w:rsidRPr="00F66A22">
        <w:rPr>
          <w:rFonts w:eastAsia="Calibri"/>
          <w:b/>
          <w:kern w:val="2"/>
          <w:lang w:val="en-US"/>
          <w14:ligatures w14:val="standardContextual"/>
        </w:rPr>
        <w:t>uary, 2025 compared to the same time last year</w:t>
      </w:r>
    </w:p>
    <w:p w14:paraId="62378575" w14:textId="77777777" w:rsidR="00753A68" w:rsidRDefault="00753A68" w:rsidP="00753A68">
      <w:pPr>
        <w:spacing w:before="120"/>
        <w:rPr>
          <w:rFonts w:ascii="Arial" w:hAnsi="Arial" w:cs="Arial"/>
          <w:b/>
          <w:sz w:val="24"/>
          <w:szCs w:val="24"/>
          <w:lang w:val="de-DE"/>
        </w:rPr>
      </w:pPr>
    </w:p>
    <w:p w14:paraId="0707C421" w14:textId="77777777" w:rsidR="00753A68" w:rsidRPr="00C30E94" w:rsidRDefault="00753A68" w:rsidP="00753A68">
      <w:pPr>
        <w:spacing w:after="120"/>
        <w:jc w:val="center"/>
        <w:rPr>
          <w:rFonts w:ascii="Arial" w:hAnsi="Arial" w:cs="Arial"/>
          <w:b/>
          <w:sz w:val="24"/>
          <w:szCs w:val="24"/>
          <w:lang w:val="de-DE"/>
        </w:rPr>
      </w:pPr>
      <w:r>
        <w:rPr>
          <w:noProof/>
          <w:lang w:val="en-US"/>
        </w:rPr>
        <w:drawing>
          <wp:inline distT="0" distB="0" distL="0" distR="0" wp14:anchorId="3FA15A66" wp14:editId="2C15E17C">
            <wp:extent cx="5761355" cy="1532890"/>
            <wp:effectExtent l="0" t="0" r="0" b="0"/>
            <wp:docPr id="9209729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1532890"/>
                    </a:xfrm>
                    <a:prstGeom prst="rect">
                      <a:avLst/>
                    </a:prstGeom>
                    <a:noFill/>
                    <a:ln>
                      <a:noFill/>
                    </a:ln>
                  </pic:spPr>
                </pic:pic>
              </a:graphicData>
            </a:graphic>
          </wp:inline>
        </w:drawing>
      </w:r>
    </w:p>
    <w:p w14:paraId="1A829433" w14:textId="2CB1D73A" w:rsidR="00753A68" w:rsidRPr="00753A68" w:rsidRDefault="00753A68" w:rsidP="00753A68">
      <w:pPr>
        <w:spacing w:before="40" w:after="40" w:line="259" w:lineRule="auto"/>
        <w:ind w:firstLine="567"/>
        <w:jc w:val="both"/>
        <w:rPr>
          <w:rFonts w:eastAsia="Calibri"/>
          <w:kern w:val="2"/>
          <w:lang w:val="en-US"/>
          <w14:ligatures w14:val="standardContextual"/>
        </w:rPr>
      </w:pPr>
      <w:r w:rsidRPr="00F66A22">
        <w:rPr>
          <w:rFonts w:eastAsia="Calibri"/>
          <w:bCs/>
          <w:spacing w:val="-2"/>
          <w:kern w:val="2"/>
          <w:lang w:val="en-US"/>
          <w14:ligatures w14:val="standardContextual"/>
        </w:rPr>
        <w:t xml:space="preserve">As of </w:t>
      </w:r>
      <w:r>
        <w:rPr>
          <w:rFonts w:eastAsia="Calibri"/>
          <w:bCs/>
          <w:spacing w:val="-2"/>
          <w:kern w:val="2"/>
          <w:lang w:val="en-US"/>
          <w14:ligatures w14:val="standardContextual"/>
        </w:rPr>
        <w:t>Feb</w:t>
      </w:r>
      <w:r w:rsidRPr="00F66A22">
        <w:rPr>
          <w:rFonts w:eastAsia="Calibri"/>
          <w:bCs/>
          <w:spacing w:val="-2"/>
          <w:kern w:val="2"/>
          <w:lang w:val="en-US"/>
          <w14:ligatures w14:val="standardContextual"/>
        </w:rPr>
        <w:t xml:space="preserve">uary </w:t>
      </w:r>
      <w:r>
        <w:rPr>
          <w:rFonts w:eastAsia="Calibri"/>
          <w:bCs/>
          <w:spacing w:val="-2"/>
          <w:kern w:val="2"/>
          <w:lang w:val="en-US"/>
          <w14:ligatures w14:val="standardContextual"/>
        </w:rPr>
        <w:t>26</w:t>
      </w:r>
      <w:r w:rsidRPr="00F66A22">
        <w:rPr>
          <w:rFonts w:eastAsia="Calibri"/>
          <w:bCs/>
          <w:spacing w:val="-2"/>
          <w:kern w:val="2"/>
          <w:lang w:val="en-US"/>
          <w14:ligatures w14:val="standardContextual"/>
        </w:rPr>
        <w:t>, 2025, the whole country has no blue ears disease; avian flu disease was reported in Tuyen Quang,</w:t>
      </w:r>
      <w:r>
        <w:rPr>
          <w:rFonts w:eastAsia="Calibri"/>
          <w:bCs/>
          <w:spacing w:val="-2"/>
          <w:kern w:val="2"/>
          <w:lang w:val="en-US"/>
          <w14:ligatures w14:val="standardContextual"/>
        </w:rPr>
        <w:t xml:space="preserve"> Long An, </w:t>
      </w:r>
      <w:r w:rsidRPr="00F66A22">
        <w:rPr>
          <w:rFonts w:eastAsia="Calibri"/>
          <w:bCs/>
          <w:spacing w:val="-2"/>
          <w:kern w:val="2"/>
          <w:lang w:val="en-US"/>
          <w14:ligatures w14:val="standardContextual"/>
        </w:rPr>
        <w:t xml:space="preserve">Tien Giang; foot-and-mouth disease was reported in </w:t>
      </w:r>
      <w:r>
        <w:rPr>
          <w:rFonts w:eastAsia="Calibri"/>
          <w:bCs/>
          <w:spacing w:val="-2"/>
          <w:kern w:val="2"/>
          <w:lang w:val="en-US"/>
          <w14:ligatures w14:val="standardContextual"/>
        </w:rPr>
        <w:t>Lao Cai, Thanh Hoa</w:t>
      </w:r>
      <w:r w:rsidRPr="00F66A22">
        <w:rPr>
          <w:rFonts w:eastAsia="Calibri"/>
          <w:bCs/>
          <w:spacing w:val="-2"/>
          <w:kern w:val="2"/>
          <w:lang w:val="en-US"/>
          <w14:ligatures w14:val="standardContextual"/>
        </w:rPr>
        <w:t xml:space="preserve">; LSD was reported </w:t>
      </w:r>
      <w:r>
        <w:rPr>
          <w:rFonts w:eastAsia="Calibri"/>
          <w:bCs/>
          <w:spacing w:val="-2"/>
          <w:kern w:val="2"/>
          <w:lang w:val="en-US"/>
          <w14:ligatures w14:val="standardContextual"/>
        </w:rPr>
        <w:t>in Tien Giang</w:t>
      </w:r>
      <w:r w:rsidRPr="00F66A22">
        <w:rPr>
          <w:rFonts w:eastAsia="Calibri"/>
          <w:bCs/>
          <w:spacing w:val="-2"/>
          <w:kern w:val="2"/>
          <w:lang w:val="en-US"/>
          <w14:ligatures w14:val="standardContextual"/>
        </w:rPr>
        <w:t xml:space="preserve">; </w:t>
      </w:r>
      <w:r w:rsidRPr="00F66A22">
        <w:rPr>
          <w:rFonts w:eastAsia="Calibri"/>
          <w:bCs/>
          <w:spacing w:val="-2"/>
          <w:kern w:val="2"/>
          <w:lang w:val="en-US"/>
          <w14:ligatures w14:val="standardContextual"/>
        </w:rPr>
        <w:lastRenderedPageBreak/>
        <w:t xml:space="preserve">African swine fever was reported in </w:t>
      </w:r>
      <w:r>
        <w:rPr>
          <w:rFonts w:eastAsia="Calibri"/>
          <w:bCs/>
          <w:spacing w:val="-2"/>
          <w:kern w:val="2"/>
          <w:lang w:val="en-US"/>
          <w14:ligatures w14:val="standardContextual"/>
        </w:rPr>
        <w:t>11</w:t>
      </w:r>
      <w:r w:rsidRPr="00F66A22">
        <w:rPr>
          <w:rFonts w:eastAsia="Calibri"/>
          <w:bCs/>
          <w:spacing w:val="-2"/>
          <w:kern w:val="2"/>
          <w:lang w:val="en-US"/>
          <w14:ligatures w14:val="standardContextual"/>
        </w:rPr>
        <w:t xml:space="preserve"> localities and animal rabies remained in </w:t>
      </w:r>
      <w:r>
        <w:rPr>
          <w:rFonts w:eastAsia="Calibri"/>
          <w:bCs/>
          <w:spacing w:val="-2"/>
          <w:kern w:val="2"/>
          <w:lang w:val="en-US"/>
          <w14:ligatures w14:val="standardContextual"/>
        </w:rPr>
        <w:t>12</w:t>
      </w:r>
      <w:r w:rsidRPr="00F66A22">
        <w:rPr>
          <w:rFonts w:eastAsia="Calibri"/>
          <w:bCs/>
          <w:spacing w:val="-2"/>
          <w:kern w:val="2"/>
          <w:lang w:val="en-US"/>
          <w14:ligatures w14:val="standardContextual"/>
        </w:rPr>
        <w:t xml:space="preserve"> localites for less than 21 days. </w:t>
      </w:r>
    </w:p>
    <w:p w14:paraId="30899C25" w14:textId="77777777" w:rsidR="00753A68" w:rsidRPr="00705CC5" w:rsidRDefault="00753A68" w:rsidP="00753A68">
      <w:pPr>
        <w:tabs>
          <w:tab w:val="left" w:pos="360"/>
          <w:tab w:val="left" w:pos="1134"/>
        </w:tabs>
        <w:spacing w:after="120" w:line="264" w:lineRule="auto"/>
        <w:ind w:firstLine="720"/>
        <w:jc w:val="both"/>
        <w:rPr>
          <w:iCs/>
          <w:spacing w:val="-4"/>
          <w:lang w:val="pt-BR"/>
        </w:rPr>
      </w:pPr>
      <w:r w:rsidRPr="007E6283">
        <w:rPr>
          <w:i/>
          <w:lang w:val="de-DE"/>
        </w:rPr>
        <w:t xml:space="preserve">Forestry production mainly includes afforestation according to plan and implementation of the "Tet tree planting festival to forever remember Uncle Ho" in the year of At Ty 2025. Timber output increased sharply compared to the same period last year. Marine aquatic product output was quite good, aquaculture was </w:t>
      </w:r>
      <w:r w:rsidRPr="00705CC5">
        <w:rPr>
          <w:i/>
          <w:iCs/>
          <w:spacing w:val="-4"/>
          <w:lang w:val="pt-BR"/>
        </w:rPr>
        <w:t>favorable when the price of aquaculture products increased.</w:t>
      </w:r>
    </w:p>
    <w:p w14:paraId="2A37F7F5" w14:textId="77777777" w:rsidR="00753A68" w:rsidRPr="00705CC5" w:rsidRDefault="00753A68" w:rsidP="00753A68">
      <w:pPr>
        <w:tabs>
          <w:tab w:val="left" w:pos="360"/>
          <w:tab w:val="left" w:pos="1134"/>
        </w:tabs>
        <w:spacing w:after="120" w:line="264" w:lineRule="auto"/>
        <w:ind w:firstLine="720"/>
        <w:jc w:val="both"/>
        <w:rPr>
          <w:b/>
          <w:i/>
          <w:iCs/>
          <w:spacing w:val="-4"/>
          <w:lang w:val="pt-BR"/>
        </w:rPr>
      </w:pPr>
      <w:r w:rsidRPr="00705CC5">
        <w:rPr>
          <w:b/>
          <w:i/>
          <w:iCs/>
          <w:spacing w:val="-4"/>
          <w:lang w:val="pt-BR"/>
        </w:rPr>
        <w:t>b) Forestry</w:t>
      </w:r>
    </w:p>
    <w:p w14:paraId="4030348A" w14:textId="77777777" w:rsidR="00753A68" w:rsidRPr="007E6283" w:rsidRDefault="00753A68" w:rsidP="00753A68">
      <w:pPr>
        <w:tabs>
          <w:tab w:val="left" w:pos="360"/>
          <w:tab w:val="left" w:pos="1134"/>
        </w:tabs>
        <w:spacing w:after="120" w:line="264" w:lineRule="auto"/>
        <w:ind w:firstLine="720"/>
        <w:jc w:val="both"/>
        <w:rPr>
          <w:shd w:val="clear" w:color="auto" w:fill="FFFFFF"/>
          <w:lang w:val="sv-SE"/>
        </w:rPr>
      </w:pPr>
      <w:r w:rsidRPr="00705CC5">
        <w:rPr>
          <w:iCs/>
          <w:spacing w:val="-4"/>
          <w:lang w:val="pt-BR"/>
        </w:rPr>
        <w:t>The area nationwide</w:t>
      </w:r>
      <w:r w:rsidRPr="007E6283">
        <w:rPr>
          <w:shd w:val="clear" w:color="auto" w:fill="FFFFFF"/>
          <w:lang w:val="sv-SE"/>
        </w:rPr>
        <w:t xml:space="preserve"> of newly concentrated planted forest in February 2025 was estimated at 11.4 thousand hectares, up 8.5% over the same period in 2024. Favorable weather conditions have accelerated the progress of afforestation in many localities, such as: Bac Kan increased by 44.4% over the same period last year; Quang Ninh, increased by 43.0%; Yen Bai increased by 29.7%; Phu Tho increased by 16.3%; Tuyen Quang increased by 14.1%. The number of scattered forestry trees was estimated at 9.6 million trees, an increase of 8.8% over the same period last year. The output of exploited timber was estimated at 1,338.8 thousand m³, up 18.2% Due to high raw wood prices, people are increasing the harvest of wood that is at the age of exploitation. Some localities have high timber exploitation output compared to the same period in 2024: Quang Ninh, 2.7 times higher; Quang Tri increased by 70.8%; Tuyen Quang increased by 64.0%; Yen Bai increased by 45.2%; Quang Binh increased by 33.9%.</w:t>
      </w:r>
    </w:p>
    <w:p w14:paraId="145C775D" w14:textId="77777777" w:rsidR="00753A68" w:rsidRPr="007E6283" w:rsidRDefault="00753A68" w:rsidP="00753A68">
      <w:pPr>
        <w:spacing w:after="120" w:line="264" w:lineRule="auto"/>
        <w:ind w:firstLine="720"/>
        <w:jc w:val="both"/>
        <w:rPr>
          <w:shd w:val="clear" w:color="auto" w:fill="FFFFFF"/>
          <w:lang w:val="sv-SE"/>
        </w:rPr>
      </w:pPr>
      <w:r w:rsidRPr="00E752D7">
        <w:rPr>
          <w:spacing w:val="4"/>
          <w:lang w:val="sv-SE"/>
        </w:rPr>
        <w:t xml:space="preserve">Generally, </w:t>
      </w:r>
      <w:r w:rsidRPr="00E752D7">
        <w:rPr>
          <w:lang w:val="en-US"/>
        </w:rPr>
        <w:t>in the 2 months of 202</w:t>
      </w:r>
      <w:r>
        <w:rPr>
          <w:lang w:val="en-US"/>
        </w:rPr>
        <w:t>5</w:t>
      </w:r>
      <w:r w:rsidRPr="00A203B9">
        <w:rPr>
          <w:rStyle w:val="FootnoteReference"/>
        </w:rPr>
        <w:footnoteRef/>
      </w:r>
      <w:r w:rsidRPr="007E6283">
        <w:rPr>
          <w:shd w:val="clear" w:color="auto" w:fill="FFFFFF"/>
          <w:lang w:val="sv-SE"/>
        </w:rPr>
        <w:t>, The area nationwide of newly planted forest was estimated at 20.1 thousand hectares, up 8.8% over the same period last year; the number of scattered forest trees planted was estimated at 13.4 million, up 6.8%; the output of exploited timber was estimated at 2,620.7 thousand m³, up 18.9%.</w:t>
      </w:r>
    </w:p>
    <w:p w14:paraId="3A5BED79" w14:textId="77777777" w:rsidR="00753A68" w:rsidRPr="00B658AD" w:rsidRDefault="00753A68" w:rsidP="00753A68">
      <w:pPr>
        <w:spacing w:after="120" w:line="264" w:lineRule="auto"/>
        <w:ind w:firstLine="720"/>
        <w:jc w:val="both"/>
        <w:rPr>
          <w:spacing w:val="4"/>
          <w:lang w:val="sv-SE"/>
        </w:rPr>
      </w:pPr>
      <w:r w:rsidRPr="00B658AD">
        <w:rPr>
          <w:spacing w:val="4"/>
          <w:lang w:val="sv-SE"/>
        </w:rPr>
        <w:t>Forest area damaged in February 2025</w:t>
      </w:r>
      <w:r w:rsidRPr="00B658AD">
        <w:rPr>
          <w:spacing w:val="4"/>
          <w:lang w:val="sv-SE"/>
        </w:rPr>
        <w:footnoteReference w:id="2"/>
      </w:r>
      <w:r w:rsidRPr="00B658AD">
        <w:rPr>
          <w:spacing w:val="4"/>
          <w:lang w:val="sv-SE"/>
        </w:rPr>
        <w:t xml:space="preserve"> was 73.1 hectares, up 34.7% over the same period last year</w:t>
      </w:r>
      <w:r w:rsidRPr="00A203B9">
        <w:rPr>
          <w:spacing w:val="4"/>
          <w:vertAlign w:val="superscript"/>
          <w:lang w:val="sv-SE"/>
        </w:rPr>
        <w:footnoteReference w:id="3"/>
      </w:r>
      <w:r w:rsidRPr="00B658AD">
        <w:rPr>
          <w:spacing w:val="4"/>
          <w:lang w:val="sv-SE"/>
        </w:rPr>
        <w:t xml:space="preserve">, of which: The burnt forest area was 17.3 hectares, 39.7 times concentrated in Cao Bang 10.0 ha, Bac Kan 3.8 ha, Lai Chau 2.0 ha; the area of ​​forest cut down and destroyed is 56.0 ha, an increase of 4.0%. Total first two months of 2025, forest area damaged was 145.4 hectares, up 64.0% over the same period last year, of which the burnt forest area was 19.4 hectares, 27 times; the area of ​​forest cut down and destroyed was 126.0 hectares, up 43.3%. </w:t>
      </w:r>
    </w:p>
    <w:p w14:paraId="73B207C1" w14:textId="77777777" w:rsidR="00753A68" w:rsidRPr="00705CC5" w:rsidRDefault="00753A68" w:rsidP="00753A68">
      <w:pPr>
        <w:tabs>
          <w:tab w:val="left" w:pos="360"/>
          <w:tab w:val="left" w:pos="1134"/>
        </w:tabs>
        <w:spacing w:after="120" w:line="264" w:lineRule="auto"/>
        <w:ind w:firstLine="720"/>
        <w:jc w:val="both"/>
        <w:rPr>
          <w:b/>
          <w:i/>
          <w:iCs/>
          <w:spacing w:val="-4"/>
          <w:lang w:val="pt-BR"/>
        </w:rPr>
      </w:pPr>
      <w:r w:rsidRPr="00705CC5">
        <w:rPr>
          <w:b/>
          <w:i/>
          <w:iCs/>
          <w:spacing w:val="-4"/>
          <w:lang w:val="pt-BR"/>
        </w:rPr>
        <w:t>c) Fishery</w:t>
      </w:r>
    </w:p>
    <w:p w14:paraId="0FE07E4A" w14:textId="77777777" w:rsidR="00753A68" w:rsidRPr="00705CC5" w:rsidRDefault="00753A68" w:rsidP="00753A68">
      <w:pPr>
        <w:spacing w:after="120" w:line="264" w:lineRule="auto"/>
        <w:ind w:firstLine="720"/>
        <w:jc w:val="both"/>
        <w:rPr>
          <w:spacing w:val="4"/>
          <w:lang w:val="sv-SE"/>
        </w:rPr>
      </w:pPr>
      <w:r w:rsidRPr="00705CC5">
        <w:rPr>
          <w:spacing w:val="4"/>
          <w:lang w:val="sv-SE"/>
        </w:rPr>
        <w:lastRenderedPageBreak/>
        <w:t>Fishery output in February 2025 was estimated at 650.5 thousand tons, up 4.0% over the same period last year, including: Fish reached 479.6 thousand tons up 4.1%; shrimp estimated at 69.3 thousand tons up 5.4%; other aquatic products estimated at 101.6 thousand tons, up 2.6%.</w:t>
      </w:r>
    </w:p>
    <w:p w14:paraId="32598412" w14:textId="77777777" w:rsidR="00753A68" w:rsidRPr="00705CC5" w:rsidRDefault="00753A68" w:rsidP="00753A68">
      <w:pPr>
        <w:spacing w:after="120" w:line="264" w:lineRule="auto"/>
        <w:ind w:firstLine="720"/>
        <w:jc w:val="both"/>
        <w:rPr>
          <w:spacing w:val="4"/>
          <w:lang w:val="sv-SE"/>
        </w:rPr>
      </w:pPr>
      <w:r w:rsidRPr="00705CC5">
        <w:rPr>
          <w:spacing w:val="4"/>
          <w:lang w:val="sv-SE"/>
        </w:rPr>
        <w:t>Aquaculture production in the month was estimated at 362.5 thousand tons, up 4.6% over the same period last year, of which: Fish output reached 258.7 thousand tons, up 5.0%; shrimp output reached 58.0 thousand tons, up 5.8%; other aquatic products estimated at 45.8 thousand tons, up 1.1%.</w:t>
      </w:r>
    </w:p>
    <w:p w14:paraId="2F2C804E" w14:textId="77777777" w:rsidR="00753A68" w:rsidRPr="00705CC5" w:rsidRDefault="00753A68" w:rsidP="00753A68">
      <w:pPr>
        <w:spacing w:after="120" w:line="264" w:lineRule="auto"/>
        <w:ind w:firstLine="720"/>
        <w:jc w:val="both"/>
        <w:rPr>
          <w:spacing w:val="4"/>
          <w:lang w:val="sv-SE"/>
        </w:rPr>
      </w:pPr>
      <w:r w:rsidRPr="00705CC5">
        <w:rPr>
          <w:spacing w:val="4"/>
          <w:lang w:val="sv-SE"/>
        </w:rPr>
        <w:t>Pangasius production February 2025 was estimated at 121.7 thousand tons, up 4.6% over the same period last year, Due to the increase in raw pangasius prices and many export contracts being signed, people have increased their farming</w:t>
      </w:r>
      <w:r w:rsidRPr="00BA5DDF">
        <w:rPr>
          <w:spacing w:val="4"/>
          <w:vertAlign w:val="superscript"/>
          <w:lang w:val="sv-SE"/>
        </w:rPr>
        <w:footnoteReference w:id="4"/>
      </w:r>
      <w:r w:rsidRPr="00705CC5">
        <w:rPr>
          <w:spacing w:val="4"/>
          <w:lang w:val="sv-SE"/>
        </w:rPr>
        <w:t>.</w:t>
      </w:r>
    </w:p>
    <w:p w14:paraId="5942FB0A" w14:textId="77777777" w:rsidR="00753A68" w:rsidRPr="00705CC5" w:rsidRDefault="00753A68" w:rsidP="00753A68">
      <w:pPr>
        <w:spacing w:after="120" w:line="264" w:lineRule="auto"/>
        <w:ind w:firstLine="720"/>
        <w:jc w:val="both"/>
        <w:rPr>
          <w:spacing w:val="4"/>
          <w:lang w:val="sv-SE"/>
        </w:rPr>
      </w:pPr>
      <w:r w:rsidRPr="00705CC5">
        <w:rPr>
          <w:spacing w:val="4"/>
          <w:lang w:val="sv-SE"/>
        </w:rPr>
        <w:t>Shrimp output increased significantly due to white-leg shrimp prices</w:t>
      </w:r>
      <w:r w:rsidRPr="00BA5DDF">
        <w:rPr>
          <w:spacing w:val="4"/>
          <w:vertAlign w:val="superscript"/>
          <w:lang w:val="sv-SE"/>
        </w:rPr>
        <w:footnoteReference w:id="5"/>
      </w:r>
      <w:r w:rsidRPr="00BA5DDF">
        <w:rPr>
          <w:spacing w:val="4"/>
          <w:vertAlign w:val="superscript"/>
          <w:lang w:val="sv-SE"/>
        </w:rPr>
        <w:t xml:space="preserve"> </w:t>
      </w:r>
      <w:r w:rsidRPr="00705CC5">
        <w:rPr>
          <w:spacing w:val="4"/>
          <w:lang w:val="sv-SE"/>
        </w:rPr>
        <w:t>tend to increase again in the first week of February, after a slight decrease in the last week of January 2025. The output of white-leg shrimp February 2025 was estimated at 36.5 thousand tons, up 7.7% over the same period last year; the output of black tiger shrimp reached 16.7 thousand tons, up 3.1%.</w:t>
      </w:r>
    </w:p>
    <w:p w14:paraId="79A58C24" w14:textId="77777777" w:rsidR="00753A68" w:rsidRPr="00705CC5" w:rsidRDefault="00753A68" w:rsidP="00753A68">
      <w:pPr>
        <w:spacing w:after="120" w:line="264" w:lineRule="auto"/>
        <w:ind w:firstLine="720"/>
        <w:jc w:val="both"/>
        <w:rPr>
          <w:spacing w:val="4"/>
          <w:lang w:val="sv-SE"/>
        </w:rPr>
      </w:pPr>
      <w:r w:rsidRPr="00705CC5">
        <w:rPr>
          <w:spacing w:val="4"/>
          <w:lang w:val="sv-SE"/>
        </w:rPr>
        <w:t>The caught fishery production in February 2025 was estimated at 288.0 thousand tons, up 3.2% over the same period last year, including: Fish output estimated at was 220.9 thousand tons, up 3.1%; shrimp output estimated at was 11.3 thousand tons, up 3.2%; other aquatic products output estimated at was 55.8 thousand tons, up 3.9%. Estimated marine aquatic product output reached 270.5 thousand tons, up 3.3%</w:t>
      </w:r>
      <w:r w:rsidRPr="00A203B9">
        <w:rPr>
          <w:spacing w:val="4"/>
          <w:vertAlign w:val="superscript"/>
          <w:lang w:val="sv-SE"/>
        </w:rPr>
        <w:footnoteReference w:id="6"/>
      </w:r>
      <w:r w:rsidRPr="00705CC5">
        <w:rPr>
          <w:spacing w:val="4"/>
          <w:lang w:val="sv-SE"/>
        </w:rPr>
        <w:t>, of which: Fish reached 208.3 thousand tons, up 3.1%; shrimp reached 10.1 thousand tons, up 4.0%; other aquatic products reached 52.1 thousand tons, up 4.3%.</w:t>
      </w:r>
    </w:p>
    <w:p w14:paraId="5EFE354A" w14:textId="77777777" w:rsidR="00753A68" w:rsidRPr="00A203B9" w:rsidRDefault="00753A68" w:rsidP="00753A68">
      <w:pPr>
        <w:jc w:val="center"/>
        <w:rPr>
          <w:rFonts w:ascii="Arial" w:hAnsi="Arial" w:cs="Arial"/>
          <w:b/>
          <w:bCs/>
          <w:sz w:val="24"/>
          <w:szCs w:val="24"/>
          <w:lang w:val="de-DE"/>
        </w:rPr>
      </w:pPr>
      <w:r w:rsidRPr="00A203B9">
        <w:rPr>
          <w:rFonts w:ascii="Arial" w:hAnsi="Arial" w:cs="Arial"/>
          <w:b/>
          <w:bCs/>
          <w:sz w:val="24"/>
          <w:szCs w:val="24"/>
          <w:lang w:val="de-DE"/>
        </w:rPr>
        <w:t>Figure 3. Fishery production of February in 2025</w:t>
      </w:r>
    </w:p>
    <w:p w14:paraId="594F4D98" w14:textId="77777777" w:rsidR="00753A68" w:rsidRPr="00A203B9" w:rsidRDefault="00753A68" w:rsidP="00753A68">
      <w:pPr>
        <w:jc w:val="center"/>
        <w:rPr>
          <w:rFonts w:ascii="Arial" w:hAnsi="Arial" w:cs="Arial"/>
          <w:b/>
          <w:bCs/>
          <w:sz w:val="24"/>
          <w:szCs w:val="24"/>
          <w:lang w:val="de-DE"/>
        </w:rPr>
      </w:pPr>
      <w:r>
        <w:rPr>
          <w:rFonts w:ascii="Arial" w:hAnsi="Arial" w:cs="Arial"/>
          <w:b/>
          <w:bCs/>
          <w:sz w:val="24"/>
          <w:szCs w:val="24"/>
          <w:lang w:val="de-DE"/>
        </w:rPr>
        <w:t xml:space="preserve">            </w:t>
      </w:r>
      <w:r w:rsidRPr="00A203B9">
        <w:rPr>
          <w:rFonts w:ascii="Arial" w:hAnsi="Arial" w:cs="Arial"/>
          <w:b/>
          <w:bCs/>
          <w:sz w:val="24"/>
          <w:szCs w:val="24"/>
          <w:lang w:val="de-DE"/>
        </w:rPr>
        <w:t>over the same previous in 2024</w:t>
      </w:r>
    </w:p>
    <w:p w14:paraId="5260A7C5" w14:textId="77777777" w:rsidR="00753A68" w:rsidRPr="00B658AD" w:rsidRDefault="00753A68" w:rsidP="00753A68">
      <w:pPr>
        <w:spacing w:before="100" w:beforeAutospacing="1" w:after="100" w:afterAutospacing="1"/>
        <w:rPr>
          <w:sz w:val="24"/>
          <w:szCs w:val="24"/>
          <w:lang w:eastAsia="en-GB"/>
        </w:rPr>
      </w:pPr>
      <w:r w:rsidRPr="00B658AD">
        <w:rPr>
          <w:noProof/>
          <w:sz w:val="24"/>
          <w:szCs w:val="24"/>
          <w:lang w:val="en-US"/>
        </w:rPr>
        <w:lastRenderedPageBreak/>
        <w:drawing>
          <wp:inline distT="0" distB="0" distL="0" distR="0" wp14:anchorId="2D881279" wp14:editId="58396CEB">
            <wp:extent cx="5837387" cy="1885913"/>
            <wp:effectExtent l="0" t="0" r="0" b="635"/>
            <wp:docPr id="1" name="Picture 1" descr="D:\o D\vinhvanphong\Lâm nghiệp-Thủy sản\Năm 2025\Tháng 2\Thuy san _T2-20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vinhvanphong\Lâm nghiệp-Thủy sản\Năm 2025\Tháng 2\Thuy san _T2-2025-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0263" cy="1909457"/>
                    </a:xfrm>
                    <a:prstGeom prst="rect">
                      <a:avLst/>
                    </a:prstGeom>
                    <a:noFill/>
                    <a:ln>
                      <a:noFill/>
                    </a:ln>
                  </pic:spPr>
                </pic:pic>
              </a:graphicData>
            </a:graphic>
          </wp:inline>
        </w:drawing>
      </w:r>
    </w:p>
    <w:p w14:paraId="74564AFF" w14:textId="3AE54987" w:rsidR="00753A68" w:rsidRPr="00753A68" w:rsidRDefault="00753A68" w:rsidP="00753A68">
      <w:pPr>
        <w:spacing w:after="120" w:line="264" w:lineRule="auto"/>
        <w:ind w:firstLine="720"/>
        <w:jc w:val="both"/>
        <w:rPr>
          <w:spacing w:val="4"/>
          <w:lang w:val="sv-SE"/>
        </w:rPr>
      </w:pPr>
      <w:r w:rsidRPr="00E752D7">
        <w:rPr>
          <w:spacing w:val="4"/>
          <w:lang w:val="sv-SE"/>
        </w:rPr>
        <w:t xml:space="preserve">Generally, </w:t>
      </w:r>
      <w:r w:rsidRPr="00705CC5">
        <w:rPr>
          <w:spacing w:val="4"/>
          <w:lang w:val="sv-SE"/>
        </w:rPr>
        <w:t>in the 2 months of 2025, fishery output was estimated at 1,242.9 thousand tons, up 2.4% over the same period last year, including: Fish reached 922.2 thousand tons, up 2.5%; shrimp reached 125.1 thousand tons, up 4,4%; other fishery products reached 195.6 thousand tons, up 0.9%.</w:t>
      </w:r>
    </w:p>
    <w:p w14:paraId="26158D98" w14:textId="757200DB" w:rsidR="00865420" w:rsidRPr="009620E0" w:rsidRDefault="00865420" w:rsidP="00D1029B">
      <w:pPr>
        <w:widowControl w:val="0"/>
        <w:spacing w:beforeLines="40" w:before="96" w:afterLines="40" w:after="96" w:line="247" w:lineRule="auto"/>
        <w:ind w:firstLine="567"/>
        <w:jc w:val="both"/>
        <w:rPr>
          <w:b/>
          <w:bCs/>
          <w:lang w:val="pl-PL"/>
        </w:rPr>
      </w:pPr>
      <w:r w:rsidRPr="009620E0">
        <w:rPr>
          <w:b/>
          <w:bCs/>
          <w:lang w:val="pl-PL"/>
        </w:rPr>
        <w:t>2. Industrial production</w:t>
      </w:r>
    </w:p>
    <w:p w14:paraId="7A20ACFC" w14:textId="77777777" w:rsidR="00753A68" w:rsidRPr="00CA440D" w:rsidRDefault="00753A68" w:rsidP="00753A68">
      <w:pPr>
        <w:widowControl w:val="0"/>
        <w:spacing w:after="120" w:line="252" w:lineRule="auto"/>
        <w:ind w:firstLine="720"/>
        <w:jc w:val="both"/>
        <w:rPr>
          <w:b/>
          <w:bCs/>
        </w:rPr>
      </w:pPr>
      <w:r w:rsidRPr="00C30E94">
        <w:rPr>
          <w:b/>
          <w:bCs/>
          <w:lang w:val="pl-PL"/>
        </w:rPr>
        <w:t xml:space="preserve">2. </w:t>
      </w:r>
      <w:r>
        <w:rPr>
          <w:b/>
          <w:bCs/>
        </w:rPr>
        <w:t>Industry Production</w:t>
      </w:r>
    </w:p>
    <w:p w14:paraId="52993E53" w14:textId="77777777" w:rsidR="00753A68" w:rsidRDefault="00753A68" w:rsidP="00753A68">
      <w:pPr>
        <w:widowControl w:val="0"/>
        <w:shd w:val="clear" w:color="auto" w:fill="FFFFFF"/>
        <w:spacing w:after="120" w:line="252" w:lineRule="auto"/>
        <w:ind w:firstLine="720"/>
        <w:jc w:val="both"/>
        <w:rPr>
          <w:i/>
          <w:spacing w:val="-2"/>
          <w:lang w:val="sv-SE"/>
        </w:rPr>
      </w:pPr>
      <w:r w:rsidRPr="00EF68CD">
        <w:rPr>
          <w:i/>
          <w:spacing w:val="-2"/>
          <w:lang w:val="sv-SE"/>
        </w:rPr>
        <w:t>The industrial production in Februar</w:t>
      </w:r>
      <w:r>
        <w:rPr>
          <w:i/>
          <w:spacing w:val="-2"/>
          <w:lang w:val="sv-SE"/>
        </w:rPr>
        <w:t>y 2025 is estimated to decrease</w:t>
      </w:r>
      <w:r>
        <w:rPr>
          <w:i/>
          <w:spacing w:val="-2"/>
        </w:rPr>
        <w:t xml:space="preserve"> </w:t>
      </w:r>
      <w:r>
        <w:rPr>
          <w:i/>
          <w:spacing w:val="-2"/>
          <w:lang w:val="sv-SE"/>
        </w:rPr>
        <w:t>2</w:t>
      </w:r>
      <w:r>
        <w:rPr>
          <w:i/>
          <w:spacing w:val="-2"/>
        </w:rPr>
        <w:t>.</w:t>
      </w:r>
      <w:r>
        <w:rPr>
          <w:i/>
          <w:spacing w:val="-2"/>
          <w:lang w:val="sv-SE"/>
        </w:rPr>
        <w:t>2</w:t>
      </w:r>
      <w:r w:rsidRPr="00C30E94">
        <w:rPr>
          <w:i/>
          <w:spacing w:val="-2"/>
          <w:lang w:val="sv-SE"/>
        </w:rPr>
        <w:t>%</w:t>
      </w:r>
      <w:r w:rsidRPr="00C30E94">
        <w:rPr>
          <w:i/>
          <w:spacing w:val="-2"/>
          <w:vertAlign w:val="superscript"/>
          <w:lang w:val="pl-PL"/>
        </w:rPr>
        <w:footnoteReference w:id="7"/>
      </w:r>
      <w:r w:rsidRPr="00C30E94">
        <w:rPr>
          <w:i/>
          <w:spacing w:val="-2"/>
        </w:rPr>
        <w:t xml:space="preserve"> </w:t>
      </w:r>
      <w:r>
        <w:rPr>
          <w:i/>
          <w:spacing w:val="-2"/>
        </w:rPr>
        <w:t>compared to the previous month</w:t>
      </w:r>
      <w:r w:rsidRPr="00C30E94">
        <w:rPr>
          <w:i/>
          <w:spacing w:val="-2"/>
          <w:lang w:val="sv-SE"/>
        </w:rPr>
        <w:t xml:space="preserve">; </w:t>
      </w:r>
      <w:r w:rsidRPr="00EF68CD">
        <w:rPr>
          <w:i/>
          <w:spacing w:val="-2"/>
          <w:lang w:val="sv-SE"/>
        </w:rPr>
        <w:t>increased by 17.2% compare</w:t>
      </w:r>
      <w:r>
        <w:rPr>
          <w:i/>
          <w:spacing w:val="-2"/>
          <w:lang w:val="sv-SE"/>
        </w:rPr>
        <w:t>d to the same period last year</w:t>
      </w:r>
      <w:r w:rsidRPr="00EF68CD">
        <w:rPr>
          <w:i/>
          <w:spacing w:val="-2"/>
          <w:lang w:val="sv-SE"/>
        </w:rPr>
        <w:t xml:space="preserve"> </w:t>
      </w:r>
      <w:r w:rsidRPr="00C30E94">
        <w:rPr>
          <w:i/>
          <w:spacing w:val="-2"/>
          <w:vertAlign w:val="superscript"/>
        </w:rPr>
        <w:footnoteReference w:id="8"/>
      </w:r>
      <w:r w:rsidRPr="00C30E94">
        <w:rPr>
          <w:i/>
          <w:spacing w:val="-2"/>
          <w:lang w:val="sv-SE"/>
        </w:rPr>
        <w:t xml:space="preserve">; </w:t>
      </w:r>
      <w:r>
        <w:rPr>
          <w:i/>
          <w:spacing w:val="-2"/>
        </w:rPr>
        <w:t>o</w:t>
      </w:r>
      <w:r w:rsidRPr="00EF68CD">
        <w:rPr>
          <w:i/>
          <w:spacing w:val="-2"/>
          <w:lang w:val="sv-SE"/>
        </w:rPr>
        <w:t>verall, in the first two months of 2025, the Industrial Production Index (IIP) increased by 7.2% compared to the same pe</w:t>
      </w:r>
      <w:r>
        <w:rPr>
          <w:i/>
          <w:spacing w:val="-2"/>
          <w:lang w:val="sv-SE"/>
        </w:rPr>
        <w:t>riod last year.</w:t>
      </w:r>
    </w:p>
    <w:p w14:paraId="5BF8DCE1" w14:textId="77777777" w:rsidR="00753A68" w:rsidRPr="00EF68CD" w:rsidRDefault="00753A68" w:rsidP="00753A68">
      <w:pPr>
        <w:shd w:val="clear" w:color="auto" w:fill="FFFFFF"/>
        <w:tabs>
          <w:tab w:val="left" w:pos="8931"/>
        </w:tabs>
        <w:spacing w:before="120" w:after="120" w:line="252" w:lineRule="auto"/>
        <w:jc w:val="both"/>
        <w:rPr>
          <w:spacing w:val="-4"/>
        </w:rPr>
      </w:pPr>
      <w:r w:rsidRPr="00EF68CD">
        <w:rPr>
          <w:spacing w:val="-4"/>
        </w:rPr>
        <w:t xml:space="preserve">In February 2025, the Industrial Production Index (IIP) of the manufacturing and processing sector increased by 20.0% compared to the same period last year; electricity production and distribution rose by 9.9%; water supply, waste management, and wastewater treatment activities grew by 13.9%; while the mining sector saw a modest increase of 0.4%.  </w:t>
      </w:r>
    </w:p>
    <w:p w14:paraId="753E7EB3" w14:textId="77777777" w:rsidR="00753A68" w:rsidRPr="00EF68CD" w:rsidRDefault="00753A68" w:rsidP="00753A68">
      <w:pPr>
        <w:shd w:val="clear" w:color="auto" w:fill="FFFFFF"/>
        <w:tabs>
          <w:tab w:val="left" w:pos="8931"/>
        </w:tabs>
        <w:spacing w:before="120" w:after="120" w:line="252" w:lineRule="auto"/>
        <w:jc w:val="both"/>
        <w:rPr>
          <w:spacing w:val="-4"/>
        </w:rPr>
      </w:pPr>
      <w:r w:rsidRPr="00EF68CD">
        <w:rPr>
          <w:spacing w:val="-4"/>
        </w:rPr>
        <w:t xml:space="preserve">Overall, in the first two months of 2025, the IIP is estimated to have increased by 7.2% compared to the same period in 2024 (which saw a 6.5% increase). Specifically, the manufacturing and processing industry grew by 9.3% (compared to 6.6% in 2024), contributing 7.9 percentage points to the overall growth. The electricity production and distribution sector increased by 2.3% (compared to a 13.7% rise in 2024), contributing 0.2 percentage points. The water supply, waste management, and wastewater treatment sector grew by 8.0% (compared to 1.4% in 2024), contributing 0.1 percentage points. However, the mining sector declined by 6.4% (compared to a 1.9% decrease in 2024), reducing the overall growth rate by 1.0 percentage point.  </w:t>
      </w:r>
    </w:p>
    <w:p w14:paraId="798F867F" w14:textId="77777777" w:rsidR="00753A68" w:rsidRDefault="00753A68" w:rsidP="00753A68">
      <w:pPr>
        <w:shd w:val="clear" w:color="auto" w:fill="FFFFFF"/>
        <w:tabs>
          <w:tab w:val="left" w:pos="8931"/>
        </w:tabs>
        <w:spacing w:before="120" w:after="120" w:line="252" w:lineRule="auto"/>
        <w:jc w:val="both"/>
        <w:rPr>
          <w:spacing w:val="-4"/>
        </w:rPr>
      </w:pPr>
      <w:r w:rsidRPr="00EF68CD">
        <w:rPr>
          <w:spacing w:val="-4"/>
        </w:rPr>
        <w:lastRenderedPageBreak/>
        <w:t>The IIP of some key level-II industries in the first two months of 2025 increased compared to the same period last year: motor vehicle manufacturing surged by 53.5%; leather and related products grew by 22.5%; furniture manufacturing increased by 19.8%; apparel production rose by 15.3%; wood processing and the production of wooden, bamboo, and rattan products grew by 12.5%; textiles increased by 12.2%; other transportation equipment manufacturing rose by 12.1%; rubber and plastic products manufacturing increased by 11.3%; electronic products, computers, and optical pro</w:t>
      </w:r>
      <w:r>
        <w:rPr>
          <w:spacing w:val="-4"/>
        </w:rPr>
        <w:t xml:space="preserve">ducts production grew by 9.5 </w:t>
      </w:r>
      <w:r w:rsidRPr="00EF68CD">
        <w:rPr>
          <w:spacing w:val="-4"/>
        </w:rPr>
        <w:t>and food processing increased by 7.4%.  Conversely, the IIP of some industries declined compared to the same period last year: crude oil and natural gas extraction dropped by 12.0%; pharmaceutical, chemical, and medicinal manufacturing fell by 10.4%; coke and refined petroleum products manufacturing decreased by 3.6%; tobacco product manufacturing declined by 2.8%; and electrical equipment m</w:t>
      </w:r>
      <w:r>
        <w:rPr>
          <w:spacing w:val="-4"/>
        </w:rPr>
        <w:t>anufacturing decreased by 1.7%.</w:t>
      </w:r>
    </w:p>
    <w:p w14:paraId="12279E84" w14:textId="77777777" w:rsidR="00753A68" w:rsidRDefault="00753A68" w:rsidP="00753A68">
      <w:pPr>
        <w:shd w:val="clear" w:color="auto" w:fill="FFFFFF"/>
        <w:tabs>
          <w:tab w:val="left" w:pos="8931"/>
        </w:tabs>
        <w:spacing w:before="60"/>
        <w:jc w:val="center"/>
        <w:rPr>
          <w:rFonts w:ascii="Arial" w:hAnsi="Arial" w:cs="Arial"/>
          <w:b/>
          <w:spacing w:val="-2"/>
          <w:sz w:val="24"/>
          <w:lang w:val="pl-PL"/>
        </w:rPr>
      </w:pPr>
      <w:r w:rsidRPr="00EF68CD">
        <w:rPr>
          <w:rFonts w:ascii="Arial" w:hAnsi="Arial" w:cs="Arial"/>
          <w:b/>
          <w:spacing w:val="-2"/>
          <w:sz w:val="24"/>
          <w:lang w:val="pl-PL"/>
        </w:rPr>
        <w:t xml:space="preserve">Table 1. Growth/Decline Rate of the IIP in the First Two Months of 2021-2025 Compared to the Same Period of the Previous </w:t>
      </w:r>
      <w:r>
        <w:rPr>
          <w:rFonts w:ascii="Arial" w:hAnsi="Arial" w:cs="Arial"/>
          <w:b/>
          <w:spacing w:val="-2"/>
          <w:sz w:val="24"/>
          <w:lang w:val="pl-PL"/>
        </w:rPr>
        <w:t>Year for Key Industrial Sectors</w:t>
      </w:r>
    </w:p>
    <w:p w14:paraId="14F8E27B" w14:textId="77777777" w:rsidR="00753A68" w:rsidRPr="00C30E94" w:rsidRDefault="00753A68" w:rsidP="00753A68">
      <w:pPr>
        <w:shd w:val="clear" w:color="auto" w:fill="FFFFFF"/>
        <w:tabs>
          <w:tab w:val="left" w:pos="8931"/>
        </w:tabs>
        <w:spacing w:before="60"/>
        <w:jc w:val="right"/>
        <w:rPr>
          <w:rFonts w:ascii="Arial" w:hAnsi="Arial" w:cs="Arial"/>
          <w:spacing w:val="-2"/>
          <w:sz w:val="20"/>
          <w:szCs w:val="20"/>
          <w:lang w:val="pl-PL"/>
        </w:rPr>
      </w:pPr>
      <w:r w:rsidRPr="00C30E94">
        <w:rPr>
          <w:rFonts w:ascii="Arial" w:hAnsi="Arial" w:cs="Arial"/>
          <w:spacing w:val="-2"/>
          <w:sz w:val="20"/>
          <w:szCs w:val="20"/>
          <w:lang w:val="pl-PL"/>
        </w:rPr>
        <w:t xml:space="preserve">   %</w:t>
      </w:r>
    </w:p>
    <w:tbl>
      <w:tblPr>
        <w:tblW w:w="9071" w:type="dxa"/>
        <w:jc w:val="center"/>
        <w:tblBorders>
          <w:top w:val="single" w:sz="4" w:space="0" w:color="auto"/>
        </w:tblBorders>
        <w:tblLook w:val="04A0" w:firstRow="1" w:lastRow="0" w:firstColumn="1" w:lastColumn="0" w:noHBand="0" w:noVBand="1"/>
      </w:tblPr>
      <w:tblGrid>
        <w:gridCol w:w="4820"/>
        <w:gridCol w:w="849"/>
        <w:gridCol w:w="850"/>
        <w:gridCol w:w="896"/>
        <w:gridCol w:w="806"/>
        <w:gridCol w:w="850"/>
      </w:tblGrid>
      <w:tr w:rsidR="00753A68" w:rsidRPr="00C30E94" w14:paraId="4FC7125A" w14:textId="77777777" w:rsidTr="00C47D68">
        <w:trPr>
          <w:trHeight w:val="585"/>
          <w:jc w:val="center"/>
        </w:trPr>
        <w:tc>
          <w:tcPr>
            <w:tcW w:w="4820" w:type="dxa"/>
            <w:tcBorders>
              <w:top w:val="single" w:sz="4" w:space="0" w:color="auto"/>
              <w:left w:val="nil"/>
              <w:bottom w:val="nil"/>
              <w:right w:val="nil"/>
            </w:tcBorders>
            <w:shd w:val="clear" w:color="auto" w:fill="FFFFFF"/>
            <w:hideMark/>
          </w:tcPr>
          <w:p w14:paraId="2B1548D3" w14:textId="77777777" w:rsidR="00753A68" w:rsidRPr="00C30E94" w:rsidRDefault="00753A68" w:rsidP="00C47D68">
            <w:pPr>
              <w:jc w:val="center"/>
              <w:rPr>
                <w:rFonts w:ascii="Arial" w:hAnsi="Arial" w:cs="Arial"/>
                <w:b/>
                <w:bCs/>
                <w:sz w:val="20"/>
                <w:szCs w:val="20"/>
                <w:lang w:val="en-US"/>
              </w:rPr>
            </w:pPr>
            <w:r w:rsidRPr="00C30E94">
              <w:rPr>
                <w:rFonts w:ascii="Arial" w:hAnsi="Arial" w:cs="Arial"/>
                <w:b/>
                <w:bCs/>
                <w:sz w:val="20"/>
                <w:szCs w:val="20"/>
              </w:rPr>
              <w:t> </w:t>
            </w:r>
          </w:p>
        </w:tc>
        <w:tc>
          <w:tcPr>
            <w:tcW w:w="849" w:type="dxa"/>
            <w:tcBorders>
              <w:top w:val="single" w:sz="4" w:space="0" w:color="auto"/>
              <w:left w:val="nil"/>
              <w:bottom w:val="single" w:sz="4" w:space="0" w:color="auto"/>
              <w:right w:val="nil"/>
            </w:tcBorders>
            <w:vAlign w:val="center"/>
            <w:hideMark/>
          </w:tcPr>
          <w:p w14:paraId="6A978CB5" w14:textId="77777777" w:rsidR="00753A68" w:rsidRPr="00C30E94" w:rsidRDefault="00753A68" w:rsidP="00C47D68">
            <w:pPr>
              <w:jc w:val="center"/>
              <w:rPr>
                <w:rFonts w:ascii="Arial" w:hAnsi="Arial" w:cs="Arial"/>
                <w:b/>
                <w:bCs/>
                <w:sz w:val="20"/>
                <w:szCs w:val="20"/>
              </w:rPr>
            </w:pPr>
            <w:r w:rsidRPr="00C30E94">
              <w:rPr>
                <w:rFonts w:ascii="Arial" w:hAnsi="Arial" w:cs="Arial"/>
                <w:b/>
                <w:bCs/>
                <w:sz w:val="20"/>
                <w:szCs w:val="20"/>
              </w:rPr>
              <w:t>2021</w:t>
            </w:r>
          </w:p>
        </w:tc>
        <w:tc>
          <w:tcPr>
            <w:tcW w:w="850" w:type="dxa"/>
            <w:tcBorders>
              <w:top w:val="single" w:sz="4" w:space="0" w:color="auto"/>
              <w:left w:val="nil"/>
              <w:bottom w:val="single" w:sz="4" w:space="0" w:color="auto"/>
              <w:right w:val="nil"/>
            </w:tcBorders>
            <w:vAlign w:val="center"/>
            <w:hideMark/>
          </w:tcPr>
          <w:p w14:paraId="52FDF596" w14:textId="77777777" w:rsidR="00753A68" w:rsidRPr="00C30E94" w:rsidRDefault="00753A68" w:rsidP="00C47D68">
            <w:pPr>
              <w:jc w:val="center"/>
              <w:rPr>
                <w:rFonts w:ascii="Arial" w:hAnsi="Arial" w:cs="Arial"/>
                <w:b/>
                <w:bCs/>
                <w:sz w:val="20"/>
                <w:szCs w:val="20"/>
              </w:rPr>
            </w:pPr>
            <w:r w:rsidRPr="00C30E94">
              <w:rPr>
                <w:rFonts w:ascii="Arial" w:hAnsi="Arial" w:cs="Arial"/>
                <w:b/>
                <w:bCs/>
                <w:sz w:val="20"/>
                <w:szCs w:val="20"/>
              </w:rPr>
              <w:t>2022</w:t>
            </w:r>
          </w:p>
        </w:tc>
        <w:tc>
          <w:tcPr>
            <w:tcW w:w="896" w:type="dxa"/>
            <w:tcBorders>
              <w:top w:val="single" w:sz="4" w:space="0" w:color="auto"/>
              <w:left w:val="nil"/>
              <w:bottom w:val="single" w:sz="4" w:space="0" w:color="auto"/>
              <w:right w:val="nil"/>
            </w:tcBorders>
            <w:vAlign w:val="center"/>
            <w:hideMark/>
          </w:tcPr>
          <w:p w14:paraId="73C362AA" w14:textId="77777777" w:rsidR="00753A68" w:rsidRPr="00C30E94" w:rsidRDefault="00753A68" w:rsidP="00C47D68">
            <w:pPr>
              <w:jc w:val="center"/>
              <w:rPr>
                <w:rFonts w:ascii="Arial" w:hAnsi="Arial" w:cs="Arial"/>
                <w:b/>
                <w:bCs/>
                <w:sz w:val="20"/>
                <w:szCs w:val="20"/>
              </w:rPr>
            </w:pPr>
            <w:r w:rsidRPr="00C30E94">
              <w:rPr>
                <w:rFonts w:ascii="Arial" w:hAnsi="Arial" w:cs="Arial"/>
                <w:b/>
                <w:bCs/>
                <w:sz w:val="20"/>
                <w:szCs w:val="20"/>
              </w:rPr>
              <w:t>2023</w:t>
            </w:r>
          </w:p>
        </w:tc>
        <w:tc>
          <w:tcPr>
            <w:tcW w:w="806" w:type="dxa"/>
            <w:tcBorders>
              <w:top w:val="single" w:sz="4" w:space="0" w:color="auto"/>
              <w:left w:val="nil"/>
              <w:bottom w:val="single" w:sz="4" w:space="0" w:color="auto"/>
              <w:right w:val="nil"/>
            </w:tcBorders>
            <w:vAlign w:val="center"/>
            <w:hideMark/>
          </w:tcPr>
          <w:p w14:paraId="29AD1888" w14:textId="77777777" w:rsidR="00753A68" w:rsidRPr="00C30E94" w:rsidRDefault="00753A68" w:rsidP="00C47D68">
            <w:pPr>
              <w:jc w:val="center"/>
              <w:rPr>
                <w:rFonts w:ascii="Arial" w:hAnsi="Arial" w:cs="Arial"/>
                <w:b/>
                <w:bCs/>
                <w:sz w:val="20"/>
                <w:szCs w:val="20"/>
              </w:rPr>
            </w:pPr>
            <w:r w:rsidRPr="00C30E94">
              <w:rPr>
                <w:rFonts w:ascii="Arial" w:hAnsi="Arial" w:cs="Arial"/>
                <w:b/>
                <w:bCs/>
                <w:sz w:val="20"/>
                <w:szCs w:val="20"/>
              </w:rPr>
              <w:t>2024</w:t>
            </w:r>
          </w:p>
        </w:tc>
        <w:tc>
          <w:tcPr>
            <w:tcW w:w="850" w:type="dxa"/>
            <w:tcBorders>
              <w:top w:val="single" w:sz="4" w:space="0" w:color="auto"/>
              <w:left w:val="nil"/>
              <w:bottom w:val="single" w:sz="4" w:space="0" w:color="auto"/>
              <w:right w:val="nil"/>
            </w:tcBorders>
            <w:vAlign w:val="center"/>
            <w:hideMark/>
          </w:tcPr>
          <w:p w14:paraId="7092EE26" w14:textId="77777777" w:rsidR="00753A68" w:rsidRPr="00C30E94" w:rsidRDefault="00753A68" w:rsidP="00C47D68">
            <w:pPr>
              <w:jc w:val="center"/>
              <w:rPr>
                <w:rFonts w:ascii="Arial" w:hAnsi="Arial" w:cs="Arial"/>
                <w:b/>
                <w:bCs/>
                <w:sz w:val="20"/>
                <w:szCs w:val="20"/>
              </w:rPr>
            </w:pPr>
            <w:r w:rsidRPr="00C30E94">
              <w:rPr>
                <w:rFonts w:ascii="Arial" w:hAnsi="Arial" w:cs="Arial"/>
                <w:b/>
                <w:bCs/>
                <w:sz w:val="20"/>
                <w:szCs w:val="20"/>
              </w:rPr>
              <w:t>2025</w:t>
            </w:r>
          </w:p>
        </w:tc>
      </w:tr>
      <w:tr w:rsidR="00753A68" w:rsidRPr="00C30E94" w14:paraId="67165D40" w14:textId="77777777" w:rsidTr="00C47D68">
        <w:trPr>
          <w:trHeight w:val="314"/>
          <w:jc w:val="center"/>
        </w:trPr>
        <w:tc>
          <w:tcPr>
            <w:tcW w:w="4820" w:type="dxa"/>
            <w:tcBorders>
              <w:top w:val="nil"/>
              <w:left w:val="nil"/>
              <w:bottom w:val="nil"/>
              <w:right w:val="nil"/>
            </w:tcBorders>
            <w:shd w:val="clear" w:color="auto" w:fill="FFFFFF"/>
            <w:noWrap/>
            <w:hideMark/>
          </w:tcPr>
          <w:p w14:paraId="2317EBED" w14:textId="77777777" w:rsidR="00753A68" w:rsidRPr="00C30E94" w:rsidRDefault="00753A68" w:rsidP="00C47D68">
            <w:pPr>
              <w:rPr>
                <w:rFonts w:ascii="Arial" w:hAnsi="Arial" w:cs="Arial"/>
                <w:sz w:val="20"/>
                <w:szCs w:val="20"/>
              </w:rPr>
            </w:pPr>
            <w:r>
              <w:rPr>
                <w:rFonts w:ascii="Arial" w:hAnsi="Arial" w:cs="Arial"/>
                <w:sz w:val="20"/>
                <w:szCs w:val="20"/>
              </w:rPr>
              <w:t>C</w:t>
            </w:r>
            <w:r w:rsidRPr="00EF68CD">
              <w:rPr>
                <w:rFonts w:ascii="Arial" w:hAnsi="Arial" w:cs="Arial"/>
                <w:sz w:val="20"/>
                <w:szCs w:val="20"/>
              </w:rPr>
              <w:t>rude oil and natural gas extraction</w:t>
            </w:r>
          </w:p>
        </w:tc>
        <w:tc>
          <w:tcPr>
            <w:tcW w:w="849" w:type="dxa"/>
            <w:tcBorders>
              <w:top w:val="nil"/>
              <w:left w:val="nil"/>
              <w:bottom w:val="nil"/>
              <w:right w:val="nil"/>
            </w:tcBorders>
            <w:hideMark/>
          </w:tcPr>
          <w:p w14:paraId="67C2A5C8"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-9,9</w:t>
            </w:r>
          </w:p>
        </w:tc>
        <w:tc>
          <w:tcPr>
            <w:tcW w:w="850" w:type="dxa"/>
            <w:tcBorders>
              <w:top w:val="nil"/>
              <w:left w:val="nil"/>
              <w:bottom w:val="nil"/>
              <w:right w:val="nil"/>
            </w:tcBorders>
            <w:hideMark/>
          </w:tcPr>
          <w:p w14:paraId="315EDCD2"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-3,4</w:t>
            </w:r>
          </w:p>
        </w:tc>
        <w:tc>
          <w:tcPr>
            <w:tcW w:w="896" w:type="dxa"/>
            <w:tcBorders>
              <w:top w:val="nil"/>
              <w:left w:val="nil"/>
              <w:bottom w:val="nil"/>
              <w:right w:val="nil"/>
            </w:tcBorders>
            <w:hideMark/>
          </w:tcPr>
          <w:p w14:paraId="1F4A4519"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-3,1</w:t>
            </w:r>
          </w:p>
        </w:tc>
        <w:tc>
          <w:tcPr>
            <w:tcW w:w="806" w:type="dxa"/>
            <w:tcBorders>
              <w:top w:val="nil"/>
              <w:left w:val="nil"/>
              <w:bottom w:val="nil"/>
              <w:right w:val="nil"/>
            </w:tcBorders>
            <w:hideMark/>
          </w:tcPr>
          <w:p w14:paraId="7F499DA1"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-6,6</w:t>
            </w:r>
          </w:p>
        </w:tc>
        <w:tc>
          <w:tcPr>
            <w:tcW w:w="850" w:type="dxa"/>
            <w:tcBorders>
              <w:top w:val="nil"/>
              <w:left w:val="nil"/>
              <w:bottom w:val="nil"/>
              <w:right w:val="nil"/>
            </w:tcBorders>
            <w:hideMark/>
          </w:tcPr>
          <w:p w14:paraId="4631299E"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-1</w:t>
            </w:r>
            <w:r>
              <w:rPr>
                <w:rFonts w:ascii="Arial" w:hAnsi="Arial" w:cs="Arial"/>
                <w:sz w:val="20"/>
                <w:szCs w:val="20"/>
                <w:lang w:val="en-US"/>
              </w:rPr>
              <w:t>2,0</w:t>
            </w:r>
          </w:p>
        </w:tc>
      </w:tr>
      <w:tr w:rsidR="00753A68" w:rsidRPr="00C30E94" w14:paraId="79748887" w14:textId="77777777" w:rsidTr="00C47D68">
        <w:trPr>
          <w:trHeight w:val="314"/>
          <w:jc w:val="center"/>
        </w:trPr>
        <w:tc>
          <w:tcPr>
            <w:tcW w:w="4820" w:type="dxa"/>
            <w:tcBorders>
              <w:top w:val="nil"/>
              <w:left w:val="nil"/>
              <w:bottom w:val="nil"/>
              <w:right w:val="nil"/>
            </w:tcBorders>
            <w:shd w:val="clear" w:color="auto" w:fill="FFFFFF"/>
            <w:noWrap/>
            <w:hideMark/>
          </w:tcPr>
          <w:p w14:paraId="60044BB2" w14:textId="77777777" w:rsidR="00753A68" w:rsidRPr="00C30E94" w:rsidRDefault="00753A68" w:rsidP="00C47D68">
            <w:pPr>
              <w:rPr>
                <w:rFonts w:ascii="Arial" w:hAnsi="Arial" w:cs="Arial"/>
                <w:sz w:val="20"/>
                <w:szCs w:val="20"/>
              </w:rPr>
            </w:pPr>
            <w:r>
              <w:rPr>
                <w:rFonts w:ascii="Arial" w:hAnsi="Arial" w:cs="Arial"/>
                <w:sz w:val="20"/>
                <w:szCs w:val="20"/>
              </w:rPr>
              <w:t>F</w:t>
            </w:r>
            <w:r w:rsidRPr="00C50930">
              <w:rPr>
                <w:rFonts w:ascii="Arial" w:hAnsi="Arial" w:cs="Arial"/>
                <w:sz w:val="20"/>
                <w:szCs w:val="20"/>
              </w:rPr>
              <w:t>ood processing</w:t>
            </w:r>
          </w:p>
        </w:tc>
        <w:tc>
          <w:tcPr>
            <w:tcW w:w="849" w:type="dxa"/>
            <w:tcBorders>
              <w:top w:val="nil"/>
              <w:left w:val="nil"/>
              <w:bottom w:val="nil"/>
              <w:right w:val="nil"/>
            </w:tcBorders>
            <w:hideMark/>
          </w:tcPr>
          <w:p w14:paraId="1FD8D7A3"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3,3</w:t>
            </w:r>
          </w:p>
        </w:tc>
        <w:tc>
          <w:tcPr>
            <w:tcW w:w="850" w:type="dxa"/>
            <w:tcBorders>
              <w:top w:val="nil"/>
              <w:left w:val="nil"/>
              <w:bottom w:val="nil"/>
              <w:right w:val="nil"/>
            </w:tcBorders>
            <w:hideMark/>
          </w:tcPr>
          <w:p w14:paraId="5CD5583D"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6,2</w:t>
            </w:r>
          </w:p>
        </w:tc>
        <w:tc>
          <w:tcPr>
            <w:tcW w:w="896" w:type="dxa"/>
            <w:tcBorders>
              <w:top w:val="nil"/>
              <w:left w:val="nil"/>
              <w:bottom w:val="nil"/>
              <w:right w:val="nil"/>
            </w:tcBorders>
            <w:hideMark/>
          </w:tcPr>
          <w:p w14:paraId="7FA6F5B2"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1,2</w:t>
            </w:r>
          </w:p>
        </w:tc>
        <w:tc>
          <w:tcPr>
            <w:tcW w:w="806" w:type="dxa"/>
            <w:tcBorders>
              <w:top w:val="nil"/>
              <w:left w:val="nil"/>
              <w:bottom w:val="nil"/>
              <w:right w:val="nil"/>
            </w:tcBorders>
            <w:hideMark/>
          </w:tcPr>
          <w:p w14:paraId="432CB030"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4,2</w:t>
            </w:r>
          </w:p>
        </w:tc>
        <w:tc>
          <w:tcPr>
            <w:tcW w:w="850" w:type="dxa"/>
            <w:tcBorders>
              <w:top w:val="nil"/>
              <w:left w:val="nil"/>
              <w:bottom w:val="nil"/>
              <w:right w:val="nil"/>
            </w:tcBorders>
            <w:hideMark/>
          </w:tcPr>
          <w:p w14:paraId="24700B77"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7,4</w:t>
            </w:r>
          </w:p>
        </w:tc>
      </w:tr>
      <w:tr w:rsidR="00753A68" w:rsidRPr="00C30E94" w14:paraId="1FF2DB51" w14:textId="77777777" w:rsidTr="00C47D68">
        <w:trPr>
          <w:trHeight w:val="317"/>
          <w:jc w:val="center"/>
        </w:trPr>
        <w:tc>
          <w:tcPr>
            <w:tcW w:w="4820" w:type="dxa"/>
            <w:tcBorders>
              <w:top w:val="nil"/>
              <w:left w:val="nil"/>
              <w:bottom w:val="nil"/>
              <w:right w:val="nil"/>
            </w:tcBorders>
            <w:shd w:val="clear" w:color="auto" w:fill="FFFFFF"/>
            <w:hideMark/>
          </w:tcPr>
          <w:p w14:paraId="06A69B02" w14:textId="77777777" w:rsidR="00753A68" w:rsidRPr="00C30E94" w:rsidRDefault="00753A68" w:rsidP="00C47D68">
            <w:pPr>
              <w:rPr>
                <w:rFonts w:ascii="Arial" w:hAnsi="Arial" w:cs="Arial"/>
                <w:sz w:val="20"/>
                <w:szCs w:val="20"/>
              </w:rPr>
            </w:pPr>
            <w:r>
              <w:rPr>
                <w:rFonts w:ascii="Arial" w:hAnsi="Arial" w:cs="Arial"/>
                <w:sz w:val="20"/>
                <w:szCs w:val="20"/>
              </w:rPr>
              <w:t>T</w:t>
            </w:r>
            <w:r w:rsidRPr="00C50930">
              <w:rPr>
                <w:rFonts w:ascii="Arial" w:hAnsi="Arial" w:cs="Arial"/>
                <w:sz w:val="20"/>
                <w:szCs w:val="20"/>
              </w:rPr>
              <w:t>obacco product manufacturing</w:t>
            </w:r>
          </w:p>
        </w:tc>
        <w:tc>
          <w:tcPr>
            <w:tcW w:w="849" w:type="dxa"/>
            <w:tcBorders>
              <w:top w:val="nil"/>
              <w:left w:val="nil"/>
              <w:bottom w:val="nil"/>
              <w:right w:val="nil"/>
            </w:tcBorders>
            <w:hideMark/>
          </w:tcPr>
          <w:p w14:paraId="409547DC"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4,8</w:t>
            </w:r>
          </w:p>
        </w:tc>
        <w:tc>
          <w:tcPr>
            <w:tcW w:w="850" w:type="dxa"/>
            <w:tcBorders>
              <w:top w:val="nil"/>
              <w:left w:val="nil"/>
              <w:bottom w:val="nil"/>
              <w:right w:val="nil"/>
            </w:tcBorders>
            <w:hideMark/>
          </w:tcPr>
          <w:p w14:paraId="39F29C3D"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5,8</w:t>
            </w:r>
          </w:p>
        </w:tc>
        <w:tc>
          <w:tcPr>
            <w:tcW w:w="896" w:type="dxa"/>
            <w:tcBorders>
              <w:top w:val="nil"/>
              <w:left w:val="nil"/>
              <w:bottom w:val="nil"/>
              <w:right w:val="nil"/>
            </w:tcBorders>
            <w:hideMark/>
          </w:tcPr>
          <w:p w14:paraId="2B60976B"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6,1</w:t>
            </w:r>
          </w:p>
        </w:tc>
        <w:tc>
          <w:tcPr>
            <w:tcW w:w="806" w:type="dxa"/>
            <w:tcBorders>
              <w:top w:val="nil"/>
              <w:left w:val="nil"/>
              <w:bottom w:val="nil"/>
              <w:right w:val="nil"/>
            </w:tcBorders>
            <w:hideMark/>
          </w:tcPr>
          <w:p w14:paraId="339DB3BF"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9,6</w:t>
            </w:r>
          </w:p>
        </w:tc>
        <w:tc>
          <w:tcPr>
            <w:tcW w:w="850" w:type="dxa"/>
            <w:tcBorders>
              <w:top w:val="nil"/>
              <w:left w:val="nil"/>
              <w:bottom w:val="nil"/>
              <w:right w:val="nil"/>
            </w:tcBorders>
            <w:hideMark/>
          </w:tcPr>
          <w:p w14:paraId="440571FD"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-2,8</w:t>
            </w:r>
          </w:p>
        </w:tc>
      </w:tr>
      <w:tr w:rsidR="00753A68" w:rsidRPr="00C30E94" w14:paraId="62351B84" w14:textId="77777777" w:rsidTr="00C47D68">
        <w:trPr>
          <w:trHeight w:val="314"/>
          <w:jc w:val="center"/>
        </w:trPr>
        <w:tc>
          <w:tcPr>
            <w:tcW w:w="4820" w:type="dxa"/>
            <w:tcBorders>
              <w:top w:val="nil"/>
              <w:left w:val="nil"/>
              <w:bottom w:val="nil"/>
              <w:right w:val="nil"/>
            </w:tcBorders>
            <w:shd w:val="clear" w:color="auto" w:fill="FFFFFF"/>
            <w:noWrap/>
            <w:hideMark/>
          </w:tcPr>
          <w:p w14:paraId="42D47530" w14:textId="77777777" w:rsidR="00753A68" w:rsidRPr="00C30E94" w:rsidRDefault="00753A68" w:rsidP="00C47D68">
            <w:pPr>
              <w:rPr>
                <w:rFonts w:ascii="Arial" w:hAnsi="Arial" w:cs="Arial"/>
                <w:sz w:val="20"/>
                <w:szCs w:val="20"/>
              </w:rPr>
            </w:pPr>
            <w:r>
              <w:rPr>
                <w:rFonts w:ascii="Arial" w:hAnsi="Arial" w:cs="Arial"/>
                <w:sz w:val="20"/>
                <w:szCs w:val="20"/>
              </w:rPr>
              <w:t>T</w:t>
            </w:r>
            <w:r w:rsidRPr="00C50930">
              <w:rPr>
                <w:rFonts w:ascii="Arial" w:hAnsi="Arial" w:cs="Arial"/>
                <w:sz w:val="20"/>
                <w:szCs w:val="20"/>
              </w:rPr>
              <w:t>extiles</w:t>
            </w:r>
          </w:p>
        </w:tc>
        <w:tc>
          <w:tcPr>
            <w:tcW w:w="849" w:type="dxa"/>
            <w:tcBorders>
              <w:top w:val="nil"/>
              <w:left w:val="nil"/>
              <w:bottom w:val="nil"/>
              <w:right w:val="nil"/>
            </w:tcBorders>
            <w:hideMark/>
          </w:tcPr>
          <w:p w14:paraId="6BA08634"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5,0</w:t>
            </w:r>
          </w:p>
        </w:tc>
        <w:tc>
          <w:tcPr>
            <w:tcW w:w="850" w:type="dxa"/>
            <w:tcBorders>
              <w:top w:val="nil"/>
              <w:left w:val="nil"/>
              <w:bottom w:val="nil"/>
              <w:right w:val="nil"/>
            </w:tcBorders>
            <w:hideMark/>
          </w:tcPr>
          <w:p w14:paraId="08497BF2"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5,3</w:t>
            </w:r>
          </w:p>
        </w:tc>
        <w:tc>
          <w:tcPr>
            <w:tcW w:w="896" w:type="dxa"/>
            <w:tcBorders>
              <w:top w:val="nil"/>
              <w:left w:val="nil"/>
              <w:bottom w:val="nil"/>
              <w:right w:val="nil"/>
            </w:tcBorders>
            <w:hideMark/>
          </w:tcPr>
          <w:p w14:paraId="06249A8E"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-9,9</w:t>
            </w:r>
          </w:p>
        </w:tc>
        <w:tc>
          <w:tcPr>
            <w:tcW w:w="806" w:type="dxa"/>
            <w:tcBorders>
              <w:top w:val="nil"/>
              <w:left w:val="nil"/>
              <w:bottom w:val="nil"/>
              <w:right w:val="nil"/>
            </w:tcBorders>
            <w:hideMark/>
          </w:tcPr>
          <w:p w14:paraId="4549F06F"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18,0</w:t>
            </w:r>
          </w:p>
        </w:tc>
        <w:tc>
          <w:tcPr>
            <w:tcW w:w="850" w:type="dxa"/>
            <w:tcBorders>
              <w:top w:val="nil"/>
              <w:left w:val="nil"/>
              <w:bottom w:val="nil"/>
              <w:right w:val="nil"/>
            </w:tcBorders>
            <w:hideMark/>
          </w:tcPr>
          <w:p w14:paraId="4099AAAA"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12,2</w:t>
            </w:r>
          </w:p>
        </w:tc>
      </w:tr>
      <w:tr w:rsidR="00753A68" w:rsidRPr="00C30E94" w14:paraId="414B86E2" w14:textId="77777777" w:rsidTr="00C47D68">
        <w:trPr>
          <w:trHeight w:val="314"/>
          <w:jc w:val="center"/>
        </w:trPr>
        <w:tc>
          <w:tcPr>
            <w:tcW w:w="4820" w:type="dxa"/>
            <w:tcBorders>
              <w:top w:val="nil"/>
              <w:left w:val="nil"/>
              <w:bottom w:val="nil"/>
              <w:right w:val="nil"/>
            </w:tcBorders>
            <w:shd w:val="clear" w:color="auto" w:fill="FFFFFF"/>
            <w:noWrap/>
            <w:hideMark/>
          </w:tcPr>
          <w:p w14:paraId="2A6D760A" w14:textId="77777777" w:rsidR="00753A68" w:rsidRPr="00C30E94" w:rsidRDefault="00753A68" w:rsidP="00C47D68">
            <w:pPr>
              <w:rPr>
                <w:rFonts w:ascii="Arial" w:hAnsi="Arial" w:cs="Arial"/>
                <w:sz w:val="20"/>
                <w:szCs w:val="20"/>
              </w:rPr>
            </w:pPr>
            <w:r>
              <w:rPr>
                <w:rFonts w:ascii="Arial" w:hAnsi="Arial" w:cs="Arial"/>
                <w:sz w:val="20"/>
                <w:szCs w:val="20"/>
              </w:rPr>
              <w:t>A</w:t>
            </w:r>
            <w:r w:rsidRPr="00C50930">
              <w:rPr>
                <w:rFonts w:ascii="Arial" w:hAnsi="Arial" w:cs="Arial"/>
                <w:sz w:val="20"/>
                <w:szCs w:val="20"/>
              </w:rPr>
              <w:t>pparel production</w:t>
            </w:r>
          </w:p>
        </w:tc>
        <w:tc>
          <w:tcPr>
            <w:tcW w:w="849" w:type="dxa"/>
            <w:tcBorders>
              <w:top w:val="nil"/>
              <w:left w:val="nil"/>
              <w:bottom w:val="nil"/>
              <w:right w:val="nil"/>
            </w:tcBorders>
            <w:hideMark/>
          </w:tcPr>
          <w:p w14:paraId="4456245D"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2,1</w:t>
            </w:r>
          </w:p>
        </w:tc>
        <w:tc>
          <w:tcPr>
            <w:tcW w:w="850" w:type="dxa"/>
            <w:tcBorders>
              <w:top w:val="nil"/>
              <w:left w:val="nil"/>
              <w:bottom w:val="nil"/>
              <w:right w:val="nil"/>
            </w:tcBorders>
            <w:hideMark/>
          </w:tcPr>
          <w:p w14:paraId="37BDEF9C"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25,7</w:t>
            </w:r>
          </w:p>
        </w:tc>
        <w:tc>
          <w:tcPr>
            <w:tcW w:w="896" w:type="dxa"/>
            <w:tcBorders>
              <w:top w:val="nil"/>
              <w:left w:val="nil"/>
              <w:bottom w:val="nil"/>
              <w:right w:val="nil"/>
            </w:tcBorders>
            <w:hideMark/>
          </w:tcPr>
          <w:p w14:paraId="0C9DF5C3"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-14,0</w:t>
            </w:r>
          </w:p>
        </w:tc>
        <w:tc>
          <w:tcPr>
            <w:tcW w:w="806" w:type="dxa"/>
            <w:tcBorders>
              <w:top w:val="nil"/>
              <w:left w:val="nil"/>
              <w:bottom w:val="nil"/>
              <w:right w:val="nil"/>
            </w:tcBorders>
            <w:hideMark/>
          </w:tcPr>
          <w:p w14:paraId="22E9F543"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4,1</w:t>
            </w:r>
          </w:p>
        </w:tc>
        <w:tc>
          <w:tcPr>
            <w:tcW w:w="850" w:type="dxa"/>
            <w:tcBorders>
              <w:top w:val="nil"/>
              <w:left w:val="nil"/>
              <w:bottom w:val="nil"/>
              <w:right w:val="nil"/>
            </w:tcBorders>
            <w:hideMark/>
          </w:tcPr>
          <w:p w14:paraId="0472C065"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15,3</w:t>
            </w:r>
          </w:p>
        </w:tc>
      </w:tr>
      <w:tr w:rsidR="00753A68" w:rsidRPr="00C30E94" w14:paraId="3082B75D" w14:textId="77777777" w:rsidTr="00C47D68">
        <w:trPr>
          <w:trHeight w:val="314"/>
          <w:jc w:val="center"/>
        </w:trPr>
        <w:tc>
          <w:tcPr>
            <w:tcW w:w="4820" w:type="dxa"/>
            <w:tcBorders>
              <w:top w:val="nil"/>
              <w:left w:val="nil"/>
              <w:bottom w:val="nil"/>
              <w:right w:val="nil"/>
            </w:tcBorders>
            <w:shd w:val="clear" w:color="auto" w:fill="FFFFFF"/>
            <w:noWrap/>
            <w:hideMark/>
          </w:tcPr>
          <w:p w14:paraId="09825BAE" w14:textId="77777777" w:rsidR="00753A68" w:rsidRPr="00C30E94" w:rsidRDefault="00753A68" w:rsidP="00C47D68">
            <w:pPr>
              <w:rPr>
                <w:rFonts w:ascii="Arial" w:hAnsi="Arial" w:cs="Arial"/>
                <w:sz w:val="20"/>
                <w:szCs w:val="20"/>
              </w:rPr>
            </w:pPr>
            <w:r>
              <w:rPr>
                <w:rFonts w:ascii="Arial" w:hAnsi="Arial" w:cs="Arial"/>
                <w:sz w:val="20"/>
                <w:szCs w:val="20"/>
              </w:rPr>
              <w:t>L</w:t>
            </w:r>
            <w:r w:rsidRPr="00C50930">
              <w:rPr>
                <w:rFonts w:ascii="Arial" w:hAnsi="Arial" w:cs="Arial"/>
                <w:sz w:val="20"/>
                <w:szCs w:val="20"/>
              </w:rPr>
              <w:t>eather and related products</w:t>
            </w:r>
          </w:p>
        </w:tc>
        <w:tc>
          <w:tcPr>
            <w:tcW w:w="849" w:type="dxa"/>
            <w:tcBorders>
              <w:top w:val="nil"/>
              <w:left w:val="nil"/>
              <w:bottom w:val="nil"/>
              <w:right w:val="nil"/>
            </w:tcBorders>
            <w:hideMark/>
          </w:tcPr>
          <w:p w14:paraId="6903D1F0"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2,3</w:t>
            </w:r>
          </w:p>
        </w:tc>
        <w:tc>
          <w:tcPr>
            <w:tcW w:w="850" w:type="dxa"/>
            <w:tcBorders>
              <w:top w:val="nil"/>
              <w:left w:val="nil"/>
              <w:bottom w:val="nil"/>
              <w:right w:val="nil"/>
            </w:tcBorders>
            <w:hideMark/>
          </w:tcPr>
          <w:p w14:paraId="5299D913"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9,6</w:t>
            </w:r>
          </w:p>
        </w:tc>
        <w:tc>
          <w:tcPr>
            <w:tcW w:w="896" w:type="dxa"/>
            <w:tcBorders>
              <w:top w:val="nil"/>
              <w:left w:val="nil"/>
              <w:bottom w:val="nil"/>
              <w:right w:val="nil"/>
            </w:tcBorders>
            <w:hideMark/>
          </w:tcPr>
          <w:p w14:paraId="73299586"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-6,2</w:t>
            </w:r>
          </w:p>
        </w:tc>
        <w:tc>
          <w:tcPr>
            <w:tcW w:w="806" w:type="dxa"/>
            <w:tcBorders>
              <w:top w:val="nil"/>
              <w:left w:val="nil"/>
              <w:bottom w:val="nil"/>
              <w:right w:val="nil"/>
            </w:tcBorders>
            <w:hideMark/>
          </w:tcPr>
          <w:p w14:paraId="1D5A3DE7"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6,6</w:t>
            </w:r>
          </w:p>
        </w:tc>
        <w:tc>
          <w:tcPr>
            <w:tcW w:w="850" w:type="dxa"/>
            <w:tcBorders>
              <w:top w:val="nil"/>
              <w:left w:val="nil"/>
              <w:bottom w:val="nil"/>
              <w:right w:val="nil"/>
            </w:tcBorders>
            <w:hideMark/>
          </w:tcPr>
          <w:p w14:paraId="2A058316"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22,5</w:t>
            </w:r>
          </w:p>
        </w:tc>
      </w:tr>
      <w:tr w:rsidR="00753A68" w:rsidRPr="00C30E94" w14:paraId="4CF9F65D" w14:textId="77777777" w:rsidTr="00C47D68">
        <w:trPr>
          <w:trHeight w:val="314"/>
          <w:jc w:val="center"/>
        </w:trPr>
        <w:tc>
          <w:tcPr>
            <w:tcW w:w="4820" w:type="dxa"/>
            <w:tcBorders>
              <w:top w:val="nil"/>
              <w:left w:val="nil"/>
              <w:bottom w:val="nil"/>
              <w:right w:val="nil"/>
            </w:tcBorders>
            <w:shd w:val="clear" w:color="auto" w:fill="FFFFFF"/>
            <w:noWrap/>
            <w:hideMark/>
          </w:tcPr>
          <w:p w14:paraId="21C1327E" w14:textId="77777777" w:rsidR="00753A68" w:rsidRPr="00C30E94" w:rsidRDefault="00753A68" w:rsidP="00C47D68">
            <w:pPr>
              <w:rPr>
                <w:rFonts w:ascii="Arial" w:hAnsi="Arial" w:cs="Arial"/>
                <w:sz w:val="20"/>
                <w:szCs w:val="20"/>
              </w:rPr>
            </w:pPr>
            <w:r>
              <w:rPr>
                <w:rFonts w:ascii="Arial" w:hAnsi="Arial" w:cs="Arial"/>
                <w:sz w:val="20"/>
                <w:szCs w:val="20"/>
              </w:rPr>
              <w:t>W</w:t>
            </w:r>
            <w:r w:rsidRPr="00C50930">
              <w:rPr>
                <w:rFonts w:ascii="Arial" w:hAnsi="Arial" w:cs="Arial"/>
                <w:sz w:val="20"/>
                <w:szCs w:val="20"/>
              </w:rPr>
              <w:t>ood processing and the production of wooden, bamboo, and rattan products</w:t>
            </w:r>
          </w:p>
        </w:tc>
        <w:tc>
          <w:tcPr>
            <w:tcW w:w="849" w:type="dxa"/>
            <w:tcBorders>
              <w:top w:val="nil"/>
              <w:left w:val="nil"/>
              <w:bottom w:val="nil"/>
              <w:right w:val="nil"/>
            </w:tcBorders>
            <w:hideMark/>
          </w:tcPr>
          <w:p w14:paraId="0BBADF19"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3,4</w:t>
            </w:r>
          </w:p>
        </w:tc>
        <w:tc>
          <w:tcPr>
            <w:tcW w:w="850" w:type="dxa"/>
            <w:tcBorders>
              <w:top w:val="nil"/>
              <w:left w:val="nil"/>
              <w:bottom w:val="nil"/>
              <w:right w:val="nil"/>
            </w:tcBorders>
            <w:hideMark/>
          </w:tcPr>
          <w:p w14:paraId="1B0D74F6"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-1,2</w:t>
            </w:r>
          </w:p>
        </w:tc>
        <w:tc>
          <w:tcPr>
            <w:tcW w:w="896" w:type="dxa"/>
            <w:tcBorders>
              <w:top w:val="nil"/>
              <w:left w:val="nil"/>
              <w:bottom w:val="nil"/>
              <w:right w:val="nil"/>
            </w:tcBorders>
            <w:hideMark/>
          </w:tcPr>
          <w:p w14:paraId="6E4CC1A7"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3,9</w:t>
            </w:r>
          </w:p>
        </w:tc>
        <w:tc>
          <w:tcPr>
            <w:tcW w:w="806" w:type="dxa"/>
            <w:tcBorders>
              <w:top w:val="nil"/>
              <w:left w:val="nil"/>
              <w:bottom w:val="nil"/>
              <w:right w:val="nil"/>
            </w:tcBorders>
            <w:hideMark/>
          </w:tcPr>
          <w:p w14:paraId="11AE1E07"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3,5</w:t>
            </w:r>
          </w:p>
        </w:tc>
        <w:tc>
          <w:tcPr>
            <w:tcW w:w="850" w:type="dxa"/>
            <w:tcBorders>
              <w:top w:val="nil"/>
              <w:left w:val="nil"/>
              <w:bottom w:val="nil"/>
              <w:right w:val="nil"/>
            </w:tcBorders>
            <w:hideMark/>
          </w:tcPr>
          <w:p w14:paraId="5FC2BDD8"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12,5</w:t>
            </w:r>
          </w:p>
        </w:tc>
      </w:tr>
      <w:tr w:rsidR="00753A68" w:rsidRPr="00C30E94" w14:paraId="7CF8407B" w14:textId="77777777" w:rsidTr="00C47D68">
        <w:trPr>
          <w:trHeight w:val="314"/>
          <w:jc w:val="center"/>
        </w:trPr>
        <w:tc>
          <w:tcPr>
            <w:tcW w:w="4820" w:type="dxa"/>
            <w:tcBorders>
              <w:top w:val="nil"/>
              <w:left w:val="nil"/>
              <w:bottom w:val="nil"/>
              <w:right w:val="nil"/>
            </w:tcBorders>
            <w:shd w:val="clear" w:color="auto" w:fill="FFFFFF"/>
            <w:noWrap/>
            <w:hideMark/>
          </w:tcPr>
          <w:p w14:paraId="2C6D2108" w14:textId="77777777" w:rsidR="00753A68" w:rsidRPr="00C30E94" w:rsidRDefault="00753A68" w:rsidP="00C47D68">
            <w:pPr>
              <w:rPr>
                <w:rFonts w:ascii="Arial" w:hAnsi="Arial" w:cs="Arial"/>
                <w:sz w:val="20"/>
                <w:szCs w:val="20"/>
              </w:rPr>
            </w:pPr>
            <w:r>
              <w:rPr>
                <w:rFonts w:ascii="Arial" w:hAnsi="Arial" w:cs="Arial"/>
                <w:sz w:val="20"/>
                <w:szCs w:val="20"/>
              </w:rPr>
              <w:t>C</w:t>
            </w:r>
            <w:r w:rsidRPr="00C50930">
              <w:rPr>
                <w:rFonts w:ascii="Arial" w:hAnsi="Arial" w:cs="Arial"/>
                <w:sz w:val="20"/>
                <w:szCs w:val="20"/>
              </w:rPr>
              <w:t>oke and refined petroleum products manufacturing</w:t>
            </w:r>
          </w:p>
        </w:tc>
        <w:tc>
          <w:tcPr>
            <w:tcW w:w="849" w:type="dxa"/>
            <w:tcBorders>
              <w:top w:val="nil"/>
              <w:left w:val="nil"/>
              <w:bottom w:val="nil"/>
              <w:right w:val="nil"/>
            </w:tcBorders>
            <w:hideMark/>
          </w:tcPr>
          <w:p w14:paraId="7199022D"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-3,7</w:t>
            </w:r>
          </w:p>
        </w:tc>
        <w:tc>
          <w:tcPr>
            <w:tcW w:w="850" w:type="dxa"/>
            <w:tcBorders>
              <w:top w:val="nil"/>
              <w:left w:val="nil"/>
              <w:bottom w:val="nil"/>
              <w:right w:val="nil"/>
            </w:tcBorders>
            <w:hideMark/>
          </w:tcPr>
          <w:p w14:paraId="15F56320"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-12,7</w:t>
            </w:r>
          </w:p>
        </w:tc>
        <w:tc>
          <w:tcPr>
            <w:tcW w:w="896" w:type="dxa"/>
            <w:tcBorders>
              <w:top w:val="nil"/>
              <w:left w:val="nil"/>
              <w:bottom w:val="nil"/>
              <w:right w:val="nil"/>
            </w:tcBorders>
            <w:hideMark/>
          </w:tcPr>
          <w:p w14:paraId="01E86FF6"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21,6</w:t>
            </w:r>
          </w:p>
        </w:tc>
        <w:tc>
          <w:tcPr>
            <w:tcW w:w="806" w:type="dxa"/>
            <w:tcBorders>
              <w:top w:val="nil"/>
              <w:left w:val="nil"/>
              <w:bottom w:val="nil"/>
              <w:right w:val="nil"/>
            </w:tcBorders>
            <w:hideMark/>
          </w:tcPr>
          <w:p w14:paraId="4D1BDFB9"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28,4</w:t>
            </w:r>
          </w:p>
        </w:tc>
        <w:tc>
          <w:tcPr>
            <w:tcW w:w="850" w:type="dxa"/>
            <w:tcBorders>
              <w:top w:val="nil"/>
              <w:left w:val="nil"/>
              <w:bottom w:val="nil"/>
              <w:right w:val="nil"/>
            </w:tcBorders>
            <w:hideMark/>
          </w:tcPr>
          <w:p w14:paraId="41628E42"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-3,6</w:t>
            </w:r>
          </w:p>
        </w:tc>
      </w:tr>
      <w:tr w:rsidR="00753A68" w:rsidRPr="00C30E94" w14:paraId="77E04676" w14:textId="77777777" w:rsidTr="00C47D68">
        <w:trPr>
          <w:trHeight w:val="314"/>
          <w:jc w:val="center"/>
        </w:trPr>
        <w:tc>
          <w:tcPr>
            <w:tcW w:w="4820" w:type="dxa"/>
            <w:tcBorders>
              <w:top w:val="nil"/>
              <w:left w:val="nil"/>
              <w:bottom w:val="nil"/>
              <w:right w:val="nil"/>
            </w:tcBorders>
            <w:shd w:val="clear" w:color="auto" w:fill="FFFFFF"/>
            <w:noWrap/>
            <w:hideMark/>
          </w:tcPr>
          <w:p w14:paraId="5ACEABF6" w14:textId="77777777" w:rsidR="00753A68" w:rsidRPr="00C30E94" w:rsidRDefault="00753A68" w:rsidP="00C47D68">
            <w:pPr>
              <w:rPr>
                <w:rFonts w:ascii="Arial" w:hAnsi="Arial" w:cs="Arial"/>
                <w:sz w:val="20"/>
                <w:szCs w:val="20"/>
              </w:rPr>
            </w:pPr>
            <w:r>
              <w:rPr>
                <w:rFonts w:ascii="Arial" w:hAnsi="Arial" w:cs="Arial"/>
                <w:sz w:val="20"/>
                <w:szCs w:val="20"/>
              </w:rPr>
              <w:t>P</w:t>
            </w:r>
            <w:r w:rsidRPr="00C50930">
              <w:rPr>
                <w:rFonts w:ascii="Arial" w:hAnsi="Arial" w:cs="Arial"/>
                <w:sz w:val="20"/>
                <w:szCs w:val="20"/>
              </w:rPr>
              <w:t>harmaceutical, chemical, and medicinal manufacturing</w:t>
            </w:r>
          </w:p>
        </w:tc>
        <w:tc>
          <w:tcPr>
            <w:tcW w:w="849" w:type="dxa"/>
            <w:tcBorders>
              <w:top w:val="nil"/>
              <w:left w:val="nil"/>
              <w:bottom w:val="nil"/>
              <w:right w:val="nil"/>
            </w:tcBorders>
            <w:hideMark/>
          </w:tcPr>
          <w:p w14:paraId="45A7F12E"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4,9</w:t>
            </w:r>
          </w:p>
        </w:tc>
        <w:tc>
          <w:tcPr>
            <w:tcW w:w="850" w:type="dxa"/>
            <w:tcBorders>
              <w:top w:val="nil"/>
              <w:left w:val="nil"/>
              <w:bottom w:val="nil"/>
              <w:right w:val="nil"/>
            </w:tcBorders>
            <w:hideMark/>
          </w:tcPr>
          <w:p w14:paraId="56DC525E"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5,0</w:t>
            </w:r>
          </w:p>
        </w:tc>
        <w:tc>
          <w:tcPr>
            <w:tcW w:w="896" w:type="dxa"/>
            <w:tcBorders>
              <w:top w:val="nil"/>
              <w:left w:val="nil"/>
              <w:bottom w:val="nil"/>
              <w:right w:val="nil"/>
            </w:tcBorders>
            <w:hideMark/>
          </w:tcPr>
          <w:p w14:paraId="5D50C620"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6,5</w:t>
            </w:r>
          </w:p>
        </w:tc>
        <w:tc>
          <w:tcPr>
            <w:tcW w:w="806" w:type="dxa"/>
            <w:tcBorders>
              <w:top w:val="nil"/>
              <w:left w:val="nil"/>
              <w:bottom w:val="nil"/>
              <w:right w:val="nil"/>
            </w:tcBorders>
            <w:hideMark/>
          </w:tcPr>
          <w:p w14:paraId="7ECD9BA1"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16,3</w:t>
            </w:r>
          </w:p>
        </w:tc>
        <w:tc>
          <w:tcPr>
            <w:tcW w:w="850" w:type="dxa"/>
            <w:tcBorders>
              <w:top w:val="nil"/>
              <w:left w:val="nil"/>
              <w:bottom w:val="nil"/>
              <w:right w:val="nil"/>
            </w:tcBorders>
            <w:hideMark/>
          </w:tcPr>
          <w:p w14:paraId="30D85FCF"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-10,4</w:t>
            </w:r>
          </w:p>
        </w:tc>
      </w:tr>
      <w:tr w:rsidR="00753A68" w:rsidRPr="00C30E94" w14:paraId="443CE035" w14:textId="77777777" w:rsidTr="00C47D68">
        <w:trPr>
          <w:trHeight w:val="314"/>
          <w:jc w:val="center"/>
        </w:trPr>
        <w:tc>
          <w:tcPr>
            <w:tcW w:w="4820" w:type="dxa"/>
            <w:tcBorders>
              <w:top w:val="nil"/>
              <w:left w:val="nil"/>
              <w:bottom w:val="nil"/>
              <w:right w:val="nil"/>
            </w:tcBorders>
            <w:shd w:val="clear" w:color="auto" w:fill="FFFFFF"/>
            <w:noWrap/>
            <w:hideMark/>
          </w:tcPr>
          <w:p w14:paraId="71FC1AE5" w14:textId="77777777" w:rsidR="00753A68" w:rsidRPr="00C30E94" w:rsidRDefault="00753A68" w:rsidP="00C47D68">
            <w:pPr>
              <w:rPr>
                <w:rFonts w:ascii="Arial" w:hAnsi="Arial" w:cs="Arial"/>
                <w:sz w:val="20"/>
                <w:szCs w:val="20"/>
              </w:rPr>
            </w:pPr>
            <w:r>
              <w:rPr>
                <w:rFonts w:ascii="Arial" w:hAnsi="Arial" w:cs="Arial"/>
                <w:sz w:val="20"/>
                <w:szCs w:val="20"/>
              </w:rPr>
              <w:t>R</w:t>
            </w:r>
            <w:r w:rsidRPr="00C50930">
              <w:rPr>
                <w:rFonts w:ascii="Arial" w:hAnsi="Arial" w:cs="Arial"/>
                <w:sz w:val="20"/>
                <w:szCs w:val="20"/>
              </w:rPr>
              <w:t>ubber and plastic products manufacturing</w:t>
            </w:r>
          </w:p>
        </w:tc>
        <w:tc>
          <w:tcPr>
            <w:tcW w:w="849" w:type="dxa"/>
            <w:tcBorders>
              <w:top w:val="nil"/>
              <w:left w:val="nil"/>
              <w:bottom w:val="nil"/>
              <w:right w:val="nil"/>
            </w:tcBorders>
            <w:hideMark/>
          </w:tcPr>
          <w:p w14:paraId="6FA0B11C"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7,6</w:t>
            </w:r>
          </w:p>
        </w:tc>
        <w:tc>
          <w:tcPr>
            <w:tcW w:w="850" w:type="dxa"/>
            <w:tcBorders>
              <w:top w:val="nil"/>
              <w:left w:val="nil"/>
              <w:bottom w:val="nil"/>
              <w:right w:val="nil"/>
            </w:tcBorders>
            <w:hideMark/>
          </w:tcPr>
          <w:p w14:paraId="02B76AFF"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-16,5</w:t>
            </w:r>
          </w:p>
        </w:tc>
        <w:tc>
          <w:tcPr>
            <w:tcW w:w="896" w:type="dxa"/>
            <w:tcBorders>
              <w:top w:val="nil"/>
              <w:left w:val="nil"/>
              <w:bottom w:val="nil"/>
              <w:right w:val="nil"/>
            </w:tcBorders>
            <w:hideMark/>
          </w:tcPr>
          <w:p w14:paraId="51907ACC"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9,6</w:t>
            </w:r>
          </w:p>
        </w:tc>
        <w:tc>
          <w:tcPr>
            <w:tcW w:w="806" w:type="dxa"/>
            <w:tcBorders>
              <w:top w:val="nil"/>
              <w:left w:val="nil"/>
              <w:bottom w:val="nil"/>
              <w:right w:val="nil"/>
            </w:tcBorders>
            <w:hideMark/>
          </w:tcPr>
          <w:p w14:paraId="2EC3CCDD"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24,0</w:t>
            </w:r>
          </w:p>
        </w:tc>
        <w:tc>
          <w:tcPr>
            <w:tcW w:w="850" w:type="dxa"/>
            <w:tcBorders>
              <w:top w:val="nil"/>
              <w:left w:val="nil"/>
              <w:bottom w:val="nil"/>
              <w:right w:val="nil"/>
            </w:tcBorders>
            <w:hideMark/>
          </w:tcPr>
          <w:p w14:paraId="28970238"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11,3</w:t>
            </w:r>
          </w:p>
        </w:tc>
      </w:tr>
      <w:tr w:rsidR="00753A68" w:rsidRPr="00C30E94" w14:paraId="150FBA3D" w14:textId="77777777" w:rsidTr="00C47D68">
        <w:trPr>
          <w:trHeight w:val="314"/>
          <w:jc w:val="center"/>
        </w:trPr>
        <w:tc>
          <w:tcPr>
            <w:tcW w:w="4820" w:type="dxa"/>
            <w:tcBorders>
              <w:top w:val="nil"/>
              <w:left w:val="nil"/>
              <w:bottom w:val="nil"/>
              <w:right w:val="nil"/>
            </w:tcBorders>
            <w:shd w:val="clear" w:color="auto" w:fill="FFFFFF"/>
            <w:noWrap/>
            <w:hideMark/>
          </w:tcPr>
          <w:p w14:paraId="6E721E21" w14:textId="77777777" w:rsidR="00753A68" w:rsidRPr="00C30E94" w:rsidRDefault="00753A68" w:rsidP="00C47D68">
            <w:pPr>
              <w:rPr>
                <w:rFonts w:ascii="Arial" w:hAnsi="Arial" w:cs="Arial"/>
                <w:sz w:val="20"/>
                <w:szCs w:val="20"/>
              </w:rPr>
            </w:pPr>
            <w:r w:rsidRPr="00C50930">
              <w:rPr>
                <w:rFonts w:ascii="Arial" w:hAnsi="Arial" w:cs="Arial"/>
                <w:sz w:val="20"/>
                <w:szCs w:val="20"/>
              </w:rPr>
              <w:t>electronic products, computers, and optical products production</w:t>
            </w:r>
          </w:p>
        </w:tc>
        <w:tc>
          <w:tcPr>
            <w:tcW w:w="849" w:type="dxa"/>
            <w:tcBorders>
              <w:top w:val="nil"/>
              <w:left w:val="nil"/>
              <w:bottom w:val="nil"/>
              <w:right w:val="nil"/>
            </w:tcBorders>
            <w:hideMark/>
          </w:tcPr>
          <w:p w14:paraId="2AFABFC4"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17,9</w:t>
            </w:r>
          </w:p>
        </w:tc>
        <w:tc>
          <w:tcPr>
            <w:tcW w:w="850" w:type="dxa"/>
            <w:tcBorders>
              <w:top w:val="nil"/>
              <w:left w:val="nil"/>
              <w:bottom w:val="nil"/>
              <w:right w:val="nil"/>
            </w:tcBorders>
            <w:hideMark/>
          </w:tcPr>
          <w:p w14:paraId="709B8BB5"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4,9</w:t>
            </w:r>
          </w:p>
        </w:tc>
        <w:tc>
          <w:tcPr>
            <w:tcW w:w="896" w:type="dxa"/>
            <w:tcBorders>
              <w:top w:val="nil"/>
              <w:left w:val="nil"/>
              <w:bottom w:val="nil"/>
              <w:right w:val="nil"/>
            </w:tcBorders>
            <w:hideMark/>
          </w:tcPr>
          <w:p w14:paraId="1A4B7FDD"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-2,1</w:t>
            </w:r>
          </w:p>
        </w:tc>
        <w:tc>
          <w:tcPr>
            <w:tcW w:w="806" w:type="dxa"/>
            <w:tcBorders>
              <w:top w:val="nil"/>
              <w:left w:val="nil"/>
              <w:bottom w:val="nil"/>
              <w:right w:val="nil"/>
            </w:tcBorders>
            <w:hideMark/>
          </w:tcPr>
          <w:p w14:paraId="5D750458"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-1,8</w:t>
            </w:r>
          </w:p>
        </w:tc>
        <w:tc>
          <w:tcPr>
            <w:tcW w:w="850" w:type="dxa"/>
            <w:tcBorders>
              <w:top w:val="nil"/>
              <w:left w:val="nil"/>
              <w:bottom w:val="nil"/>
              <w:right w:val="nil"/>
            </w:tcBorders>
            <w:hideMark/>
          </w:tcPr>
          <w:p w14:paraId="6D34939C"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9,5</w:t>
            </w:r>
          </w:p>
        </w:tc>
      </w:tr>
      <w:tr w:rsidR="00753A68" w:rsidRPr="00C30E94" w14:paraId="60D982EE" w14:textId="77777777" w:rsidTr="00C47D68">
        <w:trPr>
          <w:trHeight w:val="314"/>
          <w:jc w:val="center"/>
        </w:trPr>
        <w:tc>
          <w:tcPr>
            <w:tcW w:w="4820" w:type="dxa"/>
            <w:tcBorders>
              <w:top w:val="nil"/>
              <w:left w:val="nil"/>
              <w:bottom w:val="nil"/>
              <w:right w:val="nil"/>
            </w:tcBorders>
            <w:shd w:val="clear" w:color="auto" w:fill="FFFFFF"/>
            <w:noWrap/>
            <w:hideMark/>
          </w:tcPr>
          <w:p w14:paraId="176885A9" w14:textId="77777777" w:rsidR="00753A68" w:rsidRPr="00C30E94" w:rsidRDefault="00753A68" w:rsidP="00C47D68">
            <w:pPr>
              <w:rPr>
                <w:rFonts w:ascii="Arial" w:hAnsi="Arial" w:cs="Arial"/>
                <w:sz w:val="20"/>
                <w:szCs w:val="20"/>
              </w:rPr>
            </w:pPr>
            <w:r>
              <w:rPr>
                <w:rFonts w:ascii="Arial" w:hAnsi="Arial" w:cs="Arial"/>
                <w:sz w:val="20"/>
                <w:szCs w:val="20"/>
              </w:rPr>
              <w:t>E</w:t>
            </w:r>
            <w:r w:rsidRPr="00C50930">
              <w:rPr>
                <w:rFonts w:ascii="Arial" w:hAnsi="Arial" w:cs="Arial"/>
                <w:sz w:val="20"/>
                <w:szCs w:val="20"/>
              </w:rPr>
              <w:t>lectrical equipment manufacturing</w:t>
            </w:r>
          </w:p>
        </w:tc>
        <w:tc>
          <w:tcPr>
            <w:tcW w:w="849" w:type="dxa"/>
            <w:tcBorders>
              <w:top w:val="nil"/>
              <w:left w:val="nil"/>
              <w:bottom w:val="nil"/>
              <w:right w:val="nil"/>
            </w:tcBorders>
            <w:hideMark/>
          </w:tcPr>
          <w:p w14:paraId="1FDC7385"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14,3</w:t>
            </w:r>
          </w:p>
        </w:tc>
        <w:tc>
          <w:tcPr>
            <w:tcW w:w="850" w:type="dxa"/>
            <w:tcBorders>
              <w:top w:val="nil"/>
              <w:left w:val="nil"/>
              <w:bottom w:val="nil"/>
              <w:right w:val="nil"/>
            </w:tcBorders>
            <w:hideMark/>
          </w:tcPr>
          <w:p w14:paraId="674887F6"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14,4</w:t>
            </w:r>
          </w:p>
        </w:tc>
        <w:tc>
          <w:tcPr>
            <w:tcW w:w="896" w:type="dxa"/>
            <w:tcBorders>
              <w:top w:val="nil"/>
              <w:left w:val="nil"/>
              <w:bottom w:val="nil"/>
              <w:right w:val="nil"/>
            </w:tcBorders>
            <w:hideMark/>
          </w:tcPr>
          <w:p w14:paraId="6494CF9E"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-10,7</w:t>
            </w:r>
          </w:p>
        </w:tc>
        <w:tc>
          <w:tcPr>
            <w:tcW w:w="806" w:type="dxa"/>
            <w:tcBorders>
              <w:top w:val="nil"/>
              <w:left w:val="nil"/>
              <w:bottom w:val="nil"/>
              <w:right w:val="nil"/>
            </w:tcBorders>
            <w:hideMark/>
          </w:tcPr>
          <w:p w14:paraId="3BEDC5C7"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24,6</w:t>
            </w:r>
          </w:p>
        </w:tc>
        <w:tc>
          <w:tcPr>
            <w:tcW w:w="850" w:type="dxa"/>
            <w:tcBorders>
              <w:top w:val="nil"/>
              <w:left w:val="nil"/>
              <w:bottom w:val="nil"/>
              <w:right w:val="nil"/>
            </w:tcBorders>
            <w:hideMark/>
          </w:tcPr>
          <w:p w14:paraId="2BC933EB"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-1,7</w:t>
            </w:r>
          </w:p>
        </w:tc>
      </w:tr>
      <w:tr w:rsidR="00753A68" w:rsidRPr="00C30E94" w14:paraId="6D5E7DAC" w14:textId="77777777" w:rsidTr="00C47D68">
        <w:trPr>
          <w:trHeight w:val="314"/>
          <w:jc w:val="center"/>
        </w:trPr>
        <w:tc>
          <w:tcPr>
            <w:tcW w:w="4820" w:type="dxa"/>
            <w:tcBorders>
              <w:top w:val="nil"/>
              <w:left w:val="nil"/>
              <w:bottom w:val="nil"/>
              <w:right w:val="nil"/>
            </w:tcBorders>
            <w:shd w:val="clear" w:color="auto" w:fill="FFFFFF"/>
            <w:noWrap/>
            <w:hideMark/>
          </w:tcPr>
          <w:p w14:paraId="1380C605" w14:textId="77777777" w:rsidR="00753A68" w:rsidRPr="00C30E94" w:rsidRDefault="00753A68" w:rsidP="00C47D68">
            <w:pPr>
              <w:rPr>
                <w:rFonts w:ascii="Arial" w:hAnsi="Arial" w:cs="Arial"/>
                <w:sz w:val="20"/>
                <w:szCs w:val="20"/>
              </w:rPr>
            </w:pPr>
            <w:r>
              <w:rPr>
                <w:rFonts w:ascii="Arial" w:hAnsi="Arial" w:cs="Arial"/>
                <w:sz w:val="20"/>
                <w:szCs w:val="20"/>
              </w:rPr>
              <w:t>M</w:t>
            </w:r>
            <w:r w:rsidRPr="00C50930">
              <w:rPr>
                <w:rFonts w:ascii="Arial" w:hAnsi="Arial" w:cs="Arial"/>
                <w:sz w:val="20"/>
                <w:szCs w:val="20"/>
              </w:rPr>
              <w:t>otor vehicle manufacturing</w:t>
            </w:r>
          </w:p>
        </w:tc>
        <w:tc>
          <w:tcPr>
            <w:tcW w:w="849" w:type="dxa"/>
            <w:tcBorders>
              <w:top w:val="nil"/>
              <w:left w:val="nil"/>
              <w:bottom w:val="nil"/>
              <w:right w:val="nil"/>
            </w:tcBorders>
            <w:hideMark/>
          </w:tcPr>
          <w:p w14:paraId="4E397453"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7,2</w:t>
            </w:r>
          </w:p>
        </w:tc>
        <w:tc>
          <w:tcPr>
            <w:tcW w:w="850" w:type="dxa"/>
            <w:tcBorders>
              <w:top w:val="nil"/>
              <w:left w:val="nil"/>
              <w:bottom w:val="nil"/>
              <w:right w:val="nil"/>
            </w:tcBorders>
            <w:hideMark/>
          </w:tcPr>
          <w:p w14:paraId="0D306B13"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7,0</w:t>
            </w:r>
          </w:p>
        </w:tc>
        <w:tc>
          <w:tcPr>
            <w:tcW w:w="896" w:type="dxa"/>
            <w:tcBorders>
              <w:top w:val="nil"/>
              <w:left w:val="nil"/>
              <w:bottom w:val="nil"/>
              <w:right w:val="nil"/>
            </w:tcBorders>
            <w:hideMark/>
          </w:tcPr>
          <w:p w14:paraId="15885FFE"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-11,8</w:t>
            </w:r>
          </w:p>
        </w:tc>
        <w:tc>
          <w:tcPr>
            <w:tcW w:w="806" w:type="dxa"/>
            <w:tcBorders>
              <w:top w:val="nil"/>
              <w:left w:val="nil"/>
              <w:bottom w:val="nil"/>
              <w:right w:val="nil"/>
            </w:tcBorders>
            <w:hideMark/>
          </w:tcPr>
          <w:p w14:paraId="2BD74D92"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1,6</w:t>
            </w:r>
          </w:p>
        </w:tc>
        <w:tc>
          <w:tcPr>
            <w:tcW w:w="850" w:type="dxa"/>
            <w:tcBorders>
              <w:top w:val="nil"/>
              <w:left w:val="nil"/>
              <w:bottom w:val="nil"/>
              <w:right w:val="nil"/>
            </w:tcBorders>
            <w:hideMark/>
          </w:tcPr>
          <w:p w14:paraId="7DC799A6"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53,5</w:t>
            </w:r>
          </w:p>
        </w:tc>
      </w:tr>
      <w:tr w:rsidR="00753A68" w:rsidRPr="00C30E94" w14:paraId="4A05D298" w14:textId="77777777" w:rsidTr="00C47D68">
        <w:trPr>
          <w:trHeight w:val="314"/>
          <w:jc w:val="center"/>
        </w:trPr>
        <w:tc>
          <w:tcPr>
            <w:tcW w:w="4820" w:type="dxa"/>
            <w:tcBorders>
              <w:top w:val="nil"/>
              <w:left w:val="nil"/>
              <w:bottom w:val="nil"/>
              <w:right w:val="nil"/>
            </w:tcBorders>
            <w:shd w:val="clear" w:color="auto" w:fill="FFFFFF"/>
            <w:noWrap/>
            <w:hideMark/>
          </w:tcPr>
          <w:p w14:paraId="5D081FCD" w14:textId="77777777" w:rsidR="00753A68" w:rsidRPr="00C30E94" w:rsidRDefault="00753A68" w:rsidP="00C47D68">
            <w:pPr>
              <w:rPr>
                <w:rFonts w:ascii="Arial" w:hAnsi="Arial" w:cs="Arial"/>
                <w:sz w:val="20"/>
                <w:szCs w:val="20"/>
              </w:rPr>
            </w:pPr>
            <w:r>
              <w:rPr>
                <w:rFonts w:ascii="Arial" w:hAnsi="Arial" w:cs="Arial"/>
                <w:sz w:val="20"/>
                <w:szCs w:val="20"/>
              </w:rPr>
              <w:t>O</w:t>
            </w:r>
            <w:r w:rsidRPr="00C50930">
              <w:rPr>
                <w:rFonts w:ascii="Arial" w:hAnsi="Arial" w:cs="Arial"/>
                <w:sz w:val="20"/>
                <w:szCs w:val="20"/>
              </w:rPr>
              <w:t>ther transportation equipment manufacturing</w:t>
            </w:r>
          </w:p>
        </w:tc>
        <w:tc>
          <w:tcPr>
            <w:tcW w:w="849" w:type="dxa"/>
            <w:tcBorders>
              <w:top w:val="nil"/>
              <w:left w:val="nil"/>
              <w:bottom w:val="nil"/>
              <w:right w:val="nil"/>
            </w:tcBorders>
            <w:hideMark/>
          </w:tcPr>
          <w:p w14:paraId="1BB8E01B"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-4,2</w:t>
            </w:r>
          </w:p>
        </w:tc>
        <w:tc>
          <w:tcPr>
            <w:tcW w:w="850" w:type="dxa"/>
            <w:tcBorders>
              <w:top w:val="nil"/>
              <w:left w:val="nil"/>
              <w:bottom w:val="nil"/>
              <w:right w:val="nil"/>
            </w:tcBorders>
            <w:hideMark/>
          </w:tcPr>
          <w:p w14:paraId="1E7A1D1D"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8,3</w:t>
            </w:r>
          </w:p>
        </w:tc>
        <w:tc>
          <w:tcPr>
            <w:tcW w:w="896" w:type="dxa"/>
            <w:tcBorders>
              <w:top w:val="nil"/>
              <w:left w:val="nil"/>
              <w:bottom w:val="nil"/>
              <w:right w:val="nil"/>
            </w:tcBorders>
            <w:hideMark/>
          </w:tcPr>
          <w:p w14:paraId="4DBBA8F1"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-10,0</w:t>
            </w:r>
          </w:p>
        </w:tc>
        <w:tc>
          <w:tcPr>
            <w:tcW w:w="806" w:type="dxa"/>
            <w:tcBorders>
              <w:top w:val="nil"/>
              <w:left w:val="nil"/>
              <w:bottom w:val="nil"/>
              <w:right w:val="nil"/>
            </w:tcBorders>
            <w:hideMark/>
          </w:tcPr>
          <w:p w14:paraId="334D035D"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-6,9</w:t>
            </w:r>
          </w:p>
        </w:tc>
        <w:tc>
          <w:tcPr>
            <w:tcW w:w="850" w:type="dxa"/>
            <w:tcBorders>
              <w:top w:val="nil"/>
              <w:left w:val="nil"/>
              <w:bottom w:val="nil"/>
              <w:right w:val="nil"/>
            </w:tcBorders>
            <w:hideMark/>
          </w:tcPr>
          <w:p w14:paraId="2C86CA26"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12,1</w:t>
            </w:r>
          </w:p>
        </w:tc>
      </w:tr>
      <w:tr w:rsidR="00753A68" w:rsidRPr="00C30E94" w14:paraId="2727BDB4" w14:textId="77777777" w:rsidTr="00C47D68">
        <w:trPr>
          <w:trHeight w:val="314"/>
          <w:jc w:val="center"/>
        </w:trPr>
        <w:tc>
          <w:tcPr>
            <w:tcW w:w="4820" w:type="dxa"/>
            <w:tcBorders>
              <w:top w:val="nil"/>
              <w:left w:val="nil"/>
              <w:bottom w:val="single" w:sz="4" w:space="0" w:color="auto"/>
              <w:right w:val="nil"/>
            </w:tcBorders>
            <w:shd w:val="clear" w:color="auto" w:fill="FFFFFF"/>
            <w:noWrap/>
            <w:hideMark/>
          </w:tcPr>
          <w:p w14:paraId="5C6CF34C" w14:textId="77777777" w:rsidR="00753A68" w:rsidRPr="00C30E94" w:rsidRDefault="00753A68" w:rsidP="00C47D68">
            <w:pPr>
              <w:rPr>
                <w:rFonts w:ascii="Arial" w:hAnsi="Arial" w:cs="Arial"/>
                <w:sz w:val="20"/>
                <w:szCs w:val="20"/>
              </w:rPr>
            </w:pPr>
            <w:r>
              <w:rPr>
                <w:rFonts w:ascii="Arial" w:hAnsi="Arial" w:cs="Arial"/>
                <w:sz w:val="20"/>
                <w:szCs w:val="20"/>
              </w:rPr>
              <w:t>F</w:t>
            </w:r>
            <w:r w:rsidRPr="00C50930">
              <w:rPr>
                <w:rFonts w:ascii="Arial" w:hAnsi="Arial" w:cs="Arial"/>
                <w:sz w:val="20"/>
                <w:szCs w:val="20"/>
              </w:rPr>
              <w:t>urniture manufacturing</w:t>
            </w:r>
          </w:p>
        </w:tc>
        <w:tc>
          <w:tcPr>
            <w:tcW w:w="849" w:type="dxa"/>
            <w:tcBorders>
              <w:top w:val="nil"/>
              <w:left w:val="nil"/>
              <w:bottom w:val="single" w:sz="4" w:space="0" w:color="auto"/>
              <w:right w:val="nil"/>
            </w:tcBorders>
            <w:hideMark/>
          </w:tcPr>
          <w:p w14:paraId="5ABEA1E5"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11,3</w:t>
            </w:r>
          </w:p>
        </w:tc>
        <w:tc>
          <w:tcPr>
            <w:tcW w:w="850" w:type="dxa"/>
            <w:tcBorders>
              <w:top w:val="nil"/>
              <w:left w:val="nil"/>
              <w:bottom w:val="single" w:sz="4" w:space="0" w:color="auto"/>
              <w:right w:val="nil"/>
            </w:tcBorders>
            <w:hideMark/>
          </w:tcPr>
          <w:p w14:paraId="5E55AE9F"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1,5</w:t>
            </w:r>
          </w:p>
        </w:tc>
        <w:tc>
          <w:tcPr>
            <w:tcW w:w="896" w:type="dxa"/>
            <w:tcBorders>
              <w:top w:val="nil"/>
              <w:left w:val="nil"/>
              <w:bottom w:val="single" w:sz="4" w:space="0" w:color="auto"/>
              <w:right w:val="nil"/>
            </w:tcBorders>
            <w:hideMark/>
          </w:tcPr>
          <w:p w14:paraId="18190133"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-9,1</w:t>
            </w:r>
          </w:p>
        </w:tc>
        <w:tc>
          <w:tcPr>
            <w:tcW w:w="806" w:type="dxa"/>
            <w:tcBorders>
              <w:top w:val="nil"/>
              <w:left w:val="nil"/>
              <w:bottom w:val="single" w:sz="4" w:space="0" w:color="auto"/>
              <w:right w:val="nil"/>
            </w:tcBorders>
            <w:hideMark/>
          </w:tcPr>
          <w:p w14:paraId="124FC989"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20,4</w:t>
            </w:r>
          </w:p>
        </w:tc>
        <w:tc>
          <w:tcPr>
            <w:tcW w:w="850" w:type="dxa"/>
            <w:tcBorders>
              <w:top w:val="nil"/>
              <w:left w:val="nil"/>
              <w:bottom w:val="single" w:sz="4" w:space="0" w:color="auto"/>
              <w:right w:val="nil"/>
            </w:tcBorders>
            <w:hideMark/>
          </w:tcPr>
          <w:p w14:paraId="19F3559A" w14:textId="77777777" w:rsidR="00753A68" w:rsidRPr="00C30E94" w:rsidRDefault="00753A68" w:rsidP="00C47D68">
            <w:pPr>
              <w:jc w:val="right"/>
              <w:rPr>
                <w:rFonts w:ascii="Arial" w:hAnsi="Arial" w:cs="Arial"/>
                <w:sz w:val="20"/>
                <w:szCs w:val="20"/>
              </w:rPr>
            </w:pPr>
            <w:r w:rsidRPr="00C30E94">
              <w:rPr>
                <w:rFonts w:ascii="Arial" w:hAnsi="Arial" w:cs="Arial"/>
                <w:sz w:val="20"/>
                <w:szCs w:val="20"/>
              </w:rPr>
              <w:t>19,8</w:t>
            </w:r>
          </w:p>
        </w:tc>
      </w:tr>
    </w:tbl>
    <w:p w14:paraId="3AA5642E" w14:textId="77777777" w:rsidR="00753A68" w:rsidRPr="00C30E94" w:rsidRDefault="00753A68" w:rsidP="00753A68">
      <w:pPr>
        <w:shd w:val="clear" w:color="auto" w:fill="FFFFFF"/>
        <w:tabs>
          <w:tab w:val="left" w:pos="8931"/>
        </w:tabs>
        <w:spacing w:before="60"/>
        <w:jc w:val="right"/>
        <w:rPr>
          <w:rFonts w:ascii="Arial" w:hAnsi="Arial" w:cs="Arial"/>
          <w:spacing w:val="-2"/>
          <w:sz w:val="10"/>
          <w:szCs w:val="10"/>
          <w:lang w:val="pl-PL"/>
        </w:rPr>
      </w:pPr>
    </w:p>
    <w:p w14:paraId="7600FE9E" w14:textId="77777777" w:rsidR="00753A68" w:rsidRPr="00C30E94" w:rsidRDefault="00753A68" w:rsidP="00753A68">
      <w:pPr>
        <w:shd w:val="clear" w:color="auto" w:fill="FFFFFF"/>
        <w:spacing w:after="120" w:line="264" w:lineRule="auto"/>
        <w:ind w:firstLine="720"/>
        <w:jc w:val="both"/>
        <w:rPr>
          <w:lang w:val="pl-PL"/>
        </w:rPr>
      </w:pPr>
      <w:r w:rsidRPr="00C50930">
        <w:rPr>
          <w:lang w:val="pl-PL"/>
        </w:rPr>
        <w:t>The Industrial Production Index (IIP) in the first two months of 2025 increased in 58 provinces and decreased in 5 provinces across the country. Several provinces recorded a relatively high IIP growth due to significant increases in the manufacturing and processing industry, as well as the electricity prod</w:t>
      </w:r>
      <w:r>
        <w:rPr>
          <w:lang w:val="pl-PL"/>
        </w:rPr>
        <w:t>uction and distribution sector.</w:t>
      </w:r>
      <w:r w:rsidRPr="00C30E94">
        <w:rPr>
          <w:vertAlign w:val="superscript"/>
          <w:lang w:val="pl-PL"/>
        </w:rPr>
        <w:footnoteReference w:id="9"/>
      </w:r>
      <w:r w:rsidRPr="00C30E94">
        <w:rPr>
          <w:lang w:val="pl-PL"/>
        </w:rPr>
        <w:t xml:space="preserve">. </w:t>
      </w:r>
      <w:r w:rsidRPr="00C50930">
        <w:rPr>
          <w:lang w:val="pl-PL"/>
        </w:rPr>
        <w:t xml:space="preserve">On the other hand, some provinces </w:t>
      </w:r>
      <w:r w:rsidRPr="00C50930">
        <w:rPr>
          <w:lang w:val="pl-PL"/>
        </w:rPr>
        <w:lastRenderedPageBreak/>
        <w:t>experienced low IIP growth or a decline due to sluggish or decreasing performance in the manufacturing and processing industry, the mining sector, and the electricity prod</w:t>
      </w:r>
      <w:r>
        <w:rPr>
          <w:lang w:val="pl-PL"/>
        </w:rPr>
        <w:t>uction and distribution sector</w:t>
      </w:r>
      <w:r w:rsidRPr="00C30E94">
        <w:rPr>
          <w:vertAlign w:val="superscript"/>
          <w:lang w:val="pl-PL"/>
        </w:rPr>
        <w:footnoteReference w:id="10"/>
      </w:r>
      <w:r w:rsidRPr="00C30E94">
        <w:rPr>
          <w:lang w:val="pl-PL"/>
        </w:rPr>
        <w:t xml:space="preserve">.   </w:t>
      </w:r>
    </w:p>
    <w:p w14:paraId="1F34DF4C" w14:textId="77777777" w:rsidR="00753A68" w:rsidRPr="00C50930" w:rsidRDefault="00753A68" w:rsidP="00753A68">
      <w:pPr>
        <w:shd w:val="clear" w:color="auto" w:fill="FFFFFF"/>
        <w:jc w:val="center"/>
        <w:rPr>
          <w:rFonts w:ascii="Arial" w:hAnsi="Arial" w:cs="Arial"/>
          <w:b/>
          <w:bCs/>
          <w:sz w:val="24"/>
          <w:szCs w:val="24"/>
          <w:lang w:val="pl-PL"/>
        </w:rPr>
      </w:pPr>
      <w:r w:rsidRPr="00C50930">
        <w:rPr>
          <w:rFonts w:ascii="Arial" w:hAnsi="Arial" w:cs="Arial"/>
          <w:b/>
          <w:bCs/>
          <w:sz w:val="24"/>
          <w:szCs w:val="24"/>
          <w:lang w:val="pl-PL"/>
        </w:rPr>
        <w:t>Figure 4. IIP increase/decrease rate in the first 2 months of 2025</w:t>
      </w:r>
    </w:p>
    <w:p w14:paraId="4A672FAA" w14:textId="77777777" w:rsidR="00753A68" w:rsidRPr="00C30E94" w:rsidRDefault="00753A68" w:rsidP="00753A68">
      <w:pPr>
        <w:shd w:val="clear" w:color="auto" w:fill="FFFFFF"/>
        <w:jc w:val="center"/>
        <w:rPr>
          <w:rFonts w:ascii="Arial" w:hAnsi="Arial" w:cs="Arial"/>
          <w:b/>
          <w:bCs/>
          <w:sz w:val="24"/>
          <w:szCs w:val="24"/>
          <w:lang w:val="pl-PL"/>
        </w:rPr>
      </w:pPr>
      <w:r w:rsidRPr="00C50930">
        <w:rPr>
          <w:rFonts w:ascii="Arial" w:hAnsi="Arial" w:cs="Arial"/>
          <w:b/>
          <w:bCs/>
          <w:sz w:val="24"/>
          <w:szCs w:val="24"/>
          <w:lang w:val="pl-PL"/>
        </w:rPr>
        <w:t>compared to the same period last year of some localities (%)</w:t>
      </w:r>
    </w:p>
    <w:tbl>
      <w:tblPr>
        <w:tblStyle w:val="TableGrid"/>
        <w:tblW w:w="98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5"/>
        <w:gridCol w:w="5029"/>
      </w:tblGrid>
      <w:tr w:rsidR="00753A68" w:rsidRPr="00C30E94" w14:paraId="4528F115" w14:textId="77777777" w:rsidTr="00C47D68">
        <w:trPr>
          <w:trHeight w:val="572"/>
          <w:jc w:val="center"/>
        </w:trPr>
        <w:tc>
          <w:tcPr>
            <w:tcW w:w="4661" w:type="dxa"/>
          </w:tcPr>
          <w:p w14:paraId="739C6A6A" w14:textId="77777777" w:rsidR="00753A68" w:rsidRPr="00C30E94" w:rsidRDefault="00753A68" w:rsidP="00C47D68">
            <w:pPr>
              <w:jc w:val="center"/>
              <w:rPr>
                <w:rFonts w:ascii="Arial" w:hAnsi="Arial" w:cs="Arial"/>
                <w:b/>
                <w:bCs/>
                <w:sz w:val="18"/>
                <w:szCs w:val="18"/>
                <w:lang w:val="pl-PL"/>
              </w:rPr>
            </w:pPr>
            <w:r w:rsidRPr="00C50930">
              <w:rPr>
                <w:rFonts w:ascii="Arial" w:hAnsi="Arial" w:cs="Arial"/>
                <w:b/>
                <w:bCs/>
                <w:sz w:val="18"/>
                <w:szCs w:val="18"/>
                <w:lang w:val="pl-PL"/>
              </w:rPr>
              <w:t>10 localities with the highest IIP growth rate</w:t>
            </w:r>
          </w:p>
          <w:p w14:paraId="52AB66A8" w14:textId="77777777" w:rsidR="00753A68" w:rsidRPr="00C30E94" w:rsidRDefault="00753A68" w:rsidP="00C47D68">
            <w:pPr>
              <w:ind w:right="119"/>
              <w:jc w:val="center"/>
              <w:rPr>
                <w:rFonts w:ascii="Arial" w:hAnsi="Arial" w:cs="Arial"/>
                <w:b/>
                <w:bCs/>
                <w:sz w:val="18"/>
                <w:szCs w:val="18"/>
              </w:rPr>
            </w:pPr>
            <w:r>
              <w:rPr>
                <w:rFonts w:ascii="Arial" w:hAnsi="Arial" w:cs="Arial"/>
                <w:b/>
                <w:bCs/>
                <w:noProof/>
                <w:sz w:val="18"/>
                <w:szCs w:val="18"/>
                <w:lang w:val="en-US"/>
              </w:rPr>
              <w:drawing>
                <wp:inline distT="0" distB="0" distL="0" distR="0" wp14:anchorId="7AAB321E" wp14:editId="14AE9EEA">
                  <wp:extent cx="3195955" cy="19050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1">
                            <a:extLst>
                              <a:ext uri="{28A0092B-C50C-407E-A947-70E740481C1C}">
                                <a14:useLocalDpi xmlns:a14="http://schemas.microsoft.com/office/drawing/2010/main" val="0"/>
                              </a:ext>
                            </a:extLst>
                          </a:blip>
                          <a:stretch>
                            <a:fillRect/>
                          </a:stretch>
                        </pic:blipFill>
                        <pic:spPr>
                          <a:xfrm>
                            <a:off x="0" y="0"/>
                            <a:ext cx="3218824" cy="1918631"/>
                          </a:xfrm>
                          <a:prstGeom prst="rect">
                            <a:avLst/>
                          </a:prstGeom>
                        </pic:spPr>
                      </pic:pic>
                    </a:graphicData>
                  </a:graphic>
                </wp:inline>
              </w:drawing>
            </w:r>
          </w:p>
        </w:tc>
        <w:tc>
          <w:tcPr>
            <w:tcW w:w="5197" w:type="dxa"/>
          </w:tcPr>
          <w:p w14:paraId="148E2881" w14:textId="77777777" w:rsidR="00753A68" w:rsidRPr="00C30E94" w:rsidRDefault="00753A68" w:rsidP="00C47D68">
            <w:pPr>
              <w:jc w:val="center"/>
              <w:rPr>
                <w:rFonts w:ascii="Arial" w:hAnsi="Arial" w:cs="Arial"/>
                <w:b/>
                <w:bCs/>
                <w:sz w:val="18"/>
                <w:szCs w:val="18"/>
              </w:rPr>
            </w:pPr>
            <w:r w:rsidRPr="00C50930">
              <w:rPr>
                <w:rFonts w:ascii="Arial" w:hAnsi="Arial" w:cs="Arial"/>
                <w:b/>
                <w:bCs/>
                <w:sz w:val="18"/>
                <w:szCs w:val="18"/>
              </w:rPr>
              <w:t xml:space="preserve">10 localities with low or decreased IIP </w:t>
            </w:r>
          </w:p>
          <w:p w14:paraId="2CB49ECD" w14:textId="77777777" w:rsidR="00753A68" w:rsidRPr="00C30E94" w:rsidRDefault="00753A68" w:rsidP="00C47D68">
            <w:pPr>
              <w:rPr>
                <w:rFonts w:ascii="Arial" w:hAnsi="Arial" w:cs="Arial"/>
                <w:b/>
                <w:bCs/>
                <w:sz w:val="18"/>
                <w:szCs w:val="18"/>
              </w:rPr>
            </w:pPr>
            <w:r>
              <w:rPr>
                <w:rFonts w:ascii="Arial" w:hAnsi="Arial" w:cs="Arial"/>
                <w:b/>
                <w:bCs/>
                <w:noProof/>
                <w:sz w:val="18"/>
                <w:szCs w:val="18"/>
                <w:lang w:val="en-US"/>
              </w:rPr>
              <w:drawing>
                <wp:inline distT="0" distB="0" distL="0" distR="0" wp14:anchorId="0A132DC9" wp14:editId="1CD02308">
                  <wp:extent cx="3056255" cy="1914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2">
                            <a:extLst>
                              <a:ext uri="{28A0092B-C50C-407E-A947-70E740481C1C}">
                                <a14:useLocalDpi xmlns:a14="http://schemas.microsoft.com/office/drawing/2010/main" val="0"/>
                              </a:ext>
                            </a:extLst>
                          </a:blip>
                          <a:stretch>
                            <a:fillRect/>
                          </a:stretch>
                        </pic:blipFill>
                        <pic:spPr>
                          <a:xfrm>
                            <a:off x="0" y="0"/>
                            <a:ext cx="3099768" cy="1941783"/>
                          </a:xfrm>
                          <a:prstGeom prst="rect">
                            <a:avLst/>
                          </a:prstGeom>
                        </pic:spPr>
                      </pic:pic>
                    </a:graphicData>
                  </a:graphic>
                </wp:inline>
              </w:drawing>
            </w:r>
          </w:p>
          <w:p w14:paraId="283CF252" w14:textId="77777777" w:rsidR="00753A68" w:rsidRPr="00C30E94" w:rsidRDefault="00753A68" w:rsidP="00C47D68">
            <w:pPr>
              <w:ind w:right="66"/>
              <w:jc w:val="center"/>
              <w:rPr>
                <w:rFonts w:ascii="Arial" w:hAnsi="Arial" w:cs="Arial"/>
                <w:b/>
                <w:bCs/>
                <w:sz w:val="18"/>
                <w:szCs w:val="18"/>
              </w:rPr>
            </w:pPr>
          </w:p>
        </w:tc>
      </w:tr>
    </w:tbl>
    <w:p w14:paraId="4EB57C6F" w14:textId="77777777" w:rsidR="00753A68" w:rsidRPr="00C30E94" w:rsidRDefault="00753A68" w:rsidP="00753A68">
      <w:pPr>
        <w:shd w:val="clear" w:color="auto" w:fill="FFFFFF"/>
        <w:jc w:val="center"/>
        <w:rPr>
          <w:rFonts w:ascii="Arial" w:hAnsi="Arial" w:cs="Arial"/>
          <w:b/>
          <w:bCs/>
          <w:sz w:val="10"/>
          <w:szCs w:val="10"/>
        </w:rPr>
      </w:pPr>
    </w:p>
    <w:p w14:paraId="237384F2" w14:textId="77777777" w:rsidR="00753A68" w:rsidRPr="003D3396" w:rsidRDefault="00753A68" w:rsidP="00753A68">
      <w:pPr>
        <w:shd w:val="clear" w:color="auto" w:fill="FFFFFF"/>
        <w:spacing w:after="120" w:line="264" w:lineRule="auto"/>
        <w:ind w:firstLine="720"/>
        <w:jc w:val="both"/>
        <w:rPr>
          <w:lang w:val="pl-PL"/>
        </w:rPr>
      </w:pPr>
      <w:r w:rsidRPr="003D3396">
        <w:rPr>
          <w:lang w:val="pl-PL"/>
        </w:rPr>
        <w:t>Several key industrial products saw an increase in the first two months of 2025 compared to the same period last year: automobiles surged by 106.5%, televisions increased by 58.1%, fabric woven from natural fibers rose by 18.0%, motorcycles grew by 17.9%, casual wear increased by 14.0%, leather shoes and sandals rose by 9.2%, aquaculture feed grew by 7.2%, NPK fertilizer increased by 6</w:t>
      </w:r>
      <w:r>
        <w:rPr>
          <w:lang w:val="pl-PL"/>
        </w:rPr>
        <w:t xml:space="preserve">.9%, and cement rose by 6.6%.  </w:t>
      </w:r>
    </w:p>
    <w:p w14:paraId="21BFEA7E" w14:textId="77777777" w:rsidR="00753A68" w:rsidRPr="003D3396" w:rsidRDefault="00753A68" w:rsidP="00753A68">
      <w:pPr>
        <w:shd w:val="clear" w:color="auto" w:fill="FFFFFF"/>
        <w:spacing w:after="120" w:line="264" w:lineRule="auto"/>
        <w:ind w:firstLine="720"/>
        <w:jc w:val="both"/>
        <w:rPr>
          <w:lang w:val="pl-PL"/>
        </w:rPr>
      </w:pPr>
      <w:r w:rsidRPr="003D3396">
        <w:rPr>
          <w:lang w:val="pl-PL"/>
        </w:rPr>
        <w:t>Conversely, some products experienced a decline compared to the same period last year: natural gas in gaseous form decreased by 15.8%, crude oil extraction dropped by 8.1%, liquefied petroleum gas (LPG) declined by 7.9%, petroleum products fell by 4.5%, rolled steel decreased by 3.0%, an</w:t>
      </w:r>
      <w:r>
        <w:rPr>
          <w:lang w:val="pl-PL"/>
        </w:rPr>
        <w:t xml:space="preserve">d cigarettes dropped by 2.8%.  </w:t>
      </w:r>
    </w:p>
    <w:p w14:paraId="5A93AE8D" w14:textId="77777777" w:rsidR="00753A68" w:rsidRPr="003D3396" w:rsidRDefault="00753A68" w:rsidP="00753A68">
      <w:pPr>
        <w:shd w:val="clear" w:color="auto" w:fill="FFFFFF"/>
        <w:spacing w:after="120" w:line="264" w:lineRule="auto"/>
        <w:ind w:firstLine="720"/>
        <w:jc w:val="both"/>
        <w:rPr>
          <w:lang w:val="pl-PL"/>
        </w:rPr>
      </w:pPr>
      <w:r w:rsidRPr="003D3396">
        <w:rPr>
          <w:lang w:val="pl-PL"/>
        </w:rPr>
        <w:t>As of February 1, 2025, the number of workers employed in industrial enterprises increased by 1.0% compared to the previous month and by 4.4% compared to the same period last year. Among them, the workforce in state-owned enterprises remained unchanged from the previous month but increased by 0.3% year-on-year; non-state enterprises saw an increase of 0.4% month-on-</w:t>
      </w:r>
      <w:r w:rsidRPr="003D3396">
        <w:rPr>
          <w:lang w:val="pl-PL"/>
        </w:rPr>
        <w:lastRenderedPageBreak/>
        <w:t>month and 3.2% year-on-year; and foreign-invested enterprises recorded a growth of 1.3% month-on</w:t>
      </w:r>
      <w:r>
        <w:rPr>
          <w:lang w:val="pl-PL"/>
        </w:rPr>
        <w:t xml:space="preserve">-month and 5.2% year-on-year.  </w:t>
      </w:r>
    </w:p>
    <w:p w14:paraId="6E9C3BB3" w14:textId="7A56AB65" w:rsidR="00753A68" w:rsidRDefault="00753A68" w:rsidP="00753A68">
      <w:pPr>
        <w:shd w:val="clear" w:color="auto" w:fill="FFFFFF"/>
        <w:spacing w:after="120" w:line="264" w:lineRule="auto"/>
        <w:ind w:firstLine="720"/>
        <w:jc w:val="both"/>
      </w:pPr>
      <w:r w:rsidRPr="003D3396">
        <w:rPr>
          <w:lang w:val="pl-PL"/>
        </w:rPr>
        <w:t>By industry, the number of workers in the mining sector decreased by 0.2% compared to the previous month and by 0.5% year-on-year. Employment in the manufacturing and processing sector increased by 1.1% month-on-month and 4.8% year-on-year. The electricity, gas, steam, and air conditioning supply sector remained unchanged month-on-month but grew by 0.1% year-on-year. The water supply, waste management, and wastewater treatment sector also remained unchanged from the previous month but saw a 1.3% increa</w:t>
      </w:r>
      <w:r>
        <w:rPr>
          <w:lang w:val="pl-PL"/>
        </w:rPr>
        <w:t>se year-on-year.</w:t>
      </w:r>
    </w:p>
    <w:p w14:paraId="7DA0B6C7" w14:textId="0F300400" w:rsidR="00753A68" w:rsidRPr="00227BB5" w:rsidRDefault="00753A68" w:rsidP="00753A68">
      <w:pPr>
        <w:spacing w:after="40" w:line="300" w:lineRule="auto"/>
        <w:ind w:firstLine="567"/>
        <w:jc w:val="both"/>
        <w:rPr>
          <w:lang w:val="it-IT"/>
        </w:rPr>
      </w:pPr>
      <w:r>
        <w:rPr>
          <w:b/>
          <w:bCs/>
          <w:lang w:val="vi-VN"/>
        </w:rPr>
        <w:t>3</w:t>
      </w:r>
      <w:r w:rsidRPr="00227BB5">
        <w:rPr>
          <w:b/>
          <w:bCs/>
          <w:lang w:val="pl-PL"/>
        </w:rPr>
        <w:t>. Enterprise activities</w:t>
      </w:r>
    </w:p>
    <w:p w14:paraId="1990F96A" w14:textId="77777777" w:rsidR="00753A68" w:rsidRPr="00227BB5" w:rsidRDefault="00753A68" w:rsidP="00753A68">
      <w:pPr>
        <w:spacing w:after="40" w:line="300" w:lineRule="auto"/>
        <w:ind w:firstLine="567"/>
        <w:jc w:val="both"/>
        <w:rPr>
          <w:i/>
          <w:lang w:val="it-IT"/>
        </w:rPr>
      </w:pPr>
      <w:r w:rsidRPr="00227BB5">
        <w:rPr>
          <w:b/>
          <w:bCs/>
          <w:i/>
          <w:lang w:val="pl-PL"/>
        </w:rPr>
        <w:t>a)</w:t>
      </w:r>
      <w:r w:rsidRPr="00227BB5">
        <w:rPr>
          <w:b/>
          <w:bCs/>
          <w:i/>
          <w:lang w:val="it-IT"/>
        </w:rPr>
        <w:t xml:space="preserve"> </w:t>
      </w:r>
      <w:r w:rsidRPr="00227BB5">
        <w:rPr>
          <w:b/>
          <w:i/>
          <w:lang w:val="it-IT"/>
        </w:rPr>
        <w:t xml:space="preserve">Enterprise registration status </w:t>
      </w:r>
      <w:r w:rsidRPr="00227BB5">
        <w:rPr>
          <w:bCs/>
          <w:i/>
          <w:vertAlign w:val="superscript"/>
        </w:rPr>
        <w:footnoteReference w:id="11"/>
      </w:r>
    </w:p>
    <w:p w14:paraId="69BD1A91" w14:textId="77777777" w:rsidR="00753A68" w:rsidRPr="00227BB5" w:rsidRDefault="00753A68" w:rsidP="00753A68">
      <w:pPr>
        <w:spacing w:after="40" w:line="300" w:lineRule="auto"/>
        <w:ind w:firstLine="567"/>
        <w:jc w:val="both"/>
        <w:rPr>
          <w:lang w:val="it-IT"/>
        </w:rPr>
      </w:pPr>
      <w:r w:rsidRPr="00227BB5">
        <w:rPr>
          <w:lang w:val="it-IT"/>
        </w:rPr>
        <w:t xml:space="preserve">In </w:t>
      </w:r>
      <w:r>
        <w:rPr>
          <w:lang w:val="it-IT"/>
        </w:rPr>
        <w:t>February</w:t>
      </w:r>
      <w:r w:rsidRPr="00227BB5">
        <w:rPr>
          <w:lang w:val="it-IT"/>
        </w:rPr>
        <w:t xml:space="preserve">, the whole country had </w:t>
      </w:r>
      <w:r>
        <w:rPr>
          <w:lang w:val="it-IT"/>
        </w:rPr>
        <w:t>more than 10.1</w:t>
      </w:r>
      <w:r w:rsidRPr="00227BB5">
        <w:rPr>
          <w:lang w:val="it-IT"/>
        </w:rPr>
        <w:t xml:space="preserve"> thousand newly established enterprises with registered capital </w:t>
      </w:r>
      <w:r>
        <w:rPr>
          <w:lang w:val="it-IT"/>
        </w:rPr>
        <w:t>was nearly 136.4</w:t>
      </w:r>
      <w:r w:rsidRPr="00227BB5">
        <w:rPr>
          <w:lang w:val="it-IT"/>
        </w:rPr>
        <w:t xml:space="preserve"> trillion VND and </w:t>
      </w:r>
      <w:r>
        <w:rPr>
          <w:lang w:val="it-IT"/>
        </w:rPr>
        <w:t>the</w:t>
      </w:r>
      <w:r w:rsidRPr="00227BB5">
        <w:rPr>
          <w:lang w:val="it-IT"/>
        </w:rPr>
        <w:t xml:space="preserve"> total number of registered employees of </w:t>
      </w:r>
      <w:r>
        <w:rPr>
          <w:lang w:val="it-IT"/>
        </w:rPr>
        <w:t>over 59.1</w:t>
      </w:r>
      <w:r w:rsidRPr="00227BB5">
        <w:rPr>
          <w:lang w:val="it-IT"/>
        </w:rPr>
        <w:t xml:space="preserve"> thousand employees, a </w:t>
      </w:r>
      <w:r>
        <w:rPr>
          <w:lang w:val="it-IT"/>
        </w:rPr>
        <w:t>de</w:t>
      </w:r>
      <w:r w:rsidRPr="00227BB5">
        <w:rPr>
          <w:lang w:val="it-IT"/>
        </w:rPr>
        <w:t xml:space="preserve">crease of </w:t>
      </w:r>
      <w:r>
        <w:rPr>
          <w:lang w:val="it-IT"/>
        </w:rPr>
        <w:t>4.9</w:t>
      </w:r>
      <w:r w:rsidRPr="00227BB5">
        <w:rPr>
          <w:lang w:val="it-IT"/>
        </w:rPr>
        <w:t>% in the number of enterprises, a</w:t>
      </w:r>
      <w:r>
        <w:rPr>
          <w:lang w:val="it-IT"/>
        </w:rPr>
        <w:t>n in</w:t>
      </w:r>
      <w:r w:rsidRPr="00227BB5">
        <w:rPr>
          <w:lang w:val="it-IT"/>
        </w:rPr>
        <w:t xml:space="preserve">crease of </w:t>
      </w:r>
      <w:r>
        <w:rPr>
          <w:lang w:val="it-IT"/>
        </w:rPr>
        <w:t>45.0</w:t>
      </w:r>
      <w:r w:rsidRPr="00227BB5">
        <w:rPr>
          <w:lang w:val="it-IT"/>
        </w:rPr>
        <w:t xml:space="preserve">% </w:t>
      </w:r>
      <w:r>
        <w:rPr>
          <w:lang w:val="it-IT"/>
        </w:rPr>
        <w:t>in registered capital and a de</w:t>
      </w:r>
      <w:r w:rsidRPr="00227BB5">
        <w:rPr>
          <w:lang w:val="it-IT"/>
        </w:rPr>
        <w:t xml:space="preserve">crease of </w:t>
      </w:r>
      <w:r>
        <w:rPr>
          <w:lang w:val="it-IT"/>
        </w:rPr>
        <w:t>27.5</w:t>
      </w:r>
      <w:r w:rsidRPr="00227BB5">
        <w:rPr>
          <w:lang w:val="it-IT"/>
        </w:rPr>
        <w:t xml:space="preserve">% in the number of employees compared to </w:t>
      </w:r>
      <w:r>
        <w:rPr>
          <w:lang w:val="it-IT"/>
        </w:rPr>
        <w:t>January 2025</w:t>
      </w:r>
      <w:r w:rsidRPr="00227BB5">
        <w:rPr>
          <w:lang w:val="it-IT"/>
        </w:rPr>
        <w:t xml:space="preserve">. Compared to the same period last year, </w:t>
      </w:r>
      <w:r>
        <w:rPr>
          <w:lang w:val="it-IT"/>
        </w:rPr>
        <w:t>up 34.4</w:t>
      </w:r>
      <w:r w:rsidRPr="00227BB5">
        <w:rPr>
          <w:lang w:val="it-IT"/>
        </w:rPr>
        <w:t xml:space="preserve">% in the number of enterprises, </w:t>
      </w:r>
      <w:r>
        <w:rPr>
          <w:lang w:val="it-IT"/>
        </w:rPr>
        <w:t xml:space="preserve">over 2.1 times more </w:t>
      </w:r>
      <w:r w:rsidRPr="00227BB5">
        <w:rPr>
          <w:lang w:val="it-IT"/>
        </w:rPr>
        <w:t xml:space="preserve">in registered capital and </w:t>
      </w:r>
      <w:r>
        <w:rPr>
          <w:lang w:val="it-IT"/>
        </w:rPr>
        <w:t>down 23.3</w:t>
      </w:r>
      <w:r w:rsidRPr="00227BB5">
        <w:rPr>
          <w:lang w:val="it-IT"/>
        </w:rPr>
        <w:t xml:space="preserve">% in the number of employees. The average registered capital of a newly established enterprise in the month reached </w:t>
      </w:r>
      <w:r>
        <w:rPr>
          <w:lang w:val="it-IT"/>
        </w:rPr>
        <w:t>13.5</w:t>
      </w:r>
      <w:r w:rsidRPr="00227BB5">
        <w:rPr>
          <w:lang w:val="it-IT"/>
        </w:rPr>
        <w:t xml:space="preserve"> billion VND, </w:t>
      </w:r>
      <w:r>
        <w:rPr>
          <w:lang w:val="it-IT"/>
        </w:rPr>
        <w:t>over 1.5 times more than it in</w:t>
      </w:r>
      <w:r w:rsidRPr="00227BB5">
        <w:rPr>
          <w:lang w:val="it-IT"/>
        </w:rPr>
        <w:t xml:space="preserve"> the </w:t>
      </w:r>
      <w:r>
        <w:rPr>
          <w:lang w:val="it-IT"/>
        </w:rPr>
        <w:t>last</w:t>
      </w:r>
      <w:r w:rsidRPr="00227BB5">
        <w:rPr>
          <w:lang w:val="it-IT"/>
        </w:rPr>
        <w:t xml:space="preserve"> month and </w:t>
      </w:r>
      <w:r>
        <w:rPr>
          <w:lang w:val="it-IT"/>
        </w:rPr>
        <w:t>nearly 1.6 times more compared to</w:t>
      </w:r>
      <w:r w:rsidRPr="00227BB5">
        <w:rPr>
          <w:lang w:val="it-IT"/>
        </w:rPr>
        <w:t xml:space="preserve"> the same period </w:t>
      </w:r>
      <w:r>
        <w:rPr>
          <w:lang w:val="it-IT"/>
        </w:rPr>
        <w:t>of 2024</w:t>
      </w:r>
      <w:r w:rsidRPr="00227BB5">
        <w:rPr>
          <w:lang w:val="it-IT"/>
        </w:rPr>
        <w:t xml:space="preserve">. </w:t>
      </w:r>
      <w:r>
        <w:rPr>
          <w:lang w:val="it-IT"/>
        </w:rPr>
        <w:t>Besides</w:t>
      </w:r>
      <w:r w:rsidRPr="00227BB5">
        <w:rPr>
          <w:lang w:val="it-IT"/>
        </w:rPr>
        <w:t xml:space="preserve">, </w:t>
      </w:r>
      <w:r>
        <w:rPr>
          <w:lang w:val="it-IT"/>
        </w:rPr>
        <w:t>there were</w:t>
      </w:r>
      <w:r w:rsidRPr="00227BB5">
        <w:rPr>
          <w:lang w:val="it-IT"/>
        </w:rPr>
        <w:t xml:space="preserve"> </w:t>
      </w:r>
      <w:r>
        <w:rPr>
          <w:lang w:val="it-IT"/>
        </w:rPr>
        <w:t>nearly 7.1</w:t>
      </w:r>
      <w:r w:rsidRPr="00227BB5">
        <w:rPr>
          <w:lang w:val="it-IT"/>
        </w:rPr>
        <w:t xml:space="preserve"> thousand enterprises</w:t>
      </w:r>
      <w:r>
        <w:rPr>
          <w:lang w:val="it-IT"/>
        </w:rPr>
        <w:t xml:space="preserve"> resumed in the whole country</w:t>
      </w:r>
      <w:r w:rsidRPr="00227BB5">
        <w:rPr>
          <w:lang w:val="it-IT"/>
        </w:rPr>
        <w:t xml:space="preserve">, </w:t>
      </w:r>
      <w:r>
        <w:rPr>
          <w:lang w:val="it-IT"/>
        </w:rPr>
        <w:t>down 69.1</w:t>
      </w:r>
      <w:r w:rsidRPr="00227BB5">
        <w:rPr>
          <w:lang w:val="it-IT"/>
        </w:rPr>
        <w:t xml:space="preserve">% compared to the previous month and </w:t>
      </w:r>
      <w:r>
        <w:rPr>
          <w:lang w:val="it-IT"/>
        </w:rPr>
        <w:t>up 32.1</w:t>
      </w:r>
      <w:r w:rsidRPr="00227BB5">
        <w:rPr>
          <w:lang w:val="it-IT"/>
        </w:rPr>
        <w:t xml:space="preserve">% compared to the same period </w:t>
      </w:r>
      <w:r>
        <w:rPr>
          <w:lang w:val="it-IT"/>
        </w:rPr>
        <w:t>of</w:t>
      </w:r>
      <w:r w:rsidRPr="00227BB5">
        <w:rPr>
          <w:lang w:val="it-IT"/>
        </w:rPr>
        <w:t xml:space="preserve"> 202</w:t>
      </w:r>
      <w:r>
        <w:rPr>
          <w:lang w:val="it-IT"/>
        </w:rPr>
        <w:t>4</w:t>
      </w:r>
      <w:r w:rsidRPr="00227BB5">
        <w:rPr>
          <w:lang w:val="it-IT"/>
        </w:rPr>
        <w:t>.</w:t>
      </w:r>
    </w:p>
    <w:p w14:paraId="16B11C52" w14:textId="77777777" w:rsidR="00753A68" w:rsidRDefault="00753A68" w:rsidP="00753A68">
      <w:pPr>
        <w:spacing w:after="40" w:line="300" w:lineRule="auto"/>
        <w:ind w:firstLine="567"/>
        <w:jc w:val="both"/>
        <w:rPr>
          <w:lang w:val="en-US"/>
        </w:rPr>
      </w:pPr>
      <w:r>
        <w:rPr>
          <w:lang w:val="en-US"/>
        </w:rPr>
        <w:t>Generally, i</w:t>
      </w:r>
      <w:r w:rsidRPr="00227BB5">
        <w:rPr>
          <w:lang w:val="en-US"/>
        </w:rPr>
        <w:t>n the</w:t>
      </w:r>
      <w:r>
        <w:rPr>
          <w:lang w:val="en-US"/>
        </w:rPr>
        <w:t xml:space="preserve"> beginning</w:t>
      </w:r>
      <w:r w:rsidRPr="00227BB5">
        <w:rPr>
          <w:lang w:val="en-US"/>
        </w:rPr>
        <w:t xml:space="preserve"> </w:t>
      </w:r>
      <w:r>
        <w:rPr>
          <w:lang w:val="en-US"/>
        </w:rPr>
        <w:t>two months</w:t>
      </w:r>
      <w:r w:rsidRPr="00227BB5">
        <w:rPr>
          <w:lang w:val="en-US"/>
        </w:rPr>
        <w:t xml:space="preserve"> of 202</w:t>
      </w:r>
      <w:r>
        <w:rPr>
          <w:lang w:val="en-US"/>
        </w:rPr>
        <w:t>5</w:t>
      </w:r>
      <w:r w:rsidRPr="00227BB5">
        <w:rPr>
          <w:lang w:val="en-US"/>
        </w:rPr>
        <w:t>, the</w:t>
      </w:r>
      <w:r>
        <w:rPr>
          <w:lang w:val="en-US"/>
        </w:rPr>
        <w:t xml:space="preserve"> whole</w:t>
      </w:r>
      <w:r w:rsidRPr="00227BB5">
        <w:rPr>
          <w:lang w:val="en-US"/>
        </w:rPr>
        <w:t xml:space="preserve"> country had </w:t>
      </w:r>
      <w:r>
        <w:rPr>
          <w:lang w:val="en-US"/>
        </w:rPr>
        <w:t xml:space="preserve">nearly 20.8 </w:t>
      </w:r>
      <w:r w:rsidRPr="00227BB5">
        <w:rPr>
          <w:lang w:val="en-US"/>
        </w:rPr>
        <w:t xml:space="preserve">thousand newly registered enterprises with </w:t>
      </w:r>
      <w:r>
        <w:rPr>
          <w:lang w:val="en-US"/>
        </w:rPr>
        <w:t>the</w:t>
      </w:r>
      <w:r w:rsidRPr="00227BB5">
        <w:rPr>
          <w:lang w:val="en-US"/>
        </w:rPr>
        <w:t xml:space="preserve"> total registered capital of</w:t>
      </w:r>
      <w:r w:rsidRPr="00227BB5">
        <w:rPr>
          <w:lang w:val="it-IT"/>
        </w:rPr>
        <w:t xml:space="preserve"> </w:t>
      </w:r>
      <w:r>
        <w:rPr>
          <w:lang w:val="it-IT"/>
        </w:rPr>
        <w:t>over 230.4</w:t>
      </w:r>
      <w:r w:rsidRPr="00227BB5">
        <w:rPr>
          <w:lang w:val="it-IT"/>
        </w:rPr>
        <w:t xml:space="preserve"> </w:t>
      </w:r>
      <w:r w:rsidRPr="00227BB5">
        <w:rPr>
          <w:lang w:val="en-US"/>
        </w:rPr>
        <w:t xml:space="preserve">trillion VND and </w:t>
      </w:r>
      <w:r>
        <w:rPr>
          <w:lang w:val="en-US"/>
        </w:rPr>
        <w:t>the</w:t>
      </w:r>
      <w:r w:rsidRPr="00227BB5">
        <w:rPr>
          <w:lang w:val="en-US"/>
        </w:rPr>
        <w:t xml:space="preserve"> total number of registered employees was </w:t>
      </w:r>
      <w:r>
        <w:rPr>
          <w:lang w:val="en-US"/>
        </w:rPr>
        <w:t>nearly 140.7</w:t>
      </w:r>
      <w:r w:rsidRPr="00227BB5">
        <w:rPr>
          <w:lang w:val="it-IT"/>
        </w:rPr>
        <w:t xml:space="preserve"> </w:t>
      </w:r>
      <w:r w:rsidRPr="00227BB5">
        <w:rPr>
          <w:lang w:val="en-US"/>
        </w:rPr>
        <w:t xml:space="preserve">thousand employees, </w:t>
      </w:r>
      <w:r>
        <w:rPr>
          <w:lang w:val="en-US"/>
        </w:rPr>
        <w:t>down 8.9</w:t>
      </w:r>
      <w:r w:rsidRPr="00227BB5">
        <w:rPr>
          <w:lang w:val="it-IT"/>
        </w:rPr>
        <w:t xml:space="preserve">% </w:t>
      </w:r>
      <w:r w:rsidRPr="00227BB5">
        <w:rPr>
          <w:lang w:val="en-US"/>
        </w:rPr>
        <w:t xml:space="preserve">in the number of enterprises, </w:t>
      </w:r>
      <w:r>
        <w:rPr>
          <w:lang w:val="en-US"/>
        </w:rPr>
        <w:t>up 4.9%</w:t>
      </w:r>
      <w:r w:rsidRPr="00227BB5">
        <w:rPr>
          <w:lang w:val="it-IT"/>
        </w:rPr>
        <w:t xml:space="preserve"> </w:t>
      </w:r>
      <w:r w:rsidRPr="00227BB5">
        <w:rPr>
          <w:lang w:val="en-US"/>
        </w:rPr>
        <w:t xml:space="preserve">in registered capital and </w:t>
      </w:r>
      <w:r>
        <w:rPr>
          <w:lang w:val="en-US"/>
        </w:rPr>
        <w:t>down 22.7</w:t>
      </w:r>
      <w:r w:rsidRPr="00227BB5">
        <w:rPr>
          <w:lang w:val="it-IT"/>
        </w:rPr>
        <w:t xml:space="preserve">% </w:t>
      </w:r>
      <w:r w:rsidRPr="00227BB5">
        <w:rPr>
          <w:lang w:val="en-US"/>
        </w:rPr>
        <w:t xml:space="preserve">in the number of employees compared to the same period last year. The average registered capital of a newly </w:t>
      </w:r>
      <w:r w:rsidRPr="00227BB5">
        <w:rPr>
          <w:lang w:val="en-US"/>
        </w:rPr>
        <w:lastRenderedPageBreak/>
        <w:t xml:space="preserve">established enterprise in the </w:t>
      </w:r>
      <w:r>
        <w:rPr>
          <w:lang w:val="en-US"/>
        </w:rPr>
        <w:t>first two</w:t>
      </w:r>
      <w:r w:rsidRPr="00227BB5">
        <w:rPr>
          <w:lang w:val="en-US"/>
        </w:rPr>
        <w:t xml:space="preserve"> months </w:t>
      </w:r>
      <w:r>
        <w:rPr>
          <w:lang w:val="en-US"/>
        </w:rPr>
        <w:t>achieved</w:t>
      </w:r>
      <w:r w:rsidRPr="00227BB5">
        <w:rPr>
          <w:lang w:val="it-IT"/>
        </w:rPr>
        <w:t xml:space="preserve"> </w:t>
      </w:r>
      <w:r>
        <w:rPr>
          <w:lang w:val="it-IT"/>
        </w:rPr>
        <w:t>11.1</w:t>
      </w:r>
      <w:r w:rsidRPr="00227BB5">
        <w:rPr>
          <w:lang w:val="it-IT"/>
        </w:rPr>
        <w:t xml:space="preserve"> </w:t>
      </w:r>
      <w:r w:rsidRPr="00227BB5">
        <w:rPr>
          <w:lang w:val="en-US"/>
        </w:rPr>
        <w:t xml:space="preserve">billion VND, </w:t>
      </w:r>
      <w:r>
        <w:rPr>
          <w:lang w:val="en-US"/>
        </w:rPr>
        <w:t>up 15.1% to the same period of 2024</w:t>
      </w:r>
      <w:r w:rsidRPr="00227BB5">
        <w:rPr>
          <w:lang w:val="it-IT"/>
        </w:rPr>
        <w:t xml:space="preserve">. </w:t>
      </w:r>
      <w:r>
        <w:rPr>
          <w:lang w:val="it-IT"/>
        </w:rPr>
        <w:t>T</w:t>
      </w:r>
      <w:r w:rsidRPr="007E7AD3">
        <w:rPr>
          <w:lang w:val="en-US"/>
        </w:rPr>
        <w:t xml:space="preserve">he total number </w:t>
      </w:r>
      <w:r>
        <w:rPr>
          <w:lang w:val="en-US"/>
        </w:rPr>
        <w:t xml:space="preserve">additional registered </w:t>
      </w:r>
      <w:r w:rsidRPr="007E7AD3">
        <w:rPr>
          <w:lang w:val="en-US"/>
        </w:rPr>
        <w:t xml:space="preserve">captial </w:t>
      </w:r>
      <w:r>
        <w:rPr>
          <w:lang w:val="en-US"/>
        </w:rPr>
        <w:t>into</w:t>
      </w:r>
      <w:r w:rsidRPr="007E7AD3">
        <w:rPr>
          <w:lang w:val="en-US"/>
        </w:rPr>
        <w:t xml:space="preserve"> the economy</w:t>
      </w:r>
      <w:r w:rsidRPr="00227BB5">
        <w:rPr>
          <w:lang w:val="en-US"/>
        </w:rPr>
        <w:t xml:space="preserve"> in the </w:t>
      </w:r>
      <w:r>
        <w:rPr>
          <w:lang w:val="en-US"/>
        </w:rPr>
        <w:t>first two months</w:t>
      </w:r>
      <w:r w:rsidRPr="00227BB5">
        <w:rPr>
          <w:lang w:val="en-US"/>
        </w:rPr>
        <w:t xml:space="preserve"> was</w:t>
      </w:r>
      <w:r w:rsidRPr="007E7AD3">
        <w:rPr>
          <w:lang w:val="en-US"/>
        </w:rPr>
        <w:t xml:space="preserve"> </w:t>
      </w:r>
      <w:r>
        <w:rPr>
          <w:lang w:val="en-US"/>
        </w:rPr>
        <w:t>nealy 709.4</w:t>
      </w:r>
      <w:r w:rsidRPr="007E7AD3">
        <w:rPr>
          <w:lang w:val="en-US"/>
        </w:rPr>
        <w:t xml:space="preserve"> </w:t>
      </w:r>
      <w:r w:rsidRPr="00227BB5">
        <w:rPr>
          <w:lang w:val="en-US"/>
        </w:rPr>
        <w:t xml:space="preserve">trillion VND, a </w:t>
      </w:r>
      <w:r>
        <w:rPr>
          <w:lang w:val="en-US"/>
        </w:rPr>
        <w:t>year-on-year increase</w:t>
      </w:r>
      <w:r w:rsidRPr="00227BB5">
        <w:rPr>
          <w:lang w:val="en-US"/>
        </w:rPr>
        <w:t xml:space="preserve"> of </w:t>
      </w:r>
      <w:r>
        <w:rPr>
          <w:lang w:val="it-IT"/>
        </w:rPr>
        <w:t>66.1</w:t>
      </w:r>
      <w:r w:rsidRPr="00227BB5">
        <w:rPr>
          <w:lang w:val="it-IT"/>
        </w:rPr>
        <w:t>%</w:t>
      </w:r>
      <w:r w:rsidRPr="00227BB5">
        <w:rPr>
          <w:lang w:val="en-US"/>
        </w:rPr>
        <w:t xml:space="preserve">. </w:t>
      </w:r>
    </w:p>
    <w:p w14:paraId="239841FE" w14:textId="77777777" w:rsidR="00753A68" w:rsidRPr="00227BB5" w:rsidRDefault="00753A68" w:rsidP="00753A68">
      <w:pPr>
        <w:spacing w:after="40" w:line="300" w:lineRule="auto"/>
        <w:ind w:firstLine="567"/>
        <w:jc w:val="both"/>
        <w:rPr>
          <w:lang w:val="en-US"/>
        </w:rPr>
      </w:pPr>
      <w:r>
        <w:rPr>
          <w:lang w:val="en-US"/>
        </w:rPr>
        <w:t>Besides</w:t>
      </w:r>
      <w:r w:rsidRPr="00227BB5">
        <w:rPr>
          <w:lang w:val="en-US"/>
        </w:rPr>
        <w:t>,</w:t>
      </w:r>
      <w:r>
        <w:rPr>
          <w:lang w:val="en-US"/>
        </w:rPr>
        <w:t xml:space="preserve"> there we</w:t>
      </w:r>
      <w:r w:rsidRPr="00227BB5">
        <w:rPr>
          <w:lang w:val="en-US"/>
        </w:rPr>
        <w:t xml:space="preserve">re </w:t>
      </w:r>
      <w:r>
        <w:rPr>
          <w:lang w:val="en-US"/>
        </w:rPr>
        <w:t>nearly 29.1</w:t>
      </w:r>
      <w:r w:rsidRPr="00227BB5">
        <w:rPr>
          <w:lang w:val="it-IT"/>
        </w:rPr>
        <w:t xml:space="preserve"> </w:t>
      </w:r>
      <w:r w:rsidRPr="00227BB5">
        <w:rPr>
          <w:lang w:val="en-US"/>
        </w:rPr>
        <w:t>thousand enterprises</w:t>
      </w:r>
      <w:r>
        <w:rPr>
          <w:lang w:val="en-US"/>
        </w:rPr>
        <w:t xml:space="preserve"> resumed</w:t>
      </w:r>
      <w:r w:rsidRPr="00227BB5">
        <w:rPr>
          <w:lang w:val="en-US"/>
        </w:rPr>
        <w:t xml:space="preserve"> (</w:t>
      </w:r>
      <w:r>
        <w:rPr>
          <w:lang w:val="en-US"/>
        </w:rPr>
        <w:t>a year-on-year increase of</w:t>
      </w:r>
      <w:r w:rsidRPr="00227BB5">
        <w:rPr>
          <w:lang w:val="en-US"/>
        </w:rPr>
        <w:t xml:space="preserve"> </w:t>
      </w:r>
      <w:r>
        <w:rPr>
          <w:lang w:val="en-US"/>
        </w:rPr>
        <w:t>53.2</w:t>
      </w:r>
      <w:r w:rsidRPr="00227BB5">
        <w:rPr>
          <w:lang w:val="it-IT"/>
        </w:rPr>
        <w:t xml:space="preserve">%), </w:t>
      </w:r>
      <w:r>
        <w:rPr>
          <w:lang w:val="en-US"/>
        </w:rPr>
        <w:t>levering</w:t>
      </w:r>
      <w:r w:rsidRPr="00227BB5">
        <w:rPr>
          <w:lang w:val="en-US"/>
        </w:rPr>
        <w:t xml:space="preserve"> the total number of newly</w:t>
      </w:r>
      <w:r>
        <w:rPr>
          <w:lang w:val="en-US"/>
        </w:rPr>
        <w:t xml:space="preserve"> </w:t>
      </w:r>
      <w:r w:rsidRPr="00227BB5">
        <w:rPr>
          <w:lang w:val="en-US"/>
        </w:rPr>
        <w:t xml:space="preserve">established enterprises and </w:t>
      </w:r>
      <w:r>
        <w:rPr>
          <w:lang w:val="en-US"/>
        </w:rPr>
        <w:t>resumed</w:t>
      </w:r>
      <w:r w:rsidRPr="00227BB5">
        <w:rPr>
          <w:lang w:val="en-US"/>
        </w:rPr>
        <w:t xml:space="preserve"> enterprises in the </w:t>
      </w:r>
      <w:r>
        <w:rPr>
          <w:lang w:val="en-US"/>
        </w:rPr>
        <w:t>first two</w:t>
      </w:r>
      <w:r w:rsidRPr="00227BB5">
        <w:rPr>
          <w:lang w:val="en-US"/>
        </w:rPr>
        <w:t xml:space="preserve"> months of 202</w:t>
      </w:r>
      <w:r>
        <w:rPr>
          <w:lang w:val="en-US"/>
        </w:rPr>
        <w:t>5</w:t>
      </w:r>
      <w:r w:rsidRPr="00227BB5">
        <w:rPr>
          <w:lang w:val="en-US"/>
        </w:rPr>
        <w:t xml:space="preserve"> to </w:t>
      </w:r>
      <w:r>
        <w:rPr>
          <w:lang w:val="en-US"/>
        </w:rPr>
        <w:t>over 49.8</w:t>
      </w:r>
      <w:r w:rsidRPr="00227BB5">
        <w:rPr>
          <w:lang w:val="it-IT"/>
        </w:rPr>
        <w:t xml:space="preserve"> </w:t>
      </w:r>
      <w:r w:rsidRPr="00227BB5">
        <w:rPr>
          <w:lang w:val="en-US"/>
        </w:rPr>
        <w:t xml:space="preserve">thousand enterprises, </w:t>
      </w:r>
      <w:r>
        <w:rPr>
          <w:lang w:val="en-US"/>
        </w:rPr>
        <w:t>a year-on-year increase of</w:t>
      </w:r>
      <w:r w:rsidRPr="00227BB5">
        <w:rPr>
          <w:lang w:val="en-US"/>
        </w:rPr>
        <w:t xml:space="preserve"> </w:t>
      </w:r>
      <w:r>
        <w:rPr>
          <w:lang w:val="en-US"/>
        </w:rPr>
        <w:t>19.3</w:t>
      </w:r>
      <w:r w:rsidRPr="00227BB5">
        <w:rPr>
          <w:lang w:val="it-IT"/>
        </w:rPr>
        <w:t>%</w:t>
      </w:r>
      <w:r w:rsidRPr="00227BB5">
        <w:rPr>
          <w:lang w:val="en-US"/>
        </w:rPr>
        <w:t xml:space="preserve">. </w:t>
      </w:r>
      <w:r>
        <w:rPr>
          <w:lang w:val="en-US"/>
        </w:rPr>
        <w:t xml:space="preserve">On </w:t>
      </w:r>
      <w:r w:rsidRPr="00227BB5">
        <w:rPr>
          <w:lang w:val="en-US"/>
        </w:rPr>
        <w:t>average</w:t>
      </w:r>
      <w:r>
        <w:rPr>
          <w:lang w:val="en-US"/>
        </w:rPr>
        <w:t>, there were over 24.9</w:t>
      </w:r>
      <w:r w:rsidRPr="00227BB5">
        <w:rPr>
          <w:lang w:val="it-IT"/>
        </w:rPr>
        <w:t xml:space="preserve"> </w:t>
      </w:r>
      <w:r w:rsidRPr="00227BB5">
        <w:rPr>
          <w:lang w:val="en-US"/>
        </w:rPr>
        <w:t xml:space="preserve">thousand newly established and </w:t>
      </w:r>
      <w:r>
        <w:rPr>
          <w:lang w:val="en-US"/>
        </w:rPr>
        <w:t>resumed</w:t>
      </w:r>
      <w:r w:rsidRPr="00227BB5">
        <w:rPr>
          <w:lang w:val="en-US"/>
        </w:rPr>
        <w:t xml:space="preserve"> enterprises</w:t>
      </w:r>
      <w:r>
        <w:rPr>
          <w:lang w:val="en-US"/>
        </w:rPr>
        <w:t xml:space="preserve"> per month</w:t>
      </w:r>
      <w:r w:rsidRPr="00227BB5">
        <w:rPr>
          <w:lang w:val="it-IT"/>
        </w:rPr>
        <w:t>.</w:t>
      </w:r>
    </w:p>
    <w:p w14:paraId="23287CB3" w14:textId="77777777" w:rsidR="00753A68" w:rsidRPr="00227BB5" w:rsidRDefault="00753A68" w:rsidP="00753A68">
      <w:pPr>
        <w:spacing w:after="40" w:line="300" w:lineRule="auto"/>
        <w:ind w:firstLine="567"/>
        <w:jc w:val="both"/>
        <w:rPr>
          <w:lang w:val="it-IT"/>
        </w:rPr>
      </w:pPr>
      <w:r w:rsidRPr="00227BB5">
        <w:rPr>
          <w:lang w:val="en-US"/>
        </w:rPr>
        <w:t xml:space="preserve">By economic sector in </w:t>
      </w:r>
      <w:r>
        <w:rPr>
          <w:lang w:val="en-US"/>
        </w:rPr>
        <w:t>the first two</w:t>
      </w:r>
      <w:r w:rsidRPr="00227BB5">
        <w:rPr>
          <w:lang w:val="en-US"/>
        </w:rPr>
        <w:t xml:space="preserve"> months</w:t>
      </w:r>
      <w:r>
        <w:rPr>
          <w:lang w:val="en-US"/>
        </w:rPr>
        <w:t xml:space="preserve"> of 2025</w:t>
      </w:r>
      <w:r w:rsidRPr="00227BB5">
        <w:rPr>
          <w:lang w:val="en-US"/>
        </w:rPr>
        <w:t xml:space="preserve">, there were </w:t>
      </w:r>
      <w:r>
        <w:rPr>
          <w:lang w:val="it-IT"/>
        </w:rPr>
        <w:t>179</w:t>
      </w:r>
      <w:r w:rsidRPr="00227BB5">
        <w:rPr>
          <w:lang w:val="it-IT"/>
        </w:rPr>
        <w:t xml:space="preserve"> </w:t>
      </w:r>
      <w:r w:rsidRPr="00227BB5">
        <w:rPr>
          <w:lang w:val="en-US"/>
        </w:rPr>
        <w:t>newly</w:t>
      </w:r>
      <w:r>
        <w:rPr>
          <w:lang w:val="en-US"/>
        </w:rPr>
        <w:t xml:space="preserve"> </w:t>
      </w:r>
      <w:r w:rsidRPr="00227BB5">
        <w:rPr>
          <w:lang w:val="en-US"/>
        </w:rPr>
        <w:t>established enterprises in the agricultural, forestry, and fishery sectors, a</w:t>
      </w:r>
      <w:r>
        <w:rPr>
          <w:lang w:val="en-US"/>
        </w:rPr>
        <w:t xml:space="preserve"> year-on-year</w:t>
      </w:r>
      <w:r w:rsidRPr="00227BB5">
        <w:rPr>
          <w:lang w:val="en-US"/>
        </w:rPr>
        <w:t xml:space="preserve"> </w:t>
      </w:r>
      <w:r>
        <w:rPr>
          <w:lang w:val="en-US"/>
        </w:rPr>
        <w:t>decrease</w:t>
      </w:r>
      <w:r w:rsidRPr="00227BB5">
        <w:rPr>
          <w:lang w:val="en-US"/>
        </w:rPr>
        <w:t xml:space="preserve"> of</w:t>
      </w:r>
      <w:r w:rsidRPr="00227BB5">
        <w:rPr>
          <w:lang w:val="it-IT"/>
        </w:rPr>
        <w:t xml:space="preserve"> </w:t>
      </w:r>
      <w:r>
        <w:rPr>
          <w:lang w:val="it-IT"/>
        </w:rPr>
        <w:t>25.7</w:t>
      </w:r>
      <w:r w:rsidRPr="00227BB5">
        <w:rPr>
          <w:lang w:val="it-IT"/>
        </w:rPr>
        <w:t>%</w:t>
      </w:r>
      <w:r w:rsidRPr="00227BB5">
        <w:rPr>
          <w:lang w:val="en-US"/>
        </w:rPr>
        <w:t xml:space="preserve">; </w:t>
      </w:r>
      <w:r>
        <w:rPr>
          <w:lang w:val="it-IT"/>
        </w:rPr>
        <w:t>nearly 4.8</w:t>
      </w:r>
      <w:r w:rsidRPr="00227BB5">
        <w:rPr>
          <w:lang w:val="it-IT"/>
        </w:rPr>
        <w:t xml:space="preserve"> </w:t>
      </w:r>
      <w:r w:rsidRPr="00227BB5">
        <w:rPr>
          <w:lang w:val="en-US"/>
        </w:rPr>
        <w:t xml:space="preserve">thousand enterprises in the industrial and construction sectors, </w:t>
      </w:r>
      <w:r>
        <w:rPr>
          <w:lang w:val="en-US"/>
        </w:rPr>
        <w:t>a de</w:t>
      </w:r>
      <w:r w:rsidRPr="00227BB5">
        <w:rPr>
          <w:lang w:val="en-US"/>
        </w:rPr>
        <w:t>crease of</w:t>
      </w:r>
      <w:r w:rsidRPr="00227BB5">
        <w:rPr>
          <w:lang w:val="it-IT"/>
        </w:rPr>
        <w:t xml:space="preserve"> </w:t>
      </w:r>
      <w:r>
        <w:rPr>
          <w:lang w:val="it-IT"/>
        </w:rPr>
        <w:t>11.7</w:t>
      </w:r>
      <w:r w:rsidRPr="00227BB5">
        <w:rPr>
          <w:lang w:val="it-IT"/>
        </w:rPr>
        <w:t xml:space="preserve">%; </w:t>
      </w:r>
      <w:r>
        <w:rPr>
          <w:lang w:val="it-IT"/>
        </w:rPr>
        <w:t>more than 15.8</w:t>
      </w:r>
      <w:r w:rsidRPr="00227BB5">
        <w:rPr>
          <w:lang w:val="it-IT"/>
        </w:rPr>
        <w:t xml:space="preserve"> </w:t>
      </w:r>
      <w:r w:rsidRPr="00227BB5">
        <w:rPr>
          <w:lang w:val="en-US"/>
        </w:rPr>
        <w:t xml:space="preserve">thousand enterprises in the service sector, a </w:t>
      </w:r>
      <w:r>
        <w:rPr>
          <w:lang w:val="en-US"/>
        </w:rPr>
        <w:t>de</w:t>
      </w:r>
      <w:r w:rsidRPr="00227BB5">
        <w:rPr>
          <w:lang w:val="en-US"/>
        </w:rPr>
        <w:t xml:space="preserve">crease of </w:t>
      </w:r>
      <w:r>
        <w:rPr>
          <w:lang w:val="it-IT"/>
        </w:rPr>
        <w:t>7.8</w:t>
      </w:r>
      <w:r w:rsidRPr="00227BB5">
        <w:rPr>
          <w:lang w:val="it-IT"/>
        </w:rPr>
        <w:t>%.</w:t>
      </w:r>
    </w:p>
    <w:p w14:paraId="6344A72E" w14:textId="77777777" w:rsidR="00753A68" w:rsidRPr="00227BB5" w:rsidRDefault="00753A68" w:rsidP="00753A68">
      <w:pPr>
        <w:spacing w:before="120" w:after="40" w:line="288" w:lineRule="auto"/>
        <w:jc w:val="center"/>
        <w:rPr>
          <w:noProof/>
          <w:lang w:val="it-IT" w:eastAsia="en-GB"/>
        </w:rPr>
      </w:pPr>
      <w:r w:rsidRPr="00227BB5">
        <w:rPr>
          <w:rFonts w:ascii="Arial" w:hAnsi="Arial" w:cs="Arial"/>
          <w:b/>
          <w:lang w:val="it-IT"/>
        </w:rPr>
        <w:t>Figure</w:t>
      </w:r>
      <w:r w:rsidRPr="00227BB5">
        <w:rPr>
          <w:rFonts w:ascii="Arial" w:hAnsi="Arial" w:cs="Arial"/>
          <w:b/>
          <w:sz w:val="24"/>
          <w:szCs w:val="24"/>
          <w:lang w:val="it-IT"/>
        </w:rPr>
        <w:t xml:space="preserve"> 6. </w:t>
      </w:r>
      <w:r w:rsidRPr="00227BB5">
        <w:rPr>
          <w:rFonts w:ascii="Arial" w:hAnsi="Arial" w:cs="Arial"/>
          <w:b/>
          <w:lang w:val="it-IT"/>
        </w:rPr>
        <w:t>Enterprise registration situation</w:t>
      </w:r>
    </w:p>
    <w:p w14:paraId="5BCE8CD7" w14:textId="77777777" w:rsidR="00753A68" w:rsidRPr="00227BB5" w:rsidRDefault="00753A68" w:rsidP="00753A68">
      <w:pPr>
        <w:spacing w:before="120" w:after="40" w:line="288" w:lineRule="auto"/>
        <w:jc w:val="center"/>
        <w:rPr>
          <w:rFonts w:ascii="Arial" w:hAnsi="Arial" w:cs="Arial"/>
          <w:b/>
          <w:sz w:val="24"/>
          <w:szCs w:val="24"/>
          <w:lang w:val="it-IT"/>
        </w:rPr>
      </w:pPr>
      <w:r w:rsidRPr="00CF6A53">
        <w:rPr>
          <w:rFonts w:ascii="Arial" w:hAnsi="Arial" w:cs="Arial"/>
          <w:b/>
          <w:noProof/>
          <w:sz w:val="24"/>
          <w:szCs w:val="24"/>
          <w:lang w:val="en-US"/>
        </w:rPr>
        <w:drawing>
          <wp:inline distT="0" distB="0" distL="0" distR="0" wp14:anchorId="104C583A" wp14:editId="5BE15367">
            <wp:extent cx="4572000" cy="2114550"/>
            <wp:effectExtent l="0" t="0" r="0" b="0"/>
            <wp:docPr id="10" name="Picture 10" descr="C:\Users\dtphong\Downloads\THẤT TỊ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phong\Downloads\THẤT TỊC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2114550"/>
                    </a:xfrm>
                    <a:prstGeom prst="rect">
                      <a:avLst/>
                    </a:prstGeom>
                    <a:noFill/>
                    <a:ln>
                      <a:noFill/>
                    </a:ln>
                  </pic:spPr>
                </pic:pic>
              </a:graphicData>
            </a:graphic>
          </wp:inline>
        </w:drawing>
      </w:r>
    </w:p>
    <w:p w14:paraId="1DFDFAFC" w14:textId="77777777" w:rsidR="00753A68" w:rsidRPr="00227BB5" w:rsidRDefault="00753A68" w:rsidP="00753A68">
      <w:pPr>
        <w:spacing w:before="40" w:after="40" w:line="283" w:lineRule="auto"/>
        <w:ind w:firstLine="567"/>
        <w:jc w:val="both"/>
        <w:rPr>
          <w:lang w:val="it-IT"/>
        </w:rPr>
      </w:pPr>
      <w:r w:rsidRPr="00227BB5">
        <w:rPr>
          <w:lang w:val="en-US"/>
        </w:rPr>
        <w:t xml:space="preserve">Also in </w:t>
      </w:r>
      <w:r>
        <w:rPr>
          <w:lang w:val="en-US"/>
        </w:rPr>
        <w:t>February</w:t>
      </w:r>
      <w:r w:rsidRPr="00227BB5">
        <w:rPr>
          <w:lang w:val="en-US"/>
        </w:rPr>
        <w:t xml:space="preserve">, </w:t>
      </w:r>
      <w:r>
        <w:rPr>
          <w:lang w:val="it-IT"/>
        </w:rPr>
        <w:t>there were 3,554</w:t>
      </w:r>
      <w:r w:rsidRPr="00227BB5">
        <w:rPr>
          <w:lang w:val="it-IT"/>
        </w:rPr>
        <w:t xml:space="preserve"> </w:t>
      </w:r>
      <w:r>
        <w:rPr>
          <w:lang w:val="it-IT"/>
        </w:rPr>
        <w:t xml:space="preserve">teamporarily inactive </w:t>
      </w:r>
      <w:r w:rsidRPr="00227BB5">
        <w:rPr>
          <w:lang w:val="en-US"/>
        </w:rPr>
        <w:t xml:space="preserve">enterprises, </w:t>
      </w:r>
      <w:r>
        <w:rPr>
          <w:lang w:val="en-US"/>
        </w:rPr>
        <w:t>down 93.3</w:t>
      </w:r>
      <w:r w:rsidRPr="00227BB5">
        <w:rPr>
          <w:lang w:val="it-IT"/>
        </w:rPr>
        <w:t xml:space="preserve">% </w:t>
      </w:r>
      <w:r w:rsidRPr="00227BB5">
        <w:rPr>
          <w:lang w:val="en-US"/>
        </w:rPr>
        <w:t xml:space="preserve">compared to the previous month and </w:t>
      </w:r>
      <w:r>
        <w:rPr>
          <w:lang w:val="en-US"/>
        </w:rPr>
        <w:t>down 30.9</w:t>
      </w:r>
      <w:r w:rsidRPr="00227BB5">
        <w:rPr>
          <w:lang w:val="it-IT"/>
        </w:rPr>
        <w:t xml:space="preserve">% </w:t>
      </w:r>
      <w:r w:rsidRPr="00227BB5">
        <w:rPr>
          <w:lang w:val="en-US"/>
        </w:rPr>
        <w:t>over the same period in 202</w:t>
      </w:r>
      <w:r>
        <w:rPr>
          <w:lang w:val="en-US"/>
        </w:rPr>
        <w:t>4</w:t>
      </w:r>
      <w:r w:rsidRPr="00227BB5">
        <w:rPr>
          <w:lang w:val="it-IT"/>
        </w:rPr>
        <w:t xml:space="preserve">; </w:t>
      </w:r>
      <w:r>
        <w:rPr>
          <w:lang w:val="it-IT"/>
        </w:rPr>
        <w:t xml:space="preserve">2,971 </w:t>
      </w:r>
      <w:r w:rsidRPr="00227BB5">
        <w:rPr>
          <w:lang w:val="en-US"/>
        </w:rPr>
        <w:t xml:space="preserve">enterprises ceased and awaited dissolution procedures, </w:t>
      </w:r>
      <w:r>
        <w:rPr>
          <w:lang w:val="en-US"/>
        </w:rPr>
        <w:t>down 14.9</w:t>
      </w:r>
      <w:r w:rsidRPr="00227BB5">
        <w:rPr>
          <w:lang w:val="it-IT"/>
        </w:rPr>
        <w:t xml:space="preserve">% </w:t>
      </w:r>
      <w:r w:rsidRPr="00227BB5">
        <w:rPr>
          <w:lang w:val="en-US"/>
        </w:rPr>
        <w:t xml:space="preserve">and </w:t>
      </w:r>
      <w:r>
        <w:rPr>
          <w:lang w:val="en-US"/>
        </w:rPr>
        <w:t>up 38.0</w:t>
      </w:r>
      <w:r w:rsidRPr="00227BB5">
        <w:rPr>
          <w:lang w:val="it-IT"/>
        </w:rPr>
        <w:t xml:space="preserve">%; </w:t>
      </w:r>
      <w:r>
        <w:rPr>
          <w:lang w:val="it-IT"/>
        </w:rPr>
        <w:t>1,737</w:t>
      </w:r>
      <w:r w:rsidRPr="00227BB5">
        <w:rPr>
          <w:lang w:val="it-IT"/>
        </w:rPr>
        <w:t xml:space="preserve"> </w:t>
      </w:r>
      <w:r w:rsidRPr="00227BB5">
        <w:rPr>
          <w:lang w:val="en-US"/>
        </w:rPr>
        <w:t xml:space="preserve">enterprises completed dissolution procedures, </w:t>
      </w:r>
      <w:r>
        <w:rPr>
          <w:lang w:val="en-US"/>
        </w:rPr>
        <w:t>down 14.1</w:t>
      </w:r>
      <w:r w:rsidRPr="00227BB5">
        <w:rPr>
          <w:lang w:val="it-IT"/>
        </w:rPr>
        <w:t xml:space="preserve">% </w:t>
      </w:r>
      <w:r>
        <w:rPr>
          <w:lang w:val="it-IT"/>
        </w:rPr>
        <w:t>and up 44.4%</w:t>
      </w:r>
      <w:r w:rsidRPr="00227BB5">
        <w:rPr>
          <w:lang w:val="it-IT"/>
        </w:rPr>
        <w:t xml:space="preserve">. </w:t>
      </w:r>
    </w:p>
    <w:p w14:paraId="33925816" w14:textId="77777777" w:rsidR="00753A68" w:rsidRDefault="00753A68" w:rsidP="00753A68">
      <w:pPr>
        <w:spacing w:before="40" w:after="40" w:line="283" w:lineRule="auto"/>
        <w:ind w:firstLine="567"/>
        <w:jc w:val="both"/>
        <w:rPr>
          <w:lang w:val="it-IT"/>
        </w:rPr>
      </w:pPr>
      <w:r w:rsidRPr="00227BB5">
        <w:rPr>
          <w:lang w:val="en-US"/>
        </w:rPr>
        <w:t xml:space="preserve">In the </w:t>
      </w:r>
      <w:r>
        <w:rPr>
          <w:lang w:val="en-US"/>
        </w:rPr>
        <w:t>first two</w:t>
      </w:r>
      <w:r w:rsidRPr="00227BB5">
        <w:rPr>
          <w:lang w:val="en-US"/>
        </w:rPr>
        <w:t xml:space="preserve"> months of 202</w:t>
      </w:r>
      <w:r>
        <w:rPr>
          <w:lang w:val="en-US"/>
        </w:rPr>
        <w:t>5</w:t>
      </w:r>
      <w:r w:rsidRPr="00227BB5">
        <w:rPr>
          <w:lang w:val="en-US"/>
        </w:rPr>
        <w:t xml:space="preserve">, </w:t>
      </w:r>
      <w:r>
        <w:rPr>
          <w:lang w:val="en-US"/>
        </w:rPr>
        <w:t xml:space="preserve">there were nearly 56.9 </w:t>
      </w:r>
      <w:r>
        <w:rPr>
          <w:lang w:val="it-IT"/>
        </w:rPr>
        <w:t xml:space="preserve">teamporarily inactive </w:t>
      </w:r>
      <w:r w:rsidRPr="00227BB5">
        <w:rPr>
          <w:lang w:val="en-US"/>
        </w:rPr>
        <w:t xml:space="preserve">enterprises, a </w:t>
      </w:r>
      <w:r>
        <w:rPr>
          <w:lang w:val="en-US"/>
        </w:rPr>
        <w:t xml:space="preserve">year-on-year </w:t>
      </w:r>
      <w:r w:rsidRPr="00227BB5">
        <w:rPr>
          <w:lang w:val="en-US"/>
        </w:rPr>
        <w:t xml:space="preserve">increase of </w:t>
      </w:r>
      <w:r>
        <w:rPr>
          <w:lang w:val="it-IT"/>
        </w:rPr>
        <w:t>15.5%</w:t>
      </w:r>
      <w:r w:rsidRPr="00227BB5">
        <w:rPr>
          <w:lang w:val="en-US"/>
        </w:rPr>
        <w:t xml:space="preserve">; </w:t>
      </w:r>
      <w:r>
        <w:rPr>
          <w:lang w:val="en-US"/>
        </w:rPr>
        <w:t>nearly 6.4</w:t>
      </w:r>
      <w:r w:rsidRPr="00227BB5">
        <w:rPr>
          <w:lang w:val="it-IT"/>
        </w:rPr>
        <w:t xml:space="preserve"> </w:t>
      </w:r>
      <w:r w:rsidRPr="00227BB5">
        <w:rPr>
          <w:lang w:val="en-US"/>
        </w:rPr>
        <w:t xml:space="preserve">thousand enterprises ceased and awaited dissolution procedures, a </w:t>
      </w:r>
      <w:r>
        <w:rPr>
          <w:lang w:val="en-US"/>
        </w:rPr>
        <w:t>decrease</w:t>
      </w:r>
      <w:r w:rsidRPr="00227BB5">
        <w:rPr>
          <w:lang w:val="en-US"/>
        </w:rPr>
        <w:t xml:space="preserve"> of</w:t>
      </w:r>
      <w:r w:rsidRPr="00227BB5">
        <w:rPr>
          <w:lang w:val="it-IT"/>
        </w:rPr>
        <w:t xml:space="preserve"> </w:t>
      </w:r>
      <w:r>
        <w:rPr>
          <w:lang w:val="it-IT"/>
        </w:rPr>
        <w:t>36.3</w:t>
      </w:r>
      <w:r w:rsidRPr="00227BB5">
        <w:rPr>
          <w:lang w:val="it-IT"/>
        </w:rPr>
        <w:t xml:space="preserve">%; </w:t>
      </w:r>
      <w:r>
        <w:rPr>
          <w:lang w:val="it-IT"/>
        </w:rPr>
        <w:t>nearly 3.8</w:t>
      </w:r>
      <w:r w:rsidRPr="00227BB5">
        <w:rPr>
          <w:lang w:val="it-IT"/>
        </w:rPr>
        <w:t xml:space="preserve"> </w:t>
      </w:r>
      <w:r w:rsidRPr="00227BB5">
        <w:rPr>
          <w:lang w:val="en-US"/>
        </w:rPr>
        <w:t xml:space="preserve">thousand enterprises completed dissolution procedures, up </w:t>
      </w:r>
      <w:r>
        <w:rPr>
          <w:lang w:val="it-IT"/>
        </w:rPr>
        <w:t>10.3</w:t>
      </w:r>
      <w:r w:rsidRPr="00227BB5">
        <w:rPr>
          <w:lang w:val="it-IT"/>
        </w:rPr>
        <w:t xml:space="preserve">%. </w:t>
      </w:r>
      <w:r w:rsidRPr="00227BB5">
        <w:rPr>
          <w:lang w:val="en-US"/>
        </w:rPr>
        <w:t xml:space="preserve">On average, </w:t>
      </w:r>
      <w:r>
        <w:rPr>
          <w:lang w:val="it-IT"/>
        </w:rPr>
        <w:t>there were more than 33.5</w:t>
      </w:r>
      <w:r w:rsidRPr="00227BB5">
        <w:rPr>
          <w:lang w:val="it-IT"/>
        </w:rPr>
        <w:t xml:space="preserve"> </w:t>
      </w:r>
      <w:r w:rsidRPr="00227BB5">
        <w:rPr>
          <w:lang w:val="en-US"/>
        </w:rPr>
        <w:t>thousand enterprises withdraw</w:t>
      </w:r>
      <w:r>
        <w:rPr>
          <w:lang w:val="en-US"/>
        </w:rPr>
        <w:t>ing</w:t>
      </w:r>
      <w:r w:rsidRPr="00227BB5">
        <w:rPr>
          <w:lang w:val="en-US"/>
        </w:rPr>
        <w:t xml:space="preserve"> from the market </w:t>
      </w:r>
      <w:r>
        <w:rPr>
          <w:lang w:val="en-US"/>
        </w:rPr>
        <w:t>per</w:t>
      </w:r>
      <w:r w:rsidRPr="00227BB5">
        <w:rPr>
          <w:lang w:val="en-US"/>
        </w:rPr>
        <w:t xml:space="preserve"> month</w:t>
      </w:r>
      <w:r w:rsidRPr="00227BB5">
        <w:rPr>
          <w:lang w:val="it-IT"/>
        </w:rPr>
        <w:t>.</w:t>
      </w:r>
    </w:p>
    <w:p w14:paraId="104A02DC" w14:textId="77777777" w:rsidR="00753A68" w:rsidRPr="00227BB5" w:rsidRDefault="00753A68" w:rsidP="00753A68">
      <w:pPr>
        <w:tabs>
          <w:tab w:val="left" w:pos="6810"/>
        </w:tabs>
        <w:spacing w:before="40" w:after="40" w:line="278" w:lineRule="auto"/>
        <w:jc w:val="center"/>
        <w:rPr>
          <w:rFonts w:ascii="Arial" w:hAnsi="Arial" w:cs="Arial"/>
          <w:b/>
          <w:sz w:val="24"/>
          <w:szCs w:val="20"/>
          <w:lang w:val="it-IT"/>
        </w:rPr>
      </w:pPr>
      <w:r w:rsidRPr="00227BB5">
        <w:rPr>
          <w:rFonts w:ascii="Arial" w:hAnsi="Arial" w:cs="Arial"/>
          <w:b/>
          <w:sz w:val="24"/>
          <w:szCs w:val="20"/>
          <w:lang w:val="it-IT"/>
        </w:rPr>
        <w:lastRenderedPageBreak/>
        <w:t>Table 3: Number of newl</w:t>
      </w:r>
      <w:r>
        <w:rPr>
          <w:rFonts w:ascii="Arial" w:hAnsi="Arial" w:cs="Arial"/>
          <w:b/>
          <w:sz w:val="24"/>
          <w:szCs w:val="20"/>
          <w:lang w:val="it-IT"/>
        </w:rPr>
        <w:t xml:space="preserve">y registered enterprises and </w:t>
      </w:r>
      <w:r w:rsidRPr="00227BB5">
        <w:rPr>
          <w:rFonts w:ascii="Arial" w:hAnsi="Arial" w:cs="Arial"/>
          <w:b/>
          <w:sz w:val="24"/>
          <w:szCs w:val="20"/>
          <w:lang w:val="it-IT"/>
        </w:rPr>
        <w:t xml:space="preserve">completed </w:t>
      </w:r>
      <w:r>
        <w:rPr>
          <w:rFonts w:ascii="Arial" w:hAnsi="Arial" w:cs="Arial"/>
          <w:b/>
          <w:sz w:val="24"/>
          <w:szCs w:val="20"/>
          <w:lang w:val="it-IT"/>
        </w:rPr>
        <w:t xml:space="preserve">                  </w:t>
      </w:r>
      <w:r w:rsidRPr="00227BB5">
        <w:rPr>
          <w:rFonts w:ascii="Arial" w:hAnsi="Arial" w:cs="Arial"/>
          <w:b/>
          <w:sz w:val="24"/>
          <w:szCs w:val="20"/>
          <w:lang w:val="it-IT"/>
        </w:rPr>
        <w:t xml:space="preserve">dissolution procedures in </w:t>
      </w:r>
      <w:r>
        <w:rPr>
          <w:rFonts w:ascii="Arial" w:hAnsi="Arial" w:cs="Arial"/>
          <w:b/>
          <w:sz w:val="24"/>
          <w:szCs w:val="20"/>
          <w:lang w:val="it-IT"/>
        </w:rPr>
        <w:t xml:space="preserve">the first two </w:t>
      </w:r>
      <w:r w:rsidRPr="00227BB5">
        <w:rPr>
          <w:rFonts w:ascii="Arial" w:hAnsi="Arial" w:cs="Arial"/>
          <w:b/>
          <w:sz w:val="24"/>
          <w:szCs w:val="20"/>
          <w:lang w:val="it-IT"/>
        </w:rPr>
        <w:t>months</w:t>
      </w:r>
      <w:r>
        <w:rPr>
          <w:rFonts w:ascii="Arial" w:hAnsi="Arial" w:cs="Arial"/>
          <w:b/>
          <w:sz w:val="24"/>
          <w:szCs w:val="20"/>
          <w:lang w:val="it-IT"/>
        </w:rPr>
        <w:t xml:space="preserve"> of</w:t>
      </w:r>
      <w:r w:rsidRPr="00227BB5">
        <w:rPr>
          <w:rFonts w:ascii="Arial" w:hAnsi="Arial" w:cs="Arial"/>
          <w:b/>
          <w:sz w:val="24"/>
          <w:szCs w:val="20"/>
          <w:lang w:val="it-IT"/>
        </w:rPr>
        <w:t xml:space="preserve"> 202</w:t>
      </w:r>
      <w:r>
        <w:rPr>
          <w:rFonts w:ascii="Arial" w:hAnsi="Arial" w:cs="Arial"/>
          <w:b/>
          <w:sz w:val="24"/>
          <w:szCs w:val="20"/>
          <w:lang w:val="it-IT"/>
        </w:rPr>
        <w:t>5</w:t>
      </w:r>
      <w:r w:rsidRPr="00227BB5">
        <w:rPr>
          <w:rFonts w:ascii="Arial" w:hAnsi="Arial" w:cs="Arial"/>
          <w:b/>
          <w:sz w:val="24"/>
          <w:szCs w:val="20"/>
          <w:lang w:val="it-IT"/>
        </w:rPr>
        <w:t xml:space="preserve">  by kinds of activity</w:t>
      </w:r>
    </w:p>
    <w:p w14:paraId="025C749D" w14:textId="77777777" w:rsidR="00753A68" w:rsidRPr="00227BB5" w:rsidRDefault="00753A68" w:rsidP="00753A68">
      <w:pPr>
        <w:tabs>
          <w:tab w:val="left" w:pos="6810"/>
        </w:tabs>
        <w:spacing w:before="40" w:after="40" w:line="278" w:lineRule="auto"/>
        <w:ind w:firstLine="567"/>
        <w:jc w:val="center"/>
        <w:rPr>
          <w:rFonts w:ascii="Arial" w:hAnsi="Arial" w:cs="Arial"/>
          <w:b/>
          <w:sz w:val="4"/>
          <w:szCs w:val="20"/>
          <w:lang w:val="it-IT"/>
        </w:rPr>
      </w:pPr>
    </w:p>
    <w:tbl>
      <w:tblPr>
        <w:tblW w:w="9198" w:type="dxa"/>
        <w:jc w:val="center"/>
        <w:tblLayout w:type="fixed"/>
        <w:tblLook w:val="04A0" w:firstRow="1" w:lastRow="0" w:firstColumn="1" w:lastColumn="0" w:noHBand="0" w:noVBand="1"/>
      </w:tblPr>
      <w:tblGrid>
        <w:gridCol w:w="3670"/>
        <w:gridCol w:w="1566"/>
        <w:gridCol w:w="1178"/>
        <w:gridCol w:w="1655"/>
        <w:gridCol w:w="1129"/>
      </w:tblGrid>
      <w:tr w:rsidR="00753A68" w:rsidRPr="00227BB5" w14:paraId="603E869D" w14:textId="77777777" w:rsidTr="00C47D68">
        <w:trPr>
          <w:cantSplit/>
          <w:trHeight w:val="576"/>
          <w:jc w:val="center"/>
        </w:trPr>
        <w:tc>
          <w:tcPr>
            <w:tcW w:w="3670" w:type="dxa"/>
            <w:vMerge w:val="restart"/>
            <w:tcBorders>
              <w:top w:val="single" w:sz="4" w:space="0" w:color="auto"/>
            </w:tcBorders>
            <w:shd w:val="clear" w:color="auto" w:fill="auto"/>
            <w:noWrap/>
            <w:vAlign w:val="bottom"/>
            <w:hideMark/>
          </w:tcPr>
          <w:p w14:paraId="2FF2517A" w14:textId="77777777" w:rsidR="00753A68" w:rsidRPr="00227BB5" w:rsidRDefault="00753A68" w:rsidP="00C47D68">
            <w:pPr>
              <w:jc w:val="center"/>
              <w:rPr>
                <w:rFonts w:ascii="Arial" w:hAnsi="Arial" w:cs="Arial"/>
                <w:sz w:val="20"/>
                <w:szCs w:val="20"/>
                <w:lang w:val="it-IT"/>
              </w:rPr>
            </w:pPr>
            <w:r w:rsidRPr="00227BB5">
              <w:rPr>
                <w:rFonts w:ascii="Arial" w:hAnsi="Arial" w:cs="Arial"/>
                <w:sz w:val="20"/>
                <w:szCs w:val="20"/>
                <w:lang w:val="it-IT"/>
              </w:rPr>
              <w:t> </w:t>
            </w:r>
          </w:p>
        </w:tc>
        <w:tc>
          <w:tcPr>
            <w:tcW w:w="2744" w:type="dxa"/>
            <w:gridSpan w:val="2"/>
            <w:tcBorders>
              <w:top w:val="single" w:sz="4" w:space="0" w:color="auto"/>
              <w:bottom w:val="single" w:sz="4" w:space="0" w:color="auto"/>
            </w:tcBorders>
            <w:shd w:val="clear" w:color="auto" w:fill="auto"/>
            <w:vAlign w:val="center"/>
            <w:hideMark/>
          </w:tcPr>
          <w:p w14:paraId="7E2C6FC3" w14:textId="77777777" w:rsidR="00753A68" w:rsidRPr="00227BB5" w:rsidRDefault="00753A68" w:rsidP="00C47D68">
            <w:pPr>
              <w:spacing w:before="40" w:after="40"/>
              <w:jc w:val="center"/>
              <w:rPr>
                <w:rFonts w:ascii="Arial" w:hAnsi="Arial" w:cs="Arial"/>
                <w:bCs/>
                <w:sz w:val="18"/>
                <w:szCs w:val="18"/>
                <w:lang w:val="it-IT"/>
              </w:rPr>
            </w:pPr>
            <w:r w:rsidRPr="00227BB5">
              <w:rPr>
                <w:rFonts w:ascii="Arial" w:hAnsi="Arial" w:cs="Arial"/>
                <w:bCs/>
                <w:color w:val="000000"/>
                <w:sz w:val="18"/>
                <w:szCs w:val="18"/>
                <w:lang w:val="en-US"/>
              </w:rPr>
              <w:t>Number of enterprises (Enterprise)</w:t>
            </w:r>
          </w:p>
        </w:tc>
        <w:tc>
          <w:tcPr>
            <w:tcW w:w="2784" w:type="dxa"/>
            <w:gridSpan w:val="2"/>
            <w:tcBorders>
              <w:top w:val="single" w:sz="4" w:space="0" w:color="auto"/>
              <w:bottom w:val="single" w:sz="4" w:space="0" w:color="auto"/>
            </w:tcBorders>
            <w:shd w:val="clear" w:color="auto" w:fill="auto"/>
            <w:vAlign w:val="center"/>
            <w:hideMark/>
          </w:tcPr>
          <w:p w14:paraId="09C896C3" w14:textId="77777777" w:rsidR="00753A68" w:rsidRDefault="00753A68" w:rsidP="00C47D68">
            <w:pPr>
              <w:spacing w:before="40" w:after="40"/>
              <w:jc w:val="center"/>
              <w:rPr>
                <w:rFonts w:ascii="Arial" w:hAnsi="Arial" w:cs="Arial"/>
                <w:bCs/>
                <w:color w:val="000000"/>
                <w:sz w:val="18"/>
                <w:szCs w:val="18"/>
                <w:lang w:val="en-US"/>
              </w:rPr>
            </w:pPr>
            <w:r w:rsidRPr="00227BB5">
              <w:rPr>
                <w:rFonts w:ascii="Arial" w:hAnsi="Arial" w:cs="Arial"/>
                <w:bCs/>
                <w:color w:val="000000"/>
                <w:sz w:val="18"/>
                <w:szCs w:val="18"/>
              </w:rPr>
              <w:t xml:space="preserve">Growth rate </w:t>
            </w:r>
            <w:r>
              <w:rPr>
                <w:rFonts w:ascii="Arial" w:hAnsi="Arial" w:cs="Arial"/>
                <w:bCs/>
                <w:color w:val="000000"/>
                <w:sz w:val="18"/>
                <w:szCs w:val="18"/>
                <w:lang w:val="en-US"/>
              </w:rPr>
              <w:t>over</w:t>
            </w:r>
          </w:p>
          <w:p w14:paraId="6F4C6152" w14:textId="77777777" w:rsidR="00753A68" w:rsidRPr="00227BB5" w:rsidRDefault="00753A68" w:rsidP="00C47D68">
            <w:pPr>
              <w:spacing w:before="40" w:after="40"/>
              <w:jc w:val="center"/>
              <w:rPr>
                <w:rFonts w:ascii="Arial" w:hAnsi="Arial" w:cs="Arial"/>
                <w:bCs/>
                <w:sz w:val="18"/>
                <w:szCs w:val="18"/>
                <w:lang w:val="it-IT"/>
              </w:rPr>
            </w:pPr>
            <w:r w:rsidRPr="00227BB5">
              <w:rPr>
                <w:rFonts w:ascii="Arial" w:hAnsi="Arial" w:cs="Arial"/>
                <w:bCs/>
                <w:color w:val="000000"/>
                <w:sz w:val="18"/>
                <w:szCs w:val="18"/>
                <w:lang w:val="en-US"/>
              </w:rPr>
              <w:t xml:space="preserve">the same period last year </w:t>
            </w:r>
            <w:r>
              <w:rPr>
                <w:rFonts w:ascii="Arial" w:hAnsi="Arial" w:cs="Arial"/>
                <w:bCs/>
                <w:color w:val="000000"/>
                <w:sz w:val="18"/>
                <w:szCs w:val="18"/>
                <w:lang w:val="en-US"/>
              </w:rPr>
              <w:t>(</w:t>
            </w:r>
            <w:r w:rsidRPr="00227BB5">
              <w:rPr>
                <w:rFonts w:ascii="Arial" w:hAnsi="Arial" w:cs="Arial"/>
                <w:bCs/>
                <w:color w:val="000000"/>
                <w:sz w:val="18"/>
                <w:szCs w:val="18"/>
                <w:lang w:val="en-US"/>
              </w:rPr>
              <w:t>%)</w:t>
            </w:r>
          </w:p>
        </w:tc>
      </w:tr>
      <w:tr w:rsidR="00753A68" w:rsidRPr="00227BB5" w14:paraId="12F75C2B" w14:textId="77777777" w:rsidTr="00C47D68">
        <w:trPr>
          <w:cantSplit/>
          <w:trHeight w:val="570"/>
          <w:jc w:val="center"/>
        </w:trPr>
        <w:tc>
          <w:tcPr>
            <w:tcW w:w="3670" w:type="dxa"/>
            <w:vMerge/>
            <w:vAlign w:val="center"/>
            <w:hideMark/>
          </w:tcPr>
          <w:p w14:paraId="59BF30BE" w14:textId="77777777" w:rsidR="00753A68" w:rsidRPr="00227BB5" w:rsidRDefault="00753A68" w:rsidP="00C47D68">
            <w:pPr>
              <w:rPr>
                <w:rFonts w:ascii="Arial" w:hAnsi="Arial" w:cs="Arial"/>
                <w:sz w:val="20"/>
                <w:szCs w:val="20"/>
                <w:lang w:val="it-IT"/>
              </w:rPr>
            </w:pPr>
          </w:p>
        </w:tc>
        <w:tc>
          <w:tcPr>
            <w:tcW w:w="1566" w:type="dxa"/>
            <w:tcBorders>
              <w:top w:val="single" w:sz="4" w:space="0" w:color="auto"/>
              <w:bottom w:val="single" w:sz="4" w:space="0" w:color="auto"/>
            </w:tcBorders>
            <w:shd w:val="clear" w:color="auto" w:fill="auto"/>
            <w:vAlign w:val="center"/>
            <w:hideMark/>
          </w:tcPr>
          <w:p w14:paraId="16BDBE98" w14:textId="77777777" w:rsidR="00753A68" w:rsidRPr="00227BB5" w:rsidRDefault="00753A68" w:rsidP="00C47D68">
            <w:pPr>
              <w:spacing w:before="60" w:after="60"/>
              <w:jc w:val="center"/>
              <w:rPr>
                <w:rFonts w:ascii="Arial" w:hAnsi="Arial" w:cs="Arial"/>
                <w:bCs/>
                <w:sz w:val="18"/>
                <w:szCs w:val="18"/>
              </w:rPr>
            </w:pPr>
            <w:r w:rsidRPr="00227BB5">
              <w:rPr>
                <w:rFonts w:ascii="Arial" w:hAnsi="Arial" w:cs="Arial"/>
                <w:bCs/>
                <w:color w:val="000000"/>
                <w:sz w:val="18"/>
                <w:szCs w:val="18"/>
                <w:lang w:val="en-US"/>
              </w:rPr>
              <w:t>Newly registered</w:t>
            </w:r>
          </w:p>
        </w:tc>
        <w:tc>
          <w:tcPr>
            <w:tcW w:w="1178" w:type="dxa"/>
            <w:tcBorders>
              <w:top w:val="single" w:sz="4" w:space="0" w:color="auto"/>
              <w:bottom w:val="single" w:sz="4" w:space="0" w:color="auto"/>
            </w:tcBorders>
            <w:shd w:val="clear" w:color="auto" w:fill="auto"/>
            <w:vAlign w:val="center"/>
            <w:hideMark/>
          </w:tcPr>
          <w:p w14:paraId="08459155" w14:textId="77777777" w:rsidR="00753A68" w:rsidRPr="00DC5BDA" w:rsidRDefault="00753A68" w:rsidP="00C47D68">
            <w:pPr>
              <w:spacing w:before="60" w:after="60"/>
              <w:jc w:val="center"/>
              <w:rPr>
                <w:rFonts w:ascii="Arial" w:hAnsi="Arial" w:cs="Arial"/>
                <w:bCs/>
                <w:color w:val="000000"/>
                <w:sz w:val="18"/>
                <w:szCs w:val="18"/>
                <w:lang w:val="en-US"/>
              </w:rPr>
            </w:pPr>
            <w:r w:rsidRPr="00227BB5">
              <w:rPr>
                <w:rFonts w:ascii="Arial" w:hAnsi="Arial" w:cs="Arial"/>
                <w:bCs/>
                <w:color w:val="000000"/>
                <w:sz w:val="18"/>
                <w:szCs w:val="18"/>
                <w:lang w:val="en-US"/>
              </w:rPr>
              <w:t>Dissolution</w:t>
            </w:r>
          </w:p>
        </w:tc>
        <w:tc>
          <w:tcPr>
            <w:tcW w:w="1655" w:type="dxa"/>
            <w:tcBorders>
              <w:top w:val="single" w:sz="4" w:space="0" w:color="auto"/>
              <w:bottom w:val="single" w:sz="4" w:space="0" w:color="auto"/>
            </w:tcBorders>
            <w:shd w:val="clear" w:color="auto" w:fill="auto"/>
            <w:vAlign w:val="center"/>
            <w:hideMark/>
          </w:tcPr>
          <w:p w14:paraId="6FE5219F" w14:textId="77777777" w:rsidR="00753A68" w:rsidRPr="00227BB5" w:rsidRDefault="00753A68" w:rsidP="00C47D68">
            <w:pPr>
              <w:spacing w:before="60" w:after="60"/>
              <w:jc w:val="center"/>
              <w:rPr>
                <w:rFonts w:ascii="Arial" w:hAnsi="Arial" w:cs="Arial"/>
                <w:bCs/>
                <w:sz w:val="18"/>
                <w:szCs w:val="18"/>
              </w:rPr>
            </w:pPr>
            <w:r w:rsidRPr="00227BB5">
              <w:rPr>
                <w:rFonts w:ascii="Arial" w:hAnsi="Arial" w:cs="Arial"/>
                <w:bCs/>
                <w:color w:val="000000"/>
                <w:sz w:val="18"/>
                <w:szCs w:val="18"/>
                <w:lang w:val="en-US"/>
              </w:rPr>
              <w:t>Newly registered</w:t>
            </w:r>
          </w:p>
        </w:tc>
        <w:tc>
          <w:tcPr>
            <w:tcW w:w="1129" w:type="dxa"/>
            <w:tcBorders>
              <w:top w:val="single" w:sz="4" w:space="0" w:color="auto"/>
              <w:bottom w:val="single" w:sz="4" w:space="0" w:color="auto"/>
            </w:tcBorders>
            <w:shd w:val="clear" w:color="auto" w:fill="auto"/>
            <w:vAlign w:val="center"/>
            <w:hideMark/>
          </w:tcPr>
          <w:p w14:paraId="4447D65C" w14:textId="77777777" w:rsidR="00753A68" w:rsidRPr="00DC5BDA" w:rsidRDefault="00753A68" w:rsidP="00C47D68">
            <w:pPr>
              <w:spacing w:before="60" w:after="60"/>
              <w:jc w:val="center"/>
              <w:rPr>
                <w:rFonts w:ascii="Arial" w:hAnsi="Arial" w:cs="Arial"/>
                <w:bCs/>
                <w:color w:val="000000"/>
                <w:sz w:val="18"/>
                <w:szCs w:val="18"/>
                <w:lang w:val="en-US"/>
              </w:rPr>
            </w:pPr>
            <w:r w:rsidRPr="00227BB5">
              <w:rPr>
                <w:rFonts w:ascii="Arial" w:hAnsi="Arial" w:cs="Arial"/>
                <w:bCs/>
                <w:color w:val="000000"/>
                <w:sz w:val="18"/>
                <w:szCs w:val="18"/>
                <w:lang w:val="en-US"/>
              </w:rPr>
              <w:t>Dissolution</w:t>
            </w:r>
          </w:p>
        </w:tc>
      </w:tr>
      <w:tr w:rsidR="00753A68" w:rsidRPr="00227BB5" w14:paraId="3F4DED70" w14:textId="77777777" w:rsidTr="00C47D68">
        <w:trPr>
          <w:cantSplit/>
          <w:jc w:val="center"/>
        </w:trPr>
        <w:tc>
          <w:tcPr>
            <w:tcW w:w="3670" w:type="dxa"/>
            <w:shd w:val="clear" w:color="auto" w:fill="auto"/>
            <w:noWrap/>
            <w:vAlign w:val="bottom"/>
            <w:hideMark/>
          </w:tcPr>
          <w:p w14:paraId="3697A1CF" w14:textId="77777777" w:rsidR="00753A68" w:rsidRPr="00227BB5" w:rsidRDefault="00753A68" w:rsidP="00C47D68">
            <w:pPr>
              <w:spacing w:before="120" w:after="40"/>
              <w:rPr>
                <w:rFonts w:ascii="Arial" w:hAnsi="Arial" w:cs="Arial"/>
                <w:sz w:val="20"/>
                <w:szCs w:val="20"/>
              </w:rPr>
            </w:pPr>
            <w:r w:rsidRPr="00227BB5">
              <w:rPr>
                <w:rFonts w:ascii="Arial" w:hAnsi="Arial" w:cs="Arial"/>
                <w:color w:val="000000"/>
                <w:sz w:val="20"/>
                <w:szCs w:val="20"/>
                <w:lang w:val="en-US"/>
              </w:rPr>
              <w:t>Wholesale and retail trade; repair of motor vehicles and motorcycles</w:t>
            </w:r>
          </w:p>
        </w:tc>
        <w:tc>
          <w:tcPr>
            <w:tcW w:w="1566" w:type="dxa"/>
            <w:tcBorders>
              <w:top w:val="single" w:sz="4" w:space="0" w:color="auto"/>
            </w:tcBorders>
            <w:shd w:val="clear" w:color="auto" w:fill="auto"/>
            <w:noWrap/>
            <w:vAlign w:val="bottom"/>
          </w:tcPr>
          <w:p w14:paraId="722740E9" w14:textId="77777777" w:rsidR="00753A68" w:rsidRPr="00227BB5" w:rsidRDefault="00753A68" w:rsidP="00C47D68">
            <w:pPr>
              <w:spacing w:before="120" w:after="40"/>
              <w:ind w:right="176"/>
              <w:jc w:val="right"/>
              <w:rPr>
                <w:rFonts w:ascii="Arial" w:hAnsi="Arial" w:cs="Arial"/>
                <w:sz w:val="20"/>
                <w:szCs w:val="20"/>
              </w:rPr>
            </w:pPr>
            <w:r>
              <w:rPr>
                <w:rFonts w:ascii="Arial" w:hAnsi="Arial" w:cs="Arial"/>
                <w:sz w:val="20"/>
                <w:szCs w:val="20"/>
              </w:rPr>
              <w:t>7,153</w:t>
            </w:r>
          </w:p>
        </w:tc>
        <w:tc>
          <w:tcPr>
            <w:tcW w:w="1178" w:type="dxa"/>
            <w:tcBorders>
              <w:top w:val="single" w:sz="4" w:space="0" w:color="auto"/>
            </w:tcBorders>
            <w:shd w:val="clear" w:color="auto" w:fill="auto"/>
            <w:noWrap/>
          </w:tcPr>
          <w:p w14:paraId="66F22C1E" w14:textId="77777777" w:rsidR="00753A68" w:rsidRPr="00227BB5" w:rsidRDefault="00753A68" w:rsidP="00C47D68">
            <w:pPr>
              <w:spacing w:before="120" w:after="40"/>
              <w:ind w:right="176"/>
              <w:jc w:val="right"/>
              <w:rPr>
                <w:rFonts w:ascii="Arial" w:hAnsi="Arial" w:cs="Arial"/>
                <w:sz w:val="20"/>
                <w:szCs w:val="20"/>
              </w:rPr>
            </w:pPr>
            <w:r>
              <w:rPr>
                <w:rFonts w:ascii="Arial" w:hAnsi="Arial" w:cs="Arial"/>
                <w:sz w:val="20"/>
                <w:szCs w:val="20"/>
              </w:rPr>
              <w:t>1,392</w:t>
            </w:r>
          </w:p>
        </w:tc>
        <w:tc>
          <w:tcPr>
            <w:tcW w:w="1655" w:type="dxa"/>
            <w:tcBorders>
              <w:top w:val="single" w:sz="4" w:space="0" w:color="auto"/>
            </w:tcBorders>
            <w:shd w:val="clear" w:color="auto" w:fill="auto"/>
            <w:noWrap/>
            <w:vAlign w:val="bottom"/>
          </w:tcPr>
          <w:p w14:paraId="7393764D" w14:textId="77777777" w:rsidR="00753A68" w:rsidRPr="00227BB5" w:rsidRDefault="00753A68" w:rsidP="00C47D68">
            <w:pPr>
              <w:spacing w:before="120" w:after="40"/>
              <w:ind w:right="316"/>
              <w:jc w:val="right"/>
              <w:rPr>
                <w:rFonts w:ascii="Arial" w:hAnsi="Arial" w:cs="Arial"/>
                <w:sz w:val="20"/>
                <w:szCs w:val="20"/>
              </w:rPr>
            </w:pPr>
            <w:r>
              <w:rPr>
                <w:rFonts w:ascii="Arial" w:hAnsi="Arial" w:cs="Arial"/>
                <w:sz w:val="20"/>
                <w:szCs w:val="20"/>
              </w:rPr>
              <w:t>-22.9</w:t>
            </w:r>
          </w:p>
        </w:tc>
        <w:tc>
          <w:tcPr>
            <w:tcW w:w="1129" w:type="dxa"/>
            <w:tcBorders>
              <w:top w:val="single" w:sz="4" w:space="0" w:color="auto"/>
            </w:tcBorders>
            <w:shd w:val="clear" w:color="auto" w:fill="auto"/>
            <w:noWrap/>
            <w:vAlign w:val="bottom"/>
          </w:tcPr>
          <w:p w14:paraId="7B2E6E64" w14:textId="77777777" w:rsidR="00753A68" w:rsidRPr="00227BB5" w:rsidRDefault="00753A68" w:rsidP="00C47D68">
            <w:pPr>
              <w:spacing w:before="120" w:after="40"/>
              <w:ind w:right="176"/>
              <w:jc w:val="right"/>
              <w:rPr>
                <w:rFonts w:ascii="Arial" w:hAnsi="Arial" w:cs="Arial"/>
                <w:sz w:val="20"/>
                <w:szCs w:val="20"/>
              </w:rPr>
            </w:pPr>
            <w:r>
              <w:rPr>
                <w:rFonts w:ascii="Arial" w:hAnsi="Arial" w:cs="Arial"/>
                <w:sz w:val="20"/>
                <w:szCs w:val="20"/>
              </w:rPr>
              <w:t>9.1</w:t>
            </w:r>
          </w:p>
        </w:tc>
      </w:tr>
      <w:tr w:rsidR="00753A68" w:rsidRPr="00227BB5" w14:paraId="27096FEF" w14:textId="77777777" w:rsidTr="00C47D68">
        <w:trPr>
          <w:cantSplit/>
          <w:jc w:val="center"/>
        </w:trPr>
        <w:tc>
          <w:tcPr>
            <w:tcW w:w="3670" w:type="dxa"/>
            <w:shd w:val="clear" w:color="auto" w:fill="auto"/>
            <w:noWrap/>
            <w:vAlign w:val="bottom"/>
            <w:hideMark/>
          </w:tcPr>
          <w:p w14:paraId="2B9AA5F3" w14:textId="77777777" w:rsidR="00753A68" w:rsidRPr="00227BB5" w:rsidRDefault="00753A68" w:rsidP="00C47D68">
            <w:pPr>
              <w:spacing w:before="120" w:after="40"/>
              <w:rPr>
                <w:rFonts w:ascii="Arial" w:hAnsi="Arial" w:cs="Arial"/>
                <w:sz w:val="20"/>
                <w:szCs w:val="20"/>
              </w:rPr>
            </w:pPr>
            <w:r w:rsidRPr="00227BB5">
              <w:rPr>
                <w:rFonts w:ascii="Arial" w:hAnsi="Arial" w:cs="Arial"/>
                <w:color w:val="000000"/>
                <w:sz w:val="20"/>
                <w:szCs w:val="20"/>
                <w:lang w:val="en-US"/>
              </w:rPr>
              <w:t>Manufacturing</w:t>
            </w:r>
          </w:p>
        </w:tc>
        <w:tc>
          <w:tcPr>
            <w:tcW w:w="1566" w:type="dxa"/>
            <w:shd w:val="clear" w:color="auto" w:fill="auto"/>
            <w:noWrap/>
          </w:tcPr>
          <w:p w14:paraId="66DD20F5" w14:textId="77777777" w:rsidR="00753A68" w:rsidRPr="00227BB5" w:rsidRDefault="00753A68" w:rsidP="00C47D68">
            <w:pPr>
              <w:spacing w:before="120" w:after="40"/>
              <w:ind w:right="176"/>
              <w:jc w:val="right"/>
              <w:rPr>
                <w:rFonts w:ascii="Arial" w:hAnsi="Arial" w:cs="Arial"/>
                <w:sz w:val="20"/>
                <w:szCs w:val="20"/>
              </w:rPr>
            </w:pPr>
            <w:r>
              <w:rPr>
                <w:rFonts w:ascii="Arial" w:hAnsi="Arial" w:cs="Arial"/>
                <w:sz w:val="20"/>
                <w:szCs w:val="20"/>
              </w:rPr>
              <w:t>2,641</w:t>
            </w:r>
          </w:p>
        </w:tc>
        <w:tc>
          <w:tcPr>
            <w:tcW w:w="1178" w:type="dxa"/>
            <w:shd w:val="clear" w:color="auto" w:fill="auto"/>
            <w:noWrap/>
          </w:tcPr>
          <w:p w14:paraId="4C46545C" w14:textId="77777777" w:rsidR="00753A68" w:rsidRPr="00227BB5" w:rsidRDefault="00753A68" w:rsidP="00C47D68">
            <w:pPr>
              <w:spacing w:before="120" w:after="40"/>
              <w:ind w:right="176"/>
              <w:jc w:val="right"/>
              <w:rPr>
                <w:rFonts w:ascii="Arial" w:hAnsi="Arial" w:cs="Arial"/>
                <w:sz w:val="20"/>
                <w:szCs w:val="20"/>
              </w:rPr>
            </w:pPr>
            <w:r>
              <w:rPr>
                <w:rFonts w:ascii="Arial" w:hAnsi="Arial" w:cs="Arial"/>
                <w:sz w:val="20"/>
                <w:szCs w:val="20"/>
              </w:rPr>
              <w:t>430</w:t>
            </w:r>
          </w:p>
        </w:tc>
        <w:tc>
          <w:tcPr>
            <w:tcW w:w="1655" w:type="dxa"/>
            <w:shd w:val="clear" w:color="auto" w:fill="auto"/>
            <w:noWrap/>
            <w:vAlign w:val="bottom"/>
          </w:tcPr>
          <w:p w14:paraId="411F22D7" w14:textId="77777777" w:rsidR="00753A68" w:rsidRPr="00227BB5" w:rsidRDefault="00753A68" w:rsidP="00C47D68">
            <w:pPr>
              <w:spacing w:before="120" w:after="40"/>
              <w:ind w:right="316"/>
              <w:jc w:val="right"/>
              <w:rPr>
                <w:rFonts w:ascii="Arial" w:hAnsi="Arial" w:cs="Arial"/>
                <w:sz w:val="20"/>
                <w:szCs w:val="20"/>
              </w:rPr>
            </w:pPr>
            <w:r>
              <w:rPr>
                <w:rFonts w:ascii="Arial" w:hAnsi="Arial" w:cs="Arial"/>
                <w:sz w:val="20"/>
                <w:szCs w:val="20"/>
              </w:rPr>
              <w:t>-2.6</w:t>
            </w:r>
          </w:p>
        </w:tc>
        <w:tc>
          <w:tcPr>
            <w:tcW w:w="1129" w:type="dxa"/>
            <w:shd w:val="clear" w:color="auto" w:fill="auto"/>
            <w:noWrap/>
            <w:vAlign w:val="bottom"/>
          </w:tcPr>
          <w:p w14:paraId="62886EA4" w14:textId="77777777" w:rsidR="00753A68" w:rsidRPr="00227BB5" w:rsidRDefault="00753A68" w:rsidP="00C47D68">
            <w:pPr>
              <w:spacing w:before="120" w:after="40"/>
              <w:ind w:right="176"/>
              <w:jc w:val="right"/>
              <w:rPr>
                <w:rFonts w:ascii="Arial" w:hAnsi="Arial" w:cs="Arial"/>
                <w:sz w:val="20"/>
                <w:szCs w:val="20"/>
              </w:rPr>
            </w:pPr>
            <w:r>
              <w:rPr>
                <w:rFonts w:ascii="Arial" w:hAnsi="Arial" w:cs="Arial"/>
                <w:sz w:val="20"/>
                <w:szCs w:val="20"/>
              </w:rPr>
              <w:t>13.8</w:t>
            </w:r>
          </w:p>
        </w:tc>
      </w:tr>
      <w:tr w:rsidR="00753A68" w:rsidRPr="00227BB5" w14:paraId="51A5077D" w14:textId="77777777" w:rsidTr="00C47D68">
        <w:trPr>
          <w:cantSplit/>
          <w:jc w:val="center"/>
        </w:trPr>
        <w:tc>
          <w:tcPr>
            <w:tcW w:w="3670" w:type="dxa"/>
            <w:shd w:val="clear" w:color="auto" w:fill="auto"/>
            <w:noWrap/>
            <w:vAlign w:val="bottom"/>
            <w:hideMark/>
          </w:tcPr>
          <w:p w14:paraId="3017DBF2" w14:textId="77777777" w:rsidR="00753A68" w:rsidRPr="00227BB5" w:rsidRDefault="00753A68" w:rsidP="00C47D68">
            <w:pPr>
              <w:spacing w:before="120" w:after="40"/>
              <w:rPr>
                <w:rFonts w:ascii="Arial" w:hAnsi="Arial" w:cs="Arial"/>
                <w:sz w:val="20"/>
                <w:szCs w:val="20"/>
              </w:rPr>
            </w:pPr>
            <w:r w:rsidRPr="00227BB5">
              <w:rPr>
                <w:rFonts w:ascii="Arial" w:hAnsi="Arial" w:cs="Arial"/>
                <w:color w:val="000000"/>
                <w:sz w:val="20"/>
                <w:szCs w:val="20"/>
                <w:lang w:val="en-US"/>
              </w:rPr>
              <w:t>Construction</w:t>
            </w:r>
          </w:p>
        </w:tc>
        <w:tc>
          <w:tcPr>
            <w:tcW w:w="1566" w:type="dxa"/>
            <w:shd w:val="clear" w:color="auto" w:fill="auto"/>
            <w:noWrap/>
          </w:tcPr>
          <w:p w14:paraId="1E5DAEA1" w14:textId="77777777" w:rsidR="00753A68" w:rsidRPr="00227BB5" w:rsidRDefault="00753A68" w:rsidP="00C47D68">
            <w:pPr>
              <w:spacing w:before="120" w:after="40"/>
              <w:ind w:right="176"/>
              <w:jc w:val="right"/>
              <w:rPr>
                <w:rFonts w:ascii="Arial" w:hAnsi="Arial" w:cs="Arial"/>
                <w:sz w:val="20"/>
                <w:szCs w:val="20"/>
              </w:rPr>
            </w:pPr>
            <w:r>
              <w:rPr>
                <w:rFonts w:ascii="Arial" w:hAnsi="Arial" w:cs="Arial"/>
                <w:sz w:val="20"/>
                <w:szCs w:val="20"/>
              </w:rPr>
              <w:t>1,923</w:t>
            </w:r>
          </w:p>
        </w:tc>
        <w:tc>
          <w:tcPr>
            <w:tcW w:w="1178" w:type="dxa"/>
            <w:shd w:val="clear" w:color="auto" w:fill="auto"/>
            <w:noWrap/>
          </w:tcPr>
          <w:p w14:paraId="0B01168E" w14:textId="77777777" w:rsidR="00753A68" w:rsidRPr="00227BB5" w:rsidRDefault="00753A68" w:rsidP="00C47D68">
            <w:pPr>
              <w:spacing w:before="120" w:after="40"/>
              <w:ind w:right="176"/>
              <w:jc w:val="right"/>
              <w:rPr>
                <w:rFonts w:ascii="Arial" w:hAnsi="Arial" w:cs="Arial"/>
                <w:sz w:val="20"/>
                <w:szCs w:val="20"/>
              </w:rPr>
            </w:pPr>
            <w:r>
              <w:rPr>
                <w:rFonts w:ascii="Arial" w:hAnsi="Arial" w:cs="Arial"/>
                <w:sz w:val="20"/>
                <w:szCs w:val="20"/>
              </w:rPr>
              <w:t>261</w:t>
            </w:r>
          </w:p>
        </w:tc>
        <w:tc>
          <w:tcPr>
            <w:tcW w:w="1655" w:type="dxa"/>
            <w:shd w:val="clear" w:color="auto" w:fill="auto"/>
            <w:noWrap/>
            <w:vAlign w:val="bottom"/>
          </w:tcPr>
          <w:p w14:paraId="43CB04AD" w14:textId="77777777" w:rsidR="00753A68" w:rsidRPr="00227BB5" w:rsidRDefault="00753A68" w:rsidP="00C47D68">
            <w:pPr>
              <w:spacing w:before="120" w:after="40"/>
              <w:ind w:right="316"/>
              <w:jc w:val="right"/>
              <w:rPr>
                <w:rFonts w:ascii="Arial" w:hAnsi="Arial" w:cs="Arial"/>
                <w:sz w:val="20"/>
                <w:szCs w:val="20"/>
              </w:rPr>
            </w:pPr>
            <w:r>
              <w:rPr>
                <w:rFonts w:ascii="Arial" w:hAnsi="Arial" w:cs="Arial"/>
                <w:sz w:val="20"/>
                <w:szCs w:val="20"/>
              </w:rPr>
              <w:t>-21.1</w:t>
            </w:r>
          </w:p>
        </w:tc>
        <w:tc>
          <w:tcPr>
            <w:tcW w:w="1129" w:type="dxa"/>
            <w:shd w:val="clear" w:color="auto" w:fill="auto"/>
            <w:noWrap/>
            <w:vAlign w:val="bottom"/>
          </w:tcPr>
          <w:p w14:paraId="5E7F3870" w14:textId="77777777" w:rsidR="00753A68" w:rsidRPr="00227BB5" w:rsidRDefault="00753A68" w:rsidP="00C47D68">
            <w:pPr>
              <w:spacing w:before="120" w:after="40"/>
              <w:ind w:right="176"/>
              <w:jc w:val="right"/>
              <w:rPr>
                <w:rFonts w:ascii="Arial" w:hAnsi="Arial" w:cs="Arial"/>
                <w:sz w:val="20"/>
                <w:szCs w:val="20"/>
              </w:rPr>
            </w:pPr>
            <w:r>
              <w:rPr>
                <w:rFonts w:ascii="Arial" w:hAnsi="Arial" w:cs="Arial"/>
                <w:sz w:val="20"/>
                <w:szCs w:val="20"/>
              </w:rPr>
              <w:t>4.8</w:t>
            </w:r>
          </w:p>
        </w:tc>
      </w:tr>
      <w:tr w:rsidR="00753A68" w:rsidRPr="00227BB5" w14:paraId="19A60A27" w14:textId="77777777" w:rsidTr="00C47D68">
        <w:trPr>
          <w:cantSplit/>
          <w:jc w:val="center"/>
        </w:trPr>
        <w:tc>
          <w:tcPr>
            <w:tcW w:w="3670" w:type="dxa"/>
            <w:shd w:val="clear" w:color="auto" w:fill="auto"/>
            <w:noWrap/>
            <w:vAlign w:val="bottom"/>
            <w:hideMark/>
          </w:tcPr>
          <w:p w14:paraId="431D2857" w14:textId="77777777" w:rsidR="00753A68" w:rsidRPr="00227BB5" w:rsidRDefault="00753A68" w:rsidP="00C47D68">
            <w:pPr>
              <w:spacing w:before="120" w:after="40"/>
              <w:rPr>
                <w:rFonts w:ascii="Arial" w:hAnsi="Arial" w:cs="Arial"/>
                <w:sz w:val="20"/>
                <w:szCs w:val="20"/>
              </w:rPr>
            </w:pPr>
            <w:r w:rsidRPr="00227BB5">
              <w:rPr>
                <w:rFonts w:ascii="Arial" w:hAnsi="Arial" w:cs="Arial"/>
                <w:color w:val="000000"/>
                <w:sz w:val="20"/>
                <w:szCs w:val="20"/>
                <w:lang w:val="en-US"/>
              </w:rPr>
              <w:t>Real estate business</w:t>
            </w:r>
          </w:p>
        </w:tc>
        <w:tc>
          <w:tcPr>
            <w:tcW w:w="1566" w:type="dxa"/>
            <w:shd w:val="clear" w:color="auto" w:fill="auto"/>
            <w:noWrap/>
          </w:tcPr>
          <w:p w14:paraId="50A17AF4" w14:textId="77777777" w:rsidR="00753A68" w:rsidRPr="00227BB5" w:rsidRDefault="00753A68" w:rsidP="00C47D68">
            <w:pPr>
              <w:spacing w:before="120" w:after="40"/>
              <w:ind w:right="176"/>
              <w:jc w:val="right"/>
              <w:rPr>
                <w:rFonts w:ascii="Arial" w:hAnsi="Arial" w:cs="Arial"/>
                <w:sz w:val="20"/>
                <w:szCs w:val="20"/>
              </w:rPr>
            </w:pPr>
            <w:r>
              <w:rPr>
                <w:rFonts w:ascii="Arial" w:hAnsi="Arial" w:cs="Arial"/>
                <w:sz w:val="20"/>
                <w:szCs w:val="20"/>
              </w:rPr>
              <w:t>492</w:t>
            </w:r>
          </w:p>
        </w:tc>
        <w:tc>
          <w:tcPr>
            <w:tcW w:w="1178" w:type="dxa"/>
            <w:shd w:val="clear" w:color="auto" w:fill="auto"/>
            <w:noWrap/>
          </w:tcPr>
          <w:p w14:paraId="5DF6CB50" w14:textId="77777777" w:rsidR="00753A68" w:rsidRPr="00227BB5" w:rsidRDefault="00753A68" w:rsidP="00C47D68">
            <w:pPr>
              <w:spacing w:before="120" w:after="40"/>
              <w:ind w:right="176"/>
              <w:jc w:val="right"/>
              <w:rPr>
                <w:rFonts w:ascii="Arial" w:hAnsi="Arial" w:cs="Arial"/>
                <w:sz w:val="20"/>
                <w:szCs w:val="20"/>
              </w:rPr>
            </w:pPr>
            <w:r>
              <w:rPr>
                <w:rFonts w:ascii="Arial" w:hAnsi="Arial" w:cs="Arial"/>
                <w:sz w:val="20"/>
                <w:szCs w:val="20"/>
              </w:rPr>
              <w:t>230</w:t>
            </w:r>
          </w:p>
        </w:tc>
        <w:tc>
          <w:tcPr>
            <w:tcW w:w="1655" w:type="dxa"/>
            <w:shd w:val="clear" w:color="auto" w:fill="auto"/>
            <w:noWrap/>
            <w:vAlign w:val="bottom"/>
          </w:tcPr>
          <w:p w14:paraId="5FE2B2BF" w14:textId="77777777" w:rsidR="00753A68" w:rsidRPr="00227BB5" w:rsidRDefault="00753A68" w:rsidP="00C47D68">
            <w:pPr>
              <w:spacing w:before="120" w:after="40"/>
              <w:ind w:right="316"/>
              <w:jc w:val="right"/>
              <w:rPr>
                <w:rFonts w:ascii="Arial" w:hAnsi="Arial" w:cs="Arial"/>
                <w:sz w:val="20"/>
                <w:szCs w:val="20"/>
              </w:rPr>
            </w:pPr>
            <w:r>
              <w:rPr>
                <w:rFonts w:ascii="Arial" w:hAnsi="Arial" w:cs="Arial"/>
                <w:sz w:val="20"/>
                <w:szCs w:val="20"/>
              </w:rPr>
              <w:t>-9.7</w:t>
            </w:r>
          </w:p>
        </w:tc>
        <w:tc>
          <w:tcPr>
            <w:tcW w:w="1129" w:type="dxa"/>
            <w:shd w:val="clear" w:color="auto" w:fill="auto"/>
            <w:noWrap/>
            <w:vAlign w:val="bottom"/>
          </w:tcPr>
          <w:p w14:paraId="16F03ECD" w14:textId="77777777" w:rsidR="00753A68" w:rsidRPr="00227BB5" w:rsidRDefault="00753A68" w:rsidP="00C47D68">
            <w:pPr>
              <w:spacing w:before="120" w:after="40"/>
              <w:ind w:right="176"/>
              <w:jc w:val="right"/>
              <w:rPr>
                <w:rFonts w:ascii="Arial" w:hAnsi="Arial" w:cs="Arial"/>
                <w:sz w:val="20"/>
                <w:szCs w:val="20"/>
              </w:rPr>
            </w:pPr>
            <w:r>
              <w:rPr>
                <w:rFonts w:ascii="Arial" w:hAnsi="Arial" w:cs="Arial"/>
                <w:sz w:val="20"/>
                <w:szCs w:val="20"/>
              </w:rPr>
              <w:t>2.7</w:t>
            </w:r>
          </w:p>
        </w:tc>
      </w:tr>
      <w:tr w:rsidR="00753A68" w:rsidRPr="00227BB5" w14:paraId="24104A9C" w14:textId="77777777" w:rsidTr="00C47D68">
        <w:trPr>
          <w:cantSplit/>
          <w:jc w:val="center"/>
        </w:trPr>
        <w:tc>
          <w:tcPr>
            <w:tcW w:w="3670" w:type="dxa"/>
            <w:shd w:val="clear" w:color="auto" w:fill="auto"/>
            <w:noWrap/>
            <w:vAlign w:val="bottom"/>
            <w:hideMark/>
          </w:tcPr>
          <w:p w14:paraId="11E03F2E" w14:textId="77777777" w:rsidR="00753A68" w:rsidRPr="00227BB5" w:rsidRDefault="00753A68" w:rsidP="00C47D68">
            <w:pPr>
              <w:spacing w:before="120" w:after="40"/>
              <w:rPr>
                <w:rFonts w:ascii="Arial" w:hAnsi="Arial" w:cs="Arial"/>
                <w:sz w:val="20"/>
                <w:szCs w:val="20"/>
              </w:rPr>
            </w:pPr>
            <w:r w:rsidRPr="00227BB5">
              <w:rPr>
                <w:rFonts w:ascii="Arial" w:hAnsi="Arial" w:cs="Arial"/>
                <w:color w:val="000000"/>
                <w:sz w:val="20"/>
                <w:szCs w:val="20"/>
                <w:lang w:val="en-US"/>
              </w:rPr>
              <w:t>Transportation and storage</w:t>
            </w:r>
          </w:p>
        </w:tc>
        <w:tc>
          <w:tcPr>
            <w:tcW w:w="1566" w:type="dxa"/>
            <w:shd w:val="clear" w:color="auto" w:fill="auto"/>
            <w:noWrap/>
          </w:tcPr>
          <w:p w14:paraId="62E48659" w14:textId="77777777" w:rsidR="00753A68" w:rsidRPr="00227BB5" w:rsidRDefault="00753A68" w:rsidP="00C47D68">
            <w:pPr>
              <w:spacing w:before="120" w:after="40"/>
              <w:ind w:right="176"/>
              <w:jc w:val="right"/>
              <w:rPr>
                <w:rFonts w:ascii="Arial" w:hAnsi="Arial" w:cs="Arial"/>
                <w:sz w:val="20"/>
                <w:szCs w:val="20"/>
              </w:rPr>
            </w:pPr>
            <w:r>
              <w:rPr>
                <w:rFonts w:ascii="Arial" w:hAnsi="Arial" w:cs="Arial"/>
                <w:sz w:val="20"/>
                <w:szCs w:val="20"/>
              </w:rPr>
              <w:t>1,050</w:t>
            </w:r>
          </w:p>
        </w:tc>
        <w:tc>
          <w:tcPr>
            <w:tcW w:w="1178" w:type="dxa"/>
            <w:shd w:val="clear" w:color="auto" w:fill="auto"/>
            <w:noWrap/>
          </w:tcPr>
          <w:p w14:paraId="7402FED6" w14:textId="77777777" w:rsidR="00753A68" w:rsidRPr="00227BB5" w:rsidRDefault="00753A68" w:rsidP="00C47D68">
            <w:pPr>
              <w:spacing w:before="120" w:after="40"/>
              <w:ind w:right="176"/>
              <w:jc w:val="right"/>
              <w:rPr>
                <w:rFonts w:ascii="Arial" w:hAnsi="Arial" w:cs="Arial"/>
                <w:sz w:val="20"/>
                <w:szCs w:val="20"/>
              </w:rPr>
            </w:pPr>
            <w:r>
              <w:rPr>
                <w:rFonts w:ascii="Arial" w:hAnsi="Arial" w:cs="Arial"/>
                <w:sz w:val="20"/>
                <w:szCs w:val="20"/>
              </w:rPr>
              <w:t>146</w:t>
            </w:r>
          </w:p>
        </w:tc>
        <w:tc>
          <w:tcPr>
            <w:tcW w:w="1655" w:type="dxa"/>
            <w:shd w:val="clear" w:color="auto" w:fill="auto"/>
            <w:noWrap/>
            <w:vAlign w:val="bottom"/>
          </w:tcPr>
          <w:p w14:paraId="31F75745" w14:textId="77777777" w:rsidR="00753A68" w:rsidRPr="00227BB5" w:rsidRDefault="00753A68" w:rsidP="00C47D68">
            <w:pPr>
              <w:spacing w:before="120" w:after="40"/>
              <w:ind w:right="316"/>
              <w:jc w:val="right"/>
              <w:rPr>
                <w:rFonts w:ascii="Arial" w:hAnsi="Arial" w:cs="Arial"/>
                <w:sz w:val="20"/>
                <w:szCs w:val="20"/>
              </w:rPr>
            </w:pPr>
            <w:r>
              <w:rPr>
                <w:rFonts w:ascii="Arial" w:hAnsi="Arial" w:cs="Arial"/>
                <w:sz w:val="20"/>
                <w:szCs w:val="20"/>
              </w:rPr>
              <w:t>-9.6</w:t>
            </w:r>
          </w:p>
        </w:tc>
        <w:tc>
          <w:tcPr>
            <w:tcW w:w="1129" w:type="dxa"/>
            <w:shd w:val="clear" w:color="auto" w:fill="auto"/>
            <w:noWrap/>
            <w:vAlign w:val="bottom"/>
          </w:tcPr>
          <w:p w14:paraId="78DBD1E6" w14:textId="77777777" w:rsidR="00753A68" w:rsidRPr="00227BB5" w:rsidRDefault="00753A68" w:rsidP="00C47D68">
            <w:pPr>
              <w:spacing w:before="120" w:after="40"/>
              <w:ind w:right="176"/>
              <w:jc w:val="right"/>
              <w:rPr>
                <w:rFonts w:ascii="Arial" w:hAnsi="Arial" w:cs="Arial"/>
                <w:sz w:val="20"/>
                <w:szCs w:val="20"/>
              </w:rPr>
            </w:pPr>
            <w:r>
              <w:rPr>
                <w:rFonts w:ascii="Arial" w:hAnsi="Arial" w:cs="Arial"/>
                <w:sz w:val="20"/>
                <w:szCs w:val="20"/>
              </w:rPr>
              <w:t>7.4</w:t>
            </w:r>
          </w:p>
        </w:tc>
      </w:tr>
      <w:tr w:rsidR="00753A68" w:rsidRPr="00227BB5" w14:paraId="39970F19" w14:textId="77777777" w:rsidTr="00C47D68">
        <w:trPr>
          <w:cantSplit/>
          <w:jc w:val="center"/>
        </w:trPr>
        <w:tc>
          <w:tcPr>
            <w:tcW w:w="3670" w:type="dxa"/>
            <w:shd w:val="clear" w:color="auto" w:fill="auto"/>
            <w:noWrap/>
            <w:vAlign w:val="bottom"/>
            <w:hideMark/>
          </w:tcPr>
          <w:p w14:paraId="200B056F" w14:textId="77777777" w:rsidR="00753A68" w:rsidRPr="00227BB5" w:rsidRDefault="00753A68" w:rsidP="00C47D68">
            <w:pPr>
              <w:spacing w:before="120" w:after="40"/>
              <w:rPr>
                <w:rFonts w:ascii="Arial" w:hAnsi="Arial" w:cs="Arial"/>
                <w:sz w:val="20"/>
                <w:szCs w:val="20"/>
              </w:rPr>
            </w:pPr>
            <w:r w:rsidRPr="00227BB5">
              <w:rPr>
                <w:rFonts w:ascii="Arial" w:hAnsi="Arial" w:cs="Arial"/>
                <w:color w:val="000000"/>
                <w:sz w:val="20"/>
                <w:szCs w:val="20"/>
                <w:lang w:val="en-US"/>
              </w:rPr>
              <w:t>Accommodation and catering service</w:t>
            </w:r>
          </w:p>
        </w:tc>
        <w:tc>
          <w:tcPr>
            <w:tcW w:w="1566" w:type="dxa"/>
            <w:shd w:val="clear" w:color="auto" w:fill="auto"/>
            <w:noWrap/>
          </w:tcPr>
          <w:p w14:paraId="61DC4718" w14:textId="77777777" w:rsidR="00753A68" w:rsidRPr="00227BB5" w:rsidRDefault="00753A68" w:rsidP="00C47D68">
            <w:pPr>
              <w:spacing w:before="120" w:after="40"/>
              <w:ind w:right="176"/>
              <w:jc w:val="right"/>
              <w:rPr>
                <w:rFonts w:ascii="Arial" w:hAnsi="Arial" w:cs="Arial"/>
                <w:sz w:val="20"/>
                <w:szCs w:val="20"/>
              </w:rPr>
            </w:pPr>
            <w:r>
              <w:rPr>
                <w:rFonts w:ascii="Arial" w:hAnsi="Arial" w:cs="Arial"/>
                <w:sz w:val="20"/>
                <w:szCs w:val="20"/>
              </w:rPr>
              <w:t>600</w:t>
            </w:r>
          </w:p>
        </w:tc>
        <w:tc>
          <w:tcPr>
            <w:tcW w:w="1178" w:type="dxa"/>
            <w:shd w:val="clear" w:color="auto" w:fill="auto"/>
            <w:noWrap/>
          </w:tcPr>
          <w:p w14:paraId="5AA04067" w14:textId="77777777" w:rsidR="00753A68" w:rsidRPr="00227BB5" w:rsidRDefault="00753A68" w:rsidP="00C47D68">
            <w:pPr>
              <w:spacing w:before="120" w:after="40"/>
              <w:ind w:right="176"/>
              <w:jc w:val="right"/>
              <w:rPr>
                <w:rFonts w:ascii="Arial" w:hAnsi="Arial" w:cs="Arial"/>
                <w:sz w:val="20"/>
                <w:szCs w:val="20"/>
              </w:rPr>
            </w:pPr>
            <w:r>
              <w:rPr>
                <w:rFonts w:ascii="Arial" w:hAnsi="Arial" w:cs="Arial"/>
                <w:sz w:val="20"/>
                <w:szCs w:val="20"/>
              </w:rPr>
              <w:t>188</w:t>
            </w:r>
          </w:p>
        </w:tc>
        <w:tc>
          <w:tcPr>
            <w:tcW w:w="1655" w:type="dxa"/>
            <w:shd w:val="clear" w:color="auto" w:fill="auto"/>
            <w:noWrap/>
            <w:vAlign w:val="bottom"/>
          </w:tcPr>
          <w:p w14:paraId="50D3A3B5" w14:textId="77777777" w:rsidR="00753A68" w:rsidRPr="00227BB5" w:rsidRDefault="00753A68" w:rsidP="00C47D68">
            <w:pPr>
              <w:spacing w:before="120" w:after="40"/>
              <w:ind w:right="316"/>
              <w:jc w:val="right"/>
              <w:rPr>
                <w:rFonts w:ascii="Arial" w:hAnsi="Arial" w:cs="Arial"/>
                <w:sz w:val="20"/>
                <w:szCs w:val="20"/>
              </w:rPr>
            </w:pPr>
            <w:r>
              <w:rPr>
                <w:rFonts w:ascii="Arial" w:hAnsi="Arial" w:cs="Arial"/>
                <w:sz w:val="20"/>
                <w:szCs w:val="20"/>
              </w:rPr>
              <w:t>-33.4</w:t>
            </w:r>
          </w:p>
        </w:tc>
        <w:tc>
          <w:tcPr>
            <w:tcW w:w="1129" w:type="dxa"/>
            <w:shd w:val="clear" w:color="auto" w:fill="auto"/>
            <w:noWrap/>
            <w:vAlign w:val="bottom"/>
          </w:tcPr>
          <w:p w14:paraId="623C2CFF" w14:textId="77777777" w:rsidR="00753A68" w:rsidRPr="00227BB5" w:rsidRDefault="00753A68" w:rsidP="00C47D68">
            <w:pPr>
              <w:spacing w:before="120" w:after="40"/>
              <w:ind w:right="176"/>
              <w:jc w:val="right"/>
              <w:rPr>
                <w:rFonts w:ascii="Arial" w:hAnsi="Arial" w:cs="Arial"/>
                <w:sz w:val="20"/>
                <w:szCs w:val="20"/>
              </w:rPr>
            </w:pPr>
            <w:r>
              <w:rPr>
                <w:rFonts w:ascii="Arial" w:hAnsi="Arial" w:cs="Arial"/>
                <w:sz w:val="20"/>
                <w:szCs w:val="20"/>
              </w:rPr>
              <w:t>23.7</w:t>
            </w:r>
          </w:p>
        </w:tc>
      </w:tr>
      <w:tr w:rsidR="00753A68" w:rsidRPr="00227BB5" w14:paraId="0CF4654F" w14:textId="77777777" w:rsidTr="00C47D68">
        <w:trPr>
          <w:cantSplit/>
          <w:jc w:val="center"/>
        </w:trPr>
        <w:tc>
          <w:tcPr>
            <w:tcW w:w="3670" w:type="dxa"/>
            <w:tcBorders>
              <w:bottom w:val="single" w:sz="4" w:space="0" w:color="auto"/>
            </w:tcBorders>
            <w:shd w:val="clear" w:color="auto" w:fill="auto"/>
            <w:noWrap/>
            <w:vAlign w:val="bottom"/>
          </w:tcPr>
          <w:p w14:paraId="732B1177" w14:textId="77777777" w:rsidR="00753A68" w:rsidRPr="00227BB5" w:rsidRDefault="00753A68" w:rsidP="00C47D68">
            <w:pPr>
              <w:spacing w:before="120" w:after="40"/>
              <w:rPr>
                <w:rFonts w:ascii="Arial" w:hAnsi="Arial" w:cs="Arial"/>
                <w:sz w:val="20"/>
                <w:szCs w:val="20"/>
              </w:rPr>
            </w:pPr>
            <w:r w:rsidRPr="00227BB5">
              <w:rPr>
                <w:rFonts w:ascii="Arial" w:hAnsi="Arial" w:cs="Arial"/>
                <w:color w:val="000000"/>
                <w:sz w:val="20"/>
                <w:szCs w:val="20"/>
                <w:lang w:val="en-US"/>
              </w:rPr>
              <w:t>Production and distribution of electricity, water, gas</w:t>
            </w:r>
          </w:p>
        </w:tc>
        <w:tc>
          <w:tcPr>
            <w:tcW w:w="1566" w:type="dxa"/>
            <w:tcBorders>
              <w:bottom w:val="single" w:sz="4" w:space="0" w:color="auto"/>
            </w:tcBorders>
            <w:shd w:val="clear" w:color="auto" w:fill="auto"/>
            <w:noWrap/>
          </w:tcPr>
          <w:p w14:paraId="5649E4D6" w14:textId="77777777" w:rsidR="00753A68" w:rsidRPr="00227BB5" w:rsidRDefault="00753A68" w:rsidP="00C47D68">
            <w:pPr>
              <w:spacing w:before="120" w:after="40"/>
              <w:ind w:right="176"/>
              <w:jc w:val="right"/>
              <w:rPr>
                <w:rFonts w:ascii="Arial" w:hAnsi="Arial" w:cs="Arial"/>
                <w:sz w:val="20"/>
                <w:szCs w:val="20"/>
              </w:rPr>
            </w:pPr>
            <w:r>
              <w:rPr>
                <w:rFonts w:ascii="Arial" w:hAnsi="Arial" w:cs="Arial"/>
                <w:sz w:val="20"/>
                <w:szCs w:val="20"/>
              </w:rPr>
              <w:t>146</w:t>
            </w:r>
          </w:p>
        </w:tc>
        <w:tc>
          <w:tcPr>
            <w:tcW w:w="1178" w:type="dxa"/>
            <w:tcBorders>
              <w:bottom w:val="single" w:sz="4" w:space="0" w:color="auto"/>
            </w:tcBorders>
            <w:shd w:val="clear" w:color="auto" w:fill="auto"/>
            <w:noWrap/>
          </w:tcPr>
          <w:p w14:paraId="6BDCC114" w14:textId="77777777" w:rsidR="00753A68" w:rsidRPr="00227BB5" w:rsidRDefault="00753A68" w:rsidP="00C47D68">
            <w:pPr>
              <w:spacing w:before="120" w:after="40"/>
              <w:ind w:right="176"/>
              <w:jc w:val="right"/>
              <w:rPr>
                <w:rFonts w:ascii="Arial" w:hAnsi="Arial" w:cs="Arial"/>
                <w:sz w:val="20"/>
                <w:szCs w:val="20"/>
              </w:rPr>
            </w:pPr>
            <w:r>
              <w:rPr>
                <w:rFonts w:ascii="Arial" w:hAnsi="Arial" w:cs="Arial"/>
                <w:sz w:val="20"/>
                <w:szCs w:val="20"/>
              </w:rPr>
              <w:t>42</w:t>
            </w:r>
          </w:p>
        </w:tc>
        <w:tc>
          <w:tcPr>
            <w:tcW w:w="1655" w:type="dxa"/>
            <w:tcBorders>
              <w:bottom w:val="single" w:sz="4" w:space="0" w:color="auto"/>
            </w:tcBorders>
            <w:shd w:val="clear" w:color="auto" w:fill="auto"/>
            <w:noWrap/>
            <w:vAlign w:val="bottom"/>
          </w:tcPr>
          <w:p w14:paraId="0EE80638" w14:textId="77777777" w:rsidR="00753A68" w:rsidRPr="00227BB5" w:rsidRDefault="00753A68" w:rsidP="00C47D68">
            <w:pPr>
              <w:spacing w:before="120" w:after="40"/>
              <w:ind w:right="316"/>
              <w:jc w:val="right"/>
              <w:rPr>
                <w:rFonts w:ascii="Arial" w:hAnsi="Arial" w:cs="Arial"/>
                <w:sz w:val="20"/>
                <w:szCs w:val="20"/>
              </w:rPr>
            </w:pPr>
            <w:r>
              <w:rPr>
                <w:rFonts w:ascii="Arial" w:hAnsi="Arial" w:cs="Arial"/>
                <w:sz w:val="20"/>
                <w:szCs w:val="20"/>
              </w:rPr>
              <w:t>-11.0</w:t>
            </w:r>
          </w:p>
        </w:tc>
        <w:tc>
          <w:tcPr>
            <w:tcW w:w="1129" w:type="dxa"/>
            <w:tcBorders>
              <w:bottom w:val="single" w:sz="4" w:space="0" w:color="auto"/>
            </w:tcBorders>
            <w:shd w:val="clear" w:color="auto" w:fill="auto"/>
            <w:noWrap/>
            <w:vAlign w:val="bottom"/>
          </w:tcPr>
          <w:p w14:paraId="76433FD2" w14:textId="77777777" w:rsidR="00753A68" w:rsidRPr="00227BB5" w:rsidRDefault="00753A68" w:rsidP="00C47D68">
            <w:pPr>
              <w:spacing w:before="120" w:after="40"/>
              <w:ind w:right="176"/>
              <w:jc w:val="right"/>
              <w:rPr>
                <w:rFonts w:ascii="Arial" w:hAnsi="Arial" w:cs="Arial"/>
                <w:sz w:val="20"/>
                <w:szCs w:val="20"/>
              </w:rPr>
            </w:pPr>
            <w:r>
              <w:rPr>
                <w:rFonts w:ascii="Arial" w:hAnsi="Arial" w:cs="Arial"/>
                <w:sz w:val="20"/>
                <w:szCs w:val="20"/>
              </w:rPr>
              <w:t>-8.7</w:t>
            </w:r>
          </w:p>
        </w:tc>
      </w:tr>
    </w:tbl>
    <w:p w14:paraId="6185C765" w14:textId="1F2EEE34" w:rsidR="00667D6B" w:rsidRPr="00EF2439" w:rsidRDefault="00667D6B" w:rsidP="00753A68">
      <w:pPr>
        <w:spacing w:beforeLines="40" w:before="96" w:afterLines="40" w:after="96" w:line="264" w:lineRule="auto"/>
        <w:rPr>
          <w:b/>
          <w:bCs/>
          <w:sz w:val="10"/>
          <w:szCs w:val="10"/>
        </w:rPr>
      </w:pPr>
    </w:p>
    <w:p w14:paraId="793A093C" w14:textId="77777777" w:rsidR="00753A68" w:rsidRPr="00C30E94" w:rsidRDefault="00753A68" w:rsidP="00753A68">
      <w:pPr>
        <w:spacing w:after="120" w:line="264" w:lineRule="auto"/>
        <w:ind w:firstLine="720"/>
        <w:jc w:val="both"/>
        <w:rPr>
          <w:b/>
          <w:bCs/>
          <w:lang w:val="af-ZA"/>
        </w:rPr>
      </w:pPr>
      <w:r w:rsidRPr="00C30E94">
        <w:rPr>
          <w:b/>
          <w:bCs/>
          <w:lang w:val="af-ZA"/>
        </w:rPr>
        <w:t>4. Investment</w:t>
      </w:r>
    </w:p>
    <w:p w14:paraId="4281434D" w14:textId="77777777" w:rsidR="00753A68" w:rsidRPr="00C30E94" w:rsidRDefault="00753A68" w:rsidP="00753A68">
      <w:pPr>
        <w:spacing w:after="120" w:line="264" w:lineRule="auto"/>
        <w:ind w:firstLine="720"/>
        <w:jc w:val="both"/>
        <w:rPr>
          <w:bCs/>
          <w:i/>
          <w:lang w:val="en-US"/>
        </w:rPr>
      </w:pPr>
      <w:r w:rsidRPr="00C30E94">
        <w:rPr>
          <w:i/>
          <w:lang w:val="nl-NL"/>
        </w:rPr>
        <w:t>Right after the Lunar New Year holiday,</w:t>
      </w:r>
      <w:r w:rsidRPr="00C30E94">
        <w:rPr>
          <w:i/>
          <w:lang w:val="it-IT"/>
        </w:rPr>
        <w:t xml:space="preserve"> </w:t>
      </w:r>
      <w:r w:rsidRPr="00C30E94">
        <w:rPr>
          <w:bCs/>
          <w:i/>
          <w:lang w:val="nl-NL"/>
        </w:rPr>
        <w:t xml:space="preserve">Ministries, branches and localities have </w:t>
      </w:r>
      <w:r w:rsidRPr="00C30E94">
        <w:rPr>
          <w:i/>
          <w:lang w:val="nl-NL"/>
        </w:rPr>
        <w:t xml:space="preserve">focused on implementing work, accelerating the progress of investment projects </w:t>
      </w:r>
      <w:r w:rsidRPr="00C30E94">
        <w:rPr>
          <w:i/>
          <w:lang w:val="it-IT"/>
        </w:rPr>
        <w:t xml:space="preserve">from the State budget </w:t>
      </w:r>
      <w:r w:rsidRPr="00C30E94">
        <w:rPr>
          <w:i/>
          <w:lang w:val="nl-NL"/>
        </w:rPr>
        <w:t xml:space="preserve">, especially transitional projects. In the </w:t>
      </w:r>
      <w:r w:rsidRPr="00C30E94">
        <w:rPr>
          <w:i/>
          <w:lang w:val="it-IT"/>
        </w:rPr>
        <w:t xml:space="preserve">first two months of 2025, the investment capital implemented from the State budget is estimated at 8.5% of the annual plan, up 21.7% over the same period last year. Foreign direct investment (FDI) implemented in Vietnam in the first two months of 2025 is estimated at 2.95 billion USD, up 5.4% over the same period last year </w:t>
      </w:r>
      <w:r w:rsidRPr="00C30E94">
        <w:rPr>
          <w:i/>
          <w:iCs/>
          <w:lang w:val="de-DE"/>
        </w:rPr>
        <w:t>.</w:t>
      </w:r>
    </w:p>
    <w:p w14:paraId="73FFA83A" w14:textId="77777777" w:rsidR="00753A68" w:rsidRPr="00C30E94" w:rsidRDefault="00753A68" w:rsidP="00753A68">
      <w:pPr>
        <w:spacing w:after="120" w:line="264" w:lineRule="auto"/>
        <w:ind w:firstLine="720"/>
        <w:jc w:val="both"/>
        <w:rPr>
          <w:lang w:val="af-ZA"/>
        </w:rPr>
      </w:pPr>
      <w:r w:rsidRPr="00C30E94">
        <w:rPr>
          <w:lang w:val="af-ZA"/>
        </w:rPr>
        <w:t>Realized investment capital from the State budget in February is estimated at VND 37.9 trillion, up 36.5% over the same period last year, including: Centrally managed capital reached 5.5 trillion</w:t>
      </w:r>
      <w:r>
        <w:rPr>
          <w:lang w:val="af-ZA"/>
        </w:rPr>
        <w:t xml:space="preserve"> </w:t>
      </w:r>
      <w:r w:rsidRPr="00C30E94">
        <w:rPr>
          <w:lang w:val="af-ZA"/>
        </w:rPr>
        <w:t>VND, up 20.1%; locally managed capital reached 32.4 trillion</w:t>
      </w:r>
      <w:r>
        <w:rPr>
          <w:lang w:val="af-ZA"/>
        </w:rPr>
        <w:t xml:space="preserve"> </w:t>
      </w:r>
      <w:r w:rsidRPr="00C30E94">
        <w:rPr>
          <w:lang w:val="af-ZA"/>
        </w:rPr>
        <w:t>VND, up 39.8%. In the first two months of 2025, the total realized investment capital from the State budget is estimated at 73.2 trillion</w:t>
      </w:r>
      <w:r>
        <w:rPr>
          <w:lang w:val="af-ZA"/>
        </w:rPr>
        <w:t xml:space="preserve"> </w:t>
      </w:r>
      <w:r w:rsidRPr="00C30E94">
        <w:rPr>
          <w:lang w:val="af-ZA"/>
        </w:rPr>
        <w:t>VND, equal to 8.5% of the annual plan and up 21.7% over the same period last year (the same period in 2024 was equal to 7.7% and up 2.6%). Specifically:</w:t>
      </w:r>
    </w:p>
    <w:p w14:paraId="31E5AF4F" w14:textId="77777777" w:rsidR="00753A68" w:rsidRPr="00C30E94" w:rsidRDefault="00753A68" w:rsidP="00753A68">
      <w:pPr>
        <w:spacing w:after="120" w:line="264" w:lineRule="auto"/>
        <w:ind w:firstLine="720"/>
        <w:jc w:val="both"/>
        <w:rPr>
          <w:lang w:val="af-ZA"/>
        </w:rPr>
      </w:pPr>
      <w:r w:rsidRPr="00C30E94">
        <w:rPr>
          <w:bCs/>
          <w:iCs/>
          <w:lang w:val="af-ZA"/>
        </w:rPr>
        <w:t xml:space="preserve">- </w:t>
      </w:r>
      <w:r w:rsidRPr="00C30E94">
        <w:rPr>
          <w:lang w:val="af-ZA"/>
        </w:rPr>
        <w:t xml:space="preserve">The investment capital implemented under the central management is estimated at 10.2 trillion VND, equal to 7.8% of the annual plan and up 8.6% over the same period last year. Of which, the Ministry of Transport reached 5.9 trillion VND, down 4.2%; the Ministry of Agriculture and Rural Development reached 1.5 trillion VND, up 99.3%; the Ministry of Health reached 329.3 billion VND, 3.8 times higher; the Ministry of Education and Training reached 161.6 billion VND, up 89.1%; the Ministry of Culture, Sports and Tourism reached 104.9 billion VND, up 56.5%; the Ministry of Natural Resources and </w:t>
      </w:r>
      <w:r w:rsidRPr="00C30E94">
        <w:rPr>
          <w:lang w:val="af-ZA"/>
        </w:rPr>
        <w:lastRenderedPageBreak/>
        <w:t>Environment reached 69.2 billion VND, up 18.6%; the Ministry of Information and Communications reached 40.4 billion VND, up 54.9%.</w:t>
      </w:r>
    </w:p>
    <w:p w14:paraId="53833573" w14:textId="77777777" w:rsidR="00753A68" w:rsidRPr="00C30E94" w:rsidRDefault="00753A68" w:rsidP="00753A68">
      <w:pPr>
        <w:spacing w:after="120" w:line="264" w:lineRule="auto"/>
        <w:ind w:firstLine="720"/>
        <w:jc w:val="both"/>
        <w:rPr>
          <w:bCs/>
          <w:iCs/>
          <w:spacing w:val="-2"/>
          <w:lang w:val="af-ZA"/>
        </w:rPr>
      </w:pPr>
      <w:r w:rsidRPr="00C30E94">
        <w:rPr>
          <w:bCs/>
          <w:iCs/>
          <w:spacing w:val="-2"/>
          <w:lang w:val="af-ZA"/>
        </w:rPr>
        <w:t>- Realized investment capital managed by localities is estimated at nearly 63.0 trillion VND, equal to 8.6% of the annual plan and up 24.2% over the same period last year, of which:</w:t>
      </w:r>
    </w:p>
    <w:p w14:paraId="6BA66F1E" w14:textId="77777777" w:rsidR="00753A68" w:rsidRPr="00C30E94" w:rsidRDefault="00753A68" w:rsidP="00753A68">
      <w:pPr>
        <w:spacing w:after="120" w:line="264" w:lineRule="auto"/>
        <w:ind w:firstLine="720"/>
        <w:jc w:val="both"/>
        <w:rPr>
          <w:bCs/>
          <w:iCs/>
          <w:lang w:val="af-ZA"/>
        </w:rPr>
      </w:pPr>
      <w:r w:rsidRPr="00C30E94">
        <w:rPr>
          <w:bCs/>
          <w:iCs/>
          <w:lang w:val="af-ZA"/>
        </w:rPr>
        <w:t>Provincial State budget capital reached 41.1 trillion VND, equal to 7.8% and increased by 23.7% over the same period in 2024;</w:t>
      </w:r>
    </w:p>
    <w:p w14:paraId="6B01B2C7" w14:textId="77777777" w:rsidR="00753A68" w:rsidRPr="00C30E94" w:rsidRDefault="00753A68" w:rsidP="00753A68">
      <w:pPr>
        <w:pStyle w:val="ListParagraph"/>
        <w:spacing w:after="120" w:line="264" w:lineRule="auto"/>
        <w:ind w:left="0" w:firstLine="720"/>
        <w:contextualSpacing w:val="0"/>
        <w:jc w:val="both"/>
        <w:rPr>
          <w:bCs/>
          <w:iCs/>
          <w:lang w:val="af-ZA"/>
        </w:rPr>
      </w:pPr>
      <w:r w:rsidRPr="00C30E94">
        <w:rPr>
          <w:bCs/>
          <w:iCs/>
          <w:lang w:val="af-ZA"/>
        </w:rPr>
        <w:t>District-level state budget capital reached 18.9 trillion VND, equal to 10.5% and increased by 25.2%;</w:t>
      </w:r>
    </w:p>
    <w:p w14:paraId="3B347740" w14:textId="77777777" w:rsidR="00753A68" w:rsidRPr="00AE15B0" w:rsidRDefault="00753A68" w:rsidP="00753A68">
      <w:pPr>
        <w:pStyle w:val="ListParagraph"/>
        <w:spacing w:after="120" w:line="264" w:lineRule="auto"/>
        <w:ind w:left="0" w:firstLine="720"/>
        <w:contextualSpacing w:val="0"/>
        <w:jc w:val="both"/>
        <w:rPr>
          <w:bCs/>
          <w:iCs/>
          <w:lang w:val="af-ZA"/>
        </w:rPr>
      </w:pPr>
      <w:r w:rsidRPr="00C30E94">
        <w:rPr>
          <w:bCs/>
          <w:iCs/>
          <w:lang w:val="af-ZA"/>
        </w:rPr>
        <w:t>State budget capital at commune level reached ne</w:t>
      </w:r>
      <w:r>
        <w:rPr>
          <w:bCs/>
          <w:iCs/>
          <w:lang w:val="af-ZA"/>
        </w:rPr>
        <w:t xml:space="preserve">arly 3.0 trillion VND, equal to </w:t>
      </w:r>
      <w:r w:rsidRPr="00C30E94">
        <w:rPr>
          <w:bCs/>
          <w:iCs/>
          <w:lang w:val="af-ZA"/>
        </w:rPr>
        <w:t xml:space="preserve">11.8% and </w:t>
      </w:r>
      <w:r w:rsidRPr="00AE15B0">
        <w:rPr>
          <w:bCs/>
          <w:iCs/>
          <w:lang w:val="af-ZA"/>
        </w:rPr>
        <w:t>increased by 24.4%.</w:t>
      </w:r>
    </w:p>
    <w:p w14:paraId="66CFAEEF" w14:textId="77777777" w:rsidR="00753A68" w:rsidRPr="00C30E94" w:rsidRDefault="00753A68" w:rsidP="00753A68">
      <w:pPr>
        <w:spacing w:after="120" w:line="264" w:lineRule="auto"/>
        <w:ind w:firstLine="720"/>
        <w:jc w:val="both"/>
        <w:rPr>
          <w:rFonts w:ascii="Arial" w:hAnsi="Arial" w:cs="Arial"/>
          <w:b/>
          <w:bCs/>
          <w:sz w:val="24"/>
          <w:szCs w:val="24"/>
          <w:lang w:val="af-ZA"/>
        </w:rPr>
      </w:pPr>
      <w:r w:rsidRPr="00C30E94">
        <w:rPr>
          <w:bCs/>
          <w:iCs/>
          <w:lang w:val="af-ZA"/>
        </w:rPr>
        <w:t>Investment capital implemented from the State budget in the first two months of 2025 of a number of provinces and centrally run cities is as follows:</w:t>
      </w:r>
    </w:p>
    <w:p w14:paraId="4876FB1D" w14:textId="77777777" w:rsidR="00753A68" w:rsidRPr="00C30E94" w:rsidRDefault="00753A68" w:rsidP="00753A68">
      <w:pPr>
        <w:spacing w:line="276" w:lineRule="auto"/>
        <w:jc w:val="center"/>
        <w:rPr>
          <w:rFonts w:ascii="Arial" w:hAnsi="Arial" w:cs="Arial"/>
          <w:b/>
          <w:bCs/>
          <w:sz w:val="24"/>
          <w:szCs w:val="24"/>
          <w:lang w:val="af-ZA"/>
        </w:rPr>
      </w:pPr>
      <w:r w:rsidRPr="00C30E94">
        <w:rPr>
          <w:rFonts w:ascii="Arial" w:hAnsi="Arial" w:cs="Arial"/>
          <w:b/>
          <w:bCs/>
          <w:sz w:val="24"/>
          <w:szCs w:val="24"/>
          <w:lang w:val="af-ZA"/>
        </w:rPr>
        <w:t>Figure 6. Investment capital implemented from the State budget</w:t>
      </w:r>
    </w:p>
    <w:p w14:paraId="178C5DC8" w14:textId="77777777" w:rsidR="00753A68" w:rsidRDefault="00753A68" w:rsidP="00753A68">
      <w:pPr>
        <w:spacing w:line="276" w:lineRule="auto"/>
        <w:jc w:val="center"/>
        <w:rPr>
          <w:rFonts w:ascii="Arial" w:hAnsi="Arial" w:cs="Arial"/>
          <w:b/>
          <w:bCs/>
          <w:sz w:val="24"/>
          <w:szCs w:val="24"/>
          <w:lang w:val="af-ZA"/>
        </w:rPr>
      </w:pPr>
      <w:r>
        <w:rPr>
          <w:rFonts w:ascii="Arial" w:hAnsi="Arial" w:cs="Arial"/>
          <w:b/>
          <w:bCs/>
          <w:sz w:val="24"/>
          <w:szCs w:val="24"/>
          <w:lang w:val="af-ZA"/>
        </w:rPr>
        <w:t xml:space="preserve"> of t</w:t>
      </w:r>
      <w:r w:rsidRPr="00C30E94">
        <w:rPr>
          <w:rFonts w:ascii="Arial" w:hAnsi="Arial" w:cs="Arial"/>
          <w:b/>
          <w:bCs/>
          <w:sz w:val="24"/>
          <w:szCs w:val="24"/>
          <w:lang w:val="af-ZA"/>
        </w:rPr>
        <w:t>he first 2 months of the year in some localities</w:t>
      </w:r>
    </w:p>
    <w:p w14:paraId="7EF677C0" w14:textId="77777777" w:rsidR="00753A68" w:rsidRPr="00C30E94" w:rsidRDefault="00753A68" w:rsidP="00753A68">
      <w:pPr>
        <w:spacing w:line="276" w:lineRule="auto"/>
        <w:jc w:val="center"/>
        <w:rPr>
          <w:rFonts w:ascii="Arial" w:hAnsi="Arial" w:cs="Arial"/>
          <w:b/>
          <w:bCs/>
          <w:sz w:val="24"/>
          <w:szCs w:val="24"/>
          <w:lang w:val="af-ZA"/>
        </w:rPr>
      </w:pPr>
      <w:r>
        <w:rPr>
          <w:noProof/>
          <w:lang w:val="en-US"/>
        </w:rPr>
        <w:drawing>
          <wp:inline distT="0" distB="0" distL="0" distR="0" wp14:anchorId="675EA32F" wp14:editId="34A74324">
            <wp:extent cx="5943600" cy="3476625"/>
            <wp:effectExtent l="0" t="0" r="0" b="9525"/>
            <wp:docPr id="13" name="Chart 13">
              <a:extLst xmlns:a="http://schemas.openxmlformats.org/drawingml/2006/main">
                <a:ext uri="{FF2B5EF4-FFF2-40B4-BE49-F238E27FC236}">
                  <a16:creationId xmlns:a16="http://schemas.microsoft.com/office/drawing/2014/main" id="{EE42F345-6161-4C82-9435-1CFA3A5BC0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05D067F" w14:textId="77777777" w:rsidR="00753A68" w:rsidRPr="00C30E94" w:rsidRDefault="00753A68" w:rsidP="00753A68">
      <w:pPr>
        <w:spacing w:line="276" w:lineRule="auto"/>
        <w:jc w:val="center"/>
        <w:rPr>
          <w:rFonts w:ascii="Arial" w:hAnsi="Arial" w:cs="Arial"/>
          <w:b/>
          <w:bCs/>
          <w:sz w:val="24"/>
          <w:szCs w:val="24"/>
          <w:lang w:val="af-ZA"/>
        </w:rPr>
      </w:pPr>
    </w:p>
    <w:p w14:paraId="1BCF18D2" w14:textId="77777777" w:rsidR="00753A68" w:rsidRDefault="00753A68" w:rsidP="00753A68">
      <w:pPr>
        <w:spacing w:after="120" w:line="264" w:lineRule="auto"/>
        <w:ind w:firstLine="720"/>
        <w:jc w:val="both"/>
        <w:rPr>
          <w:iCs/>
          <w:lang w:val="de-DE"/>
        </w:rPr>
      </w:pPr>
      <w:r w:rsidRPr="00C30E94">
        <w:rPr>
          <w:i/>
          <w:iCs/>
          <w:lang w:val="de-DE"/>
        </w:rPr>
        <w:t>Total foreign investment capital registered in Vietnam</w:t>
      </w:r>
      <w:r w:rsidRPr="00C30E94">
        <w:rPr>
          <w:rStyle w:val="FootnoteReference"/>
          <w:rFonts w:eastAsiaTheme="majorEastAsia"/>
          <w:i/>
          <w:iCs/>
          <w:lang w:val="de-DE"/>
        </w:rPr>
        <w:footnoteReference w:id="12"/>
      </w:r>
      <w:r w:rsidRPr="00C30E94">
        <w:rPr>
          <w:i/>
          <w:iCs/>
          <w:lang w:val="de-DE"/>
        </w:rPr>
        <w:t xml:space="preserve"> </w:t>
      </w:r>
      <w:r w:rsidRPr="00C30E94">
        <w:rPr>
          <w:iCs/>
          <w:lang w:val="de-DE"/>
        </w:rPr>
        <w:t>The first two months of 2025 included: Newly registered capital, adjusted registered capital and capital contribution and share purchase value of foreign investors reached nearly 6.90 billion USD, up 35.5% over the same period last year.</w:t>
      </w:r>
    </w:p>
    <w:p w14:paraId="72F7EC3B" w14:textId="77777777" w:rsidR="00753A68" w:rsidRPr="00C30E94" w:rsidRDefault="00753A68" w:rsidP="00753A68">
      <w:pPr>
        <w:spacing w:after="120" w:line="264" w:lineRule="auto"/>
        <w:ind w:firstLine="720"/>
        <w:jc w:val="both"/>
        <w:rPr>
          <w:iCs/>
          <w:lang w:val="de-DE"/>
        </w:rPr>
      </w:pPr>
      <w:r>
        <w:rPr>
          <w:noProof/>
          <w:lang w:val="en-US"/>
        </w:rPr>
        <w:lastRenderedPageBreak/>
        <w:drawing>
          <wp:inline distT="0" distB="0" distL="0" distR="0" wp14:anchorId="0FC77E05" wp14:editId="733A334C">
            <wp:extent cx="5286376" cy="3524250"/>
            <wp:effectExtent l="0" t="0" r="9525" b="0"/>
            <wp:docPr id="14" name="Chart 14">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2E7943" w14:textId="77777777" w:rsidR="00753A68" w:rsidRPr="00C30E94" w:rsidRDefault="00753A68" w:rsidP="00753A68">
      <w:pPr>
        <w:spacing w:after="120" w:line="264" w:lineRule="auto"/>
        <w:ind w:firstLine="720"/>
        <w:jc w:val="both"/>
        <w:rPr>
          <w:iCs/>
          <w:spacing w:val="-2"/>
          <w:lang w:val="de-DE"/>
        </w:rPr>
      </w:pPr>
      <w:r w:rsidRPr="00C30E94">
        <w:rPr>
          <w:b/>
          <w:bCs/>
          <w:noProof/>
        </w:rPr>
        <w:softHyphen/>
      </w:r>
      <w:r w:rsidRPr="00C30E94">
        <w:rPr>
          <w:b/>
          <w:bCs/>
          <w:noProof/>
        </w:rPr>
        <w:softHyphen/>
      </w:r>
      <w:r w:rsidRPr="00C30E94">
        <w:rPr>
          <w:b/>
          <w:bCs/>
          <w:noProof/>
        </w:rPr>
        <w:softHyphen/>
      </w:r>
      <w:r w:rsidRPr="00C30E94">
        <w:rPr>
          <w:iCs/>
          <w:spacing w:val="-2"/>
          <w:lang w:val="de-DE"/>
        </w:rPr>
        <w:t>- Newly registered capital has 516 licensed projects with registered capital reaching 2.19 billion USD, an increase of 10.0% over the same period last year in terms of number of projects and a decrease of 48.4% in terms of registered capital. Of which, the processing and manufacturing industry is the one with the largest newly licensed foreign direct investment with registered capital reaching 1.45 billion USD, accounting for 66.1% of the total newly registered capital; real estate business activities reached 371.5 million USD, accounting for 16.9%; the remaining industries reached 371.8 million USD, accounting for 17.0%.</w:t>
      </w:r>
    </w:p>
    <w:p w14:paraId="0DEED37D" w14:textId="77777777" w:rsidR="00753A68" w:rsidRPr="00C30E94" w:rsidRDefault="00753A68" w:rsidP="00753A68">
      <w:pPr>
        <w:spacing w:after="120" w:line="264" w:lineRule="auto"/>
        <w:ind w:firstLine="720"/>
        <w:jc w:val="both"/>
        <w:rPr>
          <w:iCs/>
          <w:lang w:val="de-DE"/>
        </w:rPr>
      </w:pPr>
      <w:r w:rsidRPr="00C30E94">
        <w:rPr>
          <w:iCs/>
          <w:lang w:val="de-DE"/>
        </w:rPr>
        <w:t xml:space="preserve">Among the 44 countries and territories with newly licensed investment projects in Vietnam in the first two months of 2025, China is the largest investor with 679.8 million USD, accounting for 31.0% of the total newly registered capital; followed by Singapore with </w:t>
      </w:r>
      <w:r w:rsidRPr="00C30E94">
        <w:rPr>
          <w:iCs/>
        </w:rPr>
        <w:t xml:space="preserve">450.7 </w:t>
      </w:r>
      <w:r w:rsidRPr="00C30E94">
        <w:rPr>
          <w:iCs/>
          <w:lang w:val="de-DE"/>
        </w:rPr>
        <w:t>million USD, accounting for 20.6%; Hong Kong Special Administrative Region (China); Japan with 253.3 million USD, accounting for 11.5%; British Virgin Islands with 163.7 million USD, accounting for 7.5</w:t>
      </w:r>
      <w:r w:rsidRPr="00C30E94">
        <w:rPr>
          <w:iCs/>
        </w:rPr>
        <w:t xml:space="preserve">% </w:t>
      </w:r>
      <w:r w:rsidRPr="00C30E94">
        <w:rPr>
          <w:iCs/>
          <w:lang w:val="de-DE"/>
        </w:rPr>
        <w:t xml:space="preserve">; the United States </w:t>
      </w:r>
      <w:r w:rsidRPr="00C30E94">
        <w:rPr>
          <w:iCs/>
        </w:rPr>
        <w:t xml:space="preserve">with 107.9 </w:t>
      </w:r>
      <w:r w:rsidRPr="00C30E94">
        <w:rPr>
          <w:iCs/>
          <w:lang w:val="de-DE"/>
        </w:rPr>
        <w:t>million USD, accounting for 4.9%; and Japan with 104.1 million USD, accounting for 4.8%.</w:t>
      </w:r>
    </w:p>
    <w:p w14:paraId="1E341537" w14:textId="77777777" w:rsidR="00753A68" w:rsidRPr="00C30E94" w:rsidRDefault="00753A68" w:rsidP="00753A68">
      <w:pPr>
        <w:spacing w:after="120" w:line="264" w:lineRule="auto"/>
        <w:ind w:firstLine="720"/>
        <w:jc w:val="both"/>
        <w:rPr>
          <w:iCs/>
          <w:lang w:val="de-DE"/>
        </w:rPr>
      </w:pPr>
      <w:r w:rsidRPr="00C30E94">
        <w:rPr>
          <w:iCs/>
          <w:lang w:val="de-DE"/>
        </w:rPr>
        <w:t>- Adjusted registered capital: 256 licensed projects from previous years registered to adjust investment capital by an additional 4.18 billion USD, 6 times higher than the same period last year.</w:t>
      </w:r>
    </w:p>
    <w:p w14:paraId="4F1E984D" w14:textId="77777777" w:rsidR="00753A68" w:rsidRPr="00C30E94" w:rsidRDefault="00753A68" w:rsidP="00753A68">
      <w:pPr>
        <w:spacing w:after="120" w:line="264" w:lineRule="auto"/>
        <w:ind w:firstLine="720"/>
        <w:jc w:val="both"/>
        <w:rPr>
          <w:iCs/>
          <w:lang w:val="de-DE"/>
        </w:rPr>
      </w:pPr>
      <w:r w:rsidRPr="00C30E94">
        <w:rPr>
          <w:iCs/>
          <w:lang w:val="de-DE"/>
        </w:rPr>
        <w:t xml:space="preserve">If including newly registered capital and adjusted registered capital of licensed projects from previous years, foreign direct investment capital registered in the processing and manufacturing industry reached 4.51 billion USD, accounting for 70.8% of the total newly registered and increased capital; </w:t>
      </w:r>
      <w:r w:rsidRPr="00C30E94">
        <w:rPr>
          <w:iCs/>
          <w:lang w:val="de-DE"/>
        </w:rPr>
        <w:lastRenderedPageBreak/>
        <w:t>real estate business activities reached 1.45 billion USD, accounting for 22.7%; the remaining industries reached 409.4 million USD, accounting for 6.5%.</w:t>
      </w:r>
    </w:p>
    <w:p w14:paraId="63C59A16" w14:textId="77777777" w:rsidR="00753A68" w:rsidRPr="009620E0" w:rsidRDefault="00753A68" w:rsidP="00753A68">
      <w:pPr>
        <w:spacing w:after="120" w:line="264" w:lineRule="auto"/>
        <w:ind w:firstLine="567"/>
        <w:jc w:val="both"/>
        <w:rPr>
          <w:iCs/>
          <w:lang w:val="de-DE"/>
        </w:rPr>
      </w:pPr>
      <w:r w:rsidRPr="009620E0">
        <w:rPr>
          <w:iCs/>
          <w:lang w:val="de-DE"/>
        </w:rPr>
        <w:t>- There were 553 registered capital contributions and share purchases by foreign investors with a total capital contribution value of 529.8 million USD, an increase of 88.8% over the same period last year</w:t>
      </w:r>
      <w:r w:rsidRPr="009620E0">
        <w:rPr>
          <w:iCs/>
        </w:rPr>
        <w:t xml:space="preserve">. </w:t>
      </w:r>
      <w:r w:rsidRPr="009620E0">
        <w:rPr>
          <w:iCs/>
          <w:lang w:val="de-DE"/>
        </w:rPr>
        <w:t>Of which, 240 capital contributions and share purchases increased the charter capital of the enterprise with a capital contribution val</w:t>
      </w:r>
      <w:r>
        <w:rPr>
          <w:iCs/>
          <w:lang w:val="de-DE"/>
        </w:rPr>
        <w:t xml:space="preserve">ue of 318.8 million USD and 313 </w:t>
      </w:r>
      <w:r w:rsidRPr="009620E0">
        <w:rPr>
          <w:iCs/>
          <w:lang w:val="de-DE"/>
        </w:rPr>
        <w:t xml:space="preserve">foreign investors bought back domestic shares without increasing charter capital with a value of 211 million USD. For the form of capital contribution and share purchase by foreign investors, investment capital in the processing and manufacturing industry reached 198.4 million </w:t>
      </w:r>
      <w:r w:rsidRPr="009620E0">
        <w:rPr>
          <w:iCs/>
        </w:rPr>
        <w:t xml:space="preserve">USD </w:t>
      </w:r>
      <w:r w:rsidRPr="009620E0">
        <w:rPr>
          <w:iCs/>
          <w:lang w:val="de-DE"/>
        </w:rPr>
        <w:t>, accounting for 37.5</w:t>
      </w:r>
      <w:r w:rsidRPr="009620E0">
        <w:rPr>
          <w:iCs/>
        </w:rPr>
        <w:t xml:space="preserve">% </w:t>
      </w:r>
      <w:r w:rsidRPr="009620E0">
        <w:rPr>
          <w:iCs/>
          <w:lang w:val="de-DE"/>
        </w:rPr>
        <w:t xml:space="preserve">of the capital contribution value; professional activities, science and technology reached 157.0 million USD, accounting for 29.6%; the remaining industries reached 174.4 million USD, accounting for </w:t>
      </w:r>
      <w:r w:rsidRPr="009620E0">
        <w:rPr>
          <w:iCs/>
        </w:rPr>
        <w:t xml:space="preserve">32.9 </w:t>
      </w:r>
      <w:r w:rsidRPr="009620E0">
        <w:rPr>
          <w:iCs/>
          <w:lang w:val="de-DE"/>
        </w:rPr>
        <w:t>%.</w:t>
      </w:r>
    </w:p>
    <w:p w14:paraId="2EB52F36" w14:textId="77777777" w:rsidR="00753A68" w:rsidRPr="009620E0" w:rsidRDefault="00753A68" w:rsidP="00753A68">
      <w:pPr>
        <w:spacing w:after="120" w:line="264" w:lineRule="auto"/>
        <w:ind w:firstLine="567"/>
        <w:jc w:val="both"/>
        <w:rPr>
          <w:rFonts w:ascii="Arial" w:hAnsi="Arial" w:cs="Arial"/>
          <w:b/>
          <w:bCs/>
          <w:sz w:val="24"/>
          <w:lang w:val="de-DE"/>
        </w:rPr>
      </w:pPr>
      <w:r w:rsidRPr="009620E0">
        <w:rPr>
          <w:i/>
          <w:iCs/>
          <w:lang w:val="de-DE"/>
        </w:rPr>
        <w:t xml:space="preserve">Foreign direct investment realized in Vietnam in the first </w:t>
      </w:r>
      <w:r>
        <w:rPr>
          <w:lang w:val="de-DE"/>
        </w:rPr>
        <w:t xml:space="preserve">two </w:t>
      </w:r>
      <w:r w:rsidRPr="009620E0">
        <w:rPr>
          <w:iCs/>
          <w:lang w:val="de-DE"/>
        </w:rPr>
        <w:t xml:space="preserve">months of 2025 is estimated at 2.95 billion USD, up 5.4% over the same period last year. This is the highest realized foreign direct investment in two months in the past 5 years. Of which: Processing and manufacturing industry reached 2.42 billion USD, accounting for 82.1 </w:t>
      </w:r>
      <w:r w:rsidRPr="009620E0">
        <w:rPr>
          <w:iCs/>
        </w:rPr>
        <w:t xml:space="preserve">% </w:t>
      </w:r>
      <w:r w:rsidRPr="009620E0">
        <w:rPr>
          <w:iCs/>
          <w:lang w:val="de-DE"/>
        </w:rPr>
        <w:t xml:space="preserve">of total realized foreign direct investment; real estate business activities reached 203 </w:t>
      </w:r>
      <w:r w:rsidRPr="009620E0">
        <w:rPr>
          <w:iCs/>
        </w:rPr>
        <w:t xml:space="preserve">million </w:t>
      </w:r>
      <w:r w:rsidRPr="009620E0">
        <w:rPr>
          <w:iCs/>
          <w:lang w:val="de-DE"/>
        </w:rPr>
        <w:t xml:space="preserve">USD, accounting for 6.9%; production and distribution of electricity, gas, hot water, steam and air conditioning reached </w:t>
      </w:r>
      <w:r w:rsidRPr="009620E0">
        <w:rPr>
          <w:iCs/>
        </w:rPr>
        <w:t xml:space="preserve">122 </w:t>
      </w:r>
      <w:r w:rsidRPr="009620E0">
        <w:rPr>
          <w:iCs/>
          <w:lang w:val="de-DE"/>
        </w:rPr>
        <w:t>million USD, accounting for 4.1%.</w:t>
      </w:r>
    </w:p>
    <w:p w14:paraId="77E0EFB3" w14:textId="77777777" w:rsidR="00753A68" w:rsidRPr="009620E0" w:rsidRDefault="00753A68" w:rsidP="00753A68">
      <w:pPr>
        <w:jc w:val="center"/>
        <w:rPr>
          <w:rFonts w:ascii="Arial" w:hAnsi="Arial" w:cs="Arial"/>
          <w:b/>
          <w:bCs/>
          <w:sz w:val="24"/>
          <w:lang w:val="de-DE"/>
        </w:rPr>
      </w:pPr>
      <w:r w:rsidRPr="009620E0">
        <w:rPr>
          <w:rFonts w:ascii="Arial" w:hAnsi="Arial" w:cs="Arial"/>
          <w:b/>
          <w:bCs/>
          <w:sz w:val="24"/>
          <w:lang w:val="de-DE"/>
        </w:rPr>
        <w:t>Figure 7. Realized foreign direct investment</w:t>
      </w:r>
    </w:p>
    <w:p w14:paraId="0B589201" w14:textId="77777777" w:rsidR="00753A68" w:rsidRDefault="00753A68" w:rsidP="00753A68">
      <w:pPr>
        <w:jc w:val="center"/>
        <w:rPr>
          <w:rFonts w:ascii="Arial" w:hAnsi="Arial" w:cs="Arial"/>
          <w:b/>
          <w:bCs/>
          <w:sz w:val="24"/>
          <w:lang w:val="de-DE"/>
        </w:rPr>
      </w:pPr>
      <w:r>
        <w:rPr>
          <w:rFonts w:ascii="Arial" w:hAnsi="Arial" w:cs="Arial"/>
          <w:b/>
          <w:bCs/>
          <w:sz w:val="24"/>
        </w:rPr>
        <w:t>f</w:t>
      </w:r>
      <w:r w:rsidRPr="009620E0">
        <w:rPr>
          <w:rFonts w:ascii="Arial" w:hAnsi="Arial" w:cs="Arial"/>
          <w:b/>
          <w:bCs/>
          <w:sz w:val="24"/>
        </w:rPr>
        <w:t xml:space="preserve">irst 2 months </w:t>
      </w:r>
      <w:r w:rsidRPr="009620E0">
        <w:rPr>
          <w:rFonts w:ascii="Arial" w:hAnsi="Arial" w:cs="Arial"/>
          <w:b/>
          <w:bCs/>
          <w:sz w:val="24"/>
          <w:lang w:val="de-DE"/>
        </w:rPr>
        <w:t>of 202</w:t>
      </w:r>
      <w:r>
        <w:rPr>
          <w:rFonts w:ascii="Arial" w:hAnsi="Arial" w:cs="Arial"/>
          <w:b/>
          <w:bCs/>
          <w:sz w:val="24"/>
          <w:lang w:val="de-DE"/>
        </w:rPr>
        <w:t>1</w:t>
      </w:r>
      <w:r w:rsidRPr="009620E0">
        <w:rPr>
          <w:rFonts w:ascii="Arial" w:hAnsi="Arial" w:cs="Arial"/>
          <w:b/>
          <w:bCs/>
          <w:sz w:val="24"/>
          <w:lang w:val="de-DE"/>
        </w:rPr>
        <w:t>-202</w:t>
      </w:r>
      <w:r>
        <w:rPr>
          <w:rFonts w:ascii="Arial" w:hAnsi="Arial" w:cs="Arial"/>
          <w:b/>
          <w:bCs/>
          <w:sz w:val="24"/>
          <w:lang w:val="de-DE"/>
        </w:rPr>
        <w:t>5</w:t>
      </w:r>
      <w:r w:rsidRPr="009620E0">
        <w:rPr>
          <w:rFonts w:ascii="Arial" w:hAnsi="Arial" w:cs="Arial"/>
          <w:b/>
          <w:bCs/>
          <w:sz w:val="24"/>
          <w:lang w:val="de-DE"/>
        </w:rPr>
        <w:t xml:space="preserve"> (Billion USD)</w:t>
      </w:r>
    </w:p>
    <w:p w14:paraId="5FE5DA19" w14:textId="77777777" w:rsidR="00753A68" w:rsidRDefault="00753A68" w:rsidP="00753A68">
      <w:pPr>
        <w:jc w:val="center"/>
        <w:rPr>
          <w:rFonts w:ascii="Arial" w:hAnsi="Arial" w:cs="Arial"/>
          <w:b/>
          <w:bCs/>
          <w:sz w:val="24"/>
          <w:lang w:val="de-DE"/>
        </w:rPr>
      </w:pPr>
    </w:p>
    <w:p w14:paraId="0FECD198" w14:textId="77777777" w:rsidR="00753A68" w:rsidRPr="009620E0" w:rsidRDefault="00753A68" w:rsidP="00753A68">
      <w:pPr>
        <w:jc w:val="center"/>
        <w:rPr>
          <w:rFonts w:ascii="Arial" w:hAnsi="Arial" w:cs="Arial"/>
          <w:b/>
          <w:bCs/>
          <w:sz w:val="24"/>
          <w:lang w:val="de-DE"/>
        </w:rPr>
      </w:pPr>
      <w:r>
        <w:rPr>
          <w:noProof/>
          <w:lang w:val="en-US"/>
        </w:rPr>
        <w:drawing>
          <wp:inline distT="0" distB="0" distL="0" distR="0" wp14:anchorId="1ACECE44" wp14:editId="0ACBD0A9">
            <wp:extent cx="4572000" cy="1629177"/>
            <wp:effectExtent l="0" t="0" r="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B3165E6" w14:textId="77777777" w:rsidR="00753A68" w:rsidRPr="009620E0" w:rsidRDefault="00753A68" w:rsidP="00753A68">
      <w:pPr>
        <w:jc w:val="center"/>
        <w:rPr>
          <w:rFonts w:ascii="Arial" w:hAnsi="Arial" w:cs="Arial"/>
          <w:b/>
          <w:bCs/>
          <w:sz w:val="24"/>
          <w:lang w:val="de-DE"/>
        </w:rPr>
      </w:pPr>
    </w:p>
    <w:p w14:paraId="011EEC72" w14:textId="77777777" w:rsidR="00753A68" w:rsidRPr="009620E0" w:rsidRDefault="00753A68" w:rsidP="00753A68">
      <w:pPr>
        <w:spacing w:after="120" w:line="264" w:lineRule="auto"/>
        <w:ind w:firstLine="567"/>
        <w:jc w:val="both"/>
        <w:rPr>
          <w:i/>
          <w:iCs/>
          <w:lang w:val="de-DE"/>
        </w:rPr>
      </w:pPr>
      <w:r w:rsidRPr="009620E0">
        <w:rPr>
          <w:i/>
          <w:iCs/>
          <w:lang w:val="de-DE"/>
        </w:rPr>
        <w:t xml:space="preserve">Vietnam's overseas investment </w:t>
      </w:r>
      <w:r w:rsidRPr="009620E0">
        <w:rPr>
          <w:iCs/>
          <w:lang w:val="de-DE"/>
        </w:rPr>
        <w:t xml:space="preserve">in the first two months of 2025 had 30 projects newly granted investment certificates with a total capital of Vietnam's side of </w:t>
      </w:r>
      <w:r w:rsidRPr="009620E0">
        <w:rPr>
          <w:iCs/>
        </w:rPr>
        <w:t xml:space="preserve">233.6 </w:t>
      </w:r>
      <w:r w:rsidRPr="009620E0">
        <w:rPr>
          <w:iCs/>
          <w:lang w:val="de-DE"/>
        </w:rPr>
        <w:t>million USD, 9.4 times higher than the same period last year; there were 05 projects with capital adjustment with the adjusted capital increasing by 5.4 million USD, 24.3 times higher.</w:t>
      </w:r>
    </w:p>
    <w:p w14:paraId="1A617442" w14:textId="77777777" w:rsidR="00753A68" w:rsidRPr="009620E0" w:rsidRDefault="00753A68" w:rsidP="00753A68">
      <w:pPr>
        <w:spacing w:after="120" w:line="264" w:lineRule="auto"/>
        <w:ind w:firstLine="567"/>
        <w:jc w:val="both"/>
        <w:rPr>
          <w:iCs/>
          <w:lang w:val="de-DE"/>
        </w:rPr>
      </w:pPr>
      <w:r w:rsidRPr="009620E0">
        <w:rPr>
          <w:iCs/>
          <w:lang w:val="de-DE"/>
        </w:rPr>
        <w:t xml:space="preserve">In total, Vietnam's total investment capital abroad (newly granted and adjusted capital) was nearly 239 million USD, 9.5 times higher than the same </w:t>
      </w:r>
      <w:r w:rsidRPr="009620E0">
        <w:rPr>
          <w:iCs/>
          <w:lang w:val="de-DE"/>
        </w:rPr>
        <w:lastRenderedPageBreak/>
        <w:t xml:space="preserve">period last year. Of which: Production and distribution of electricity, gas, hot water, steam and air conditioning reached 111.2 million USD, accounting for 46.5% of total investment capital; processing and manufacturing industry reached 65.6 million USD, accounting for 27.4%; mining reached </w:t>
      </w:r>
      <w:r>
        <w:rPr>
          <w:iCs/>
        </w:rPr>
        <w:t xml:space="preserve">41 </w:t>
      </w:r>
      <w:r w:rsidRPr="009620E0">
        <w:rPr>
          <w:iCs/>
          <w:lang w:val="de-DE"/>
        </w:rPr>
        <w:t>million USD; accounting for 17.1%.</w:t>
      </w:r>
    </w:p>
    <w:p w14:paraId="048E6FAB" w14:textId="2B8FE415" w:rsidR="00753A68" w:rsidRDefault="00753A68" w:rsidP="00753A68">
      <w:pPr>
        <w:spacing w:after="120" w:line="264" w:lineRule="auto"/>
        <w:ind w:firstLine="567"/>
        <w:jc w:val="both"/>
      </w:pPr>
      <w:r w:rsidRPr="009620E0">
        <w:rPr>
          <w:iCs/>
          <w:spacing w:val="2"/>
          <w:lang w:val="de-DE"/>
        </w:rPr>
        <w:t xml:space="preserve">In the first two months of 2025, 22 countries and territories received investment from Vietnam, of which: Laos was the leading country with 139.7 million USD, accounting for 58.4% of total investment capital; Philippines 34.2 million USD, accounting for 14.3%; Indonesia 31.1 million USD, accounting for 13%; </w:t>
      </w:r>
      <w:r>
        <w:rPr>
          <w:iCs/>
          <w:spacing w:val="2"/>
        </w:rPr>
        <w:t xml:space="preserve">British Virgin Islands </w:t>
      </w:r>
      <w:r w:rsidRPr="009620E0">
        <w:rPr>
          <w:iCs/>
          <w:spacing w:val="2"/>
          <w:lang w:val="de-DE"/>
        </w:rPr>
        <w:t>reached 21.0 million USD, accounting for 8.8%; Cuba 4.0 million USD, accounting for 1.7%.</w:t>
      </w:r>
    </w:p>
    <w:p w14:paraId="0525132B" w14:textId="77777777" w:rsidR="002155FC" w:rsidRPr="002155FC" w:rsidRDefault="002155FC" w:rsidP="002155FC">
      <w:pPr>
        <w:spacing w:after="120" w:line="264" w:lineRule="auto"/>
        <w:ind w:firstLine="720"/>
        <w:jc w:val="both"/>
        <w:rPr>
          <w:b/>
          <w:bCs/>
          <w:lang w:val="en-US"/>
        </w:rPr>
      </w:pPr>
      <w:bookmarkStart w:id="0" w:name="_Hlk89176061"/>
      <w:bookmarkStart w:id="1" w:name="_Hlk54593811"/>
      <w:r w:rsidRPr="002155FC">
        <w:rPr>
          <w:b/>
          <w:bCs/>
        </w:rPr>
        <w:t>5. State budget revenue and expenditure</w:t>
      </w:r>
      <w:r w:rsidRPr="002155FC">
        <w:rPr>
          <w:b/>
          <w:bCs/>
          <w:vertAlign w:val="superscript"/>
        </w:rPr>
        <w:footnoteReference w:id="13"/>
      </w:r>
    </w:p>
    <w:p w14:paraId="7A5D1B27" w14:textId="77777777" w:rsidR="002155FC" w:rsidRPr="002155FC" w:rsidRDefault="002155FC" w:rsidP="002155FC">
      <w:pPr>
        <w:spacing w:after="120" w:line="264" w:lineRule="auto"/>
        <w:ind w:firstLine="720"/>
        <w:jc w:val="both"/>
        <w:rPr>
          <w:b/>
          <w:spacing w:val="-2"/>
          <w:sz w:val="10"/>
          <w:szCs w:val="10"/>
          <w:lang w:val="nl-NL"/>
        </w:rPr>
      </w:pPr>
      <w:r w:rsidRPr="002155FC">
        <w:rPr>
          <w:i/>
          <w:spacing w:val="-2"/>
          <w:lang w:val="nl-NL"/>
        </w:rPr>
        <w:t>State budget revenue in the first two months of 2025 was estimated to increase by 25.7% over the same period last year</w:t>
      </w:r>
      <w:r w:rsidRPr="002155FC">
        <w:rPr>
          <w:i/>
          <w:spacing w:val="-2"/>
          <w:vertAlign w:val="superscript"/>
          <w:lang w:val="nl-NL"/>
        </w:rPr>
        <w:footnoteReference w:id="14"/>
      </w:r>
      <w:r w:rsidRPr="002155FC">
        <w:rPr>
          <w:i/>
          <w:spacing w:val="-2"/>
          <w:lang w:val="nl-NL"/>
        </w:rPr>
        <w:t>. State budget expenditure was estimated to increase by 13.2% over the same period in 2024, ensuring the needs of socio-economic development, national defense, security, state management, payment of due debts as well as timely payment to subjects according to regulations.</w:t>
      </w:r>
    </w:p>
    <w:p w14:paraId="60E7B2C2" w14:textId="77777777" w:rsidR="002155FC" w:rsidRPr="002155FC" w:rsidRDefault="002155FC" w:rsidP="0033626E">
      <w:pPr>
        <w:spacing w:before="120" w:after="120" w:line="264" w:lineRule="auto"/>
        <w:jc w:val="center"/>
        <w:rPr>
          <w:rFonts w:ascii="Arial" w:hAnsi="Arial" w:cs="Arial"/>
          <w:b/>
          <w:sz w:val="24"/>
          <w:szCs w:val="24"/>
          <w:lang w:val="nl-NL"/>
        </w:rPr>
      </w:pPr>
      <w:r w:rsidRPr="002155FC">
        <w:rPr>
          <w:rFonts w:ascii="Arial" w:hAnsi="Arial" w:cs="Arial"/>
          <w:b/>
          <w:sz w:val="24"/>
          <w:szCs w:val="24"/>
          <w:lang w:val="nl-NL"/>
        </w:rPr>
        <w:t>Figure 9. State budget revenue and expenditure in the first two months of 2025</w:t>
      </w:r>
    </w:p>
    <w:p w14:paraId="33C1A59A" w14:textId="2D29D8AA" w:rsidR="002155FC" w:rsidRPr="002155FC" w:rsidRDefault="00CE7EA7" w:rsidP="00CE7EA7">
      <w:pPr>
        <w:spacing w:before="40" w:after="40" w:line="276" w:lineRule="auto"/>
        <w:jc w:val="center"/>
        <w:rPr>
          <w:b/>
          <w:i/>
          <w:lang w:val="it-IT"/>
        </w:rPr>
      </w:pPr>
      <w:r>
        <w:rPr>
          <w:b/>
          <w:i/>
          <w:noProof/>
          <w:lang w:val="en-US"/>
        </w:rPr>
        <w:drawing>
          <wp:inline distT="0" distB="0" distL="0" distR="0" wp14:anchorId="3969ABFA" wp14:editId="183D8322">
            <wp:extent cx="5671185" cy="2366119"/>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NSNN T2.25-ENG-01.jpg"/>
                    <pic:cNvPicPr/>
                  </pic:nvPicPr>
                  <pic:blipFill>
                    <a:blip r:embed="rId17">
                      <a:extLst>
                        <a:ext uri="{28A0092B-C50C-407E-A947-70E740481C1C}">
                          <a14:useLocalDpi xmlns:a14="http://schemas.microsoft.com/office/drawing/2010/main" val="0"/>
                        </a:ext>
                      </a:extLst>
                    </a:blip>
                    <a:stretch>
                      <a:fillRect/>
                    </a:stretch>
                  </pic:blipFill>
                  <pic:spPr>
                    <a:xfrm>
                      <a:off x="0" y="0"/>
                      <a:ext cx="5671185" cy="2366119"/>
                    </a:xfrm>
                    <a:prstGeom prst="rect">
                      <a:avLst/>
                    </a:prstGeom>
                  </pic:spPr>
                </pic:pic>
              </a:graphicData>
            </a:graphic>
          </wp:inline>
        </w:drawing>
      </w:r>
    </w:p>
    <w:p w14:paraId="26FAD8B8" w14:textId="77777777" w:rsidR="002155FC" w:rsidRPr="002155FC" w:rsidRDefault="002155FC" w:rsidP="002155FC">
      <w:pPr>
        <w:spacing w:after="120" w:line="276" w:lineRule="auto"/>
        <w:ind w:firstLine="720"/>
        <w:jc w:val="both"/>
        <w:rPr>
          <w:b/>
          <w:i/>
          <w:lang w:val="it-IT"/>
        </w:rPr>
      </w:pPr>
      <w:r w:rsidRPr="002155FC">
        <w:rPr>
          <w:b/>
          <w:i/>
          <w:lang w:val="it-IT"/>
        </w:rPr>
        <w:t>State budget revenue</w:t>
      </w:r>
    </w:p>
    <w:p w14:paraId="0058C12C" w14:textId="77777777" w:rsidR="002155FC" w:rsidRPr="002155FC" w:rsidRDefault="002155FC" w:rsidP="002155FC">
      <w:pPr>
        <w:spacing w:after="120" w:line="276" w:lineRule="auto"/>
        <w:ind w:firstLine="720"/>
        <w:jc w:val="both"/>
        <w:rPr>
          <w:lang w:val="nl-NL"/>
        </w:rPr>
      </w:pPr>
      <w:r w:rsidRPr="002155FC">
        <w:rPr>
          <w:lang w:val="it-IT"/>
        </w:rPr>
        <w:t xml:space="preserve">Total state budget revenue in February 2025 was estimated at </w:t>
      </w:r>
      <w:r w:rsidRPr="002155FC">
        <w:rPr>
          <w:lang w:val="nl-NL"/>
        </w:rPr>
        <w:t>191.9 trillion VND</w:t>
      </w:r>
      <w:r w:rsidRPr="002155FC">
        <w:rPr>
          <w:lang w:val="it-IT"/>
        </w:rPr>
        <w:t>. Total state budget revenue in the first two m</w:t>
      </w:r>
      <w:bookmarkStart w:id="2" w:name="_GoBack"/>
      <w:bookmarkEnd w:id="2"/>
      <w:r w:rsidRPr="002155FC">
        <w:rPr>
          <w:lang w:val="it-IT"/>
        </w:rPr>
        <w:t xml:space="preserve">onths of 2025 reached </w:t>
      </w:r>
      <w:r w:rsidRPr="002155FC">
        <w:rPr>
          <w:lang w:val="it-IT"/>
        </w:rPr>
        <w:lastRenderedPageBreak/>
        <w:t>499.8 trillion VND, equal to 25.4% of the annual estimate and up 25.7% over the same period last year</w:t>
      </w:r>
      <w:r w:rsidRPr="002155FC">
        <w:rPr>
          <w:lang w:val="nl-NL"/>
        </w:rPr>
        <w:t>. In particular, some main revenue items are as follows:</w:t>
      </w:r>
    </w:p>
    <w:p w14:paraId="67F75C8B" w14:textId="77777777" w:rsidR="002155FC" w:rsidRPr="002155FC" w:rsidRDefault="002155FC" w:rsidP="002155FC">
      <w:pPr>
        <w:spacing w:after="120" w:line="276" w:lineRule="auto"/>
        <w:ind w:firstLine="720"/>
        <w:jc w:val="both"/>
        <w:rPr>
          <w:lang w:val="nl-NL"/>
        </w:rPr>
      </w:pPr>
      <w:r w:rsidRPr="002155FC">
        <w:rPr>
          <w:i/>
          <w:lang w:val="nl-NL"/>
        </w:rPr>
        <w:t xml:space="preserve">- Domestic revenue </w:t>
      </w:r>
      <w:r w:rsidRPr="002155FC">
        <w:rPr>
          <w:lang w:val="nl-NL"/>
        </w:rPr>
        <w:t xml:space="preserve">in February 2025 was estimated at 164.3 trillion VND. The accumulated revenue in the first two months of 2025 reached 454.9 trillion VND, equal to 27.3% of the annual estimate and an increase of 28.9% </w:t>
      </w:r>
      <w:r w:rsidRPr="002155FC">
        <w:rPr>
          <w:lang w:val="it-IT"/>
        </w:rPr>
        <w:t>over the same period last year</w:t>
      </w:r>
      <w:r w:rsidRPr="002155FC">
        <w:rPr>
          <w:lang w:val="nl-NL"/>
        </w:rPr>
        <w:t>.</w:t>
      </w:r>
    </w:p>
    <w:p w14:paraId="17A63D1B" w14:textId="77777777" w:rsidR="002155FC" w:rsidRPr="002155FC" w:rsidRDefault="002155FC" w:rsidP="002155FC">
      <w:pPr>
        <w:spacing w:after="120" w:line="276" w:lineRule="auto"/>
        <w:ind w:firstLine="720"/>
        <w:jc w:val="both"/>
        <w:rPr>
          <w:lang w:val="nl-NL"/>
        </w:rPr>
      </w:pPr>
      <w:r w:rsidRPr="002155FC">
        <w:rPr>
          <w:i/>
          <w:lang w:val="nl-NL"/>
        </w:rPr>
        <w:t xml:space="preserve">- Revenue from crude oil </w:t>
      </w:r>
      <w:r w:rsidRPr="002155FC">
        <w:rPr>
          <w:lang w:val="nl-NL"/>
        </w:rPr>
        <w:t xml:space="preserve">in February 2025 was estimated at 4.0 trillion VND. Accumulated revenue in the first two months of 2025 reached </w:t>
      </w:r>
      <w:r w:rsidRPr="002155FC">
        <w:rPr>
          <w:lang w:val="it-IT"/>
        </w:rPr>
        <w:t xml:space="preserve">8.1 </w:t>
      </w:r>
      <w:r w:rsidRPr="002155FC">
        <w:rPr>
          <w:lang w:val="nl-NL"/>
        </w:rPr>
        <w:t xml:space="preserve">trillion VND, equal to </w:t>
      </w:r>
      <w:r w:rsidRPr="002155FC">
        <w:rPr>
          <w:lang w:val="it-IT"/>
        </w:rPr>
        <w:t>15.3</w:t>
      </w:r>
      <w:r w:rsidRPr="002155FC">
        <w:rPr>
          <w:lang w:val="nl-NL"/>
        </w:rPr>
        <w:t xml:space="preserve">% of the annual estimate and down 17.1% </w:t>
      </w:r>
      <w:r w:rsidRPr="002155FC">
        <w:rPr>
          <w:lang w:val="it-IT"/>
        </w:rPr>
        <w:t>over the same period last year</w:t>
      </w:r>
      <w:r w:rsidRPr="002155FC">
        <w:rPr>
          <w:lang w:val="nl-NL"/>
        </w:rPr>
        <w:t>.</w:t>
      </w:r>
    </w:p>
    <w:p w14:paraId="5F82F94B" w14:textId="77777777" w:rsidR="002155FC" w:rsidRPr="002155FC" w:rsidRDefault="002155FC" w:rsidP="002155FC">
      <w:pPr>
        <w:spacing w:after="120" w:line="276" w:lineRule="auto"/>
        <w:ind w:firstLine="720"/>
        <w:jc w:val="both"/>
        <w:rPr>
          <w:lang w:val="nl-NL"/>
        </w:rPr>
      </w:pPr>
      <w:r w:rsidRPr="002155FC">
        <w:rPr>
          <w:i/>
          <w:lang w:val="nl-NL"/>
        </w:rPr>
        <w:t xml:space="preserve">- Budget revenue from import and export activities </w:t>
      </w:r>
      <w:r w:rsidRPr="002155FC">
        <w:rPr>
          <w:lang w:val="nl-NL"/>
        </w:rPr>
        <w:t xml:space="preserve">in February 2025 was estimated at 23.4 trillion VND. The accumulated revenue in the first two months of 2025 reached 36.5 trillion VND, equal to </w:t>
      </w:r>
      <w:r w:rsidRPr="002155FC">
        <w:rPr>
          <w:lang w:val="it-IT"/>
        </w:rPr>
        <w:t>15.5</w:t>
      </w:r>
      <w:r w:rsidRPr="002155FC">
        <w:rPr>
          <w:lang w:val="nl-NL"/>
        </w:rPr>
        <w:t xml:space="preserve">% of the annual estimate and an increase of 4.4% </w:t>
      </w:r>
      <w:r w:rsidRPr="002155FC">
        <w:rPr>
          <w:lang w:val="it-IT"/>
        </w:rPr>
        <w:t>over the same period last year</w:t>
      </w:r>
      <w:r w:rsidRPr="002155FC">
        <w:rPr>
          <w:lang w:val="nl-NL"/>
        </w:rPr>
        <w:t>.</w:t>
      </w:r>
    </w:p>
    <w:p w14:paraId="3EA28CD6" w14:textId="77777777" w:rsidR="002155FC" w:rsidRPr="002155FC" w:rsidRDefault="002155FC" w:rsidP="002155FC">
      <w:pPr>
        <w:spacing w:after="120" w:line="276" w:lineRule="auto"/>
        <w:ind w:firstLine="720"/>
        <w:jc w:val="both"/>
        <w:rPr>
          <w:b/>
          <w:i/>
          <w:lang w:val="nl-NL"/>
        </w:rPr>
      </w:pPr>
      <w:r w:rsidRPr="002155FC">
        <w:rPr>
          <w:b/>
          <w:i/>
          <w:lang w:val="nl-NL"/>
        </w:rPr>
        <w:t>State budget expenditure</w:t>
      </w:r>
    </w:p>
    <w:p w14:paraId="7D01B85E" w14:textId="77777777" w:rsidR="002155FC" w:rsidRPr="002155FC" w:rsidRDefault="002155FC" w:rsidP="002155FC">
      <w:pPr>
        <w:spacing w:after="120" w:line="276" w:lineRule="auto"/>
        <w:ind w:firstLine="720"/>
        <w:jc w:val="both"/>
        <w:rPr>
          <w:spacing w:val="-4"/>
          <w:lang w:val="nl-NL"/>
        </w:rPr>
      </w:pPr>
      <w:r w:rsidRPr="002155FC">
        <w:rPr>
          <w:spacing w:val="-4"/>
          <w:lang w:val="nl-NL"/>
        </w:rPr>
        <w:t xml:space="preserve">Total state budget expenditure in February 2025 is estimated at 140.6 trillion VND; the accumulated expenditure in the first two months of 2025 is estimated at 293.8 trillion VND, equal to 11.5% of the annual estimate and an increase of 13.2% over the same period last year </w:t>
      </w:r>
      <w:r w:rsidRPr="002155FC">
        <w:rPr>
          <w:spacing w:val="-4"/>
        </w:rPr>
        <w:t xml:space="preserve">. </w:t>
      </w:r>
      <w:r w:rsidRPr="002155FC">
        <w:rPr>
          <w:spacing w:val="-4"/>
          <w:lang w:val="nl-NL"/>
        </w:rPr>
        <w:t xml:space="preserve">Of which </w:t>
      </w:r>
      <w:r w:rsidRPr="002155FC">
        <w:rPr>
          <w:spacing w:val="-4"/>
        </w:rPr>
        <w:t xml:space="preserve">, </w:t>
      </w:r>
      <w:r w:rsidRPr="002155FC">
        <w:rPr>
          <w:spacing w:val="-4"/>
          <w:lang w:val="nl-NL"/>
        </w:rPr>
        <w:t>regular expenditure in the first two months of 2025 reached 210.0 trillion VND, equal to 13.4% of the annual estimate and an increase of 15.9% over the same period last year; development investment expenditure is estimated at 60.4 trillion VND, equal to 7.6% and an increase of 13.7%; debt interest payment is 23.3 trillion VND, equal to 21.1% and a decrease of 7.1%.</w:t>
      </w:r>
    </w:p>
    <w:p w14:paraId="2A454615" w14:textId="77777777" w:rsidR="00753A68" w:rsidRPr="00BB4D40" w:rsidRDefault="00753A68" w:rsidP="00753A68">
      <w:pPr>
        <w:spacing w:beforeLines="40" w:before="96" w:afterLines="40" w:after="96" w:line="252" w:lineRule="auto"/>
        <w:ind w:firstLine="567"/>
        <w:jc w:val="both"/>
        <w:rPr>
          <w:b/>
          <w:bCs/>
          <w:lang w:val="nl-NL"/>
        </w:rPr>
      </w:pPr>
      <w:r>
        <w:rPr>
          <w:b/>
          <w:bCs/>
          <w:lang w:val="nl-NL"/>
        </w:rPr>
        <w:t>6</w:t>
      </w:r>
      <w:r w:rsidRPr="00BB4D40">
        <w:rPr>
          <w:b/>
          <w:bCs/>
          <w:lang w:val="nl-NL"/>
        </w:rPr>
        <w:t>. Trade, prices, transport and tourism</w:t>
      </w:r>
    </w:p>
    <w:p w14:paraId="3E9E6347" w14:textId="77777777" w:rsidR="00753A68" w:rsidRPr="003105AA" w:rsidRDefault="00753A68" w:rsidP="00753A68">
      <w:pPr>
        <w:spacing w:beforeLines="40" w:before="96" w:afterLines="40" w:after="96" w:line="252" w:lineRule="auto"/>
        <w:ind w:firstLine="567"/>
        <w:jc w:val="both"/>
        <w:rPr>
          <w:i/>
          <w:color w:val="000000" w:themeColor="text1"/>
        </w:rPr>
      </w:pPr>
      <w:r w:rsidRPr="003105AA">
        <w:rPr>
          <w:b/>
          <w:i/>
        </w:rPr>
        <w:t xml:space="preserve">a) </w:t>
      </w:r>
      <w:r w:rsidRPr="00BB4D40">
        <w:rPr>
          <w:b/>
          <w:i/>
        </w:rPr>
        <w:t>Retail sales of consumer goods and services</w:t>
      </w:r>
      <w:r w:rsidRPr="003105AA">
        <w:rPr>
          <w:i/>
          <w:color w:val="000000" w:themeColor="text1"/>
        </w:rPr>
        <w:t xml:space="preserve"> </w:t>
      </w:r>
    </w:p>
    <w:p w14:paraId="5D5377DA" w14:textId="77777777" w:rsidR="00753A68" w:rsidRPr="003105AA" w:rsidRDefault="00753A68" w:rsidP="00753A68">
      <w:pPr>
        <w:spacing w:beforeLines="40" w:before="96" w:afterLines="40" w:after="96" w:line="252" w:lineRule="auto"/>
        <w:ind w:firstLine="567"/>
        <w:jc w:val="both"/>
        <w:rPr>
          <w:i/>
          <w:color w:val="000000" w:themeColor="text1"/>
        </w:rPr>
      </w:pPr>
      <w:r w:rsidRPr="003105AA">
        <w:rPr>
          <w:i/>
        </w:rPr>
        <w:t>Increased domestic consumption demand during the Lunar New Year holiday along with the strong recovery of tourism has contributed positively to the growth of the trade and service industry.</w:t>
      </w:r>
      <w:r w:rsidRPr="00415158">
        <w:rPr>
          <w:i/>
        </w:rPr>
        <w:t xml:space="preserve"> </w:t>
      </w:r>
      <w:r w:rsidRPr="003105AA">
        <w:rPr>
          <w:i/>
        </w:rPr>
        <w:t xml:space="preserve">The total retail sales of consumer goods and services in </w:t>
      </w:r>
      <w:r>
        <w:rPr>
          <w:i/>
        </w:rPr>
        <w:t>02/2025</w:t>
      </w:r>
      <w:r w:rsidRPr="003105AA">
        <w:rPr>
          <w:i/>
        </w:rPr>
        <w:t xml:space="preserve"> </w:t>
      </w:r>
      <w:r>
        <w:rPr>
          <w:rStyle w:val="rynqvb"/>
          <w:i/>
        </w:rPr>
        <w:t>in</w:t>
      </w:r>
      <w:r w:rsidRPr="00BB4D40">
        <w:rPr>
          <w:rStyle w:val="rynqvb"/>
          <w:i/>
        </w:rPr>
        <w:t xml:space="preserve">creased by </w:t>
      </w:r>
      <w:r>
        <w:rPr>
          <w:rStyle w:val="rynqvb"/>
          <w:i/>
        </w:rPr>
        <w:t xml:space="preserve">9.4% </w:t>
      </w:r>
      <w:r w:rsidRPr="003105AA">
        <w:rPr>
          <w:i/>
          <w:color w:val="000000" w:themeColor="text1"/>
        </w:rPr>
        <w:t xml:space="preserve">over the same period last year. </w:t>
      </w:r>
      <w:r w:rsidRPr="003105AA">
        <w:rPr>
          <w:rFonts w:ascii="Times New Roman Italic" w:eastAsiaTheme="minorHAnsi" w:hAnsi="Times New Roman Italic"/>
          <w:bCs/>
          <w:i/>
          <w:spacing w:val="-6"/>
          <w:kern w:val="2"/>
          <w14:ligatures w14:val="standardContextual"/>
        </w:rPr>
        <w:t>Overall,</w:t>
      </w:r>
      <w:r w:rsidRPr="003105AA">
        <w:rPr>
          <w:i/>
          <w:color w:val="000000" w:themeColor="text1"/>
        </w:rPr>
        <w:t xml:space="preserve"> in </w:t>
      </w:r>
      <w:r>
        <w:rPr>
          <w:i/>
          <w:color w:val="000000" w:themeColor="text1"/>
        </w:rPr>
        <w:t>two months of 2025</w:t>
      </w:r>
      <w:r w:rsidRPr="003105AA">
        <w:rPr>
          <w:i/>
          <w:color w:val="000000" w:themeColor="text1"/>
        </w:rPr>
        <w:t xml:space="preserve">, the total retail sales of consumer goods and services was estimated to increase by </w:t>
      </w:r>
      <w:r>
        <w:rPr>
          <w:i/>
          <w:color w:val="000000" w:themeColor="text1"/>
        </w:rPr>
        <w:t>9.4</w:t>
      </w:r>
      <w:r w:rsidRPr="003105AA">
        <w:rPr>
          <w:i/>
          <w:color w:val="000000" w:themeColor="text1"/>
        </w:rPr>
        <w:t xml:space="preserve">% over the same period last year, of which </w:t>
      </w:r>
      <w:r w:rsidRPr="00BB4D40">
        <w:rPr>
          <w:bCs/>
          <w:i/>
          <w:lang w:val="nl-NL"/>
        </w:rPr>
        <w:t xml:space="preserve">revenue from accommodation and food services </w:t>
      </w:r>
      <w:r w:rsidRPr="003105AA">
        <w:rPr>
          <w:i/>
          <w:color w:val="000000" w:themeColor="text1"/>
        </w:rPr>
        <w:t xml:space="preserve">increased by </w:t>
      </w:r>
      <w:r>
        <w:rPr>
          <w:i/>
          <w:color w:val="000000" w:themeColor="text1"/>
        </w:rPr>
        <w:t>12.5</w:t>
      </w:r>
      <w:r w:rsidRPr="003105AA">
        <w:rPr>
          <w:i/>
          <w:color w:val="000000" w:themeColor="text1"/>
        </w:rPr>
        <w:t xml:space="preserve">%, revenue from tourism up to </w:t>
      </w:r>
      <w:r>
        <w:rPr>
          <w:i/>
          <w:color w:val="000000" w:themeColor="text1"/>
        </w:rPr>
        <w:t>16.4</w:t>
      </w:r>
      <w:r w:rsidRPr="003105AA">
        <w:rPr>
          <w:i/>
          <w:color w:val="000000" w:themeColor="text1"/>
        </w:rPr>
        <w:t>%.</w:t>
      </w:r>
    </w:p>
    <w:p w14:paraId="6629D6F6" w14:textId="77777777" w:rsidR="00753A68" w:rsidRDefault="00753A68" w:rsidP="00753A68">
      <w:pPr>
        <w:spacing w:beforeLines="40" w:before="96" w:afterLines="40" w:after="96" w:line="264" w:lineRule="auto"/>
        <w:ind w:firstLine="567"/>
        <w:jc w:val="both"/>
        <w:rPr>
          <w:rStyle w:val="rynqvb"/>
          <w:iCs/>
        </w:rPr>
      </w:pPr>
      <w:r w:rsidRPr="003105AA">
        <w:rPr>
          <w:iCs/>
        </w:rPr>
        <w:t xml:space="preserve">The total retail sales of consumer goods and services </w:t>
      </w:r>
      <w:r w:rsidRPr="00415158">
        <w:rPr>
          <w:rStyle w:val="rynqvb"/>
          <w:iCs/>
        </w:rPr>
        <w:t xml:space="preserve">at current prices in </w:t>
      </w:r>
      <w:r>
        <w:rPr>
          <w:rStyle w:val="rynqvb"/>
          <w:iCs/>
        </w:rPr>
        <w:t xml:space="preserve"> was</w:t>
      </w:r>
      <w:r w:rsidRPr="00415158">
        <w:rPr>
          <w:rStyle w:val="rynqvb"/>
          <w:iCs/>
        </w:rPr>
        <w:t xml:space="preserve"> estimated to reach </w:t>
      </w:r>
      <w:r>
        <w:rPr>
          <w:rStyle w:val="rynqvb"/>
          <w:iCs/>
        </w:rPr>
        <w:t>561.7</w:t>
      </w:r>
      <w:r w:rsidRPr="00415158">
        <w:rPr>
          <w:rStyle w:val="rynqvb"/>
          <w:iCs/>
        </w:rPr>
        <w:t xml:space="preserve"> trillion VND, </w:t>
      </w:r>
      <w:r w:rsidRPr="003105AA">
        <w:rPr>
          <w:rStyle w:val="rynqvb"/>
          <w:iCs/>
        </w:rPr>
        <w:t xml:space="preserve">down 2.5% </w:t>
      </w:r>
      <w:r w:rsidRPr="00BB4D40">
        <w:rPr>
          <w:lang w:val="pl-PL"/>
        </w:rPr>
        <w:t>over the previous month</w:t>
      </w:r>
      <w:r w:rsidRPr="00415158">
        <w:rPr>
          <w:rStyle w:val="rynqvb"/>
          <w:iCs/>
        </w:rPr>
        <w:t xml:space="preserve"> </w:t>
      </w:r>
      <w:r w:rsidRPr="003105AA">
        <w:rPr>
          <w:rStyle w:val="rynqvb"/>
          <w:iCs/>
        </w:rPr>
        <w:lastRenderedPageBreak/>
        <w:t xml:space="preserve">and up 9.4% </w:t>
      </w:r>
      <w:r w:rsidRPr="00415158">
        <w:rPr>
          <w:rStyle w:val="rynqvb"/>
          <w:iCs/>
        </w:rPr>
        <w:t>over the same period last year</w:t>
      </w:r>
      <w:r>
        <w:rPr>
          <w:rStyle w:val="FootnoteReference"/>
          <w:iCs/>
        </w:rPr>
        <w:footnoteReference w:id="15"/>
      </w:r>
      <w:r w:rsidRPr="00415158">
        <w:rPr>
          <w:rStyle w:val="rynqvb"/>
          <w:iCs/>
        </w:rPr>
        <w:t xml:space="preserve">, </w:t>
      </w:r>
      <w:r>
        <w:rPr>
          <w:rStyle w:val="rynqvb"/>
          <w:iCs/>
        </w:rPr>
        <w:t>of</w:t>
      </w:r>
      <w:r w:rsidRPr="003105AA">
        <w:rPr>
          <w:rStyle w:val="rynqvb"/>
          <w:iCs/>
        </w:rPr>
        <w:t xml:space="preserve"> which, revenue from cultural and educational items increased by 15.2%; household appliances, tools and equipment increased by 11.0%; garments increased by 10.6%; food and foodstuffs increased by 7.3%; accommodation and catering services increased by 12.7%; tourism and travel increased by 17.3% due to the high increase in the number of international visitors to Vietnam and Vietnamese tourists traveling abroad compared to the same period last year.</w:t>
      </w:r>
    </w:p>
    <w:p w14:paraId="6E28835D" w14:textId="77777777" w:rsidR="00753A68" w:rsidRPr="003105AA" w:rsidRDefault="00753A68" w:rsidP="00753A68">
      <w:pPr>
        <w:spacing w:beforeLines="40" w:before="96" w:afterLines="40" w:after="96" w:line="264" w:lineRule="auto"/>
        <w:jc w:val="center"/>
        <w:rPr>
          <w:rFonts w:ascii="Arial" w:hAnsi="Arial" w:cs="Arial"/>
          <w:b/>
          <w:bCs/>
          <w:sz w:val="24"/>
          <w:szCs w:val="24"/>
        </w:rPr>
      </w:pPr>
      <w:r w:rsidRPr="00BB4D40">
        <w:rPr>
          <w:rFonts w:ascii="Arial" w:hAnsi="Arial" w:cs="Arial"/>
          <w:b/>
          <w:sz w:val="24"/>
          <w:szCs w:val="24"/>
          <w:lang w:val="pl-PL"/>
        </w:rPr>
        <w:t xml:space="preserve">Table 3. </w:t>
      </w:r>
      <w:r>
        <w:rPr>
          <w:rFonts w:ascii="Arial" w:hAnsi="Arial" w:cs="Arial"/>
          <w:b/>
          <w:sz w:val="24"/>
          <w:szCs w:val="24"/>
          <w:lang w:val="pl-PL"/>
        </w:rPr>
        <w:t>The total r</w:t>
      </w:r>
      <w:r w:rsidRPr="003105AA">
        <w:rPr>
          <w:rFonts w:ascii="Arial" w:hAnsi="Arial" w:cs="Arial"/>
          <w:b/>
          <w:bCs/>
          <w:sz w:val="24"/>
          <w:szCs w:val="24"/>
        </w:rPr>
        <w:t xml:space="preserve">etail sales of consumer goods and services </w:t>
      </w:r>
      <w:r w:rsidRPr="00BB4D40">
        <w:rPr>
          <w:b/>
        </w:rPr>
        <w:t>at current prices</w:t>
      </w:r>
    </w:p>
    <w:p w14:paraId="23448B7C" w14:textId="77777777" w:rsidR="00753A68" w:rsidRPr="003105AA" w:rsidRDefault="00753A68" w:rsidP="00753A68">
      <w:pPr>
        <w:spacing w:beforeLines="40" w:before="96" w:afterLines="40" w:after="96" w:line="264" w:lineRule="auto"/>
        <w:ind w:firstLine="567"/>
        <w:jc w:val="center"/>
        <w:rPr>
          <w:rFonts w:ascii="Arial" w:hAnsi="Arial" w:cs="Arial"/>
          <w:b/>
          <w:bCs/>
          <w:sz w:val="2"/>
          <w:szCs w:val="20"/>
        </w:rPr>
      </w:pPr>
    </w:p>
    <w:p w14:paraId="17A7E1E6" w14:textId="77777777" w:rsidR="00753A68" w:rsidRPr="00BB4D40" w:rsidRDefault="00753A68" w:rsidP="00753A68">
      <w:pPr>
        <w:tabs>
          <w:tab w:val="left" w:pos="2835"/>
        </w:tabs>
        <w:spacing w:beforeLines="40" w:before="96" w:afterLines="40" w:after="96" w:line="264" w:lineRule="auto"/>
        <w:ind w:firstLine="567"/>
        <w:jc w:val="right"/>
        <w:rPr>
          <w:rFonts w:ascii="Arial" w:hAnsi="Arial" w:cs="Arial"/>
          <w:b/>
          <w:bCs/>
          <w:i/>
          <w:sz w:val="12"/>
          <w:szCs w:val="20"/>
        </w:rPr>
      </w:pPr>
      <w:r w:rsidRPr="00BB4D40">
        <w:rPr>
          <w:rFonts w:ascii="Arial" w:hAnsi="Arial" w:cs="Arial"/>
          <w:b/>
          <w:bCs/>
          <w:i/>
          <w:sz w:val="20"/>
          <w:szCs w:val="20"/>
        </w:rPr>
        <w:t>Trillion VND</w:t>
      </w:r>
    </w:p>
    <w:tbl>
      <w:tblPr>
        <w:tblW w:w="9009" w:type="dxa"/>
        <w:jc w:val="center"/>
        <w:tblLayout w:type="fixed"/>
        <w:tblLook w:val="04A0" w:firstRow="1" w:lastRow="0" w:firstColumn="1" w:lastColumn="0" w:noHBand="0" w:noVBand="1"/>
      </w:tblPr>
      <w:tblGrid>
        <w:gridCol w:w="2949"/>
        <w:gridCol w:w="1402"/>
        <w:gridCol w:w="1720"/>
        <w:gridCol w:w="1486"/>
        <w:gridCol w:w="1452"/>
      </w:tblGrid>
      <w:tr w:rsidR="00753A68" w:rsidRPr="00BB4D40" w14:paraId="7FD3AA54" w14:textId="77777777" w:rsidTr="00C47D68">
        <w:trPr>
          <w:cantSplit/>
          <w:trHeight w:val="229"/>
          <w:jc w:val="center"/>
        </w:trPr>
        <w:tc>
          <w:tcPr>
            <w:tcW w:w="2949" w:type="dxa"/>
            <w:tcBorders>
              <w:top w:val="single" w:sz="8" w:space="0" w:color="auto"/>
              <w:left w:val="nil"/>
              <w:bottom w:val="nil"/>
              <w:right w:val="nil"/>
            </w:tcBorders>
            <w:vAlign w:val="center"/>
            <w:hideMark/>
          </w:tcPr>
          <w:p w14:paraId="1E9203D5" w14:textId="77777777" w:rsidR="00753A68" w:rsidRPr="00BB4D40" w:rsidRDefault="00753A68" w:rsidP="00C47D68">
            <w:pPr>
              <w:spacing w:before="20" w:after="20" w:line="276" w:lineRule="auto"/>
              <w:jc w:val="both"/>
              <w:rPr>
                <w:rFonts w:ascii="Arial" w:hAnsi="Arial" w:cs="Arial"/>
                <w:sz w:val="20"/>
                <w:szCs w:val="20"/>
              </w:rPr>
            </w:pPr>
            <w:r w:rsidRPr="00BB4D40">
              <w:rPr>
                <w:rFonts w:ascii="Arial" w:hAnsi="Arial" w:cs="Arial"/>
                <w:bCs/>
                <w:sz w:val="20"/>
                <w:szCs w:val="20"/>
              </w:rPr>
              <w:t> </w:t>
            </w:r>
          </w:p>
        </w:tc>
        <w:tc>
          <w:tcPr>
            <w:tcW w:w="1402" w:type="dxa"/>
            <w:vMerge w:val="restart"/>
            <w:tcBorders>
              <w:top w:val="single" w:sz="4" w:space="0" w:color="auto"/>
              <w:left w:val="nil"/>
              <w:bottom w:val="single" w:sz="4" w:space="0" w:color="auto"/>
              <w:right w:val="nil"/>
            </w:tcBorders>
            <w:vAlign w:val="center"/>
            <w:hideMark/>
          </w:tcPr>
          <w:p w14:paraId="62A9BC99" w14:textId="77777777" w:rsidR="00753A68" w:rsidRPr="00BB4D40" w:rsidRDefault="00753A68" w:rsidP="00C47D68">
            <w:pPr>
              <w:spacing w:before="60" w:after="60" w:line="276" w:lineRule="auto"/>
              <w:jc w:val="center"/>
              <w:rPr>
                <w:rFonts w:ascii="Arial" w:hAnsi="Arial" w:cs="Arial"/>
                <w:bCs/>
                <w:sz w:val="20"/>
                <w:szCs w:val="20"/>
              </w:rPr>
            </w:pPr>
            <w:r w:rsidRPr="00BB4D40">
              <w:rPr>
                <w:rFonts w:ascii="Arial" w:hAnsi="Arial" w:cs="Arial"/>
                <w:bCs/>
                <w:sz w:val="20"/>
                <w:szCs w:val="20"/>
              </w:rPr>
              <w:t xml:space="preserve">Estimate </w:t>
            </w:r>
          </w:p>
          <w:p w14:paraId="24B51898" w14:textId="77777777" w:rsidR="00753A68" w:rsidRPr="00BB4D40" w:rsidRDefault="00753A68" w:rsidP="00C47D68">
            <w:pPr>
              <w:spacing w:before="60" w:after="60" w:line="276" w:lineRule="auto"/>
              <w:jc w:val="center"/>
              <w:rPr>
                <w:rFonts w:ascii="Arial" w:hAnsi="Arial" w:cs="Arial"/>
                <w:bCs/>
                <w:sz w:val="20"/>
                <w:szCs w:val="20"/>
              </w:rPr>
            </w:pPr>
            <w:r>
              <w:rPr>
                <w:rFonts w:ascii="Arial" w:hAnsi="Arial" w:cs="Arial"/>
                <w:bCs/>
                <w:sz w:val="20"/>
                <w:szCs w:val="20"/>
              </w:rPr>
              <w:t>February</w:t>
            </w:r>
          </w:p>
          <w:p w14:paraId="527D3EFB" w14:textId="77777777" w:rsidR="00753A68" w:rsidRPr="00BB4D40" w:rsidRDefault="00753A68" w:rsidP="00C47D68">
            <w:pPr>
              <w:spacing w:before="20" w:after="20" w:line="276" w:lineRule="auto"/>
              <w:jc w:val="center"/>
              <w:rPr>
                <w:rFonts w:ascii="Arial" w:hAnsi="Arial" w:cs="Arial"/>
                <w:sz w:val="20"/>
                <w:szCs w:val="20"/>
              </w:rPr>
            </w:pPr>
            <w:r w:rsidRPr="00BB4D40">
              <w:rPr>
                <w:rFonts w:ascii="Arial" w:hAnsi="Arial" w:cs="Arial"/>
                <w:bCs/>
                <w:sz w:val="20"/>
                <w:szCs w:val="20"/>
              </w:rPr>
              <w:t>202</w:t>
            </w:r>
            <w:r>
              <w:rPr>
                <w:rFonts w:ascii="Arial" w:hAnsi="Arial" w:cs="Arial"/>
                <w:bCs/>
                <w:sz w:val="20"/>
                <w:szCs w:val="20"/>
              </w:rPr>
              <w:t>5</w:t>
            </w:r>
          </w:p>
        </w:tc>
        <w:tc>
          <w:tcPr>
            <w:tcW w:w="1720" w:type="dxa"/>
            <w:vMerge w:val="restart"/>
            <w:tcBorders>
              <w:top w:val="single" w:sz="4" w:space="0" w:color="auto"/>
              <w:left w:val="nil"/>
              <w:bottom w:val="single" w:sz="4" w:space="0" w:color="auto"/>
              <w:right w:val="nil"/>
            </w:tcBorders>
            <w:vAlign w:val="center"/>
            <w:hideMark/>
          </w:tcPr>
          <w:p w14:paraId="29E61321" w14:textId="77777777" w:rsidR="00753A68" w:rsidRPr="00BB4D40" w:rsidRDefault="00753A68" w:rsidP="00C47D68">
            <w:pPr>
              <w:spacing w:before="60" w:after="60" w:line="276" w:lineRule="auto"/>
              <w:jc w:val="center"/>
              <w:rPr>
                <w:rFonts w:ascii="Arial" w:hAnsi="Arial" w:cs="Arial"/>
                <w:sz w:val="20"/>
                <w:szCs w:val="20"/>
                <w:lang w:val="pt-BR"/>
              </w:rPr>
            </w:pPr>
            <w:r w:rsidRPr="00BB4D40">
              <w:rPr>
                <w:rFonts w:ascii="Arial" w:hAnsi="Arial" w:cs="Arial"/>
                <w:bCs/>
                <w:sz w:val="20"/>
                <w:szCs w:val="20"/>
              </w:rPr>
              <w:t xml:space="preserve">Estimate </w:t>
            </w:r>
            <w:r>
              <w:rPr>
                <w:rFonts w:ascii="Arial" w:hAnsi="Arial" w:cs="Arial"/>
                <w:bCs/>
                <w:sz w:val="20"/>
                <w:szCs w:val="20"/>
              </w:rPr>
              <w:br/>
              <w:t xml:space="preserve">02 months </w:t>
            </w:r>
            <w:r w:rsidRPr="00BB4D40">
              <w:rPr>
                <w:rFonts w:ascii="Arial" w:hAnsi="Arial" w:cs="Arial"/>
                <w:bCs/>
                <w:sz w:val="20"/>
                <w:szCs w:val="20"/>
              </w:rPr>
              <w:br/>
              <w:t>of 202</w:t>
            </w:r>
            <w:r>
              <w:rPr>
                <w:rFonts w:ascii="Arial" w:hAnsi="Arial" w:cs="Arial"/>
                <w:bCs/>
                <w:sz w:val="20"/>
                <w:szCs w:val="20"/>
              </w:rPr>
              <w:t>5</w:t>
            </w:r>
          </w:p>
        </w:tc>
        <w:tc>
          <w:tcPr>
            <w:tcW w:w="2938" w:type="dxa"/>
            <w:gridSpan w:val="2"/>
            <w:vMerge w:val="restart"/>
            <w:tcBorders>
              <w:top w:val="single" w:sz="4" w:space="0" w:color="auto"/>
              <w:left w:val="nil"/>
              <w:bottom w:val="single" w:sz="4" w:space="0" w:color="auto"/>
              <w:right w:val="nil"/>
            </w:tcBorders>
            <w:vAlign w:val="center"/>
            <w:hideMark/>
          </w:tcPr>
          <w:p w14:paraId="7A789AB2" w14:textId="77777777" w:rsidR="00753A68" w:rsidRPr="00BB4D40" w:rsidRDefault="00753A68" w:rsidP="00C47D68">
            <w:pPr>
              <w:spacing w:before="20" w:after="20" w:line="276" w:lineRule="auto"/>
              <w:jc w:val="center"/>
              <w:rPr>
                <w:rFonts w:ascii="Arial" w:hAnsi="Arial" w:cs="Arial"/>
                <w:sz w:val="20"/>
                <w:szCs w:val="20"/>
                <w:lang w:val="pt-BR"/>
              </w:rPr>
            </w:pPr>
            <w:r w:rsidRPr="00BB4D40">
              <w:rPr>
                <w:rFonts w:ascii="Arial" w:hAnsi="Arial" w:cs="Arial"/>
                <w:bCs/>
                <w:sz w:val="20"/>
                <w:szCs w:val="20"/>
              </w:rPr>
              <w:t>G</w:t>
            </w:r>
            <w:r w:rsidRPr="00BB4D40">
              <w:rPr>
                <w:rFonts w:ascii="Arial" w:hAnsi="Arial" w:cs="Arial"/>
                <w:bCs/>
                <w:sz w:val="20"/>
                <w:szCs w:val="20"/>
                <w:lang w:val="vi-VN"/>
              </w:rPr>
              <w:t>rowth rate</w:t>
            </w:r>
            <w:r w:rsidRPr="00BB4D40">
              <w:rPr>
                <w:rFonts w:ascii="Arial" w:hAnsi="Arial" w:cs="Arial"/>
                <w:bCs/>
                <w:sz w:val="20"/>
                <w:szCs w:val="20"/>
              </w:rPr>
              <w:t xml:space="preserve"> compared to the same period last year (%)</w:t>
            </w:r>
          </w:p>
        </w:tc>
      </w:tr>
      <w:tr w:rsidR="00753A68" w:rsidRPr="00BB4D40" w14:paraId="2C85C775" w14:textId="77777777" w:rsidTr="00C47D68">
        <w:trPr>
          <w:cantSplit/>
          <w:trHeight w:val="193"/>
          <w:jc w:val="center"/>
        </w:trPr>
        <w:tc>
          <w:tcPr>
            <w:tcW w:w="2949" w:type="dxa"/>
            <w:vAlign w:val="center"/>
            <w:hideMark/>
          </w:tcPr>
          <w:p w14:paraId="763A4888" w14:textId="77777777" w:rsidR="00753A68" w:rsidRPr="00BB4D40" w:rsidRDefault="00753A68" w:rsidP="00C47D68">
            <w:pPr>
              <w:rPr>
                <w:rFonts w:ascii="Arial" w:hAnsi="Arial" w:cs="Arial"/>
                <w:sz w:val="20"/>
                <w:szCs w:val="20"/>
                <w:lang w:val="pt-BR"/>
              </w:rPr>
            </w:pPr>
          </w:p>
        </w:tc>
        <w:tc>
          <w:tcPr>
            <w:tcW w:w="1402" w:type="dxa"/>
            <w:vMerge/>
            <w:tcBorders>
              <w:top w:val="single" w:sz="4" w:space="0" w:color="auto"/>
              <w:left w:val="nil"/>
              <w:bottom w:val="single" w:sz="4" w:space="0" w:color="auto"/>
              <w:right w:val="nil"/>
            </w:tcBorders>
            <w:vAlign w:val="center"/>
            <w:hideMark/>
          </w:tcPr>
          <w:p w14:paraId="34FD7887" w14:textId="77777777" w:rsidR="00753A68" w:rsidRPr="00BB4D40" w:rsidRDefault="00753A68" w:rsidP="00C47D68">
            <w:pPr>
              <w:spacing w:line="256" w:lineRule="auto"/>
              <w:rPr>
                <w:rFonts w:ascii="Arial" w:hAnsi="Arial" w:cs="Arial"/>
                <w:sz w:val="20"/>
                <w:szCs w:val="20"/>
              </w:rPr>
            </w:pPr>
          </w:p>
        </w:tc>
        <w:tc>
          <w:tcPr>
            <w:tcW w:w="1720" w:type="dxa"/>
            <w:vMerge/>
            <w:tcBorders>
              <w:top w:val="single" w:sz="4" w:space="0" w:color="auto"/>
              <w:left w:val="nil"/>
              <w:bottom w:val="single" w:sz="4" w:space="0" w:color="auto"/>
              <w:right w:val="nil"/>
            </w:tcBorders>
            <w:vAlign w:val="center"/>
            <w:hideMark/>
          </w:tcPr>
          <w:p w14:paraId="7B0594E7" w14:textId="77777777" w:rsidR="00753A68" w:rsidRPr="00BB4D40" w:rsidRDefault="00753A68" w:rsidP="00C47D68">
            <w:pPr>
              <w:spacing w:line="256" w:lineRule="auto"/>
              <w:rPr>
                <w:rFonts w:ascii="Arial" w:hAnsi="Arial" w:cs="Arial"/>
                <w:sz w:val="20"/>
                <w:szCs w:val="20"/>
                <w:lang w:val="pt-BR"/>
              </w:rPr>
            </w:pPr>
          </w:p>
        </w:tc>
        <w:tc>
          <w:tcPr>
            <w:tcW w:w="2938" w:type="dxa"/>
            <w:gridSpan w:val="2"/>
            <w:vMerge/>
            <w:tcBorders>
              <w:top w:val="single" w:sz="4" w:space="0" w:color="auto"/>
              <w:left w:val="nil"/>
              <w:bottom w:val="single" w:sz="4" w:space="0" w:color="auto"/>
              <w:right w:val="nil"/>
            </w:tcBorders>
            <w:vAlign w:val="center"/>
            <w:hideMark/>
          </w:tcPr>
          <w:p w14:paraId="202E5529" w14:textId="77777777" w:rsidR="00753A68" w:rsidRPr="00BB4D40" w:rsidRDefault="00753A68" w:rsidP="00C47D68">
            <w:pPr>
              <w:spacing w:line="256" w:lineRule="auto"/>
              <w:rPr>
                <w:rFonts w:ascii="Arial" w:hAnsi="Arial" w:cs="Arial"/>
                <w:sz w:val="20"/>
                <w:szCs w:val="20"/>
                <w:lang w:val="pt-BR"/>
              </w:rPr>
            </w:pPr>
          </w:p>
        </w:tc>
      </w:tr>
      <w:tr w:rsidR="00753A68" w:rsidRPr="00BB4D40" w14:paraId="4B1FB0BE" w14:textId="77777777" w:rsidTr="00C47D68">
        <w:trPr>
          <w:cantSplit/>
          <w:trHeight w:val="106"/>
          <w:jc w:val="center"/>
        </w:trPr>
        <w:tc>
          <w:tcPr>
            <w:tcW w:w="2949" w:type="dxa"/>
            <w:vAlign w:val="center"/>
            <w:hideMark/>
          </w:tcPr>
          <w:p w14:paraId="2341AADF" w14:textId="77777777" w:rsidR="00753A68" w:rsidRPr="00BB4D40" w:rsidRDefault="00753A68" w:rsidP="00C47D68">
            <w:pPr>
              <w:spacing w:line="256" w:lineRule="auto"/>
              <w:rPr>
                <w:rFonts w:asciiTheme="minorHAnsi" w:eastAsiaTheme="minorHAnsi" w:hAnsiTheme="minorHAnsi" w:cstheme="minorBidi"/>
                <w:sz w:val="20"/>
                <w:szCs w:val="20"/>
              </w:rPr>
            </w:pPr>
          </w:p>
        </w:tc>
        <w:tc>
          <w:tcPr>
            <w:tcW w:w="1402" w:type="dxa"/>
            <w:vMerge/>
            <w:tcBorders>
              <w:top w:val="single" w:sz="4" w:space="0" w:color="auto"/>
              <w:left w:val="nil"/>
              <w:bottom w:val="single" w:sz="4" w:space="0" w:color="auto"/>
              <w:right w:val="nil"/>
            </w:tcBorders>
            <w:vAlign w:val="center"/>
            <w:hideMark/>
          </w:tcPr>
          <w:p w14:paraId="2944FEE9" w14:textId="77777777" w:rsidR="00753A68" w:rsidRPr="00BB4D40" w:rsidRDefault="00753A68" w:rsidP="00C47D68">
            <w:pPr>
              <w:spacing w:line="256" w:lineRule="auto"/>
              <w:rPr>
                <w:rFonts w:ascii="Arial" w:hAnsi="Arial" w:cs="Arial"/>
                <w:sz w:val="20"/>
                <w:szCs w:val="20"/>
              </w:rPr>
            </w:pPr>
          </w:p>
        </w:tc>
        <w:tc>
          <w:tcPr>
            <w:tcW w:w="1720" w:type="dxa"/>
            <w:vMerge/>
            <w:tcBorders>
              <w:top w:val="single" w:sz="4" w:space="0" w:color="auto"/>
              <w:left w:val="nil"/>
              <w:bottom w:val="single" w:sz="4" w:space="0" w:color="auto"/>
              <w:right w:val="nil"/>
            </w:tcBorders>
            <w:vAlign w:val="center"/>
            <w:hideMark/>
          </w:tcPr>
          <w:p w14:paraId="56F3F893" w14:textId="77777777" w:rsidR="00753A68" w:rsidRPr="00BB4D40" w:rsidRDefault="00753A68" w:rsidP="00C47D68">
            <w:pPr>
              <w:spacing w:line="256" w:lineRule="auto"/>
              <w:rPr>
                <w:rFonts w:ascii="Arial" w:hAnsi="Arial" w:cs="Arial"/>
                <w:sz w:val="20"/>
                <w:szCs w:val="20"/>
                <w:lang w:val="pt-BR"/>
              </w:rPr>
            </w:pPr>
          </w:p>
        </w:tc>
        <w:tc>
          <w:tcPr>
            <w:tcW w:w="1486" w:type="dxa"/>
            <w:vMerge w:val="restart"/>
            <w:tcBorders>
              <w:top w:val="nil"/>
              <w:left w:val="nil"/>
              <w:bottom w:val="single" w:sz="4" w:space="0" w:color="auto"/>
              <w:right w:val="nil"/>
            </w:tcBorders>
            <w:vAlign w:val="center"/>
            <w:hideMark/>
          </w:tcPr>
          <w:p w14:paraId="689407A0" w14:textId="77777777" w:rsidR="00753A68" w:rsidRPr="00BB4D40" w:rsidRDefault="00753A68" w:rsidP="00C47D68">
            <w:pPr>
              <w:spacing w:before="60" w:after="60" w:line="276" w:lineRule="auto"/>
              <w:jc w:val="center"/>
              <w:rPr>
                <w:rFonts w:ascii="Arial" w:hAnsi="Arial" w:cs="Arial"/>
                <w:bCs/>
                <w:sz w:val="20"/>
                <w:szCs w:val="20"/>
              </w:rPr>
            </w:pPr>
            <w:r>
              <w:rPr>
                <w:rFonts w:ascii="Arial" w:hAnsi="Arial" w:cs="Arial"/>
                <w:bCs/>
                <w:sz w:val="20"/>
                <w:szCs w:val="20"/>
              </w:rPr>
              <w:t>February</w:t>
            </w:r>
          </w:p>
          <w:p w14:paraId="11F5785E" w14:textId="77777777" w:rsidR="00753A68" w:rsidRPr="00BB4D40" w:rsidRDefault="00753A68" w:rsidP="00C47D68">
            <w:pPr>
              <w:spacing w:before="60" w:after="60" w:line="276" w:lineRule="auto"/>
              <w:jc w:val="center"/>
              <w:rPr>
                <w:rFonts w:ascii="Arial" w:hAnsi="Arial" w:cs="Arial"/>
                <w:sz w:val="20"/>
                <w:szCs w:val="20"/>
              </w:rPr>
            </w:pPr>
            <w:r w:rsidRPr="00BB4D40">
              <w:rPr>
                <w:rFonts w:ascii="Arial" w:hAnsi="Arial" w:cs="Arial"/>
                <w:bCs/>
                <w:sz w:val="20"/>
                <w:szCs w:val="20"/>
              </w:rPr>
              <w:t>in 202</w:t>
            </w:r>
            <w:r>
              <w:rPr>
                <w:rFonts w:ascii="Arial" w:hAnsi="Arial" w:cs="Arial"/>
                <w:bCs/>
                <w:sz w:val="20"/>
                <w:szCs w:val="20"/>
              </w:rPr>
              <w:t>5</w:t>
            </w:r>
          </w:p>
        </w:tc>
        <w:tc>
          <w:tcPr>
            <w:tcW w:w="1452" w:type="dxa"/>
            <w:vMerge w:val="restart"/>
            <w:tcBorders>
              <w:top w:val="nil"/>
              <w:left w:val="nil"/>
              <w:bottom w:val="single" w:sz="4" w:space="0" w:color="auto"/>
              <w:right w:val="nil"/>
            </w:tcBorders>
            <w:vAlign w:val="center"/>
            <w:hideMark/>
          </w:tcPr>
          <w:p w14:paraId="11176F90" w14:textId="77777777" w:rsidR="00753A68" w:rsidRPr="00BB4D40" w:rsidRDefault="00753A68" w:rsidP="00C47D68">
            <w:pPr>
              <w:spacing w:before="60" w:after="60" w:line="276" w:lineRule="auto"/>
              <w:jc w:val="center"/>
              <w:rPr>
                <w:rFonts w:ascii="Arial" w:hAnsi="Arial" w:cs="Arial"/>
                <w:sz w:val="20"/>
                <w:szCs w:val="20"/>
              </w:rPr>
            </w:pPr>
            <w:r>
              <w:rPr>
                <w:rFonts w:ascii="Arial" w:hAnsi="Arial" w:cs="Arial"/>
                <w:bCs/>
                <w:sz w:val="20"/>
                <w:szCs w:val="20"/>
              </w:rPr>
              <w:t>02</w:t>
            </w:r>
            <w:r w:rsidRPr="00BB4D40">
              <w:rPr>
                <w:rFonts w:ascii="Arial" w:hAnsi="Arial" w:cs="Arial"/>
                <w:bCs/>
                <w:sz w:val="20"/>
                <w:szCs w:val="20"/>
              </w:rPr>
              <w:t xml:space="preserve"> months</w:t>
            </w:r>
            <w:r w:rsidRPr="00BB4D40">
              <w:rPr>
                <w:rFonts w:ascii="Arial" w:hAnsi="Arial" w:cs="Arial"/>
                <w:bCs/>
                <w:sz w:val="20"/>
                <w:szCs w:val="20"/>
              </w:rPr>
              <w:br/>
              <w:t>of 202</w:t>
            </w:r>
            <w:r>
              <w:rPr>
                <w:rFonts w:ascii="Arial" w:hAnsi="Arial" w:cs="Arial"/>
                <w:bCs/>
                <w:sz w:val="20"/>
                <w:szCs w:val="20"/>
              </w:rPr>
              <w:t>5</w:t>
            </w:r>
          </w:p>
        </w:tc>
      </w:tr>
      <w:tr w:rsidR="00753A68" w:rsidRPr="00BB4D40" w14:paraId="715F334D" w14:textId="77777777" w:rsidTr="00C47D68">
        <w:trPr>
          <w:cantSplit/>
          <w:trHeight w:val="454"/>
          <w:jc w:val="center"/>
        </w:trPr>
        <w:tc>
          <w:tcPr>
            <w:tcW w:w="2949" w:type="dxa"/>
            <w:vAlign w:val="center"/>
            <w:hideMark/>
          </w:tcPr>
          <w:p w14:paraId="19CC432A" w14:textId="77777777" w:rsidR="00753A68" w:rsidRPr="00BB4D40" w:rsidRDefault="00753A68" w:rsidP="00C47D68">
            <w:pPr>
              <w:rPr>
                <w:rFonts w:ascii="Arial" w:hAnsi="Arial" w:cs="Arial"/>
                <w:sz w:val="20"/>
                <w:szCs w:val="20"/>
              </w:rPr>
            </w:pPr>
          </w:p>
        </w:tc>
        <w:tc>
          <w:tcPr>
            <w:tcW w:w="1402" w:type="dxa"/>
            <w:vMerge/>
            <w:tcBorders>
              <w:top w:val="single" w:sz="4" w:space="0" w:color="auto"/>
              <w:left w:val="nil"/>
              <w:bottom w:val="single" w:sz="4" w:space="0" w:color="auto"/>
              <w:right w:val="nil"/>
            </w:tcBorders>
            <w:vAlign w:val="center"/>
            <w:hideMark/>
          </w:tcPr>
          <w:p w14:paraId="4C396970" w14:textId="77777777" w:rsidR="00753A68" w:rsidRPr="00BB4D40" w:rsidRDefault="00753A68" w:rsidP="00C47D68">
            <w:pPr>
              <w:spacing w:line="256" w:lineRule="auto"/>
              <w:rPr>
                <w:rFonts w:ascii="Arial" w:hAnsi="Arial" w:cs="Arial"/>
                <w:sz w:val="20"/>
                <w:szCs w:val="20"/>
              </w:rPr>
            </w:pPr>
          </w:p>
        </w:tc>
        <w:tc>
          <w:tcPr>
            <w:tcW w:w="1720" w:type="dxa"/>
            <w:vMerge/>
            <w:tcBorders>
              <w:top w:val="single" w:sz="4" w:space="0" w:color="auto"/>
              <w:left w:val="nil"/>
              <w:bottom w:val="single" w:sz="4" w:space="0" w:color="auto"/>
              <w:right w:val="nil"/>
            </w:tcBorders>
            <w:vAlign w:val="center"/>
            <w:hideMark/>
          </w:tcPr>
          <w:p w14:paraId="518EDCF5" w14:textId="77777777" w:rsidR="00753A68" w:rsidRPr="00BB4D40" w:rsidRDefault="00753A68" w:rsidP="00C47D68">
            <w:pPr>
              <w:spacing w:line="256" w:lineRule="auto"/>
              <w:rPr>
                <w:rFonts w:ascii="Arial" w:hAnsi="Arial" w:cs="Arial"/>
                <w:sz w:val="20"/>
                <w:szCs w:val="20"/>
                <w:lang w:val="pt-BR"/>
              </w:rPr>
            </w:pPr>
          </w:p>
        </w:tc>
        <w:tc>
          <w:tcPr>
            <w:tcW w:w="1486" w:type="dxa"/>
            <w:vMerge/>
            <w:tcBorders>
              <w:top w:val="nil"/>
              <w:left w:val="nil"/>
              <w:bottom w:val="single" w:sz="4" w:space="0" w:color="auto"/>
              <w:right w:val="nil"/>
            </w:tcBorders>
            <w:vAlign w:val="center"/>
            <w:hideMark/>
          </w:tcPr>
          <w:p w14:paraId="70BF72BA" w14:textId="77777777" w:rsidR="00753A68" w:rsidRPr="00BB4D40" w:rsidRDefault="00753A68" w:rsidP="00C47D68">
            <w:pPr>
              <w:spacing w:line="256" w:lineRule="auto"/>
              <w:rPr>
                <w:rFonts w:ascii="Arial" w:hAnsi="Arial" w:cs="Arial"/>
                <w:sz w:val="20"/>
                <w:szCs w:val="20"/>
              </w:rPr>
            </w:pPr>
          </w:p>
        </w:tc>
        <w:tc>
          <w:tcPr>
            <w:tcW w:w="1452" w:type="dxa"/>
            <w:vMerge/>
            <w:tcBorders>
              <w:top w:val="nil"/>
              <w:left w:val="nil"/>
              <w:bottom w:val="single" w:sz="4" w:space="0" w:color="auto"/>
              <w:right w:val="nil"/>
            </w:tcBorders>
            <w:vAlign w:val="center"/>
            <w:hideMark/>
          </w:tcPr>
          <w:p w14:paraId="7BA12D99" w14:textId="77777777" w:rsidR="00753A68" w:rsidRPr="00BB4D40" w:rsidRDefault="00753A68" w:rsidP="00C47D68">
            <w:pPr>
              <w:spacing w:line="256" w:lineRule="auto"/>
              <w:rPr>
                <w:rFonts w:ascii="Arial" w:hAnsi="Arial" w:cs="Arial"/>
                <w:sz w:val="20"/>
                <w:szCs w:val="20"/>
              </w:rPr>
            </w:pPr>
          </w:p>
        </w:tc>
      </w:tr>
      <w:tr w:rsidR="00753A68" w:rsidRPr="00BB4D40" w14:paraId="5997EE15" w14:textId="77777777" w:rsidTr="00C47D68">
        <w:trPr>
          <w:cantSplit/>
          <w:trHeight w:val="301"/>
          <w:jc w:val="center"/>
        </w:trPr>
        <w:tc>
          <w:tcPr>
            <w:tcW w:w="2949" w:type="dxa"/>
            <w:vAlign w:val="center"/>
            <w:hideMark/>
          </w:tcPr>
          <w:p w14:paraId="6C400063" w14:textId="77777777" w:rsidR="00753A68" w:rsidRPr="00BB4D40" w:rsidRDefault="00753A68" w:rsidP="00C47D68">
            <w:pPr>
              <w:spacing w:before="80" w:after="80" w:line="276" w:lineRule="auto"/>
              <w:rPr>
                <w:rFonts w:ascii="Arial" w:hAnsi="Arial" w:cs="Arial"/>
                <w:b/>
                <w:bCs/>
                <w:sz w:val="20"/>
                <w:szCs w:val="20"/>
              </w:rPr>
            </w:pPr>
            <w:r w:rsidRPr="00BB4D40">
              <w:rPr>
                <w:rFonts w:ascii="Arial" w:hAnsi="Arial" w:cs="Arial"/>
                <w:b/>
                <w:bCs/>
                <w:color w:val="000000" w:themeColor="text1"/>
                <w:sz w:val="20"/>
                <w:szCs w:val="20"/>
              </w:rPr>
              <w:t>Total</w:t>
            </w:r>
          </w:p>
        </w:tc>
        <w:tc>
          <w:tcPr>
            <w:tcW w:w="1402" w:type="dxa"/>
            <w:tcBorders>
              <w:top w:val="single" w:sz="4" w:space="0" w:color="auto"/>
              <w:left w:val="nil"/>
              <w:bottom w:val="nil"/>
              <w:right w:val="nil"/>
            </w:tcBorders>
            <w:vAlign w:val="center"/>
            <w:hideMark/>
          </w:tcPr>
          <w:p w14:paraId="6E5BDA10" w14:textId="77777777" w:rsidR="00753A68" w:rsidRPr="00415158" w:rsidRDefault="00753A68" w:rsidP="00C47D68">
            <w:pPr>
              <w:spacing w:before="80" w:after="80"/>
              <w:ind w:right="321"/>
              <w:jc w:val="right"/>
              <w:rPr>
                <w:rFonts w:ascii="Arial" w:hAnsi="Arial" w:cs="Arial"/>
                <w:b/>
                <w:bCs/>
                <w:sz w:val="20"/>
                <w:szCs w:val="20"/>
                <w:lang w:val="it-IT"/>
              </w:rPr>
            </w:pPr>
            <w:r w:rsidRPr="00C30E94">
              <w:rPr>
                <w:rFonts w:ascii="Arial" w:hAnsi="Arial" w:cs="Arial"/>
                <w:b/>
                <w:bCs/>
                <w:sz w:val="20"/>
                <w:szCs w:val="20"/>
              </w:rPr>
              <w:t xml:space="preserve">      561</w:t>
            </w:r>
            <w:r>
              <w:rPr>
                <w:rFonts w:ascii="Arial" w:hAnsi="Arial" w:cs="Arial"/>
                <w:b/>
                <w:bCs/>
                <w:sz w:val="20"/>
                <w:szCs w:val="20"/>
              </w:rPr>
              <w:t>.</w:t>
            </w:r>
            <w:r w:rsidRPr="00C30E94">
              <w:rPr>
                <w:rFonts w:ascii="Arial" w:hAnsi="Arial" w:cs="Arial"/>
                <w:b/>
                <w:bCs/>
                <w:sz w:val="20"/>
                <w:szCs w:val="20"/>
              </w:rPr>
              <w:t xml:space="preserve">7 </w:t>
            </w:r>
          </w:p>
        </w:tc>
        <w:tc>
          <w:tcPr>
            <w:tcW w:w="1720" w:type="dxa"/>
            <w:tcBorders>
              <w:top w:val="single" w:sz="4" w:space="0" w:color="auto"/>
              <w:left w:val="nil"/>
              <w:bottom w:val="nil"/>
              <w:right w:val="nil"/>
            </w:tcBorders>
            <w:vAlign w:val="center"/>
            <w:hideMark/>
          </w:tcPr>
          <w:p w14:paraId="54C97AA4" w14:textId="77777777" w:rsidR="00753A68" w:rsidRPr="00415158" w:rsidRDefault="00753A68" w:rsidP="00C47D68">
            <w:pPr>
              <w:spacing w:before="80" w:after="80"/>
              <w:ind w:right="321"/>
              <w:jc w:val="right"/>
              <w:rPr>
                <w:rFonts w:ascii="Arial" w:hAnsi="Arial" w:cs="Arial"/>
                <w:b/>
                <w:bCs/>
                <w:sz w:val="20"/>
                <w:szCs w:val="20"/>
                <w:lang w:val="it-IT"/>
              </w:rPr>
            </w:pPr>
            <w:r w:rsidRPr="00C30E94">
              <w:rPr>
                <w:rFonts w:ascii="Arial" w:hAnsi="Arial" w:cs="Arial"/>
                <w:b/>
                <w:bCs/>
                <w:sz w:val="20"/>
                <w:szCs w:val="20"/>
              </w:rPr>
              <w:t xml:space="preserve">      1</w:t>
            </w:r>
            <w:r>
              <w:rPr>
                <w:rFonts w:ascii="Arial" w:hAnsi="Arial" w:cs="Arial"/>
                <w:b/>
                <w:bCs/>
                <w:sz w:val="20"/>
                <w:szCs w:val="20"/>
              </w:rPr>
              <w:t>,</w:t>
            </w:r>
            <w:r w:rsidRPr="00C30E94">
              <w:rPr>
                <w:rFonts w:ascii="Arial" w:hAnsi="Arial" w:cs="Arial"/>
                <w:b/>
                <w:bCs/>
                <w:sz w:val="20"/>
                <w:szCs w:val="20"/>
              </w:rPr>
              <w:t>137</w:t>
            </w:r>
            <w:r>
              <w:rPr>
                <w:rFonts w:ascii="Arial" w:hAnsi="Arial" w:cs="Arial"/>
                <w:b/>
                <w:bCs/>
                <w:sz w:val="20"/>
                <w:szCs w:val="20"/>
              </w:rPr>
              <w:t>.</w:t>
            </w:r>
            <w:r w:rsidRPr="00C30E94">
              <w:rPr>
                <w:rFonts w:ascii="Arial" w:hAnsi="Arial" w:cs="Arial"/>
                <w:b/>
                <w:bCs/>
                <w:sz w:val="20"/>
                <w:szCs w:val="20"/>
              </w:rPr>
              <w:t xml:space="preserve">5 </w:t>
            </w:r>
          </w:p>
        </w:tc>
        <w:tc>
          <w:tcPr>
            <w:tcW w:w="1486" w:type="dxa"/>
            <w:tcBorders>
              <w:top w:val="single" w:sz="4" w:space="0" w:color="auto"/>
              <w:left w:val="nil"/>
              <w:bottom w:val="nil"/>
              <w:right w:val="nil"/>
            </w:tcBorders>
            <w:vAlign w:val="center"/>
            <w:hideMark/>
          </w:tcPr>
          <w:p w14:paraId="5072D5E5" w14:textId="77777777" w:rsidR="00753A68" w:rsidRPr="00415158" w:rsidRDefault="00753A68" w:rsidP="00C47D68">
            <w:pPr>
              <w:spacing w:before="80" w:after="80"/>
              <w:ind w:right="464"/>
              <w:jc w:val="right"/>
              <w:rPr>
                <w:rFonts w:ascii="Arial" w:hAnsi="Arial" w:cs="Arial"/>
                <w:b/>
                <w:bCs/>
                <w:sz w:val="20"/>
                <w:szCs w:val="20"/>
                <w:lang w:val="it-IT"/>
              </w:rPr>
            </w:pPr>
            <w:r w:rsidRPr="00C30E94">
              <w:rPr>
                <w:rFonts w:ascii="Arial" w:hAnsi="Arial" w:cs="Arial"/>
                <w:b/>
                <w:bCs/>
                <w:sz w:val="20"/>
                <w:szCs w:val="20"/>
              </w:rPr>
              <w:t xml:space="preserve">         9</w:t>
            </w:r>
            <w:r>
              <w:rPr>
                <w:rFonts w:ascii="Arial" w:hAnsi="Arial" w:cs="Arial"/>
                <w:b/>
                <w:bCs/>
                <w:sz w:val="20"/>
                <w:szCs w:val="20"/>
              </w:rPr>
              <w:t>.</w:t>
            </w:r>
            <w:r w:rsidRPr="00C30E94">
              <w:rPr>
                <w:rFonts w:ascii="Arial" w:hAnsi="Arial" w:cs="Arial"/>
                <w:b/>
                <w:bCs/>
                <w:sz w:val="20"/>
                <w:szCs w:val="20"/>
              </w:rPr>
              <w:t xml:space="preserve">4 </w:t>
            </w:r>
          </w:p>
        </w:tc>
        <w:tc>
          <w:tcPr>
            <w:tcW w:w="1452" w:type="dxa"/>
            <w:tcBorders>
              <w:top w:val="single" w:sz="4" w:space="0" w:color="auto"/>
              <w:left w:val="nil"/>
              <w:bottom w:val="nil"/>
              <w:right w:val="nil"/>
            </w:tcBorders>
            <w:vAlign w:val="center"/>
            <w:hideMark/>
          </w:tcPr>
          <w:p w14:paraId="608496BE" w14:textId="77777777" w:rsidR="00753A68" w:rsidRPr="00415158" w:rsidRDefault="00753A68" w:rsidP="00C47D68">
            <w:pPr>
              <w:spacing w:before="80" w:after="80"/>
              <w:ind w:right="464"/>
              <w:jc w:val="right"/>
              <w:rPr>
                <w:rFonts w:ascii="Arial" w:hAnsi="Arial" w:cs="Arial"/>
                <w:b/>
                <w:bCs/>
                <w:sz w:val="20"/>
                <w:szCs w:val="20"/>
                <w:lang w:val="it-IT"/>
              </w:rPr>
            </w:pPr>
            <w:r w:rsidRPr="00C30E94">
              <w:rPr>
                <w:rFonts w:ascii="Arial" w:hAnsi="Arial" w:cs="Arial"/>
                <w:b/>
                <w:bCs/>
                <w:sz w:val="20"/>
                <w:szCs w:val="20"/>
              </w:rPr>
              <w:t xml:space="preserve">        9</w:t>
            </w:r>
            <w:r>
              <w:rPr>
                <w:rFonts w:ascii="Arial" w:hAnsi="Arial" w:cs="Arial"/>
                <w:b/>
                <w:bCs/>
                <w:sz w:val="20"/>
                <w:szCs w:val="20"/>
              </w:rPr>
              <w:t>.</w:t>
            </w:r>
            <w:r w:rsidRPr="00C30E94">
              <w:rPr>
                <w:rFonts w:ascii="Arial" w:hAnsi="Arial" w:cs="Arial"/>
                <w:b/>
                <w:bCs/>
                <w:sz w:val="20"/>
                <w:szCs w:val="20"/>
              </w:rPr>
              <w:t xml:space="preserve">4 </w:t>
            </w:r>
          </w:p>
        </w:tc>
      </w:tr>
      <w:tr w:rsidR="00753A68" w:rsidRPr="00BB4D40" w14:paraId="65C7BA10" w14:textId="77777777" w:rsidTr="00C47D68">
        <w:trPr>
          <w:cantSplit/>
          <w:trHeight w:val="260"/>
          <w:jc w:val="center"/>
        </w:trPr>
        <w:tc>
          <w:tcPr>
            <w:tcW w:w="2949" w:type="dxa"/>
            <w:vAlign w:val="center"/>
            <w:hideMark/>
          </w:tcPr>
          <w:p w14:paraId="34958D85" w14:textId="77777777" w:rsidR="00753A68" w:rsidRPr="00BB4D40" w:rsidRDefault="00753A68" w:rsidP="00C47D68">
            <w:pPr>
              <w:spacing w:line="276" w:lineRule="auto"/>
              <w:ind w:left="318"/>
              <w:rPr>
                <w:rFonts w:ascii="Arial" w:hAnsi="Arial" w:cs="Arial"/>
                <w:sz w:val="20"/>
                <w:szCs w:val="20"/>
              </w:rPr>
            </w:pPr>
            <w:r w:rsidRPr="00BB4D40">
              <w:rPr>
                <w:rFonts w:ascii="Arial" w:hAnsi="Arial" w:cs="Arial"/>
                <w:bCs/>
                <w:color w:val="000000" w:themeColor="text1"/>
                <w:sz w:val="20"/>
                <w:szCs w:val="20"/>
              </w:rPr>
              <w:t>Retail sale of goods</w:t>
            </w:r>
          </w:p>
        </w:tc>
        <w:tc>
          <w:tcPr>
            <w:tcW w:w="1402" w:type="dxa"/>
            <w:vAlign w:val="center"/>
            <w:hideMark/>
          </w:tcPr>
          <w:p w14:paraId="686304C0" w14:textId="77777777" w:rsidR="00753A68" w:rsidRPr="00415158" w:rsidRDefault="00753A68" w:rsidP="00C47D68">
            <w:pPr>
              <w:ind w:right="321"/>
              <w:jc w:val="right"/>
              <w:rPr>
                <w:rFonts w:ascii="Arial" w:hAnsi="Arial" w:cs="Arial"/>
                <w:bCs/>
                <w:sz w:val="20"/>
                <w:szCs w:val="20"/>
                <w:lang w:val="it-IT"/>
              </w:rPr>
            </w:pPr>
            <w:r w:rsidRPr="00C30E94">
              <w:rPr>
                <w:rFonts w:ascii="Arial" w:hAnsi="Arial" w:cs="Arial"/>
                <w:sz w:val="20"/>
                <w:szCs w:val="20"/>
              </w:rPr>
              <w:t xml:space="preserve">      432</w:t>
            </w:r>
            <w:r>
              <w:rPr>
                <w:rFonts w:ascii="Arial" w:hAnsi="Arial" w:cs="Arial"/>
                <w:sz w:val="20"/>
                <w:szCs w:val="20"/>
              </w:rPr>
              <w:t>.</w:t>
            </w:r>
            <w:r w:rsidRPr="00C30E94">
              <w:rPr>
                <w:rFonts w:ascii="Arial" w:hAnsi="Arial" w:cs="Arial"/>
                <w:sz w:val="20"/>
                <w:szCs w:val="20"/>
              </w:rPr>
              <w:t xml:space="preserve">5 </w:t>
            </w:r>
          </w:p>
        </w:tc>
        <w:tc>
          <w:tcPr>
            <w:tcW w:w="1720" w:type="dxa"/>
            <w:vAlign w:val="center"/>
            <w:hideMark/>
          </w:tcPr>
          <w:p w14:paraId="39BA26FF" w14:textId="77777777" w:rsidR="00753A68" w:rsidRPr="00415158" w:rsidRDefault="00753A68" w:rsidP="00C47D68">
            <w:pPr>
              <w:ind w:right="321"/>
              <w:jc w:val="right"/>
              <w:rPr>
                <w:rFonts w:ascii="Arial" w:hAnsi="Arial" w:cs="Arial"/>
                <w:bCs/>
                <w:sz w:val="20"/>
                <w:szCs w:val="20"/>
                <w:lang w:val="it-IT"/>
              </w:rPr>
            </w:pPr>
            <w:r w:rsidRPr="00C30E94">
              <w:rPr>
                <w:rFonts w:ascii="Arial" w:hAnsi="Arial" w:cs="Arial"/>
                <w:sz w:val="20"/>
                <w:szCs w:val="20"/>
              </w:rPr>
              <w:t xml:space="preserve">         878</w:t>
            </w:r>
            <w:r>
              <w:rPr>
                <w:rFonts w:ascii="Arial" w:hAnsi="Arial" w:cs="Arial"/>
                <w:sz w:val="20"/>
                <w:szCs w:val="20"/>
              </w:rPr>
              <w:t>.</w:t>
            </w:r>
            <w:r w:rsidRPr="00C30E94">
              <w:rPr>
                <w:rFonts w:ascii="Arial" w:hAnsi="Arial" w:cs="Arial"/>
                <w:sz w:val="20"/>
                <w:szCs w:val="20"/>
              </w:rPr>
              <w:t xml:space="preserve">4 </w:t>
            </w:r>
          </w:p>
        </w:tc>
        <w:tc>
          <w:tcPr>
            <w:tcW w:w="1486" w:type="dxa"/>
            <w:vAlign w:val="center"/>
            <w:hideMark/>
          </w:tcPr>
          <w:p w14:paraId="3576D808" w14:textId="77777777" w:rsidR="00753A68" w:rsidRPr="00415158" w:rsidRDefault="00753A68" w:rsidP="00C47D68">
            <w:pPr>
              <w:ind w:right="464"/>
              <w:jc w:val="right"/>
              <w:rPr>
                <w:rFonts w:ascii="Arial" w:hAnsi="Arial" w:cs="Arial"/>
                <w:bCs/>
                <w:sz w:val="20"/>
                <w:szCs w:val="20"/>
                <w:lang w:val="it-IT"/>
              </w:rPr>
            </w:pPr>
            <w:r w:rsidRPr="00C30E94">
              <w:rPr>
                <w:rFonts w:ascii="Arial" w:hAnsi="Arial" w:cs="Arial"/>
                <w:sz w:val="20"/>
                <w:szCs w:val="20"/>
              </w:rPr>
              <w:t xml:space="preserve">         8</w:t>
            </w:r>
            <w:r>
              <w:rPr>
                <w:rFonts w:ascii="Arial" w:hAnsi="Arial" w:cs="Arial"/>
                <w:sz w:val="20"/>
                <w:szCs w:val="20"/>
              </w:rPr>
              <w:t>.</w:t>
            </w:r>
            <w:r w:rsidRPr="00C30E94">
              <w:rPr>
                <w:rFonts w:ascii="Arial" w:hAnsi="Arial" w:cs="Arial"/>
                <w:sz w:val="20"/>
                <w:szCs w:val="20"/>
              </w:rPr>
              <w:t xml:space="preserve">3 </w:t>
            </w:r>
          </w:p>
        </w:tc>
        <w:tc>
          <w:tcPr>
            <w:tcW w:w="1452" w:type="dxa"/>
            <w:vAlign w:val="center"/>
            <w:hideMark/>
          </w:tcPr>
          <w:p w14:paraId="2B4A8B1E" w14:textId="77777777" w:rsidR="00753A68" w:rsidRPr="00415158" w:rsidRDefault="00753A68" w:rsidP="00C47D68">
            <w:pPr>
              <w:ind w:right="464"/>
              <w:jc w:val="right"/>
              <w:rPr>
                <w:rFonts w:ascii="Arial" w:hAnsi="Arial" w:cs="Arial"/>
                <w:bCs/>
                <w:sz w:val="20"/>
                <w:szCs w:val="20"/>
                <w:lang w:val="it-IT"/>
              </w:rPr>
            </w:pPr>
            <w:r w:rsidRPr="00C30E94">
              <w:rPr>
                <w:rFonts w:ascii="Arial" w:hAnsi="Arial" w:cs="Arial"/>
                <w:sz w:val="20"/>
                <w:szCs w:val="20"/>
              </w:rPr>
              <w:t xml:space="preserve">        8</w:t>
            </w:r>
            <w:r>
              <w:rPr>
                <w:rFonts w:ascii="Arial" w:hAnsi="Arial" w:cs="Arial"/>
                <w:sz w:val="20"/>
                <w:szCs w:val="20"/>
              </w:rPr>
              <w:t>.</w:t>
            </w:r>
            <w:r w:rsidRPr="00C30E94">
              <w:rPr>
                <w:rFonts w:ascii="Arial" w:hAnsi="Arial" w:cs="Arial"/>
                <w:sz w:val="20"/>
                <w:szCs w:val="20"/>
              </w:rPr>
              <w:t xml:space="preserve">7 </w:t>
            </w:r>
          </w:p>
        </w:tc>
      </w:tr>
      <w:tr w:rsidR="00753A68" w:rsidRPr="00BB4D40" w14:paraId="48B86CB0" w14:textId="77777777" w:rsidTr="00C47D68">
        <w:trPr>
          <w:cantSplit/>
          <w:trHeight w:val="229"/>
          <w:jc w:val="center"/>
        </w:trPr>
        <w:tc>
          <w:tcPr>
            <w:tcW w:w="2949" w:type="dxa"/>
            <w:vAlign w:val="center"/>
            <w:hideMark/>
          </w:tcPr>
          <w:p w14:paraId="3A39F28C" w14:textId="77777777" w:rsidR="00753A68" w:rsidRPr="00BB4D40" w:rsidRDefault="00753A68" w:rsidP="00C47D68">
            <w:pPr>
              <w:spacing w:line="276" w:lineRule="auto"/>
              <w:ind w:left="318"/>
              <w:rPr>
                <w:rFonts w:ascii="Arial" w:hAnsi="Arial" w:cs="Arial"/>
                <w:sz w:val="20"/>
                <w:szCs w:val="20"/>
              </w:rPr>
            </w:pPr>
            <w:r w:rsidRPr="00BB4D40">
              <w:rPr>
                <w:rFonts w:ascii="Arial" w:hAnsi="Arial" w:cs="Arial"/>
                <w:bCs/>
                <w:color w:val="000000" w:themeColor="text1"/>
                <w:sz w:val="20"/>
                <w:szCs w:val="20"/>
              </w:rPr>
              <w:t>Accommodation and catering service</w:t>
            </w:r>
          </w:p>
        </w:tc>
        <w:tc>
          <w:tcPr>
            <w:tcW w:w="1402" w:type="dxa"/>
            <w:vAlign w:val="center"/>
            <w:hideMark/>
          </w:tcPr>
          <w:p w14:paraId="5C1AAC90" w14:textId="77777777" w:rsidR="00753A68" w:rsidRPr="00415158" w:rsidRDefault="00753A68" w:rsidP="00C47D68">
            <w:pPr>
              <w:ind w:right="321"/>
              <w:jc w:val="right"/>
              <w:rPr>
                <w:rFonts w:ascii="Arial" w:hAnsi="Arial" w:cs="Arial"/>
                <w:bCs/>
                <w:sz w:val="20"/>
                <w:szCs w:val="20"/>
                <w:lang w:val="it-IT"/>
              </w:rPr>
            </w:pPr>
            <w:r w:rsidRPr="00C30E94">
              <w:rPr>
                <w:rFonts w:ascii="Arial" w:hAnsi="Arial" w:cs="Arial"/>
                <w:sz w:val="20"/>
                <w:szCs w:val="20"/>
              </w:rPr>
              <w:t xml:space="preserve">        65</w:t>
            </w:r>
            <w:r>
              <w:rPr>
                <w:rFonts w:ascii="Arial" w:hAnsi="Arial" w:cs="Arial"/>
                <w:sz w:val="20"/>
                <w:szCs w:val="20"/>
              </w:rPr>
              <w:t>.</w:t>
            </w:r>
            <w:r w:rsidRPr="00C30E94">
              <w:rPr>
                <w:rFonts w:ascii="Arial" w:hAnsi="Arial" w:cs="Arial"/>
                <w:sz w:val="20"/>
                <w:szCs w:val="20"/>
              </w:rPr>
              <w:t xml:space="preserve">2 </w:t>
            </w:r>
          </w:p>
        </w:tc>
        <w:tc>
          <w:tcPr>
            <w:tcW w:w="1720" w:type="dxa"/>
            <w:vAlign w:val="center"/>
            <w:hideMark/>
          </w:tcPr>
          <w:p w14:paraId="065B0A00" w14:textId="77777777" w:rsidR="00753A68" w:rsidRPr="00415158" w:rsidRDefault="00753A68" w:rsidP="00C47D68">
            <w:pPr>
              <w:ind w:right="321"/>
              <w:jc w:val="right"/>
              <w:rPr>
                <w:rFonts w:ascii="Arial" w:hAnsi="Arial" w:cs="Arial"/>
                <w:bCs/>
                <w:sz w:val="20"/>
                <w:szCs w:val="20"/>
                <w:lang w:val="it-IT"/>
              </w:rPr>
            </w:pPr>
            <w:r w:rsidRPr="00C30E94">
              <w:rPr>
                <w:rFonts w:ascii="Arial" w:hAnsi="Arial" w:cs="Arial"/>
                <w:sz w:val="20"/>
                <w:szCs w:val="20"/>
              </w:rPr>
              <w:t xml:space="preserve">         131</w:t>
            </w:r>
            <w:r>
              <w:rPr>
                <w:rFonts w:ascii="Arial" w:hAnsi="Arial" w:cs="Arial"/>
                <w:sz w:val="20"/>
                <w:szCs w:val="20"/>
              </w:rPr>
              <w:t>.</w:t>
            </w:r>
            <w:r w:rsidRPr="00C30E94">
              <w:rPr>
                <w:rFonts w:ascii="Arial" w:hAnsi="Arial" w:cs="Arial"/>
                <w:sz w:val="20"/>
                <w:szCs w:val="20"/>
              </w:rPr>
              <w:t xml:space="preserve">1 </w:t>
            </w:r>
          </w:p>
        </w:tc>
        <w:tc>
          <w:tcPr>
            <w:tcW w:w="1486" w:type="dxa"/>
            <w:vAlign w:val="center"/>
            <w:hideMark/>
          </w:tcPr>
          <w:p w14:paraId="6D9B54E0" w14:textId="77777777" w:rsidR="00753A68" w:rsidRPr="00415158" w:rsidRDefault="00753A68" w:rsidP="00C47D68">
            <w:pPr>
              <w:ind w:right="464"/>
              <w:jc w:val="right"/>
              <w:rPr>
                <w:rFonts w:ascii="Arial" w:hAnsi="Arial" w:cs="Arial"/>
                <w:bCs/>
                <w:sz w:val="20"/>
                <w:szCs w:val="20"/>
                <w:lang w:val="it-IT"/>
              </w:rPr>
            </w:pPr>
            <w:r w:rsidRPr="00C30E94">
              <w:rPr>
                <w:rFonts w:ascii="Arial" w:hAnsi="Arial" w:cs="Arial"/>
                <w:sz w:val="20"/>
                <w:szCs w:val="20"/>
              </w:rPr>
              <w:t xml:space="preserve">       12</w:t>
            </w:r>
            <w:r>
              <w:rPr>
                <w:rFonts w:ascii="Arial" w:hAnsi="Arial" w:cs="Arial"/>
                <w:sz w:val="20"/>
                <w:szCs w:val="20"/>
              </w:rPr>
              <w:t>.</w:t>
            </w:r>
            <w:r w:rsidRPr="00C30E94">
              <w:rPr>
                <w:rFonts w:ascii="Arial" w:hAnsi="Arial" w:cs="Arial"/>
                <w:sz w:val="20"/>
                <w:szCs w:val="20"/>
              </w:rPr>
              <w:t xml:space="preserve">7 </w:t>
            </w:r>
          </w:p>
        </w:tc>
        <w:tc>
          <w:tcPr>
            <w:tcW w:w="1452" w:type="dxa"/>
            <w:vAlign w:val="center"/>
            <w:hideMark/>
          </w:tcPr>
          <w:p w14:paraId="7B13FC06" w14:textId="77777777" w:rsidR="00753A68" w:rsidRPr="00415158" w:rsidRDefault="00753A68" w:rsidP="00C47D68">
            <w:pPr>
              <w:ind w:right="464"/>
              <w:jc w:val="right"/>
              <w:rPr>
                <w:rFonts w:ascii="Arial" w:hAnsi="Arial" w:cs="Arial"/>
                <w:bCs/>
                <w:sz w:val="20"/>
                <w:szCs w:val="20"/>
                <w:lang w:val="it-IT"/>
              </w:rPr>
            </w:pPr>
            <w:r w:rsidRPr="00C30E94">
              <w:rPr>
                <w:rFonts w:ascii="Arial" w:hAnsi="Arial" w:cs="Arial"/>
                <w:sz w:val="20"/>
                <w:szCs w:val="20"/>
              </w:rPr>
              <w:t xml:space="preserve">      12</w:t>
            </w:r>
            <w:r>
              <w:rPr>
                <w:rFonts w:ascii="Arial" w:hAnsi="Arial" w:cs="Arial"/>
                <w:sz w:val="20"/>
                <w:szCs w:val="20"/>
              </w:rPr>
              <w:t>.</w:t>
            </w:r>
            <w:r w:rsidRPr="00C30E94">
              <w:rPr>
                <w:rFonts w:ascii="Arial" w:hAnsi="Arial" w:cs="Arial"/>
                <w:sz w:val="20"/>
                <w:szCs w:val="20"/>
              </w:rPr>
              <w:t xml:space="preserve">5 </w:t>
            </w:r>
          </w:p>
        </w:tc>
      </w:tr>
      <w:tr w:rsidR="00753A68" w:rsidRPr="00BB4D40" w14:paraId="65ED0B0E" w14:textId="77777777" w:rsidTr="00C47D68">
        <w:trPr>
          <w:cantSplit/>
          <w:trHeight w:val="229"/>
          <w:jc w:val="center"/>
        </w:trPr>
        <w:tc>
          <w:tcPr>
            <w:tcW w:w="2949" w:type="dxa"/>
            <w:vAlign w:val="center"/>
            <w:hideMark/>
          </w:tcPr>
          <w:p w14:paraId="662E752D" w14:textId="77777777" w:rsidR="00753A68" w:rsidRPr="00BB4D40" w:rsidRDefault="00753A68" w:rsidP="00C47D68">
            <w:pPr>
              <w:spacing w:line="276" w:lineRule="auto"/>
              <w:ind w:left="318"/>
              <w:rPr>
                <w:rFonts w:ascii="Arial" w:hAnsi="Arial" w:cs="Arial"/>
                <w:sz w:val="20"/>
                <w:szCs w:val="20"/>
              </w:rPr>
            </w:pPr>
            <w:r w:rsidRPr="00BB4D40">
              <w:rPr>
                <w:rFonts w:ascii="Arial" w:hAnsi="Arial" w:cs="Arial"/>
                <w:bCs/>
                <w:color w:val="000000" w:themeColor="text1"/>
                <w:sz w:val="20"/>
                <w:szCs w:val="20"/>
              </w:rPr>
              <w:t xml:space="preserve">Tourism revenue </w:t>
            </w:r>
          </w:p>
        </w:tc>
        <w:tc>
          <w:tcPr>
            <w:tcW w:w="1402" w:type="dxa"/>
            <w:vAlign w:val="center"/>
            <w:hideMark/>
          </w:tcPr>
          <w:p w14:paraId="1F522600" w14:textId="77777777" w:rsidR="00753A68" w:rsidRPr="00415158" w:rsidRDefault="00753A68" w:rsidP="00C47D68">
            <w:pPr>
              <w:ind w:right="321"/>
              <w:jc w:val="right"/>
              <w:rPr>
                <w:rFonts w:ascii="Arial" w:hAnsi="Arial" w:cs="Arial"/>
                <w:bCs/>
                <w:sz w:val="20"/>
                <w:szCs w:val="20"/>
                <w:lang w:val="it-IT"/>
              </w:rPr>
            </w:pPr>
            <w:r w:rsidRPr="00C30E94">
              <w:rPr>
                <w:rFonts w:ascii="Arial" w:hAnsi="Arial" w:cs="Arial"/>
                <w:sz w:val="20"/>
                <w:szCs w:val="20"/>
              </w:rPr>
              <w:t xml:space="preserve">          7</w:t>
            </w:r>
            <w:r>
              <w:rPr>
                <w:rFonts w:ascii="Arial" w:hAnsi="Arial" w:cs="Arial"/>
                <w:sz w:val="20"/>
                <w:szCs w:val="20"/>
              </w:rPr>
              <w:t>.</w:t>
            </w:r>
            <w:r w:rsidRPr="00C30E94">
              <w:rPr>
                <w:rFonts w:ascii="Arial" w:hAnsi="Arial" w:cs="Arial"/>
                <w:sz w:val="20"/>
                <w:szCs w:val="20"/>
              </w:rPr>
              <w:t xml:space="preserve">1 </w:t>
            </w:r>
          </w:p>
        </w:tc>
        <w:tc>
          <w:tcPr>
            <w:tcW w:w="1720" w:type="dxa"/>
            <w:vAlign w:val="center"/>
            <w:hideMark/>
          </w:tcPr>
          <w:p w14:paraId="2D88A1FF" w14:textId="77777777" w:rsidR="00753A68" w:rsidRPr="00415158" w:rsidRDefault="00753A68" w:rsidP="00C47D68">
            <w:pPr>
              <w:ind w:right="321"/>
              <w:jc w:val="right"/>
              <w:rPr>
                <w:rFonts w:ascii="Arial" w:hAnsi="Arial" w:cs="Arial"/>
                <w:bCs/>
                <w:sz w:val="20"/>
                <w:szCs w:val="20"/>
                <w:lang w:val="it-IT"/>
              </w:rPr>
            </w:pPr>
            <w:r w:rsidRPr="00C30E94">
              <w:rPr>
                <w:rFonts w:ascii="Arial" w:hAnsi="Arial" w:cs="Arial"/>
                <w:sz w:val="20"/>
                <w:szCs w:val="20"/>
              </w:rPr>
              <w:t xml:space="preserve">           14</w:t>
            </w:r>
            <w:r>
              <w:rPr>
                <w:rFonts w:ascii="Arial" w:hAnsi="Arial" w:cs="Arial"/>
                <w:sz w:val="20"/>
                <w:szCs w:val="20"/>
              </w:rPr>
              <w:t>.</w:t>
            </w:r>
            <w:r w:rsidRPr="00C30E94">
              <w:rPr>
                <w:rFonts w:ascii="Arial" w:hAnsi="Arial" w:cs="Arial"/>
                <w:sz w:val="20"/>
                <w:szCs w:val="20"/>
              </w:rPr>
              <w:t xml:space="preserve">1 </w:t>
            </w:r>
          </w:p>
        </w:tc>
        <w:tc>
          <w:tcPr>
            <w:tcW w:w="1486" w:type="dxa"/>
            <w:vAlign w:val="center"/>
            <w:hideMark/>
          </w:tcPr>
          <w:p w14:paraId="6DBB7EDD" w14:textId="77777777" w:rsidR="00753A68" w:rsidRPr="00415158" w:rsidRDefault="00753A68" w:rsidP="00C47D68">
            <w:pPr>
              <w:ind w:right="464"/>
              <w:jc w:val="right"/>
              <w:rPr>
                <w:rFonts w:ascii="Arial" w:hAnsi="Arial" w:cs="Arial"/>
                <w:bCs/>
                <w:sz w:val="20"/>
                <w:szCs w:val="20"/>
                <w:lang w:val="it-IT"/>
              </w:rPr>
            </w:pPr>
            <w:r w:rsidRPr="00C30E94">
              <w:rPr>
                <w:rFonts w:ascii="Arial" w:hAnsi="Arial" w:cs="Arial"/>
                <w:sz w:val="20"/>
                <w:szCs w:val="20"/>
              </w:rPr>
              <w:t xml:space="preserve">       17</w:t>
            </w:r>
            <w:r>
              <w:rPr>
                <w:rFonts w:ascii="Arial" w:hAnsi="Arial" w:cs="Arial"/>
                <w:sz w:val="20"/>
                <w:szCs w:val="20"/>
              </w:rPr>
              <w:t>.</w:t>
            </w:r>
            <w:r w:rsidRPr="00C30E94">
              <w:rPr>
                <w:rFonts w:ascii="Arial" w:hAnsi="Arial" w:cs="Arial"/>
                <w:sz w:val="20"/>
                <w:szCs w:val="20"/>
              </w:rPr>
              <w:t xml:space="preserve">3 </w:t>
            </w:r>
          </w:p>
        </w:tc>
        <w:tc>
          <w:tcPr>
            <w:tcW w:w="1452" w:type="dxa"/>
            <w:vAlign w:val="center"/>
            <w:hideMark/>
          </w:tcPr>
          <w:p w14:paraId="4CFECC36" w14:textId="77777777" w:rsidR="00753A68" w:rsidRPr="00415158" w:rsidRDefault="00753A68" w:rsidP="00C47D68">
            <w:pPr>
              <w:ind w:right="464"/>
              <w:jc w:val="right"/>
              <w:rPr>
                <w:rFonts w:ascii="Arial" w:hAnsi="Arial" w:cs="Arial"/>
                <w:bCs/>
                <w:sz w:val="20"/>
                <w:szCs w:val="20"/>
                <w:lang w:val="it-IT"/>
              </w:rPr>
            </w:pPr>
            <w:r w:rsidRPr="00C30E94">
              <w:rPr>
                <w:rFonts w:ascii="Arial" w:hAnsi="Arial" w:cs="Arial"/>
                <w:sz w:val="20"/>
                <w:szCs w:val="20"/>
              </w:rPr>
              <w:t xml:space="preserve">      16</w:t>
            </w:r>
            <w:r>
              <w:rPr>
                <w:rFonts w:ascii="Arial" w:hAnsi="Arial" w:cs="Arial"/>
                <w:sz w:val="20"/>
                <w:szCs w:val="20"/>
              </w:rPr>
              <w:t>.</w:t>
            </w:r>
            <w:r w:rsidRPr="00C30E94">
              <w:rPr>
                <w:rFonts w:ascii="Arial" w:hAnsi="Arial" w:cs="Arial"/>
                <w:sz w:val="20"/>
                <w:szCs w:val="20"/>
              </w:rPr>
              <w:t xml:space="preserve">4 </w:t>
            </w:r>
          </w:p>
        </w:tc>
      </w:tr>
      <w:tr w:rsidR="00753A68" w:rsidRPr="00BB4D40" w14:paraId="121963BB" w14:textId="77777777" w:rsidTr="00C47D68">
        <w:trPr>
          <w:cantSplit/>
          <w:trHeight w:val="316"/>
          <w:jc w:val="center"/>
        </w:trPr>
        <w:tc>
          <w:tcPr>
            <w:tcW w:w="2949" w:type="dxa"/>
            <w:tcBorders>
              <w:top w:val="nil"/>
              <w:left w:val="nil"/>
              <w:bottom w:val="single" w:sz="8" w:space="0" w:color="auto"/>
              <w:right w:val="nil"/>
            </w:tcBorders>
            <w:vAlign w:val="center"/>
            <w:hideMark/>
          </w:tcPr>
          <w:p w14:paraId="51CE1750" w14:textId="77777777" w:rsidR="00753A68" w:rsidRPr="00BB4D40" w:rsidRDefault="00753A68" w:rsidP="00C47D68">
            <w:pPr>
              <w:spacing w:line="276" w:lineRule="auto"/>
              <w:ind w:left="318"/>
              <w:rPr>
                <w:rFonts w:ascii="Arial" w:hAnsi="Arial" w:cs="Arial"/>
                <w:sz w:val="20"/>
                <w:szCs w:val="20"/>
              </w:rPr>
            </w:pPr>
            <w:r w:rsidRPr="00BB4D40">
              <w:rPr>
                <w:rFonts w:ascii="Arial" w:hAnsi="Arial" w:cs="Arial"/>
                <w:bCs/>
                <w:color w:val="000000" w:themeColor="text1"/>
                <w:sz w:val="20"/>
                <w:szCs w:val="20"/>
              </w:rPr>
              <w:t>Other services</w:t>
            </w:r>
          </w:p>
        </w:tc>
        <w:tc>
          <w:tcPr>
            <w:tcW w:w="1402" w:type="dxa"/>
            <w:tcBorders>
              <w:top w:val="nil"/>
              <w:left w:val="nil"/>
              <w:bottom w:val="single" w:sz="4" w:space="0" w:color="auto"/>
              <w:right w:val="nil"/>
            </w:tcBorders>
            <w:vAlign w:val="center"/>
            <w:hideMark/>
          </w:tcPr>
          <w:p w14:paraId="6A61423C" w14:textId="77777777" w:rsidR="00753A68" w:rsidRPr="00415158" w:rsidRDefault="00753A68" w:rsidP="00C47D68">
            <w:pPr>
              <w:ind w:right="321"/>
              <w:jc w:val="right"/>
              <w:rPr>
                <w:rFonts w:ascii="Arial" w:hAnsi="Arial" w:cs="Arial"/>
                <w:bCs/>
                <w:sz w:val="20"/>
                <w:szCs w:val="20"/>
                <w:lang w:val="it-IT"/>
              </w:rPr>
            </w:pPr>
            <w:r w:rsidRPr="00C30E94">
              <w:rPr>
                <w:rFonts w:ascii="Arial" w:hAnsi="Arial" w:cs="Arial"/>
                <w:sz w:val="20"/>
                <w:szCs w:val="20"/>
              </w:rPr>
              <w:t xml:space="preserve">        56</w:t>
            </w:r>
            <w:r>
              <w:rPr>
                <w:rFonts w:ascii="Arial" w:hAnsi="Arial" w:cs="Arial"/>
                <w:sz w:val="20"/>
                <w:szCs w:val="20"/>
              </w:rPr>
              <w:t>.</w:t>
            </w:r>
            <w:r w:rsidRPr="00C30E94">
              <w:rPr>
                <w:rFonts w:ascii="Arial" w:hAnsi="Arial" w:cs="Arial"/>
                <w:sz w:val="20"/>
                <w:szCs w:val="20"/>
              </w:rPr>
              <w:t xml:space="preserve">9 </w:t>
            </w:r>
          </w:p>
        </w:tc>
        <w:tc>
          <w:tcPr>
            <w:tcW w:w="1720" w:type="dxa"/>
            <w:tcBorders>
              <w:top w:val="nil"/>
              <w:left w:val="nil"/>
              <w:bottom w:val="single" w:sz="4" w:space="0" w:color="auto"/>
              <w:right w:val="nil"/>
            </w:tcBorders>
            <w:vAlign w:val="center"/>
            <w:hideMark/>
          </w:tcPr>
          <w:p w14:paraId="3036E066" w14:textId="77777777" w:rsidR="00753A68" w:rsidRPr="00415158" w:rsidRDefault="00753A68" w:rsidP="00C47D68">
            <w:pPr>
              <w:ind w:right="321"/>
              <w:jc w:val="right"/>
              <w:rPr>
                <w:rFonts w:ascii="Arial" w:hAnsi="Arial" w:cs="Arial"/>
                <w:bCs/>
                <w:sz w:val="20"/>
                <w:szCs w:val="20"/>
                <w:lang w:val="it-IT"/>
              </w:rPr>
            </w:pPr>
            <w:r w:rsidRPr="00C30E94">
              <w:rPr>
                <w:rFonts w:ascii="Arial" w:hAnsi="Arial" w:cs="Arial"/>
                <w:sz w:val="20"/>
                <w:szCs w:val="20"/>
              </w:rPr>
              <w:t xml:space="preserve">         113</w:t>
            </w:r>
            <w:r>
              <w:rPr>
                <w:rFonts w:ascii="Arial" w:hAnsi="Arial" w:cs="Arial"/>
                <w:sz w:val="20"/>
                <w:szCs w:val="20"/>
              </w:rPr>
              <w:t>.</w:t>
            </w:r>
            <w:r w:rsidRPr="00C30E94">
              <w:rPr>
                <w:rFonts w:ascii="Arial" w:hAnsi="Arial" w:cs="Arial"/>
                <w:sz w:val="20"/>
                <w:szCs w:val="20"/>
              </w:rPr>
              <w:t xml:space="preserve">9 </w:t>
            </w:r>
          </w:p>
        </w:tc>
        <w:tc>
          <w:tcPr>
            <w:tcW w:w="1486" w:type="dxa"/>
            <w:tcBorders>
              <w:top w:val="nil"/>
              <w:left w:val="nil"/>
              <w:bottom w:val="single" w:sz="4" w:space="0" w:color="auto"/>
              <w:right w:val="nil"/>
            </w:tcBorders>
            <w:vAlign w:val="center"/>
            <w:hideMark/>
          </w:tcPr>
          <w:p w14:paraId="444B7269" w14:textId="77777777" w:rsidR="00753A68" w:rsidRPr="00415158" w:rsidRDefault="00753A68" w:rsidP="00C47D68">
            <w:pPr>
              <w:ind w:right="464"/>
              <w:jc w:val="right"/>
              <w:rPr>
                <w:rFonts w:ascii="Arial" w:hAnsi="Arial" w:cs="Arial"/>
                <w:bCs/>
                <w:sz w:val="20"/>
                <w:szCs w:val="20"/>
                <w:lang w:val="it-IT"/>
              </w:rPr>
            </w:pPr>
            <w:r w:rsidRPr="00C30E94">
              <w:rPr>
                <w:rFonts w:ascii="Arial" w:hAnsi="Arial" w:cs="Arial"/>
                <w:sz w:val="20"/>
                <w:szCs w:val="20"/>
              </w:rPr>
              <w:t xml:space="preserve">       13</w:t>
            </w:r>
            <w:r>
              <w:rPr>
                <w:rFonts w:ascii="Arial" w:hAnsi="Arial" w:cs="Arial"/>
                <w:sz w:val="20"/>
                <w:szCs w:val="20"/>
              </w:rPr>
              <w:t>.</w:t>
            </w:r>
            <w:r w:rsidRPr="00C30E94">
              <w:rPr>
                <w:rFonts w:ascii="Arial" w:hAnsi="Arial" w:cs="Arial"/>
                <w:sz w:val="20"/>
                <w:szCs w:val="20"/>
              </w:rPr>
              <w:t xml:space="preserve">6 </w:t>
            </w:r>
          </w:p>
        </w:tc>
        <w:tc>
          <w:tcPr>
            <w:tcW w:w="1452" w:type="dxa"/>
            <w:tcBorders>
              <w:top w:val="nil"/>
              <w:left w:val="nil"/>
              <w:bottom w:val="single" w:sz="4" w:space="0" w:color="auto"/>
              <w:right w:val="nil"/>
            </w:tcBorders>
            <w:vAlign w:val="center"/>
            <w:hideMark/>
          </w:tcPr>
          <w:p w14:paraId="1D70F951" w14:textId="77777777" w:rsidR="00753A68" w:rsidRPr="00415158" w:rsidRDefault="00753A68" w:rsidP="00C47D68">
            <w:pPr>
              <w:ind w:right="464"/>
              <w:jc w:val="right"/>
              <w:rPr>
                <w:rFonts w:ascii="Arial" w:hAnsi="Arial" w:cs="Arial"/>
                <w:bCs/>
                <w:sz w:val="20"/>
                <w:szCs w:val="20"/>
                <w:lang w:val="it-IT"/>
              </w:rPr>
            </w:pPr>
            <w:r w:rsidRPr="00C30E94">
              <w:rPr>
                <w:rFonts w:ascii="Arial" w:hAnsi="Arial" w:cs="Arial"/>
                <w:sz w:val="20"/>
                <w:szCs w:val="20"/>
              </w:rPr>
              <w:t xml:space="preserve">      10</w:t>
            </w:r>
            <w:r>
              <w:rPr>
                <w:rFonts w:ascii="Arial" w:hAnsi="Arial" w:cs="Arial"/>
                <w:sz w:val="20"/>
                <w:szCs w:val="20"/>
              </w:rPr>
              <w:t>.</w:t>
            </w:r>
            <w:r w:rsidRPr="00C30E94">
              <w:rPr>
                <w:rFonts w:ascii="Arial" w:hAnsi="Arial" w:cs="Arial"/>
                <w:sz w:val="20"/>
                <w:szCs w:val="20"/>
              </w:rPr>
              <w:t xml:space="preserve">2 </w:t>
            </w:r>
          </w:p>
        </w:tc>
      </w:tr>
    </w:tbl>
    <w:p w14:paraId="7313C576" w14:textId="77777777" w:rsidR="00753A68" w:rsidRPr="00BB4D40" w:rsidRDefault="00753A68" w:rsidP="00753A68">
      <w:pPr>
        <w:spacing w:beforeLines="50" w:before="120" w:afterLines="40" w:after="96" w:line="264" w:lineRule="auto"/>
        <w:ind w:firstLine="567"/>
        <w:jc w:val="both"/>
        <w:rPr>
          <w:spacing w:val="-4"/>
        </w:rPr>
      </w:pPr>
      <w:r w:rsidRPr="00BB4D40">
        <w:rPr>
          <w:spacing w:val="-4"/>
        </w:rPr>
        <w:t xml:space="preserve">Generally for </w:t>
      </w:r>
      <w:r>
        <w:rPr>
          <w:spacing w:val="-4"/>
        </w:rPr>
        <w:t>two months of 2025</w:t>
      </w:r>
      <w:r w:rsidRPr="00BB4D40">
        <w:rPr>
          <w:spacing w:val="-4"/>
        </w:rPr>
        <w:t xml:space="preserve">, the total retail sales of consumer goods and services at current prices was estimated at </w:t>
      </w:r>
      <w:r>
        <w:rPr>
          <w:spacing w:val="-4"/>
        </w:rPr>
        <w:t>1,137.5</w:t>
      </w:r>
      <w:r w:rsidRPr="00BB4D40">
        <w:rPr>
          <w:spacing w:val="-4"/>
        </w:rPr>
        <w:t xml:space="preserve"> trillion VND, up </w:t>
      </w:r>
      <w:r>
        <w:rPr>
          <w:spacing w:val="-4"/>
        </w:rPr>
        <w:t>9.4</w:t>
      </w:r>
      <w:r w:rsidRPr="00BB4D40">
        <w:rPr>
          <w:spacing w:val="-4"/>
        </w:rPr>
        <w:t xml:space="preserve">% over the same period last year (up </w:t>
      </w:r>
      <w:r>
        <w:rPr>
          <w:spacing w:val="-4"/>
        </w:rPr>
        <w:t>8.4</w:t>
      </w:r>
      <w:r w:rsidRPr="00BB4D40">
        <w:rPr>
          <w:spacing w:val="-4"/>
        </w:rPr>
        <w:t>% in the same period in 202</w:t>
      </w:r>
      <w:r>
        <w:rPr>
          <w:spacing w:val="-4"/>
        </w:rPr>
        <w:t>4</w:t>
      </w:r>
      <w:r w:rsidRPr="00BB4D40">
        <w:rPr>
          <w:spacing w:val="-4"/>
        </w:rPr>
        <w:t xml:space="preserve">), if excluding the price factor, up </w:t>
      </w:r>
      <w:r>
        <w:rPr>
          <w:spacing w:val="-4"/>
        </w:rPr>
        <w:t>6.2</w:t>
      </w:r>
      <w:r w:rsidRPr="00BB4D40">
        <w:rPr>
          <w:spacing w:val="-4"/>
        </w:rPr>
        <w:t>% (the same period in 202</w:t>
      </w:r>
      <w:r>
        <w:rPr>
          <w:spacing w:val="-4"/>
        </w:rPr>
        <w:t>4</w:t>
      </w:r>
      <w:r w:rsidRPr="00BB4D40">
        <w:rPr>
          <w:spacing w:val="-4"/>
        </w:rPr>
        <w:t xml:space="preserve"> increased by </w:t>
      </w:r>
      <w:r>
        <w:rPr>
          <w:spacing w:val="-4"/>
        </w:rPr>
        <w:t>5.3</w:t>
      </w:r>
      <w:r w:rsidRPr="00BB4D40">
        <w:rPr>
          <w:spacing w:val="-4"/>
        </w:rPr>
        <w:t>%).</w:t>
      </w:r>
    </w:p>
    <w:p w14:paraId="588B397A" w14:textId="77777777" w:rsidR="00753A68" w:rsidRDefault="00753A68" w:rsidP="00753A68">
      <w:pPr>
        <w:spacing w:beforeLines="40" w:before="96" w:afterLines="40" w:after="96"/>
        <w:jc w:val="center"/>
        <w:rPr>
          <w:rFonts w:ascii="Arial" w:hAnsi="Arial" w:cs="Arial"/>
          <w:b/>
          <w:bCs/>
          <w:sz w:val="24"/>
          <w:szCs w:val="24"/>
        </w:rPr>
      </w:pPr>
      <w:r w:rsidRPr="00BB4D40">
        <w:rPr>
          <w:rFonts w:ascii="Arial" w:hAnsi="Arial" w:cs="Arial"/>
          <w:b/>
          <w:bCs/>
          <w:sz w:val="24"/>
          <w:szCs w:val="24"/>
        </w:rPr>
        <w:t xml:space="preserve">Figure 11. Total retail sales of </w:t>
      </w:r>
      <w:r w:rsidRPr="00BB4D40">
        <w:rPr>
          <w:rFonts w:ascii="Arial" w:hAnsi="Arial" w:cs="Arial"/>
          <w:b/>
          <w:sz w:val="24"/>
          <w:szCs w:val="24"/>
        </w:rPr>
        <w:t xml:space="preserve">consumer </w:t>
      </w:r>
      <w:r w:rsidRPr="00BB4D40">
        <w:rPr>
          <w:rFonts w:ascii="Arial" w:hAnsi="Arial" w:cs="Arial"/>
          <w:b/>
          <w:bCs/>
          <w:sz w:val="24"/>
          <w:szCs w:val="24"/>
        </w:rPr>
        <w:t xml:space="preserve">goods and service </w:t>
      </w:r>
      <w:r>
        <w:rPr>
          <w:rFonts w:ascii="Arial" w:hAnsi="Arial" w:cs="Arial"/>
          <w:b/>
          <w:bCs/>
          <w:sz w:val="24"/>
          <w:szCs w:val="24"/>
        </w:rPr>
        <w:t>at current prices</w:t>
      </w:r>
      <w:r w:rsidRPr="00BB4D40">
        <w:rPr>
          <w:rFonts w:ascii="Arial" w:hAnsi="Arial" w:cs="Arial"/>
          <w:b/>
          <w:bCs/>
          <w:sz w:val="24"/>
          <w:szCs w:val="24"/>
        </w:rPr>
        <w:br/>
        <w:t xml:space="preserve">in </w:t>
      </w:r>
      <w:r>
        <w:rPr>
          <w:rFonts w:ascii="Arial" w:hAnsi="Arial" w:cs="Arial"/>
          <w:b/>
          <w:bCs/>
          <w:sz w:val="24"/>
          <w:szCs w:val="24"/>
        </w:rPr>
        <w:t xml:space="preserve">the first 2 months </w:t>
      </w:r>
      <w:r w:rsidRPr="00BB4D40">
        <w:rPr>
          <w:rFonts w:ascii="Arial" w:hAnsi="Arial" w:cs="Arial"/>
          <w:b/>
          <w:bCs/>
          <w:sz w:val="24"/>
          <w:szCs w:val="24"/>
        </w:rPr>
        <w:t>of 202</w:t>
      </w:r>
      <w:r>
        <w:rPr>
          <w:rFonts w:ascii="Arial" w:hAnsi="Arial" w:cs="Arial"/>
          <w:b/>
          <w:bCs/>
          <w:sz w:val="24"/>
          <w:szCs w:val="24"/>
        </w:rPr>
        <w:t>1</w:t>
      </w:r>
      <w:r w:rsidRPr="00BB4D40">
        <w:rPr>
          <w:rFonts w:ascii="Arial" w:hAnsi="Arial" w:cs="Arial"/>
          <w:b/>
          <w:bCs/>
          <w:sz w:val="24"/>
          <w:szCs w:val="24"/>
        </w:rPr>
        <w:t>-202</w:t>
      </w:r>
      <w:r>
        <w:rPr>
          <w:rFonts w:ascii="Arial" w:hAnsi="Arial" w:cs="Arial"/>
          <w:b/>
          <w:bCs/>
          <w:sz w:val="24"/>
          <w:szCs w:val="24"/>
        </w:rPr>
        <w:t>5</w:t>
      </w:r>
    </w:p>
    <w:p w14:paraId="7028CFAA" w14:textId="77777777" w:rsidR="00753A68" w:rsidRDefault="00753A68" w:rsidP="00753A68">
      <w:pPr>
        <w:spacing w:beforeLines="40" w:before="96" w:afterLines="40" w:after="96"/>
        <w:jc w:val="center"/>
        <w:rPr>
          <w:rFonts w:ascii="Arial" w:hAnsi="Arial" w:cs="Arial"/>
          <w:b/>
          <w:bCs/>
          <w:sz w:val="24"/>
          <w:szCs w:val="24"/>
        </w:rPr>
      </w:pPr>
    </w:p>
    <w:p w14:paraId="68B39E7F" w14:textId="77777777" w:rsidR="00753A68" w:rsidRDefault="00753A68" w:rsidP="00753A68">
      <w:pPr>
        <w:spacing w:beforeLines="40" w:before="96" w:afterLines="40" w:after="96"/>
        <w:jc w:val="center"/>
        <w:rPr>
          <w:rFonts w:ascii="Arial" w:hAnsi="Arial" w:cs="Arial"/>
          <w:b/>
          <w:bCs/>
          <w:sz w:val="24"/>
          <w:szCs w:val="24"/>
        </w:rPr>
      </w:pPr>
      <w:r>
        <w:rPr>
          <w:noProof/>
          <w:lang w:val="en-US"/>
          <w14:ligatures w14:val="standardContextual"/>
        </w:rPr>
        <w:drawing>
          <wp:inline distT="0" distB="0" distL="0" distR="0" wp14:anchorId="0BDC7446" wp14:editId="236569BD">
            <wp:extent cx="5010150" cy="2390775"/>
            <wp:effectExtent l="0" t="0" r="0" b="9525"/>
            <wp:docPr id="868631652" name="Chart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DD46426" w14:textId="77777777" w:rsidR="00753A68" w:rsidRPr="00BB4D40" w:rsidRDefault="00753A68" w:rsidP="00753A68">
      <w:pPr>
        <w:pStyle w:val="HTMLPreformatted"/>
        <w:spacing w:beforeLines="40" w:before="96" w:afterLines="40" w:after="96" w:line="264" w:lineRule="auto"/>
        <w:ind w:firstLine="567"/>
        <w:jc w:val="center"/>
        <w:rPr>
          <w:rFonts w:ascii="Times New Roman" w:hAnsi="Times New Roman" w:cs="Times New Roman"/>
          <w:bCs/>
          <w:i/>
          <w:sz w:val="14"/>
          <w:szCs w:val="28"/>
          <w:lang w:val="nl-NL"/>
        </w:rPr>
      </w:pPr>
    </w:p>
    <w:p w14:paraId="6812E2DD" w14:textId="77777777" w:rsidR="00753A68" w:rsidRPr="006C586D" w:rsidRDefault="00753A68" w:rsidP="00753A68">
      <w:pPr>
        <w:pStyle w:val="HTMLPreformatted"/>
        <w:spacing w:beforeLines="40" w:before="96" w:afterLines="40" w:after="96" w:line="276" w:lineRule="auto"/>
        <w:ind w:firstLine="567"/>
        <w:jc w:val="both"/>
        <w:rPr>
          <w:rFonts w:ascii="Times New Roman" w:hAnsi="Times New Roman" w:cs="Times New Roman"/>
          <w:bCs/>
          <w:sz w:val="28"/>
          <w:szCs w:val="28"/>
        </w:rPr>
      </w:pPr>
      <w:r w:rsidRPr="00BB4D40">
        <w:rPr>
          <w:rFonts w:ascii="Times New Roman" w:hAnsi="Times New Roman" w:cs="Times New Roman"/>
          <w:bCs/>
          <w:i/>
          <w:sz w:val="28"/>
          <w:szCs w:val="28"/>
          <w:lang w:val="nl-NL"/>
        </w:rPr>
        <w:lastRenderedPageBreak/>
        <w:t>Retail sales of goods</w:t>
      </w:r>
      <w:r w:rsidRPr="00BB4D40">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in two months of 2025</w:t>
      </w:r>
      <w:r w:rsidRPr="00BB4D40">
        <w:rPr>
          <w:rFonts w:ascii="Times New Roman" w:hAnsi="Times New Roman" w:cs="Times New Roman"/>
          <w:bCs/>
          <w:sz w:val="28"/>
          <w:szCs w:val="28"/>
          <w:lang w:val="nl-NL"/>
        </w:rPr>
        <w:t xml:space="preserve"> were estimated at </w:t>
      </w:r>
      <w:r>
        <w:rPr>
          <w:rFonts w:ascii="Times New Roman" w:hAnsi="Times New Roman" w:cs="Times New Roman"/>
          <w:bCs/>
          <w:sz w:val="28"/>
          <w:szCs w:val="28"/>
          <w:shd w:val="clear" w:color="auto" w:fill="FFFFFF"/>
          <w:lang w:val="nl-NL"/>
        </w:rPr>
        <w:t>878.4</w:t>
      </w:r>
      <w:r w:rsidRPr="00BB4D40">
        <w:rPr>
          <w:rFonts w:ascii="Times New Roman" w:hAnsi="Times New Roman" w:cs="Times New Roman"/>
          <w:bCs/>
          <w:sz w:val="28"/>
          <w:szCs w:val="28"/>
          <w:shd w:val="clear" w:color="auto" w:fill="FFFFFF"/>
          <w:lang w:val="nl-NL"/>
        </w:rPr>
        <w:t xml:space="preserve"> </w:t>
      </w:r>
      <w:r w:rsidRPr="00BB4D40">
        <w:rPr>
          <w:rFonts w:ascii="Times New Roman" w:hAnsi="Times New Roman" w:cs="Times New Roman"/>
          <w:bCs/>
          <w:sz w:val="28"/>
          <w:szCs w:val="28"/>
          <w:lang w:val="nl-NL"/>
        </w:rPr>
        <w:t>trillion VND, accounting for 77.</w:t>
      </w:r>
      <w:r>
        <w:rPr>
          <w:rFonts w:ascii="Times New Roman" w:hAnsi="Times New Roman" w:cs="Times New Roman"/>
          <w:bCs/>
          <w:sz w:val="28"/>
          <w:szCs w:val="28"/>
          <w:lang w:val="nl-NL"/>
        </w:rPr>
        <w:t>2</w:t>
      </w:r>
      <w:r w:rsidRPr="00BB4D40">
        <w:rPr>
          <w:rFonts w:ascii="Times New Roman" w:hAnsi="Times New Roman" w:cs="Times New Roman"/>
          <w:bCs/>
          <w:sz w:val="28"/>
          <w:szCs w:val="28"/>
          <w:lang w:val="nl-NL"/>
        </w:rPr>
        <w:t xml:space="preserve">% of the total retail sales of consumer goods and services and up </w:t>
      </w:r>
      <w:r>
        <w:rPr>
          <w:rFonts w:ascii="Times New Roman" w:hAnsi="Times New Roman" w:cs="Times New Roman"/>
          <w:bCs/>
          <w:sz w:val="28"/>
          <w:szCs w:val="28"/>
          <w:lang w:val="nl-NL"/>
        </w:rPr>
        <w:t>8.7</w:t>
      </w:r>
      <w:r w:rsidRPr="00BB4D40">
        <w:rPr>
          <w:rFonts w:ascii="Times New Roman" w:hAnsi="Times New Roman" w:cs="Times New Roman"/>
          <w:bCs/>
          <w:sz w:val="28"/>
          <w:szCs w:val="28"/>
          <w:lang w:val="nl-NL"/>
        </w:rPr>
        <w:t xml:space="preserve">% over the same period last year. </w:t>
      </w:r>
      <w:r w:rsidRPr="004D53BF">
        <w:rPr>
          <w:rFonts w:ascii="Times New Roman" w:hAnsi="Times New Roman" w:cs="Times New Roman"/>
          <w:bCs/>
          <w:sz w:val="28"/>
          <w:szCs w:val="28"/>
          <w:lang w:val="nl-NL"/>
        </w:rPr>
        <w:t>Of which, the group of cultural and educational goods increased by 15.9%; food and foodstuffs increased by 9.9%; garments increased by 9.0%; household appliances, tools and equipment increased by 6.8%. Retail sales of goods in the first two months of 2025 compared to the same period last year in some localities are as follows: Hai Phong increased by 9.4%; Can Tho increased by 8.9%; Da Nang increased by 8.7%; Ha</w:t>
      </w:r>
      <w:r>
        <w:rPr>
          <w:rFonts w:ascii="Times New Roman" w:hAnsi="Times New Roman" w:cs="Times New Roman"/>
          <w:bCs/>
          <w:sz w:val="28"/>
          <w:szCs w:val="28"/>
          <w:lang w:val="nl-NL"/>
        </w:rPr>
        <w:t xml:space="preserve"> N</w:t>
      </w:r>
      <w:r w:rsidRPr="004D53BF">
        <w:rPr>
          <w:rFonts w:ascii="Times New Roman" w:hAnsi="Times New Roman" w:cs="Times New Roman"/>
          <w:bCs/>
          <w:sz w:val="28"/>
          <w:szCs w:val="28"/>
          <w:lang w:val="nl-NL"/>
        </w:rPr>
        <w:t>oi increased by 7.3%; Ho Chi Minh City increased by 7.1%.</w:t>
      </w:r>
    </w:p>
    <w:p w14:paraId="3796290E" w14:textId="77777777" w:rsidR="00753A68" w:rsidRPr="006C586D" w:rsidRDefault="00753A68" w:rsidP="00753A68">
      <w:pPr>
        <w:pStyle w:val="HTMLPreformatted"/>
        <w:spacing w:beforeLines="40" w:before="96" w:afterLines="40" w:after="96" w:line="276" w:lineRule="auto"/>
        <w:ind w:firstLine="567"/>
        <w:jc w:val="both"/>
        <w:rPr>
          <w:rFonts w:ascii="Times New Roman" w:hAnsi="Times New Roman" w:cs="Times New Roman"/>
          <w:bCs/>
          <w:spacing w:val="-4"/>
          <w:sz w:val="28"/>
          <w:szCs w:val="28"/>
        </w:rPr>
      </w:pPr>
      <w:r w:rsidRPr="00BB4D40">
        <w:rPr>
          <w:rFonts w:ascii="Times New Roman" w:hAnsi="Times New Roman" w:cs="Times New Roman"/>
          <w:bCs/>
          <w:i/>
          <w:spacing w:val="-4"/>
          <w:sz w:val="28"/>
          <w:szCs w:val="28"/>
          <w:lang w:val="nl-NL"/>
        </w:rPr>
        <w:t>Revenue from accommodation and catering services</w:t>
      </w:r>
      <w:r w:rsidRPr="00BB4D40">
        <w:rPr>
          <w:rFonts w:ascii="Times New Roman" w:hAnsi="Times New Roman" w:cs="Times New Roman"/>
          <w:bCs/>
          <w:spacing w:val="-4"/>
          <w:sz w:val="28"/>
          <w:szCs w:val="28"/>
          <w:lang w:val="nl-NL"/>
        </w:rPr>
        <w:t xml:space="preserve"> </w:t>
      </w:r>
      <w:r>
        <w:rPr>
          <w:rFonts w:ascii="Times New Roman" w:hAnsi="Times New Roman" w:cs="Times New Roman"/>
          <w:bCs/>
          <w:spacing w:val="-4"/>
          <w:sz w:val="28"/>
          <w:szCs w:val="28"/>
          <w:lang w:val="nl-NL"/>
        </w:rPr>
        <w:t>in two months of 2025</w:t>
      </w:r>
      <w:r w:rsidRPr="00BB4D40">
        <w:rPr>
          <w:rFonts w:ascii="Times New Roman" w:hAnsi="Times New Roman" w:cs="Times New Roman"/>
          <w:bCs/>
          <w:spacing w:val="-4"/>
          <w:sz w:val="28"/>
          <w:szCs w:val="28"/>
          <w:lang w:val="nl-NL"/>
        </w:rPr>
        <w:t xml:space="preserve"> was estimated at </w:t>
      </w:r>
      <w:r>
        <w:rPr>
          <w:rFonts w:ascii="Times New Roman" w:hAnsi="Times New Roman" w:cs="Times New Roman"/>
          <w:bCs/>
          <w:spacing w:val="-4"/>
          <w:sz w:val="28"/>
          <w:szCs w:val="28"/>
          <w:shd w:val="clear" w:color="auto" w:fill="FFFFFF"/>
          <w:lang w:val="nl-NL"/>
        </w:rPr>
        <w:t>131.1</w:t>
      </w:r>
      <w:r w:rsidRPr="00BB4D40">
        <w:rPr>
          <w:rFonts w:ascii="Times New Roman" w:hAnsi="Times New Roman" w:cs="Times New Roman"/>
          <w:bCs/>
          <w:spacing w:val="-4"/>
          <w:sz w:val="28"/>
          <w:szCs w:val="28"/>
          <w:shd w:val="clear" w:color="auto" w:fill="FFFFFF"/>
          <w:lang w:val="nl-NL"/>
        </w:rPr>
        <w:t xml:space="preserve"> </w:t>
      </w:r>
      <w:r w:rsidRPr="00BB4D40">
        <w:rPr>
          <w:rFonts w:ascii="Times New Roman" w:hAnsi="Times New Roman" w:cs="Times New Roman"/>
          <w:bCs/>
          <w:spacing w:val="-4"/>
          <w:sz w:val="28"/>
          <w:szCs w:val="28"/>
          <w:lang w:val="nl-NL"/>
        </w:rPr>
        <w:t xml:space="preserve">trillion VND, accounting for </w:t>
      </w:r>
      <w:r w:rsidRPr="00BB4D40">
        <w:rPr>
          <w:rFonts w:ascii="Times New Roman" w:hAnsi="Times New Roman" w:cs="Times New Roman"/>
          <w:bCs/>
          <w:spacing w:val="-4"/>
          <w:sz w:val="28"/>
          <w:szCs w:val="28"/>
          <w:shd w:val="clear" w:color="auto" w:fill="FFFFFF"/>
          <w:lang w:val="nl-NL"/>
        </w:rPr>
        <w:t>11.</w:t>
      </w:r>
      <w:r>
        <w:rPr>
          <w:rFonts w:ascii="Times New Roman" w:hAnsi="Times New Roman" w:cs="Times New Roman"/>
          <w:bCs/>
          <w:spacing w:val="-4"/>
          <w:sz w:val="28"/>
          <w:szCs w:val="28"/>
          <w:shd w:val="clear" w:color="auto" w:fill="FFFFFF"/>
          <w:lang w:val="nl-NL"/>
        </w:rPr>
        <w:t>5</w:t>
      </w:r>
      <w:r w:rsidRPr="00BB4D40">
        <w:rPr>
          <w:rFonts w:ascii="Times New Roman" w:hAnsi="Times New Roman" w:cs="Times New Roman"/>
          <w:bCs/>
          <w:spacing w:val="-4"/>
          <w:sz w:val="28"/>
          <w:szCs w:val="28"/>
          <w:lang w:val="nl-NL"/>
        </w:rPr>
        <w:t xml:space="preserve">% and up </w:t>
      </w:r>
      <w:r>
        <w:rPr>
          <w:rFonts w:ascii="Times New Roman" w:hAnsi="Times New Roman" w:cs="Times New Roman"/>
          <w:bCs/>
          <w:spacing w:val="-4"/>
          <w:sz w:val="28"/>
          <w:szCs w:val="28"/>
          <w:shd w:val="clear" w:color="auto" w:fill="FFFFFF"/>
          <w:lang w:val="nl-NL"/>
        </w:rPr>
        <w:t>12.5</w:t>
      </w:r>
      <w:r w:rsidRPr="00BB4D40">
        <w:rPr>
          <w:rFonts w:ascii="Times New Roman" w:hAnsi="Times New Roman" w:cs="Times New Roman"/>
          <w:bCs/>
          <w:spacing w:val="-4"/>
          <w:sz w:val="28"/>
          <w:szCs w:val="28"/>
          <w:lang w:val="nl-NL"/>
        </w:rPr>
        <w:t xml:space="preserve">% over the same period last year. Revenue </w:t>
      </w:r>
      <w:r>
        <w:rPr>
          <w:rFonts w:ascii="Times New Roman" w:hAnsi="Times New Roman" w:cs="Times New Roman"/>
          <w:bCs/>
          <w:spacing w:val="-4"/>
          <w:sz w:val="28"/>
          <w:szCs w:val="28"/>
          <w:lang w:val="nl-NL"/>
        </w:rPr>
        <w:t>in two months of 2025</w:t>
      </w:r>
      <w:r w:rsidRPr="00BB4D40">
        <w:rPr>
          <w:rFonts w:ascii="Times New Roman" w:hAnsi="Times New Roman" w:cs="Times New Roman"/>
          <w:bCs/>
          <w:spacing w:val="-4"/>
          <w:sz w:val="28"/>
          <w:szCs w:val="28"/>
          <w:lang w:val="nl-NL"/>
        </w:rPr>
        <w:t xml:space="preserve"> compared to the same period last year of some localities </w:t>
      </w:r>
      <w:r w:rsidRPr="00BB4D40">
        <w:rPr>
          <w:rFonts w:ascii="Times New Roman" w:hAnsi="Times New Roman" w:cs="Times New Roman"/>
          <w:bCs/>
          <w:sz w:val="28"/>
          <w:szCs w:val="28"/>
          <w:lang w:val="nl-NL"/>
        </w:rPr>
        <w:t>was</w:t>
      </w:r>
      <w:r w:rsidRPr="00BB4D40">
        <w:rPr>
          <w:rFonts w:ascii="Times New Roman" w:hAnsi="Times New Roman" w:cs="Times New Roman"/>
          <w:bCs/>
          <w:spacing w:val="-4"/>
          <w:sz w:val="28"/>
          <w:szCs w:val="28"/>
          <w:lang w:val="nl-NL"/>
        </w:rPr>
        <w:t xml:space="preserve"> as follows: </w:t>
      </w:r>
      <w:r w:rsidRPr="004D53BF">
        <w:rPr>
          <w:rFonts w:ascii="Times New Roman" w:hAnsi="Times New Roman" w:cs="Times New Roman"/>
          <w:bCs/>
          <w:spacing w:val="-4"/>
          <w:sz w:val="28"/>
          <w:szCs w:val="28"/>
          <w:lang w:val="en"/>
        </w:rPr>
        <w:t>Quang Ninh increased by 20.1%; Da Nang increased by 16.4%; Hai Phong increased by 13.8%; Can Tho increased by 10.4%; Hanoi increased by 10.0%; Ho Chi Minh City increased by 9.2%.</w:t>
      </w:r>
    </w:p>
    <w:p w14:paraId="16B1BFBA" w14:textId="77777777" w:rsidR="00753A68" w:rsidRPr="006C586D" w:rsidRDefault="00753A68" w:rsidP="00753A68">
      <w:pPr>
        <w:pStyle w:val="HTMLPreformatted"/>
        <w:spacing w:beforeLines="40" w:before="96" w:afterLines="40" w:after="96" w:line="276" w:lineRule="auto"/>
        <w:ind w:firstLine="567"/>
        <w:jc w:val="both"/>
        <w:rPr>
          <w:rFonts w:ascii="Times New Roman" w:hAnsi="Times New Roman" w:cs="Times New Roman"/>
          <w:bCs/>
          <w:sz w:val="28"/>
          <w:szCs w:val="28"/>
        </w:rPr>
      </w:pPr>
      <w:r w:rsidRPr="00BB4D40">
        <w:rPr>
          <w:rFonts w:ascii="Times New Roman" w:hAnsi="Times New Roman" w:cs="Times New Roman"/>
          <w:bCs/>
          <w:i/>
          <w:sz w:val="28"/>
          <w:szCs w:val="28"/>
          <w:lang w:val="nl-NL"/>
        </w:rPr>
        <w:t>Tourism revenue</w:t>
      </w:r>
      <w:r w:rsidRPr="00BB4D40">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in two months of 2025</w:t>
      </w:r>
      <w:r w:rsidRPr="00BB4D40">
        <w:rPr>
          <w:rFonts w:ascii="Times New Roman" w:hAnsi="Times New Roman" w:cs="Times New Roman"/>
          <w:bCs/>
          <w:sz w:val="28"/>
          <w:szCs w:val="28"/>
          <w:lang w:val="nl-NL"/>
        </w:rPr>
        <w:t xml:space="preserve"> was estimated at </w:t>
      </w:r>
      <w:r>
        <w:rPr>
          <w:rFonts w:ascii="Times New Roman" w:hAnsi="Times New Roman" w:cs="Times New Roman"/>
          <w:bCs/>
          <w:sz w:val="28"/>
          <w:szCs w:val="28"/>
          <w:lang w:val="nl-NL"/>
        </w:rPr>
        <w:t xml:space="preserve">14.1 </w:t>
      </w:r>
      <w:r w:rsidRPr="00BB4D40">
        <w:rPr>
          <w:rFonts w:ascii="Times New Roman" w:hAnsi="Times New Roman" w:cs="Times New Roman"/>
          <w:bCs/>
          <w:sz w:val="28"/>
          <w:szCs w:val="28"/>
          <w:lang w:val="nl-NL"/>
        </w:rPr>
        <w:t xml:space="preserve">trillion VND, accounting for </w:t>
      </w:r>
      <w:r>
        <w:rPr>
          <w:rFonts w:ascii="Times New Roman" w:hAnsi="Times New Roman" w:cs="Times New Roman"/>
          <w:bCs/>
          <w:sz w:val="28"/>
          <w:szCs w:val="28"/>
          <w:lang w:val="nl-NL"/>
        </w:rPr>
        <w:t>1.3</w:t>
      </w:r>
      <w:r w:rsidRPr="00BB4D40">
        <w:rPr>
          <w:rFonts w:ascii="Times New Roman" w:hAnsi="Times New Roman" w:cs="Times New Roman"/>
          <w:bCs/>
          <w:sz w:val="28"/>
          <w:szCs w:val="28"/>
          <w:lang w:val="nl-NL"/>
        </w:rPr>
        <w:t xml:space="preserve">% and up </w:t>
      </w:r>
      <w:r>
        <w:rPr>
          <w:rFonts w:ascii="Times New Roman" w:hAnsi="Times New Roman" w:cs="Times New Roman"/>
          <w:bCs/>
          <w:sz w:val="28"/>
          <w:szCs w:val="28"/>
          <w:lang w:val="nl-NL"/>
        </w:rPr>
        <w:t>16.4</w:t>
      </w:r>
      <w:r w:rsidRPr="00BB4D40">
        <w:rPr>
          <w:rFonts w:ascii="Times New Roman" w:hAnsi="Times New Roman" w:cs="Times New Roman"/>
          <w:bCs/>
          <w:sz w:val="28"/>
          <w:szCs w:val="28"/>
          <w:lang w:val="nl-NL"/>
        </w:rPr>
        <w:t xml:space="preserve">% over the same period last year. The revenue of some localities </w:t>
      </w:r>
      <w:r>
        <w:rPr>
          <w:rFonts w:ascii="Times New Roman" w:hAnsi="Times New Roman" w:cs="Times New Roman"/>
          <w:bCs/>
          <w:sz w:val="28"/>
          <w:szCs w:val="28"/>
          <w:lang w:val="nl-NL"/>
        </w:rPr>
        <w:t>in two monthsof 2025</w:t>
      </w:r>
      <w:r w:rsidRPr="00BB4D40">
        <w:rPr>
          <w:rFonts w:ascii="Times New Roman" w:hAnsi="Times New Roman" w:cs="Times New Roman"/>
          <w:bCs/>
          <w:sz w:val="28"/>
          <w:szCs w:val="28"/>
          <w:lang w:val="nl-NL"/>
        </w:rPr>
        <w:t xml:space="preserve"> compared to the same period last year was as follows: </w:t>
      </w:r>
      <w:r w:rsidRPr="004D53BF">
        <w:rPr>
          <w:rFonts w:ascii="Times New Roman" w:hAnsi="Times New Roman" w:cs="Times New Roman"/>
          <w:bCs/>
          <w:sz w:val="28"/>
          <w:szCs w:val="28"/>
          <w:lang w:val="en"/>
        </w:rPr>
        <w:t>Hue increased by 31.5%; Quang Ninh increased by 21.3%; Binh Duong increased by 17.1%; Da Nang increased by 16.6%; Ho Chi Minh City increased by 13.2%; Ha</w:t>
      </w:r>
      <w:r>
        <w:rPr>
          <w:rFonts w:ascii="Times New Roman" w:hAnsi="Times New Roman" w:cs="Times New Roman"/>
          <w:bCs/>
          <w:sz w:val="28"/>
          <w:szCs w:val="28"/>
          <w:lang w:val="en"/>
        </w:rPr>
        <w:t xml:space="preserve"> N</w:t>
      </w:r>
      <w:r w:rsidRPr="004D53BF">
        <w:rPr>
          <w:rFonts w:ascii="Times New Roman" w:hAnsi="Times New Roman" w:cs="Times New Roman"/>
          <w:bCs/>
          <w:sz w:val="28"/>
          <w:szCs w:val="28"/>
          <w:lang w:val="en"/>
        </w:rPr>
        <w:t>oi increased by 12.2%.</w:t>
      </w:r>
    </w:p>
    <w:p w14:paraId="3C14FA8B" w14:textId="77777777" w:rsidR="00753A68" w:rsidRPr="006C586D" w:rsidRDefault="00753A68" w:rsidP="00753A68">
      <w:pPr>
        <w:pStyle w:val="HTMLPreformatted"/>
        <w:spacing w:beforeLines="40" w:before="96" w:afterLines="40" w:after="96" w:line="276" w:lineRule="auto"/>
        <w:ind w:firstLine="567"/>
        <w:jc w:val="both"/>
        <w:rPr>
          <w:rFonts w:ascii="Times New Roman" w:hAnsi="Times New Roman" w:cs="Times New Roman"/>
          <w:bCs/>
          <w:sz w:val="28"/>
          <w:szCs w:val="28"/>
        </w:rPr>
      </w:pPr>
      <w:r w:rsidRPr="00BB4D40">
        <w:rPr>
          <w:rFonts w:ascii="Times New Roman" w:hAnsi="Times New Roman" w:cs="Times New Roman"/>
          <w:bCs/>
          <w:i/>
          <w:sz w:val="28"/>
          <w:szCs w:val="28"/>
          <w:lang w:val="nl-NL"/>
        </w:rPr>
        <w:t>Other service revenue</w:t>
      </w:r>
      <w:r w:rsidRPr="00BB4D40">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in two months of 2025</w:t>
      </w:r>
      <w:r w:rsidRPr="00BB4D40">
        <w:rPr>
          <w:rFonts w:ascii="Times New Roman" w:hAnsi="Times New Roman" w:cs="Times New Roman"/>
          <w:bCs/>
          <w:sz w:val="28"/>
          <w:szCs w:val="28"/>
          <w:lang w:val="nl-NL"/>
        </w:rPr>
        <w:t xml:space="preserve"> was estimated at </w:t>
      </w:r>
      <w:r>
        <w:rPr>
          <w:rFonts w:ascii="Times New Roman" w:hAnsi="Times New Roman" w:cs="Times New Roman"/>
          <w:sz w:val="28"/>
          <w:szCs w:val="28"/>
          <w:lang w:val="nl-NL"/>
        </w:rPr>
        <w:t>113.9</w:t>
      </w:r>
      <w:r w:rsidRPr="00BB4D40">
        <w:rPr>
          <w:rFonts w:ascii="Times New Roman" w:hAnsi="Times New Roman" w:cs="Times New Roman"/>
          <w:sz w:val="28"/>
          <w:szCs w:val="28"/>
          <w:lang w:val="nl-NL"/>
        </w:rPr>
        <w:t xml:space="preserve"> </w:t>
      </w:r>
      <w:r w:rsidRPr="00BB4D40">
        <w:rPr>
          <w:rFonts w:ascii="Times New Roman" w:hAnsi="Times New Roman" w:cs="Times New Roman"/>
          <w:bCs/>
          <w:sz w:val="28"/>
          <w:szCs w:val="28"/>
          <w:lang w:val="nl-NL"/>
        </w:rPr>
        <w:t xml:space="preserve">trillion VND, accounting for </w:t>
      </w:r>
      <w:r w:rsidRPr="00BB4D40">
        <w:rPr>
          <w:rFonts w:ascii="Times New Roman" w:hAnsi="Times New Roman" w:cs="Times New Roman"/>
          <w:sz w:val="28"/>
          <w:szCs w:val="28"/>
          <w:lang w:val="nl-NL"/>
        </w:rPr>
        <w:t>10.</w:t>
      </w:r>
      <w:r>
        <w:rPr>
          <w:rFonts w:ascii="Times New Roman" w:hAnsi="Times New Roman" w:cs="Times New Roman"/>
          <w:sz w:val="28"/>
          <w:szCs w:val="28"/>
          <w:lang w:val="nl-NL"/>
        </w:rPr>
        <w:t>0</w:t>
      </w:r>
      <w:r w:rsidRPr="00BB4D40">
        <w:rPr>
          <w:rFonts w:ascii="Times New Roman" w:hAnsi="Times New Roman" w:cs="Times New Roman"/>
          <w:bCs/>
          <w:sz w:val="28"/>
          <w:szCs w:val="28"/>
          <w:lang w:val="nl-NL"/>
        </w:rPr>
        <w:t xml:space="preserve">% and up </w:t>
      </w:r>
      <w:r>
        <w:rPr>
          <w:rFonts w:ascii="Times New Roman" w:hAnsi="Times New Roman" w:cs="Times New Roman"/>
          <w:sz w:val="28"/>
          <w:szCs w:val="28"/>
          <w:lang w:val="nl-NL"/>
        </w:rPr>
        <w:t>10.2</w:t>
      </w:r>
      <w:r w:rsidRPr="00BB4D40">
        <w:rPr>
          <w:rFonts w:ascii="Times New Roman" w:hAnsi="Times New Roman" w:cs="Times New Roman"/>
          <w:bCs/>
          <w:sz w:val="28"/>
          <w:szCs w:val="28"/>
          <w:lang w:val="nl-NL"/>
        </w:rPr>
        <w:t xml:space="preserve">% over the same period last year. </w:t>
      </w:r>
      <w:bookmarkEnd w:id="0"/>
      <w:r w:rsidRPr="00BB4D40">
        <w:rPr>
          <w:rFonts w:ascii="Times New Roman" w:hAnsi="Times New Roman" w:cs="Times New Roman"/>
          <w:bCs/>
          <w:sz w:val="28"/>
          <w:szCs w:val="28"/>
          <w:lang w:val="nl-NL"/>
        </w:rPr>
        <w:t xml:space="preserve">Revenue </w:t>
      </w:r>
      <w:r>
        <w:rPr>
          <w:rFonts w:ascii="Times New Roman" w:hAnsi="Times New Roman" w:cs="Times New Roman"/>
          <w:bCs/>
          <w:sz w:val="28"/>
          <w:szCs w:val="28"/>
          <w:lang w:val="nl-NL"/>
        </w:rPr>
        <w:t>in two months of 2025</w:t>
      </w:r>
      <w:r w:rsidRPr="00BB4D40">
        <w:rPr>
          <w:rFonts w:ascii="Times New Roman" w:hAnsi="Times New Roman" w:cs="Times New Roman"/>
          <w:bCs/>
          <w:sz w:val="28"/>
          <w:szCs w:val="28"/>
          <w:lang w:val="nl-NL"/>
        </w:rPr>
        <w:t xml:space="preserve"> of some localities was as follows: </w:t>
      </w:r>
      <w:r w:rsidRPr="004D53BF">
        <w:rPr>
          <w:rFonts w:ascii="Times New Roman" w:hAnsi="Times New Roman" w:cs="Times New Roman"/>
          <w:bCs/>
          <w:sz w:val="28"/>
          <w:szCs w:val="28"/>
          <w:lang w:val="en"/>
        </w:rPr>
        <w:t>Ninh Binh increased by 26.0%; Can Tho increased by 18.6%; Lam Dong increased by 15.8%; An Giang increased by 13.7%; Ho Chi Minh City increased by 11.8%; Binh Dinh increased by 9.8%; Hai Phong increased by 9.1%; Binh Duong increased by 7.6%; Bac Lieu decreased by 1.8%; Quang Ninh decreased by 2.7%; Hoa Binh decreased by 12.4%.</w:t>
      </w:r>
    </w:p>
    <w:bookmarkEnd w:id="1"/>
    <w:p w14:paraId="007C967C" w14:textId="77777777" w:rsidR="00753A68" w:rsidRPr="00BF0DCD" w:rsidRDefault="00753A68" w:rsidP="00753A68">
      <w:pPr>
        <w:tabs>
          <w:tab w:val="left" w:pos="900"/>
        </w:tabs>
        <w:spacing w:before="40" w:after="40" w:line="288" w:lineRule="auto"/>
        <w:ind w:firstLine="562"/>
        <w:jc w:val="both"/>
        <w:rPr>
          <w:rStyle w:val="Strong"/>
          <w:i/>
          <w:iCs/>
          <w:lang w:val="en-US"/>
        </w:rPr>
      </w:pPr>
      <w:r>
        <w:rPr>
          <w:rStyle w:val="Strong"/>
          <w:i/>
          <w:iCs/>
          <w:color w:val="000000" w:themeColor="text1"/>
          <w:lang w:val="de-DE"/>
        </w:rPr>
        <w:t>b</w:t>
      </w:r>
      <w:r w:rsidRPr="00BC5895">
        <w:rPr>
          <w:rStyle w:val="Strong"/>
          <w:i/>
          <w:iCs/>
          <w:color w:val="000000" w:themeColor="text1"/>
          <w:lang w:val="de-DE"/>
        </w:rPr>
        <w:t xml:space="preserve">) </w:t>
      </w:r>
      <w:r w:rsidRPr="00BF0DCD">
        <w:rPr>
          <w:rStyle w:val="Strong"/>
          <w:i/>
          <w:iCs/>
          <w:lang w:val="en-US"/>
        </w:rPr>
        <w:t>Export and import of goods</w:t>
      </w:r>
      <w:r w:rsidRPr="006F47C2">
        <w:rPr>
          <w:b/>
          <w:bCs/>
          <w:i/>
          <w:iCs/>
          <w:vertAlign w:val="superscript"/>
          <w:lang w:val="en-US"/>
        </w:rPr>
        <w:footnoteReference w:id="16"/>
      </w:r>
    </w:p>
    <w:p w14:paraId="46A5D3EF" w14:textId="77777777" w:rsidR="00753A68" w:rsidRPr="00405AE1" w:rsidRDefault="00753A68" w:rsidP="00753A68">
      <w:pPr>
        <w:tabs>
          <w:tab w:val="left" w:pos="900"/>
          <w:tab w:val="left" w:pos="9475"/>
        </w:tabs>
        <w:spacing w:before="120" w:after="120" w:line="288" w:lineRule="auto"/>
        <w:ind w:right="119" w:firstLine="567"/>
        <w:jc w:val="both"/>
        <w:rPr>
          <w:rFonts w:ascii="Times New Roman Italic" w:hAnsi="Times New Roman Italic"/>
          <w:i/>
          <w:lang w:val="es-NI"/>
        </w:rPr>
      </w:pPr>
      <w:r w:rsidRPr="00F351F4">
        <w:rPr>
          <w:rFonts w:ascii="Times New Roman Italic" w:hAnsi="Times New Roman Italic"/>
          <w:i/>
          <w:lang w:val="de-DE"/>
        </w:rPr>
        <w:t xml:space="preserve">Total </w:t>
      </w:r>
      <w:r>
        <w:rPr>
          <w:rFonts w:ascii="Times New Roman Italic" w:hAnsi="Times New Roman Italic"/>
          <w:i/>
          <w:lang w:val="de-DE"/>
        </w:rPr>
        <w:t>ex</w:t>
      </w:r>
      <w:r w:rsidRPr="00F351F4">
        <w:rPr>
          <w:rFonts w:ascii="Times New Roman Italic" w:hAnsi="Times New Roman Italic"/>
          <w:i/>
          <w:lang w:val="de-DE"/>
        </w:rPr>
        <w:t xml:space="preserve">port and </w:t>
      </w:r>
      <w:r>
        <w:rPr>
          <w:rFonts w:ascii="Times New Roman Italic" w:hAnsi="Times New Roman Italic"/>
          <w:i/>
          <w:lang w:val="de-DE"/>
        </w:rPr>
        <w:t>im</w:t>
      </w:r>
      <w:r w:rsidRPr="00F351F4">
        <w:rPr>
          <w:rFonts w:ascii="Times New Roman Italic" w:hAnsi="Times New Roman Italic"/>
          <w:i/>
          <w:lang w:val="de-DE"/>
        </w:rPr>
        <w:t>port turnover of goods</w:t>
      </w:r>
      <w:r w:rsidRPr="006F47C2">
        <w:rPr>
          <w:rFonts w:ascii="Times New Roman Italic" w:hAnsi="Times New Roman Italic"/>
          <w:i/>
          <w:iCs/>
          <w:vertAlign w:val="superscript"/>
          <w:lang w:val="en-US"/>
        </w:rPr>
        <w:footnoteReference w:id="17"/>
      </w:r>
      <w:r w:rsidRPr="00F351F4">
        <w:rPr>
          <w:rFonts w:ascii="Times New Roman Italic" w:hAnsi="Times New Roman Italic"/>
          <w:i/>
          <w:lang w:val="de-DE"/>
        </w:rPr>
        <w:t xml:space="preserve"> in </w:t>
      </w:r>
      <w:r>
        <w:rPr>
          <w:rFonts w:ascii="Times New Roman Italic" w:hAnsi="Times New Roman Italic"/>
          <w:i/>
          <w:lang w:val="de-DE"/>
        </w:rPr>
        <w:t>02/2025</w:t>
      </w:r>
      <w:r w:rsidRPr="00F351F4">
        <w:rPr>
          <w:rFonts w:ascii="Times New Roman Italic" w:hAnsi="Times New Roman Italic"/>
          <w:i/>
          <w:lang w:val="de-DE"/>
        </w:rPr>
        <w:t xml:space="preserve"> </w:t>
      </w:r>
      <w:r>
        <w:rPr>
          <w:rFonts w:ascii="Times New Roman Italic" w:hAnsi="Times New Roman Italic"/>
          <w:i/>
          <w:lang w:val="de-DE"/>
        </w:rPr>
        <w:t>reached</w:t>
      </w:r>
      <w:r w:rsidRPr="00F351F4">
        <w:rPr>
          <w:rFonts w:ascii="Times New Roman Italic" w:hAnsi="Times New Roman Italic"/>
          <w:i/>
          <w:lang w:val="de-DE"/>
        </w:rPr>
        <w:t xml:space="preserve"> </w:t>
      </w:r>
      <w:r>
        <w:rPr>
          <w:rFonts w:ascii="Times New Roman Italic" w:hAnsi="Times New Roman Italic"/>
          <w:i/>
          <w:lang w:val="de-DE"/>
        </w:rPr>
        <w:t>63.77</w:t>
      </w:r>
      <w:r w:rsidRPr="00F351F4">
        <w:rPr>
          <w:rFonts w:ascii="Times New Roman Italic" w:hAnsi="Times New Roman Italic"/>
          <w:i/>
          <w:lang w:val="de-DE"/>
        </w:rPr>
        <w:t xml:space="preserve"> billion USD, </w:t>
      </w:r>
      <w:r>
        <w:rPr>
          <w:rFonts w:ascii="Times New Roman Italic" w:hAnsi="Times New Roman Italic"/>
          <w:i/>
          <w:lang w:val="de-DE"/>
        </w:rPr>
        <w:t>up</w:t>
      </w:r>
      <w:r w:rsidRPr="00F351F4">
        <w:rPr>
          <w:rFonts w:ascii="Times New Roman Italic" w:hAnsi="Times New Roman Italic"/>
          <w:i/>
          <w:lang w:val="de-DE"/>
        </w:rPr>
        <w:t xml:space="preserve"> </w:t>
      </w:r>
      <w:r>
        <w:rPr>
          <w:rFonts w:ascii="Times New Roman Italic" w:hAnsi="Times New Roman Italic"/>
          <w:i/>
          <w:lang w:val="de-DE"/>
        </w:rPr>
        <w:t>0.7</w:t>
      </w:r>
      <w:r w:rsidRPr="00F351F4">
        <w:rPr>
          <w:rFonts w:ascii="Times New Roman Italic" w:hAnsi="Times New Roman Italic"/>
          <w:i/>
          <w:lang w:val="de-DE"/>
        </w:rPr>
        <w:t xml:space="preserve">% over the previous month and </w:t>
      </w:r>
      <w:r>
        <w:rPr>
          <w:rFonts w:ascii="Times New Roman Italic" w:hAnsi="Times New Roman Italic"/>
          <w:i/>
          <w:lang w:val="de-DE"/>
        </w:rPr>
        <w:t>up</w:t>
      </w:r>
      <w:r w:rsidRPr="00F351F4">
        <w:rPr>
          <w:rFonts w:ascii="Times New Roman Italic" w:hAnsi="Times New Roman Italic"/>
          <w:i/>
          <w:lang w:val="de-DE"/>
        </w:rPr>
        <w:t xml:space="preserve"> </w:t>
      </w:r>
      <w:r>
        <w:rPr>
          <w:rFonts w:ascii="Times New Roman Italic" w:hAnsi="Times New Roman Italic"/>
          <w:i/>
          <w:lang w:val="de-DE"/>
        </w:rPr>
        <w:t>32.6</w:t>
      </w:r>
      <w:r w:rsidRPr="00F351F4">
        <w:rPr>
          <w:rFonts w:ascii="Times New Roman Italic" w:hAnsi="Times New Roman Italic"/>
          <w:i/>
          <w:lang w:val="de-DE"/>
        </w:rPr>
        <w:t>% over the same period last year</w:t>
      </w:r>
      <w:r>
        <w:rPr>
          <w:rStyle w:val="FootnoteReference"/>
          <w:rFonts w:ascii="Times New Roman Italic" w:hAnsi="Times New Roman Italic"/>
          <w:i/>
          <w:lang w:val="de-DE"/>
        </w:rPr>
        <w:footnoteReference w:id="18"/>
      </w:r>
      <w:r w:rsidRPr="00F351F4">
        <w:rPr>
          <w:rFonts w:ascii="Times New Roman Italic" w:hAnsi="Times New Roman Italic"/>
          <w:i/>
          <w:lang w:val="de-DE"/>
        </w:rPr>
        <w:t>.</w:t>
      </w:r>
      <w:r w:rsidRPr="00CB66F1">
        <w:rPr>
          <w:rFonts w:ascii="Times New Roman Italic" w:hAnsi="Times New Roman Italic"/>
          <w:i/>
          <w:lang w:val="de-DE"/>
        </w:rPr>
        <w:t xml:space="preserve"> </w:t>
      </w:r>
      <w:r w:rsidRPr="00D25A7C">
        <w:rPr>
          <w:rFonts w:ascii="Times New Roman Italic" w:hAnsi="Times New Roman Italic"/>
          <w:i/>
          <w:lang w:val="de-DE"/>
        </w:rPr>
        <w:t xml:space="preserve">Generally, in </w:t>
      </w:r>
      <w:r>
        <w:rPr>
          <w:rFonts w:ascii="Times New Roman Italic" w:hAnsi="Times New Roman Italic"/>
          <w:i/>
          <w:lang w:val="de-DE"/>
        </w:rPr>
        <w:t>two months of 2025</w:t>
      </w:r>
      <w:r w:rsidRPr="00D25A7C">
        <w:rPr>
          <w:rFonts w:ascii="Times New Roman Italic" w:hAnsi="Times New Roman Italic"/>
          <w:i/>
          <w:lang w:val="de-DE"/>
        </w:rPr>
        <w:t xml:space="preserve">, the total export and import </w:t>
      </w:r>
      <w:r w:rsidRPr="00D25A7C">
        <w:rPr>
          <w:rFonts w:ascii="Times New Roman Italic" w:hAnsi="Times New Roman Italic"/>
          <w:i/>
          <w:lang w:val="de-DE"/>
        </w:rPr>
        <w:lastRenderedPageBreak/>
        <w:t xml:space="preserve">turnover of goods reached </w:t>
      </w:r>
      <w:r>
        <w:rPr>
          <w:rFonts w:ascii="Times New Roman Italic" w:hAnsi="Times New Roman Italic"/>
          <w:i/>
          <w:lang w:val="de-DE"/>
        </w:rPr>
        <w:t>127.07</w:t>
      </w:r>
      <w:r w:rsidRPr="00D25A7C">
        <w:rPr>
          <w:rFonts w:ascii="Times New Roman Italic" w:hAnsi="Times New Roman Italic"/>
          <w:i/>
          <w:lang w:val="de-DE"/>
        </w:rPr>
        <w:t xml:space="preserve"> billion USD, up 1</w:t>
      </w:r>
      <w:r>
        <w:rPr>
          <w:rFonts w:ascii="Times New Roman Italic" w:hAnsi="Times New Roman Italic"/>
          <w:i/>
          <w:lang w:val="de-DE"/>
        </w:rPr>
        <w:t>2.0</w:t>
      </w:r>
      <w:r w:rsidRPr="00D25A7C">
        <w:rPr>
          <w:rFonts w:ascii="Times New Roman Italic" w:hAnsi="Times New Roman Italic"/>
          <w:i/>
          <w:lang w:val="de-DE"/>
        </w:rPr>
        <w:t xml:space="preserve">% over the same period last year, of which exports increased by </w:t>
      </w:r>
      <w:r>
        <w:rPr>
          <w:rFonts w:ascii="Times New Roman Italic" w:hAnsi="Times New Roman Italic"/>
          <w:i/>
          <w:lang w:val="de-DE"/>
        </w:rPr>
        <w:t>8.4</w:t>
      </w:r>
      <w:r w:rsidRPr="00D25A7C">
        <w:rPr>
          <w:rFonts w:ascii="Times New Roman Italic" w:hAnsi="Times New Roman Italic"/>
          <w:i/>
          <w:lang w:val="de-DE"/>
        </w:rPr>
        <w:t>%; imports increased by 1</w:t>
      </w:r>
      <w:r>
        <w:rPr>
          <w:rFonts w:ascii="Times New Roman Italic" w:hAnsi="Times New Roman Italic"/>
          <w:i/>
          <w:lang w:val="de-DE"/>
        </w:rPr>
        <w:t>5.9</w:t>
      </w:r>
      <w:r w:rsidRPr="00D25A7C">
        <w:rPr>
          <w:rFonts w:ascii="Times New Roman Italic" w:hAnsi="Times New Roman Italic"/>
          <w:i/>
          <w:lang w:val="de-DE"/>
        </w:rPr>
        <w:t>%</w:t>
      </w:r>
      <w:r>
        <w:rPr>
          <w:rStyle w:val="FootnoteReference"/>
          <w:rFonts w:ascii="Times New Roman Italic" w:hAnsi="Times New Roman Italic"/>
          <w:i/>
          <w:lang w:val="de-DE"/>
        </w:rPr>
        <w:footnoteReference w:id="19"/>
      </w:r>
      <w:r w:rsidRPr="00D25A7C">
        <w:rPr>
          <w:rFonts w:ascii="Times New Roman Italic" w:hAnsi="Times New Roman Italic"/>
          <w:i/>
          <w:lang w:val="de-DE"/>
        </w:rPr>
        <w:t xml:space="preserve">. The trade balance of goods had a surplus of </w:t>
      </w:r>
      <w:r>
        <w:rPr>
          <w:rFonts w:ascii="Times New Roman Italic" w:hAnsi="Times New Roman Italic"/>
          <w:i/>
          <w:lang w:val="de-DE"/>
        </w:rPr>
        <w:t>1.47</w:t>
      </w:r>
      <w:r w:rsidRPr="00D25A7C">
        <w:rPr>
          <w:rFonts w:ascii="Times New Roman Italic" w:hAnsi="Times New Roman Italic"/>
          <w:i/>
          <w:lang w:val="de-DE"/>
        </w:rPr>
        <w:t xml:space="preserve"> billion USD.</w:t>
      </w:r>
      <w:r>
        <w:rPr>
          <w:rFonts w:ascii="Times New Roman Italic" w:hAnsi="Times New Roman Italic"/>
          <w:i/>
          <w:lang w:val="es-NI"/>
        </w:rPr>
        <w:t xml:space="preserve"> </w:t>
      </w:r>
    </w:p>
    <w:p w14:paraId="62C05D34" w14:textId="77777777" w:rsidR="00753A68" w:rsidRDefault="00753A68" w:rsidP="00753A68">
      <w:pPr>
        <w:tabs>
          <w:tab w:val="left" w:pos="900"/>
          <w:tab w:val="left" w:pos="9475"/>
        </w:tabs>
        <w:spacing w:before="240" w:after="240" w:line="288" w:lineRule="auto"/>
        <w:jc w:val="center"/>
        <w:rPr>
          <w:rFonts w:ascii="Arial" w:hAnsi="Arial" w:cs="Arial"/>
          <w:b/>
          <w:bCs/>
          <w:sz w:val="24"/>
          <w:szCs w:val="24"/>
          <w:lang w:val="es-NI"/>
        </w:rPr>
      </w:pPr>
      <w:r w:rsidRPr="00D25A7C">
        <w:rPr>
          <w:rFonts w:ascii="Arial" w:hAnsi="Arial" w:cs="Arial"/>
          <w:b/>
          <w:bCs/>
          <w:sz w:val="24"/>
          <w:szCs w:val="24"/>
          <w:lang w:val="es-NI"/>
        </w:rPr>
        <w:t>Figure 1</w:t>
      </w:r>
      <w:r>
        <w:rPr>
          <w:rFonts w:ascii="Arial" w:hAnsi="Arial" w:cs="Arial"/>
          <w:b/>
          <w:bCs/>
          <w:sz w:val="24"/>
          <w:szCs w:val="24"/>
          <w:lang w:val="es-NI"/>
        </w:rPr>
        <w:t>1</w:t>
      </w:r>
      <w:r w:rsidRPr="00D25A7C">
        <w:rPr>
          <w:rFonts w:ascii="Arial" w:hAnsi="Arial" w:cs="Arial"/>
          <w:b/>
          <w:bCs/>
          <w:sz w:val="24"/>
          <w:szCs w:val="24"/>
          <w:lang w:val="es-NI"/>
        </w:rPr>
        <w:t xml:space="preserve">. Import and export of goods in </w:t>
      </w:r>
      <w:r>
        <w:rPr>
          <w:rFonts w:ascii="Arial" w:hAnsi="Arial" w:cs="Arial"/>
          <w:b/>
          <w:bCs/>
          <w:sz w:val="24"/>
          <w:szCs w:val="24"/>
          <w:lang w:val="es-NI"/>
        </w:rPr>
        <w:t>2 months of 2025</w:t>
      </w:r>
    </w:p>
    <w:p w14:paraId="08C46FFB" w14:textId="77777777" w:rsidR="00753A68" w:rsidRPr="00D25A7C" w:rsidRDefault="00753A68" w:rsidP="00753A68">
      <w:pPr>
        <w:tabs>
          <w:tab w:val="left" w:pos="900"/>
          <w:tab w:val="left" w:pos="9475"/>
        </w:tabs>
        <w:spacing w:before="240" w:after="240" w:line="288" w:lineRule="auto"/>
        <w:jc w:val="center"/>
        <w:rPr>
          <w:iCs/>
          <w:spacing w:val="2"/>
          <w:lang w:val="es-NI"/>
        </w:rPr>
      </w:pPr>
      <w:r>
        <w:rPr>
          <w:noProof/>
          <w:lang w:val="en-US"/>
        </w:rPr>
        <w:drawing>
          <wp:inline distT="0" distB="0" distL="0" distR="0" wp14:anchorId="310F7C93" wp14:editId="3A2AD3FE">
            <wp:extent cx="5225162" cy="1783921"/>
            <wp:effectExtent l="0" t="0" r="0" b="6985"/>
            <wp:docPr id="107846360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463604" name=""/>
                    <pic:cNvPicPr/>
                  </pic:nvPicPr>
                  <pic:blipFill>
                    <a:blip r:embed="rId19">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svg="http://schemas.microsoft.com/office/drawing/2016/SVG/main" r:embed="rId20"/>
                        </a:ext>
                      </a:extLst>
                    </a:blip>
                    <a:stretch>
                      <a:fillRect/>
                    </a:stretch>
                  </pic:blipFill>
                  <pic:spPr>
                    <a:xfrm>
                      <a:off x="0" y="0"/>
                      <a:ext cx="5246347" cy="1791154"/>
                    </a:xfrm>
                    <a:prstGeom prst="rect">
                      <a:avLst/>
                    </a:prstGeom>
                  </pic:spPr>
                </pic:pic>
              </a:graphicData>
            </a:graphic>
          </wp:inline>
        </w:drawing>
      </w:r>
    </w:p>
    <w:p w14:paraId="7308ACB9" w14:textId="77777777" w:rsidR="00753A68" w:rsidRPr="008816F9" w:rsidRDefault="00753A68" w:rsidP="00753A68">
      <w:pPr>
        <w:tabs>
          <w:tab w:val="left" w:pos="900"/>
          <w:tab w:val="left" w:pos="9475"/>
        </w:tabs>
        <w:spacing w:before="40" w:after="40" w:line="278" w:lineRule="auto"/>
        <w:ind w:right="119" w:firstLine="567"/>
        <w:jc w:val="both"/>
        <w:rPr>
          <w:rStyle w:val="Strong"/>
          <w:i/>
          <w:iCs/>
          <w:color w:val="000000" w:themeColor="text1"/>
          <w:sz w:val="2"/>
          <w:szCs w:val="4"/>
          <w:lang w:val="de-DE"/>
        </w:rPr>
      </w:pPr>
    </w:p>
    <w:p w14:paraId="2ED72C6B" w14:textId="77777777" w:rsidR="00753A68" w:rsidRPr="00D64BE4" w:rsidRDefault="00753A68" w:rsidP="00753A68">
      <w:pPr>
        <w:tabs>
          <w:tab w:val="left" w:pos="900"/>
        </w:tabs>
        <w:spacing w:after="40" w:line="288" w:lineRule="auto"/>
        <w:ind w:firstLine="561"/>
        <w:jc w:val="both"/>
        <w:rPr>
          <w:b/>
          <w:bCs/>
          <w:i/>
          <w:iCs/>
          <w:lang w:val="en-US"/>
        </w:rPr>
      </w:pPr>
      <w:r w:rsidRPr="00D64BE4">
        <w:rPr>
          <w:b/>
          <w:bCs/>
          <w:i/>
          <w:iCs/>
          <w:lang w:val="en-US"/>
        </w:rPr>
        <w:t>Export of goods</w:t>
      </w:r>
    </w:p>
    <w:p w14:paraId="0FCFDE6A" w14:textId="77777777" w:rsidR="00753A68" w:rsidRPr="00D25A7C" w:rsidRDefault="00753A68" w:rsidP="00753A68">
      <w:pPr>
        <w:tabs>
          <w:tab w:val="num" w:pos="0"/>
          <w:tab w:val="left" w:pos="9475"/>
        </w:tabs>
        <w:spacing w:beforeLines="40" w:before="96" w:afterLines="40" w:after="96" w:line="288" w:lineRule="auto"/>
        <w:ind w:right="6" w:firstLine="567"/>
        <w:jc w:val="both"/>
        <w:rPr>
          <w:bCs/>
          <w:lang w:val="de-DE"/>
        </w:rPr>
      </w:pPr>
      <w:r>
        <w:rPr>
          <w:bCs/>
          <w:lang w:val="en-US"/>
        </w:rPr>
        <w:t>E</w:t>
      </w:r>
      <w:r w:rsidRPr="00D25A7C">
        <w:rPr>
          <w:bCs/>
          <w:lang w:val="en-US"/>
        </w:rPr>
        <w:t>xport turnover of goods in</w:t>
      </w:r>
      <w:r w:rsidRPr="00D25A7C">
        <w:rPr>
          <w:bCs/>
          <w:lang w:val="de-DE"/>
        </w:rPr>
        <w:t xml:space="preserve"> </w:t>
      </w:r>
      <w:r>
        <w:rPr>
          <w:bCs/>
          <w:lang w:val="de-DE"/>
        </w:rPr>
        <w:t>01/2025</w:t>
      </w:r>
      <w:r w:rsidRPr="00D25A7C">
        <w:rPr>
          <w:bCs/>
          <w:lang w:val="de-DE"/>
        </w:rPr>
        <w:t xml:space="preserve"> reached USD 3</w:t>
      </w:r>
      <w:r>
        <w:rPr>
          <w:bCs/>
          <w:lang w:val="de-DE"/>
        </w:rPr>
        <w:t>3.16</w:t>
      </w:r>
      <w:r w:rsidRPr="00D25A7C">
        <w:rPr>
          <w:bCs/>
          <w:lang w:val="de-DE"/>
        </w:rPr>
        <w:t xml:space="preserve"> billion</w:t>
      </w:r>
      <w:r>
        <w:rPr>
          <w:rStyle w:val="FootnoteReference"/>
          <w:bCs/>
          <w:lang w:val="de-DE"/>
        </w:rPr>
        <w:footnoteReference w:id="20"/>
      </w:r>
      <w:r w:rsidRPr="00D25A7C">
        <w:rPr>
          <w:bCs/>
          <w:lang w:val="de-DE"/>
        </w:rPr>
        <w:t>.</w:t>
      </w:r>
    </w:p>
    <w:p w14:paraId="34943E4F" w14:textId="77777777" w:rsidR="00753A68" w:rsidRPr="00D25A7C" w:rsidRDefault="00753A68" w:rsidP="00753A68">
      <w:pPr>
        <w:tabs>
          <w:tab w:val="num" w:pos="0"/>
          <w:tab w:val="left" w:pos="9475"/>
        </w:tabs>
        <w:spacing w:beforeLines="40" w:before="96" w:afterLines="40" w:after="96" w:line="288" w:lineRule="auto"/>
        <w:ind w:right="6" w:firstLine="567"/>
        <w:jc w:val="both"/>
        <w:rPr>
          <w:bCs/>
          <w:lang w:val="en-US"/>
        </w:rPr>
      </w:pPr>
      <w:r>
        <w:rPr>
          <w:bCs/>
          <w:i/>
          <w:iCs/>
          <w:lang w:val="en-US"/>
        </w:rPr>
        <w:t>E</w:t>
      </w:r>
      <w:r w:rsidRPr="00D25A7C">
        <w:rPr>
          <w:bCs/>
          <w:i/>
          <w:iCs/>
          <w:lang w:val="en-US"/>
        </w:rPr>
        <w:t xml:space="preserve">xport turnover of goods in </w:t>
      </w:r>
      <w:r>
        <w:rPr>
          <w:bCs/>
          <w:i/>
          <w:iCs/>
          <w:lang w:val="en-US"/>
        </w:rPr>
        <w:t>02/2025</w:t>
      </w:r>
      <w:r w:rsidRPr="00D25A7C">
        <w:rPr>
          <w:bCs/>
          <w:i/>
          <w:iCs/>
          <w:lang w:val="en-US"/>
        </w:rPr>
        <w:t xml:space="preserve"> </w:t>
      </w:r>
      <w:r>
        <w:rPr>
          <w:bCs/>
          <w:lang w:val="de-DE"/>
        </w:rPr>
        <w:t>reached</w:t>
      </w:r>
      <w:r w:rsidRPr="00D25A7C">
        <w:rPr>
          <w:bCs/>
          <w:lang w:val="de-DE"/>
        </w:rPr>
        <w:t xml:space="preserve"> 3</w:t>
      </w:r>
      <w:r>
        <w:rPr>
          <w:bCs/>
          <w:lang w:val="de-DE"/>
        </w:rPr>
        <w:t>1.11</w:t>
      </w:r>
      <w:r w:rsidRPr="00D25A7C">
        <w:rPr>
          <w:bCs/>
          <w:lang w:val="de-DE"/>
        </w:rPr>
        <w:t xml:space="preserve"> billion USD, </w:t>
      </w:r>
      <w:r>
        <w:rPr>
          <w:bCs/>
          <w:lang w:val="de-DE"/>
        </w:rPr>
        <w:t>down</w:t>
      </w:r>
      <w:r w:rsidRPr="00D25A7C">
        <w:rPr>
          <w:bCs/>
          <w:lang w:val="de-DE"/>
        </w:rPr>
        <w:t xml:space="preserve"> </w:t>
      </w:r>
      <w:r>
        <w:rPr>
          <w:bCs/>
          <w:lang w:val="de-DE"/>
        </w:rPr>
        <w:t>6.2</w:t>
      </w:r>
      <w:r w:rsidRPr="00D25A7C">
        <w:rPr>
          <w:bCs/>
          <w:lang w:val="de-DE"/>
        </w:rPr>
        <w:t xml:space="preserve">% over the previous month. </w:t>
      </w:r>
      <w:r w:rsidRPr="00D25A7C">
        <w:rPr>
          <w:bCs/>
          <w:lang w:val="en-US"/>
        </w:rPr>
        <w:t xml:space="preserve">Of which, the domestic economic sector gained </w:t>
      </w:r>
      <w:r>
        <w:rPr>
          <w:bCs/>
          <w:lang w:val="en-US"/>
        </w:rPr>
        <w:t>8.39</w:t>
      </w:r>
      <w:r w:rsidRPr="00D25A7C">
        <w:rPr>
          <w:bCs/>
          <w:lang w:val="en-US"/>
        </w:rPr>
        <w:t xml:space="preserve"> billion USD, </w:t>
      </w:r>
      <w:r>
        <w:rPr>
          <w:bCs/>
          <w:lang w:val="en-US"/>
        </w:rPr>
        <w:t>de</w:t>
      </w:r>
      <w:r w:rsidRPr="00D25A7C">
        <w:rPr>
          <w:bCs/>
          <w:lang w:val="en-US"/>
        </w:rPr>
        <w:t xml:space="preserve">creased by </w:t>
      </w:r>
      <w:r>
        <w:rPr>
          <w:bCs/>
          <w:lang w:val="en-US"/>
        </w:rPr>
        <w:t>12.0</w:t>
      </w:r>
      <w:r w:rsidRPr="00D25A7C">
        <w:rPr>
          <w:bCs/>
          <w:lang w:val="en-US"/>
        </w:rPr>
        <w:t>%; the FDI sector (including crude oil) reached 2</w:t>
      </w:r>
      <w:r>
        <w:rPr>
          <w:bCs/>
          <w:lang w:val="en-US"/>
        </w:rPr>
        <w:t>2.72</w:t>
      </w:r>
      <w:r w:rsidRPr="00D25A7C">
        <w:rPr>
          <w:bCs/>
          <w:lang w:val="en-US"/>
        </w:rPr>
        <w:t xml:space="preserve"> billion USD, </w:t>
      </w:r>
      <w:r>
        <w:rPr>
          <w:bCs/>
          <w:lang w:val="en-US"/>
        </w:rPr>
        <w:t>de</w:t>
      </w:r>
      <w:r w:rsidRPr="00D25A7C">
        <w:rPr>
          <w:bCs/>
          <w:lang w:val="en-US"/>
        </w:rPr>
        <w:t xml:space="preserve">creased by </w:t>
      </w:r>
      <w:r>
        <w:rPr>
          <w:bCs/>
          <w:lang w:val="en-US"/>
        </w:rPr>
        <w:t>3.8</w:t>
      </w:r>
      <w:r w:rsidRPr="00D25A7C">
        <w:rPr>
          <w:bCs/>
          <w:lang w:val="en-US"/>
        </w:rPr>
        <w:t xml:space="preserve">%. Compared to the same period last year, export turnover of goods in </w:t>
      </w:r>
      <w:r>
        <w:rPr>
          <w:bCs/>
          <w:lang w:val="en-US"/>
        </w:rPr>
        <w:t>February</w:t>
      </w:r>
      <w:r w:rsidRPr="00D25A7C">
        <w:rPr>
          <w:bCs/>
          <w:lang w:val="en-US"/>
        </w:rPr>
        <w:t xml:space="preserve"> increased by </w:t>
      </w:r>
      <w:r>
        <w:rPr>
          <w:bCs/>
          <w:lang w:val="en-US"/>
        </w:rPr>
        <w:t>25.7</w:t>
      </w:r>
      <w:r w:rsidRPr="00D25A7C">
        <w:rPr>
          <w:bCs/>
          <w:lang w:val="en-US"/>
        </w:rPr>
        <w:t xml:space="preserve">%, of which the domestic economic sector increased by </w:t>
      </w:r>
      <w:r>
        <w:rPr>
          <w:bCs/>
          <w:lang w:val="en-US"/>
        </w:rPr>
        <w:t>32.8</w:t>
      </w:r>
      <w:r w:rsidRPr="00D25A7C">
        <w:rPr>
          <w:bCs/>
          <w:lang w:val="en-US"/>
        </w:rPr>
        <w:t xml:space="preserve">%, the FDI sector (including crude oil) increased by </w:t>
      </w:r>
      <w:r>
        <w:rPr>
          <w:bCs/>
          <w:lang w:val="en-US"/>
        </w:rPr>
        <w:t>23.2</w:t>
      </w:r>
      <w:r w:rsidRPr="00D25A7C">
        <w:rPr>
          <w:bCs/>
          <w:lang w:val="en-US"/>
        </w:rPr>
        <w:t>%.</w:t>
      </w:r>
    </w:p>
    <w:p w14:paraId="36272036" w14:textId="77777777" w:rsidR="00753A68" w:rsidRPr="00D25A7C" w:rsidRDefault="00753A68" w:rsidP="00753A68">
      <w:pPr>
        <w:tabs>
          <w:tab w:val="num" w:pos="0"/>
          <w:tab w:val="left" w:pos="9475"/>
        </w:tabs>
        <w:spacing w:beforeLines="40" w:before="96" w:afterLines="40" w:after="96" w:line="288" w:lineRule="auto"/>
        <w:ind w:right="6" w:firstLine="567"/>
        <w:jc w:val="both"/>
        <w:rPr>
          <w:iCs/>
          <w:lang w:val="de-DE"/>
        </w:rPr>
      </w:pPr>
      <w:r w:rsidRPr="00D25A7C">
        <w:rPr>
          <w:i/>
          <w:iCs/>
          <w:lang w:val="en-US"/>
        </w:rPr>
        <w:t>Generally in</w:t>
      </w:r>
      <w:r w:rsidRPr="00D25A7C">
        <w:rPr>
          <w:i/>
          <w:iCs/>
          <w:lang w:val="de-DE"/>
        </w:rPr>
        <w:t xml:space="preserve"> </w:t>
      </w:r>
      <w:r>
        <w:rPr>
          <w:i/>
          <w:iCs/>
          <w:lang w:val="de-DE"/>
        </w:rPr>
        <w:t>two months of 2025</w:t>
      </w:r>
      <w:r w:rsidRPr="00D25A7C">
        <w:rPr>
          <w:iCs/>
          <w:lang w:val="de-DE"/>
        </w:rPr>
        <w:t xml:space="preserve">, </w:t>
      </w:r>
      <w:r w:rsidRPr="00D25A7C">
        <w:rPr>
          <w:iCs/>
          <w:lang w:val="en-US"/>
        </w:rPr>
        <w:t xml:space="preserve">export turnover </w:t>
      </w:r>
      <w:r>
        <w:rPr>
          <w:iCs/>
          <w:lang w:val="en-US"/>
        </w:rPr>
        <w:t>reached</w:t>
      </w:r>
      <w:r w:rsidRPr="00D25A7C">
        <w:rPr>
          <w:iCs/>
          <w:lang w:val="en-US"/>
        </w:rPr>
        <w:t xml:space="preserve"> </w:t>
      </w:r>
      <w:r>
        <w:rPr>
          <w:iCs/>
          <w:lang w:val="en-US"/>
        </w:rPr>
        <w:t>64.27</w:t>
      </w:r>
      <w:r w:rsidRPr="00D25A7C">
        <w:rPr>
          <w:iCs/>
          <w:lang w:val="en-US"/>
        </w:rPr>
        <w:t xml:space="preserve"> billion</w:t>
      </w:r>
      <w:r w:rsidRPr="00D25A7C">
        <w:rPr>
          <w:bCs/>
          <w:iCs/>
          <w:lang w:val="en-US"/>
        </w:rPr>
        <w:t xml:space="preserve"> USD</w:t>
      </w:r>
      <w:r w:rsidRPr="00D25A7C">
        <w:rPr>
          <w:iCs/>
          <w:lang w:val="en-US"/>
        </w:rPr>
        <w:t xml:space="preserve">, increased by </w:t>
      </w:r>
      <w:r>
        <w:rPr>
          <w:iCs/>
          <w:lang w:val="en-US"/>
        </w:rPr>
        <w:t>8.4</w:t>
      </w:r>
      <w:r w:rsidRPr="00D25A7C">
        <w:rPr>
          <w:iCs/>
          <w:lang w:val="en-US"/>
        </w:rPr>
        <w:t xml:space="preserve">% over </w:t>
      </w:r>
      <w:r w:rsidRPr="00D25A7C">
        <w:rPr>
          <w:bCs/>
          <w:iCs/>
          <w:lang w:val="en-US"/>
        </w:rPr>
        <w:t>the same period last year</w:t>
      </w:r>
      <w:r w:rsidRPr="00D25A7C">
        <w:rPr>
          <w:iCs/>
          <w:lang w:val="en-US"/>
        </w:rPr>
        <w:t xml:space="preserve">. Of which, the domestic economic sector </w:t>
      </w:r>
      <w:r w:rsidRPr="00D25A7C">
        <w:rPr>
          <w:bCs/>
          <w:iCs/>
          <w:lang w:val="en-US"/>
        </w:rPr>
        <w:t>was</w:t>
      </w:r>
      <w:r w:rsidRPr="00D25A7C">
        <w:rPr>
          <w:iCs/>
          <w:lang w:val="en-US"/>
        </w:rPr>
        <w:t xml:space="preserve"> </w:t>
      </w:r>
      <w:r>
        <w:rPr>
          <w:iCs/>
          <w:lang w:val="en-US"/>
        </w:rPr>
        <w:t>17.92</w:t>
      </w:r>
      <w:r w:rsidRPr="00D25A7C">
        <w:rPr>
          <w:iCs/>
          <w:lang w:val="en-US"/>
        </w:rPr>
        <w:t xml:space="preserve"> billion USD, went up </w:t>
      </w:r>
      <w:r>
        <w:rPr>
          <w:iCs/>
          <w:lang w:val="en-US"/>
        </w:rPr>
        <w:t>12.8</w:t>
      </w:r>
      <w:r w:rsidRPr="00D25A7C">
        <w:rPr>
          <w:iCs/>
          <w:lang w:val="en-US"/>
        </w:rPr>
        <w:t>%, accounting for 2</w:t>
      </w:r>
      <w:r>
        <w:rPr>
          <w:iCs/>
          <w:lang w:val="en-US"/>
        </w:rPr>
        <w:t>7.9</w:t>
      </w:r>
      <w:r w:rsidRPr="00D25A7C">
        <w:rPr>
          <w:iCs/>
          <w:lang w:val="en-US"/>
        </w:rPr>
        <w:t xml:space="preserve">% of total export turnover; the FDI sector (including crude oil) attained </w:t>
      </w:r>
      <w:r>
        <w:rPr>
          <w:iCs/>
          <w:lang w:val="en-US"/>
        </w:rPr>
        <w:t xml:space="preserve">46.35 </w:t>
      </w:r>
      <w:r w:rsidRPr="00D25A7C">
        <w:rPr>
          <w:iCs/>
          <w:lang w:val="en-US"/>
        </w:rPr>
        <w:t xml:space="preserve">billion USD, increased by </w:t>
      </w:r>
      <w:r>
        <w:rPr>
          <w:iCs/>
          <w:lang w:val="en-US"/>
        </w:rPr>
        <w:t>6.7</w:t>
      </w:r>
      <w:r w:rsidRPr="00D25A7C">
        <w:rPr>
          <w:iCs/>
          <w:lang w:val="en-US"/>
        </w:rPr>
        <w:t>%, sharing 7</w:t>
      </w:r>
      <w:r>
        <w:rPr>
          <w:iCs/>
          <w:lang w:val="en-US"/>
        </w:rPr>
        <w:t>2.1</w:t>
      </w:r>
      <w:r w:rsidRPr="00D25A7C">
        <w:rPr>
          <w:iCs/>
          <w:lang w:val="en-US"/>
        </w:rPr>
        <w:t>%.</w:t>
      </w:r>
      <w:r w:rsidRPr="00D25A7C">
        <w:rPr>
          <w:iCs/>
          <w:lang w:val="de-DE"/>
        </w:rPr>
        <w:t xml:space="preserve"> </w:t>
      </w:r>
    </w:p>
    <w:p w14:paraId="160B8459" w14:textId="77777777" w:rsidR="00753A68" w:rsidRPr="00D25A7C" w:rsidRDefault="00753A68" w:rsidP="00753A68">
      <w:pPr>
        <w:tabs>
          <w:tab w:val="num" w:pos="0"/>
        </w:tabs>
        <w:spacing w:beforeLines="40" w:before="96" w:afterLines="40" w:after="96" w:line="288" w:lineRule="auto"/>
        <w:ind w:right="6" w:firstLine="567"/>
        <w:jc w:val="both"/>
        <w:rPr>
          <w:b/>
          <w:bCs/>
          <w:lang w:val="es-NI"/>
        </w:rPr>
      </w:pPr>
      <w:r w:rsidRPr="00D25A7C">
        <w:rPr>
          <w:i/>
          <w:iCs/>
          <w:lang w:val="de-DE"/>
        </w:rPr>
        <w:t xml:space="preserve">In </w:t>
      </w:r>
      <w:r>
        <w:rPr>
          <w:i/>
          <w:iCs/>
          <w:lang w:val="de-DE"/>
        </w:rPr>
        <w:t>two months of 2025</w:t>
      </w:r>
      <w:r w:rsidRPr="00D25A7C">
        <w:rPr>
          <w:lang w:val="de-DE"/>
        </w:rPr>
        <w:t xml:space="preserve">, </w:t>
      </w:r>
      <w:r w:rsidRPr="00D25A7C">
        <w:rPr>
          <w:lang w:val="en-US"/>
        </w:rPr>
        <w:t xml:space="preserve">there were </w:t>
      </w:r>
      <w:r>
        <w:rPr>
          <w:lang w:val="en-US"/>
        </w:rPr>
        <w:t>12</w:t>
      </w:r>
      <w:r w:rsidRPr="00D25A7C">
        <w:rPr>
          <w:lang w:val="en-US"/>
        </w:rPr>
        <w:t xml:space="preserve"> products with export turnover of over 1 billion USD, contributing </w:t>
      </w:r>
      <w:r>
        <w:rPr>
          <w:lang w:val="en-US"/>
        </w:rPr>
        <w:t>77.7</w:t>
      </w:r>
      <w:r w:rsidRPr="00D25A7C">
        <w:rPr>
          <w:lang w:val="en-US"/>
        </w:rPr>
        <w:t>% to the total export turnover (</w:t>
      </w:r>
      <w:r>
        <w:rPr>
          <w:lang w:val="en-US"/>
        </w:rPr>
        <w:t>4</w:t>
      </w:r>
      <w:r w:rsidRPr="00D25A7C">
        <w:rPr>
          <w:lang w:val="en-US"/>
        </w:rPr>
        <w:t xml:space="preserve"> products with export turnover of over </w:t>
      </w:r>
      <w:r>
        <w:rPr>
          <w:lang w:val="en-US"/>
        </w:rPr>
        <w:t>5</w:t>
      </w:r>
      <w:r w:rsidRPr="00D25A7C">
        <w:rPr>
          <w:lang w:val="en-US"/>
        </w:rPr>
        <w:t xml:space="preserve"> billion USD, accounting for </w:t>
      </w:r>
      <w:r>
        <w:rPr>
          <w:lang w:val="en-US"/>
        </w:rPr>
        <w:t>54.6</w:t>
      </w:r>
      <w:r w:rsidRPr="00D25A7C">
        <w:rPr>
          <w:lang w:val="en-US"/>
        </w:rPr>
        <w:t>%).</w:t>
      </w:r>
      <w:r w:rsidRPr="00D25A7C">
        <w:rPr>
          <w:lang w:val="de-DE"/>
        </w:rPr>
        <w:t xml:space="preserve"> </w:t>
      </w:r>
    </w:p>
    <w:p w14:paraId="52E0FDCF" w14:textId="77777777" w:rsidR="00753A68" w:rsidRPr="00D25A7C" w:rsidRDefault="00753A68" w:rsidP="00753A68">
      <w:pPr>
        <w:tabs>
          <w:tab w:val="num" w:pos="0"/>
          <w:tab w:val="left" w:pos="9475"/>
        </w:tabs>
        <w:spacing w:beforeLines="40" w:before="96" w:afterLines="40" w:after="96" w:line="264" w:lineRule="auto"/>
        <w:ind w:right="119" w:firstLine="567"/>
        <w:jc w:val="center"/>
        <w:rPr>
          <w:rFonts w:ascii="Arial" w:hAnsi="Arial" w:cs="Arial"/>
          <w:b/>
          <w:sz w:val="24"/>
          <w:szCs w:val="20"/>
          <w:lang w:val="pl-PL"/>
        </w:rPr>
      </w:pPr>
      <w:r w:rsidRPr="00D25A7C">
        <w:rPr>
          <w:rFonts w:ascii="Arial" w:hAnsi="Arial" w:cs="Arial"/>
          <w:b/>
          <w:sz w:val="24"/>
          <w:szCs w:val="20"/>
          <w:lang w:val="pl-PL"/>
        </w:rPr>
        <w:t xml:space="preserve">Table </w:t>
      </w:r>
      <w:r>
        <w:rPr>
          <w:rFonts w:ascii="Arial" w:hAnsi="Arial" w:cs="Arial"/>
          <w:b/>
          <w:sz w:val="24"/>
          <w:szCs w:val="20"/>
          <w:lang w:val="pl-PL"/>
        </w:rPr>
        <w:t>4</w:t>
      </w:r>
      <w:r w:rsidRPr="00D25A7C">
        <w:rPr>
          <w:rFonts w:ascii="Arial" w:hAnsi="Arial" w:cs="Arial"/>
          <w:b/>
          <w:sz w:val="24"/>
          <w:szCs w:val="20"/>
          <w:lang w:val="pl-PL"/>
        </w:rPr>
        <w:t xml:space="preserve">. Value of some export products in </w:t>
      </w:r>
      <w:r>
        <w:rPr>
          <w:rFonts w:ascii="Arial" w:hAnsi="Arial" w:cs="Arial"/>
          <w:b/>
          <w:sz w:val="24"/>
          <w:szCs w:val="20"/>
          <w:lang w:val="pl-PL"/>
        </w:rPr>
        <w:t>2 months of 2025</w:t>
      </w:r>
    </w:p>
    <w:tbl>
      <w:tblPr>
        <w:tblStyle w:val="TableGrid1"/>
        <w:tblW w:w="9711" w:type="dxa"/>
        <w:tblInd w:w="108"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92"/>
        <w:gridCol w:w="1657"/>
        <w:gridCol w:w="3162"/>
      </w:tblGrid>
      <w:tr w:rsidR="00753A68" w:rsidRPr="00D25A7C" w14:paraId="628F0175" w14:textId="77777777" w:rsidTr="00C47D68">
        <w:trPr>
          <w:trHeight w:val="781"/>
        </w:trPr>
        <w:tc>
          <w:tcPr>
            <w:tcW w:w="4892" w:type="dxa"/>
          </w:tcPr>
          <w:p w14:paraId="1C75BFE0" w14:textId="77777777" w:rsidR="00753A68" w:rsidRPr="00D25A7C" w:rsidRDefault="00753A68" w:rsidP="00C47D68">
            <w:pPr>
              <w:tabs>
                <w:tab w:val="num" w:pos="0"/>
                <w:tab w:val="left" w:pos="9475"/>
              </w:tabs>
              <w:spacing w:before="40" w:after="40" w:line="288" w:lineRule="auto"/>
              <w:ind w:right="119"/>
              <w:jc w:val="right"/>
              <w:rPr>
                <w:rFonts w:ascii="Arial" w:hAnsi="Arial" w:cs="Arial"/>
                <w:b/>
                <w:bCs/>
                <w:i/>
                <w:iCs/>
                <w:sz w:val="20"/>
                <w:szCs w:val="20"/>
              </w:rPr>
            </w:pPr>
          </w:p>
        </w:tc>
        <w:tc>
          <w:tcPr>
            <w:tcW w:w="1657" w:type="dxa"/>
            <w:tcBorders>
              <w:top w:val="single" w:sz="4" w:space="0" w:color="auto"/>
              <w:bottom w:val="single" w:sz="4" w:space="0" w:color="auto"/>
            </w:tcBorders>
          </w:tcPr>
          <w:p w14:paraId="6C4EA766" w14:textId="77777777" w:rsidR="00753A68" w:rsidRPr="00D25A7C" w:rsidRDefault="00753A68" w:rsidP="00C47D68">
            <w:pPr>
              <w:spacing w:before="40" w:after="40" w:line="288" w:lineRule="auto"/>
              <w:jc w:val="center"/>
              <w:rPr>
                <w:rFonts w:ascii="Arial" w:hAnsi="Arial" w:cs="Arial"/>
                <w:color w:val="000000"/>
                <w:sz w:val="20"/>
                <w:szCs w:val="20"/>
              </w:rPr>
            </w:pPr>
            <w:r>
              <w:rPr>
                <w:rFonts w:ascii="Arial" w:hAnsi="Arial" w:cs="Arial"/>
                <w:color w:val="000000"/>
                <w:sz w:val="20"/>
                <w:szCs w:val="20"/>
                <w:lang w:val="en-US"/>
              </w:rPr>
              <w:t>Value</w:t>
            </w:r>
          </w:p>
          <w:p w14:paraId="2078E8A5" w14:textId="77777777" w:rsidR="00753A68" w:rsidRPr="00D25A7C" w:rsidRDefault="00753A68" w:rsidP="00C47D68">
            <w:pPr>
              <w:spacing w:before="40" w:after="40" w:line="288" w:lineRule="auto"/>
              <w:jc w:val="center"/>
              <w:rPr>
                <w:rFonts w:ascii="Arial" w:hAnsi="Arial" w:cs="Arial"/>
                <w:b/>
                <w:bCs/>
                <w:i/>
                <w:iCs/>
                <w:sz w:val="20"/>
                <w:szCs w:val="20"/>
              </w:rPr>
            </w:pPr>
            <w:r w:rsidRPr="00D25A7C">
              <w:rPr>
                <w:rFonts w:ascii="Arial" w:hAnsi="Arial" w:cs="Arial"/>
                <w:i/>
                <w:iCs/>
                <w:color w:val="000000"/>
                <w:sz w:val="20"/>
                <w:szCs w:val="20"/>
                <w:lang w:val="en-US"/>
              </w:rPr>
              <w:t>(Mill. USD)</w:t>
            </w:r>
          </w:p>
        </w:tc>
        <w:tc>
          <w:tcPr>
            <w:tcW w:w="3162" w:type="dxa"/>
            <w:tcBorders>
              <w:top w:val="single" w:sz="4" w:space="0" w:color="auto"/>
              <w:bottom w:val="single" w:sz="4" w:space="0" w:color="auto"/>
            </w:tcBorders>
          </w:tcPr>
          <w:p w14:paraId="5981CDB1" w14:textId="77777777" w:rsidR="00753A68" w:rsidRPr="00D25A7C" w:rsidRDefault="00753A68" w:rsidP="00C47D68">
            <w:pPr>
              <w:spacing w:before="40" w:after="40" w:line="288" w:lineRule="auto"/>
              <w:jc w:val="center"/>
              <w:rPr>
                <w:rFonts w:ascii="Arial" w:hAnsi="Arial" w:cs="Arial"/>
                <w:sz w:val="20"/>
                <w:szCs w:val="20"/>
                <w:lang w:val="en-US"/>
              </w:rPr>
            </w:pPr>
            <w:r w:rsidRPr="00D25A7C">
              <w:rPr>
                <w:rFonts w:ascii="Arial" w:hAnsi="Arial" w:cs="Arial"/>
                <w:sz w:val="20"/>
                <w:szCs w:val="20"/>
              </w:rPr>
              <w:t xml:space="preserve">Growth rate </w:t>
            </w:r>
            <w:r w:rsidRPr="00D25A7C">
              <w:rPr>
                <w:rFonts w:ascii="Arial" w:hAnsi="Arial" w:cs="Arial"/>
                <w:sz w:val="20"/>
                <w:szCs w:val="20"/>
                <w:lang w:val="en-US"/>
              </w:rPr>
              <w:t>compare to</w:t>
            </w:r>
          </w:p>
          <w:p w14:paraId="63BCF1A4" w14:textId="77777777" w:rsidR="00753A68" w:rsidRPr="00D25A7C" w:rsidRDefault="00753A68" w:rsidP="00C47D68">
            <w:pPr>
              <w:spacing w:before="40" w:after="40" w:line="288" w:lineRule="auto"/>
              <w:jc w:val="center"/>
              <w:rPr>
                <w:rFonts w:ascii="Arial" w:hAnsi="Arial" w:cs="Arial"/>
                <w:sz w:val="20"/>
                <w:szCs w:val="20"/>
              </w:rPr>
            </w:pPr>
            <w:r w:rsidRPr="00D25A7C">
              <w:rPr>
                <w:rFonts w:ascii="Arial" w:hAnsi="Arial" w:cs="Arial"/>
                <w:sz w:val="20"/>
                <w:szCs w:val="20"/>
                <w:lang w:val="en-US"/>
              </w:rPr>
              <w:t xml:space="preserve">the same period last year </w:t>
            </w:r>
            <w:r w:rsidRPr="00D25A7C">
              <w:rPr>
                <w:rFonts w:ascii="Arial" w:hAnsi="Arial" w:cs="Arial"/>
                <w:i/>
                <w:iCs/>
                <w:sz w:val="20"/>
                <w:szCs w:val="20"/>
                <w:lang w:val="en-US"/>
              </w:rPr>
              <w:t>(%)</w:t>
            </w:r>
          </w:p>
        </w:tc>
      </w:tr>
      <w:tr w:rsidR="00753A68" w:rsidRPr="00D25A7C" w14:paraId="17BEE1BE" w14:textId="77777777" w:rsidTr="00C47D68">
        <w:trPr>
          <w:trHeight w:val="426"/>
        </w:trPr>
        <w:tc>
          <w:tcPr>
            <w:tcW w:w="4892" w:type="dxa"/>
          </w:tcPr>
          <w:p w14:paraId="2337E063" w14:textId="77777777" w:rsidR="00753A68" w:rsidRPr="00D25A7C" w:rsidRDefault="00753A68" w:rsidP="00C47D68">
            <w:pPr>
              <w:spacing w:before="40" w:after="40" w:line="288" w:lineRule="auto"/>
              <w:rPr>
                <w:rFonts w:ascii="Arial" w:hAnsi="Arial" w:cs="Arial"/>
                <w:b/>
                <w:bCs/>
                <w:color w:val="000000"/>
                <w:sz w:val="20"/>
                <w:szCs w:val="20"/>
              </w:rPr>
            </w:pPr>
            <w:r w:rsidRPr="00D25A7C">
              <w:rPr>
                <w:rFonts w:ascii="Arial" w:hAnsi="Arial" w:cs="Arial"/>
                <w:b/>
                <w:bCs/>
                <w:sz w:val="20"/>
                <w:szCs w:val="20"/>
              </w:rPr>
              <w:t xml:space="preserve">Items with a value of over </w:t>
            </w:r>
            <w:r>
              <w:rPr>
                <w:rFonts w:ascii="Arial" w:hAnsi="Arial" w:cs="Arial"/>
                <w:b/>
                <w:bCs/>
                <w:sz w:val="20"/>
                <w:szCs w:val="20"/>
              </w:rPr>
              <w:t>5</w:t>
            </w:r>
            <w:r w:rsidRPr="00D25A7C">
              <w:rPr>
                <w:rFonts w:ascii="Arial" w:hAnsi="Arial" w:cs="Arial"/>
                <w:b/>
                <w:bCs/>
                <w:sz w:val="20"/>
                <w:szCs w:val="20"/>
              </w:rPr>
              <w:t xml:space="preserve"> billion USD</w:t>
            </w:r>
          </w:p>
        </w:tc>
        <w:tc>
          <w:tcPr>
            <w:tcW w:w="1657" w:type="dxa"/>
            <w:tcBorders>
              <w:top w:val="single" w:sz="4" w:space="0" w:color="auto"/>
            </w:tcBorders>
          </w:tcPr>
          <w:p w14:paraId="31A80B9C" w14:textId="77777777" w:rsidR="00753A68" w:rsidRPr="00D25A7C" w:rsidRDefault="00753A68" w:rsidP="00C47D68">
            <w:pPr>
              <w:tabs>
                <w:tab w:val="num" w:pos="0"/>
                <w:tab w:val="left" w:pos="9475"/>
              </w:tabs>
              <w:spacing w:before="40" w:after="40" w:line="288" w:lineRule="auto"/>
              <w:ind w:right="119"/>
              <w:jc w:val="right"/>
              <w:rPr>
                <w:rFonts w:ascii="Arial" w:hAnsi="Arial" w:cs="Arial"/>
                <w:b/>
                <w:bCs/>
                <w:i/>
                <w:iCs/>
                <w:sz w:val="20"/>
                <w:szCs w:val="20"/>
              </w:rPr>
            </w:pPr>
          </w:p>
        </w:tc>
        <w:tc>
          <w:tcPr>
            <w:tcW w:w="3162" w:type="dxa"/>
            <w:tcBorders>
              <w:top w:val="single" w:sz="4" w:space="0" w:color="auto"/>
            </w:tcBorders>
          </w:tcPr>
          <w:p w14:paraId="16D22AC1" w14:textId="77777777" w:rsidR="00753A68" w:rsidRPr="00D25A7C" w:rsidRDefault="00753A68" w:rsidP="00C47D68">
            <w:pPr>
              <w:tabs>
                <w:tab w:val="num" w:pos="0"/>
                <w:tab w:val="left" w:pos="9475"/>
              </w:tabs>
              <w:spacing w:before="40" w:after="40" w:line="288" w:lineRule="auto"/>
              <w:ind w:right="119"/>
              <w:jc w:val="right"/>
              <w:rPr>
                <w:rFonts w:ascii="Arial" w:hAnsi="Arial" w:cs="Arial"/>
                <w:b/>
                <w:bCs/>
                <w:i/>
                <w:iCs/>
                <w:sz w:val="20"/>
                <w:szCs w:val="20"/>
              </w:rPr>
            </w:pPr>
          </w:p>
        </w:tc>
      </w:tr>
      <w:tr w:rsidR="00753A68" w:rsidRPr="00D25A7C" w14:paraId="038FEAB8" w14:textId="77777777" w:rsidTr="00C47D68">
        <w:trPr>
          <w:trHeight w:val="408"/>
        </w:trPr>
        <w:tc>
          <w:tcPr>
            <w:tcW w:w="4892" w:type="dxa"/>
            <w:vAlign w:val="center"/>
          </w:tcPr>
          <w:p w14:paraId="10E6EF46" w14:textId="77777777" w:rsidR="00753A68" w:rsidRPr="00D25A7C" w:rsidRDefault="00753A68" w:rsidP="00C47D68">
            <w:pPr>
              <w:spacing w:before="40" w:after="40" w:line="288" w:lineRule="auto"/>
              <w:ind w:firstLine="171"/>
              <w:rPr>
                <w:rFonts w:ascii="Arial" w:hAnsi="Arial" w:cs="Arial"/>
                <w:sz w:val="20"/>
                <w:szCs w:val="20"/>
              </w:rPr>
            </w:pPr>
            <w:r w:rsidRPr="00D25A7C">
              <w:rPr>
                <w:rFonts w:ascii="Arial" w:hAnsi="Arial" w:cs="Arial"/>
                <w:sz w:val="20"/>
                <w:szCs w:val="20"/>
              </w:rPr>
              <w:t>Electronic goods, computers and their parts</w:t>
            </w:r>
          </w:p>
        </w:tc>
        <w:tc>
          <w:tcPr>
            <w:tcW w:w="1657" w:type="dxa"/>
            <w:vAlign w:val="bottom"/>
          </w:tcPr>
          <w:p w14:paraId="0675FB38" w14:textId="77777777" w:rsidR="00753A68" w:rsidRPr="00D25A7C" w:rsidRDefault="00753A68" w:rsidP="00C47D68">
            <w:pPr>
              <w:spacing w:before="40" w:after="40" w:line="288" w:lineRule="auto"/>
              <w:ind w:right="317"/>
              <w:jc w:val="right"/>
              <w:rPr>
                <w:rFonts w:ascii="Arial" w:hAnsi="Arial" w:cs="Arial"/>
                <w:sz w:val="20"/>
                <w:szCs w:val="20"/>
              </w:rPr>
            </w:pPr>
            <w:r w:rsidRPr="00D4464E">
              <w:rPr>
                <w:rFonts w:ascii="Arial" w:hAnsi="Arial" w:cs="Arial"/>
                <w:sz w:val="20"/>
                <w:szCs w:val="20"/>
              </w:rPr>
              <w:t>12</w:t>
            </w:r>
            <w:r>
              <w:rPr>
                <w:rFonts w:ascii="Arial" w:hAnsi="Arial" w:cs="Arial"/>
                <w:sz w:val="20"/>
                <w:szCs w:val="20"/>
              </w:rPr>
              <w:t>,</w:t>
            </w:r>
            <w:r w:rsidRPr="00D4464E">
              <w:rPr>
                <w:rFonts w:ascii="Arial" w:hAnsi="Arial" w:cs="Arial"/>
                <w:sz w:val="20"/>
                <w:szCs w:val="20"/>
              </w:rPr>
              <w:t>535</w:t>
            </w:r>
          </w:p>
        </w:tc>
        <w:tc>
          <w:tcPr>
            <w:tcW w:w="3162" w:type="dxa"/>
            <w:vAlign w:val="bottom"/>
          </w:tcPr>
          <w:p w14:paraId="77333BF4" w14:textId="77777777" w:rsidR="00753A68" w:rsidRPr="00D25A7C" w:rsidRDefault="00753A68" w:rsidP="00C47D68">
            <w:pPr>
              <w:tabs>
                <w:tab w:val="left" w:pos="1735"/>
              </w:tabs>
              <w:spacing w:before="40" w:after="40" w:line="288" w:lineRule="auto"/>
              <w:ind w:right="1063"/>
              <w:jc w:val="right"/>
              <w:rPr>
                <w:rFonts w:ascii="Arial" w:hAnsi="Arial" w:cs="Arial"/>
                <w:sz w:val="20"/>
                <w:szCs w:val="20"/>
              </w:rPr>
            </w:pPr>
            <w:r w:rsidRPr="00D4464E">
              <w:rPr>
                <w:rFonts w:ascii="Arial" w:hAnsi="Arial" w:cs="Arial"/>
                <w:sz w:val="20"/>
                <w:szCs w:val="20"/>
              </w:rPr>
              <w:t>25</w:t>
            </w:r>
            <w:r>
              <w:rPr>
                <w:rFonts w:ascii="Arial" w:hAnsi="Arial" w:cs="Arial"/>
                <w:sz w:val="20"/>
                <w:szCs w:val="20"/>
              </w:rPr>
              <w:t>.</w:t>
            </w:r>
            <w:r w:rsidRPr="00D4464E">
              <w:rPr>
                <w:rFonts w:ascii="Arial" w:hAnsi="Arial" w:cs="Arial"/>
                <w:sz w:val="20"/>
                <w:szCs w:val="20"/>
              </w:rPr>
              <w:t>3</w:t>
            </w:r>
          </w:p>
        </w:tc>
      </w:tr>
      <w:tr w:rsidR="00753A68" w:rsidRPr="00D25A7C" w14:paraId="55F32830" w14:textId="77777777" w:rsidTr="00C47D68">
        <w:trPr>
          <w:trHeight w:val="426"/>
        </w:trPr>
        <w:tc>
          <w:tcPr>
            <w:tcW w:w="4892" w:type="dxa"/>
            <w:vAlign w:val="center"/>
          </w:tcPr>
          <w:p w14:paraId="432C37AF" w14:textId="77777777" w:rsidR="00753A68" w:rsidRPr="00D25A7C" w:rsidRDefault="00753A68" w:rsidP="00C47D68">
            <w:pPr>
              <w:spacing w:before="40" w:after="40" w:line="288" w:lineRule="auto"/>
              <w:ind w:firstLine="171"/>
              <w:rPr>
                <w:rFonts w:ascii="Arial" w:hAnsi="Arial" w:cs="Arial"/>
                <w:sz w:val="20"/>
                <w:szCs w:val="20"/>
              </w:rPr>
            </w:pPr>
            <w:r w:rsidRPr="00D25A7C">
              <w:rPr>
                <w:rFonts w:ascii="Arial" w:hAnsi="Arial" w:cs="Arial"/>
                <w:sz w:val="20"/>
                <w:szCs w:val="20"/>
              </w:rPr>
              <w:t xml:space="preserve">Phones all of kinds and their parts </w:t>
            </w:r>
          </w:p>
        </w:tc>
        <w:tc>
          <w:tcPr>
            <w:tcW w:w="1657" w:type="dxa"/>
            <w:vAlign w:val="bottom"/>
          </w:tcPr>
          <w:p w14:paraId="1261202D" w14:textId="77777777" w:rsidR="00753A68" w:rsidRPr="00D25A7C" w:rsidRDefault="00753A68" w:rsidP="00C47D68">
            <w:pPr>
              <w:spacing w:before="40" w:after="40" w:line="288" w:lineRule="auto"/>
              <w:ind w:right="317"/>
              <w:jc w:val="right"/>
              <w:rPr>
                <w:rFonts w:ascii="Arial" w:hAnsi="Arial" w:cs="Arial"/>
                <w:sz w:val="20"/>
                <w:szCs w:val="20"/>
              </w:rPr>
            </w:pPr>
            <w:r w:rsidRPr="00D4464E">
              <w:rPr>
                <w:rFonts w:ascii="Arial" w:hAnsi="Arial" w:cs="Arial"/>
                <w:sz w:val="20"/>
                <w:szCs w:val="20"/>
              </w:rPr>
              <w:t>9</w:t>
            </w:r>
            <w:r>
              <w:rPr>
                <w:rFonts w:ascii="Arial" w:hAnsi="Arial" w:cs="Arial"/>
                <w:sz w:val="20"/>
                <w:szCs w:val="20"/>
              </w:rPr>
              <w:t>,</w:t>
            </w:r>
            <w:r w:rsidRPr="00D4464E">
              <w:rPr>
                <w:rFonts w:ascii="Arial" w:hAnsi="Arial" w:cs="Arial"/>
                <w:sz w:val="20"/>
                <w:szCs w:val="20"/>
              </w:rPr>
              <w:t>215</w:t>
            </w:r>
          </w:p>
        </w:tc>
        <w:tc>
          <w:tcPr>
            <w:tcW w:w="3162" w:type="dxa"/>
            <w:vAlign w:val="bottom"/>
          </w:tcPr>
          <w:p w14:paraId="331C0B88" w14:textId="77777777" w:rsidR="00753A68" w:rsidRPr="00D25A7C" w:rsidRDefault="00753A68" w:rsidP="00C47D68">
            <w:pPr>
              <w:tabs>
                <w:tab w:val="left" w:pos="1735"/>
              </w:tabs>
              <w:spacing w:before="40" w:after="40" w:line="288" w:lineRule="auto"/>
              <w:ind w:right="1063"/>
              <w:jc w:val="right"/>
              <w:rPr>
                <w:rFonts w:ascii="Arial" w:hAnsi="Arial" w:cs="Arial"/>
                <w:sz w:val="20"/>
                <w:szCs w:val="20"/>
              </w:rPr>
            </w:pPr>
            <w:r w:rsidRPr="00D4464E">
              <w:rPr>
                <w:rFonts w:ascii="Arial" w:hAnsi="Arial" w:cs="Arial"/>
                <w:sz w:val="20"/>
                <w:szCs w:val="20"/>
              </w:rPr>
              <w:t>-3</w:t>
            </w:r>
            <w:r>
              <w:rPr>
                <w:rFonts w:ascii="Arial" w:hAnsi="Arial" w:cs="Arial"/>
                <w:sz w:val="20"/>
                <w:szCs w:val="20"/>
              </w:rPr>
              <w:t>.</w:t>
            </w:r>
            <w:r w:rsidRPr="00D4464E">
              <w:rPr>
                <w:rFonts w:ascii="Arial" w:hAnsi="Arial" w:cs="Arial"/>
                <w:sz w:val="20"/>
                <w:szCs w:val="20"/>
              </w:rPr>
              <w:t>1</w:t>
            </w:r>
          </w:p>
        </w:tc>
      </w:tr>
      <w:tr w:rsidR="00753A68" w:rsidRPr="00D25A7C" w14:paraId="3A4B7534" w14:textId="77777777" w:rsidTr="00C47D68">
        <w:trPr>
          <w:trHeight w:val="408"/>
        </w:trPr>
        <w:tc>
          <w:tcPr>
            <w:tcW w:w="4892" w:type="dxa"/>
            <w:tcBorders>
              <w:bottom w:val="nil"/>
            </w:tcBorders>
            <w:vAlign w:val="center"/>
          </w:tcPr>
          <w:p w14:paraId="6C5993B9" w14:textId="77777777" w:rsidR="00753A68" w:rsidRPr="00D25A7C" w:rsidRDefault="00753A68" w:rsidP="00C47D68">
            <w:pPr>
              <w:spacing w:before="40" w:after="40" w:line="288" w:lineRule="auto"/>
              <w:ind w:firstLine="171"/>
              <w:rPr>
                <w:rFonts w:ascii="Arial" w:hAnsi="Arial" w:cs="Arial"/>
                <w:sz w:val="20"/>
                <w:szCs w:val="20"/>
              </w:rPr>
            </w:pPr>
            <w:r w:rsidRPr="00D25A7C">
              <w:rPr>
                <w:rFonts w:ascii="Arial" w:hAnsi="Arial" w:cs="Arial"/>
                <w:sz w:val="20"/>
                <w:szCs w:val="20"/>
              </w:rPr>
              <w:t>Machinery, instrument, accessory</w:t>
            </w:r>
          </w:p>
        </w:tc>
        <w:tc>
          <w:tcPr>
            <w:tcW w:w="1657" w:type="dxa"/>
            <w:tcBorders>
              <w:bottom w:val="nil"/>
            </w:tcBorders>
            <w:vAlign w:val="bottom"/>
          </w:tcPr>
          <w:p w14:paraId="43851BB0" w14:textId="77777777" w:rsidR="00753A68" w:rsidRPr="00D25A7C" w:rsidRDefault="00753A68" w:rsidP="00C47D68">
            <w:pPr>
              <w:spacing w:before="40" w:after="40" w:line="288" w:lineRule="auto"/>
              <w:ind w:right="320" w:firstLine="171"/>
              <w:jc w:val="right"/>
              <w:rPr>
                <w:rFonts w:ascii="Arial" w:hAnsi="Arial" w:cs="Arial"/>
                <w:sz w:val="20"/>
                <w:szCs w:val="20"/>
              </w:rPr>
            </w:pPr>
            <w:r w:rsidRPr="00D4464E">
              <w:rPr>
                <w:rFonts w:ascii="Arial" w:hAnsi="Arial" w:cs="Arial"/>
                <w:sz w:val="20"/>
                <w:szCs w:val="20"/>
              </w:rPr>
              <w:t>7</w:t>
            </w:r>
            <w:r>
              <w:rPr>
                <w:rFonts w:ascii="Arial" w:hAnsi="Arial" w:cs="Arial"/>
                <w:sz w:val="20"/>
                <w:szCs w:val="20"/>
              </w:rPr>
              <w:t>,</w:t>
            </w:r>
            <w:r w:rsidRPr="00D4464E">
              <w:rPr>
                <w:rFonts w:ascii="Arial" w:hAnsi="Arial" w:cs="Arial"/>
                <w:sz w:val="20"/>
                <w:szCs w:val="20"/>
              </w:rPr>
              <w:t>692</w:t>
            </w:r>
          </w:p>
        </w:tc>
        <w:tc>
          <w:tcPr>
            <w:tcW w:w="3162" w:type="dxa"/>
            <w:tcBorders>
              <w:bottom w:val="nil"/>
            </w:tcBorders>
            <w:vAlign w:val="bottom"/>
          </w:tcPr>
          <w:p w14:paraId="648415F6" w14:textId="77777777" w:rsidR="00753A68" w:rsidRPr="00D25A7C" w:rsidRDefault="00753A68" w:rsidP="00C47D68">
            <w:pPr>
              <w:tabs>
                <w:tab w:val="left" w:pos="1735"/>
              </w:tabs>
              <w:spacing w:before="40" w:after="40" w:line="288" w:lineRule="auto"/>
              <w:ind w:right="1063"/>
              <w:jc w:val="right"/>
              <w:rPr>
                <w:rFonts w:ascii="Arial" w:hAnsi="Arial" w:cs="Arial"/>
                <w:sz w:val="20"/>
                <w:szCs w:val="20"/>
              </w:rPr>
            </w:pPr>
            <w:r w:rsidRPr="00D4464E">
              <w:rPr>
                <w:rFonts w:ascii="Arial" w:hAnsi="Arial" w:cs="Arial"/>
                <w:sz w:val="20"/>
                <w:szCs w:val="20"/>
              </w:rPr>
              <w:t>10</w:t>
            </w:r>
            <w:r>
              <w:rPr>
                <w:rFonts w:ascii="Arial" w:hAnsi="Arial" w:cs="Arial"/>
                <w:sz w:val="20"/>
                <w:szCs w:val="20"/>
              </w:rPr>
              <w:t>.</w:t>
            </w:r>
            <w:r w:rsidRPr="00D4464E">
              <w:rPr>
                <w:rFonts w:ascii="Arial" w:hAnsi="Arial" w:cs="Arial"/>
                <w:sz w:val="20"/>
                <w:szCs w:val="20"/>
              </w:rPr>
              <w:t>3</w:t>
            </w:r>
          </w:p>
        </w:tc>
      </w:tr>
      <w:tr w:rsidR="00753A68" w:rsidRPr="00D25A7C" w14:paraId="269A38C5" w14:textId="77777777" w:rsidTr="00C47D68">
        <w:trPr>
          <w:trHeight w:val="408"/>
        </w:trPr>
        <w:tc>
          <w:tcPr>
            <w:tcW w:w="4892" w:type="dxa"/>
            <w:tcBorders>
              <w:top w:val="nil"/>
              <w:bottom w:val="single" w:sz="4" w:space="0" w:color="auto"/>
            </w:tcBorders>
            <w:vAlign w:val="center"/>
          </w:tcPr>
          <w:p w14:paraId="7BDC28E0" w14:textId="77777777" w:rsidR="00753A68" w:rsidRPr="00D25A7C" w:rsidRDefault="00753A68" w:rsidP="00C47D68">
            <w:pPr>
              <w:spacing w:before="40" w:after="40" w:line="288" w:lineRule="auto"/>
              <w:ind w:firstLine="171"/>
              <w:rPr>
                <w:rFonts w:ascii="Arial" w:hAnsi="Arial" w:cs="Arial"/>
                <w:sz w:val="20"/>
                <w:szCs w:val="20"/>
              </w:rPr>
            </w:pPr>
            <w:r w:rsidRPr="00D25A7C">
              <w:rPr>
                <w:rFonts w:ascii="Arial" w:hAnsi="Arial" w:cs="Arial"/>
                <w:sz w:val="20"/>
                <w:szCs w:val="20"/>
              </w:rPr>
              <w:t>Textiles and garments</w:t>
            </w:r>
          </w:p>
        </w:tc>
        <w:tc>
          <w:tcPr>
            <w:tcW w:w="1657" w:type="dxa"/>
            <w:tcBorders>
              <w:top w:val="nil"/>
              <w:bottom w:val="single" w:sz="4" w:space="0" w:color="auto"/>
            </w:tcBorders>
            <w:vAlign w:val="bottom"/>
          </w:tcPr>
          <w:p w14:paraId="4819032C" w14:textId="77777777" w:rsidR="00753A68" w:rsidRPr="00D25A7C" w:rsidRDefault="00753A68" w:rsidP="00C47D68">
            <w:pPr>
              <w:spacing w:before="40" w:after="40" w:line="288" w:lineRule="auto"/>
              <w:ind w:right="317"/>
              <w:jc w:val="right"/>
              <w:rPr>
                <w:rFonts w:ascii="Arial" w:hAnsi="Arial" w:cs="Arial"/>
                <w:sz w:val="20"/>
                <w:szCs w:val="20"/>
              </w:rPr>
            </w:pPr>
            <w:r w:rsidRPr="00D4464E">
              <w:rPr>
                <w:rFonts w:ascii="Arial" w:hAnsi="Arial" w:cs="Arial"/>
                <w:sz w:val="20"/>
                <w:szCs w:val="20"/>
              </w:rPr>
              <w:t>5</w:t>
            </w:r>
            <w:r>
              <w:rPr>
                <w:rFonts w:ascii="Arial" w:hAnsi="Arial" w:cs="Arial"/>
                <w:sz w:val="20"/>
                <w:szCs w:val="20"/>
              </w:rPr>
              <w:t>,</w:t>
            </w:r>
            <w:r w:rsidRPr="00D4464E">
              <w:rPr>
                <w:rFonts w:ascii="Arial" w:hAnsi="Arial" w:cs="Arial"/>
                <w:sz w:val="20"/>
                <w:szCs w:val="20"/>
              </w:rPr>
              <w:t>634</w:t>
            </w:r>
          </w:p>
        </w:tc>
        <w:tc>
          <w:tcPr>
            <w:tcW w:w="3162" w:type="dxa"/>
            <w:tcBorders>
              <w:top w:val="nil"/>
              <w:bottom w:val="single" w:sz="4" w:space="0" w:color="auto"/>
            </w:tcBorders>
            <w:vAlign w:val="bottom"/>
          </w:tcPr>
          <w:p w14:paraId="029B9B1C" w14:textId="77777777" w:rsidR="00753A68" w:rsidRPr="00D25A7C" w:rsidRDefault="00753A68" w:rsidP="00C47D68">
            <w:pPr>
              <w:tabs>
                <w:tab w:val="left" w:pos="1735"/>
              </w:tabs>
              <w:spacing w:before="40" w:after="40" w:line="288" w:lineRule="auto"/>
              <w:ind w:right="1063"/>
              <w:jc w:val="right"/>
              <w:rPr>
                <w:rFonts w:ascii="Arial" w:hAnsi="Arial" w:cs="Arial"/>
                <w:sz w:val="20"/>
                <w:szCs w:val="20"/>
              </w:rPr>
            </w:pPr>
            <w:r w:rsidRPr="00D4464E">
              <w:rPr>
                <w:rFonts w:ascii="Arial" w:hAnsi="Arial" w:cs="Arial"/>
                <w:sz w:val="20"/>
                <w:szCs w:val="20"/>
              </w:rPr>
              <w:t>9</w:t>
            </w:r>
            <w:r>
              <w:rPr>
                <w:rFonts w:ascii="Arial" w:hAnsi="Arial" w:cs="Arial"/>
                <w:sz w:val="20"/>
                <w:szCs w:val="20"/>
              </w:rPr>
              <w:t>.</w:t>
            </w:r>
            <w:r w:rsidRPr="00D4464E">
              <w:rPr>
                <w:rFonts w:ascii="Arial" w:hAnsi="Arial" w:cs="Arial"/>
                <w:sz w:val="20"/>
                <w:szCs w:val="20"/>
              </w:rPr>
              <w:t>3</w:t>
            </w:r>
          </w:p>
        </w:tc>
      </w:tr>
    </w:tbl>
    <w:p w14:paraId="0580AEDF" w14:textId="77777777" w:rsidR="00753A68" w:rsidRPr="00D25A7C" w:rsidRDefault="00753A68" w:rsidP="00753A68">
      <w:pPr>
        <w:tabs>
          <w:tab w:val="num" w:pos="0"/>
          <w:tab w:val="left" w:pos="9475"/>
        </w:tabs>
        <w:spacing w:beforeLines="40" w:before="96" w:afterLines="40" w:after="96" w:line="264" w:lineRule="auto"/>
        <w:ind w:right="119" w:firstLine="567"/>
        <w:jc w:val="right"/>
        <w:rPr>
          <w:rFonts w:ascii="Arial" w:hAnsi="Arial" w:cs="Arial"/>
          <w:b/>
          <w:bCs/>
          <w:i/>
          <w:iCs/>
          <w:sz w:val="2"/>
          <w:szCs w:val="20"/>
          <w:lang w:val="es-NI"/>
        </w:rPr>
      </w:pPr>
    </w:p>
    <w:p w14:paraId="34C14833" w14:textId="77777777" w:rsidR="00753A68" w:rsidRPr="00D25A7C" w:rsidRDefault="00753A68" w:rsidP="00753A68">
      <w:pPr>
        <w:spacing w:beforeLines="40" w:before="96" w:afterLines="40" w:after="96" w:line="264" w:lineRule="auto"/>
        <w:jc w:val="both"/>
        <w:rPr>
          <w:rFonts w:eastAsia="Batang"/>
          <w:bCs/>
          <w:iCs/>
        </w:rPr>
      </w:pPr>
      <w:r w:rsidRPr="00D25A7C">
        <w:rPr>
          <w:noProof/>
          <w:lang w:val="en-US"/>
        </w:rPr>
        <mc:AlternateContent>
          <mc:Choice Requires="wps">
            <w:drawing>
              <wp:anchor distT="0" distB="0" distL="114300" distR="114300" simplePos="0" relativeHeight="251659264" behindDoc="0" locked="0" layoutInCell="1" allowOverlap="1" wp14:anchorId="18138C48" wp14:editId="40F96F96">
                <wp:simplePos x="0" y="0"/>
                <wp:positionH relativeFrom="column">
                  <wp:posOffset>24765</wp:posOffset>
                </wp:positionH>
                <wp:positionV relativeFrom="paragraph">
                  <wp:posOffset>64135</wp:posOffset>
                </wp:positionV>
                <wp:extent cx="3476625" cy="2190750"/>
                <wp:effectExtent l="0" t="0" r="9525" b="0"/>
                <wp:wrapSquare wrapText="bothSides"/>
                <wp:docPr id="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190750"/>
                        </a:xfrm>
                        <a:prstGeom prst="rect">
                          <a:avLst/>
                        </a:prstGeom>
                        <a:solidFill>
                          <a:srgbClr val="FFFFFF"/>
                        </a:solidFill>
                        <a:ln w="9525">
                          <a:noFill/>
                          <a:miter lim="800000"/>
                          <a:headEnd/>
                          <a:tailEnd/>
                        </a:ln>
                      </wps:spPr>
                      <wps:txbx>
                        <w:txbxContent>
                          <w:p w14:paraId="1CAC2F2C" w14:textId="77777777" w:rsidR="00753A68" w:rsidRPr="004B4D22" w:rsidRDefault="00753A68" w:rsidP="00753A68">
                            <w:pPr>
                              <w:spacing w:line="264" w:lineRule="auto"/>
                              <w:jc w:val="center"/>
                              <w:rPr>
                                <w:rFonts w:ascii="Arial" w:hAnsi="Arial" w:cs="Arial"/>
                                <w:b/>
                                <w:bCs/>
                                <w:sz w:val="24"/>
                                <w:szCs w:val="24"/>
                              </w:rPr>
                            </w:pPr>
                            <w:r w:rsidRPr="004B4D22">
                              <w:rPr>
                                <w:rFonts w:ascii="Arial" w:hAnsi="Arial" w:cs="Arial"/>
                                <w:b/>
                                <w:bCs/>
                                <w:sz w:val="24"/>
                                <w:szCs w:val="24"/>
                              </w:rPr>
                              <w:t>Figure 1</w:t>
                            </w:r>
                            <w:r>
                              <w:rPr>
                                <w:rFonts w:ascii="Arial" w:hAnsi="Arial" w:cs="Arial"/>
                                <w:b/>
                                <w:bCs/>
                                <w:sz w:val="24"/>
                                <w:szCs w:val="24"/>
                              </w:rPr>
                              <w:t>2</w:t>
                            </w:r>
                            <w:r w:rsidRPr="004B4D22">
                              <w:rPr>
                                <w:rFonts w:ascii="Arial" w:hAnsi="Arial" w:cs="Arial"/>
                                <w:b/>
                                <w:bCs/>
                                <w:sz w:val="24"/>
                                <w:szCs w:val="24"/>
                              </w:rPr>
                              <w:t>. Structure of exported groups</w:t>
                            </w:r>
                          </w:p>
                          <w:p w14:paraId="149A7458" w14:textId="77777777" w:rsidR="00753A68" w:rsidRPr="004B4D22" w:rsidRDefault="00753A68" w:rsidP="00753A68">
                            <w:pPr>
                              <w:spacing w:line="264" w:lineRule="auto"/>
                              <w:jc w:val="center"/>
                              <w:rPr>
                                <w:rFonts w:ascii="Arial" w:hAnsi="Arial" w:cs="Arial"/>
                                <w:b/>
                                <w:bCs/>
                                <w:sz w:val="24"/>
                                <w:szCs w:val="24"/>
                              </w:rPr>
                            </w:pPr>
                            <w:r w:rsidRPr="004B4D22">
                              <w:rPr>
                                <w:rFonts w:ascii="Arial" w:hAnsi="Arial" w:cs="Arial"/>
                                <w:b/>
                                <w:bCs/>
                                <w:sz w:val="24"/>
                                <w:szCs w:val="24"/>
                              </w:rPr>
                              <w:t xml:space="preserve">in </w:t>
                            </w:r>
                            <w:r>
                              <w:rPr>
                                <w:rFonts w:ascii="Arial" w:hAnsi="Arial" w:cs="Arial"/>
                                <w:b/>
                                <w:bCs/>
                                <w:sz w:val="24"/>
                                <w:szCs w:val="24"/>
                              </w:rPr>
                              <w:t>2 months</w:t>
                            </w:r>
                            <w:r w:rsidRPr="004B4D22">
                              <w:rPr>
                                <w:rFonts w:ascii="Arial" w:hAnsi="Arial" w:cs="Arial"/>
                                <w:b/>
                                <w:bCs/>
                                <w:sz w:val="24"/>
                                <w:szCs w:val="24"/>
                              </w:rPr>
                              <w:t xml:space="preserve"> of 202</w:t>
                            </w:r>
                            <w:r>
                              <w:rPr>
                                <w:rFonts w:ascii="Arial" w:hAnsi="Arial" w:cs="Arial"/>
                                <w:b/>
                                <w:bCs/>
                                <w:sz w:val="24"/>
                                <w:szCs w:val="24"/>
                              </w:rPr>
                              <w:t>5</w:t>
                            </w:r>
                          </w:p>
                          <w:p w14:paraId="046E00C8" w14:textId="77777777" w:rsidR="00753A68" w:rsidRDefault="00753A68" w:rsidP="00753A68">
                            <w:pPr>
                              <w:ind w:left="-142"/>
                              <w:jc w:val="center"/>
                              <w:rPr>
                                <w:rFonts w:ascii="Arial" w:hAnsi="Arial" w:cs="Arial"/>
                                <w:sz w:val="24"/>
                                <w:szCs w:val="24"/>
                              </w:rPr>
                            </w:pPr>
                            <w:r w:rsidRPr="002F2128">
                              <w:rPr>
                                <w:noProof/>
                                <w:lang w:val="en-US"/>
                              </w:rPr>
                              <w:drawing>
                                <wp:inline distT="0" distB="0" distL="0" distR="0" wp14:anchorId="0B209D99" wp14:editId="7D4ABF1C">
                                  <wp:extent cx="3395345" cy="1711325"/>
                                  <wp:effectExtent l="0" t="0" r="0" b="3175"/>
                                  <wp:docPr id="2352819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5345" cy="1711325"/>
                                          </a:xfrm>
                                          <a:prstGeom prst="rect">
                                            <a:avLst/>
                                          </a:prstGeom>
                                          <a:noFill/>
                                          <a:ln>
                                            <a:noFill/>
                                          </a:ln>
                                        </pic:spPr>
                                      </pic:pic>
                                    </a:graphicData>
                                  </a:graphic>
                                </wp:inline>
                              </w:drawing>
                            </w:r>
                          </w:p>
                        </w:txbxContent>
                      </wps:txbx>
                      <wps:bodyPr rot="0" vertOverflow="clip" horzOverflow="clip" vert="horz" wrap="square" lIns="36000" tIns="36000" rIns="36000" bIns="36000" anchor="t" anchorCtr="0">
                        <a:noAutofit/>
                      </wps:bodyPr>
                    </wps:wsp>
                  </a:graphicData>
                </a:graphic>
                <wp14:sizeRelH relativeFrom="page">
                  <wp14:pctWidth>0</wp14:pctWidth>
                </wp14:sizeRelH>
                <wp14:sizeRelV relativeFrom="margin">
                  <wp14:pctHeight>0</wp14:pctHeight>
                </wp14:sizeRelV>
              </wp:anchor>
            </w:drawing>
          </mc:Choice>
          <mc:Fallback>
            <w:pict>
              <v:shapetype w14:anchorId="18138C48" id="_x0000_t202" coordsize="21600,21600" o:spt="202" path="m,l,21600r21600,l21600,xe">
                <v:stroke joinstyle="miter"/>
                <v:path gradientshapeok="t" o:connecttype="rect"/>
              </v:shapetype>
              <v:shape id="Text Box 11" o:spid="_x0000_s1026" type="#_x0000_t202" style="position:absolute;left:0;text-align:left;margin-left:1.95pt;margin-top:5.05pt;width:273.7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" stroked="f">
                <v:textbox inset="1mm,1mm,1mm,1mm">
                  <w:txbxContent>
                    <w:p w14:paraId="1CAC2F2C" w14:textId="77777777" w:rsidR="00753A68" w:rsidRPr="004B4D22" w:rsidRDefault="00753A68" w:rsidP="00753A68">
                      <w:pPr>
                        <w:spacing w:line="264" w:lineRule="auto"/>
                        <w:jc w:val="center"/>
                        <w:rPr>
                          <w:rFonts w:ascii="Arial" w:hAnsi="Arial" w:cs="Arial"/>
                          <w:b/>
                          <w:bCs/>
                          <w:sz w:val="24"/>
                          <w:szCs w:val="24"/>
                        </w:rPr>
                      </w:pPr>
                      <w:r w:rsidRPr="004B4D22">
                        <w:rPr>
                          <w:rFonts w:ascii="Arial" w:hAnsi="Arial" w:cs="Arial"/>
                          <w:b/>
                          <w:bCs/>
                          <w:sz w:val="24"/>
                          <w:szCs w:val="24"/>
                        </w:rPr>
                        <w:t>Figure 1</w:t>
                      </w:r>
                      <w:r>
                        <w:rPr>
                          <w:rFonts w:ascii="Arial" w:hAnsi="Arial" w:cs="Arial"/>
                          <w:b/>
                          <w:bCs/>
                          <w:sz w:val="24"/>
                          <w:szCs w:val="24"/>
                        </w:rPr>
                        <w:t>2</w:t>
                      </w:r>
                      <w:r w:rsidRPr="004B4D22">
                        <w:rPr>
                          <w:rFonts w:ascii="Arial" w:hAnsi="Arial" w:cs="Arial"/>
                          <w:b/>
                          <w:bCs/>
                          <w:sz w:val="24"/>
                          <w:szCs w:val="24"/>
                        </w:rPr>
                        <w:t>. Structure of exported groups</w:t>
                      </w:r>
                    </w:p>
                    <w:p w14:paraId="149A7458" w14:textId="77777777" w:rsidR="00753A68" w:rsidRPr="004B4D22" w:rsidRDefault="00753A68" w:rsidP="00753A68">
                      <w:pPr>
                        <w:spacing w:line="264" w:lineRule="auto"/>
                        <w:jc w:val="center"/>
                        <w:rPr>
                          <w:rFonts w:ascii="Arial" w:hAnsi="Arial" w:cs="Arial"/>
                          <w:b/>
                          <w:bCs/>
                          <w:sz w:val="24"/>
                          <w:szCs w:val="24"/>
                        </w:rPr>
                      </w:pPr>
                      <w:r w:rsidRPr="004B4D22">
                        <w:rPr>
                          <w:rFonts w:ascii="Arial" w:hAnsi="Arial" w:cs="Arial"/>
                          <w:b/>
                          <w:bCs/>
                          <w:sz w:val="24"/>
                          <w:szCs w:val="24"/>
                        </w:rPr>
                        <w:t xml:space="preserve">in </w:t>
                      </w:r>
                      <w:r>
                        <w:rPr>
                          <w:rFonts w:ascii="Arial" w:hAnsi="Arial" w:cs="Arial"/>
                          <w:b/>
                          <w:bCs/>
                          <w:sz w:val="24"/>
                          <w:szCs w:val="24"/>
                        </w:rPr>
                        <w:t>2 months</w:t>
                      </w:r>
                      <w:r w:rsidRPr="004B4D22">
                        <w:rPr>
                          <w:rFonts w:ascii="Arial" w:hAnsi="Arial" w:cs="Arial"/>
                          <w:b/>
                          <w:bCs/>
                          <w:sz w:val="24"/>
                          <w:szCs w:val="24"/>
                        </w:rPr>
                        <w:t xml:space="preserve"> of 202</w:t>
                      </w:r>
                      <w:r>
                        <w:rPr>
                          <w:rFonts w:ascii="Arial" w:hAnsi="Arial" w:cs="Arial"/>
                          <w:b/>
                          <w:bCs/>
                          <w:sz w:val="24"/>
                          <w:szCs w:val="24"/>
                        </w:rPr>
                        <w:t>5</w:t>
                      </w:r>
                    </w:p>
                    <w:p w14:paraId="046E00C8" w14:textId="77777777" w:rsidR="00753A68" w:rsidRDefault="00753A68" w:rsidP="00753A68">
                      <w:pPr>
                        <w:ind w:left="-142"/>
                        <w:jc w:val="center"/>
                        <w:rPr>
                          <w:rFonts w:ascii="Arial" w:hAnsi="Arial" w:cs="Arial"/>
                          <w:sz w:val="24"/>
                          <w:szCs w:val="24"/>
                        </w:rPr>
                      </w:pPr>
                      <w:r w:rsidRPr="002F2128">
                        <w:rPr>
                          <w:noProof/>
                          <w:lang w:val="en-US"/>
                        </w:rPr>
                        <w:drawing>
                          <wp:inline distT="0" distB="0" distL="0" distR="0" wp14:anchorId="0B209D99" wp14:editId="7D4ABF1C">
                            <wp:extent cx="3395345" cy="1711325"/>
                            <wp:effectExtent l="0" t="0" r="0" b="3175"/>
                            <wp:docPr id="2352819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5345" cy="1711325"/>
                                    </a:xfrm>
                                    <a:prstGeom prst="rect">
                                      <a:avLst/>
                                    </a:prstGeom>
                                    <a:noFill/>
                                    <a:ln>
                                      <a:noFill/>
                                    </a:ln>
                                  </pic:spPr>
                                </pic:pic>
                              </a:graphicData>
                            </a:graphic>
                          </wp:inline>
                        </w:drawing>
                      </w:r>
                    </w:p>
                  </w:txbxContent>
                </v:textbox>
                <w10:wrap type="square"/>
              </v:shape>
            </w:pict>
          </mc:Fallback>
        </mc:AlternateContent>
      </w:r>
      <w:r w:rsidRPr="00D25A7C">
        <w:rPr>
          <w:rFonts w:eastAsia="Batang"/>
          <w:bCs/>
          <w:i/>
          <w:iCs/>
          <w:noProof/>
          <w:lang w:val="en-US"/>
        </w:rPr>
        <w:t>Regarding the structure of exported groups in</w:t>
      </w:r>
      <w:r w:rsidRPr="00D25A7C">
        <w:rPr>
          <w:rFonts w:eastAsia="Batang"/>
          <w:bCs/>
          <w:i/>
          <w:noProof/>
        </w:rPr>
        <w:t xml:space="preserve"> </w:t>
      </w:r>
      <w:r>
        <w:rPr>
          <w:rFonts w:eastAsia="Batang"/>
          <w:bCs/>
          <w:i/>
          <w:noProof/>
        </w:rPr>
        <w:t>two months of 2025</w:t>
      </w:r>
      <w:r w:rsidRPr="00D25A7C">
        <w:rPr>
          <w:rFonts w:eastAsia="Batang"/>
          <w:bCs/>
          <w:i/>
          <w:noProof/>
        </w:rPr>
        <w:t xml:space="preserve">, </w:t>
      </w:r>
      <w:r w:rsidRPr="00D25A7C">
        <w:rPr>
          <w:rFonts w:eastAsia="Batang"/>
          <w:bCs/>
          <w:iCs/>
          <w:noProof/>
        </w:rPr>
        <w:t xml:space="preserve">the group of fuels and minerals </w:t>
      </w:r>
      <w:r w:rsidRPr="00D25A7C">
        <w:rPr>
          <w:rFonts w:eastAsia="Batang"/>
          <w:bCs/>
          <w:iCs/>
          <w:noProof/>
          <w:lang w:val="en-US"/>
        </w:rPr>
        <w:t xml:space="preserve">was estimated at </w:t>
      </w:r>
      <w:r>
        <w:rPr>
          <w:rFonts w:eastAsia="Batang"/>
          <w:bCs/>
          <w:iCs/>
          <w:noProof/>
          <w:lang w:val="en-US"/>
        </w:rPr>
        <w:t>0.48</w:t>
      </w:r>
      <w:r w:rsidRPr="00D25A7C">
        <w:rPr>
          <w:rFonts w:eastAsia="Batang"/>
          <w:bCs/>
          <w:iCs/>
          <w:noProof/>
          <w:lang w:val="en-US"/>
        </w:rPr>
        <w:t xml:space="preserve"> billion USD,</w:t>
      </w:r>
      <w:r w:rsidRPr="00D25A7C">
        <w:rPr>
          <w:rFonts w:eastAsia="Batang"/>
          <w:bCs/>
          <w:iCs/>
          <w:noProof/>
        </w:rPr>
        <w:t xml:space="preserve"> accounting for </w:t>
      </w:r>
      <w:r>
        <w:rPr>
          <w:rFonts w:eastAsia="Batang"/>
          <w:bCs/>
          <w:iCs/>
          <w:noProof/>
        </w:rPr>
        <w:t>0.8</w:t>
      </w:r>
      <w:r w:rsidRPr="00D25A7C">
        <w:rPr>
          <w:rFonts w:eastAsia="Batang"/>
          <w:bCs/>
          <w:iCs/>
          <w:noProof/>
        </w:rPr>
        <w:t xml:space="preserve">%; the group of processing industry </w:t>
      </w:r>
      <w:r w:rsidRPr="00D25A7C">
        <w:rPr>
          <w:rFonts w:eastAsia="Batang"/>
          <w:bCs/>
          <w:iCs/>
          <w:noProof/>
          <w:lang w:val="en-US"/>
        </w:rPr>
        <w:t xml:space="preserve">was estimated at </w:t>
      </w:r>
      <w:r>
        <w:rPr>
          <w:rFonts w:eastAsia="Batang"/>
          <w:bCs/>
          <w:iCs/>
          <w:noProof/>
          <w:lang w:val="en-US"/>
        </w:rPr>
        <w:t>57.01</w:t>
      </w:r>
      <w:r w:rsidRPr="00D25A7C">
        <w:rPr>
          <w:rFonts w:eastAsia="Batang"/>
          <w:bCs/>
          <w:iCs/>
          <w:noProof/>
          <w:lang w:val="en-US"/>
        </w:rPr>
        <w:t xml:space="preserve"> billion USD,</w:t>
      </w:r>
      <w:r w:rsidRPr="00D25A7C">
        <w:rPr>
          <w:rFonts w:eastAsia="Batang"/>
          <w:bCs/>
          <w:iCs/>
          <w:noProof/>
        </w:rPr>
        <w:t xml:space="preserve"> accounting for </w:t>
      </w:r>
      <w:r w:rsidRPr="00D25A7C">
        <w:rPr>
          <w:rFonts w:eastAsia="Batang"/>
          <w:bCs/>
          <w:iCs/>
          <w:noProof/>
          <w:lang w:val="vi-VN"/>
        </w:rPr>
        <w:t>8</w:t>
      </w:r>
      <w:r>
        <w:rPr>
          <w:rFonts w:eastAsia="Batang"/>
          <w:bCs/>
          <w:iCs/>
          <w:noProof/>
          <w:lang w:val="en-US"/>
        </w:rPr>
        <w:t>8.7</w:t>
      </w:r>
      <w:r w:rsidRPr="00D25A7C">
        <w:rPr>
          <w:rFonts w:eastAsia="Batang"/>
          <w:bCs/>
          <w:iCs/>
          <w:noProof/>
        </w:rPr>
        <w:t xml:space="preserve">%;  agricultural and forestry products </w:t>
      </w:r>
      <w:r w:rsidRPr="00D25A7C">
        <w:rPr>
          <w:rFonts w:eastAsia="Batang"/>
          <w:bCs/>
          <w:iCs/>
          <w:noProof/>
          <w:lang w:val="en-US"/>
        </w:rPr>
        <w:t xml:space="preserve">was estimated at </w:t>
      </w:r>
      <w:r>
        <w:rPr>
          <w:rFonts w:eastAsia="Batang"/>
          <w:bCs/>
          <w:iCs/>
          <w:noProof/>
          <w:lang w:val="en-US"/>
        </w:rPr>
        <w:t>5.35</w:t>
      </w:r>
      <w:r w:rsidRPr="00D25A7C">
        <w:rPr>
          <w:rFonts w:eastAsia="Batang"/>
          <w:bCs/>
          <w:iCs/>
          <w:noProof/>
          <w:lang w:val="en-US"/>
        </w:rPr>
        <w:t xml:space="preserve"> billion USD,</w:t>
      </w:r>
      <w:r w:rsidRPr="00D25A7C">
        <w:rPr>
          <w:rFonts w:eastAsia="Batang"/>
          <w:bCs/>
          <w:iCs/>
          <w:noProof/>
        </w:rPr>
        <w:t xml:space="preserve"> accounting for 8.</w:t>
      </w:r>
      <w:r>
        <w:rPr>
          <w:rFonts w:eastAsia="Batang"/>
          <w:bCs/>
          <w:iCs/>
          <w:noProof/>
        </w:rPr>
        <w:t>3</w:t>
      </w:r>
      <w:r w:rsidRPr="00D25A7C">
        <w:rPr>
          <w:rFonts w:eastAsia="Batang"/>
          <w:bCs/>
          <w:iCs/>
          <w:noProof/>
        </w:rPr>
        <w:t xml:space="preserve">%; the group of fishery products </w:t>
      </w:r>
      <w:r w:rsidRPr="00D25A7C">
        <w:rPr>
          <w:rFonts w:eastAsia="Batang"/>
          <w:bCs/>
          <w:iCs/>
          <w:noProof/>
          <w:lang w:val="en-US"/>
        </w:rPr>
        <w:t xml:space="preserve">was estimated at </w:t>
      </w:r>
      <w:r>
        <w:rPr>
          <w:rFonts w:eastAsia="Batang"/>
          <w:bCs/>
          <w:iCs/>
          <w:noProof/>
          <w:lang w:val="en-US"/>
        </w:rPr>
        <w:t>1.43</w:t>
      </w:r>
      <w:r w:rsidRPr="00D25A7C">
        <w:rPr>
          <w:rFonts w:eastAsia="Batang"/>
          <w:bCs/>
          <w:iCs/>
          <w:noProof/>
          <w:lang w:val="en-US"/>
        </w:rPr>
        <w:t xml:space="preserve"> billion USD,</w:t>
      </w:r>
      <w:r w:rsidRPr="00D25A7C">
        <w:rPr>
          <w:rFonts w:eastAsia="Batang"/>
          <w:bCs/>
          <w:iCs/>
          <w:noProof/>
        </w:rPr>
        <w:t xml:space="preserve"> accounting for 2.</w:t>
      </w:r>
      <w:r>
        <w:rPr>
          <w:rFonts w:eastAsia="Batang"/>
          <w:bCs/>
          <w:iCs/>
          <w:noProof/>
        </w:rPr>
        <w:t>2</w:t>
      </w:r>
      <w:r w:rsidRPr="00D25A7C">
        <w:rPr>
          <w:rFonts w:eastAsia="Batang"/>
          <w:bCs/>
          <w:iCs/>
          <w:noProof/>
        </w:rPr>
        <w:t>%.</w:t>
      </w:r>
    </w:p>
    <w:p w14:paraId="75FBA64A" w14:textId="77777777" w:rsidR="00753A68" w:rsidRPr="00D25A7C" w:rsidRDefault="00753A68" w:rsidP="00753A68">
      <w:pPr>
        <w:tabs>
          <w:tab w:val="left" w:pos="900"/>
          <w:tab w:val="left" w:pos="9475"/>
        </w:tabs>
        <w:spacing w:beforeLines="40" w:before="96" w:afterLines="40" w:after="96" w:line="264" w:lineRule="auto"/>
        <w:ind w:right="6" w:firstLine="567"/>
        <w:jc w:val="both"/>
        <w:rPr>
          <w:b/>
          <w:bCs/>
          <w:i/>
          <w:sz w:val="2"/>
          <w:lang w:val="de-DE"/>
        </w:rPr>
      </w:pPr>
    </w:p>
    <w:p w14:paraId="522755F3" w14:textId="77777777" w:rsidR="00753A68" w:rsidRPr="00D25A7C" w:rsidRDefault="00753A68" w:rsidP="00753A68">
      <w:pPr>
        <w:tabs>
          <w:tab w:val="num" w:pos="0"/>
          <w:tab w:val="left" w:pos="9475"/>
        </w:tabs>
        <w:spacing w:beforeLines="40" w:before="96" w:afterLines="40" w:after="96" w:line="259" w:lineRule="auto"/>
        <w:ind w:right="6" w:firstLine="567"/>
        <w:jc w:val="both"/>
        <w:rPr>
          <w:b/>
          <w:bCs/>
          <w:i/>
          <w:iCs/>
          <w:lang w:val="de-DE"/>
        </w:rPr>
      </w:pPr>
      <w:r w:rsidRPr="00D25A7C">
        <w:rPr>
          <w:b/>
          <w:bCs/>
          <w:i/>
          <w:iCs/>
          <w:lang w:val="de-DE"/>
        </w:rPr>
        <w:t>Import of goods</w:t>
      </w:r>
    </w:p>
    <w:p w14:paraId="4A1928DD" w14:textId="77777777" w:rsidR="00753A68" w:rsidRPr="00D25A7C" w:rsidRDefault="00753A68" w:rsidP="00753A68">
      <w:pPr>
        <w:tabs>
          <w:tab w:val="num" w:pos="0"/>
          <w:tab w:val="left" w:pos="9475"/>
        </w:tabs>
        <w:spacing w:beforeLines="40" w:before="96" w:afterLines="40" w:after="96" w:line="259" w:lineRule="auto"/>
        <w:ind w:right="6" w:firstLine="567"/>
        <w:jc w:val="both"/>
      </w:pPr>
      <w:r>
        <w:rPr>
          <w:bCs/>
          <w:lang w:val="en-US"/>
        </w:rPr>
        <w:t>I</w:t>
      </w:r>
      <w:r w:rsidRPr="00D25A7C">
        <w:rPr>
          <w:bCs/>
          <w:lang w:val="en-US"/>
        </w:rPr>
        <w:t xml:space="preserve">mport turnover of goods </w:t>
      </w:r>
      <w:r w:rsidRPr="00D25A7C">
        <w:rPr>
          <w:bCs/>
          <w:lang w:val="de-DE"/>
        </w:rPr>
        <w:t xml:space="preserve">in </w:t>
      </w:r>
      <w:r>
        <w:rPr>
          <w:bCs/>
          <w:lang w:val="de-DE"/>
        </w:rPr>
        <w:t>01/2025</w:t>
      </w:r>
      <w:r w:rsidRPr="00D25A7C">
        <w:rPr>
          <w:bCs/>
          <w:lang w:val="de-DE"/>
        </w:rPr>
        <w:t xml:space="preserve"> reached </w:t>
      </w:r>
      <w:r>
        <w:rPr>
          <w:bCs/>
          <w:lang w:val="de-DE"/>
        </w:rPr>
        <w:t>30.14</w:t>
      </w:r>
      <w:r w:rsidRPr="00D25A7C">
        <w:rPr>
          <w:bCs/>
          <w:lang w:val="de-DE"/>
        </w:rPr>
        <w:t xml:space="preserve"> billion USD</w:t>
      </w:r>
      <w:r>
        <w:rPr>
          <w:rStyle w:val="FootnoteReference"/>
          <w:bCs/>
          <w:lang w:val="de-DE"/>
        </w:rPr>
        <w:footnoteReference w:id="21"/>
      </w:r>
      <w:r>
        <w:rPr>
          <w:bCs/>
          <w:lang w:val="de-DE"/>
        </w:rPr>
        <w:t>.</w:t>
      </w:r>
    </w:p>
    <w:p w14:paraId="42417B1B" w14:textId="77777777" w:rsidR="00753A68" w:rsidRPr="00D25A7C" w:rsidRDefault="00753A68" w:rsidP="00753A68">
      <w:pPr>
        <w:tabs>
          <w:tab w:val="num" w:pos="0"/>
          <w:tab w:val="left" w:pos="9475"/>
        </w:tabs>
        <w:spacing w:beforeLines="40" w:before="96" w:afterLines="40" w:after="96" w:line="259" w:lineRule="auto"/>
        <w:ind w:right="6" w:firstLine="567"/>
        <w:jc w:val="both"/>
        <w:rPr>
          <w:bCs/>
          <w:spacing w:val="-2"/>
          <w:lang w:val="en-US"/>
        </w:rPr>
      </w:pPr>
      <w:r>
        <w:rPr>
          <w:bCs/>
          <w:i/>
          <w:iCs/>
          <w:lang w:val="en-US"/>
        </w:rPr>
        <w:t>I</w:t>
      </w:r>
      <w:r w:rsidRPr="00B5134D">
        <w:rPr>
          <w:bCs/>
          <w:i/>
          <w:iCs/>
          <w:lang w:val="en-US"/>
        </w:rPr>
        <w:t xml:space="preserve">mport turnover of goods </w:t>
      </w:r>
      <w:r w:rsidRPr="00B5134D">
        <w:rPr>
          <w:bCs/>
          <w:i/>
          <w:iCs/>
          <w:lang w:val="de-DE"/>
        </w:rPr>
        <w:t>in</w:t>
      </w:r>
      <w:r w:rsidRPr="00D25A7C">
        <w:rPr>
          <w:bCs/>
          <w:lang w:val="de-DE"/>
        </w:rPr>
        <w:t xml:space="preserve"> </w:t>
      </w:r>
      <w:r>
        <w:rPr>
          <w:bCs/>
          <w:i/>
          <w:iCs/>
          <w:spacing w:val="-2"/>
          <w:lang w:val="de-DE"/>
        </w:rPr>
        <w:t>02/2025</w:t>
      </w:r>
      <w:r w:rsidRPr="00D25A7C">
        <w:rPr>
          <w:bCs/>
          <w:i/>
          <w:iCs/>
          <w:spacing w:val="-2"/>
          <w:lang w:val="de-DE"/>
        </w:rPr>
        <w:t xml:space="preserve"> </w:t>
      </w:r>
      <w:r>
        <w:rPr>
          <w:bCs/>
          <w:spacing w:val="-2"/>
          <w:lang w:val="en-US"/>
        </w:rPr>
        <w:t>reached</w:t>
      </w:r>
      <w:r w:rsidRPr="00D25A7C">
        <w:rPr>
          <w:bCs/>
          <w:spacing w:val="-2"/>
          <w:lang w:val="en-US"/>
        </w:rPr>
        <w:t xml:space="preserve"> 3</w:t>
      </w:r>
      <w:r>
        <w:rPr>
          <w:bCs/>
          <w:spacing w:val="-2"/>
          <w:lang w:val="en-US"/>
        </w:rPr>
        <w:t>2.66</w:t>
      </w:r>
      <w:r w:rsidRPr="00D25A7C">
        <w:rPr>
          <w:bCs/>
          <w:spacing w:val="-2"/>
          <w:lang w:val="en-US"/>
        </w:rPr>
        <w:t xml:space="preserve"> billion USD, </w:t>
      </w:r>
      <w:r>
        <w:rPr>
          <w:bCs/>
          <w:spacing w:val="-2"/>
          <w:lang w:val="en-US"/>
        </w:rPr>
        <w:t>in</w:t>
      </w:r>
      <w:r w:rsidRPr="00D25A7C">
        <w:rPr>
          <w:bCs/>
          <w:spacing w:val="-2"/>
          <w:lang w:val="en-US"/>
        </w:rPr>
        <w:t xml:space="preserve">creased by </w:t>
      </w:r>
      <w:r>
        <w:rPr>
          <w:bCs/>
          <w:spacing w:val="-2"/>
          <w:lang w:val="en-US"/>
        </w:rPr>
        <w:t>8.4</w:t>
      </w:r>
      <w:r w:rsidRPr="00D25A7C">
        <w:rPr>
          <w:bCs/>
          <w:spacing w:val="-2"/>
          <w:lang w:val="en-US"/>
        </w:rPr>
        <w:t>% over the previous month. Of which the domestic economic sector gained 1</w:t>
      </w:r>
      <w:r>
        <w:rPr>
          <w:bCs/>
          <w:spacing w:val="-2"/>
          <w:lang w:val="en-US"/>
        </w:rPr>
        <w:t>1.87</w:t>
      </w:r>
      <w:r w:rsidRPr="00D25A7C">
        <w:rPr>
          <w:bCs/>
          <w:spacing w:val="-2"/>
          <w:lang w:val="en-US"/>
        </w:rPr>
        <w:t xml:space="preserve"> billion USD, </w:t>
      </w:r>
      <w:r>
        <w:rPr>
          <w:bCs/>
          <w:spacing w:val="-2"/>
          <w:lang w:val="en-US"/>
        </w:rPr>
        <w:t>in</w:t>
      </w:r>
      <w:r w:rsidRPr="00D25A7C">
        <w:rPr>
          <w:bCs/>
          <w:spacing w:val="-2"/>
          <w:lang w:val="en-US"/>
        </w:rPr>
        <w:t xml:space="preserve">creased by </w:t>
      </w:r>
      <w:r>
        <w:rPr>
          <w:bCs/>
          <w:spacing w:val="-2"/>
          <w:lang w:val="en-US"/>
        </w:rPr>
        <w:t>8.7</w:t>
      </w:r>
      <w:r w:rsidRPr="00D25A7C">
        <w:rPr>
          <w:bCs/>
          <w:spacing w:val="-2"/>
          <w:lang w:val="en-US"/>
        </w:rPr>
        <w:t xml:space="preserve">%; the FDI sector reached </w:t>
      </w:r>
      <w:r>
        <w:rPr>
          <w:bCs/>
          <w:spacing w:val="-2"/>
          <w:lang w:val="en-US"/>
        </w:rPr>
        <w:t>20.79</w:t>
      </w:r>
      <w:r w:rsidRPr="00D25A7C">
        <w:rPr>
          <w:bCs/>
          <w:spacing w:val="-2"/>
          <w:lang w:val="en-US"/>
        </w:rPr>
        <w:t xml:space="preserve"> billion USD, </w:t>
      </w:r>
      <w:r>
        <w:rPr>
          <w:bCs/>
          <w:spacing w:val="-2"/>
          <w:lang w:val="en-US"/>
        </w:rPr>
        <w:t>in</w:t>
      </w:r>
      <w:r w:rsidRPr="00D25A7C">
        <w:rPr>
          <w:bCs/>
          <w:spacing w:val="-2"/>
          <w:lang w:val="en-US"/>
        </w:rPr>
        <w:t xml:space="preserve">creased by </w:t>
      </w:r>
      <w:r>
        <w:rPr>
          <w:bCs/>
          <w:spacing w:val="-2"/>
          <w:lang w:val="en-US"/>
        </w:rPr>
        <w:t>8.1</w:t>
      </w:r>
      <w:r w:rsidRPr="00D25A7C">
        <w:rPr>
          <w:bCs/>
          <w:spacing w:val="-2"/>
          <w:lang w:val="en-US"/>
        </w:rPr>
        <w:t>%. Compared to the same period last year, the import turnover of goods in</w:t>
      </w:r>
      <w:r>
        <w:rPr>
          <w:bCs/>
          <w:spacing w:val="-2"/>
          <w:lang w:val="en-US"/>
        </w:rPr>
        <w:t xml:space="preserve"> February</w:t>
      </w:r>
      <w:r w:rsidRPr="00D25A7C">
        <w:rPr>
          <w:bCs/>
          <w:spacing w:val="-2"/>
          <w:lang w:val="en-US"/>
        </w:rPr>
        <w:t xml:space="preserve"> increased by</w:t>
      </w:r>
      <w:r>
        <w:rPr>
          <w:bCs/>
          <w:spacing w:val="-2"/>
          <w:lang w:val="en-US"/>
        </w:rPr>
        <w:t xml:space="preserve"> 40.0</w:t>
      </w:r>
      <w:r w:rsidRPr="00D25A7C">
        <w:rPr>
          <w:bCs/>
          <w:spacing w:val="-2"/>
          <w:lang w:val="en-US"/>
        </w:rPr>
        <w:t xml:space="preserve">%, of which the domestic economic sector increased by </w:t>
      </w:r>
      <w:r>
        <w:rPr>
          <w:bCs/>
          <w:spacing w:val="-2"/>
          <w:lang w:val="en-US"/>
        </w:rPr>
        <w:t>49.6</w:t>
      </w:r>
      <w:r w:rsidRPr="00D25A7C">
        <w:rPr>
          <w:bCs/>
          <w:spacing w:val="-2"/>
          <w:lang w:val="en-US"/>
        </w:rPr>
        <w:t>%; the FDI sector increased by</w:t>
      </w:r>
      <w:r>
        <w:rPr>
          <w:bCs/>
          <w:spacing w:val="-2"/>
          <w:lang w:val="en-US"/>
        </w:rPr>
        <w:t xml:space="preserve"> 35.1</w:t>
      </w:r>
      <w:r w:rsidRPr="00D25A7C">
        <w:rPr>
          <w:bCs/>
          <w:spacing w:val="-2"/>
          <w:lang w:val="en-US"/>
        </w:rPr>
        <w:t>%.</w:t>
      </w:r>
      <w:r w:rsidRPr="00D25A7C">
        <w:rPr>
          <w:spacing w:val="-2"/>
          <w:lang w:val="de-DE"/>
        </w:rPr>
        <w:t xml:space="preserve"> </w:t>
      </w:r>
    </w:p>
    <w:p w14:paraId="651C85F6" w14:textId="77777777" w:rsidR="00753A68" w:rsidRPr="00D25A7C" w:rsidRDefault="00753A68" w:rsidP="00753A68">
      <w:pPr>
        <w:tabs>
          <w:tab w:val="num" w:pos="0"/>
          <w:tab w:val="left" w:pos="9475"/>
        </w:tabs>
        <w:spacing w:beforeLines="40" w:before="96" w:afterLines="40" w:after="96" w:line="259" w:lineRule="auto"/>
        <w:ind w:right="6" w:firstLine="567"/>
        <w:jc w:val="both"/>
        <w:rPr>
          <w:bCs/>
          <w:lang w:val="de-DE"/>
        </w:rPr>
      </w:pPr>
      <w:r w:rsidRPr="00D25A7C">
        <w:rPr>
          <w:i/>
          <w:iCs/>
          <w:lang w:val="en-US"/>
        </w:rPr>
        <w:t>Generally in</w:t>
      </w:r>
      <w:r w:rsidRPr="00D25A7C">
        <w:rPr>
          <w:i/>
          <w:iCs/>
          <w:lang w:val="de-DE"/>
        </w:rPr>
        <w:t xml:space="preserve"> </w:t>
      </w:r>
      <w:r>
        <w:rPr>
          <w:i/>
          <w:iCs/>
          <w:lang w:val="de-DE"/>
        </w:rPr>
        <w:t>two months of 2025</w:t>
      </w:r>
      <w:r w:rsidRPr="00D25A7C">
        <w:rPr>
          <w:lang w:val="de-DE"/>
        </w:rPr>
        <w:t xml:space="preserve">, </w:t>
      </w:r>
      <w:r w:rsidRPr="006D71F6">
        <w:rPr>
          <w:bCs/>
          <w:lang w:val="en-US"/>
        </w:rPr>
        <w:t xml:space="preserve">import turnover of goods </w:t>
      </w:r>
      <w:r w:rsidRPr="006D71F6">
        <w:rPr>
          <w:bCs/>
          <w:spacing w:val="-2"/>
          <w:lang w:val="en-US"/>
        </w:rPr>
        <w:t>reached</w:t>
      </w:r>
      <w:r w:rsidRPr="00D25A7C">
        <w:rPr>
          <w:bCs/>
          <w:spacing w:val="-2"/>
          <w:lang w:val="en-US"/>
        </w:rPr>
        <w:t xml:space="preserve"> </w:t>
      </w:r>
      <w:r>
        <w:rPr>
          <w:bCs/>
          <w:spacing w:val="-2"/>
          <w:lang w:val="en-US"/>
        </w:rPr>
        <w:t>62.8</w:t>
      </w:r>
      <w:r w:rsidRPr="00D25A7C">
        <w:rPr>
          <w:lang w:val="en-US"/>
        </w:rPr>
        <w:t xml:space="preserve"> billion</w:t>
      </w:r>
      <w:r w:rsidRPr="00D25A7C">
        <w:rPr>
          <w:bCs/>
          <w:lang w:val="en-US"/>
        </w:rPr>
        <w:t xml:space="preserve"> USD,</w:t>
      </w:r>
      <w:r w:rsidRPr="00D25A7C">
        <w:rPr>
          <w:lang w:val="en-US"/>
        </w:rPr>
        <w:t xml:space="preserve"> increased by 1</w:t>
      </w:r>
      <w:r>
        <w:rPr>
          <w:lang w:val="en-US"/>
        </w:rPr>
        <w:t>5.9</w:t>
      </w:r>
      <w:r w:rsidRPr="00D25A7C">
        <w:rPr>
          <w:lang w:val="en-US"/>
        </w:rPr>
        <w:t xml:space="preserve">% over </w:t>
      </w:r>
      <w:r w:rsidRPr="00D25A7C">
        <w:rPr>
          <w:bCs/>
          <w:lang w:val="en-US"/>
        </w:rPr>
        <w:t>the same period last year</w:t>
      </w:r>
      <w:r w:rsidRPr="00D25A7C">
        <w:rPr>
          <w:lang w:val="en-US"/>
        </w:rPr>
        <w:t xml:space="preserve">. Of which the domestic economic sector reached </w:t>
      </w:r>
      <w:r>
        <w:rPr>
          <w:lang w:val="en-US"/>
        </w:rPr>
        <w:t>22.8</w:t>
      </w:r>
      <w:r w:rsidRPr="00D25A7C">
        <w:rPr>
          <w:lang w:val="en-US"/>
        </w:rPr>
        <w:t xml:space="preserve"> billion</w:t>
      </w:r>
      <w:r w:rsidRPr="00D25A7C">
        <w:rPr>
          <w:bCs/>
          <w:lang w:val="en-US"/>
        </w:rPr>
        <w:t xml:space="preserve"> USD,</w:t>
      </w:r>
      <w:r w:rsidRPr="00D25A7C">
        <w:rPr>
          <w:lang w:val="en-US"/>
        </w:rPr>
        <w:t xml:space="preserve"> went up </w:t>
      </w:r>
      <w:r>
        <w:rPr>
          <w:lang w:val="en-US"/>
        </w:rPr>
        <w:t>18.7</w:t>
      </w:r>
      <w:r w:rsidRPr="00D25A7C">
        <w:rPr>
          <w:lang w:val="en-US"/>
        </w:rPr>
        <w:t xml:space="preserve">%; the FDI sector gained </w:t>
      </w:r>
      <w:r>
        <w:rPr>
          <w:lang w:val="en-US"/>
        </w:rPr>
        <w:t>40.0</w:t>
      </w:r>
      <w:r w:rsidRPr="00D25A7C">
        <w:rPr>
          <w:lang w:val="en-US"/>
        </w:rPr>
        <w:t xml:space="preserve"> billion USD, up 1</w:t>
      </w:r>
      <w:r>
        <w:rPr>
          <w:lang w:val="en-US"/>
        </w:rPr>
        <w:t>4.4</w:t>
      </w:r>
      <w:r w:rsidRPr="00D25A7C">
        <w:rPr>
          <w:lang w:val="en-US"/>
        </w:rPr>
        <w:t>%.</w:t>
      </w:r>
      <w:r w:rsidRPr="00D25A7C">
        <w:rPr>
          <w:bCs/>
          <w:lang w:val="de-DE"/>
        </w:rPr>
        <w:t xml:space="preserve"> </w:t>
      </w:r>
    </w:p>
    <w:p w14:paraId="124C0F54" w14:textId="77777777" w:rsidR="00753A68" w:rsidRPr="00D25A7C" w:rsidRDefault="00753A68" w:rsidP="00753A68">
      <w:pPr>
        <w:tabs>
          <w:tab w:val="left" w:pos="9475"/>
        </w:tabs>
        <w:spacing w:beforeLines="40" w:before="96" w:afterLines="40" w:after="96" w:line="259" w:lineRule="auto"/>
        <w:ind w:right="6" w:firstLine="567"/>
        <w:jc w:val="both"/>
        <w:rPr>
          <w:spacing w:val="-2"/>
          <w:lang w:val="en-US"/>
        </w:rPr>
      </w:pPr>
      <w:r w:rsidRPr="00D25A7C">
        <w:rPr>
          <w:i/>
          <w:iCs/>
          <w:spacing w:val="-2"/>
        </w:rPr>
        <w:t xml:space="preserve">In </w:t>
      </w:r>
      <w:r>
        <w:rPr>
          <w:i/>
          <w:iCs/>
          <w:spacing w:val="-2"/>
        </w:rPr>
        <w:t>two months of 2025</w:t>
      </w:r>
      <w:r w:rsidRPr="00D25A7C">
        <w:rPr>
          <w:spacing w:val="-2"/>
        </w:rPr>
        <w:t xml:space="preserve">, there are </w:t>
      </w:r>
      <w:r>
        <w:rPr>
          <w:spacing w:val="-2"/>
        </w:rPr>
        <w:t>16</w:t>
      </w:r>
      <w:r w:rsidRPr="00D25A7C">
        <w:rPr>
          <w:spacing w:val="-2"/>
        </w:rPr>
        <w:t xml:space="preserve"> </w:t>
      </w:r>
      <w:r w:rsidRPr="00D25A7C">
        <w:rPr>
          <w:spacing w:val="-2"/>
          <w:lang w:val="en-US"/>
        </w:rPr>
        <w:t xml:space="preserve">imported products with a turnover of over 1 billion USD, accounting for </w:t>
      </w:r>
      <w:r>
        <w:rPr>
          <w:spacing w:val="-2"/>
          <w:lang w:val="en-US"/>
        </w:rPr>
        <w:t>76.2</w:t>
      </w:r>
      <w:r w:rsidRPr="00D25A7C">
        <w:rPr>
          <w:spacing w:val="-2"/>
          <w:lang w:val="en-US"/>
        </w:rPr>
        <w:t>% of total import turnover (</w:t>
      </w:r>
      <w:r>
        <w:rPr>
          <w:spacing w:val="-2"/>
          <w:lang w:val="en-US"/>
        </w:rPr>
        <w:t>2</w:t>
      </w:r>
      <w:r w:rsidRPr="00D25A7C">
        <w:rPr>
          <w:spacing w:val="-2"/>
          <w:lang w:val="en-US"/>
        </w:rPr>
        <w:t xml:space="preserve"> products with import turnover of over </w:t>
      </w:r>
      <w:r>
        <w:rPr>
          <w:spacing w:val="-2"/>
          <w:lang w:val="en-US"/>
        </w:rPr>
        <w:t>5</w:t>
      </w:r>
      <w:r w:rsidRPr="00D25A7C">
        <w:rPr>
          <w:spacing w:val="-2"/>
          <w:lang w:val="en-US"/>
        </w:rPr>
        <w:t xml:space="preserve"> billion USD, accounting for </w:t>
      </w:r>
      <w:r>
        <w:rPr>
          <w:spacing w:val="-2"/>
          <w:lang w:val="en-US"/>
        </w:rPr>
        <w:t>44.5</w:t>
      </w:r>
      <w:r w:rsidRPr="00D25A7C">
        <w:rPr>
          <w:spacing w:val="-2"/>
          <w:lang w:val="en-US"/>
        </w:rPr>
        <w:t xml:space="preserve">%). </w:t>
      </w:r>
    </w:p>
    <w:p w14:paraId="0AF4BEA5" w14:textId="77777777" w:rsidR="00753A68" w:rsidRPr="00D25A7C" w:rsidRDefault="00753A68" w:rsidP="00753A68">
      <w:pPr>
        <w:tabs>
          <w:tab w:val="left" w:pos="9475"/>
        </w:tabs>
        <w:spacing w:before="240" w:after="240" w:line="264" w:lineRule="auto"/>
        <w:ind w:right="6" w:firstLine="567"/>
        <w:jc w:val="center"/>
        <w:rPr>
          <w:rFonts w:ascii="Arial" w:hAnsi="Arial" w:cs="Arial"/>
          <w:b/>
          <w:sz w:val="24"/>
          <w:szCs w:val="20"/>
          <w:lang w:val="pl-PL"/>
        </w:rPr>
      </w:pPr>
      <w:r w:rsidRPr="00D25A7C">
        <w:rPr>
          <w:rFonts w:ascii="Arial" w:hAnsi="Arial" w:cs="Arial"/>
          <w:b/>
          <w:sz w:val="24"/>
          <w:szCs w:val="20"/>
          <w:lang w:val="pl-PL"/>
        </w:rPr>
        <w:lastRenderedPageBreak/>
        <w:t xml:space="preserve">Table </w:t>
      </w:r>
      <w:r>
        <w:rPr>
          <w:rFonts w:ascii="Arial" w:hAnsi="Arial" w:cs="Arial"/>
          <w:b/>
          <w:sz w:val="24"/>
          <w:szCs w:val="20"/>
          <w:lang w:val="pl-PL"/>
        </w:rPr>
        <w:t>5</w:t>
      </w:r>
      <w:r w:rsidRPr="00D25A7C">
        <w:rPr>
          <w:rFonts w:ascii="Arial" w:hAnsi="Arial" w:cs="Arial"/>
          <w:b/>
          <w:sz w:val="24"/>
          <w:szCs w:val="20"/>
          <w:lang w:val="pl-PL"/>
        </w:rPr>
        <w:t xml:space="preserve">. Value of some imported goods in </w:t>
      </w:r>
      <w:r>
        <w:rPr>
          <w:rFonts w:ascii="Arial" w:hAnsi="Arial" w:cs="Arial"/>
          <w:b/>
          <w:sz w:val="24"/>
          <w:szCs w:val="20"/>
          <w:lang w:val="pl-PL"/>
        </w:rPr>
        <w:t>2 months of 2025</w:t>
      </w:r>
    </w:p>
    <w:tbl>
      <w:tblPr>
        <w:tblW w:w="9393" w:type="dxa"/>
        <w:tblLook w:val="04A0" w:firstRow="1" w:lastRow="0" w:firstColumn="1" w:lastColumn="0" w:noHBand="0" w:noVBand="1"/>
      </w:tblPr>
      <w:tblGrid>
        <w:gridCol w:w="276"/>
        <w:gridCol w:w="4209"/>
        <w:gridCol w:w="1963"/>
        <w:gridCol w:w="2945"/>
      </w:tblGrid>
      <w:tr w:rsidR="00753A68" w:rsidRPr="00D25A7C" w14:paraId="68273418" w14:textId="77777777" w:rsidTr="00C47D68">
        <w:trPr>
          <w:trHeight w:val="317"/>
        </w:trPr>
        <w:tc>
          <w:tcPr>
            <w:tcW w:w="276" w:type="dxa"/>
            <w:tcBorders>
              <w:top w:val="single" w:sz="4" w:space="0" w:color="auto"/>
              <w:left w:val="nil"/>
              <w:bottom w:val="nil"/>
              <w:right w:val="nil"/>
            </w:tcBorders>
            <w:shd w:val="clear" w:color="auto" w:fill="auto"/>
            <w:noWrap/>
            <w:vAlign w:val="center"/>
            <w:hideMark/>
          </w:tcPr>
          <w:p w14:paraId="6A426B19" w14:textId="77777777" w:rsidR="00753A68" w:rsidRPr="00D25A7C" w:rsidRDefault="00753A68" w:rsidP="00C47D68">
            <w:pPr>
              <w:spacing w:before="40" w:after="40" w:line="288" w:lineRule="auto"/>
              <w:rPr>
                <w:rFonts w:ascii="Arial" w:hAnsi="Arial" w:cs="Arial"/>
                <w:sz w:val="20"/>
                <w:szCs w:val="20"/>
              </w:rPr>
            </w:pPr>
            <w:r w:rsidRPr="00D25A7C">
              <w:rPr>
                <w:rFonts w:ascii="Arial" w:hAnsi="Arial" w:cs="Arial"/>
                <w:sz w:val="20"/>
                <w:szCs w:val="20"/>
              </w:rPr>
              <w:t> </w:t>
            </w:r>
          </w:p>
        </w:tc>
        <w:tc>
          <w:tcPr>
            <w:tcW w:w="4209" w:type="dxa"/>
            <w:tcBorders>
              <w:top w:val="single" w:sz="4" w:space="0" w:color="auto"/>
              <w:left w:val="nil"/>
              <w:bottom w:val="nil"/>
              <w:right w:val="nil"/>
            </w:tcBorders>
            <w:shd w:val="clear" w:color="auto" w:fill="auto"/>
            <w:noWrap/>
            <w:vAlign w:val="center"/>
            <w:hideMark/>
          </w:tcPr>
          <w:p w14:paraId="11138FE7" w14:textId="77777777" w:rsidR="00753A68" w:rsidRPr="00D25A7C" w:rsidRDefault="00753A68" w:rsidP="00C47D68">
            <w:pPr>
              <w:spacing w:before="40" w:after="40" w:line="288" w:lineRule="auto"/>
              <w:jc w:val="center"/>
              <w:rPr>
                <w:rFonts w:ascii="Arial" w:hAnsi="Arial" w:cs="Arial"/>
                <w:sz w:val="20"/>
                <w:szCs w:val="20"/>
              </w:rPr>
            </w:pPr>
            <w:r w:rsidRPr="00D25A7C">
              <w:rPr>
                <w:rFonts w:ascii="Arial" w:hAnsi="Arial" w:cs="Arial"/>
                <w:sz w:val="20"/>
                <w:szCs w:val="20"/>
              </w:rPr>
              <w:t> </w:t>
            </w:r>
          </w:p>
        </w:tc>
        <w:tc>
          <w:tcPr>
            <w:tcW w:w="1963" w:type="dxa"/>
            <w:tcBorders>
              <w:top w:val="single" w:sz="4" w:space="0" w:color="auto"/>
              <w:left w:val="nil"/>
            </w:tcBorders>
            <w:shd w:val="clear" w:color="auto" w:fill="auto"/>
            <w:vAlign w:val="center"/>
            <w:hideMark/>
          </w:tcPr>
          <w:p w14:paraId="36844106" w14:textId="77777777" w:rsidR="00753A68" w:rsidRPr="00D25A7C" w:rsidRDefault="00753A68" w:rsidP="00C47D68">
            <w:pPr>
              <w:spacing w:before="40" w:after="40" w:line="288" w:lineRule="auto"/>
              <w:jc w:val="center"/>
              <w:rPr>
                <w:rFonts w:ascii="Arial" w:hAnsi="Arial" w:cs="Arial"/>
                <w:sz w:val="20"/>
                <w:szCs w:val="20"/>
              </w:rPr>
            </w:pPr>
            <w:r>
              <w:rPr>
                <w:rFonts w:ascii="Arial" w:hAnsi="Arial" w:cs="Arial"/>
                <w:sz w:val="20"/>
                <w:szCs w:val="20"/>
              </w:rPr>
              <w:t>Value</w:t>
            </w:r>
          </w:p>
        </w:tc>
        <w:tc>
          <w:tcPr>
            <w:tcW w:w="2945" w:type="dxa"/>
            <w:tcBorders>
              <w:top w:val="single" w:sz="4" w:space="0" w:color="auto"/>
            </w:tcBorders>
            <w:shd w:val="clear" w:color="auto" w:fill="auto"/>
            <w:vAlign w:val="center"/>
            <w:hideMark/>
          </w:tcPr>
          <w:p w14:paraId="0ABF4E30" w14:textId="77777777" w:rsidR="00753A68" w:rsidRPr="00D25A7C" w:rsidRDefault="00753A68" w:rsidP="00C47D68">
            <w:pPr>
              <w:spacing w:before="40" w:after="40" w:line="288" w:lineRule="auto"/>
              <w:jc w:val="center"/>
              <w:rPr>
                <w:rFonts w:ascii="Arial" w:hAnsi="Arial" w:cs="Arial"/>
                <w:sz w:val="20"/>
                <w:szCs w:val="20"/>
              </w:rPr>
            </w:pPr>
            <w:r w:rsidRPr="00D25A7C">
              <w:rPr>
                <w:rFonts w:ascii="Arial" w:hAnsi="Arial" w:cs="Arial"/>
                <w:sz w:val="20"/>
                <w:szCs w:val="20"/>
              </w:rPr>
              <w:t>Growth rate compare to</w:t>
            </w:r>
          </w:p>
        </w:tc>
      </w:tr>
      <w:tr w:rsidR="00753A68" w:rsidRPr="00D25A7C" w14:paraId="51A38F27" w14:textId="77777777" w:rsidTr="00C47D68">
        <w:trPr>
          <w:trHeight w:val="152"/>
        </w:trPr>
        <w:tc>
          <w:tcPr>
            <w:tcW w:w="276" w:type="dxa"/>
            <w:tcBorders>
              <w:top w:val="nil"/>
              <w:left w:val="nil"/>
              <w:bottom w:val="nil"/>
              <w:right w:val="nil"/>
            </w:tcBorders>
            <w:shd w:val="clear" w:color="auto" w:fill="auto"/>
            <w:noWrap/>
            <w:vAlign w:val="center"/>
            <w:hideMark/>
          </w:tcPr>
          <w:p w14:paraId="43066073" w14:textId="77777777" w:rsidR="00753A68" w:rsidRPr="00D25A7C" w:rsidRDefault="00753A68" w:rsidP="00C47D68">
            <w:pPr>
              <w:spacing w:before="40" w:after="40" w:line="288" w:lineRule="auto"/>
              <w:jc w:val="center"/>
              <w:rPr>
                <w:rFonts w:ascii="Arial" w:hAnsi="Arial" w:cs="Arial"/>
                <w:color w:val="000000"/>
                <w:sz w:val="20"/>
                <w:szCs w:val="20"/>
              </w:rPr>
            </w:pPr>
          </w:p>
        </w:tc>
        <w:tc>
          <w:tcPr>
            <w:tcW w:w="4209" w:type="dxa"/>
            <w:tcBorders>
              <w:top w:val="nil"/>
              <w:left w:val="nil"/>
              <w:bottom w:val="nil"/>
              <w:right w:val="nil"/>
            </w:tcBorders>
            <w:shd w:val="clear" w:color="auto" w:fill="auto"/>
            <w:noWrap/>
            <w:vAlign w:val="center"/>
            <w:hideMark/>
          </w:tcPr>
          <w:p w14:paraId="66AEEC8C" w14:textId="77777777" w:rsidR="00753A68" w:rsidRPr="00D25A7C" w:rsidRDefault="00753A68" w:rsidP="00C47D68">
            <w:pPr>
              <w:spacing w:before="40" w:after="40" w:line="288" w:lineRule="auto"/>
              <w:rPr>
                <w:rFonts w:ascii="Arial" w:hAnsi="Arial" w:cs="Arial"/>
                <w:sz w:val="20"/>
                <w:szCs w:val="20"/>
              </w:rPr>
            </w:pPr>
          </w:p>
        </w:tc>
        <w:tc>
          <w:tcPr>
            <w:tcW w:w="1963" w:type="dxa"/>
            <w:tcBorders>
              <w:top w:val="nil"/>
              <w:left w:val="nil"/>
              <w:bottom w:val="single" w:sz="4" w:space="0" w:color="auto"/>
            </w:tcBorders>
            <w:shd w:val="clear" w:color="auto" w:fill="auto"/>
            <w:vAlign w:val="center"/>
            <w:hideMark/>
          </w:tcPr>
          <w:p w14:paraId="5FB5AFB8" w14:textId="77777777" w:rsidR="00753A68" w:rsidRPr="00D25A7C" w:rsidRDefault="00753A68" w:rsidP="00C47D68">
            <w:pPr>
              <w:spacing w:before="40" w:after="40" w:line="288" w:lineRule="auto"/>
              <w:jc w:val="center"/>
              <w:rPr>
                <w:rFonts w:ascii="Arial" w:hAnsi="Arial" w:cs="Arial"/>
                <w:sz w:val="20"/>
                <w:szCs w:val="20"/>
              </w:rPr>
            </w:pPr>
            <w:r w:rsidRPr="00D25A7C">
              <w:rPr>
                <w:rFonts w:ascii="Arial" w:hAnsi="Arial" w:cs="Arial"/>
                <w:i/>
                <w:iCs/>
                <w:sz w:val="20"/>
                <w:szCs w:val="20"/>
              </w:rPr>
              <w:t>(Mill. USD)</w:t>
            </w:r>
          </w:p>
        </w:tc>
        <w:tc>
          <w:tcPr>
            <w:tcW w:w="2945" w:type="dxa"/>
            <w:tcBorders>
              <w:top w:val="nil"/>
              <w:bottom w:val="single" w:sz="4" w:space="0" w:color="auto"/>
            </w:tcBorders>
            <w:shd w:val="clear" w:color="auto" w:fill="auto"/>
            <w:vAlign w:val="center"/>
            <w:hideMark/>
          </w:tcPr>
          <w:p w14:paraId="5822FF28" w14:textId="77777777" w:rsidR="00753A68" w:rsidRPr="00D25A7C" w:rsidRDefault="00753A68" w:rsidP="00C47D68">
            <w:pPr>
              <w:spacing w:before="40" w:after="40" w:line="288" w:lineRule="auto"/>
              <w:jc w:val="center"/>
              <w:rPr>
                <w:rFonts w:ascii="Arial" w:hAnsi="Arial" w:cs="Arial"/>
                <w:sz w:val="20"/>
                <w:szCs w:val="20"/>
              </w:rPr>
            </w:pPr>
            <w:r w:rsidRPr="00D25A7C">
              <w:rPr>
                <w:rFonts w:ascii="Arial" w:hAnsi="Arial" w:cs="Arial"/>
                <w:sz w:val="20"/>
                <w:szCs w:val="20"/>
              </w:rPr>
              <w:t xml:space="preserve">the same period last year </w:t>
            </w:r>
            <w:r w:rsidRPr="00D25A7C">
              <w:rPr>
                <w:rFonts w:ascii="Arial" w:hAnsi="Arial" w:cs="Arial"/>
                <w:i/>
                <w:iCs/>
                <w:sz w:val="20"/>
                <w:szCs w:val="20"/>
              </w:rPr>
              <w:t>(%)</w:t>
            </w:r>
          </w:p>
        </w:tc>
      </w:tr>
      <w:tr w:rsidR="00753A68" w:rsidRPr="00D25A7C" w14:paraId="66AD59AB" w14:textId="77777777" w:rsidTr="00C47D68">
        <w:trPr>
          <w:trHeight w:val="317"/>
        </w:trPr>
        <w:tc>
          <w:tcPr>
            <w:tcW w:w="4485" w:type="dxa"/>
            <w:gridSpan w:val="2"/>
            <w:tcBorders>
              <w:top w:val="nil"/>
              <w:left w:val="nil"/>
              <w:bottom w:val="nil"/>
              <w:right w:val="nil"/>
            </w:tcBorders>
            <w:shd w:val="clear" w:color="auto" w:fill="auto"/>
            <w:noWrap/>
            <w:vAlign w:val="center"/>
            <w:hideMark/>
          </w:tcPr>
          <w:p w14:paraId="0AB79B0C" w14:textId="77777777" w:rsidR="00753A68" w:rsidRPr="00D25A7C" w:rsidRDefault="00753A68" w:rsidP="00C47D68">
            <w:pPr>
              <w:spacing w:before="40" w:after="40" w:line="288" w:lineRule="auto"/>
              <w:rPr>
                <w:rFonts w:ascii="Arial" w:hAnsi="Arial" w:cs="Arial"/>
                <w:b/>
                <w:bCs/>
                <w:color w:val="000000"/>
                <w:sz w:val="20"/>
                <w:szCs w:val="20"/>
              </w:rPr>
            </w:pPr>
            <w:r w:rsidRPr="00D25A7C">
              <w:rPr>
                <w:rFonts w:ascii="Arial" w:hAnsi="Arial" w:cs="Arial"/>
                <w:b/>
                <w:bCs/>
                <w:sz w:val="20"/>
                <w:szCs w:val="20"/>
              </w:rPr>
              <w:t xml:space="preserve">Items with a value of over </w:t>
            </w:r>
            <w:r>
              <w:rPr>
                <w:rFonts w:ascii="Arial" w:hAnsi="Arial" w:cs="Arial"/>
                <w:b/>
                <w:bCs/>
                <w:sz w:val="20"/>
                <w:szCs w:val="20"/>
              </w:rPr>
              <w:t>5</w:t>
            </w:r>
            <w:r w:rsidRPr="00D25A7C">
              <w:rPr>
                <w:rFonts w:ascii="Arial" w:hAnsi="Arial" w:cs="Arial"/>
                <w:b/>
                <w:bCs/>
                <w:sz w:val="20"/>
                <w:szCs w:val="20"/>
              </w:rPr>
              <w:t xml:space="preserve"> billion USD</w:t>
            </w:r>
          </w:p>
        </w:tc>
        <w:tc>
          <w:tcPr>
            <w:tcW w:w="1963" w:type="dxa"/>
            <w:tcBorders>
              <w:top w:val="nil"/>
              <w:left w:val="nil"/>
              <w:bottom w:val="nil"/>
              <w:right w:val="nil"/>
            </w:tcBorders>
            <w:shd w:val="clear" w:color="auto" w:fill="auto"/>
            <w:noWrap/>
            <w:vAlign w:val="center"/>
            <w:hideMark/>
          </w:tcPr>
          <w:p w14:paraId="40C3C099" w14:textId="77777777" w:rsidR="00753A68" w:rsidRPr="00D25A7C" w:rsidRDefault="00753A68" w:rsidP="00C47D68">
            <w:pPr>
              <w:spacing w:before="40" w:after="40" w:line="288" w:lineRule="auto"/>
              <w:rPr>
                <w:rFonts w:ascii="Arial" w:hAnsi="Arial" w:cs="Arial"/>
                <w:sz w:val="20"/>
                <w:szCs w:val="20"/>
              </w:rPr>
            </w:pPr>
          </w:p>
        </w:tc>
        <w:tc>
          <w:tcPr>
            <w:tcW w:w="2945" w:type="dxa"/>
            <w:tcBorders>
              <w:top w:val="nil"/>
              <w:left w:val="nil"/>
              <w:bottom w:val="nil"/>
              <w:right w:val="nil"/>
            </w:tcBorders>
            <w:shd w:val="clear" w:color="auto" w:fill="auto"/>
            <w:noWrap/>
            <w:vAlign w:val="center"/>
            <w:hideMark/>
          </w:tcPr>
          <w:p w14:paraId="30C091FD" w14:textId="77777777" w:rsidR="00753A68" w:rsidRPr="00D25A7C" w:rsidRDefault="00753A68" w:rsidP="00C47D68">
            <w:pPr>
              <w:spacing w:before="40" w:after="40" w:line="288" w:lineRule="auto"/>
              <w:rPr>
                <w:rFonts w:ascii="Arial" w:hAnsi="Arial" w:cs="Arial"/>
                <w:sz w:val="20"/>
                <w:szCs w:val="20"/>
              </w:rPr>
            </w:pPr>
          </w:p>
        </w:tc>
      </w:tr>
      <w:tr w:rsidR="00753A68" w:rsidRPr="00D25A7C" w14:paraId="1231D793" w14:textId="77777777" w:rsidTr="00C47D68">
        <w:trPr>
          <w:trHeight w:val="317"/>
        </w:trPr>
        <w:tc>
          <w:tcPr>
            <w:tcW w:w="276" w:type="dxa"/>
            <w:tcBorders>
              <w:top w:val="nil"/>
              <w:left w:val="nil"/>
              <w:right w:val="nil"/>
            </w:tcBorders>
            <w:shd w:val="clear" w:color="auto" w:fill="auto"/>
            <w:noWrap/>
            <w:vAlign w:val="center"/>
            <w:hideMark/>
          </w:tcPr>
          <w:p w14:paraId="2355EF42" w14:textId="77777777" w:rsidR="00753A68" w:rsidRPr="00D25A7C" w:rsidRDefault="00753A68" w:rsidP="00C47D68">
            <w:pPr>
              <w:spacing w:before="40" w:after="40" w:line="288" w:lineRule="auto"/>
              <w:jc w:val="right"/>
              <w:rPr>
                <w:rFonts w:ascii="Arial" w:hAnsi="Arial" w:cs="Arial"/>
                <w:sz w:val="20"/>
                <w:szCs w:val="20"/>
              </w:rPr>
            </w:pPr>
          </w:p>
        </w:tc>
        <w:tc>
          <w:tcPr>
            <w:tcW w:w="4209" w:type="dxa"/>
            <w:tcBorders>
              <w:top w:val="nil"/>
              <w:left w:val="nil"/>
              <w:right w:val="nil"/>
            </w:tcBorders>
            <w:shd w:val="clear" w:color="auto" w:fill="auto"/>
            <w:noWrap/>
            <w:vAlign w:val="bottom"/>
            <w:hideMark/>
          </w:tcPr>
          <w:p w14:paraId="32C86D4D" w14:textId="77777777" w:rsidR="00753A68" w:rsidRPr="00D25A7C" w:rsidRDefault="00753A68" w:rsidP="00C47D68">
            <w:pPr>
              <w:spacing w:before="40" w:after="40" w:line="288" w:lineRule="auto"/>
              <w:rPr>
                <w:rFonts w:ascii="Arial" w:hAnsi="Arial" w:cs="Arial"/>
                <w:sz w:val="20"/>
                <w:szCs w:val="20"/>
              </w:rPr>
            </w:pPr>
            <w:r w:rsidRPr="00D25A7C">
              <w:rPr>
                <w:rFonts w:ascii="Arial" w:hAnsi="Arial" w:cs="Arial"/>
                <w:sz w:val="20"/>
                <w:szCs w:val="20"/>
              </w:rPr>
              <w:t>Electronic devices, computers and their parts</w:t>
            </w:r>
          </w:p>
        </w:tc>
        <w:tc>
          <w:tcPr>
            <w:tcW w:w="1963" w:type="dxa"/>
            <w:tcBorders>
              <w:top w:val="nil"/>
              <w:left w:val="nil"/>
              <w:right w:val="nil"/>
            </w:tcBorders>
            <w:shd w:val="clear" w:color="auto" w:fill="auto"/>
            <w:noWrap/>
            <w:vAlign w:val="bottom"/>
            <w:hideMark/>
          </w:tcPr>
          <w:p w14:paraId="4E15F0E6" w14:textId="77777777" w:rsidR="00753A68" w:rsidRPr="00D25A7C" w:rsidRDefault="00753A68" w:rsidP="00C47D68">
            <w:pPr>
              <w:spacing w:before="40" w:after="40" w:line="288" w:lineRule="auto"/>
              <w:ind w:right="458"/>
              <w:jc w:val="right"/>
              <w:rPr>
                <w:rFonts w:ascii="Arial" w:hAnsi="Arial" w:cs="Arial"/>
                <w:sz w:val="20"/>
                <w:szCs w:val="20"/>
              </w:rPr>
            </w:pPr>
            <w:r w:rsidRPr="00500E98">
              <w:rPr>
                <w:rFonts w:ascii="Arial" w:hAnsi="Arial" w:cs="Arial"/>
                <w:sz w:val="20"/>
                <w:szCs w:val="20"/>
              </w:rPr>
              <w:t>20</w:t>
            </w:r>
            <w:r>
              <w:rPr>
                <w:rFonts w:ascii="Arial" w:hAnsi="Arial" w:cs="Arial"/>
                <w:sz w:val="20"/>
                <w:szCs w:val="20"/>
              </w:rPr>
              <w:t>,</w:t>
            </w:r>
            <w:r w:rsidRPr="00500E98">
              <w:rPr>
                <w:rFonts w:ascii="Arial" w:hAnsi="Arial" w:cs="Arial"/>
                <w:sz w:val="20"/>
                <w:szCs w:val="20"/>
              </w:rPr>
              <w:t>147</w:t>
            </w:r>
          </w:p>
        </w:tc>
        <w:tc>
          <w:tcPr>
            <w:tcW w:w="2945" w:type="dxa"/>
            <w:tcBorders>
              <w:top w:val="nil"/>
              <w:left w:val="nil"/>
              <w:right w:val="nil"/>
            </w:tcBorders>
            <w:shd w:val="clear" w:color="auto" w:fill="auto"/>
            <w:noWrap/>
            <w:vAlign w:val="bottom"/>
          </w:tcPr>
          <w:p w14:paraId="3AC77DCC" w14:textId="77777777" w:rsidR="00753A68" w:rsidRPr="00D25A7C" w:rsidRDefault="00753A68" w:rsidP="00C47D68">
            <w:pPr>
              <w:spacing w:before="40" w:after="40" w:line="288" w:lineRule="auto"/>
              <w:ind w:right="1068"/>
              <w:jc w:val="right"/>
              <w:rPr>
                <w:rFonts w:ascii="Arial" w:hAnsi="Arial" w:cs="Arial"/>
                <w:sz w:val="20"/>
                <w:szCs w:val="20"/>
              </w:rPr>
            </w:pPr>
            <w:r w:rsidRPr="00500E98">
              <w:rPr>
                <w:rFonts w:ascii="Arial" w:hAnsi="Arial" w:cs="Arial"/>
                <w:sz w:val="20"/>
                <w:szCs w:val="20"/>
              </w:rPr>
              <w:t>28</w:t>
            </w:r>
            <w:r>
              <w:rPr>
                <w:rFonts w:ascii="Arial" w:hAnsi="Arial" w:cs="Arial"/>
                <w:sz w:val="20"/>
                <w:szCs w:val="20"/>
              </w:rPr>
              <w:t>.</w:t>
            </w:r>
            <w:r w:rsidRPr="00500E98">
              <w:rPr>
                <w:rFonts w:ascii="Arial" w:hAnsi="Arial" w:cs="Arial"/>
                <w:sz w:val="20"/>
                <w:szCs w:val="20"/>
              </w:rPr>
              <w:t>9</w:t>
            </w:r>
          </w:p>
        </w:tc>
      </w:tr>
      <w:tr w:rsidR="00753A68" w:rsidRPr="00D25A7C" w14:paraId="2405B3D9" w14:textId="77777777" w:rsidTr="00C47D68">
        <w:trPr>
          <w:trHeight w:val="317"/>
        </w:trPr>
        <w:tc>
          <w:tcPr>
            <w:tcW w:w="276" w:type="dxa"/>
            <w:tcBorders>
              <w:top w:val="nil"/>
              <w:left w:val="nil"/>
              <w:bottom w:val="single" w:sz="4" w:space="0" w:color="auto"/>
              <w:right w:val="nil"/>
            </w:tcBorders>
            <w:shd w:val="clear" w:color="auto" w:fill="auto"/>
            <w:noWrap/>
            <w:vAlign w:val="center"/>
            <w:hideMark/>
          </w:tcPr>
          <w:p w14:paraId="1D27DB6D" w14:textId="77777777" w:rsidR="00753A68" w:rsidRPr="00D25A7C" w:rsidRDefault="00753A68" w:rsidP="00C47D68">
            <w:pPr>
              <w:spacing w:before="40" w:after="40" w:line="288" w:lineRule="auto"/>
              <w:rPr>
                <w:rFonts w:ascii="Arial" w:hAnsi="Arial" w:cs="Arial"/>
                <w:sz w:val="20"/>
                <w:szCs w:val="20"/>
              </w:rPr>
            </w:pPr>
          </w:p>
        </w:tc>
        <w:tc>
          <w:tcPr>
            <w:tcW w:w="4209" w:type="dxa"/>
            <w:tcBorders>
              <w:top w:val="nil"/>
              <w:left w:val="nil"/>
              <w:bottom w:val="single" w:sz="4" w:space="0" w:color="auto"/>
              <w:right w:val="nil"/>
            </w:tcBorders>
            <w:shd w:val="clear" w:color="auto" w:fill="auto"/>
            <w:noWrap/>
            <w:vAlign w:val="bottom"/>
            <w:hideMark/>
          </w:tcPr>
          <w:p w14:paraId="1D19A0D8" w14:textId="77777777" w:rsidR="00753A68" w:rsidRPr="00D25A7C" w:rsidRDefault="00753A68" w:rsidP="00C47D68">
            <w:pPr>
              <w:spacing w:before="40" w:after="40" w:line="288" w:lineRule="auto"/>
              <w:rPr>
                <w:rFonts w:ascii="Arial" w:hAnsi="Arial" w:cs="Arial"/>
                <w:sz w:val="20"/>
                <w:szCs w:val="20"/>
              </w:rPr>
            </w:pPr>
            <w:r w:rsidRPr="00D25A7C">
              <w:rPr>
                <w:rFonts w:ascii="Arial" w:hAnsi="Arial" w:cs="Arial"/>
                <w:sz w:val="20"/>
                <w:szCs w:val="20"/>
              </w:rPr>
              <w:t>Machinery, instrument, accessory</w:t>
            </w:r>
          </w:p>
        </w:tc>
        <w:tc>
          <w:tcPr>
            <w:tcW w:w="1963" w:type="dxa"/>
            <w:tcBorders>
              <w:top w:val="nil"/>
              <w:left w:val="nil"/>
              <w:bottom w:val="single" w:sz="4" w:space="0" w:color="auto"/>
              <w:right w:val="nil"/>
            </w:tcBorders>
            <w:shd w:val="clear" w:color="auto" w:fill="auto"/>
            <w:noWrap/>
            <w:vAlign w:val="bottom"/>
            <w:hideMark/>
          </w:tcPr>
          <w:p w14:paraId="7B3C3371" w14:textId="77777777" w:rsidR="00753A68" w:rsidRPr="00D25A7C" w:rsidRDefault="00753A68" w:rsidP="00C47D68">
            <w:pPr>
              <w:spacing w:before="40" w:after="40" w:line="288" w:lineRule="auto"/>
              <w:ind w:right="458" w:firstLine="28"/>
              <w:jc w:val="right"/>
              <w:rPr>
                <w:rFonts w:ascii="Arial" w:hAnsi="Arial" w:cs="Arial"/>
                <w:sz w:val="20"/>
                <w:szCs w:val="20"/>
              </w:rPr>
            </w:pPr>
            <w:r w:rsidRPr="00500E98">
              <w:rPr>
                <w:rFonts w:ascii="Arial" w:hAnsi="Arial" w:cs="Arial"/>
                <w:sz w:val="20"/>
                <w:szCs w:val="20"/>
              </w:rPr>
              <w:t>7</w:t>
            </w:r>
            <w:r>
              <w:rPr>
                <w:rFonts w:ascii="Arial" w:hAnsi="Arial" w:cs="Arial"/>
                <w:sz w:val="20"/>
                <w:szCs w:val="20"/>
              </w:rPr>
              <w:t>,</w:t>
            </w:r>
            <w:r w:rsidRPr="00500E98">
              <w:rPr>
                <w:rFonts w:ascii="Arial" w:hAnsi="Arial" w:cs="Arial"/>
                <w:sz w:val="20"/>
                <w:szCs w:val="20"/>
              </w:rPr>
              <w:t>787</w:t>
            </w:r>
          </w:p>
        </w:tc>
        <w:tc>
          <w:tcPr>
            <w:tcW w:w="2945" w:type="dxa"/>
            <w:tcBorders>
              <w:top w:val="nil"/>
              <w:left w:val="nil"/>
              <w:bottom w:val="single" w:sz="4" w:space="0" w:color="auto"/>
              <w:right w:val="nil"/>
            </w:tcBorders>
            <w:shd w:val="clear" w:color="auto" w:fill="auto"/>
            <w:noWrap/>
            <w:vAlign w:val="bottom"/>
          </w:tcPr>
          <w:p w14:paraId="4F8E6000" w14:textId="77777777" w:rsidR="00753A68" w:rsidRPr="00D25A7C" w:rsidRDefault="00753A68" w:rsidP="00C47D68">
            <w:pPr>
              <w:spacing w:before="40" w:after="40" w:line="288" w:lineRule="auto"/>
              <w:ind w:right="1068"/>
              <w:jc w:val="right"/>
              <w:rPr>
                <w:rFonts w:ascii="Arial" w:hAnsi="Arial" w:cs="Arial"/>
                <w:sz w:val="20"/>
                <w:szCs w:val="20"/>
              </w:rPr>
            </w:pPr>
            <w:r w:rsidRPr="00500E98">
              <w:rPr>
                <w:rFonts w:ascii="Arial" w:hAnsi="Arial" w:cs="Arial"/>
                <w:sz w:val="20"/>
                <w:szCs w:val="20"/>
              </w:rPr>
              <w:t>18</w:t>
            </w:r>
            <w:r>
              <w:rPr>
                <w:rFonts w:ascii="Arial" w:hAnsi="Arial" w:cs="Arial"/>
                <w:sz w:val="20"/>
                <w:szCs w:val="20"/>
              </w:rPr>
              <w:t>.</w:t>
            </w:r>
            <w:r w:rsidRPr="00500E98">
              <w:rPr>
                <w:rFonts w:ascii="Arial" w:hAnsi="Arial" w:cs="Arial"/>
                <w:sz w:val="20"/>
                <w:szCs w:val="20"/>
              </w:rPr>
              <w:t>5</w:t>
            </w:r>
          </w:p>
        </w:tc>
      </w:tr>
    </w:tbl>
    <w:p w14:paraId="09D14921" w14:textId="77777777" w:rsidR="00753A68" w:rsidRPr="00D25A7C" w:rsidRDefault="00753A68" w:rsidP="00753A68">
      <w:pPr>
        <w:tabs>
          <w:tab w:val="num" w:pos="0"/>
          <w:tab w:val="left" w:pos="9475"/>
        </w:tabs>
        <w:spacing w:beforeLines="40" w:before="96" w:afterLines="40" w:after="96" w:line="264" w:lineRule="auto"/>
        <w:ind w:right="187" w:firstLine="567"/>
        <w:jc w:val="right"/>
        <w:rPr>
          <w:rFonts w:ascii="Arial" w:hAnsi="Arial" w:cs="Arial"/>
          <w:b/>
          <w:bCs/>
          <w:i/>
          <w:iCs/>
          <w:sz w:val="2"/>
          <w:szCs w:val="20"/>
          <w:lang w:val="en-US"/>
        </w:rPr>
      </w:pPr>
    </w:p>
    <w:p w14:paraId="3CEF1A6E" w14:textId="77777777" w:rsidR="00753A68" w:rsidRPr="001A31AE" w:rsidRDefault="00753A68" w:rsidP="00753A68">
      <w:pPr>
        <w:tabs>
          <w:tab w:val="left" w:pos="9475"/>
        </w:tabs>
        <w:spacing w:beforeLines="40" w:before="96" w:afterLines="40" w:after="96" w:line="259" w:lineRule="auto"/>
        <w:ind w:right="6"/>
        <w:jc w:val="both"/>
        <w:rPr>
          <w:rFonts w:eastAsia="Batang"/>
          <w:b/>
          <w:bCs/>
          <w:spacing w:val="-6"/>
        </w:rPr>
      </w:pPr>
      <w:r w:rsidRPr="00D25A7C">
        <w:rPr>
          <w:noProof/>
          <w:lang w:val="en-US"/>
        </w:rPr>
        <mc:AlternateContent>
          <mc:Choice Requires="wps">
            <w:drawing>
              <wp:anchor distT="0" distB="0" distL="114300" distR="114300" simplePos="0" relativeHeight="251662336" behindDoc="0" locked="0" layoutInCell="1" allowOverlap="1" wp14:anchorId="3C3AA7A2" wp14:editId="313DB909">
                <wp:simplePos x="0" y="0"/>
                <wp:positionH relativeFrom="column">
                  <wp:posOffset>81915</wp:posOffset>
                </wp:positionH>
                <wp:positionV relativeFrom="paragraph">
                  <wp:posOffset>33655</wp:posOffset>
                </wp:positionV>
                <wp:extent cx="3248025" cy="2794000"/>
                <wp:effectExtent l="0" t="0" r="9525" b="6350"/>
                <wp:wrapSquare wrapText="bothSides"/>
                <wp:docPr id="3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2794000"/>
                        </a:xfrm>
                        <a:prstGeom prst="rect">
                          <a:avLst/>
                        </a:prstGeom>
                        <a:solidFill>
                          <a:srgbClr val="FFFFFF"/>
                        </a:solidFill>
                        <a:ln w="9525">
                          <a:noFill/>
                          <a:miter lim="800000"/>
                          <a:headEnd/>
                          <a:tailEnd/>
                        </a:ln>
                      </wps:spPr>
                      <wps:txbx>
                        <w:txbxContent>
                          <w:p w14:paraId="37928EC8" w14:textId="77777777" w:rsidR="00753A68" w:rsidRPr="004B4D22" w:rsidRDefault="00753A68" w:rsidP="00753A68">
                            <w:pPr>
                              <w:spacing w:before="40" w:after="40" w:line="288" w:lineRule="auto"/>
                              <w:ind w:left="-284"/>
                              <w:jc w:val="center"/>
                              <w:rPr>
                                <w:rFonts w:ascii="Arial" w:hAnsi="Arial" w:cs="Arial"/>
                                <w:b/>
                                <w:bCs/>
                                <w:sz w:val="24"/>
                                <w:szCs w:val="24"/>
                              </w:rPr>
                            </w:pPr>
                            <w:r w:rsidRPr="004B4D22">
                              <w:rPr>
                                <w:rFonts w:ascii="Arial" w:hAnsi="Arial" w:cs="Arial"/>
                                <w:b/>
                                <w:bCs/>
                                <w:sz w:val="24"/>
                                <w:szCs w:val="24"/>
                              </w:rPr>
                              <w:t xml:space="preserve">Figure </w:t>
                            </w:r>
                            <w:r>
                              <w:rPr>
                                <w:rFonts w:ascii="Arial" w:hAnsi="Arial" w:cs="Arial"/>
                                <w:b/>
                                <w:bCs/>
                                <w:sz w:val="24"/>
                                <w:szCs w:val="24"/>
                              </w:rPr>
                              <w:t>13</w:t>
                            </w:r>
                            <w:r w:rsidRPr="004B4D22">
                              <w:rPr>
                                <w:rFonts w:ascii="Arial" w:hAnsi="Arial" w:cs="Arial"/>
                                <w:b/>
                                <w:bCs/>
                                <w:sz w:val="24"/>
                                <w:szCs w:val="24"/>
                              </w:rPr>
                              <w:t>. Structure of imported groups</w:t>
                            </w:r>
                          </w:p>
                          <w:p w14:paraId="0C7C6102" w14:textId="77777777" w:rsidR="00753A68" w:rsidRPr="004B4D22" w:rsidRDefault="00753A68" w:rsidP="00753A68">
                            <w:pPr>
                              <w:spacing w:before="40" w:after="40" w:line="288" w:lineRule="auto"/>
                              <w:ind w:left="-284"/>
                              <w:jc w:val="center"/>
                              <w:rPr>
                                <w:rFonts w:ascii="Arial" w:hAnsi="Arial" w:cs="Arial"/>
                                <w:b/>
                                <w:bCs/>
                                <w:sz w:val="24"/>
                                <w:szCs w:val="24"/>
                              </w:rPr>
                            </w:pPr>
                            <w:r w:rsidRPr="004B4D22">
                              <w:rPr>
                                <w:rFonts w:ascii="Arial" w:hAnsi="Arial" w:cs="Arial"/>
                                <w:b/>
                                <w:bCs/>
                                <w:sz w:val="24"/>
                                <w:szCs w:val="24"/>
                              </w:rPr>
                              <w:t xml:space="preserve">in </w:t>
                            </w:r>
                            <w:r>
                              <w:rPr>
                                <w:rFonts w:ascii="Arial" w:hAnsi="Arial" w:cs="Arial"/>
                                <w:b/>
                                <w:bCs/>
                                <w:sz w:val="24"/>
                                <w:szCs w:val="24"/>
                              </w:rPr>
                              <w:t>2 months</w:t>
                            </w:r>
                            <w:r w:rsidRPr="004B4D22">
                              <w:rPr>
                                <w:rFonts w:ascii="Arial" w:hAnsi="Arial" w:cs="Arial"/>
                                <w:b/>
                                <w:bCs/>
                                <w:sz w:val="24"/>
                                <w:szCs w:val="24"/>
                              </w:rPr>
                              <w:t xml:space="preserve"> of 202</w:t>
                            </w:r>
                            <w:r>
                              <w:rPr>
                                <w:rFonts w:ascii="Arial" w:hAnsi="Arial" w:cs="Arial"/>
                                <w:b/>
                                <w:bCs/>
                                <w:sz w:val="24"/>
                                <w:szCs w:val="24"/>
                              </w:rPr>
                              <w:t>5</w:t>
                            </w:r>
                          </w:p>
                          <w:p w14:paraId="1AA22EBE" w14:textId="77777777" w:rsidR="00753A68" w:rsidRDefault="00753A68" w:rsidP="00753A68">
                            <w:pPr>
                              <w:ind w:left="-142"/>
                              <w:jc w:val="right"/>
                              <w:rPr>
                                <w:rFonts w:ascii="Arial" w:hAnsi="Arial" w:cs="Arial"/>
                                <w:sz w:val="24"/>
                                <w:szCs w:val="24"/>
                              </w:rPr>
                            </w:pPr>
                            <w:r w:rsidRPr="004E21D9">
                              <w:rPr>
                                <w:noProof/>
                                <w:lang w:val="en-US"/>
                              </w:rPr>
                              <w:drawing>
                                <wp:inline distT="0" distB="0" distL="0" distR="0" wp14:anchorId="5AE7FE85" wp14:editId="111C29CF">
                                  <wp:extent cx="3056255" cy="2014220"/>
                                  <wp:effectExtent l="0" t="0" r="0" b="5080"/>
                                  <wp:docPr id="14029974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6255" cy="2014220"/>
                                          </a:xfrm>
                                          <a:prstGeom prst="rect">
                                            <a:avLst/>
                                          </a:prstGeom>
                                          <a:noFill/>
                                          <a:ln>
                                            <a:noFill/>
                                          </a:ln>
                                        </pic:spPr>
                                      </pic:pic>
                                    </a:graphicData>
                                  </a:graphic>
                                </wp:inline>
                              </w:drawing>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AA7A2" id="Text Box 9" o:spid="_x0000_s1027" type="#_x0000_t202" style="position:absolute;left:0;text-align:left;margin-left:6.45pt;margin-top:2.65pt;width:255.75pt;height:22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" stroked="f">
                <v:textbox>
                  <w:txbxContent>
                    <w:p w14:paraId="37928EC8" w14:textId="77777777" w:rsidR="00753A68" w:rsidRPr="004B4D22" w:rsidRDefault="00753A68" w:rsidP="00753A68">
                      <w:pPr>
                        <w:spacing w:before="40" w:after="40" w:line="288" w:lineRule="auto"/>
                        <w:ind w:left="-284"/>
                        <w:jc w:val="center"/>
                        <w:rPr>
                          <w:rFonts w:ascii="Arial" w:hAnsi="Arial" w:cs="Arial"/>
                          <w:b/>
                          <w:bCs/>
                          <w:sz w:val="24"/>
                          <w:szCs w:val="24"/>
                        </w:rPr>
                      </w:pPr>
                      <w:r w:rsidRPr="004B4D22">
                        <w:rPr>
                          <w:rFonts w:ascii="Arial" w:hAnsi="Arial" w:cs="Arial"/>
                          <w:b/>
                          <w:bCs/>
                          <w:sz w:val="24"/>
                          <w:szCs w:val="24"/>
                        </w:rPr>
                        <w:t xml:space="preserve">Figure </w:t>
                      </w:r>
                      <w:r>
                        <w:rPr>
                          <w:rFonts w:ascii="Arial" w:hAnsi="Arial" w:cs="Arial"/>
                          <w:b/>
                          <w:bCs/>
                          <w:sz w:val="24"/>
                          <w:szCs w:val="24"/>
                        </w:rPr>
                        <w:t>13</w:t>
                      </w:r>
                      <w:r w:rsidRPr="004B4D22">
                        <w:rPr>
                          <w:rFonts w:ascii="Arial" w:hAnsi="Arial" w:cs="Arial"/>
                          <w:b/>
                          <w:bCs/>
                          <w:sz w:val="24"/>
                          <w:szCs w:val="24"/>
                        </w:rPr>
                        <w:t>. Structure of imported groups</w:t>
                      </w:r>
                    </w:p>
                    <w:p w14:paraId="0C7C6102" w14:textId="77777777" w:rsidR="00753A68" w:rsidRPr="004B4D22" w:rsidRDefault="00753A68" w:rsidP="00753A68">
                      <w:pPr>
                        <w:spacing w:before="40" w:after="40" w:line="288" w:lineRule="auto"/>
                        <w:ind w:left="-284"/>
                        <w:jc w:val="center"/>
                        <w:rPr>
                          <w:rFonts w:ascii="Arial" w:hAnsi="Arial" w:cs="Arial"/>
                          <w:b/>
                          <w:bCs/>
                          <w:sz w:val="24"/>
                          <w:szCs w:val="24"/>
                        </w:rPr>
                      </w:pPr>
                      <w:r w:rsidRPr="004B4D22">
                        <w:rPr>
                          <w:rFonts w:ascii="Arial" w:hAnsi="Arial" w:cs="Arial"/>
                          <w:b/>
                          <w:bCs/>
                          <w:sz w:val="24"/>
                          <w:szCs w:val="24"/>
                        </w:rPr>
                        <w:t xml:space="preserve">in </w:t>
                      </w:r>
                      <w:r>
                        <w:rPr>
                          <w:rFonts w:ascii="Arial" w:hAnsi="Arial" w:cs="Arial"/>
                          <w:b/>
                          <w:bCs/>
                          <w:sz w:val="24"/>
                          <w:szCs w:val="24"/>
                        </w:rPr>
                        <w:t>2 months</w:t>
                      </w:r>
                      <w:r w:rsidRPr="004B4D22">
                        <w:rPr>
                          <w:rFonts w:ascii="Arial" w:hAnsi="Arial" w:cs="Arial"/>
                          <w:b/>
                          <w:bCs/>
                          <w:sz w:val="24"/>
                          <w:szCs w:val="24"/>
                        </w:rPr>
                        <w:t xml:space="preserve"> of 202</w:t>
                      </w:r>
                      <w:r>
                        <w:rPr>
                          <w:rFonts w:ascii="Arial" w:hAnsi="Arial" w:cs="Arial"/>
                          <w:b/>
                          <w:bCs/>
                          <w:sz w:val="24"/>
                          <w:szCs w:val="24"/>
                        </w:rPr>
                        <w:t>5</w:t>
                      </w:r>
                    </w:p>
                    <w:p w14:paraId="1AA22EBE" w14:textId="77777777" w:rsidR="00753A68" w:rsidRDefault="00753A68" w:rsidP="00753A68">
                      <w:pPr>
                        <w:ind w:left="-142"/>
                        <w:jc w:val="right"/>
                        <w:rPr>
                          <w:rFonts w:ascii="Arial" w:hAnsi="Arial" w:cs="Arial"/>
                          <w:sz w:val="24"/>
                          <w:szCs w:val="24"/>
                        </w:rPr>
                      </w:pPr>
                      <w:r w:rsidRPr="004E21D9">
                        <w:rPr>
                          <w:noProof/>
                          <w:lang w:val="en-US"/>
                        </w:rPr>
                        <w:drawing>
                          <wp:inline distT="0" distB="0" distL="0" distR="0" wp14:anchorId="5AE7FE85" wp14:editId="111C29CF">
                            <wp:extent cx="3056255" cy="2014220"/>
                            <wp:effectExtent l="0" t="0" r="0" b="5080"/>
                            <wp:docPr id="14029974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6255" cy="2014220"/>
                                    </a:xfrm>
                                    <a:prstGeom prst="rect">
                                      <a:avLst/>
                                    </a:prstGeom>
                                    <a:noFill/>
                                    <a:ln>
                                      <a:noFill/>
                                    </a:ln>
                                  </pic:spPr>
                                </pic:pic>
                              </a:graphicData>
                            </a:graphic>
                          </wp:inline>
                        </w:drawing>
                      </w:r>
                    </w:p>
                  </w:txbxContent>
                </v:textbox>
                <w10:wrap type="square"/>
              </v:shape>
            </w:pict>
          </mc:Fallback>
        </mc:AlternateContent>
      </w:r>
      <w:r w:rsidRPr="00D25A7C">
        <w:rPr>
          <w:rFonts w:eastAsia="Batang"/>
          <w:i/>
          <w:iCs/>
          <w:noProof/>
          <w:spacing w:val="-6"/>
          <w:lang w:val="en-US"/>
        </w:rPr>
        <w:t xml:space="preserve">Regarding the structure of imported groups </w:t>
      </w:r>
      <w:r w:rsidRPr="00D25A7C">
        <w:rPr>
          <w:rFonts w:eastAsia="Batang"/>
          <w:bCs/>
          <w:i/>
          <w:iCs/>
          <w:spacing w:val="-6"/>
          <w:lang w:val="en-US"/>
        </w:rPr>
        <w:t xml:space="preserve">in </w:t>
      </w:r>
      <w:r>
        <w:rPr>
          <w:rFonts w:eastAsia="Batang"/>
          <w:bCs/>
          <w:i/>
          <w:iCs/>
          <w:spacing w:val="-6"/>
          <w:lang w:val="en-US"/>
        </w:rPr>
        <w:t>two months of 2025</w:t>
      </w:r>
      <w:r w:rsidRPr="00D25A7C">
        <w:rPr>
          <w:rFonts w:eastAsia="Batang"/>
          <w:bCs/>
          <w:i/>
          <w:iCs/>
          <w:spacing w:val="-6"/>
          <w:lang w:val="en-US"/>
        </w:rPr>
        <w:t xml:space="preserve">, </w:t>
      </w:r>
      <w:r w:rsidRPr="00D25A7C">
        <w:rPr>
          <w:rFonts w:eastAsia="Batang"/>
          <w:bCs/>
          <w:spacing w:val="-6"/>
          <w:lang w:val="en-US"/>
        </w:rPr>
        <w:t xml:space="preserve">the group of production materials was estimated at </w:t>
      </w:r>
      <w:r>
        <w:rPr>
          <w:rFonts w:eastAsia="Batang"/>
          <w:bCs/>
          <w:spacing w:val="-6"/>
          <w:lang w:val="en-US"/>
        </w:rPr>
        <w:t>58.83</w:t>
      </w:r>
      <w:r w:rsidRPr="00D25A7C">
        <w:rPr>
          <w:rFonts w:eastAsia="Batang"/>
          <w:bCs/>
          <w:spacing w:val="-6"/>
          <w:lang w:val="en-US"/>
        </w:rPr>
        <w:t xml:space="preserve"> billion USD, accounted for 9</w:t>
      </w:r>
      <w:r>
        <w:rPr>
          <w:rFonts w:eastAsia="Batang"/>
          <w:bCs/>
          <w:spacing w:val="-6"/>
          <w:lang w:val="en-US"/>
        </w:rPr>
        <w:t>3.7</w:t>
      </w:r>
      <w:r w:rsidRPr="00D25A7C">
        <w:rPr>
          <w:rFonts w:eastAsia="Batang"/>
          <w:bCs/>
          <w:spacing w:val="-6"/>
          <w:lang w:val="en-US"/>
        </w:rPr>
        <w:t xml:space="preserve">%, in which the group of machinery, equipment, tools spare parts accounted for </w:t>
      </w:r>
      <w:r>
        <w:rPr>
          <w:rFonts w:eastAsia="Batang"/>
          <w:bCs/>
          <w:spacing w:val="-6"/>
          <w:lang w:val="en-US"/>
        </w:rPr>
        <w:t>50.8</w:t>
      </w:r>
      <w:r w:rsidRPr="00D25A7C">
        <w:rPr>
          <w:rFonts w:eastAsia="Batang"/>
          <w:bCs/>
          <w:spacing w:val="-6"/>
          <w:lang w:val="en-US"/>
        </w:rPr>
        <w:t>%; raw materials, fuel and materials accounted for 4</w:t>
      </w:r>
      <w:r>
        <w:rPr>
          <w:rFonts w:eastAsia="Batang"/>
          <w:bCs/>
          <w:spacing w:val="-6"/>
          <w:lang w:val="en-US"/>
        </w:rPr>
        <w:t>2.9</w:t>
      </w:r>
      <w:r w:rsidRPr="00D25A7C">
        <w:rPr>
          <w:rFonts w:eastAsia="Batang"/>
          <w:bCs/>
          <w:spacing w:val="-6"/>
          <w:lang w:val="en-US"/>
        </w:rPr>
        <w:t xml:space="preserve">%. The group of consumer products was estimated at </w:t>
      </w:r>
      <w:r>
        <w:rPr>
          <w:rFonts w:eastAsia="Batang"/>
          <w:bCs/>
          <w:spacing w:val="-6"/>
          <w:lang w:val="en-US"/>
        </w:rPr>
        <w:t>3.97</w:t>
      </w:r>
      <w:r w:rsidRPr="00D25A7C">
        <w:rPr>
          <w:rFonts w:eastAsia="Batang"/>
          <w:bCs/>
          <w:spacing w:val="-6"/>
          <w:lang w:val="en-US"/>
        </w:rPr>
        <w:t xml:space="preserve"> billion USD, accounted for 6</w:t>
      </w:r>
      <w:r>
        <w:rPr>
          <w:rFonts w:eastAsia="Batang"/>
          <w:bCs/>
          <w:spacing w:val="-6"/>
          <w:lang w:val="en-US"/>
        </w:rPr>
        <w:t>.3</w:t>
      </w:r>
      <w:r w:rsidRPr="00D25A7C">
        <w:rPr>
          <w:rFonts w:eastAsia="Batang"/>
          <w:bCs/>
          <w:spacing w:val="-6"/>
          <w:lang w:val="en-US"/>
        </w:rPr>
        <w:t>%</w:t>
      </w:r>
      <w:r>
        <w:rPr>
          <w:rFonts w:eastAsia="Batang"/>
          <w:bCs/>
          <w:spacing w:val="-6"/>
          <w:lang w:val="en-US"/>
        </w:rPr>
        <w:t>.</w:t>
      </w:r>
    </w:p>
    <w:p w14:paraId="3BD5C494" w14:textId="77777777" w:rsidR="00753A68" w:rsidRPr="00C92367" w:rsidRDefault="00753A68" w:rsidP="00753A68">
      <w:pPr>
        <w:tabs>
          <w:tab w:val="num" w:pos="0"/>
          <w:tab w:val="left" w:pos="9475"/>
        </w:tabs>
        <w:spacing w:beforeLines="100" w:before="240" w:afterLines="100" w:after="240" w:line="264" w:lineRule="auto"/>
        <w:ind w:right="6" w:firstLine="567"/>
        <w:jc w:val="both"/>
        <w:rPr>
          <w:i/>
          <w:spacing w:val="-2"/>
          <w:lang w:val="en-US"/>
        </w:rPr>
      </w:pPr>
      <w:r w:rsidRPr="00C92367">
        <w:rPr>
          <w:bCs/>
          <w:i/>
          <w:spacing w:val="-2"/>
        </w:rPr>
        <w:t xml:space="preserve">Regarding the export and import market of goods in </w:t>
      </w:r>
      <w:r>
        <w:rPr>
          <w:bCs/>
          <w:i/>
          <w:spacing w:val="-2"/>
        </w:rPr>
        <w:t>two months of 2025</w:t>
      </w:r>
      <w:r w:rsidRPr="00C92367">
        <w:rPr>
          <w:bCs/>
          <w:i/>
          <w:spacing w:val="-2"/>
        </w:rPr>
        <w:t xml:space="preserve">, </w:t>
      </w:r>
      <w:r w:rsidRPr="00C92367">
        <w:rPr>
          <w:bCs/>
          <w:iCs/>
          <w:spacing w:val="-2"/>
        </w:rPr>
        <w:t xml:space="preserve">the United States was the Viet Nam's largest export market with a turnover of </w:t>
      </w:r>
      <w:r>
        <w:rPr>
          <w:bCs/>
          <w:iCs/>
          <w:spacing w:val="-2"/>
        </w:rPr>
        <w:t>19.6</w:t>
      </w:r>
      <w:r w:rsidRPr="00C92367">
        <w:rPr>
          <w:bCs/>
          <w:iCs/>
          <w:spacing w:val="-2"/>
        </w:rPr>
        <w:t xml:space="preserve"> billion USD.</w:t>
      </w:r>
      <w:r w:rsidRPr="00C92367">
        <w:rPr>
          <w:bCs/>
          <w:iCs/>
          <w:spacing w:val="-2"/>
          <w:lang w:val="en-US"/>
        </w:rPr>
        <w:t xml:space="preserve"> China remained the largest import market of Viet Nam with a turnover of </w:t>
      </w:r>
      <w:r>
        <w:rPr>
          <w:bCs/>
          <w:iCs/>
          <w:spacing w:val="-2"/>
          <w:lang w:val="en-US"/>
        </w:rPr>
        <w:t>23.3</w:t>
      </w:r>
      <w:r w:rsidRPr="00C92367">
        <w:rPr>
          <w:bCs/>
          <w:iCs/>
          <w:spacing w:val="-2"/>
          <w:lang w:val="en-US"/>
        </w:rPr>
        <w:t xml:space="preserve"> billion USD. </w:t>
      </w:r>
      <w:r w:rsidRPr="00C92367">
        <w:rPr>
          <w:bCs/>
          <w:iCs/>
          <w:spacing w:val="-2"/>
        </w:rPr>
        <w:t xml:space="preserve">In </w:t>
      </w:r>
      <w:r>
        <w:rPr>
          <w:bCs/>
          <w:iCs/>
          <w:spacing w:val="-2"/>
        </w:rPr>
        <w:t>two months of 2025</w:t>
      </w:r>
      <w:r w:rsidRPr="00C92367">
        <w:rPr>
          <w:bCs/>
          <w:iCs/>
          <w:spacing w:val="-2"/>
        </w:rPr>
        <w:t xml:space="preserve">, the trade surplus to the United States reached </w:t>
      </w:r>
      <w:r>
        <w:rPr>
          <w:bCs/>
          <w:iCs/>
          <w:spacing w:val="-2"/>
        </w:rPr>
        <w:t>17.0</w:t>
      </w:r>
      <w:r w:rsidRPr="00C92367">
        <w:rPr>
          <w:bCs/>
          <w:iCs/>
          <w:spacing w:val="-2"/>
        </w:rPr>
        <w:t xml:space="preserve"> billion USD, up </w:t>
      </w:r>
      <w:r>
        <w:rPr>
          <w:bCs/>
          <w:iCs/>
          <w:spacing w:val="-2"/>
        </w:rPr>
        <w:t>16.3</w:t>
      </w:r>
      <w:r w:rsidRPr="00C92367">
        <w:rPr>
          <w:bCs/>
          <w:iCs/>
          <w:spacing w:val="-2"/>
        </w:rPr>
        <w:t xml:space="preserve">% over the same period last year; the trade surplus to the EU </w:t>
      </w:r>
      <w:r>
        <w:rPr>
          <w:bCs/>
          <w:iCs/>
          <w:spacing w:val="-2"/>
        </w:rPr>
        <w:t>6.4</w:t>
      </w:r>
      <w:r w:rsidRPr="00C92367">
        <w:rPr>
          <w:bCs/>
          <w:iCs/>
          <w:spacing w:val="-2"/>
        </w:rPr>
        <w:t xml:space="preserve"> billion USD, up </w:t>
      </w:r>
      <w:r>
        <w:rPr>
          <w:bCs/>
          <w:iCs/>
          <w:spacing w:val="-2"/>
        </w:rPr>
        <w:t>19.2</w:t>
      </w:r>
      <w:r w:rsidRPr="00C92367">
        <w:rPr>
          <w:bCs/>
          <w:iCs/>
          <w:spacing w:val="-2"/>
        </w:rPr>
        <w:t xml:space="preserve">%; the trade surplus to Japan was </w:t>
      </w:r>
      <w:r>
        <w:rPr>
          <w:bCs/>
          <w:iCs/>
          <w:spacing w:val="-2"/>
        </w:rPr>
        <w:t>0.5</w:t>
      </w:r>
      <w:r w:rsidRPr="00C92367">
        <w:rPr>
          <w:bCs/>
          <w:iCs/>
          <w:spacing w:val="-2"/>
        </w:rPr>
        <w:t xml:space="preserve"> billion USD, </w:t>
      </w:r>
      <w:r w:rsidRPr="007976F8">
        <w:rPr>
          <w:bCs/>
          <w:iCs/>
          <w:spacing w:val="-2"/>
        </w:rPr>
        <w:t>nearly 10 times higher than the first 2 months of 2024</w:t>
      </w:r>
      <w:r w:rsidRPr="00C92367">
        <w:rPr>
          <w:bCs/>
          <w:iCs/>
          <w:spacing w:val="-2"/>
        </w:rPr>
        <w:t xml:space="preserve">; the trade deficit from China was </w:t>
      </w:r>
      <w:r>
        <w:rPr>
          <w:bCs/>
          <w:iCs/>
          <w:spacing w:val="-2"/>
        </w:rPr>
        <w:t>15.4</w:t>
      </w:r>
      <w:r w:rsidRPr="00C92367">
        <w:rPr>
          <w:bCs/>
          <w:iCs/>
          <w:spacing w:val="-2"/>
        </w:rPr>
        <w:t xml:space="preserve"> billion USD, went up </w:t>
      </w:r>
      <w:r>
        <w:rPr>
          <w:bCs/>
          <w:iCs/>
          <w:spacing w:val="-2"/>
        </w:rPr>
        <w:t>36.9</w:t>
      </w:r>
      <w:r w:rsidRPr="00C92367">
        <w:rPr>
          <w:bCs/>
          <w:iCs/>
          <w:spacing w:val="-2"/>
        </w:rPr>
        <w:t xml:space="preserve">%; the trade deficit from Korea was </w:t>
      </w:r>
      <w:r>
        <w:rPr>
          <w:bCs/>
          <w:iCs/>
          <w:spacing w:val="-2"/>
        </w:rPr>
        <w:t>4.6</w:t>
      </w:r>
      <w:r w:rsidRPr="00C92367">
        <w:rPr>
          <w:bCs/>
          <w:iCs/>
          <w:spacing w:val="-2"/>
        </w:rPr>
        <w:t xml:space="preserve"> billion USD, went up </w:t>
      </w:r>
      <w:r>
        <w:rPr>
          <w:bCs/>
          <w:iCs/>
          <w:spacing w:val="-2"/>
        </w:rPr>
        <w:t>20.6</w:t>
      </w:r>
      <w:r w:rsidRPr="00C92367">
        <w:rPr>
          <w:bCs/>
          <w:iCs/>
          <w:spacing w:val="-2"/>
        </w:rPr>
        <w:t xml:space="preserve">%; the trade deficit from ASEAN was </w:t>
      </w:r>
      <w:r>
        <w:rPr>
          <w:bCs/>
          <w:iCs/>
          <w:spacing w:val="-2"/>
        </w:rPr>
        <w:t>2.1</w:t>
      </w:r>
      <w:r w:rsidRPr="00C92367">
        <w:rPr>
          <w:bCs/>
          <w:iCs/>
          <w:spacing w:val="-2"/>
        </w:rPr>
        <w:t xml:space="preserve"> billion USD, increased by </w:t>
      </w:r>
      <w:r>
        <w:rPr>
          <w:bCs/>
          <w:iCs/>
          <w:spacing w:val="-2"/>
        </w:rPr>
        <w:t>116.8</w:t>
      </w:r>
      <w:r w:rsidRPr="00C92367">
        <w:rPr>
          <w:bCs/>
          <w:iCs/>
          <w:spacing w:val="-2"/>
        </w:rPr>
        <w:t>%.</w:t>
      </w:r>
    </w:p>
    <w:p w14:paraId="12E33AB5" w14:textId="77777777" w:rsidR="00753A68" w:rsidRDefault="00753A68" w:rsidP="00753A68">
      <w:pPr>
        <w:tabs>
          <w:tab w:val="num" w:pos="0"/>
          <w:tab w:val="left" w:pos="9475"/>
        </w:tabs>
        <w:spacing w:beforeLines="40" w:before="96" w:afterLines="40" w:after="96" w:line="264" w:lineRule="auto"/>
        <w:ind w:right="6" w:firstLine="567"/>
        <w:jc w:val="center"/>
        <w:rPr>
          <w:rFonts w:ascii="Arial" w:hAnsi="Arial" w:cs="Arial"/>
          <w:b/>
          <w:iCs/>
          <w:sz w:val="24"/>
          <w:szCs w:val="24"/>
        </w:rPr>
      </w:pPr>
    </w:p>
    <w:p w14:paraId="324FFC89" w14:textId="77777777" w:rsidR="00753A68" w:rsidRPr="00D25A7C" w:rsidRDefault="00753A68" w:rsidP="00753A68">
      <w:pPr>
        <w:tabs>
          <w:tab w:val="num" w:pos="0"/>
          <w:tab w:val="left" w:pos="9475"/>
        </w:tabs>
        <w:spacing w:beforeLines="40" w:before="96" w:afterLines="40" w:after="96" w:line="264" w:lineRule="auto"/>
        <w:ind w:right="6"/>
        <w:jc w:val="center"/>
        <w:rPr>
          <w:rFonts w:ascii="Arial" w:hAnsi="Arial" w:cs="Arial"/>
          <w:b/>
          <w:iCs/>
          <w:sz w:val="24"/>
          <w:szCs w:val="24"/>
        </w:rPr>
      </w:pPr>
      <w:r w:rsidRPr="00D25A7C">
        <w:rPr>
          <w:rFonts w:ascii="Arial" w:hAnsi="Arial" w:cs="Arial"/>
          <w:b/>
          <w:iCs/>
          <w:sz w:val="24"/>
          <w:szCs w:val="24"/>
        </w:rPr>
        <w:t>Figure 1</w:t>
      </w:r>
      <w:r>
        <w:rPr>
          <w:rFonts w:ascii="Arial" w:hAnsi="Arial" w:cs="Arial"/>
          <w:b/>
          <w:iCs/>
          <w:sz w:val="24"/>
          <w:szCs w:val="24"/>
        </w:rPr>
        <w:t>4</w:t>
      </w:r>
      <w:r w:rsidRPr="00D25A7C">
        <w:rPr>
          <w:rFonts w:ascii="Arial" w:hAnsi="Arial" w:cs="Arial"/>
          <w:b/>
          <w:iCs/>
          <w:sz w:val="24"/>
          <w:szCs w:val="24"/>
        </w:rPr>
        <w:t xml:space="preserve">. Major commodity import and export markets in </w:t>
      </w:r>
      <w:r>
        <w:rPr>
          <w:rFonts w:ascii="Arial" w:hAnsi="Arial" w:cs="Arial"/>
          <w:b/>
          <w:iCs/>
          <w:sz w:val="24"/>
          <w:szCs w:val="24"/>
        </w:rPr>
        <w:t>2 months of 2025</w:t>
      </w:r>
    </w:p>
    <w:tbl>
      <w:tblPr>
        <w:tblStyle w:val="TableGrid2"/>
        <w:tblW w:w="92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48"/>
        <w:gridCol w:w="604"/>
        <w:gridCol w:w="2212"/>
        <w:gridCol w:w="2770"/>
        <w:gridCol w:w="1413"/>
        <w:gridCol w:w="523"/>
      </w:tblGrid>
      <w:tr w:rsidR="00753A68" w:rsidRPr="00D25A7C" w14:paraId="72293CCF" w14:textId="77777777" w:rsidTr="00C47D68">
        <w:trPr>
          <w:trHeight w:val="3989"/>
          <w:jc w:val="center"/>
        </w:trPr>
        <w:tc>
          <w:tcPr>
            <w:tcW w:w="4564" w:type="dxa"/>
            <w:gridSpan w:val="3"/>
            <w:hideMark/>
          </w:tcPr>
          <w:p w14:paraId="4197D1E3" w14:textId="77777777" w:rsidR="00753A68" w:rsidRPr="00D25A7C" w:rsidRDefault="00753A68" w:rsidP="00C47D68">
            <w:pPr>
              <w:tabs>
                <w:tab w:val="num" w:pos="0"/>
                <w:tab w:val="left" w:pos="9475"/>
              </w:tabs>
              <w:spacing w:beforeLines="40" w:before="96" w:afterLines="40" w:after="96" w:line="264" w:lineRule="auto"/>
              <w:ind w:right="-118"/>
              <w:jc w:val="both"/>
              <w:rPr>
                <w:iCs/>
              </w:rPr>
            </w:pPr>
            <w:r>
              <w:rPr>
                <w:noProof/>
                <w:lang w:val="en-US"/>
              </w:rPr>
              <w:lastRenderedPageBreak/>
              <w:drawing>
                <wp:inline distT="0" distB="0" distL="0" distR="0" wp14:anchorId="27F0572D" wp14:editId="4A4D2912">
                  <wp:extent cx="2813050" cy="2312670"/>
                  <wp:effectExtent l="0" t="0" r="6350" b="11430"/>
                  <wp:docPr id="1551233944" name="Chart 1">
                    <a:extLst xmlns:a="http://schemas.openxmlformats.org/drawingml/2006/main">
                      <a:ext uri="{FF2B5EF4-FFF2-40B4-BE49-F238E27FC236}">
                        <a16:creationId xmlns:a16="http://schemas.microsoft.com/office/drawing/2014/main" id="{44D50716-56FF-4985-B386-1B9125899A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706" w:type="dxa"/>
            <w:gridSpan w:val="3"/>
            <w:hideMark/>
          </w:tcPr>
          <w:p w14:paraId="785BBB31" w14:textId="77777777" w:rsidR="00753A68" w:rsidRPr="00D25A7C" w:rsidRDefault="00753A68" w:rsidP="00C47D68">
            <w:pPr>
              <w:tabs>
                <w:tab w:val="num" w:pos="-134"/>
                <w:tab w:val="left" w:pos="9475"/>
              </w:tabs>
              <w:spacing w:beforeLines="40" w:before="96" w:afterLines="40" w:after="96" w:line="264" w:lineRule="auto"/>
              <w:ind w:right="6" w:hanging="134"/>
              <w:jc w:val="both"/>
              <w:rPr>
                <w:iCs/>
              </w:rPr>
            </w:pPr>
            <w:r>
              <w:rPr>
                <w:noProof/>
                <w:lang w:val="en-US"/>
              </w:rPr>
              <w:drawing>
                <wp:inline distT="0" distB="0" distL="0" distR="0" wp14:anchorId="0D2D7B92" wp14:editId="24EA5653">
                  <wp:extent cx="2851150" cy="2312670"/>
                  <wp:effectExtent l="0" t="0" r="6350" b="11430"/>
                  <wp:docPr id="1479654800" name="Chart 1">
                    <a:extLst xmlns:a="http://schemas.openxmlformats.org/drawingml/2006/main">
                      <a:ext uri="{FF2B5EF4-FFF2-40B4-BE49-F238E27FC236}">
                        <a16:creationId xmlns:a16="http://schemas.microsoft.com/office/drawing/2014/main" id="{6679D1D4-83B8-4932-992B-50028A3F58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753A68" w:rsidRPr="00D25A7C" w14:paraId="7711CC9C" w14:textId="77777777" w:rsidTr="00C47D68">
        <w:trPr>
          <w:gridAfter w:val="1"/>
          <w:wAfter w:w="523" w:type="dxa"/>
          <w:trHeight w:val="160"/>
          <w:jc w:val="center"/>
        </w:trPr>
        <w:tc>
          <w:tcPr>
            <w:tcW w:w="1748" w:type="dxa"/>
          </w:tcPr>
          <w:p w14:paraId="330ED4B3" w14:textId="77777777" w:rsidR="00753A68" w:rsidRPr="00D25A7C" w:rsidRDefault="00753A68" w:rsidP="00C47D68">
            <w:pPr>
              <w:spacing w:beforeLines="40" w:before="96" w:afterLines="40" w:after="96" w:line="264" w:lineRule="auto"/>
              <w:ind w:firstLine="567"/>
              <w:jc w:val="both"/>
              <w:rPr>
                <w:b/>
                <w:bCs/>
                <w:i/>
                <w:iCs/>
              </w:rPr>
            </w:pPr>
          </w:p>
        </w:tc>
        <w:tc>
          <w:tcPr>
            <w:tcW w:w="604" w:type="dxa"/>
          </w:tcPr>
          <w:p w14:paraId="5B02A879" w14:textId="77777777" w:rsidR="00753A68" w:rsidRPr="00D25A7C" w:rsidRDefault="00753A68" w:rsidP="00C47D68">
            <w:pPr>
              <w:spacing w:beforeLines="40" w:before="96" w:afterLines="40" w:after="96" w:line="264" w:lineRule="auto"/>
              <w:ind w:firstLine="567"/>
              <w:jc w:val="both"/>
              <w:rPr>
                <w:b/>
                <w:bCs/>
                <w:i/>
                <w:iCs/>
                <w:color w:val="FF0000"/>
              </w:rPr>
            </w:pPr>
          </w:p>
        </w:tc>
        <w:tc>
          <w:tcPr>
            <w:tcW w:w="2212" w:type="dxa"/>
            <w:hideMark/>
          </w:tcPr>
          <w:p w14:paraId="100614CF" w14:textId="77777777" w:rsidR="00753A68" w:rsidRPr="00D25A7C" w:rsidRDefault="00753A68" w:rsidP="00C47D68">
            <w:pPr>
              <w:spacing w:beforeLines="40" w:before="96" w:afterLines="40" w:after="96" w:line="264" w:lineRule="auto"/>
              <w:ind w:firstLine="567"/>
              <w:jc w:val="both"/>
              <w:rPr>
                <w:b/>
                <w:bCs/>
                <w:i/>
                <w:iCs/>
              </w:rPr>
            </w:pPr>
            <w:r w:rsidRPr="00D25A7C">
              <w:rPr>
                <w:noProof/>
                <w:lang w:val="en-US"/>
              </w:rPr>
              <mc:AlternateContent>
                <mc:Choice Requires="wps">
                  <w:drawing>
                    <wp:anchor distT="0" distB="0" distL="114300" distR="114300" simplePos="0" relativeHeight="251660288" behindDoc="0" locked="0" layoutInCell="1" allowOverlap="1" wp14:anchorId="4CFE702A" wp14:editId="5821D612">
                      <wp:simplePos x="0" y="0"/>
                      <wp:positionH relativeFrom="column">
                        <wp:posOffset>98425</wp:posOffset>
                      </wp:positionH>
                      <wp:positionV relativeFrom="paragraph">
                        <wp:posOffset>36195</wp:posOffset>
                      </wp:positionV>
                      <wp:extent cx="125730" cy="90170"/>
                      <wp:effectExtent l="0" t="0" r="0" b="0"/>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C00000"/>
                              </a:solidFill>
                              <a:ln w="12700" cap="flat" cmpd="sng" algn="ctr">
                                <a:no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3F4F8" id="Rectangle 7" o:spid="_x0000_s1026" style="position:absolute;margin-left:7.75pt;margin-top:2.85pt;width:9.9pt;height: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" fillcolor="#c00000" stroked="f" strokeweight="1pt">
                      <v:path arrowok="t"/>
                    </v:rect>
                  </w:pict>
                </mc:Fallback>
              </mc:AlternateContent>
            </w:r>
            <w:r w:rsidRPr="00D25A7C">
              <w:rPr>
                <w:rFonts w:ascii="Arial" w:hAnsi="Arial" w:cs="Arial"/>
                <w:b/>
                <w:bCs/>
                <w:iCs/>
                <w:sz w:val="16"/>
                <w:szCs w:val="16"/>
              </w:rPr>
              <w:t>Export of goods</w:t>
            </w:r>
          </w:p>
        </w:tc>
        <w:tc>
          <w:tcPr>
            <w:tcW w:w="2770" w:type="dxa"/>
            <w:hideMark/>
          </w:tcPr>
          <w:p w14:paraId="5458FD6C" w14:textId="77777777" w:rsidR="00753A68" w:rsidRPr="00D25A7C" w:rsidRDefault="00753A68" w:rsidP="00C47D68">
            <w:pPr>
              <w:spacing w:beforeLines="40" w:before="96" w:afterLines="40" w:after="96" w:line="264" w:lineRule="auto"/>
              <w:ind w:firstLine="567"/>
              <w:jc w:val="both"/>
              <w:rPr>
                <w:b/>
                <w:bCs/>
                <w:i/>
                <w:iCs/>
              </w:rPr>
            </w:pPr>
            <w:r w:rsidRPr="00D25A7C">
              <w:rPr>
                <w:noProof/>
                <w:lang w:val="en-US"/>
              </w:rPr>
              <mc:AlternateContent>
                <mc:Choice Requires="wps">
                  <w:drawing>
                    <wp:anchor distT="0" distB="0" distL="114300" distR="114300" simplePos="0" relativeHeight="251661312" behindDoc="0" locked="0" layoutInCell="1" allowOverlap="1" wp14:anchorId="251E5013" wp14:editId="16F2B316">
                      <wp:simplePos x="0" y="0"/>
                      <wp:positionH relativeFrom="column">
                        <wp:posOffset>109855</wp:posOffset>
                      </wp:positionH>
                      <wp:positionV relativeFrom="paragraph">
                        <wp:posOffset>36195</wp:posOffset>
                      </wp:positionV>
                      <wp:extent cx="125730" cy="90170"/>
                      <wp:effectExtent l="0" t="0" r="26670" b="24130"/>
                      <wp:wrapNone/>
                      <wp:docPr id="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 cy="90170"/>
                              </a:xfrm>
                              <a:prstGeom prst="rect">
                                <a:avLst/>
                              </a:prstGeom>
                              <a:solidFill>
                                <a:srgbClr val="FFFF00"/>
                              </a:solidFill>
                              <a:ln w="6350" cap="flat" cmpd="sng" algn="ctr">
                                <a:solidFill>
                                  <a:srgbClr val="E7E6E6">
                                    <a:lumMod val="25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CD947" id="Rectangle 6" o:spid="_x0000_s1026" style="position:absolute;margin-left:8.65pt;margin-top:2.85pt;width:9.9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" fillcolor="yellow" strokecolor="#3b3838" strokeweight=".5pt">
                      <v:path arrowok="t"/>
                    </v:rect>
                  </w:pict>
                </mc:Fallback>
              </mc:AlternateContent>
            </w:r>
            <w:r w:rsidRPr="00D25A7C">
              <w:rPr>
                <w:rFonts w:ascii="Arial" w:hAnsi="Arial" w:cs="Arial"/>
                <w:b/>
                <w:bCs/>
                <w:iCs/>
                <w:sz w:val="16"/>
                <w:szCs w:val="16"/>
              </w:rPr>
              <w:t>Import of goods</w:t>
            </w:r>
          </w:p>
        </w:tc>
        <w:tc>
          <w:tcPr>
            <w:tcW w:w="1413" w:type="dxa"/>
          </w:tcPr>
          <w:p w14:paraId="74FF0939" w14:textId="77777777" w:rsidR="00753A68" w:rsidRPr="00D25A7C" w:rsidRDefault="00753A68" w:rsidP="00C47D68">
            <w:pPr>
              <w:spacing w:beforeLines="40" w:before="96" w:afterLines="40" w:after="96" w:line="264" w:lineRule="auto"/>
              <w:ind w:firstLine="567"/>
              <w:jc w:val="both"/>
              <w:rPr>
                <w:b/>
                <w:bCs/>
                <w:i/>
                <w:iCs/>
              </w:rPr>
            </w:pPr>
          </w:p>
        </w:tc>
      </w:tr>
    </w:tbl>
    <w:p w14:paraId="00E37516" w14:textId="77777777" w:rsidR="00753A68" w:rsidRPr="00D25A7C" w:rsidRDefault="00753A68" w:rsidP="00753A68">
      <w:pPr>
        <w:spacing w:beforeLines="40" w:before="96" w:afterLines="40" w:after="96" w:line="264" w:lineRule="auto"/>
        <w:ind w:firstLine="567"/>
        <w:jc w:val="both"/>
        <w:rPr>
          <w:iCs/>
        </w:rPr>
      </w:pPr>
      <w:r w:rsidRPr="000A1D22">
        <w:rPr>
          <w:i/>
          <w:lang w:val="en-US"/>
        </w:rPr>
        <w:t>According to preliminary data</w:t>
      </w:r>
      <w:r>
        <w:rPr>
          <w:i/>
          <w:lang w:val="en-US"/>
        </w:rPr>
        <w:t>,</w:t>
      </w:r>
      <w:r w:rsidRPr="000A1D22">
        <w:rPr>
          <w:i/>
          <w:lang w:val="en-US"/>
        </w:rPr>
        <w:t xml:space="preserve"> </w:t>
      </w:r>
      <w:r w:rsidRPr="000A1D22">
        <w:rPr>
          <w:iCs/>
          <w:lang w:val="en-US"/>
        </w:rPr>
        <w:t xml:space="preserve">the trade </w:t>
      </w:r>
      <w:r>
        <w:rPr>
          <w:iCs/>
        </w:rPr>
        <w:t>surplus</w:t>
      </w:r>
      <w:r w:rsidRPr="00D25A7C">
        <w:rPr>
          <w:iCs/>
        </w:rPr>
        <w:t xml:space="preserve"> </w:t>
      </w:r>
      <w:r w:rsidRPr="000A1D22">
        <w:rPr>
          <w:iCs/>
          <w:lang w:val="en-US"/>
        </w:rPr>
        <w:t xml:space="preserve">in </w:t>
      </w:r>
      <w:r>
        <w:rPr>
          <w:iCs/>
          <w:lang w:val="en-US"/>
        </w:rPr>
        <w:t>January</w:t>
      </w:r>
      <w:r w:rsidRPr="00D25A7C">
        <w:rPr>
          <w:iCs/>
        </w:rPr>
        <w:t xml:space="preserve"> </w:t>
      </w:r>
      <w:r>
        <w:rPr>
          <w:iCs/>
        </w:rPr>
        <w:t>was</w:t>
      </w:r>
      <w:r w:rsidRPr="00D25A7C">
        <w:rPr>
          <w:iCs/>
        </w:rPr>
        <w:t xml:space="preserve"> </w:t>
      </w:r>
      <w:r>
        <w:rPr>
          <w:iCs/>
        </w:rPr>
        <w:t xml:space="preserve">3.02 </w:t>
      </w:r>
      <w:r w:rsidRPr="00D25A7C">
        <w:rPr>
          <w:iCs/>
        </w:rPr>
        <w:t>billion USD</w:t>
      </w:r>
      <w:r w:rsidRPr="00D25A7C">
        <w:rPr>
          <w:vertAlign w:val="superscript"/>
        </w:rPr>
        <w:footnoteReference w:id="22"/>
      </w:r>
      <w:r w:rsidRPr="00D25A7C">
        <w:rPr>
          <w:iCs/>
        </w:rPr>
        <w:t xml:space="preserve">; </w:t>
      </w:r>
      <w:r w:rsidRPr="00AE4A46">
        <w:rPr>
          <w:iCs/>
        </w:rPr>
        <w:t xml:space="preserve">the trade </w:t>
      </w:r>
      <w:r>
        <w:rPr>
          <w:iCs/>
        </w:rPr>
        <w:t>deficit</w:t>
      </w:r>
      <w:r w:rsidRPr="00AE4A46">
        <w:rPr>
          <w:iCs/>
        </w:rPr>
        <w:t xml:space="preserve"> in </w:t>
      </w:r>
      <w:r>
        <w:rPr>
          <w:iCs/>
        </w:rPr>
        <w:t>February</w:t>
      </w:r>
      <w:r w:rsidRPr="00AE4A46">
        <w:rPr>
          <w:iCs/>
        </w:rPr>
        <w:t xml:space="preserve"> was </w:t>
      </w:r>
      <w:r>
        <w:rPr>
          <w:iCs/>
        </w:rPr>
        <w:t>1.55</w:t>
      </w:r>
      <w:r w:rsidRPr="00AE4A46">
        <w:rPr>
          <w:iCs/>
        </w:rPr>
        <w:t xml:space="preserve"> billion USD.</w:t>
      </w:r>
      <w:r w:rsidRPr="00D25A7C">
        <w:rPr>
          <w:iCs/>
        </w:rPr>
        <w:t xml:space="preserve"> Generally in </w:t>
      </w:r>
      <w:r>
        <w:rPr>
          <w:iCs/>
        </w:rPr>
        <w:t>two months of 2025</w:t>
      </w:r>
      <w:r w:rsidRPr="00D25A7C">
        <w:rPr>
          <w:iCs/>
        </w:rPr>
        <w:t xml:space="preserve">, </w:t>
      </w:r>
      <w:r w:rsidRPr="00AE4A46">
        <w:rPr>
          <w:iCs/>
        </w:rPr>
        <w:t>the trade balance of goods</w:t>
      </w:r>
      <w:r w:rsidRPr="00D25A7C">
        <w:rPr>
          <w:iCs/>
        </w:rPr>
        <w:t xml:space="preserve"> ha</w:t>
      </w:r>
      <w:r>
        <w:rPr>
          <w:iCs/>
        </w:rPr>
        <w:t>d</w:t>
      </w:r>
      <w:r w:rsidRPr="00D25A7C">
        <w:rPr>
          <w:iCs/>
        </w:rPr>
        <w:t xml:space="preserve"> a trade surplus of </w:t>
      </w:r>
      <w:r>
        <w:rPr>
          <w:iCs/>
        </w:rPr>
        <w:t>1.47</w:t>
      </w:r>
      <w:r w:rsidRPr="00D25A7C">
        <w:rPr>
          <w:iCs/>
        </w:rPr>
        <w:t xml:space="preserve"> billion USD (in the same period last year, the trade surplus of </w:t>
      </w:r>
      <w:r>
        <w:rPr>
          <w:iCs/>
        </w:rPr>
        <w:t>5.13</w:t>
      </w:r>
      <w:r w:rsidRPr="00D25A7C">
        <w:rPr>
          <w:iCs/>
        </w:rPr>
        <w:t xml:space="preserve"> billion USD). Of which, the domestic economic sector has a trade deficit of </w:t>
      </w:r>
      <w:r>
        <w:rPr>
          <w:iCs/>
        </w:rPr>
        <w:t>4.87</w:t>
      </w:r>
      <w:r w:rsidRPr="00D25A7C">
        <w:rPr>
          <w:iCs/>
        </w:rPr>
        <w:t xml:space="preserve"> billion USD; the FDI sector (including crude oil) had a trade surplus of </w:t>
      </w:r>
      <w:r>
        <w:rPr>
          <w:iCs/>
        </w:rPr>
        <w:t>6.34</w:t>
      </w:r>
      <w:r w:rsidRPr="00D25A7C">
        <w:rPr>
          <w:iCs/>
        </w:rPr>
        <w:t xml:space="preserve"> billion USD.</w:t>
      </w:r>
    </w:p>
    <w:p w14:paraId="745EBE7A" w14:textId="77777777" w:rsidR="00753A68" w:rsidRPr="00B34517" w:rsidRDefault="00753A68" w:rsidP="00753A68">
      <w:pPr>
        <w:spacing w:line="288" w:lineRule="auto"/>
        <w:ind w:firstLine="567"/>
        <w:jc w:val="both"/>
        <w:rPr>
          <w:b/>
          <w:bCs/>
          <w:i/>
          <w:lang w:val="en-US"/>
        </w:rPr>
      </w:pPr>
      <w:r w:rsidRPr="00B34517">
        <w:rPr>
          <w:b/>
          <w:bCs/>
          <w:i/>
          <w:lang w:val="en-US"/>
        </w:rPr>
        <w:t>c) Consumer price index, gold price index and US dollar price index</w:t>
      </w:r>
    </w:p>
    <w:p w14:paraId="71BE35B8" w14:textId="77777777" w:rsidR="00753A68" w:rsidRPr="00B34517" w:rsidRDefault="00753A68" w:rsidP="00753A68">
      <w:pPr>
        <w:spacing w:line="288" w:lineRule="auto"/>
        <w:ind w:firstLine="567"/>
        <w:jc w:val="both"/>
        <w:rPr>
          <w:i/>
          <w:lang w:val="en-US"/>
        </w:rPr>
      </w:pPr>
      <w:r w:rsidRPr="00B34517">
        <w:rPr>
          <w:i/>
          <w:lang w:val="en-US"/>
        </w:rPr>
        <w:t>Increased pork prices due to supply shortages, increased prices of eating out,</w:t>
      </w:r>
      <w:r w:rsidRPr="00B34517">
        <w:rPr>
          <w:b/>
          <w:bCs/>
          <w:i/>
          <w:lang w:val="en-US"/>
        </w:rPr>
        <w:t xml:space="preserve"> </w:t>
      </w:r>
      <w:r w:rsidRPr="00B34517">
        <w:rPr>
          <w:i/>
          <w:lang w:val="en-US"/>
        </w:rPr>
        <w:t>rental housing prices and transport service prices due to consumer demand are the main reasons for the consumer price index (CPI) in February 2025 to increase by 0.34% compared to the previous month; increase by 1.32% compared to December 2024 and increase by 2.91% compared to the same period in 2024.</w:t>
      </w:r>
    </w:p>
    <w:p w14:paraId="291FC729" w14:textId="77777777" w:rsidR="00753A68" w:rsidRDefault="00753A68" w:rsidP="00753A68">
      <w:pPr>
        <w:spacing w:line="288" w:lineRule="auto"/>
        <w:ind w:firstLine="567"/>
        <w:jc w:val="both"/>
        <w:rPr>
          <w:b/>
          <w:bCs/>
          <w:i/>
          <w:lang w:val="en-US"/>
        </w:rPr>
      </w:pPr>
      <w:r w:rsidRPr="00B34517">
        <w:rPr>
          <w:i/>
          <w:lang w:val="en-US"/>
        </w:rPr>
        <w:t>On average, in the first two months of 2025, CPI increased by 3.27% compared to the same period last year; core inflation increased by 2.97</w:t>
      </w:r>
      <w:r w:rsidRPr="00B34517">
        <w:rPr>
          <w:b/>
          <w:bCs/>
          <w:i/>
          <w:lang w:val="en-US"/>
        </w:rPr>
        <w:t>%.</w:t>
      </w:r>
    </w:p>
    <w:p w14:paraId="4328385A" w14:textId="77777777" w:rsidR="00753A68" w:rsidRDefault="00753A68" w:rsidP="00753A68">
      <w:pPr>
        <w:jc w:val="center"/>
        <w:rPr>
          <w:rFonts w:ascii="Arial" w:eastAsia="Calibri" w:hAnsi="Arial" w:cs="Arial"/>
          <w:b/>
          <w:sz w:val="24"/>
          <w:szCs w:val="24"/>
          <w:lang w:val="nl-NL"/>
        </w:rPr>
      </w:pPr>
      <w:r w:rsidRPr="00B34517">
        <w:rPr>
          <w:rFonts w:ascii="Arial" w:eastAsia="Calibri" w:hAnsi="Arial" w:cs="Arial"/>
          <w:b/>
          <w:sz w:val="24"/>
          <w:szCs w:val="24"/>
          <w:lang w:val="nl-NL"/>
        </w:rPr>
        <w:t xml:space="preserve">Figure 15. </w:t>
      </w:r>
      <w:r w:rsidRPr="00B02EE5">
        <w:rPr>
          <w:rFonts w:ascii="Arial" w:eastAsia="Calibri" w:hAnsi="Arial" w:cs="Arial"/>
          <w:b/>
          <w:sz w:val="24"/>
          <w:szCs w:val="24"/>
          <w:lang w:val="nl-NL"/>
        </w:rPr>
        <w:t xml:space="preserve">. </w:t>
      </w:r>
      <w:r w:rsidRPr="00B02EE5">
        <w:rPr>
          <w:rFonts w:ascii="Arial" w:eastAsia="Calibri" w:hAnsi="Arial" w:cs="Arial"/>
          <w:b/>
          <w:bCs/>
          <w:iCs/>
          <w:sz w:val="24"/>
          <w:szCs w:val="24"/>
          <w:lang w:eastAsia="x-none"/>
        </w:rPr>
        <w:t>CPI growth rate</w:t>
      </w:r>
      <w:r w:rsidRPr="00B34517">
        <w:rPr>
          <w:rFonts w:ascii="Arial" w:eastAsia="Calibri" w:hAnsi="Arial" w:cs="Arial"/>
          <w:b/>
          <w:sz w:val="24"/>
          <w:szCs w:val="24"/>
          <w:lang w:val="nl-NL"/>
        </w:rPr>
        <w:t xml:space="preserve"> in February 2025 compared to the previous month</w:t>
      </w:r>
    </w:p>
    <w:p w14:paraId="7906A0F8" w14:textId="77777777" w:rsidR="00753A68" w:rsidRDefault="00753A68" w:rsidP="00753A68">
      <w:pPr>
        <w:tabs>
          <w:tab w:val="left" w:pos="720"/>
        </w:tabs>
        <w:ind w:right="142"/>
        <w:jc w:val="center"/>
        <w:rPr>
          <w:noProof/>
          <w:lang w:val="en-US"/>
        </w:rPr>
      </w:pPr>
    </w:p>
    <w:p w14:paraId="0E5A46DA" w14:textId="77777777" w:rsidR="00753A68" w:rsidRPr="00B92F12" w:rsidRDefault="00753A68" w:rsidP="00753A68">
      <w:pPr>
        <w:tabs>
          <w:tab w:val="left" w:pos="720"/>
        </w:tabs>
        <w:ind w:right="142"/>
        <w:jc w:val="center"/>
        <w:rPr>
          <w:noProof/>
          <w:lang w:val="en-US"/>
        </w:rPr>
      </w:pPr>
      <w:r>
        <w:rPr>
          <w:noProof/>
          <w:lang w:val="en-US"/>
          <w14:ligatures w14:val="standardContextual"/>
        </w:rPr>
        <w:lastRenderedPageBreak/>
        <w:drawing>
          <wp:inline distT="0" distB="0" distL="0" distR="0" wp14:anchorId="7DE8BA80" wp14:editId="6447BFB0">
            <wp:extent cx="5772150" cy="4352925"/>
            <wp:effectExtent l="0" t="0" r="0" b="9525"/>
            <wp:docPr id="386018795"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85CDD4E" w14:textId="77777777" w:rsidR="00753A68" w:rsidRDefault="00753A68" w:rsidP="00753A68">
      <w:pPr>
        <w:tabs>
          <w:tab w:val="left" w:pos="993"/>
        </w:tabs>
        <w:spacing w:after="120" w:line="257" w:lineRule="auto"/>
        <w:ind w:firstLine="720"/>
        <w:jc w:val="both"/>
        <w:rPr>
          <w:rFonts w:eastAsia="Calibri"/>
          <w:lang w:val="nl-NL"/>
        </w:rPr>
      </w:pPr>
      <w:r w:rsidRPr="00B34517">
        <w:rPr>
          <w:rFonts w:eastAsia="Calibri"/>
          <w:lang w:val="nl-NL"/>
        </w:rPr>
        <w:t>In the 0.34% increase in CPI in February 2025 compared to the previous month, there were 09 groups of goods and services with increased price indexes and 02 groups of goods with decreased price indexes.</w:t>
      </w:r>
    </w:p>
    <w:p w14:paraId="5DA2D772" w14:textId="77777777" w:rsidR="00753A68" w:rsidRPr="00C30E94" w:rsidRDefault="00753A68" w:rsidP="00753A68">
      <w:pPr>
        <w:tabs>
          <w:tab w:val="left" w:pos="993"/>
        </w:tabs>
        <w:spacing w:after="120" w:line="257" w:lineRule="auto"/>
        <w:ind w:firstLine="720"/>
        <w:jc w:val="both"/>
        <w:rPr>
          <w:rFonts w:eastAsia="Calibri"/>
          <w:lang w:val="nl-NL"/>
        </w:rPr>
      </w:pPr>
      <w:r w:rsidRPr="00B34517">
        <w:rPr>
          <w:rFonts w:eastAsia="Calibri"/>
          <w:lang w:val="nl-NL"/>
        </w:rPr>
        <w:t xml:space="preserve"> (1) The nine groups of goods and services with increased price indexes include:</w:t>
      </w:r>
    </w:p>
    <w:p w14:paraId="4B300FA6" w14:textId="77777777" w:rsidR="00753A68" w:rsidRPr="00C30E94" w:rsidRDefault="00753A68" w:rsidP="00753A68">
      <w:pPr>
        <w:pStyle w:val="NormalWeb"/>
        <w:spacing w:before="0" w:beforeAutospacing="0" w:after="120" w:afterAutospacing="0" w:line="257" w:lineRule="auto"/>
        <w:ind w:firstLine="720"/>
        <w:jc w:val="both"/>
        <w:rPr>
          <w:sz w:val="28"/>
          <w:szCs w:val="28"/>
          <w:lang w:val="nl-NL"/>
        </w:rPr>
      </w:pPr>
      <w:r w:rsidRPr="00B34517">
        <w:rPr>
          <w:i/>
          <w:iCs/>
          <w:sz w:val="28"/>
          <w:szCs w:val="28"/>
          <w:lang w:val="nl-NL"/>
        </w:rPr>
        <w:t>- The transport group</w:t>
      </w:r>
      <w:r w:rsidRPr="00B34517">
        <w:rPr>
          <w:sz w:val="28"/>
          <w:szCs w:val="28"/>
          <w:lang w:val="nl-NL"/>
        </w:rPr>
        <w:t xml:space="preserve"> increased the highest with 0.63% (making the general CPI increase by 0.06 percentage points), in which: People's travel demand increased at the beginning of the new year, causing the price of passenger transport by rail to increase by 61.99%; the price of passenger transport by air increased by 25%; passenger transport by taxi increased by 0.74%; passenger transport by road increased by 0.26% and passenger transport by waterway increased by 0.08%. The gasoline price index increased by 0.61% due to the impact of domestic gasoline price adjustments. The price of auto spare parts increased by 0.23%; motorcycle tires and tubes increased by 0.24%; other motorcycle spare parts increased by 0.17% due to increased demand for vehicle purchase and repair. Car and motorbike rental services increased by 0.49%; driving tuition increased by 0.41%; </w:t>
      </w:r>
      <w:r>
        <w:rPr>
          <w:sz w:val="28"/>
          <w:szCs w:val="28"/>
          <w:lang w:val="nl-NL"/>
        </w:rPr>
        <w:t>v</w:t>
      </w:r>
      <w:r w:rsidRPr="00B34517">
        <w:rPr>
          <w:sz w:val="28"/>
          <w:szCs w:val="28"/>
          <w:lang w:val="nl-NL"/>
        </w:rPr>
        <w:t>ehicle maintenance services increased by 0.32%; car wash and tire inflation services increased by 0.07%. On the other hand, used car prices decreased by 0.08%; car parking services decreased by 0.2%; diesel price index decreased by 1.7%.</w:t>
      </w:r>
    </w:p>
    <w:p w14:paraId="0DD527FA" w14:textId="77777777" w:rsidR="00753A68" w:rsidRPr="00B34517" w:rsidRDefault="00753A68" w:rsidP="00753A68">
      <w:pPr>
        <w:pStyle w:val="Normal10"/>
        <w:spacing w:before="0" w:beforeAutospacing="0" w:after="120" w:afterAutospacing="0" w:line="257" w:lineRule="auto"/>
        <w:ind w:firstLine="720"/>
        <w:jc w:val="both"/>
        <w:rPr>
          <w:rFonts w:ascii="Times New Roman" w:hAnsi="Times New Roman" w:cs="Times New Roman"/>
          <w:sz w:val="28"/>
          <w:szCs w:val="28"/>
          <w:lang w:val="en-US"/>
        </w:rPr>
      </w:pPr>
      <w:r w:rsidRPr="00B34517">
        <w:rPr>
          <w:rFonts w:ascii="Times New Roman" w:hAnsi="Times New Roman" w:cs="Times New Roman"/>
          <w:i/>
          <w:iCs/>
          <w:sz w:val="28"/>
          <w:szCs w:val="28"/>
          <w:lang w:val="en-US"/>
        </w:rPr>
        <w:lastRenderedPageBreak/>
        <w:t>- Housing, electricity, water, fuel and construction materials</w:t>
      </w:r>
      <w:r w:rsidRPr="00B34517">
        <w:rPr>
          <w:rFonts w:ascii="Times New Roman" w:hAnsi="Times New Roman" w:cs="Times New Roman"/>
          <w:sz w:val="28"/>
          <w:szCs w:val="28"/>
          <w:lang w:val="en-US"/>
        </w:rPr>
        <w:t xml:space="preserve"> increased by 0.55% (increasing the overall CPI by 0.1 percentage points), mainly due to price increases in the following items: House rental prices increased by 0.8% due to a large number of workers from the provinces returning to the city to find work after Tet and students returning to school, leading to high demand for rental housing. In addition, high real estate prices caused many homeowners to increase rental prices to match the value of their assets. House maintenance material prices increased by 0.09% due to increased cement and steel prices following increases in input material costs such as coal, steel billets, electricity and labor costs. Household electricity prices increased by 0.38%; household water prices increased by 0.26%</w:t>
      </w:r>
      <w:r w:rsidRPr="00C30E94">
        <w:rPr>
          <w:rStyle w:val="FootnoteReference"/>
          <w:rFonts w:ascii="Times New Roman" w:eastAsiaTheme="majorEastAsia" w:hAnsi="Times New Roman" w:cs="Times New Roman"/>
          <w:iCs/>
          <w:spacing w:val="-2"/>
          <w:sz w:val="28"/>
          <w:szCs w:val="28"/>
        </w:rPr>
        <w:footnoteReference w:id="23"/>
      </w:r>
      <w:r w:rsidRPr="00B34517">
        <w:rPr>
          <w:rFonts w:ascii="Times New Roman" w:hAnsi="Times New Roman" w:cs="Times New Roman"/>
          <w:sz w:val="28"/>
          <w:szCs w:val="28"/>
          <w:lang w:val="en-US"/>
        </w:rPr>
        <w:t xml:space="preserve"> due to increased consumer demand. Gas price increased by 0.56% because from February 1, 2025, domestic gas price was adjusted up by VND 3,000/12 kg cylinder after world gas price increased by USD 10/ton, fixed at USD 630/ton.</w:t>
      </w:r>
    </w:p>
    <w:p w14:paraId="456B5F09" w14:textId="77777777" w:rsidR="00753A68" w:rsidRPr="00B34517" w:rsidRDefault="00753A68" w:rsidP="00753A68">
      <w:pPr>
        <w:pStyle w:val="NormalWeb"/>
        <w:spacing w:before="0" w:beforeAutospacing="0" w:after="120" w:afterAutospacing="0" w:line="257" w:lineRule="auto"/>
        <w:ind w:firstLine="720"/>
        <w:jc w:val="both"/>
        <w:rPr>
          <w:iCs/>
          <w:sz w:val="28"/>
          <w:szCs w:val="28"/>
          <w:lang w:val="en-US"/>
        </w:rPr>
      </w:pPr>
      <w:r w:rsidRPr="00B34517">
        <w:rPr>
          <w:i/>
          <w:sz w:val="28"/>
          <w:szCs w:val="28"/>
          <w:lang w:val="en-US"/>
        </w:rPr>
        <w:t>- The food and foodstuff</w:t>
      </w:r>
      <w:r w:rsidRPr="00B34517">
        <w:rPr>
          <w:iCs/>
          <w:sz w:val="28"/>
          <w:szCs w:val="28"/>
          <w:lang w:val="en-US"/>
        </w:rPr>
        <w:t xml:space="preserve"> </w:t>
      </w:r>
      <w:r w:rsidRPr="00B34517">
        <w:rPr>
          <w:i/>
          <w:sz w:val="28"/>
          <w:szCs w:val="28"/>
          <w:lang w:val="en-US"/>
        </w:rPr>
        <w:t>group</w:t>
      </w:r>
      <w:r w:rsidRPr="00B34517">
        <w:rPr>
          <w:iCs/>
          <w:sz w:val="28"/>
          <w:szCs w:val="28"/>
          <w:lang w:val="en-US"/>
        </w:rPr>
        <w:t xml:space="preserve"> increased by 0.43% (causing the general CPI to increase by 0.14 percentage points), of which: Food</w:t>
      </w:r>
      <w:r>
        <w:rPr>
          <w:iCs/>
          <w:sz w:val="28"/>
          <w:szCs w:val="28"/>
          <w:lang w:val="en-US"/>
        </w:rPr>
        <w:t>stuff</w:t>
      </w:r>
      <w:r w:rsidRPr="00B34517">
        <w:rPr>
          <w:iCs/>
          <w:sz w:val="28"/>
          <w:szCs w:val="28"/>
          <w:lang w:val="en-US"/>
        </w:rPr>
        <w:t xml:space="preserve"> increased by 0.41%</w:t>
      </w:r>
      <w:r w:rsidRPr="00C30E94">
        <w:rPr>
          <w:sz w:val="28"/>
          <w:szCs w:val="28"/>
          <w:vertAlign w:val="superscript"/>
          <w:lang w:val="nl-NL"/>
        </w:rPr>
        <w:footnoteReference w:id="24"/>
      </w:r>
      <w:r w:rsidRPr="00B34517">
        <w:rPr>
          <w:iCs/>
          <w:sz w:val="28"/>
          <w:szCs w:val="28"/>
          <w:lang w:val="en-US"/>
        </w:rPr>
        <w:t xml:space="preserve"> (causing the general CPI to increase by 0.09 percentage points); eating out increased by 0.75%</w:t>
      </w:r>
      <w:r w:rsidRPr="00C30E94">
        <w:rPr>
          <w:sz w:val="28"/>
          <w:szCs w:val="28"/>
          <w:vertAlign w:val="superscript"/>
          <w:lang w:val="nl-NL"/>
        </w:rPr>
        <w:footnoteReference w:id="25"/>
      </w:r>
      <w:r w:rsidRPr="00B34517">
        <w:rPr>
          <w:iCs/>
          <w:sz w:val="28"/>
          <w:szCs w:val="28"/>
          <w:lang w:val="en-US"/>
        </w:rPr>
        <w:t xml:space="preserve"> (causing the general CPI to increase by 0.06 percentage points); the food group alone decreased by 0.24%</w:t>
      </w:r>
      <w:r w:rsidRPr="00C30E94">
        <w:rPr>
          <w:rStyle w:val="FootnoteReference"/>
          <w:iCs/>
          <w:sz w:val="28"/>
          <w:szCs w:val="28"/>
        </w:rPr>
        <w:footnoteReference w:id="26"/>
      </w:r>
      <w:r w:rsidRPr="00B34517">
        <w:rPr>
          <w:iCs/>
          <w:sz w:val="28"/>
          <w:szCs w:val="28"/>
          <w:lang w:val="en-US"/>
        </w:rPr>
        <w:t>.</w:t>
      </w:r>
    </w:p>
    <w:p w14:paraId="4329C578" w14:textId="77777777" w:rsidR="00753A68" w:rsidRPr="00C30E94" w:rsidRDefault="00753A68" w:rsidP="00753A68">
      <w:pPr>
        <w:pStyle w:val="NormalWeb"/>
        <w:spacing w:before="0" w:beforeAutospacing="0" w:after="120" w:afterAutospacing="0" w:line="257" w:lineRule="auto"/>
        <w:ind w:firstLine="720"/>
        <w:jc w:val="both"/>
        <w:rPr>
          <w:sz w:val="28"/>
          <w:szCs w:val="28"/>
        </w:rPr>
      </w:pPr>
      <w:r w:rsidRPr="004E070B">
        <w:rPr>
          <w:i/>
          <w:iCs/>
          <w:sz w:val="28"/>
          <w:szCs w:val="28"/>
        </w:rPr>
        <w:t xml:space="preserve">- The group of medicines and </w:t>
      </w:r>
      <w:r w:rsidRPr="00AE7810">
        <w:rPr>
          <w:i/>
          <w:iCs/>
          <w:sz w:val="28"/>
          <w:szCs w:val="28"/>
        </w:rPr>
        <w:t>health care</w:t>
      </w:r>
      <w:r w:rsidRPr="004E070B">
        <w:rPr>
          <w:i/>
          <w:iCs/>
          <w:sz w:val="28"/>
          <w:szCs w:val="28"/>
        </w:rPr>
        <w:t xml:space="preserve"> services</w:t>
      </w:r>
      <w:r w:rsidRPr="004E070B">
        <w:rPr>
          <w:sz w:val="28"/>
          <w:szCs w:val="28"/>
        </w:rPr>
        <w:t xml:space="preserve"> increased by 0.31%, of which the price index of the medical services group increased by 0.36% due to some localities applying new medical service prices according to Circular No. 21/2024/TT-BYT dated October 17, 2024 of the Ministry of Health stipulating the method of pricing medical examination and treatment services. In addition, the weather in the North turned humid, so flu and respiratory diseases increased, and people's demand for pain relievers, fever reducers, respiratory drugs, vitamins and minerals increased. Specifically, the price of vitamin and mineral drugs increased by 0.21%; drugs affecting the respiratory tract increased by </w:t>
      </w:r>
      <w:r w:rsidRPr="004E070B">
        <w:rPr>
          <w:sz w:val="28"/>
          <w:szCs w:val="28"/>
        </w:rPr>
        <w:lastRenderedPageBreak/>
        <w:t>0.17%; pain relievers and fever reducers increased by 0.1%; gastrointestinal drugs increased by 0.04%.</w:t>
      </w:r>
    </w:p>
    <w:p w14:paraId="34896755" w14:textId="77777777" w:rsidR="00753A68" w:rsidRPr="00C30E94" w:rsidRDefault="00753A68" w:rsidP="00753A68">
      <w:pPr>
        <w:pStyle w:val="NormalWeb"/>
        <w:spacing w:before="0" w:beforeAutospacing="0" w:after="120" w:afterAutospacing="0" w:line="257" w:lineRule="auto"/>
        <w:ind w:firstLine="720"/>
        <w:jc w:val="both"/>
        <w:rPr>
          <w:sz w:val="28"/>
          <w:szCs w:val="28"/>
          <w:lang w:val="en-US"/>
        </w:rPr>
      </w:pPr>
      <w:r w:rsidRPr="004E070B">
        <w:rPr>
          <w:i/>
          <w:iCs/>
          <w:sz w:val="28"/>
          <w:szCs w:val="28"/>
          <w:lang w:val="en-US"/>
        </w:rPr>
        <w:t>- The group of other goods and services</w:t>
      </w:r>
      <w:r w:rsidRPr="004E070B">
        <w:rPr>
          <w:sz w:val="28"/>
          <w:szCs w:val="28"/>
          <w:lang w:val="en-US"/>
        </w:rPr>
        <w:t xml:space="preserve"> increased by 0.18%, mainly increasing prices in some items: Jewelry group increased by 4.32%; wedding services increased by 0.31%; electrical appliances for personal care increased by 0.25%; personal care services increased by 0.2%; wristwatches increased by 0.18%. On the contrary, hair cutting and shampooing services decreased by 0.28%; administrative and legal services decreased by 0.19%.</w:t>
      </w:r>
    </w:p>
    <w:p w14:paraId="164E0072" w14:textId="77777777" w:rsidR="00753A68" w:rsidRPr="002B5DBC" w:rsidRDefault="00753A68" w:rsidP="00753A68">
      <w:pPr>
        <w:pStyle w:val="NormalWeb"/>
        <w:spacing w:before="0" w:beforeAutospacing="0" w:after="120" w:afterAutospacing="0" w:line="257" w:lineRule="auto"/>
        <w:ind w:firstLine="720"/>
        <w:jc w:val="both"/>
        <w:rPr>
          <w:sz w:val="28"/>
          <w:szCs w:val="28"/>
          <w:lang w:val="en-US"/>
        </w:rPr>
      </w:pPr>
      <w:r w:rsidRPr="002B5DBC">
        <w:rPr>
          <w:i/>
          <w:iCs/>
          <w:sz w:val="28"/>
          <w:szCs w:val="28"/>
          <w:lang w:val="en-US"/>
        </w:rPr>
        <w:t>- The culture, entertainment and tourism group</w:t>
      </w:r>
      <w:r w:rsidRPr="002B5DBC">
        <w:rPr>
          <w:sz w:val="28"/>
          <w:szCs w:val="28"/>
          <w:lang w:val="en-US"/>
        </w:rPr>
        <w:t xml:space="preserve"> increased by 0.17%, mainly focusing on the following items: Prices of flowers and ornamental plants increased by 3.27%; package tours increased by 0.25% due to people's travel demand and increased service costs; hotels and guesthouses increased by 0.21%; books, newspapers and magazines of all kinds increased by 0.03%.</w:t>
      </w:r>
    </w:p>
    <w:p w14:paraId="4973E3B7" w14:textId="77777777" w:rsidR="00753A68" w:rsidRPr="002B5DBC" w:rsidRDefault="00753A68" w:rsidP="00753A68">
      <w:pPr>
        <w:pStyle w:val="NormalWeb"/>
        <w:spacing w:before="0" w:beforeAutospacing="0" w:after="120" w:afterAutospacing="0" w:line="257" w:lineRule="auto"/>
        <w:ind w:firstLine="720"/>
        <w:jc w:val="both"/>
        <w:rPr>
          <w:iCs/>
          <w:sz w:val="28"/>
          <w:szCs w:val="28"/>
          <w:lang w:val="en-US"/>
        </w:rPr>
      </w:pPr>
      <w:r w:rsidRPr="002B5DBC">
        <w:rPr>
          <w:i/>
          <w:sz w:val="28"/>
          <w:szCs w:val="28"/>
          <w:lang w:val="en-US"/>
        </w:rPr>
        <w:t xml:space="preserve">- Beverages and </w:t>
      </w:r>
      <w:r w:rsidRPr="00AE7810">
        <w:rPr>
          <w:i/>
          <w:sz w:val="28"/>
          <w:szCs w:val="28"/>
          <w:lang w:val="en-US"/>
        </w:rPr>
        <w:t>cigarette</w:t>
      </w:r>
      <w:r w:rsidRPr="002B5DBC">
        <w:rPr>
          <w:i/>
          <w:sz w:val="28"/>
          <w:szCs w:val="28"/>
          <w:lang w:val="en-US"/>
        </w:rPr>
        <w:t xml:space="preserve"> group</w:t>
      </w:r>
      <w:r w:rsidRPr="002B5DBC">
        <w:rPr>
          <w:iCs/>
          <w:sz w:val="28"/>
          <w:szCs w:val="28"/>
          <w:lang w:val="en-US"/>
        </w:rPr>
        <w:t xml:space="preserve"> increased by 0.12% due to consumer demand during New Year festivals, causing alcohol prices to increase by 0.06%; cigarettes increased by 0.22%; non-alcoholic beverages increased by 0.07%.</w:t>
      </w:r>
    </w:p>
    <w:p w14:paraId="7DF3B633" w14:textId="77777777" w:rsidR="00753A68" w:rsidRPr="002B5DBC" w:rsidRDefault="00753A68" w:rsidP="00753A68">
      <w:pPr>
        <w:pStyle w:val="NormalWeb"/>
        <w:shd w:val="clear" w:color="auto" w:fill="FFFFFF"/>
        <w:spacing w:before="0" w:beforeAutospacing="0" w:after="120" w:afterAutospacing="0" w:line="257" w:lineRule="auto"/>
        <w:ind w:firstLine="720"/>
        <w:jc w:val="both"/>
        <w:rPr>
          <w:spacing w:val="-2"/>
          <w:sz w:val="28"/>
          <w:szCs w:val="28"/>
          <w:lang w:val="en-US"/>
        </w:rPr>
      </w:pPr>
      <w:r w:rsidRPr="002B5DBC">
        <w:rPr>
          <w:i/>
          <w:iCs/>
          <w:spacing w:val="-2"/>
          <w:sz w:val="28"/>
          <w:szCs w:val="28"/>
          <w:lang w:val="en-US"/>
        </w:rPr>
        <w:t>- The group of household appliances and equipment</w:t>
      </w:r>
      <w:r w:rsidRPr="002B5DBC">
        <w:rPr>
          <w:spacing w:val="-2"/>
          <w:sz w:val="28"/>
          <w:szCs w:val="28"/>
          <w:lang w:val="en-US"/>
        </w:rPr>
        <w:t xml:space="preserve"> increased by 0.05% due to increased costs of raw materials and transportation. Of which, prices of plastic and rubber products increased by 0.51%; metal products increased by 0.38%; electric lighting increased by 0.2%; household services increased by 0.15%; non-electric stoves, gas and electric appliances increased by 0.14%; beds, wardrobes, tables and chairs increased by 0.07%; glass, ceramic and porcelain products increased by 0.04%.</w:t>
      </w:r>
    </w:p>
    <w:p w14:paraId="09A1B0C0" w14:textId="77777777" w:rsidR="00753A68" w:rsidRPr="002B5DBC" w:rsidRDefault="00753A68" w:rsidP="00753A68">
      <w:pPr>
        <w:pStyle w:val="NormalWeb"/>
        <w:spacing w:before="0" w:beforeAutospacing="0" w:after="120" w:afterAutospacing="0" w:line="257" w:lineRule="auto"/>
        <w:ind w:firstLine="720"/>
        <w:jc w:val="both"/>
        <w:rPr>
          <w:iCs/>
          <w:sz w:val="28"/>
          <w:szCs w:val="28"/>
          <w:lang w:val="en-US"/>
        </w:rPr>
      </w:pPr>
      <w:r w:rsidRPr="002B5DBC">
        <w:rPr>
          <w:i/>
          <w:sz w:val="28"/>
          <w:szCs w:val="28"/>
          <w:lang w:val="en-US"/>
        </w:rPr>
        <w:t>- The education group</w:t>
      </w:r>
      <w:r w:rsidRPr="002B5DBC">
        <w:rPr>
          <w:iCs/>
          <w:sz w:val="28"/>
          <w:szCs w:val="28"/>
          <w:lang w:val="en-US"/>
        </w:rPr>
        <w:t xml:space="preserve"> increased slightly by 0.02% due to the increase in stationery prices such as pens of all kinds increased by 0.3%; stationery and other school supplies increased by 0.37%; paper products increased by 0.1%.</w:t>
      </w:r>
    </w:p>
    <w:p w14:paraId="1B0670B9" w14:textId="77777777" w:rsidR="00753A68" w:rsidRDefault="00753A68" w:rsidP="00753A68">
      <w:pPr>
        <w:pStyle w:val="NormalWeb"/>
        <w:spacing w:before="0" w:beforeAutospacing="0" w:after="120" w:afterAutospacing="0" w:line="257" w:lineRule="auto"/>
        <w:ind w:firstLine="720"/>
        <w:jc w:val="both"/>
        <w:rPr>
          <w:sz w:val="28"/>
          <w:szCs w:val="28"/>
          <w:lang w:val="en-US"/>
        </w:rPr>
      </w:pPr>
      <w:r w:rsidRPr="002B5DBC">
        <w:rPr>
          <w:sz w:val="28"/>
          <w:szCs w:val="28"/>
        </w:rPr>
        <w:t xml:space="preserve">(2) Two groups of goods and services with price indexes decreasing include: </w:t>
      </w:r>
    </w:p>
    <w:p w14:paraId="611F1ACF" w14:textId="77777777" w:rsidR="00753A68" w:rsidRPr="00C30E94" w:rsidRDefault="00753A68" w:rsidP="00753A68">
      <w:pPr>
        <w:pStyle w:val="NormalWeb"/>
        <w:spacing w:before="0" w:beforeAutospacing="0" w:after="120" w:afterAutospacing="0" w:line="257" w:lineRule="auto"/>
        <w:ind w:firstLine="720"/>
        <w:jc w:val="both"/>
        <w:rPr>
          <w:sz w:val="28"/>
          <w:szCs w:val="28"/>
        </w:rPr>
      </w:pPr>
      <w:r w:rsidRPr="002B5DBC">
        <w:rPr>
          <w:i/>
          <w:iCs/>
          <w:sz w:val="28"/>
          <w:szCs w:val="28"/>
        </w:rPr>
        <w:t xml:space="preserve">- The </w:t>
      </w:r>
      <w:r w:rsidRPr="00AE7810">
        <w:rPr>
          <w:i/>
          <w:iCs/>
          <w:sz w:val="28"/>
          <w:szCs w:val="28"/>
        </w:rPr>
        <w:t>post and telecommunications</w:t>
      </w:r>
      <w:r w:rsidRPr="002B5DBC">
        <w:rPr>
          <w:i/>
          <w:iCs/>
          <w:sz w:val="28"/>
          <w:szCs w:val="28"/>
        </w:rPr>
        <w:t xml:space="preserve"> group</w:t>
      </w:r>
      <w:r w:rsidRPr="002B5DBC">
        <w:rPr>
          <w:sz w:val="28"/>
          <w:szCs w:val="28"/>
        </w:rPr>
        <w:t xml:space="preserve"> decreased by 0.03%, of which, accessories for smart mobile phones and tablets decreased by 0.75%; regular mobile phones decreased by 0.12%; fixed-line phones decreased by 0.04%. On the contrary, the price of phone repair increased by 0.5%; the price of smart mobile phones and tablets increased by 0.29%.</w:t>
      </w:r>
    </w:p>
    <w:p w14:paraId="01545A7C" w14:textId="77777777" w:rsidR="00753A68" w:rsidRPr="002B5DBC" w:rsidRDefault="00753A68" w:rsidP="00753A68">
      <w:pPr>
        <w:pStyle w:val="NormalWeb"/>
        <w:spacing w:before="0" w:beforeAutospacing="0" w:after="120" w:afterAutospacing="0" w:line="257" w:lineRule="auto"/>
        <w:ind w:firstLine="720"/>
        <w:jc w:val="both"/>
        <w:rPr>
          <w:sz w:val="28"/>
          <w:szCs w:val="28"/>
          <w:lang w:val="en-US"/>
        </w:rPr>
      </w:pPr>
      <w:r w:rsidRPr="002B5DBC">
        <w:rPr>
          <w:i/>
          <w:iCs/>
          <w:sz w:val="28"/>
          <w:szCs w:val="28"/>
          <w:lang w:val="en-US"/>
        </w:rPr>
        <w:t>- The garment, hat and footwear group</w:t>
      </w:r>
      <w:r w:rsidRPr="002B5DBC">
        <w:rPr>
          <w:sz w:val="28"/>
          <w:szCs w:val="28"/>
          <w:lang w:val="en-US"/>
        </w:rPr>
        <w:t xml:space="preserve"> decreased by 0.11% due to the decrease in demand for clothes and footwear after the Lunar New Year. Of which, footwear decreased by 0.24%; ready-made clothes decreased by 0.11%. On the other hand, the fabric price index increased by 0.07%; other garments increased by 0.06%; hats increased by 0.12%; garment, hat and footwear services increased by 0.14%.</w:t>
      </w:r>
    </w:p>
    <w:p w14:paraId="1C1FEE03" w14:textId="77777777" w:rsidR="00753A68" w:rsidRDefault="00753A68" w:rsidP="00753A68">
      <w:pPr>
        <w:pStyle w:val="NormalWeb"/>
        <w:spacing w:before="0" w:beforeAutospacing="0" w:after="120" w:afterAutospacing="0" w:line="257" w:lineRule="auto"/>
        <w:ind w:firstLine="720"/>
        <w:jc w:val="both"/>
        <w:rPr>
          <w:sz w:val="28"/>
          <w:szCs w:val="28"/>
          <w:lang w:val="pl-PL"/>
        </w:rPr>
      </w:pPr>
      <w:r w:rsidRPr="00AE7810">
        <w:rPr>
          <w:color w:val="000000"/>
          <w:spacing w:val="-2"/>
          <w:sz w:val="28"/>
          <w:szCs w:val="28"/>
          <w:lang w:val="en-US"/>
        </w:rPr>
        <w:lastRenderedPageBreak/>
        <w:t>Core inflation</w:t>
      </w:r>
      <w:r w:rsidRPr="00AE7810">
        <w:rPr>
          <w:sz w:val="28"/>
          <w:szCs w:val="28"/>
          <w:vertAlign w:val="superscript"/>
          <w:lang w:val="x-none"/>
        </w:rPr>
        <w:footnoteReference w:id="27"/>
      </w:r>
      <w:r w:rsidRPr="00AE7810">
        <w:rPr>
          <w:sz w:val="28"/>
          <w:szCs w:val="28"/>
          <w:lang w:val="pl-PL"/>
        </w:rPr>
        <w:t xml:space="preserve"> </w:t>
      </w:r>
      <w:r w:rsidRPr="00F14E57">
        <w:rPr>
          <w:sz w:val="28"/>
          <w:szCs w:val="28"/>
          <w:lang w:val="pl-PL"/>
        </w:rPr>
        <w:t>in February 2025 increased by 0.3% compared to the previous month and by 2.87% compared to the same period last year. On average, core inflation in the first two months of 2025 increased by 2.97% compared to the same period last year, lower than the average CPI (up 3.27%) mainly due to the prices of food, foodstuffs, electricity, and medical services, which are factors affecting the increase in CPI but are excluded from the list of core inflation calculations.</w:t>
      </w:r>
    </w:p>
    <w:p w14:paraId="0FFAADF4" w14:textId="77777777" w:rsidR="00753A68" w:rsidRPr="00F14E57" w:rsidRDefault="00753A68" w:rsidP="00753A68">
      <w:pPr>
        <w:pStyle w:val="NormalWeb"/>
        <w:spacing w:before="0" w:beforeAutospacing="0" w:after="120" w:afterAutospacing="0" w:line="257" w:lineRule="auto"/>
        <w:ind w:firstLine="720"/>
        <w:jc w:val="both"/>
        <w:rPr>
          <w:sz w:val="28"/>
          <w:szCs w:val="28"/>
          <w:lang w:val="en-US"/>
        </w:rPr>
      </w:pPr>
      <w:r w:rsidRPr="00F14E57">
        <w:rPr>
          <w:sz w:val="28"/>
          <w:szCs w:val="28"/>
          <w:lang w:val="en-US"/>
        </w:rPr>
        <w:t>Domestic gold prices fluctuate in the same direction as world gold prices. As of February 28, 2025, the average world gold price was at 2,898.22 USD/ounce, up 6.92% compared to January 2025. In February 2025, US tax policy announcements led to concerns about escalating trade wars. This has boosted demand for investment in gold as a safe asset. At the same time, central banks continue to buy gold to diversify reserves and protect assets from currency fluctuations. Domestically, the demand for gold shopping for luck on the God of Wealth Day after the Lunar New Year increased, causing the gold price index in February 2025 to increase by 4.72% compared to the previous month; increase by 32.57% compared to the same period last year; increase by 5.8% compared to December 2024; On average, in the first two months of 2025, the gold price index increased by 30.84%.</w:t>
      </w:r>
    </w:p>
    <w:p w14:paraId="1EF025D9" w14:textId="77777777" w:rsidR="00753A68" w:rsidRPr="00F14E57" w:rsidRDefault="00753A68" w:rsidP="00753A68">
      <w:pPr>
        <w:pStyle w:val="NormalWeb"/>
        <w:spacing w:before="0" w:beforeAutospacing="0" w:after="120" w:afterAutospacing="0" w:line="257" w:lineRule="auto"/>
        <w:ind w:firstLine="720"/>
        <w:jc w:val="both"/>
        <w:rPr>
          <w:sz w:val="28"/>
          <w:szCs w:val="28"/>
          <w:lang w:val="en-US"/>
        </w:rPr>
      </w:pPr>
      <w:r w:rsidRPr="00F14E57">
        <w:rPr>
          <w:sz w:val="28"/>
          <w:szCs w:val="28"/>
          <w:lang w:val="en-US"/>
        </w:rPr>
        <w:t>As of February 28, 2025, the US dollar price index in the international market reached 107.31 points, down 1.16% compared to the previous month due to the decrease in US government bond yields and the impact of tariffs and trade tensions from the US. Domestically, the average US dollar price in the free market is around 25,548 VND/USD. The US dollar price index in February 2025 decreased by 0.06% compared to the previous month; increased by 3.52% compared to the same period last year; increased by 0.15% compared to December 2024; on average in the first two months of 2025, the US dollar price index increased by 3.75%.</w:t>
      </w:r>
    </w:p>
    <w:p w14:paraId="78ACD48F" w14:textId="77777777" w:rsidR="005B0F44" w:rsidRDefault="005B0F44" w:rsidP="00AB00B5">
      <w:pPr>
        <w:spacing w:beforeLines="40" w:before="96" w:afterLines="40" w:after="96" w:line="264" w:lineRule="auto"/>
        <w:ind w:firstLine="567"/>
        <w:jc w:val="both"/>
        <w:rPr>
          <w:bCs/>
          <w:i/>
          <w:lang w:val="it-IT"/>
        </w:rPr>
      </w:pPr>
      <w:r>
        <w:rPr>
          <w:b/>
          <w:bCs/>
          <w:i/>
          <w:iCs/>
          <w:lang w:val="nl-NL"/>
        </w:rPr>
        <w:t xml:space="preserve">d) </w:t>
      </w:r>
      <w:r>
        <w:rPr>
          <w:b/>
          <w:bCs/>
          <w:i/>
          <w:iCs/>
          <w:lang w:val="fr-FR"/>
        </w:rPr>
        <w:t>Transport</w:t>
      </w:r>
      <w:r>
        <w:rPr>
          <w:bCs/>
          <w:i/>
          <w:lang w:val="it-IT"/>
        </w:rPr>
        <w:t xml:space="preserve"> </w:t>
      </w:r>
    </w:p>
    <w:p w14:paraId="196366D7" w14:textId="0F1BCF4D" w:rsidR="005B0F44" w:rsidRPr="00924457" w:rsidRDefault="005B0F44" w:rsidP="00AB00B5">
      <w:pPr>
        <w:spacing w:beforeLines="40" w:before="96" w:afterLines="40" w:after="96" w:line="264" w:lineRule="auto"/>
        <w:ind w:firstLine="567"/>
        <w:jc w:val="both"/>
        <w:rPr>
          <w:rFonts w:ascii="Times New Roman Italic" w:hAnsi="Times New Roman Italic"/>
          <w:bCs/>
          <w:i/>
          <w:spacing w:val="-6"/>
          <w:lang w:val="it-IT"/>
        </w:rPr>
      </w:pPr>
      <w:r w:rsidRPr="00924457">
        <w:rPr>
          <w:rFonts w:ascii="Times New Roman Italic" w:eastAsiaTheme="minorHAnsi" w:hAnsi="Times New Roman Italic"/>
          <w:bCs/>
          <w:i/>
          <w:spacing w:val="-6"/>
          <w:kern w:val="2"/>
          <w:lang w:val="it-IT"/>
          <w14:ligatures w14:val="standardContextual"/>
        </w:rPr>
        <w:t xml:space="preserve">Transport activities in February are vibrant to serve the travel, tourism and consumption needs of people during the Lunar New Year. Compared to the same period last year, passenger carried in </w:t>
      </w:r>
      <w:r w:rsidR="00D83303">
        <w:rPr>
          <w:rFonts w:ascii="Times New Roman Italic" w:eastAsiaTheme="minorHAnsi" w:hAnsi="Times New Roman Italic"/>
          <w:bCs/>
          <w:i/>
          <w:spacing w:val="-6"/>
          <w:kern w:val="2"/>
          <w:lang w:val="it-IT"/>
          <w14:ligatures w14:val="standardContextual"/>
        </w:rPr>
        <w:t>02/</w:t>
      </w:r>
      <w:r w:rsidRPr="00924457">
        <w:rPr>
          <w:rFonts w:ascii="Times New Roman Italic" w:eastAsiaTheme="minorHAnsi" w:hAnsi="Times New Roman Italic"/>
          <w:bCs/>
          <w:i/>
          <w:spacing w:val="-6"/>
          <w:kern w:val="2"/>
          <w:lang w:val="it-IT"/>
          <w14:ligatures w14:val="standardContextual"/>
        </w:rPr>
        <w:t xml:space="preserve">2024 increased by 14.3% in transport and passenger traffic increased by 22.7%; freight carried increased by 13.5% and freight traffic up 4.7%. Overall, in the first 2 months of 2024, passenger carried increased by 9.2% and passenger traffic up 11.8% over the same period last year;Freight carried increased by 13.9% and freight transport up 14%. </w:t>
      </w:r>
    </w:p>
    <w:p w14:paraId="156D075F" w14:textId="6506D664" w:rsidR="005B0F44" w:rsidRDefault="005B0F44" w:rsidP="00AB00B5">
      <w:pPr>
        <w:tabs>
          <w:tab w:val="left" w:pos="567"/>
        </w:tabs>
        <w:spacing w:beforeLines="40" w:before="96" w:afterLines="40" w:after="96" w:line="276" w:lineRule="auto"/>
        <w:ind w:firstLine="567"/>
        <w:jc w:val="both"/>
        <w:rPr>
          <w:lang w:val="pl-PL"/>
        </w:rPr>
      </w:pPr>
      <w:r w:rsidRPr="00E42F93">
        <w:rPr>
          <w:i/>
          <w:lang w:val="pl-PL"/>
        </w:rPr>
        <w:lastRenderedPageBreak/>
        <w:t>Passenger transport</w:t>
      </w:r>
      <w:r>
        <w:rPr>
          <w:lang w:val="pl-PL"/>
        </w:rPr>
        <w:t xml:space="preserve"> in </w:t>
      </w:r>
      <w:r w:rsidR="00D83303">
        <w:rPr>
          <w:lang w:val="pl-PL"/>
        </w:rPr>
        <w:t xml:space="preserve">02/2024 </w:t>
      </w:r>
      <w:r>
        <w:rPr>
          <w:lang w:val="pl-PL"/>
        </w:rPr>
        <w:t xml:space="preserve">was estimated at </w:t>
      </w:r>
      <w:r>
        <w:rPr>
          <w:lang w:val="nl-NL"/>
        </w:rPr>
        <w:t xml:space="preserve">421.5 </w:t>
      </w:r>
      <w:r>
        <w:rPr>
          <w:lang w:val="pl-PL"/>
        </w:rPr>
        <w:t xml:space="preserve">million passengers, increased by 8.7% over the previous month and passenger traffic was </w:t>
      </w:r>
      <w:r>
        <w:rPr>
          <w:lang w:val="nl-NL"/>
        </w:rPr>
        <w:t xml:space="preserve">23.7 </w:t>
      </w:r>
      <w:r>
        <w:rPr>
          <w:lang w:val="pl-PL"/>
        </w:rPr>
        <w:t xml:space="preserve">billion passengers-kilometers, up </w:t>
      </w:r>
      <w:r>
        <w:rPr>
          <w:lang w:val="nl-NL"/>
        </w:rPr>
        <w:t>10.2</w:t>
      </w:r>
      <w:r>
        <w:rPr>
          <w:lang w:val="pl-PL"/>
        </w:rPr>
        <w:t xml:space="preserve">% </w:t>
      </w:r>
      <w:r w:rsidRPr="00BD2739">
        <w:rPr>
          <w:lang w:val="pl-PL"/>
        </w:rPr>
        <w:t xml:space="preserve">due to </w:t>
      </w:r>
      <w:r>
        <w:rPr>
          <w:lang w:val="pl-PL"/>
        </w:rPr>
        <w:t>traveling</w:t>
      </w:r>
      <w:r w:rsidRPr="00BD2739">
        <w:rPr>
          <w:lang w:val="pl-PL"/>
        </w:rPr>
        <w:t xml:space="preserve"> </w:t>
      </w:r>
      <w:r>
        <w:rPr>
          <w:lang w:val="pl-PL"/>
        </w:rPr>
        <w:t xml:space="preserve">demand </w:t>
      </w:r>
      <w:r w:rsidRPr="00BD2739">
        <w:rPr>
          <w:lang w:val="pl-PL"/>
        </w:rPr>
        <w:t xml:space="preserve">of domestic people as well as international visitors </w:t>
      </w:r>
      <w:r>
        <w:rPr>
          <w:lang w:val="pl-PL"/>
        </w:rPr>
        <w:t>rose</w:t>
      </w:r>
      <w:r w:rsidRPr="00BD2739">
        <w:rPr>
          <w:lang w:val="pl-PL"/>
        </w:rPr>
        <w:t xml:space="preserve"> during the Lunar New Year holiday</w:t>
      </w:r>
      <w:r>
        <w:rPr>
          <w:lang w:val="pl-PL"/>
        </w:rPr>
        <w:t xml:space="preserve">. In the first 2 months of 2024, passenger carried was estimated at </w:t>
      </w:r>
      <w:r>
        <w:rPr>
          <w:lang w:val="nl-NL"/>
        </w:rPr>
        <w:t xml:space="preserve">809.1 </w:t>
      </w:r>
      <w:r>
        <w:rPr>
          <w:lang w:val="pl-PL"/>
        </w:rPr>
        <w:t xml:space="preserve">million passengers, up </w:t>
      </w:r>
      <w:r>
        <w:rPr>
          <w:lang w:val="nl-NL"/>
        </w:rPr>
        <w:t>9.2</w:t>
      </w:r>
      <w:r>
        <w:rPr>
          <w:lang w:val="pl-PL"/>
        </w:rPr>
        <w:t xml:space="preserve">% over the same period last year and passenger traffic was </w:t>
      </w:r>
      <w:r>
        <w:rPr>
          <w:lang w:val="nl-NL"/>
        </w:rPr>
        <w:t xml:space="preserve">45.2 </w:t>
      </w:r>
      <w:r>
        <w:rPr>
          <w:lang w:val="pl-PL"/>
        </w:rPr>
        <w:t xml:space="preserve">billion passengers.km, increased by </w:t>
      </w:r>
      <w:r>
        <w:rPr>
          <w:lang w:val="nl-NL"/>
        </w:rPr>
        <w:t>11.8</w:t>
      </w:r>
      <w:r>
        <w:rPr>
          <w:lang w:val="pl-PL"/>
        </w:rPr>
        <w:t xml:space="preserve">%. </w:t>
      </w:r>
      <w:r w:rsidR="00D83303">
        <w:rPr>
          <w:lang w:val="pl-PL"/>
        </w:rPr>
        <w:t xml:space="preserve">Of </w:t>
      </w:r>
      <w:r>
        <w:rPr>
          <w:lang w:val="pl-PL"/>
        </w:rPr>
        <w:t xml:space="preserve">which, domestic transport reached </w:t>
      </w:r>
      <w:r>
        <w:rPr>
          <w:lang w:val="nl-NL"/>
        </w:rPr>
        <w:t xml:space="preserve">806.1 </w:t>
      </w:r>
      <w:r>
        <w:rPr>
          <w:lang w:val="pl-PL"/>
        </w:rPr>
        <w:t xml:space="preserve">million passengers, up </w:t>
      </w:r>
      <w:r>
        <w:rPr>
          <w:lang w:val="nl-NL"/>
        </w:rPr>
        <w:t>9.1</w:t>
      </w:r>
      <w:r>
        <w:rPr>
          <w:lang w:val="pl-PL"/>
        </w:rPr>
        <w:t xml:space="preserve">% over the same period last year and </w:t>
      </w:r>
      <w:r>
        <w:rPr>
          <w:lang w:val="nl-NL"/>
        </w:rPr>
        <w:t xml:space="preserve">34.9 </w:t>
      </w:r>
      <w:r>
        <w:rPr>
          <w:lang w:val="pl-PL"/>
        </w:rPr>
        <w:t xml:space="preserve">billion passengers-kilometers, up </w:t>
      </w:r>
      <w:r>
        <w:rPr>
          <w:lang w:val="nl-NL"/>
        </w:rPr>
        <w:t>3.8</w:t>
      </w:r>
      <w:r>
        <w:rPr>
          <w:lang w:val="pl-PL"/>
        </w:rPr>
        <w:t xml:space="preserve">%; overseas transport reached </w:t>
      </w:r>
      <w:r>
        <w:rPr>
          <w:lang w:val="nl-NL"/>
        </w:rPr>
        <w:t xml:space="preserve">3 </w:t>
      </w:r>
      <w:r>
        <w:rPr>
          <w:lang w:val="pl-PL"/>
        </w:rPr>
        <w:t xml:space="preserve">million passengers, increased by 37.5% and </w:t>
      </w:r>
      <w:r>
        <w:rPr>
          <w:lang w:val="nl-NL"/>
        </w:rPr>
        <w:t xml:space="preserve">10.3 </w:t>
      </w:r>
      <w:r>
        <w:rPr>
          <w:lang w:val="pl-PL"/>
        </w:rPr>
        <w:t xml:space="preserve">billion passengers-kilometers, </w:t>
      </w:r>
      <w:r>
        <w:rPr>
          <w:lang w:val="nl-NL"/>
        </w:rPr>
        <w:t>up 51.2% compared to</w:t>
      </w:r>
      <w:r>
        <w:rPr>
          <w:lang w:val="pl-PL"/>
        </w:rPr>
        <w:t xml:space="preserve"> the same period last year. </w:t>
      </w:r>
    </w:p>
    <w:p w14:paraId="12C08302" w14:textId="77777777" w:rsidR="005B0F44" w:rsidRDefault="005B0F44" w:rsidP="00AB00B5">
      <w:pPr>
        <w:tabs>
          <w:tab w:val="left" w:pos="567"/>
        </w:tabs>
        <w:spacing w:beforeLines="40" w:before="96" w:afterLines="40" w:after="96" w:line="276" w:lineRule="auto"/>
        <w:ind w:firstLine="567"/>
        <w:jc w:val="both"/>
        <w:rPr>
          <w:rFonts w:ascii="Arial" w:hAnsi="Arial" w:cs="Arial"/>
          <w:b/>
          <w:sz w:val="16"/>
          <w:szCs w:val="20"/>
          <w:lang w:val="pl-PL"/>
        </w:rPr>
      </w:pPr>
      <w:r>
        <w:rPr>
          <w:lang w:val="pl-PL"/>
        </w:rPr>
        <w:t>In terms of transportation, all types of transport in the first 2 months of 2024 increased compared to the same period last year.</w:t>
      </w:r>
    </w:p>
    <w:p w14:paraId="7E6E9FBE" w14:textId="77777777" w:rsidR="005B0F44" w:rsidRPr="00AB00B5" w:rsidRDefault="005B0F44" w:rsidP="00FA1C14">
      <w:pPr>
        <w:spacing w:beforeLines="40" w:before="96" w:afterLines="40" w:after="96" w:line="264" w:lineRule="auto"/>
        <w:ind w:firstLine="567"/>
        <w:jc w:val="center"/>
        <w:rPr>
          <w:rFonts w:ascii="Arial" w:hAnsi="Arial" w:cs="Arial"/>
          <w:b/>
          <w:bCs/>
          <w:sz w:val="24"/>
          <w:szCs w:val="24"/>
          <w:lang w:val="fr-FR"/>
        </w:rPr>
      </w:pPr>
      <w:r w:rsidRPr="00AB00B5">
        <w:rPr>
          <w:rFonts w:ascii="Arial" w:hAnsi="Arial" w:cs="Arial"/>
          <w:b/>
          <w:bCs/>
          <w:iCs/>
          <w:sz w:val="24"/>
          <w:szCs w:val="24"/>
          <w:lang w:val="fr-FR"/>
        </w:rPr>
        <w:t>Table 6</w:t>
      </w:r>
      <w:r w:rsidRPr="00AB00B5">
        <w:rPr>
          <w:rFonts w:ascii="Arial" w:hAnsi="Arial" w:cs="Arial" w:hint="eastAsia"/>
          <w:b/>
          <w:bCs/>
          <w:iCs/>
          <w:sz w:val="24"/>
          <w:szCs w:val="24"/>
          <w:lang w:val="fr-FR"/>
        </w:rPr>
        <w:t> </w:t>
      </w:r>
      <w:r w:rsidRPr="00AB00B5">
        <w:rPr>
          <w:rFonts w:ascii="Arial" w:hAnsi="Arial" w:cs="Arial"/>
          <w:b/>
          <w:bCs/>
          <w:iCs/>
          <w:sz w:val="24"/>
          <w:szCs w:val="24"/>
          <w:lang w:val="fr-FR"/>
        </w:rPr>
        <w:t xml:space="preserve">: Passengers transport in the first 2 months of 2024 </w:t>
      </w:r>
      <w:r w:rsidRPr="00AB00B5">
        <w:rPr>
          <w:rFonts w:ascii="Arial" w:hAnsi="Arial" w:cs="Arial"/>
          <w:b/>
          <w:bCs/>
          <w:iCs/>
          <w:sz w:val="24"/>
          <w:szCs w:val="24"/>
          <w:lang w:val="fr-FR"/>
        </w:rPr>
        <w:br/>
      </w:r>
      <w:r w:rsidRPr="00AB00B5">
        <w:rPr>
          <w:rFonts w:ascii="Arial" w:hAnsi="Arial" w:cs="Arial"/>
          <w:b/>
          <w:bCs/>
          <w:sz w:val="24"/>
          <w:szCs w:val="24"/>
          <w:lang w:val="fr-FR"/>
        </w:rPr>
        <w:t>by types of transport</w:t>
      </w:r>
    </w:p>
    <w:tbl>
      <w:tblPr>
        <w:tblW w:w="9236" w:type="dxa"/>
        <w:jc w:val="center"/>
        <w:tblBorders>
          <w:top w:val="single" w:sz="4" w:space="0" w:color="auto"/>
        </w:tblBorders>
        <w:tblLook w:val="04A0" w:firstRow="1" w:lastRow="0" w:firstColumn="1" w:lastColumn="0" w:noHBand="0" w:noVBand="1"/>
      </w:tblPr>
      <w:tblGrid>
        <w:gridCol w:w="1887"/>
        <w:gridCol w:w="1886"/>
        <w:gridCol w:w="2394"/>
        <w:gridCol w:w="1666"/>
        <w:gridCol w:w="1403"/>
      </w:tblGrid>
      <w:tr w:rsidR="005B0F44" w14:paraId="2B967417" w14:textId="77777777" w:rsidTr="00AB00B5">
        <w:trPr>
          <w:trHeight w:val="378"/>
          <w:jc w:val="center"/>
        </w:trPr>
        <w:tc>
          <w:tcPr>
            <w:tcW w:w="1887" w:type="dxa"/>
            <w:vAlign w:val="center"/>
            <w:hideMark/>
          </w:tcPr>
          <w:p w14:paraId="74F328D1" w14:textId="77777777" w:rsidR="005B0F44" w:rsidRDefault="005B0F44" w:rsidP="00FA1C14">
            <w:pPr>
              <w:spacing w:beforeLines="40" w:before="96" w:afterLines="40" w:after="96" w:line="264" w:lineRule="auto"/>
              <w:ind w:firstLine="567"/>
              <w:rPr>
                <w:rFonts w:ascii="Times New Roman Bold" w:hAnsi="Times New Roman Bold"/>
                <w:b/>
                <w:bCs/>
                <w:lang w:val="fr-FR"/>
              </w:rPr>
            </w:pPr>
          </w:p>
        </w:tc>
        <w:tc>
          <w:tcPr>
            <w:tcW w:w="4280" w:type="dxa"/>
            <w:gridSpan w:val="2"/>
            <w:tcBorders>
              <w:top w:val="single" w:sz="4" w:space="0" w:color="auto"/>
              <w:bottom w:val="single" w:sz="4" w:space="0" w:color="auto"/>
            </w:tcBorders>
            <w:vAlign w:val="center"/>
            <w:hideMark/>
          </w:tcPr>
          <w:p w14:paraId="2F71D03D" w14:textId="40C2C9F8" w:rsidR="005B0F44" w:rsidRDefault="005B0F44" w:rsidP="00B1459C">
            <w:pPr>
              <w:spacing w:beforeLines="40" w:before="96" w:afterLines="40" w:after="96" w:line="264" w:lineRule="auto"/>
              <w:ind w:firstLine="205"/>
              <w:jc w:val="center"/>
              <w:rPr>
                <w:rFonts w:ascii="Arial" w:hAnsi="Arial" w:cs="Arial"/>
                <w:sz w:val="20"/>
                <w:szCs w:val="20"/>
                <w:lang w:eastAsia="vi-VN"/>
              </w:rPr>
            </w:pPr>
            <w:r>
              <w:rPr>
                <w:rFonts w:ascii="Arial" w:hAnsi="Arial" w:cs="Arial"/>
                <w:iCs/>
                <w:sz w:val="20"/>
                <w:szCs w:val="20"/>
                <w:lang w:eastAsia="vi-VN"/>
              </w:rPr>
              <w:t>Number of passenger</w:t>
            </w:r>
            <w:r w:rsidR="00B1459C">
              <w:rPr>
                <w:rFonts w:ascii="Arial" w:hAnsi="Arial" w:cs="Arial"/>
                <w:iCs/>
                <w:sz w:val="20"/>
                <w:szCs w:val="20"/>
                <w:lang w:eastAsia="vi-VN"/>
              </w:rPr>
              <w:t>s</w:t>
            </w:r>
          </w:p>
        </w:tc>
        <w:tc>
          <w:tcPr>
            <w:tcW w:w="3069" w:type="dxa"/>
            <w:gridSpan w:val="2"/>
            <w:tcBorders>
              <w:top w:val="single" w:sz="4" w:space="0" w:color="auto"/>
              <w:bottom w:val="single" w:sz="4" w:space="0" w:color="auto"/>
            </w:tcBorders>
            <w:vAlign w:val="center"/>
            <w:hideMark/>
          </w:tcPr>
          <w:p w14:paraId="3C4E86CE" w14:textId="77777777" w:rsidR="005B0F44" w:rsidRDefault="005B0F44" w:rsidP="00B1459C">
            <w:pPr>
              <w:spacing w:beforeLines="40" w:before="96" w:afterLines="40" w:after="96" w:line="264" w:lineRule="auto"/>
              <w:ind w:firstLine="77"/>
              <w:jc w:val="center"/>
              <w:rPr>
                <w:rFonts w:ascii="Arial" w:hAnsi="Arial" w:cs="Arial"/>
                <w:color w:val="000000"/>
                <w:sz w:val="20"/>
                <w:szCs w:val="20"/>
                <w:lang w:eastAsia="vi-VN"/>
              </w:rPr>
            </w:pPr>
            <w:r>
              <w:rPr>
                <w:rFonts w:ascii="Arial" w:hAnsi="Arial" w:cs="Arial"/>
                <w:color w:val="000000"/>
                <w:sz w:val="20"/>
                <w:szCs w:val="20"/>
                <w:lang w:eastAsia="vi-VN"/>
              </w:rPr>
              <w:t>Growth rate compared to the same period last year (%)</w:t>
            </w:r>
          </w:p>
        </w:tc>
      </w:tr>
      <w:tr w:rsidR="005B0F44" w14:paraId="6452FAC9" w14:textId="77777777" w:rsidTr="00AB00B5">
        <w:trPr>
          <w:trHeight w:val="376"/>
          <w:jc w:val="center"/>
        </w:trPr>
        <w:tc>
          <w:tcPr>
            <w:tcW w:w="1887" w:type="dxa"/>
            <w:vAlign w:val="center"/>
            <w:hideMark/>
          </w:tcPr>
          <w:p w14:paraId="45F0555F" w14:textId="77777777" w:rsidR="005B0F44" w:rsidRDefault="005B0F44" w:rsidP="00FA1C14">
            <w:pPr>
              <w:spacing w:beforeLines="40" w:before="96" w:afterLines="40" w:after="96" w:line="264" w:lineRule="auto"/>
              <w:ind w:firstLine="567"/>
              <w:rPr>
                <w:rFonts w:ascii="Arial" w:hAnsi="Arial" w:cs="Arial"/>
                <w:color w:val="000000"/>
                <w:sz w:val="20"/>
                <w:szCs w:val="20"/>
                <w:lang w:eastAsia="vi-VN"/>
              </w:rPr>
            </w:pPr>
          </w:p>
        </w:tc>
        <w:tc>
          <w:tcPr>
            <w:tcW w:w="1886" w:type="dxa"/>
            <w:tcBorders>
              <w:top w:val="single" w:sz="4" w:space="0" w:color="auto"/>
              <w:bottom w:val="single" w:sz="4" w:space="0" w:color="auto"/>
            </w:tcBorders>
            <w:vAlign w:val="center"/>
            <w:hideMark/>
          </w:tcPr>
          <w:p w14:paraId="3007EE23" w14:textId="77777777" w:rsidR="005B0F44" w:rsidRDefault="005B0F44" w:rsidP="00B1459C">
            <w:pPr>
              <w:spacing w:beforeLines="40" w:before="96" w:afterLines="40" w:after="96" w:line="264" w:lineRule="auto"/>
              <w:jc w:val="center"/>
              <w:rPr>
                <w:rFonts w:ascii="Arial" w:hAnsi="Arial" w:cs="Arial"/>
                <w:sz w:val="20"/>
                <w:szCs w:val="20"/>
                <w:lang w:eastAsia="vi-VN"/>
              </w:rPr>
            </w:pPr>
            <w:r>
              <w:rPr>
                <w:rFonts w:ascii="Arial" w:hAnsi="Arial" w:cs="Arial"/>
                <w:sz w:val="20"/>
                <w:szCs w:val="20"/>
                <w:lang w:eastAsia="vi-VN"/>
              </w:rPr>
              <w:t>Carried</w:t>
            </w:r>
            <w:r>
              <w:rPr>
                <w:rFonts w:ascii="Arial" w:hAnsi="Arial" w:cs="Arial"/>
                <w:sz w:val="20"/>
                <w:szCs w:val="20"/>
                <w:lang w:eastAsia="vi-VN"/>
              </w:rPr>
              <w:br/>
              <w:t>(Mill. passengers)</w:t>
            </w:r>
          </w:p>
        </w:tc>
        <w:tc>
          <w:tcPr>
            <w:tcW w:w="2394" w:type="dxa"/>
            <w:tcBorders>
              <w:top w:val="single" w:sz="4" w:space="0" w:color="auto"/>
              <w:bottom w:val="single" w:sz="4" w:space="0" w:color="auto"/>
            </w:tcBorders>
            <w:vAlign w:val="center"/>
            <w:hideMark/>
          </w:tcPr>
          <w:p w14:paraId="3B477946" w14:textId="77777777" w:rsidR="005B0F44" w:rsidRDefault="005B0F44" w:rsidP="00B1459C">
            <w:pPr>
              <w:spacing w:beforeLines="40" w:before="96" w:afterLines="40" w:after="96" w:line="264" w:lineRule="auto"/>
              <w:ind w:hanging="214"/>
              <w:jc w:val="center"/>
              <w:rPr>
                <w:rFonts w:ascii="Arial" w:hAnsi="Arial" w:cs="Arial"/>
                <w:sz w:val="20"/>
                <w:szCs w:val="20"/>
                <w:lang w:eastAsia="vi-VN"/>
              </w:rPr>
            </w:pPr>
            <w:r>
              <w:rPr>
                <w:rFonts w:ascii="Arial" w:hAnsi="Arial" w:cs="Arial"/>
                <w:sz w:val="20"/>
                <w:szCs w:val="20"/>
                <w:lang w:eastAsia="vi-VN"/>
              </w:rPr>
              <w:t>Traffic</w:t>
            </w:r>
            <w:r>
              <w:rPr>
                <w:rFonts w:ascii="Arial" w:hAnsi="Arial" w:cs="Arial"/>
                <w:sz w:val="20"/>
                <w:szCs w:val="20"/>
                <w:lang w:eastAsia="vi-VN"/>
              </w:rPr>
              <w:br/>
              <w:t>(Bill. passengers-km)</w:t>
            </w:r>
          </w:p>
        </w:tc>
        <w:tc>
          <w:tcPr>
            <w:tcW w:w="1666" w:type="dxa"/>
            <w:tcBorders>
              <w:top w:val="single" w:sz="4" w:space="0" w:color="auto"/>
              <w:bottom w:val="single" w:sz="4" w:space="0" w:color="auto"/>
            </w:tcBorders>
            <w:vAlign w:val="center"/>
            <w:hideMark/>
          </w:tcPr>
          <w:p w14:paraId="400453FD" w14:textId="77777777" w:rsidR="005B0F44" w:rsidRDefault="005B0F44" w:rsidP="00FA1C14">
            <w:pPr>
              <w:spacing w:beforeLines="40" w:before="96" w:afterLines="40" w:after="96" w:line="264" w:lineRule="auto"/>
              <w:ind w:firstLine="567"/>
              <w:jc w:val="center"/>
              <w:rPr>
                <w:rFonts w:ascii="Arial" w:hAnsi="Arial" w:cs="Arial"/>
                <w:sz w:val="20"/>
                <w:szCs w:val="20"/>
                <w:lang w:eastAsia="vi-VN"/>
              </w:rPr>
            </w:pPr>
            <w:bookmarkStart w:id="3" w:name="_Hlk116907733"/>
            <w:r>
              <w:rPr>
                <w:rFonts w:ascii="Arial" w:hAnsi="Arial" w:cs="Arial"/>
                <w:sz w:val="20"/>
                <w:szCs w:val="20"/>
                <w:lang w:eastAsia="vi-VN"/>
              </w:rPr>
              <w:t>Carried</w:t>
            </w:r>
            <w:bookmarkEnd w:id="3"/>
          </w:p>
        </w:tc>
        <w:tc>
          <w:tcPr>
            <w:tcW w:w="1402" w:type="dxa"/>
            <w:tcBorders>
              <w:top w:val="single" w:sz="4" w:space="0" w:color="auto"/>
              <w:bottom w:val="single" w:sz="4" w:space="0" w:color="auto"/>
            </w:tcBorders>
            <w:vAlign w:val="center"/>
            <w:hideMark/>
          </w:tcPr>
          <w:p w14:paraId="0116D76C" w14:textId="77777777" w:rsidR="005B0F44" w:rsidRDefault="005B0F44" w:rsidP="00FA1C14">
            <w:pPr>
              <w:spacing w:beforeLines="40" w:before="96" w:afterLines="40" w:after="96" w:line="264" w:lineRule="auto"/>
              <w:ind w:firstLine="567"/>
              <w:jc w:val="center"/>
              <w:rPr>
                <w:rFonts w:ascii="Arial" w:hAnsi="Arial" w:cs="Arial"/>
                <w:sz w:val="20"/>
                <w:szCs w:val="20"/>
                <w:lang w:eastAsia="vi-VN"/>
              </w:rPr>
            </w:pPr>
            <w:r>
              <w:rPr>
                <w:rFonts w:ascii="Arial" w:hAnsi="Arial" w:cs="Arial"/>
                <w:sz w:val="20"/>
                <w:szCs w:val="20"/>
                <w:lang w:eastAsia="vi-VN"/>
              </w:rPr>
              <w:t>Traffic</w:t>
            </w:r>
          </w:p>
        </w:tc>
      </w:tr>
      <w:tr w:rsidR="005B0F44" w14:paraId="5023F462" w14:textId="77777777" w:rsidTr="00AB00B5">
        <w:trPr>
          <w:trHeight w:val="250"/>
          <w:jc w:val="center"/>
        </w:trPr>
        <w:tc>
          <w:tcPr>
            <w:tcW w:w="1887" w:type="dxa"/>
            <w:noWrap/>
            <w:vAlign w:val="center"/>
            <w:hideMark/>
          </w:tcPr>
          <w:p w14:paraId="5E6BE5D5" w14:textId="77777777" w:rsidR="005B0F44" w:rsidRDefault="005B0F44" w:rsidP="00924457">
            <w:pPr>
              <w:spacing w:beforeLines="40" w:before="96" w:afterLines="40" w:after="96" w:line="264" w:lineRule="auto"/>
              <w:ind w:firstLine="142"/>
              <w:jc w:val="both"/>
              <w:rPr>
                <w:rFonts w:ascii="Arial" w:hAnsi="Arial" w:cs="Arial"/>
                <w:b/>
                <w:bCs/>
                <w:sz w:val="20"/>
                <w:szCs w:val="20"/>
                <w:lang w:eastAsia="vi-VN"/>
              </w:rPr>
            </w:pPr>
            <w:r>
              <w:rPr>
                <w:rFonts w:ascii="Arial" w:hAnsi="Arial" w:cs="Arial"/>
                <w:b/>
                <w:bCs/>
                <w:sz w:val="20"/>
                <w:szCs w:val="20"/>
                <w:lang w:eastAsia="vi-VN"/>
              </w:rPr>
              <w:t>Total</w:t>
            </w:r>
          </w:p>
        </w:tc>
        <w:tc>
          <w:tcPr>
            <w:tcW w:w="1886" w:type="dxa"/>
            <w:tcBorders>
              <w:top w:val="single" w:sz="4" w:space="0" w:color="auto"/>
            </w:tcBorders>
            <w:shd w:val="clear" w:color="auto" w:fill="auto"/>
            <w:noWrap/>
            <w:vAlign w:val="center"/>
            <w:hideMark/>
          </w:tcPr>
          <w:p w14:paraId="6C5D0880" w14:textId="77777777" w:rsidR="005B0F44" w:rsidRDefault="005B0F44" w:rsidP="00924457">
            <w:pPr>
              <w:spacing w:beforeLines="40" w:before="96" w:afterLines="40" w:after="96" w:line="264" w:lineRule="auto"/>
              <w:ind w:right="600" w:firstLine="142"/>
              <w:jc w:val="right"/>
              <w:rPr>
                <w:rFonts w:ascii="Arial" w:hAnsi="Arial" w:cs="Arial"/>
                <w:b/>
                <w:bCs/>
                <w:sz w:val="20"/>
                <w:szCs w:val="20"/>
              </w:rPr>
            </w:pPr>
            <w:r w:rsidRPr="00054D8C">
              <w:rPr>
                <w:rFonts w:ascii="Arial" w:hAnsi="Arial" w:cs="Arial"/>
                <w:b/>
                <w:color w:val="000000"/>
                <w:sz w:val="20"/>
                <w:szCs w:val="20"/>
              </w:rPr>
              <w:t>809</w:t>
            </w:r>
            <w:r>
              <w:rPr>
                <w:rFonts w:ascii="Arial" w:hAnsi="Arial" w:cs="Arial"/>
                <w:b/>
                <w:color w:val="000000"/>
                <w:sz w:val="20"/>
                <w:szCs w:val="20"/>
              </w:rPr>
              <w:t>,</w:t>
            </w:r>
            <w:r w:rsidRPr="00054D8C">
              <w:rPr>
                <w:rFonts w:ascii="Arial" w:hAnsi="Arial" w:cs="Arial"/>
                <w:b/>
                <w:color w:val="000000"/>
                <w:sz w:val="20"/>
                <w:szCs w:val="20"/>
              </w:rPr>
              <w:t>1</w:t>
            </w:r>
          </w:p>
        </w:tc>
        <w:tc>
          <w:tcPr>
            <w:tcW w:w="2394" w:type="dxa"/>
            <w:tcBorders>
              <w:top w:val="single" w:sz="4" w:space="0" w:color="auto"/>
            </w:tcBorders>
            <w:shd w:val="clear" w:color="auto" w:fill="auto"/>
            <w:noWrap/>
            <w:vAlign w:val="center"/>
            <w:hideMark/>
          </w:tcPr>
          <w:p w14:paraId="481BF476" w14:textId="77777777" w:rsidR="005B0F44" w:rsidRDefault="005B0F44" w:rsidP="00924457">
            <w:pPr>
              <w:spacing w:beforeLines="40" w:before="96" w:afterLines="40" w:after="96" w:line="264" w:lineRule="auto"/>
              <w:ind w:right="743" w:firstLine="142"/>
              <w:jc w:val="right"/>
              <w:rPr>
                <w:rFonts w:ascii="Arial" w:hAnsi="Arial" w:cs="Arial"/>
                <w:b/>
                <w:bCs/>
                <w:sz w:val="20"/>
                <w:szCs w:val="20"/>
              </w:rPr>
            </w:pPr>
            <w:r w:rsidRPr="00054D8C">
              <w:rPr>
                <w:rFonts w:ascii="Arial" w:hAnsi="Arial" w:cs="Arial"/>
                <w:b/>
                <w:color w:val="000000"/>
                <w:sz w:val="20"/>
                <w:szCs w:val="20"/>
              </w:rPr>
              <w:t>45</w:t>
            </w:r>
            <w:r>
              <w:rPr>
                <w:rFonts w:ascii="Arial" w:hAnsi="Arial" w:cs="Arial"/>
                <w:b/>
                <w:color w:val="000000"/>
                <w:sz w:val="20"/>
                <w:szCs w:val="20"/>
              </w:rPr>
              <w:t>,</w:t>
            </w:r>
            <w:r w:rsidRPr="00054D8C">
              <w:rPr>
                <w:rFonts w:ascii="Arial" w:hAnsi="Arial" w:cs="Arial"/>
                <w:b/>
                <w:color w:val="000000"/>
                <w:sz w:val="20"/>
                <w:szCs w:val="20"/>
              </w:rPr>
              <w:t>2</w:t>
            </w:r>
          </w:p>
        </w:tc>
        <w:tc>
          <w:tcPr>
            <w:tcW w:w="1666" w:type="dxa"/>
            <w:tcBorders>
              <w:top w:val="single" w:sz="4" w:space="0" w:color="auto"/>
            </w:tcBorders>
            <w:shd w:val="clear" w:color="auto" w:fill="auto"/>
            <w:noWrap/>
            <w:vAlign w:val="center"/>
            <w:hideMark/>
          </w:tcPr>
          <w:p w14:paraId="737E2450" w14:textId="77777777" w:rsidR="005B0F44" w:rsidRDefault="005B0F44" w:rsidP="00924457">
            <w:pPr>
              <w:spacing w:beforeLines="40" w:before="96" w:afterLines="40" w:after="96" w:line="264" w:lineRule="auto"/>
              <w:ind w:right="435" w:firstLine="142"/>
              <w:jc w:val="right"/>
              <w:rPr>
                <w:rFonts w:ascii="Arial" w:hAnsi="Arial" w:cs="Arial"/>
                <w:b/>
                <w:bCs/>
                <w:sz w:val="20"/>
                <w:szCs w:val="20"/>
              </w:rPr>
            </w:pPr>
            <w:r w:rsidRPr="00054D8C">
              <w:rPr>
                <w:rFonts w:ascii="Arial" w:hAnsi="Arial" w:cs="Arial"/>
                <w:b/>
                <w:color w:val="000000"/>
                <w:sz w:val="20"/>
                <w:szCs w:val="20"/>
              </w:rPr>
              <w:t>9</w:t>
            </w:r>
            <w:r>
              <w:rPr>
                <w:rFonts w:ascii="Arial" w:hAnsi="Arial" w:cs="Arial"/>
                <w:b/>
                <w:color w:val="000000"/>
                <w:sz w:val="20"/>
                <w:szCs w:val="20"/>
              </w:rPr>
              <w:t>,</w:t>
            </w:r>
            <w:r w:rsidRPr="00054D8C">
              <w:rPr>
                <w:rFonts w:ascii="Arial" w:hAnsi="Arial" w:cs="Arial"/>
                <w:b/>
                <w:color w:val="000000"/>
                <w:sz w:val="20"/>
                <w:szCs w:val="20"/>
              </w:rPr>
              <w:t>2</w:t>
            </w:r>
          </w:p>
        </w:tc>
        <w:tc>
          <w:tcPr>
            <w:tcW w:w="1402" w:type="dxa"/>
            <w:tcBorders>
              <w:top w:val="single" w:sz="4" w:space="0" w:color="auto"/>
            </w:tcBorders>
            <w:shd w:val="clear" w:color="auto" w:fill="auto"/>
            <w:noWrap/>
            <w:vAlign w:val="center"/>
            <w:hideMark/>
          </w:tcPr>
          <w:p w14:paraId="4943FBE9" w14:textId="77777777" w:rsidR="005B0F44" w:rsidRDefault="005B0F44" w:rsidP="00924457">
            <w:pPr>
              <w:spacing w:beforeLines="40" w:before="96" w:afterLines="40" w:after="96" w:line="264" w:lineRule="auto"/>
              <w:ind w:right="435" w:firstLine="142"/>
              <w:jc w:val="right"/>
              <w:rPr>
                <w:rFonts w:ascii="Arial" w:hAnsi="Arial" w:cs="Arial"/>
                <w:b/>
                <w:bCs/>
                <w:sz w:val="20"/>
                <w:szCs w:val="20"/>
              </w:rPr>
            </w:pPr>
            <w:r w:rsidRPr="00054D8C">
              <w:rPr>
                <w:rFonts w:ascii="Arial" w:hAnsi="Arial" w:cs="Arial"/>
                <w:b/>
                <w:color w:val="000000"/>
                <w:sz w:val="20"/>
                <w:szCs w:val="20"/>
              </w:rPr>
              <w:t>11</w:t>
            </w:r>
            <w:r>
              <w:rPr>
                <w:rFonts w:ascii="Arial" w:hAnsi="Arial" w:cs="Arial"/>
                <w:b/>
                <w:color w:val="000000"/>
                <w:sz w:val="20"/>
                <w:szCs w:val="20"/>
              </w:rPr>
              <w:t>,</w:t>
            </w:r>
            <w:r w:rsidRPr="00054D8C">
              <w:rPr>
                <w:rFonts w:ascii="Arial" w:hAnsi="Arial" w:cs="Arial"/>
                <w:b/>
                <w:color w:val="000000"/>
                <w:sz w:val="20"/>
                <w:szCs w:val="20"/>
              </w:rPr>
              <w:t>8</w:t>
            </w:r>
          </w:p>
        </w:tc>
      </w:tr>
      <w:tr w:rsidR="005B0F44" w14:paraId="498F9135" w14:textId="77777777" w:rsidTr="00AB00B5">
        <w:trPr>
          <w:trHeight w:val="212"/>
          <w:jc w:val="center"/>
        </w:trPr>
        <w:tc>
          <w:tcPr>
            <w:tcW w:w="1887" w:type="dxa"/>
            <w:noWrap/>
            <w:vAlign w:val="center"/>
            <w:hideMark/>
          </w:tcPr>
          <w:p w14:paraId="0E632C2C" w14:textId="77777777" w:rsidR="005B0F44" w:rsidRDefault="005B0F44" w:rsidP="00924457">
            <w:pPr>
              <w:tabs>
                <w:tab w:val="left" w:pos="407"/>
              </w:tabs>
              <w:spacing w:beforeLines="40" w:before="96" w:afterLines="40" w:after="96" w:line="264" w:lineRule="auto"/>
              <w:ind w:firstLine="142"/>
              <w:jc w:val="both"/>
              <w:rPr>
                <w:rFonts w:ascii="Arial" w:hAnsi="Arial" w:cs="Arial"/>
                <w:sz w:val="20"/>
                <w:szCs w:val="20"/>
                <w:lang w:eastAsia="vi-VN"/>
              </w:rPr>
            </w:pPr>
            <w:r>
              <w:rPr>
                <w:rFonts w:ascii="Arial" w:hAnsi="Arial" w:cs="Arial"/>
                <w:sz w:val="20"/>
                <w:szCs w:val="20"/>
                <w:lang w:eastAsia="vi-VN"/>
              </w:rPr>
              <w:t>Rail way</w:t>
            </w:r>
          </w:p>
        </w:tc>
        <w:tc>
          <w:tcPr>
            <w:tcW w:w="1886" w:type="dxa"/>
            <w:shd w:val="clear" w:color="auto" w:fill="auto"/>
            <w:noWrap/>
            <w:vAlign w:val="center"/>
            <w:hideMark/>
          </w:tcPr>
          <w:p w14:paraId="0DA23BED" w14:textId="77777777" w:rsidR="005B0F44" w:rsidRDefault="005B0F44" w:rsidP="00924457">
            <w:pPr>
              <w:spacing w:beforeLines="40" w:before="96" w:afterLines="40" w:after="96" w:line="264" w:lineRule="auto"/>
              <w:ind w:right="600" w:firstLine="142"/>
              <w:jc w:val="right"/>
              <w:rPr>
                <w:rFonts w:ascii="Arial" w:hAnsi="Arial" w:cs="Arial"/>
                <w:sz w:val="20"/>
                <w:szCs w:val="20"/>
              </w:rPr>
            </w:pPr>
            <w:r>
              <w:rPr>
                <w:rFonts w:ascii="Arial" w:hAnsi="Arial" w:cs="Arial"/>
                <w:color w:val="000000"/>
                <w:sz w:val="20"/>
                <w:szCs w:val="20"/>
              </w:rPr>
              <w:t>1,3</w:t>
            </w:r>
          </w:p>
        </w:tc>
        <w:tc>
          <w:tcPr>
            <w:tcW w:w="2394" w:type="dxa"/>
            <w:shd w:val="clear" w:color="auto" w:fill="auto"/>
            <w:noWrap/>
            <w:vAlign w:val="center"/>
            <w:hideMark/>
          </w:tcPr>
          <w:p w14:paraId="23E19F75" w14:textId="77777777" w:rsidR="005B0F44" w:rsidRDefault="005B0F44" w:rsidP="00924457">
            <w:pPr>
              <w:spacing w:beforeLines="40" w:before="96" w:afterLines="40" w:after="96" w:line="264" w:lineRule="auto"/>
              <w:ind w:right="743" w:firstLine="142"/>
              <w:jc w:val="right"/>
              <w:rPr>
                <w:rFonts w:ascii="Arial" w:hAnsi="Arial" w:cs="Arial"/>
                <w:sz w:val="20"/>
                <w:szCs w:val="20"/>
              </w:rPr>
            </w:pPr>
            <w:r>
              <w:rPr>
                <w:rFonts w:ascii="Arial" w:hAnsi="Arial" w:cs="Arial"/>
                <w:color w:val="000000"/>
                <w:sz w:val="20"/>
                <w:szCs w:val="20"/>
              </w:rPr>
              <w:t>0,5</w:t>
            </w:r>
          </w:p>
        </w:tc>
        <w:tc>
          <w:tcPr>
            <w:tcW w:w="1666" w:type="dxa"/>
            <w:shd w:val="clear" w:color="auto" w:fill="auto"/>
            <w:noWrap/>
            <w:vAlign w:val="center"/>
            <w:hideMark/>
          </w:tcPr>
          <w:p w14:paraId="21AF135D" w14:textId="77777777" w:rsidR="005B0F44" w:rsidRDefault="005B0F44" w:rsidP="00924457">
            <w:pPr>
              <w:spacing w:beforeLines="40" w:before="96" w:afterLines="40" w:after="96" w:line="264" w:lineRule="auto"/>
              <w:ind w:right="435" w:firstLine="142"/>
              <w:jc w:val="right"/>
              <w:rPr>
                <w:rFonts w:ascii="Arial" w:hAnsi="Arial" w:cs="Arial"/>
                <w:sz w:val="20"/>
                <w:szCs w:val="20"/>
              </w:rPr>
            </w:pPr>
            <w:r>
              <w:rPr>
                <w:rFonts w:ascii="Arial" w:hAnsi="Arial" w:cs="Arial"/>
                <w:color w:val="000000"/>
                <w:sz w:val="20"/>
                <w:szCs w:val="20"/>
              </w:rPr>
              <w:t>19,0</w:t>
            </w:r>
          </w:p>
        </w:tc>
        <w:tc>
          <w:tcPr>
            <w:tcW w:w="1402" w:type="dxa"/>
            <w:shd w:val="clear" w:color="auto" w:fill="auto"/>
            <w:noWrap/>
            <w:vAlign w:val="center"/>
            <w:hideMark/>
          </w:tcPr>
          <w:p w14:paraId="548691AE" w14:textId="77777777" w:rsidR="005B0F44" w:rsidRDefault="005B0F44" w:rsidP="00924457">
            <w:pPr>
              <w:spacing w:beforeLines="40" w:before="96" w:afterLines="40" w:after="96" w:line="264" w:lineRule="auto"/>
              <w:ind w:right="435" w:firstLine="142"/>
              <w:jc w:val="right"/>
              <w:rPr>
                <w:rFonts w:ascii="Arial" w:hAnsi="Arial" w:cs="Arial"/>
                <w:sz w:val="20"/>
                <w:szCs w:val="20"/>
              </w:rPr>
            </w:pPr>
            <w:r>
              <w:rPr>
                <w:rFonts w:ascii="Arial" w:hAnsi="Arial" w:cs="Arial"/>
                <w:color w:val="000000"/>
                <w:sz w:val="20"/>
                <w:szCs w:val="20"/>
              </w:rPr>
              <w:t>18,9</w:t>
            </w:r>
          </w:p>
        </w:tc>
      </w:tr>
      <w:tr w:rsidR="005B0F44" w14:paraId="0DC0E513" w14:textId="77777777" w:rsidTr="00AB00B5">
        <w:trPr>
          <w:trHeight w:val="212"/>
          <w:jc w:val="center"/>
        </w:trPr>
        <w:tc>
          <w:tcPr>
            <w:tcW w:w="1887" w:type="dxa"/>
            <w:noWrap/>
            <w:vAlign w:val="center"/>
            <w:hideMark/>
          </w:tcPr>
          <w:p w14:paraId="23C285A8" w14:textId="77777777" w:rsidR="005B0F44" w:rsidRDefault="005B0F44" w:rsidP="00924457">
            <w:pPr>
              <w:tabs>
                <w:tab w:val="left" w:pos="407"/>
              </w:tabs>
              <w:spacing w:beforeLines="40" w:before="96" w:afterLines="40" w:after="96" w:line="264" w:lineRule="auto"/>
              <w:ind w:firstLine="142"/>
              <w:jc w:val="both"/>
              <w:rPr>
                <w:rFonts w:ascii="Arial" w:hAnsi="Arial" w:cs="Arial"/>
                <w:sz w:val="20"/>
                <w:szCs w:val="20"/>
                <w:lang w:eastAsia="vi-VN"/>
              </w:rPr>
            </w:pPr>
            <w:r>
              <w:rPr>
                <w:rFonts w:ascii="Arial" w:hAnsi="Arial" w:cs="Arial"/>
                <w:sz w:val="20"/>
                <w:szCs w:val="20"/>
                <w:lang w:eastAsia="vi-VN"/>
              </w:rPr>
              <w:t>Sea way</w:t>
            </w:r>
          </w:p>
        </w:tc>
        <w:tc>
          <w:tcPr>
            <w:tcW w:w="1886" w:type="dxa"/>
            <w:shd w:val="clear" w:color="auto" w:fill="auto"/>
            <w:noWrap/>
            <w:vAlign w:val="center"/>
            <w:hideMark/>
          </w:tcPr>
          <w:p w14:paraId="788E4AFB" w14:textId="77777777" w:rsidR="005B0F44" w:rsidRDefault="005B0F44" w:rsidP="00924457">
            <w:pPr>
              <w:spacing w:beforeLines="40" w:before="96" w:afterLines="40" w:after="96" w:line="264" w:lineRule="auto"/>
              <w:ind w:right="600" w:firstLine="142"/>
              <w:jc w:val="right"/>
              <w:rPr>
                <w:rFonts w:ascii="Arial" w:hAnsi="Arial" w:cs="Arial"/>
                <w:sz w:val="20"/>
                <w:szCs w:val="20"/>
              </w:rPr>
            </w:pPr>
            <w:r>
              <w:rPr>
                <w:rFonts w:ascii="Arial" w:hAnsi="Arial" w:cs="Arial"/>
                <w:color w:val="000000"/>
                <w:sz w:val="20"/>
                <w:szCs w:val="20"/>
              </w:rPr>
              <w:t>4,0</w:t>
            </w:r>
          </w:p>
        </w:tc>
        <w:tc>
          <w:tcPr>
            <w:tcW w:w="2394" w:type="dxa"/>
            <w:shd w:val="clear" w:color="auto" w:fill="auto"/>
            <w:noWrap/>
            <w:vAlign w:val="center"/>
            <w:hideMark/>
          </w:tcPr>
          <w:p w14:paraId="05DF6DEE" w14:textId="77777777" w:rsidR="005B0F44" w:rsidRDefault="005B0F44" w:rsidP="00924457">
            <w:pPr>
              <w:spacing w:beforeLines="40" w:before="96" w:afterLines="40" w:after="96" w:line="264" w:lineRule="auto"/>
              <w:ind w:right="743" w:firstLine="142"/>
              <w:jc w:val="right"/>
              <w:rPr>
                <w:rFonts w:ascii="Arial" w:hAnsi="Arial" w:cs="Arial"/>
                <w:sz w:val="20"/>
                <w:szCs w:val="20"/>
              </w:rPr>
            </w:pPr>
            <w:r>
              <w:rPr>
                <w:rFonts w:ascii="Arial" w:hAnsi="Arial" w:cs="Arial"/>
                <w:color w:val="000000"/>
                <w:sz w:val="20"/>
                <w:szCs w:val="20"/>
              </w:rPr>
              <w:t>0,2</w:t>
            </w:r>
          </w:p>
        </w:tc>
        <w:tc>
          <w:tcPr>
            <w:tcW w:w="1666" w:type="dxa"/>
            <w:shd w:val="clear" w:color="auto" w:fill="auto"/>
            <w:noWrap/>
            <w:vAlign w:val="center"/>
            <w:hideMark/>
          </w:tcPr>
          <w:p w14:paraId="678908EB" w14:textId="77777777" w:rsidR="005B0F44" w:rsidRDefault="005B0F44" w:rsidP="00924457">
            <w:pPr>
              <w:spacing w:beforeLines="40" w:before="96" w:afterLines="40" w:after="96" w:line="264" w:lineRule="auto"/>
              <w:ind w:right="435" w:firstLine="142"/>
              <w:jc w:val="right"/>
              <w:rPr>
                <w:rFonts w:ascii="Arial" w:hAnsi="Arial" w:cs="Arial"/>
                <w:sz w:val="20"/>
                <w:szCs w:val="20"/>
              </w:rPr>
            </w:pPr>
            <w:r>
              <w:rPr>
                <w:rFonts w:ascii="Arial" w:hAnsi="Arial" w:cs="Arial"/>
                <w:color w:val="000000"/>
                <w:sz w:val="20"/>
                <w:szCs w:val="20"/>
              </w:rPr>
              <w:t>10,2</w:t>
            </w:r>
          </w:p>
        </w:tc>
        <w:tc>
          <w:tcPr>
            <w:tcW w:w="1402" w:type="dxa"/>
            <w:shd w:val="clear" w:color="auto" w:fill="auto"/>
            <w:noWrap/>
            <w:vAlign w:val="center"/>
            <w:hideMark/>
          </w:tcPr>
          <w:p w14:paraId="0F2807D3" w14:textId="77777777" w:rsidR="005B0F44" w:rsidRDefault="005B0F44" w:rsidP="00924457">
            <w:pPr>
              <w:spacing w:beforeLines="40" w:before="96" w:afterLines="40" w:after="96" w:line="264" w:lineRule="auto"/>
              <w:ind w:right="435" w:firstLine="142"/>
              <w:jc w:val="right"/>
              <w:rPr>
                <w:rFonts w:ascii="Arial" w:hAnsi="Arial" w:cs="Arial"/>
                <w:sz w:val="20"/>
                <w:szCs w:val="20"/>
              </w:rPr>
            </w:pPr>
            <w:r>
              <w:rPr>
                <w:rFonts w:ascii="Arial" w:hAnsi="Arial" w:cs="Arial"/>
                <w:color w:val="000000"/>
                <w:sz w:val="20"/>
                <w:szCs w:val="20"/>
              </w:rPr>
              <w:t>16,4</w:t>
            </w:r>
          </w:p>
        </w:tc>
      </w:tr>
      <w:tr w:rsidR="005B0F44" w14:paraId="5C12E0C9" w14:textId="77777777" w:rsidTr="00AB00B5">
        <w:trPr>
          <w:trHeight w:val="212"/>
          <w:jc w:val="center"/>
        </w:trPr>
        <w:tc>
          <w:tcPr>
            <w:tcW w:w="1887" w:type="dxa"/>
            <w:noWrap/>
            <w:vAlign w:val="center"/>
            <w:hideMark/>
          </w:tcPr>
          <w:p w14:paraId="3C20BEF4" w14:textId="77777777" w:rsidR="005B0F44" w:rsidRDefault="005B0F44" w:rsidP="00924457">
            <w:pPr>
              <w:tabs>
                <w:tab w:val="left" w:pos="407"/>
              </w:tabs>
              <w:spacing w:beforeLines="40" w:before="96" w:afterLines="40" w:after="96" w:line="264" w:lineRule="auto"/>
              <w:ind w:firstLine="142"/>
              <w:jc w:val="both"/>
              <w:rPr>
                <w:rFonts w:ascii="Arial" w:hAnsi="Arial" w:cs="Arial"/>
                <w:sz w:val="20"/>
                <w:szCs w:val="20"/>
                <w:lang w:eastAsia="vi-VN"/>
              </w:rPr>
            </w:pPr>
            <w:r>
              <w:rPr>
                <w:rFonts w:ascii="Arial" w:hAnsi="Arial" w:cs="Arial"/>
                <w:sz w:val="20"/>
                <w:szCs w:val="20"/>
                <w:lang w:eastAsia="vi-VN"/>
              </w:rPr>
              <w:t>Inland water way</w:t>
            </w:r>
          </w:p>
        </w:tc>
        <w:tc>
          <w:tcPr>
            <w:tcW w:w="1886" w:type="dxa"/>
            <w:shd w:val="clear" w:color="auto" w:fill="auto"/>
            <w:noWrap/>
            <w:vAlign w:val="center"/>
            <w:hideMark/>
          </w:tcPr>
          <w:p w14:paraId="4F4A6132" w14:textId="77777777" w:rsidR="005B0F44" w:rsidRDefault="005B0F44" w:rsidP="00924457">
            <w:pPr>
              <w:spacing w:beforeLines="40" w:before="96" w:afterLines="40" w:after="96" w:line="264" w:lineRule="auto"/>
              <w:ind w:right="600" w:firstLine="142"/>
              <w:jc w:val="right"/>
              <w:rPr>
                <w:rFonts w:ascii="Arial" w:hAnsi="Arial" w:cs="Arial"/>
                <w:sz w:val="20"/>
                <w:szCs w:val="20"/>
              </w:rPr>
            </w:pPr>
            <w:r>
              <w:rPr>
                <w:rFonts w:ascii="Arial" w:hAnsi="Arial" w:cs="Arial"/>
                <w:color w:val="000000"/>
                <w:sz w:val="20"/>
                <w:szCs w:val="20"/>
              </w:rPr>
              <w:t>61,4</w:t>
            </w:r>
          </w:p>
        </w:tc>
        <w:tc>
          <w:tcPr>
            <w:tcW w:w="2394" w:type="dxa"/>
            <w:shd w:val="clear" w:color="auto" w:fill="auto"/>
            <w:noWrap/>
            <w:vAlign w:val="center"/>
            <w:hideMark/>
          </w:tcPr>
          <w:p w14:paraId="737F8ABC" w14:textId="77777777" w:rsidR="005B0F44" w:rsidRDefault="005B0F44" w:rsidP="00924457">
            <w:pPr>
              <w:spacing w:beforeLines="40" w:before="96" w:afterLines="40" w:after="96" w:line="264" w:lineRule="auto"/>
              <w:ind w:right="743" w:firstLine="142"/>
              <w:jc w:val="right"/>
              <w:rPr>
                <w:rFonts w:ascii="Arial" w:hAnsi="Arial" w:cs="Arial"/>
                <w:sz w:val="20"/>
                <w:szCs w:val="20"/>
              </w:rPr>
            </w:pPr>
            <w:r>
              <w:rPr>
                <w:rFonts w:ascii="Arial" w:hAnsi="Arial" w:cs="Arial"/>
                <w:color w:val="000000"/>
                <w:sz w:val="20"/>
                <w:szCs w:val="20"/>
              </w:rPr>
              <w:t>1,1</w:t>
            </w:r>
          </w:p>
        </w:tc>
        <w:tc>
          <w:tcPr>
            <w:tcW w:w="1666" w:type="dxa"/>
            <w:shd w:val="clear" w:color="auto" w:fill="auto"/>
            <w:noWrap/>
            <w:vAlign w:val="center"/>
            <w:hideMark/>
          </w:tcPr>
          <w:p w14:paraId="7EFA4AC0" w14:textId="77777777" w:rsidR="005B0F44" w:rsidRDefault="005B0F44" w:rsidP="00924457">
            <w:pPr>
              <w:spacing w:beforeLines="40" w:before="96" w:afterLines="40" w:after="96" w:line="264" w:lineRule="auto"/>
              <w:ind w:right="435" w:firstLine="142"/>
              <w:jc w:val="right"/>
              <w:rPr>
                <w:rFonts w:ascii="Arial" w:hAnsi="Arial" w:cs="Arial"/>
                <w:sz w:val="20"/>
                <w:szCs w:val="20"/>
              </w:rPr>
            </w:pPr>
            <w:r>
              <w:rPr>
                <w:rFonts w:ascii="Arial" w:hAnsi="Arial" w:cs="Arial"/>
                <w:color w:val="000000"/>
                <w:sz w:val="20"/>
                <w:szCs w:val="20"/>
              </w:rPr>
              <w:t>6,4</w:t>
            </w:r>
          </w:p>
        </w:tc>
        <w:tc>
          <w:tcPr>
            <w:tcW w:w="1402" w:type="dxa"/>
            <w:shd w:val="clear" w:color="auto" w:fill="auto"/>
            <w:noWrap/>
            <w:vAlign w:val="center"/>
            <w:hideMark/>
          </w:tcPr>
          <w:p w14:paraId="63129CB6" w14:textId="77777777" w:rsidR="005B0F44" w:rsidRDefault="005B0F44" w:rsidP="00924457">
            <w:pPr>
              <w:spacing w:beforeLines="40" w:before="96" w:afterLines="40" w:after="96" w:line="264" w:lineRule="auto"/>
              <w:ind w:right="435" w:firstLine="142"/>
              <w:jc w:val="right"/>
              <w:rPr>
                <w:rFonts w:ascii="Arial" w:hAnsi="Arial" w:cs="Arial"/>
                <w:sz w:val="20"/>
                <w:szCs w:val="20"/>
              </w:rPr>
            </w:pPr>
            <w:r>
              <w:rPr>
                <w:rFonts w:ascii="Arial" w:hAnsi="Arial" w:cs="Arial"/>
                <w:color w:val="000000"/>
                <w:sz w:val="20"/>
                <w:szCs w:val="20"/>
              </w:rPr>
              <w:t>11,4</w:t>
            </w:r>
          </w:p>
        </w:tc>
      </w:tr>
      <w:tr w:rsidR="005B0F44" w14:paraId="4A348E0E" w14:textId="77777777" w:rsidTr="00AB00B5">
        <w:trPr>
          <w:trHeight w:val="212"/>
          <w:jc w:val="center"/>
        </w:trPr>
        <w:tc>
          <w:tcPr>
            <w:tcW w:w="1887" w:type="dxa"/>
            <w:tcBorders>
              <w:bottom w:val="nil"/>
            </w:tcBorders>
            <w:noWrap/>
            <w:vAlign w:val="center"/>
            <w:hideMark/>
          </w:tcPr>
          <w:p w14:paraId="5B4663B9" w14:textId="77777777" w:rsidR="005B0F44" w:rsidRDefault="005B0F44" w:rsidP="00924457">
            <w:pPr>
              <w:tabs>
                <w:tab w:val="left" w:pos="407"/>
              </w:tabs>
              <w:spacing w:beforeLines="40" w:before="96" w:afterLines="40" w:after="96" w:line="264" w:lineRule="auto"/>
              <w:ind w:firstLine="142"/>
              <w:jc w:val="both"/>
              <w:rPr>
                <w:rFonts w:ascii="Arial" w:hAnsi="Arial" w:cs="Arial"/>
                <w:sz w:val="20"/>
                <w:szCs w:val="20"/>
                <w:lang w:eastAsia="vi-VN"/>
              </w:rPr>
            </w:pPr>
            <w:r>
              <w:rPr>
                <w:rFonts w:ascii="Arial" w:hAnsi="Arial" w:cs="Arial"/>
                <w:sz w:val="20"/>
                <w:szCs w:val="20"/>
                <w:lang w:eastAsia="vi-VN"/>
              </w:rPr>
              <w:t>Road</w:t>
            </w:r>
          </w:p>
        </w:tc>
        <w:tc>
          <w:tcPr>
            <w:tcW w:w="1886" w:type="dxa"/>
            <w:tcBorders>
              <w:bottom w:val="nil"/>
            </w:tcBorders>
            <w:shd w:val="clear" w:color="auto" w:fill="auto"/>
            <w:noWrap/>
            <w:vAlign w:val="center"/>
            <w:hideMark/>
          </w:tcPr>
          <w:p w14:paraId="366C8ED8" w14:textId="77777777" w:rsidR="005B0F44" w:rsidRDefault="005B0F44" w:rsidP="00924457">
            <w:pPr>
              <w:spacing w:beforeLines="40" w:before="96" w:afterLines="40" w:after="96" w:line="264" w:lineRule="auto"/>
              <w:ind w:right="600" w:firstLine="142"/>
              <w:jc w:val="right"/>
              <w:rPr>
                <w:rFonts w:ascii="Arial" w:hAnsi="Arial" w:cs="Arial"/>
                <w:sz w:val="20"/>
                <w:szCs w:val="20"/>
              </w:rPr>
            </w:pPr>
            <w:r>
              <w:rPr>
                <w:rFonts w:ascii="Arial" w:hAnsi="Arial" w:cs="Arial"/>
                <w:color w:val="000000"/>
                <w:sz w:val="20"/>
                <w:szCs w:val="20"/>
              </w:rPr>
              <w:t>733,1</w:t>
            </w:r>
          </w:p>
        </w:tc>
        <w:tc>
          <w:tcPr>
            <w:tcW w:w="2394" w:type="dxa"/>
            <w:tcBorders>
              <w:bottom w:val="nil"/>
            </w:tcBorders>
            <w:shd w:val="clear" w:color="auto" w:fill="auto"/>
            <w:noWrap/>
            <w:vAlign w:val="center"/>
            <w:hideMark/>
          </w:tcPr>
          <w:p w14:paraId="7DB0B7C0" w14:textId="77777777" w:rsidR="005B0F44" w:rsidRDefault="005B0F44" w:rsidP="00924457">
            <w:pPr>
              <w:spacing w:beforeLines="40" w:before="96" w:afterLines="40" w:after="96" w:line="264" w:lineRule="auto"/>
              <w:ind w:right="743" w:firstLine="142"/>
              <w:jc w:val="right"/>
              <w:rPr>
                <w:rFonts w:ascii="Arial" w:hAnsi="Arial" w:cs="Arial"/>
                <w:sz w:val="20"/>
                <w:szCs w:val="20"/>
              </w:rPr>
            </w:pPr>
            <w:r>
              <w:rPr>
                <w:rFonts w:ascii="Arial" w:hAnsi="Arial" w:cs="Arial"/>
                <w:color w:val="000000"/>
                <w:sz w:val="20"/>
                <w:szCs w:val="20"/>
              </w:rPr>
              <w:t>28,2</w:t>
            </w:r>
          </w:p>
        </w:tc>
        <w:tc>
          <w:tcPr>
            <w:tcW w:w="1666" w:type="dxa"/>
            <w:tcBorders>
              <w:bottom w:val="nil"/>
            </w:tcBorders>
            <w:shd w:val="clear" w:color="auto" w:fill="auto"/>
            <w:noWrap/>
            <w:vAlign w:val="center"/>
            <w:hideMark/>
          </w:tcPr>
          <w:p w14:paraId="7F86454B" w14:textId="77777777" w:rsidR="005B0F44" w:rsidRDefault="005B0F44" w:rsidP="00924457">
            <w:pPr>
              <w:spacing w:beforeLines="40" w:before="96" w:afterLines="40" w:after="96" w:line="264" w:lineRule="auto"/>
              <w:ind w:right="435" w:firstLine="142"/>
              <w:jc w:val="right"/>
              <w:rPr>
                <w:rFonts w:ascii="Arial" w:hAnsi="Arial" w:cs="Arial"/>
                <w:sz w:val="20"/>
                <w:szCs w:val="20"/>
              </w:rPr>
            </w:pPr>
            <w:r>
              <w:rPr>
                <w:rFonts w:ascii="Arial" w:hAnsi="Arial" w:cs="Arial"/>
                <w:color w:val="000000"/>
                <w:sz w:val="20"/>
                <w:szCs w:val="20"/>
              </w:rPr>
              <w:t>9,5</w:t>
            </w:r>
          </w:p>
        </w:tc>
        <w:tc>
          <w:tcPr>
            <w:tcW w:w="1402" w:type="dxa"/>
            <w:tcBorders>
              <w:bottom w:val="nil"/>
            </w:tcBorders>
            <w:shd w:val="clear" w:color="auto" w:fill="auto"/>
            <w:noWrap/>
            <w:vAlign w:val="center"/>
            <w:hideMark/>
          </w:tcPr>
          <w:p w14:paraId="5D1D5AE3" w14:textId="77777777" w:rsidR="005B0F44" w:rsidRDefault="005B0F44" w:rsidP="00924457">
            <w:pPr>
              <w:spacing w:beforeLines="40" w:before="96" w:afterLines="40" w:after="96" w:line="264" w:lineRule="auto"/>
              <w:ind w:right="435" w:firstLine="142"/>
              <w:jc w:val="right"/>
              <w:rPr>
                <w:rFonts w:ascii="Arial" w:hAnsi="Arial" w:cs="Arial"/>
                <w:sz w:val="20"/>
                <w:szCs w:val="20"/>
              </w:rPr>
            </w:pPr>
            <w:r>
              <w:rPr>
                <w:rFonts w:ascii="Arial" w:hAnsi="Arial" w:cs="Arial"/>
                <w:color w:val="000000"/>
                <w:sz w:val="20"/>
                <w:szCs w:val="20"/>
              </w:rPr>
              <w:t>8,6</w:t>
            </w:r>
          </w:p>
        </w:tc>
      </w:tr>
      <w:tr w:rsidR="005B0F44" w14:paraId="544BFB3A" w14:textId="77777777" w:rsidTr="00AB00B5">
        <w:trPr>
          <w:trHeight w:val="245"/>
          <w:jc w:val="center"/>
        </w:trPr>
        <w:tc>
          <w:tcPr>
            <w:tcW w:w="1887" w:type="dxa"/>
            <w:tcBorders>
              <w:top w:val="nil"/>
              <w:bottom w:val="single" w:sz="4" w:space="0" w:color="auto"/>
            </w:tcBorders>
            <w:noWrap/>
            <w:vAlign w:val="center"/>
            <w:hideMark/>
          </w:tcPr>
          <w:p w14:paraId="5D3A95E3" w14:textId="77777777" w:rsidR="005B0F44" w:rsidRDefault="005B0F44" w:rsidP="00924457">
            <w:pPr>
              <w:tabs>
                <w:tab w:val="left" w:pos="407"/>
              </w:tabs>
              <w:spacing w:beforeLines="40" w:before="96" w:afterLines="40" w:after="96" w:line="264" w:lineRule="auto"/>
              <w:ind w:firstLine="142"/>
              <w:jc w:val="both"/>
              <w:rPr>
                <w:rFonts w:ascii="Arial" w:hAnsi="Arial" w:cs="Arial"/>
                <w:sz w:val="20"/>
                <w:szCs w:val="20"/>
                <w:lang w:eastAsia="vi-VN"/>
              </w:rPr>
            </w:pPr>
            <w:r>
              <w:rPr>
                <w:rFonts w:ascii="Arial" w:hAnsi="Arial" w:cs="Arial"/>
                <w:sz w:val="20"/>
                <w:szCs w:val="20"/>
                <w:lang w:eastAsia="vi-VN"/>
              </w:rPr>
              <w:t xml:space="preserve">Airway </w:t>
            </w:r>
          </w:p>
        </w:tc>
        <w:tc>
          <w:tcPr>
            <w:tcW w:w="1886" w:type="dxa"/>
            <w:tcBorders>
              <w:top w:val="nil"/>
              <w:bottom w:val="single" w:sz="4" w:space="0" w:color="auto"/>
            </w:tcBorders>
            <w:shd w:val="clear" w:color="auto" w:fill="auto"/>
            <w:noWrap/>
            <w:vAlign w:val="center"/>
            <w:hideMark/>
          </w:tcPr>
          <w:p w14:paraId="2B950766" w14:textId="77777777" w:rsidR="005B0F44" w:rsidRDefault="005B0F44" w:rsidP="00924457">
            <w:pPr>
              <w:spacing w:beforeLines="40" w:before="96" w:afterLines="40" w:after="96" w:line="264" w:lineRule="auto"/>
              <w:ind w:right="600" w:firstLine="142"/>
              <w:jc w:val="right"/>
              <w:rPr>
                <w:rFonts w:ascii="Arial" w:hAnsi="Arial" w:cs="Arial"/>
                <w:sz w:val="20"/>
                <w:szCs w:val="20"/>
              </w:rPr>
            </w:pPr>
            <w:r>
              <w:rPr>
                <w:rFonts w:ascii="Arial" w:hAnsi="Arial" w:cs="Arial"/>
                <w:sz w:val="20"/>
                <w:szCs w:val="20"/>
              </w:rPr>
              <w:t>9,3</w:t>
            </w:r>
          </w:p>
        </w:tc>
        <w:tc>
          <w:tcPr>
            <w:tcW w:w="2394" w:type="dxa"/>
            <w:tcBorders>
              <w:top w:val="nil"/>
              <w:bottom w:val="single" w:sz="4" w:space="0" w:color="auto"/>
            </w:tcBorders>
            <w:shd w:val="clear" w:color="auto" w:fill="auto"/>
            <w:noWrap/>
            <w:vAlign w:val="center"/>
            <w:hideMark/>
          </w:tcPr>
          <w:p w14:paraId="0F49970B" w14:textId="77777777" w:rsidR="005B0F44" w:rsidRDefault="005B0F44" w:rsidP="00924457">
            <w:pPr>
              <w:spacing w:beforeLines="40" w:before="96" w:afterLines="40" w:after="96" w:line="264" w:lineRule="auto"/>
              <w:ind w:right="743" w:firstLine="142"/>
              <w:jc w:val="right"/>
              <w:rPr>
                <w:rFonts w:ascii="Arial" w:hAnsi="Arial" w:cs="Arial"/>
                <w:sz w:val="20"/>
                <w:szCs w:val="20"/>
              </w:rPr>
            </w:pPr>
            <w:r>
              <w:rPr>
                <w:rFonts w:ascii="Arial" w:hAnsi="Arial" w:cs="Arial"/>
                <w:sz w:val="20"/>
                <w:szCs w:val="20"/>
              </w:rPr>
              <w:t>15,2</w:t>
            </w:r>
          </w:p>
        </w:tc>
        <w:tc>
          <w:tcPr>
            <w:tcW w:w="1666" w:type="dxa"/>
            <w:tcBorders>
              <w:top w:val="nil"/>
              <w:bottom w:val="single" w:sz="4" w:space="0" w:color="auto"/>
            </w:tcBorders>
            <w:shd w:val="clear" w:color="auto" w:fill="auto"/>
            <w:noWrap/>
            <w:vAlign w:val="center"/>
            <w:hideMark/>
          </w:tcPr>
          <w:p w14:paraId="15344350" w14:textId="77777777" w:rsidR="005B0F44" w:rsidRDefault="005B0F44" w:rsidP="00924457">
            <w:pPr>
              <w:spacing w:beforeLines="40" w:before="96" w:afterLines="40" w:after="96" w:line="264" w:lineRule="auto"/>
              <w:ind w:right="435" w:firstLine="142"/>
              <w:jc w:val="right"/>
              <w:rPr>
                <w:rFonts w:ascii="Arial" w:hAnsi="Arial" w:cs="Arial"/>
                <w:sz w:val="20"/>
                <w:szCs w:val="20"/>
              </w:rPr>
            </w:pPr>
            <w:r>
              <w:rPr>
                <w:rFonts w:ascii="Arial" w:hAnsi="Arial" w:cs="Arial"/>
                <w:sz w:val="20"/>
                <w:szCs w:val="20"/>
              </w:rPr>
              <w:t>0,5</w:t>
            </w:r>
          </w:p>
        </w:tc>
        <w:tc>
          <w:tcPr>
            <w:tcW w:w="1402" w:type="dxa"/>
            <w:tcBorders>
              <w:top w:val="nil"/>
              <w:bottom w:val="single" w:sz="4" w:space="0" w:color="auto"/>
            </w:tcBorders>
            <w:shd w:val="clear" w:color="auto" w:fill="auto"/>
            <w:noWrap/>
            <w:vAlign w:val="center"/>
            <w:hideMark/>
          </w:tcPr>
          <w:p w14:paraId="1106FE07" w14:textId="77777777" w:rsidR="005B0F44" w:rsidRDefault="005B0F44" w:rsidP="00924457">
            <w:pPr>
              <w:spacing w:beforeLines="40" w:before="96" w:afterLines="40" w:after="96" w:line="264" w:lineRule="auto"/>
              <w:ind w:right="435" w:firstLine="142"/>
              <w:jc w:val="right"/>
              <w:rPr>
                <w:rFonts w:ascii="Arial" w:hAnsi="Arial" w:cs="Arial"/>
                <w:sz w:val="20"/>
                <w:szCs w:val="20"/>
              </w:rPr>
            </w:pPr>
            <w:r>
              <w:rPr>
                <w:rFonts w:ascii="Arial" w:hAnsi="Arial" w:cs="Arial"/>
                <w:sz w:val="20"/>
                <w:szCs w:val="20"/>
              </w:rPr>
              <w:t>17,9</w:t>
            </w:r>
          </w:p>
        </w:tc>
      </w:tr>
    </w:tbl>
    <w:p w14:paraId="01F1D21E" w14:textId="77777777" w:rsidR="005B0F44" w:rsidRDefault="005B0F44" w:rsidP="00924457">
      <w:pPr>
        <w:spacing w:beforeLines="40" w:before="96" w:afterLines="40" w:after="96" w:line="264" w:lineRule="auto"/>
        <w:ind w:firstLine="142"/>
        <w:jc w:val="both"/>
        <w:rPr>
          <w:bCs/>
          <w:i/>
          <w:iCs/>
          <w:sz w:val="8"/>
          <w:lang w:val="fr-FR"/>
        </w:rPr>
      </w:pPr>
    </w:p>
    <w:p w14:paraId="3516678C" w14:textId="2174E315" w:rsidR="005B0F44" w:rsidRPr="00525D45" w:rsidRDefault="005B0F44" w:rsidP="000A5186">
      <w:pPr>
        <w:spacing w:beforeLines="40" w:before="96" w:afterLines="40" w:after="96" w:line="293" w:lineRule="auto"/>
        <w:ind w:firstLine="567"/>
        <w:jc w:val="both"/>
        <w:rPr>
          <w:color w:val="000000" w:themeColor="text1"/>
        </w:rPr>
      </w:pPr>
      <w:r w:rsidRPr="00E42F93">
        <w:rPr>
          <w:i/>
          <w:lang w:val="pl-PL"/>
        </w:rPr>
        <w:t>Freight transport</w:t>
      </w:r>
      <w:r>
        <w:rPr>
          <w:lang w:val="pl-PL"/>
        </w:rPr>
        <w:t xml:space="preserve"> in </w:t>
      </w:r>
      <w:r w:rsidR="00D83303">
        <w:rPr>
          <w:lang w:val="pl-PL"/>
        </w:rPr>
        <w:t xml:space="preserve">02/2024 </w:t>
      </w:r>
      <w:r>
        <w:rPr>
          <w:lang w:val="pl-PL"/>
        </w:rPr>
        <w:t xml:space="preserve">was estimated at </w:t>
      </w:r>
      <w:bookmarkStart w:id="4" w:name="_Hlk149633736"/>
      <w:r>
        <w:rPr>
          <w:lang w:val="fr-FR"/>
        </w:rPr>
        <w:t xml:space="preserve">205.5 </w:t>
      </w:r>
      <w:bookmarkEnd w:id="4"/>
      <w:r>
        <w:rPr>
          <w:lang w:val="pl-PL"/>
        </w:rPr>
        <w:t xml:space="preserve">million tons of </w:t>
      </w:r>
      <w:r>
        <w:rPr>
          <w:color w:val="000000" w:themeColor="text1"/>
        </w:rPr>
        <w:t>freight carried</w:t>
      </w:r>
      <w:r>
        <w:rPr>
          <w:lang w:val="pl-PL"/>
        </w:rPr>
        <w:t xml:space="preserve">, decreased by </w:t>
      </w:r>
      <w:r>
        <w:rPr>
          <w:lang w:val="fr-FR"/>
        </w:rPr>
        <w:t>2.2</w:t>
      </w:r>
      <w:r>
        <w:rPr>
          <w:lang w:val="pl-PL"/>
        </w:rPr>
        <w:t xml:space="preserve">% from the previous month and </w:t>
      </w:r>
      <w:bookmarkStart w:id="5" w:name="_Hlk149633763"/>
      <w:r>
        <w:rPr>
          <w:lang w:val="fr-FR"/>
        </w:rPr>
        <w:t xml:space="preserve">41.1 </w:t>
      </w:r>
      <w:bookmarkEnd w:id="5"/>
      <w:r>
        <w:rPr>
          <w:lang w:val="pl-PL"/>
        </w:rPr>
        <w:t xml:space="preserve">billion tons.km </w:t>
      </w:r>
      <w:r>
        <w:rPr>
          <w:color w:val="000000" w:themeColor="text1"/>
        </w:rPr>
        <w:t>of freight traffic</w:t>
      </w:r>
      <w:r>
        <w:rPr>
          <w:lang w:val="pl-PL"/>
        </w:rPr>
        <w:t xml:space="preserve">, down </w:t>
      </w:r>
      <w:r>
        <w:rPr>
          <w:lang w:val="fr-FR"/>
        </w:rPr>
        <w:t>12</w:t>
      </w:r>
      <w:r>
        <w:rPr>
          <w:lang w:val="pl-PL"/>
        </w:rPr>
        <w:t xml:space="preserve">% due to </w:t>
      </w:r>
      <w:r w:rsidRPr="000F2FF1">
        <w:rPr>
          <w:lang w:val="pl-PL"/>
        </w:rPr>
        <w:t>freight transportation activities for Tet Giap Thin mainly t</w:t>
      </w:r>
      <w:r>
        <w:rPr>
          <w:lang w:val="pl-PL"/>
        </w:rPr>
        <w:t>ook</w:t>
      </w:r>
      <w:r w:rsidRPr="000F2FF1">
        <w:rPr>
          <w:lang w:val="pl-PL"/>
        </w:rPr>
        <w:t xml:space="preserve"> place from January and the number of working days in </w:t>
      </w:r>
      <w:r>
        <w:rPr>
          <w:lang w:val="pl-PL"/>
        </w:rPr>
        <w:t>this</w:t>
      </w:r>
      <w:r w:rsidRPr="000F2FF1">
        <w:rPr>
          <w:lang w:val="pl-PL"/>
        </w:rPr>
        <w:t xml:space="preserve"> month for shipping companies </w:t>
      </w:r>
      <w:r>
        <w:rPr>
          <w:lang w:val="pl-PL"/>
        </w:rPr>
        <w:t>was</w:t>
      </w:r>
      <w:r w:rsidRPr="000F2FF1">
        <w:rPr>
          <w:lang w:val="pl-PL"/>
        </w:rPr>
        <w:t xml:space="preserve"> also less than last month when all the days off for Lunar New Year </w:t>
      </w:r>
      <w:r>
        <w:rPr>
          <w:lang w:val="pl-PL"/>
        </w:rPr>
        <w:t>were</w:t>
      </w:r>
      <w:r w:rsidRPr="000F2FF1">
        <w:rPr>
          <w:lang w:val="pl-PL"/>
        </w:rPr>
        <w:t xml:space="preserve"> in February</w:t>
      </w:r>
      <w:r>
        <w:rPr>
          <w:lang w:val="pl-PL"/>
        </w:rPr>
        <w:t xml:space="preserve">. Generally for 2 months of 2024, freight transport was estimated at </w:t>
      </w:r>
      <w:r>
        <w:rPr>
          <w:lang w:val="fr-FR"/>
        </w:rPr>
        <w:t xml:space="preserve"> </w:t>
      </w:r>
      <w:bookmarkStart w:id="6" w:name="_Hlk149633786"/>
      <w:r>
        <w:rPr>
          <w:lang w:val="fr-FR"/>
        </w:rPr>
        <w:t xml:space="preserve">415.8 </w:t>
      </w:r>
      <w:bookmarkEnd w:id="6"/>
      <w:r>
        <w:rPr>
          <w:lang w:val="pl-PL"/>
        </w:rPr>
        <w:t xml:space="preserve">million tons of </w:t>
      </w:r>
      <w:r>
        <w:rPr>
          <w:color w:val="000000" w:themeColor="text1"/>
        </w:rPr>
        <w:t>freight carried</w:t>
      </w:r>
      <w:r>
        <w:rPr>
          <w:lang w:val="pl-PL"/>
        </w:rPr>
        <w:t xml:space="preserve">, up </w:t>
      </w:r>
      <w:r>
        <w:rPr>
          <w:lang w:val="fr-FR"/>
        </w:rPr>
        <w:t>13.9</w:t>
      </w:r>
      <w:r>
        <w:rPr>
          <w:lang w:val="pl-PL"/>
        </w:rPr>
        <w:t xml:space="preserve">% over the same period last year and </w:t>
      </w:r>
      <w:r>
        <w:rPr>
          <w:lang w:val="fr-FR"/>
        </w:rPr>
        <w:t xml:space="preserve">87.9 </w:t>
      </w:r>
      <w:r>
        <w:rPr>
          <w:lang w:val="pl-PL"/>
        </w:rPr>
        <w:t xml:space="preserve">billion tons.km </w:t>
      </w:r>
      <w:r>
        <w:rPr>
          <w:color w:val="000000" w:themeColor="text1"/>
        </w:rPr>
        <w:t>of freight traffic</w:t>
      </w:r>
      <w:r>
        <w:rPr>
          <w:lang w:val="pl-PL"/>
        </w:rPr>
        <w:t xml:space="preserve">, an increase of 14%. </w:t>
      </w:r>
      <w:r w:rsidR="00D83303">
        <w:rPr>
          <w:lang w:val="pl-PL"/>
        </w:rPr>
        <w:t xml:space="preserve">Of </w:t>
      </w:r>
      <w:r>
        <w:rPr>
          <w:lang w:val="pl-PL"/>
        </w:rPr>
        <w:t xml:space="preserve">which, domestic transport reached </w:t>
      </w:r>
      <w:r>
        <w:rPr>
          <w:lang w:val="fr-FR"/>
        </w:rPr>
        <w:t xml:space="preserve">408.1 </w:t>
      </w:r>
      <w:r>
        <w:rPr>
          <w:lang w:val="pl-PL"/>
        </w:rPr>
        <w:t xml:space="preserve">million tons of </w:t>
      </w:r>
      <w:r>
        <w:rPr>
          <w:color w:val="000000" w:themeColor="text1"/>
        </w:rPr>
        <w:t>freight carried</w:t>
      </w:r>
      <w:r>
        <w:rPr>
          <w:lang w:val="pl-PL"/>
        </w:rPr>
        <w:t xml:space="preserve">, up </w:t>
      </w:r>
      <w:r>
        <w:rPr>
          <w:lang w:val="fr-FR"/>
        </w:rPr>
        <w:t>14.1</w:t>
      </w:r>
      <w:r>
        <w:rPr>
          <w:lang w:val="pl-PL"/>
        </w:rPr>
        <w:t xml:space="preserve">% and </w:t>
      </w:r>
      <w:r>
        <w:rPr>
          <w:lang w:val="fr-FR"/>
        </w:rPr>
        <w:t xml:space="preserve">54.9 </w:t>
      </w:r>
      <w:r>
        <w:rPr>
          <w:lang w:val="pl-PL"/>
        </w:rPr>
        <w:t xml:space="preserve">billion tons.km of </w:t>
      </w:r>
      <w:r>
        <w:rPr>
          <w:color w:val="000000" w:themeColor="text1"/>
        </w:rPr>
        <w:t>freight traffic</w:t>
      </w:r>
      <w:r>
        <w:rPr>
          <w:lang w:val="pl-PL"/>
        </w:rPr>
        <w:t xml:space="preserve">, up </w:t>
      </w:r>
      <w:r>
        <w:rPr>
          <w:lang w:val="fr-FR"/>
        </w:rPr>
        <w:t>13.8</w:t>
      </w:r>
      <w:r>
        <w:rPr>
          <w:lang w:val="pl-PL"/>
        </w:rPr>
        <w:t xml:space="preserve">%; </w:t>
      </w:r>
      <w:r>
        <w:rPr>
          <w:lang w:val="pl-PL"/>
        </w:rPr>
        <w:lastRenderedPageBreak/>
        <w:t xml:space="preserve">overseas transport reached </w:t>
      </w:r>
      <w:r>
        <w:rPr>
          <w:lang w:val="fr-FR"/>
        </w:rPr>
        <w:t xml:space="preserve">7.7 </w:t>
      </w:r>
      <w:r>
        <w:rPr>
          <w:lang w:val="pl-PL"/>
        </w:rPr>
        <w:t xml:space="preserve">million </w:t>
      </w:r>
      <w:r w:rsidRPr="00525D45">
        <w:rPr>
          <w:color w:val="000000" w:themeColor="text1"/>
        </w:rPr>
        <w:t xml:space="preserve">tons of </w:t>
      </w:r>
      <w:r>
        <w:rPr>
          <w:color w:val="000000" w:themeColor="text1"/>
        </w:rPr>
        <w:t>freight carried</w:t>
      </w:r>
      <w:r w:rsidRPr="00525D45">
        <w:rPr>
          <w:color w:val="000000" w:themeColor="text1"/>
        </w:rPr>
        <w:t xml:space="preserve">, up 6.6% and 33 billion tons.km </w:t>
      </w:r>
      <w:r>
        <w:rPr>
          <w:color w:val="000000" w:themeColor="text1"/>
        </w:rPr>
        <w:t>of freight traffic</w:t>
      </w:r>
      <w:r w:rsidRPr="00525D45">
        <w:rPr>
          <w:color w:val="000000" w:themeColor="text1"/>
        </w:rPr>
        <w:t xml:space="preserve">, up 14.2%. </w:t>
      </w:r>
    </w:p>
    <w:p w14:paraId="378F2481" w14:textId="1C387306" w:rsidR="005B0F44" w:rsidRPr="00525D45" w:rsidRDefault="005B0F44" w:rsidP="000A5186">
      <w:pPr>
        <w:spacing w:beforeLines="40" w:before="96" w:afterLines="40" w:after="96" w:line="293" w:lineRule="auto"/>
        <w:ind w:firstLine="567"/>
        <w:jc w:val="both"/>
        <w:rPr>
          <w:color w:val="000000" w:themeColor="text1"/>
        </w:rPr>
      </w:pPr>
      <w:r w:rsidRPr="00525D45">
        <w:rPr>
          <w:color w:val="000000" w:themeColor="text1"/>
        </w:rPr>
        <w:t>In terms of transportation, most of transport in 2 months of 2024 had a positive growth rate compared to the same period last year due to increased transportation of goods to serve domestic production and consumption demands.</w:t>
      </w:r>
      <w:r>
        <w:rPr>
          <w:color w:val="000000" w:themeColor="text1"/>
        </w:rPr>
        <w:t xml:space="preserve"> </w:t>
      </w:r>
      <w:r w:rsidRPr="00525D45">
        <w:rPr>
          <w:color w:val="000000" w:themeColor="text1"/>
        </w:rPr>
        <w:t xml:space="preserve">Particularly, </w:t>
      </w:r>
      <w:r>
        <w:rPr>
          <w:color w:val="000000" w:themeColor="text1"/>
        </w:rPr>
        <w:t>r</w:t>
      </w:r>
      <w:r w:rsidRPr="00525D45">
        <w:rPr>
          <w:color w:val="000000" w:themeColor="text1"/>
        </w:rPr>
        <w:t>ailway faces many difficulties when competing with other transport industries</w:t>
      </w:r>
      <w:r>
        <w:rPr>
          <w:color w:val="000000" w:themeColor="text1"/>
        </w:rPr>
        <w:t>.</w:t>
      </w:r>
    </w:p>
    <w:p w14:paraId="09782DA7" w14:textId="77777777" w:rsidR="005B0F44" w:rsidRPr="00AB00B5" w:rsidRDefault="005B0F44" w:rsidP="00AB00B5">
      <w:pPr>
        <w:spacing w:beforeLines="40" w:before="96" w:afterLines="40" w:after="96" w:line="264" w:lineRule="auto"/>
        <w:ind w:firstLine="567"/>
        <w:jc w:val="center"/>
        <w:rPr>
          <w:rFonts w:ascii="Arial" w:hAnsi="Arial" w:cs="Arial"/>
          <w:b/>
          <w:bCs/>
          <w:iCs/>
          <w:sz w:val="24"/>
          <w:szCs w:val="24"/>
          <w:lang w:val="fr-FR"/>
        </w:rPr>
      </w:pPr>
      <w:r w:rsidRPr="00AB00B5">
        <w:rPr>
          <w:rFonts w:ascii="Arial" w:hAnsi="Arial" w:cs="Arial"/>
          <w:b/>
          <w:bCs/>
          <w:iCs/>
          <w:sz w:val="24"/>
          <w:szCs w:val="24"/>
          <w:lang w:val="fr-FR"/>
        </w:rPr>
        <w:t>Table 7. Carriage of freight in the first 2 months of 2024</w:t>
      </w:r>
      <w:r w:rsidRPr="00AB00B5">
        <w:rPr>
          <w:rFonts w:ascii="Arial" w:hAnsi="Arial" w:cs="Arial"/>
          <w:b/>
          <w:bCs/>
          <w:iCs/>
          <w:sz w:val="24"/>
          <w:szCs w:val="24"/>
          <w:lang w:val="fr-FR"/>
        </w:rPr>
        <w:br/>
        <w:t>by types of transport</w:t>
      </w:r>
    </w:p>
    <w:p w14:paraId="57ED11A9" w14:textId="77777777" w:rsidR="005B0F44" w:rsidRDefault="005B0F44" w:rsidP="00FA1C14">
      <w:pPr>
        <w:spacing w:beforeLines="40" w:before="96" w:afterLines="40" w:after="96" w:line="264" w:lineRule="auto"/>
        <w:ind w:firstLine="567"/>
        <w:jc w:val="center"/>
        <w:rPr>
          <w:rFonts w:ascii="Arial" w:hAnsi="Arial" w:cs="Arial"/>
          <w:b/>
          <w:bCs/>
          <w:sz w:val="2"/>
          <w:szCs w:val="24"/>
          <w:lang w:val="fr-FR"/>
        </w:rPr>
      </w:pPr>
    </w:p>
    <w:p w14:paraId="3CCB5CC8" w14:textId="77777777" w:rsidR="005B0F44" w:rsidRDefault="005B0F44" w:rsidP="00FA1C14">
      <w:pPr>
        <w:pStyle w:val="NormalWeb"/>
        <w:shd w:val="clear" w:color="auto" w:fill="FFFFFF"/>
        <w:tabs>
          <w:tab w:val="left" w:pos="6540"/>
        </w:tabs>
        <w:spacing w:beforeLines="40" w:before="96" w:beforeAutospacing="0" w:afterLines="40" w:after="96" w:afterAutospacing="0" w:line="264" w:lineRule="auto"/>
        <w:ind w:firstLine="567"/>
        <w:rPr>
          <w:b/>
          <w:bCs/>
          <w:sz w:val="2"/>
          <w:szCs w:val="28"/>
          <w:lang w:val="pt-BR"/>
        </w:rPr>
      </w:pPr>
    </w:p>
    <w:tbl>
      <w:tblPr>
        <w:tblW w:w="8113" w:type="dxa"/>
        <w:tblInd w:w="959" w:type="dxa"/>
        <w:tblLook w:val="04A0" w:firstRow="1" w:lastRow="0" w:firstColumn="1" w:lastColumn="0" w:noHBand="0" w:noVBand="1"/>
      </w:tblPr>
      <w:tblGrid>
        <w:gridCol w:w="1807"/>
        <w:gridCol w:w="1437"/>
        <w:gridCol w:w="1625"/>
        <w:gridCol w:w="294"/>
        <w:gridCol w:w="995"/>
        <w:gridCol w:w="1955"/>
      </w:tblGrid>
      <w:tr w:rsidR="004B7451" w:rsidRPr="004B7451" w14:paraId="196187DD" w14:textId="77777777" w:rsidTr="000A5186">
        <w:trPr>
          <w:trHeight w:val="810"/>
        </w:trPr>
        <w:tc>
          <w:tcPr>
            <w:tcW w:w="1807" w:type="dxa"/>
            <w:tcBorders>
              <w:top w:val="single" w:sz="8" w:space="0" w:color="auto"/>
              <w:left w:val="nil"/>
              <w:bottom w:val="nil"/>
              <w:right w:val="nil"/>
            </w:tcBorders>
            <w:shd w:val="clear" w:color="auto" w:fill="auto"/>
            <w:vAlign w:val="center"/>
            <w:hideMark/>
          </w:tcPr>
          <w:p w14:paraId="66763EA5" w14:textId="77777777" w:rsidR="004B7451" w:rsidRPr="004B7451" w:rsidRDefault="004B7451" w:rsidP="004B7451">
            <w:pPr>
              <w:rPr>
                <w:rFonts w:ascii="Arial" w:hAnsi="Arial" w:cs="Arial"/>
                <w:color w:val="000000"/>
                <w:sz w:val="20"/>
                <w:szCs w:val="20"/>
                <w:lang w:val="en-US"/>
              </w:rPr>
            </w:pPr>
            <w:r w:rsidRPr="004B7451">
              <w:rPr>
                <w:rFonts w:ascii="Arial" w:hAnsi="Arial" w:cs="Arial"/>
                <w:color w:val="000000"/>
                <w:sz w:val="20"/>
                <w:szCs w:val="20"/>
                <w:lang w:val="fr-FR"/>
              </w:rPr>
              <w:t> </w:t>
            </w:r>
          </w:p>
        </w:tc>
        <w:tc>
          <w:tcPr>
            <w:tcW w:w="3062" w:type="dxa"/>
            <w:gridSpan w:val="2"/>
            <w:tcBorders>
              <w:top w:val="single" w:sz="8" w:space="0" w:color="auto"/>
              <w:left w:val="nil"/>
              <w:bottom w:val="single" w:sz="8" w:space="0" w:color="auto"/>
              <w:right w:val="nil"/>
            </w:tcBorders>
            <w:shd w:val="clear" w:color="auto" w:fill="auto"/>
            <w:vAlign w:val="center"/>
            <w:hideMark/>
          </w:tcPr>
          <w:p w14:paraId="614E1DFA" w14:textId="77777777" w:rsidR="004B7451" w:rsidRPr="004B7451" w:rsidRDefault="004B7451" w:rsidP="004B7451">
            <w:pPr>
              <w:jc w:val="center"/>
              <w:rPr>
                <w:rFonts w:ascii="Arial" w:hAnsi="Arial" w:cs="Arial"/>
                <w:color w:val="000000"/>
                <w:sz w:val="20"/>
                <w:szCs w:val="20"/>
                <w:lang w:val="en-US"/>
              </w:rPr>
            </w:pPr>
            <w:r w:rsidRPr="004B7451">
              <w:rPr>
                <w:rFonts w:ascii="Arial" w:hAnsi="Arial" w:cs="Arial"/>
                <w:color w:val="000000"/>
                <w:sz w:val="20"/>
                <w:szCs w:val="20"/>
              </w:rPr>
              <w:t>Quantity of goods</w:t>
            </w:r>
          </w:p>
        </w:tc>
        <w:tc>
          <w:tcPr>
            <w:tcW w:w="294" w:type="dxa"/>
            <w:tcBorders>
              <w:top w:val="single" w:sz="8" w:space="0" w:color="auto"/>
              <w:left w:val="nil"/>
              <w:bottom w:val="nil"/>
              <w:right w:val="nil"/>
            </w:tcBorders>
            <w:shd w:val="clear" w:color="auto" w:fill="auto"/>
            <w:vAlign w:val="center"/>
            <w:hideMark/>
          </w:tcPr>
          <w:p w14:paraId="0CE0D817" w14:textId="77777777" w:rsidR="004B7451" w:rsidRPr="004B7451" w:rsidRDefault="004B7451" w:rsidP="004B7451">
            <w:pPr>
              <w:jc w:val="center"/>
              <w:rPr>
                <w:rFonts w:ascii="Arial" w:hAnsi="Arial" w:cs="Arial"/>
                <w:color w:val="000000"/>
                <w:sz w:val="20"/>
                <w:szCs w:val="20"/>
                <w:lang w:val="en-US"/>
              </w:rPr>
            </w:pPr>
            <w:r w:rsidRPr="004B7451">
              <w:rPr>
                <w:rFonts w:ascii="Arial" w:hAnsi="Arial" w:cs="Arial"/>
                <w:color w:val="000000"/>
                <w:sz w:val="20"/>
                <w:szCs w:val="20"/>
                <w:lang w:val="en-US"/>
              </w:rPr>
              <w:t> </w:t>
            </w:r>
          </w:p>
        </w:tc>
        <w:tc>
          <w:tcPr>
            <w:tcW w:w="2950" w:type="dxa"/>
            <w:gridSpan w:val="2"/>
            <w:tcBorders>
              <w:top w:val="single" w:sz="8" w:space="0" w:color="auto"/>
              <w:left w:val="nil"/>
              <w:bottom w:val="single" w:sz="8" w:space="0" w:color="auto"/>
              <w:right w:val="nil"/>
            </w:tcBorders>
            <w:shd w:val="clear" w:color="auto" w:fill="auto"/>
            <w:vAlign w:val="center"/>
            <w:hideMark/>
          </w:tcPr>
          <w:p w14:paraId="28CE9CC9" w14:textId="77777777" w:rsidR="004B7451" w:rsidRPr="004B7451" w:rsidRDefault="004B7451" w:rsidP="004B7451">
            <w:pPr>
              <w:jc w:val="center"/>
              <w:rPr>
                <w:rFonts w:ascii="Arial" w:hAnsi="Arial" w:cs="Arial"/>
                <w:color w:val="000000"/>
                <w:sz w:val="20"/>
                <w:szCs w:val="20"/>
                <w:lang w:val="en-US"/>
              </w:rPr>
            </w:pPr>
            <w:r w:rsidRPr="004B7451">
              <w:rPr>
                <w:rFonts w:ascii="Arial" w:hAnsi="Arial" w:cs="Arial"/>
                <w:color w:val="000000"/>
                <w:sz w:val="20"/>
                <w:szCs w:val="20"/>
              </w:rPr>
              <w:t>Growth rate compared to the same period last year (%)</w:t>
            </w:r>
          </w:p>
        </w:tc>
      </w:tr>
      <w:tr w:rsidR="00FA7848" w:rsidRPr="004B7451" w14:paraId="456C7E6A" w14:textId="77777777" w:rsidTr="000A5186">
        <w:trPr>
          <w:trHeight w:val="372"/>
        </w:trPr>
        <w:tc>
          <w:tcPr>
            <w:tcW w:w="1807" w:type="dxa"/>
            <w:vMerge w:val="restart"/>
            <w:tcBorders>
              <w:top w:val="nil"/>
              <w:left w:val="nil"/>
              <w:bottom w:val="nil"/>
              <w:right w:val="nil"/>
            </w:tcBorders>
            <w:shd w:val="clear" w:color="auto" w:fill="auto"/>
            <w:vAlign w:val="center"/>
            <w:hideMark/>
          </w:tcPr>
          <w:p w14:paraId="4DA5EFA4" w14:textId="77777777" w:rsidR="004B7451" w:rsidRPr="004B7451" w:rsidRDefault="004B7451" w:rsidP="004B7451">
            <w:pPr>
              <w:jc w:val="center"/>
              <w:rPr>
                <w:rFonts w:ascii="Arial" w:hAnsi="Arial" w:cs="Arial"/>
                <w:color w:val="000000"/>
                <w:sz w:val="20"/>
                <w:szCs w:val="20"/>
                <w:lang w:val="en-US"/>
              </w:rPr>
            </w:pPr>
          </w:p>
        </w:tc>
        <w:tc>
          <w:tcPr>
            <w:tcW w:w="1437" w:type="dxa"/>
            <w:tcBorders>
              <w:top w:val="nil"/>
              <w:left w:val="nil"/>
              <w:bottom w:val="nil"/>
              <w:right w:val="nil"/>
            </w:tcBorders>
            <w:shd w:val="clear" w:color="auto" w:fill="auto"/>
            <w:vAlign w:val="center"/>
            <w:hideMark/>
          </w:tcPr>
          <w:p w14:paraId="71E755EB" w14:textId="1A8D3774" w:rsidR="004B7451" w:rsidRPr="004B7451" w:rsidRDefault="00FA7848" w:rsidP="00FA7848">
            <w:pPr>
              <w:jc w:val="center"/>
              <w:rPr>
                <w:rFonts w:ascii="Arial" w:hAnsi="Arial" w:cs="Arial"/>
                <w:color w:val="000000"/>
                <w:sz w:val="20"/>
                <w:szCs w:val="20"/>
                <w:lang w:val="en-US"/>
              </w:rPr>
            </w:pPr>
            <w:r>
              <w:rPr>
                <w:rFonts w:ascii="Arial" w:hAnsi="Arial" w:cs="Arial"/>
                <w:color w:val="000000"/>
                <w:sz w:val="20"/>
                <w:szCs w:val="20"/>
                <w:lang w:eastAsia="vi-VN"/>
              </w:rPr>
              <w:t xml:space="preserve">     </w:t>
            </w:r>
            <w:r w:rsidR="004B7451" w:rsidRPr="004B7451">
              <w:rPr>
                <w:rFonts w:ascii="Arial" w:hAnsi="Arial" w:cs="Arial"/>
                <w:color w:val="000000"/>
                <w:sz w:val="20"/>
                <w:szCs w:val="20"/>
                <w:lang w:eastAsia="vi-VN"/>
              </w:rPr>
              <w:t>Carried</w:t>
            </w:r>
          </w:p>
        </w:tc>
        <w:tc>
          <w:tcPr>
            <w:tcW w:w="1624" w:type="dxa"/>
            <w:tcBorders>
              <w:top w:val="nil"/>
              <w:left w:val="nil"/>
              <w:bottom w:val="nil"/>
              <w:right w:val="nil"/>
            </w:tcBorders>
            <w:shd w:val="clear" w:color="auto" w:fill="auto"/>
            <w:vAlign w:val="center"/>
            <w:hideMark/>
          </w:tcPr>
          <w:p w14:paraId="52D8156D" w14:textId="77777777" w:rsidR="004B7451" w:rsidRPr="004B7451" w:rsidRDefault="004B7451" w:rsidP="00FA7848">
            <w:pPr>
              <w:jc w:val="center"/>
              <w:rPr>
                <w:rFonts w:ascii="Arial" w:hAnsi="Arial" w:cs="Arial"/>
                <w:color w:val="000000"/>
                <w:sz w:val="20"/>
                <w:szCs w:val="20"/>
                <w:lang w:val="en-US"/>
              </w:rPr>
            </w:pPr>
            <w:r w:rsidRPr="004B7451">
              <w:rPr>
                <w:rFonts w:ascii="Arial" w:hAnsi="Arial" w:cs="Arial"/>
                <w:color w:val="000000"/>
                <w:sz w:val="20"/>
                <w:szCs w:val="20"/>
                <w:lang w:eastAsia="vi-VN"/>
              </w:rPr>
              <w:t>Traffic</w:t>
            </w:r>
          </w:p>
        </w:tc>
        <w:tc>
          <w:tcPr>
            <w:tcW w:w="294" w:type="dxa"/>
            <w:tcBorders>
              <w:top w:val="nil"/>
              <w:left w:val="nil"/>
              <w:bottom w:val="nil"/>
              <w:right w:val="nil"/>
            </w:tcBorders>
            <w:shd w:val="clear" w:color="auto" w:fill="auto"/>
            <w:vAlign w:val="center"/>
            <w:hideMark/>
          </w:tcPr>
          <w:p w14:paraId="46BAD695" w14:textId="77777777" w:rsidR="004B7451" w:rsidRPr="004B7451" w:rsidRDefault="004B7451" w:rsidP="004B7451">
            <w:pPr>
              <w:jc w:val="center"/>
              <w:rPr>
                <w:rFonts w:ascii="Arial" w:hAnsi="Arial" w:cs="Arial"/>
                <w:color w:val="000000"/>
                <w:sz w:val="20"/>
                <w:szCs w:val="20"/>
                <w:lang w:val="en-US"/>
              </w:rPr>
            </w:pPr>
          </w:p>
        </w:tc>
        <w:tc>
          <w:tcPr>
            <w:tcW w:w="995" w:type="dxa"/>
            <w:vMerge w:val="restart"/>
            <w:tcBorders>
              <w:top w:val="nil"/>
              <w:left w:val="nil"/>
              <w:bottom w:val="single" w:sz="4" w:space="0" w:color="000000"/>
              <w:right w:val="nil"/>
            </w:tcBorders>
            <w:shd w:val="clear" w:color="auto" w:fill="auto"/>
            <w:vAlign w:val="center"/>
            <w:hideMark/>
          </w:tcPr>
          <w:p w14:paraId="08C6DFC2" w14:textId="77777777" w:rsidR="004B7451" w:rsidRPr="004B7451" w:rsidRDefault="004B7451" w:rsidP="00FA7848">
            <w:pPr>
              <w:jc w:val="right"/>
              <w:rPr>
                <w:rFonts w:ascii="Arial" w:hAnsi="Arial" w:cs="Arial"/>
                <w:color w:val="000000"/>
                <w:sz w:val="20"/>
                <w:szCs w:val="20"/>
                <w:lang w:val="en-US"/>
              </w:rPr>
            </w:pPr>
            <w:r w:rsidRPr="004B7451">
              <w:rPr>
                <w:rFonts w:ascii="Arial" w:hAnsi="Arial" w:cs="Arial"/>
                <w:color w:val="000000"/>
                <w:sz w:val="20"/>
                <w:szCs w:val="20"/>
                <w:lang w:eastAsia="vi-VN"/>
              </w:rPr>
              <w:t>Carried</w:t>
            </w:r>
          </w:p>
        </w:tc>
        <w:tc>
          <w:tcPr>
            <w:tcW w:w="1954" w:type="dxa"/>
            <w:vMerge w:val="restart"/>
            <w:tcBorders>
              <w:top w:val="nil"/>
              <w:left w:val="nil"/>
              <w:bottom w:val="single" w:sz="4" w:space="0" w:color="000000"/>
              <w:right w:val="nil"/>
            </w:tcBorders>
            <w:shd w:val="clear" w:color="auto" w:fill="auto"/>
            <w:vAlign w:val="center"/>
            <w:hideMark/>
          </w:tcPr>
          <w:p w14:paraId="5082CFD8" w14:textId="77777777" w:rsidR="004B7451" w:rsidRPr="004B7451" w:rsidRDefault="004B7451" w:rsidP="00FA7848">
            <w:pPr>
              <w:jc w:val="right"/>
              <w:rPr>
                <w:rFonts w:ascii="Arial" w:hAnsi="Arial" w:cs="Arial"/>
                <w:color w:val="000000"/>
                <w:sz w:val="20"/>
                <w:szCs w:val="20"/>
                <w:lang w:val="en-US"/>
              </w:rPr>
            </w:pPr>
            <w:r w:rsidRPr="004B7451">
              <w:rPr>
                <w:rFonts w:ascii="Arial" w:hAnsi="Arial" w:cs="Arial"/>
                <w:color w:val="000000"/>
                <w:sz w:val="20"/>
                <w:szCs w:val="20"/>
                <w:lang w:eastAsia="vi-VN"/>
              </w:rPr>
              <w:t>Traffic</w:t>
            </w:r>
          </w:p>
        </w:tc>
      </w:tr>
      <w:tr w:rsidR="00FA7848" w:rsidRPr="004B7451" w14:paraId="140FA6BF" w14:textId="77777777" w:rsidTr="000A5186">
        <w:trPr>
          <w:trHeight w:val="128"/>
        </w:trPr>
        <w:tc>
          <w:tcPr>
            <w:tcW w:w="1807" w:type="dxa"/>
            <w:vMerge/>
            <w:tcBorders>
              <w:top w:val="nil"/>
              <w:left w:val="nil"/>
              <w:bottom w:val="nil"/>
              <w:right w:val="nil"/>
            </w:tcBorders>
            <w:vAlign w:val="center"/>
            <w:hideMark/>
          </w:tcPr>
          <w:p w14:paraId="6E3A8664" w14:textId="77777777" w:rsidR="004B7451" w:rsidRPr="004B7451" w:rsidRDefault="004B7451" w:rsidP="004B7451">
            <w:pPr>
              <w:rPr>
                <w:rFonts w:ascii="Arial" w:hAnsi="Arial" w:cs="Arial"/>
                <w:color w:val="000000"/>
                <w:sz w:val="20"/>
                <w:szCs w:val="20"/>
                <w:lang w:val="en-US"/>
              </w:rPr>
            </w:pPr>
          </w:p>
        </w:tc>
        <w:tc>
          <w:tcPr>
            <w:tcW w:w="1437" w:type="dxa"/>
            <w:tcBorders>
              <w:top w:val="nil"/>
              <w:left w:val="nil"/>
              <w:bottom w:val="single" w:sz="4" w:space="0" w:color="auto"/>
              <w:right w:val="nil"/>
            </w:tcBorders>
            <w:shd w:val="clear" w:color="auto" w:fill="auto"/>
            <w:vAlign w:val="center"/>
            <w:hideMark/>
          </w:tcPr>
          <w:p w14:paraId="56429B05" w14:textId="77777777" w:rsidR="004B7451" w:rsidRPr="004B7451" w:rsidRDefault="004B7451" w:rsidP="00FA7848">
            <w:pPr>
              <w:jc w:val="right"/>
              <w:rPr>
                <w:rFonts w:ascii="Arial" w:hAnsi="Arial" w:cs="Arial"/>
                <w:color w:val="000000"/>
                <w:sz w:val="20"/>
                <w:szCs w:val="20"/>
                <w:lang w:val="en-US"/>
              </w:rPr>
            </w:pPr>
            <w:r w:rsidRPr="004B7451">
              <w:rPr>
                <w:rFonts w:ascii="Arial" w:hAnsi="Arial" w:cs="Arial"/>
                <w:color w:val="000000"/>
                <w:sz w:val="20"/>
                <w:szCs w:val="20"/>
                <w:lang w:val="en-US"/>
              </w:rPr>
              <w:t>(Mill. tons)</w:t>
            </w:r>
          </w:p>
        </w:tc>
        <w:tc>
          <w:tcPr>
            <w:tcW w:w="1624" w:type="dxa"/>
            <w:tcBorders>
              <w:top w:val="nil"/>
              <w:left w:val="nil"/>
              <w:bottom w:val="single" w:sz="4" w:space="0" w:color="auto"/>
              <w:right w:val="nil"/>
            </w:tcBorders>
            <w:shd w:val="clear" w:color="auto" w:fill="auto"/>
            <w:vAlign w:val="center"/>
            <w:hideMark/>
          </w:tcPr>
          <w:p w14:paraId="5441EFD9" w14:textId="77777777" w:rsidR="004B7451" w:rsidRPr="004B7451" w:rsidRDefault="004B7451" w:rsidP="00FA7848">
            <w:pPr>
              <w:jc w:val="right"/>
              <w:rPr>
                <w:rFonts w:ascii="Arial" w:hAnsi="Arial" w:cs="Arial"/>
                <w:color w:val="000000"/>
                <w:sz w:val="20"/>
                <w:szCs w:val="20"/>
                <w:lang w:val="en-US"/>
              </w:rPr>
            </w:pPr>
            <w:r w:rsidRPr="004B7451">
              <w:rPr>
                <w:rFonts w:ascii="Arial" w:hAnsi="Arial" w:cs="Arial"/>
                <w:color w:val="000000"/>
                <w:sz w:val="20"/>
                <w:szCs w:val="20"/>
                <w:lang w:val="en-US"/>
              </w:rPr>
              <w:t>(Bill. tons-km)</w:t>
            </w:r>
          </w:p>
        </w:tc>
        <w:tc>
          <w:tcPr>
            <w:tcW w:w="294" w:type="dxa"/>
            <w:tcBorders>
              <w:top w:val="nil"/>
              <w:left w:val="nil"/>
              <w:bottom w:val="single" w:sz="4" w:space="0" w:color="auto"/>
              <w:right w:val="nil"/>
            </w:tcBorders>
            <w:shd w:val="clear" w:color="auto" w:fill="auto"/>
            <w:vAlign w:val="center"/>
            <w:hideMark/>
          </w:tcPr>
          <w:p w14:paraId="009B3A4B" w14:textId="77777777" w:rsidR="004B7451" w:rsidRPr="004B7451" w:rsidRDefault="004B7451" w:rsidP="004B7451">
            <w:pPr>
              <w:jc w:val="center"/>
              <w:rPr>
                <w:rFonts w:ascii="Arial" w:hAnsi="Arial" w:cs="Arial"/>
                <w:color w:val="000000"/>
                <w:sz w:val="20"/>
                <w:szCs w:val="20"/>
                <w:lang w:val="en-US"/>
              </w:rPr>
            </w:pPr>
            <w:r w:rsidRPr="004B7451">
              <w:rPr>
                <w:rFonts w:ascii="Arial" w:hAnsi="Arial" w:cs="Arial"/>
                <w:color w:val="000000"/>
                <w:sz w:val="20"/>
                <w:szCs w:val="20"/>
                <w:lang w:val="en-US"/>
              </w:rPr>
              <w:t> </w:t>
            </w:r>
          </w:p>
        </w:tc>
        <w:tc>
          <w:tcPr>
            <w:tcW w:w="995" w:type="dxa"/>
            <w:vMerge/>
            <w:tcBorders>
              <w:top w:val="nil"/>
              <w:left w:val="nil"/>
              <w:bottom w:val="single" w:sz="4" w:space="0" w:color="000000"/>
              <w:right w:val="nil"/>
            </w:tcBorders>
            <w:vAlign w:val="center"/>
            <w:hideMark/>
          </w:tcPr>
          <w:p w14:paraId="5E17F648" w14:textId="77777777" w:rsidR="004B7451" w:rsidRPr="004B7451" w:rsidRDefault="004B7451" w:rsidP="00FA7848">
            <w:pPr>
              <w:jc w:val="right"/>
              <w:rPr>
                <w:rFonts w:ascii="Arial" w:hAnsi="Arial" w:cs="Arial"/>
                <w:color w:val="000000"/>
                <w:sz w:val="20"/>
                <w:szCs w:val="20"/>
                <w:lang w:val="en-US"/>
              </w:rPr>
            </w:pPr>
          </w:p>
        </w:tc>
        <w:tc>
          <w:tcPr>
            <w:tcW w:w="1954" w:type="dxa"/>
            <w:vMerge/>
            <w:tcBorders>
              <w:top w:val="nil"/>
              <w:left w:val="nil"/>
              <w:bottom w:val="single" w:sz="4" w:space="0" w:color="000000"/>
              <w:right w:val="nil"/>
            </w:tcBorders>
            <w:vAlign w:val="center"/>
            <w:hideMark/>
          </w:tcPr>
          <w:p w14:paraId="58501A59" w14:textId="77777777" w:rsidR="004B7451" w:rsidRPr="004B7451" w:rsidRDefault="004B7451" w:rsidP="00FA7848">
            <w:pPr>
              <w:jc w:val="right"/>
              <w:rPr>
                <w:rFonts w:ascii="Arial" w:hAnsi="Arial" w:cs="Arial"/>
                <w:color w:val="000000"/>
                <w:sz w:val="20"/>
                <w:szCs w:val="20"/>
                <w:lang w:val="en-US"/>
              </w:rPr>
            </w:pPr>
          </w:p>
        </w:tc>
      </w:tr>
      <w:tr w:rsidR="00FA7848" w:rsidRPr="004B7451" w14:paraId="57004353" w14:textId="77777777" w:rsidTr="000A5186">
        <w:trPr>
          <w:trHeight w:val="230"/>
        </w:trPr>
        <w:tc>
          <w:tcPr>
            <w:tcW w:w="1807" w:type="dxa"/>
            <w:tcBorders>
              <w:top w:val="nil"/>
              <w:left w:val="nil"/>
              <w:bottom w:val="nil"/>
              <w:right w:val="nil"/>
            </w:tcBorders>
            <w:shd w:val="clear" w:color="auto" w:fill="auto"/>
            <w:vAlign w:val="center"/>
            <w:hideMark/>
          </w:tcPr>
          <w:p w14:paraId="377C9BC5" w14:textId="77777777" w:rsidR="004B7451" w:rsidRPr="004B7451" w:rsidRDefault="004B7451" w:rsidP="004B7451">
            <w:pPr>
              <w:jc w:val="center"/>
              <w:rPr>
                <w:rFonts w:ascii="Arial" w:hAnsi="Arial" w:cs="Arial"/>
                <w:color w:val="000000"/>
                <w:sz w:val="20"/>
                <w:szCs w:val="20"/>
                <w:lang w:val="en-US"/>
              </w:rPr>
            </w:pPr>
          </w:p>
        </w:tc>
        <w:tc>
          <w:tcPr>
            <w:tcW w:w="1437" w:type="dxa"/>
            <w:tcBorders>
              <w:top w:val="nil"/>
              <w:left w:val="nil"/>
              <w:bottom w:val="nil"/>
              <w:right w:val="nil"/>
            </w:tcBorders>
            <w:shd w:val="clear" w:color="auto" w:fill="auto"/>
            <w:vAlign w:val="center"/>
            <w:hideMark/>
          </w:tcPr>
          <w:p w14:paraId="427098C0" w14:textId="77777777" w:rsidR="004B7451" w:rsidRPr="004B7451" w:rsidRDefault="004B7451" w:rsidP="004B7451">
            <w:pPr>
              <w:rPr>
                <w:sz w:val="20"/>
                <w:szCs w:val="20"/>
                <w:lang w:val="en-US"/>
              </w:rPr>
            </w:pPr>
          </w:p>
        </w:tc>
        <w:tc>
          <w:tcPr>
            <w:tcW w:w="1624" w:type="dxa"/>
            <w:tcBorders>
              <w:top w:val="nil"/>
              <w:left w:val="nil"/>
              <w:bottom w:val="nil"/>
              <w:right w:val="nil"/>
            </w:tcBorders>
            <w:shd w:val="clear" w:color="auto" w:fill="auto"/>
            <w:vAlign w:val="center"/>
            <w:hideMark/>
          </w:tcPr>
          <w:p w14:paraId="74A0E2D3" w14:textId="77777777" w:rsidR="004B7451" w:rsidRPr="004B7451" w:rsidRDefault="004B7451" w:rsidP="004B7451">
            <w:pPr>
              <w:jc w:val="center"/>
              <w:rPr>
                <w:sz w:val="20"/>
                <w:szCs w:val="20"/>
                <w:lang w:val="en-US"/>
              </w:rPr>
            </w:pPr>
          </w:p>
        </w:tc>
        <w:tc>
          <w:tcPr>
            <w:tcW w:w="294" w:type="dxa"/>
            <w:tcBorders>
              <w:top w:val="nil"/>
              <w:left w:val="nil"/>
              <w:bottom w:val="nil"/>
              <w:right w:val="nil"/>
            </w:tcBorders>
            <w:shd w:val="clear" w:color="auto" w:fill="auto"/>
            <w:vAlign w:val="center"/>
            <w:hideMark/>
          </w:tcPr>
          <w:p w14:paraId="5B2ABA21" w14:textId="77777777" w:rsidR="004B7451" w:rsidRPr="004B7451" w:rsidRDefault="004B7451" w:rsidP="004B7451">
            <w:pPr>
              <w:jc w:val="center"/>
              <w:rPr>
                <w:sz w:val="20"/>
                <w:szCs w:val="20"/>
                <w:lang w:val="en-US"/>
              </w:rPr>
            </w:pPr>
          </w:p>
        </w:tc>
        <w:tc>
          <w:tcPr>
            <w:tcW w:w="995" w:type="dxa"/>
            <w:tcBorders>
              <w:top w:val="nil"/>
              <w:left w:val="nil"/>
              <w:bottom w:val="nil"/>
              <w:right w:val="nil"/>
            </w:tcBorders>
            <w:shd w:val="clear" w:color="auto" w:fill="auto"/>
            <w:vAlign w:val="center"/>
            <w:hideMark/>
          </w:tcPr>
          <w:p w14:paraId="11335909" w14:textId="77777777" w:rsidR="004B7451" w:rsidRPr="004B7451" w:rsidRDefault="004B7451" w:rsidP="00FA7848">
            <w:pPr>
              <w:jc w:val="right"/>
              <w:rPr>
                <w:sz w:val="20"/>
                <w:szCs w:val="20"/>
                <w:lang w:val="en-US"/>
              </w:rPr>
            </w:pPr>
          </w:p>
        </w:tc>
        <w:tc>
          <w:tcPr>
            <w:tcW w:w="1954" w:type="dxa"/>
            <w:tcBorders>
              <w:top w:val="nil"/>
              <w:left w:val="nil"/>
              <w:bottom w:val="nil"/>
              <w:right w:val="nil"/>
            </w:tcBorders>
            <w:shd w:val="clear" w:color="auto" w:fill="auto"/>
            <w:vAlign w:val="center"/>
            <w:hideMark/>
          </w:tcPr>
          <w:p w14:paraId="79EB67F6" w14:textId="77777777" w:rsidR="004B7451" w:rsidRPr="004B7451" w:rsidRDefault="004B7451" w:rsidP="00FA7848">
            <w:pPr>
              <w:jc w:val="right"/>
              <w:rPr>
                <w:sz w:val="20"/>
                <w:szCs w:val="20"/>
                <w:lang w:val="en-US"/>
              </w:rPr>
            </w:pPr>
          </w:p>
        </w:tc>
      </w:tr>
      <w:tr w:rsidR="00FA7848" w:rsidRPr="004B7451" w14:paraId="0FB391B5" w14:textId="77777777" w:rsidTr="000A5186">
        <w:trPr>
          <w:cantSplit/>
          <w:trHeight w:val="372"/>
        </w:trPr>
        <w:tc>
          <w:tcPr>
            <w:tcW w:w="1807" w:type="dxa"/>
            <w:tcBorders>
              <w:top w:val="nil"/>
              <w:left w:val="nil"/>
              <w:bottom w:val="nil"/>
              <w:right w:val="nil"/>
            </w:tcBorders>
            <w:shd w:val="clear" w:color="auto" w:fill="auto"/>
            <w:noWrap/>
            <w:vAlign w:val="center"/>
            <w:hideMark/>
          </w:tcPr>
          <w:p w14:paraId="4023A3D7" w14:textId="77777777" w:rsidR="004B7451" w:rsidRPr="004B7451" w:rsidRDefault="004B7451" w:rsidP="004B7451">
            <w:pPr>
              <w:rPr>
                <w:rFonts w:ascii="Arial" w:hAnsi="Arial" w:cs="Arial"/>
                <w:b/>
                <w:bCs/>
                <w:color w:val="000000"/>
                <w:sz w:val="20"/>
                <w:szCs w:val="20"/>
                <w:lang w:val="en-US"/>
              </w:rPr>
            </w:pPr>
            <w:r w:rsidRPr="004B7451">
              <w:rPr>
                <w:rFonts w:ascii="Arial" w:hAnsi="Arial" w:cs="Arial"/>
                <w:b/>
                <w:bCs/>
                <w:color w:val="000000"/>
                <w:sz w:val="20"/>
                <w:szCs w:val="20"/>
              </w:rPr>
              <w:t>Total</w:t>
            </w:r>
          </w:p>
        </w:tc>
        <w:tc>
          <w:tcPr>
            <w:tcW w:w="1437" w:type="dxa"/>
            <w:tcBorders>
              <w:top w:val="nil"/>
              <w:left w:val="nil"/>
              <w:bottom w:val="nil"/>
              <w:right w:val="nil"/>
            </w:tcBorders>
            <w:shd w:val="clear" w:color="auto" w:fill="auto"/>
            <w:noWrap/>
            <w:vAlign w:val="center"/>
            <w:hideMark/>
          </w:tcPr>
          <w:p w14:paraId="32513D08" w14:textId="23372AD0" w:rsidR="004B7451" w:rsidRPr="004B7451" w:rsidRDefault="004B7451" w:rsidP="00FA7848">
            <w:pPr>
              <w:jc w:val="right"/>
              <w:rPr>
                <w:rFonts w:ascii="Arial" w:hAnsi="Arial" w:cs="Arial"/>
                <w:b/>
                <w:bCs/>
                <w:color w:val="000000"/>
                <w:sz w:val="20"/>
                <w:szCs w:val="20"/>
                <w:lang w:val="en-US"/>
              </w:rPr>
            </w:pPr>
            <w:r w:rsidRPr="004B7451">
              <w:rPr>
                <w:rFonts w:ascii="Arial" w:hAnsi="Arial" w:cs="Arial"/>
                <w:b/>
                <w:bCs/>
                <w:color w:val="000000"/>
                <w:sz w:val="20"/>
                <w:szCs w:val="20"/>
              </w:rPr>
              <w:t>415,8</w:t>
            </w:r>
          </w:p>
        </w:tc>
        <w:tc>
          <w:tcPr>
            <w:tcW w:w="1624" w:type="dxa"/>
            <w:tcBorders>
              <w:top w:val="nil"/>
              <w:left w:val="nil"/>
              <w:bottom w:val="nil"/>
              <w:right w:val="nil"/>
            </w:tcBorders>
            <w:shd w:val="clear" w:color="auto" w:fill="auto"/>
            <w:noWrap/>
            <w:vAlign w:val="center"/>
            <w:hideMark/>
          </w:tcPr>
          <w:p w14:paraId="719F3225" w14:textId="167223E3" w:rsidR="004B7451" w:rsidRPr="004B7451" w:rsidRDefault="004B7451" w:rsidP="00FA7848">
            <w:pPr>
              <w:jc w:val="right"/>
              <w:rPr>
                <w:rFonts w:ascii="Arial" w:hAnsi="Arial" w:cs="Arial"/>
                <w:b/>
                <w:bCs/>
                <w:color w:val="000000"/>
                <w:sz w:val="20"/>
                <w:szCs w:val="20"/>
                <w:lang w:val="en-US"/>
              </w:rPr>
            </w:pPr>
            <w:r w:rsidRPr="004B7451">
              <w:rPr>
                <w:rFonts w:ascii="Arial" w:hAnsi="Arial" w:cs="Arial"/>
                <w:b/>
                <w:bCs/>
                <w:color w:val="000000"/>
                <w:sz w:val="20"/>
                <w:szCs w:val="20"/>
              </w:rPr>
              <w:t>87,9</w:t>
            </w:r>
          </w:p>
        </w:tc>
        <w:tc>
          <w:tcPr>
            <w:tcW w:w="294" w:type="dxa"/>
            <w:tcBorders>
              <w:top w:val="nil"/>
              <w:left w:val="nil"/>
              <w:bottom w:val="nil"/>
              <w:right w:val="nil"/>
            </w:tcBorders>
            <w:shd w:val="clear" w:color="auto" w:fill="auto"/>
            <w:noWrap/>
            <w:vAlign w:val="center"/>
            <w:hideMark/>
          </w:tcPr>
          <w:p w14:paraId="0353B845" w14:textId="77777777" w:rsidR="004B7451" w:rsidRPr="004B7451" w:rsidRDefault="004B7451" w:rsidP="00FA7848">
            <w:pPr>
              <w:jc w:val="center"/>
              <w:rPr>
                <w:rFonts w:ascii="Arial" w:hAnsi="Arial" w:cs="Arial"/>
                <w:b/>
                <w:bCs/>
                <w:color w:val="000000"/>
                <w:sz w:val="20"/>
                <w:szCs w:val="20"/>
                <w:lang w:val="en-US"/>
              </w:rPr>
            </w:pPr>
          </w:p>
        </w:tc>
        <w:tc>
          <w:tcPr>
            <w:tcW w:w="995" w:type="dxa"/>
            <w:tcBorders>
              <w:top w:val="nil"/>
              <w:left w:val="nil"/>
              <w:bottom w:val="nil"/>
              <w:right w:val="nil"/>
            </w:tcBorders>
            <w:shd w:val="clear" w:color="auto" w:fill="auto"/>
            <w:noWrap/>
            <w:vAlign w:val="center"/>
            <w:hideMark/>
          </w:tcPr>
          <w:p w14:paraId="3DD0E83D" w14:textId="6EBE9791" w:rsidR="004B7451" w:rsidRPr="004B7451" w:rsidRDefault="004B7451" w:rsidP="00FA7848">
            <w:pPr>
              <w:jc w:val="right"/>
              <w:rPr>
                <w:rFonts w:ascii="Arial" w:hAnsi="Arial" w:cs="Arial"/>
                <w:b/>
                <w:bCs/>
                <w:color w:val="000000"/>
                <w:sz w:val="20"/>
                <w:szCs w:val="20"/>
                <w:lang w:val="en-US"/>
              </w:rPr>
            </w:pPr>
            <w:r w:rsidRPr="004B7451">
              <w:rPr>
                <w:rFonts w:ascii="Arial" w:hAnsi="Arial" w:cs="Arial"/>
                <w:b/>
                <w:bCs/>
                <w:color w:val="000000"/>
                <w:sz w:val="20"/>
                <w:szCs w:val="20"/>
              </w:rPr>
              <w:t>13,9</w:t>
            </w:r>
          </w:p>
        </w:tc>
        <w:tc>
          <w:tcPr>
            <w:tcW w:w="1954" w:type="dxa"/>
            <w:tcBorders>
              <w:top w:val="nil"/>
              <w:left w:val="nil"/>
              <w:bottom w:val="nil"/>
              <w:right w:val="nil"/>
            </w:tcBorders>
            <w:shd w:val="clear" w:color="auto" w:fill="auto"/>
            <w:noWrap/>
            <w:vAlign w:val="center"/>
            <w:hideMark/>
          </w:tcPr>
          <w:p w14:paraId="126A3658" w14:textId="7FBE83BC" w:rsidR="004B7451" w:rsidRPr="004B7451" w:rsidRDefault="004B7451" w:rsidP="00FA7848">
            <w:pPr>
              <w:jc w:val="right"/>
              <w:rPr>
                <w:rFonts w:ascii="Arial" w:hAnsi="Arial" w:cs="Arial"/>
                <w:b/>
                <w:bCs/>
                <w:color w:val="000000"/>
                <w:sz w:val="20"/>
                <w:szCs w:val="20"/>
                <w:lang w:val="en-US"/>
              </w:rPr>
            </w:pPr>
            <w:r w:rsidRPr="004B7451">
              <w:rPr>
                <w:rFonts w:ascii="Arial" w:hAnsi="Arial" w:cs="Arial"/>
                <w:b/>
                <w:bCs/>
                <w:color w:val="000000"/>
                <w:sz w:val="20"/>
                <w:szCs w:val="20"/>
              </w:rPr>
              <w:t>14,0</w:t>
            </w:r>
          </w:p>
        </w:tc>
      </w:tr>
      <w:tr w:rsidR="00FA7848" w:rsidRPr="004B7451" w14:paraId="34738D03" w14:textId="77777777" w:rsidTr="000A5186">
        <w:trPr>
          <w:cantSplit/>
          <w:trHeight w:val="372"/>
        </w:trPr>
        <w:tc>
          <w:tcPr>
            <w:tcW w:w="1807" w:type="dxa"/>
            <w:tcBorders>
              <w:top w:val="nil"/>
              <w:left w:val="nil"/>
              <w:bottom w:val="nil"/>
              <w:right w:val="nil"/>
            </w:tcBorders>
            <w:shd w:val="clear" w:color="auto" w:fill="auto"/>
            <w:noWrap/>
            <w:vAlign w:val="center"/>
            <w:hideMark/>
          </w:tcPr>
          <w:p w14:paraId="76E98805" w14:textId="77777777" w:rsidR="004B7451" w:rsidRPr="004B7451" w:rsidRDefault="004B7451" w:rsidP="004B7451">
            <w:pPr>
              <w:rPr>
                <w:rFonts w:ascii="Arial" w:hAnsi="Arial" w:cs="Arial"/>
                <w:color w:val="000000"/>
                <w:sz w:val="20"/>
                <w:szCs w:val="20"/>
                <w:lang w:val="en-US"/>
              </w:rPr>
            </w:pPr>
            <w:r w:rsidRPr="004B7451">
              <w:rPr>
                <w:rFonts w:ascii="Arial" w:hAnsi="Arial" w:cs="Arial"/>
                <w:color w:val="000000"/>
                <w:sz w:val="20"/>
                <w:szCs w:val="20"/>
                <w:lang w:eastAsia="vi-VN"/>
              </w:rPr>
              <w:t>Rail way</w:t>
            </w:r>
          </w:p>
        </w:tc>
        <w:tc>
          <w:tcPr>
            <w:tcW w:w="1437" w:type="dxa"/>
            <w:tcBorders>
              <w:top w:val="nil"/>
              <w:left w:val="nil"/>
              <w:bottom w:val="nil"/>
              <w:right w:val="nil"/>
            </w:tcBorders>
            <w:shd w:val="clear" w:color="auto" w:fill="auto"/>
            <w:noWrap/>
            <w:vAlign w:val="center"/>
            <w:hideMark/>
          </w:tcPr>
          <w:p w14:paraId="78141BA7" w14:textId="77777777" w:rsidR="004B7451" w:rsidRPr="004B7451" w:rsidRDefault="004B7451" w:rsidP="00FA7848">
            <w:pPr>
              <w:jc w:val="right"/>
              <w:rPr>
                <w:rFonts w:ascii="Arial" w:hAnsi="Arial" w:cs="Arial"/>
                <w:color w:val="000000"/>
                <w:sz w:val="20"/>
                <w:szCs w:val="20"/>
                <w:lang w:val="en-US"/>
              </w:rPr>
            </w:pPr>
            <w:r w:rsidRPr="004B7451">
              <w:rPr>
                <w:rFonts w:ascii="Arial" w:hAnsi="Arial" w:cs="Arial"/>
                <w:color w:val="000000"/>
                <w:sz w:val="20"/>
                <w:szCs w:val="20"/>
              </w:rPr>
              <w:t>0,6</w:t>
            </w:r>
          </w:p>
        </w:tc>
        <w:tc>
          <w:tcPr>
            <w:tcW w:w="1624" w:type="dxa"/>
            <w:tcBorders>
              <w:top w:val="nil"/>
              <w:left w:val="nil"/>
              <w:bottom w:val="nil"/>
              <w:right w:val="nil"/>
            </w:tcBorders>
            <w:shd w:val="clear" w:color="auto" w:fill="auto"/>
            <w:noWrap/>
            <w:vAlign w:val="center"/>
            <w:hideMark/>
          </w:tcPr>
          <w:p w14:paraId="3675CEFA" w14:textId="77777777" w:rsidR="004B7451" w:rsidRPr="004B7451" w:rsidRDefault="004B7451" w:rsidP="00FA7848">
            <w:pPr>
              <w:jc w:val="right"/>
              <w:rPr>
                <w:rFonts w:ascii="Arial" w:hAnsi="Arial" w:cs="Arial"/>
                <w:color w:val="000000"/>
                <w:sz w:val="20"/>
                <w:szCs w:val="20"/>
                <w:lang w:val="en-US"/>
              </w:rPr>
            </w:pPr>
            <w:r w:rsidRPr="004B7451">
              <w:rPr>
                <w:rFonts w:ascii="Arial" w:hAnsi="Arial" w:cs="Arial"/>
                <w:color w:val="000000"/>
                <w:sz w:val="20"/>
                <w:szCs w:val="20"/>
              </w:rPr>
              <w:t>0,5</w:t>
            </w:r>
          </w:p>
        </w:tc>
        <w:tc>
          <w:tcPr>
            <w:tcW w:w="294" w:type="dxa"/>
            <w:tcBorders>
              <w:top w:val="nil"/>
              <w:left w:val="nil"/>
              <w:bottom w:val="nil"/>
              <w:right w:val="nil"/>
            </w:tcBorders>
            <w:shd w:val="clear" w:color="auto" w:fill="auto"/>
            <w:noWrap/>
            <w:vAlign w:val="center"/>
            <w:hideMark/>
          </w:tcPr>
          <w:p w14:paraId="609229A8" w14:textId="77777777" w:rsidR="004B7451" w:rsidRPr="004B7451" w:rsidRDefault="004B7451" w:rsidP="00FA7848">
            <w:pPr>
              <w:jc w:val="center"/>
              <w:rPr>
                <w:rFonts w:ascii="Arial" w:hAnsi="Arial" w:cs="Arial"/>
                <w:color w:val="000000"/>
                <w:sz w:val="20"/>
                <w:szCs w:val="20"/>
                <w:lang w:val="en-US"/>
              </w:rPr>
            </w:pPr>
          </w:p>
        </w:tc>
        <w:tc>
          <w:tcPr>
            <w:tcW w:w="995" w:type="dxa"/>
            <w:tcBorders>
              <w:top w:val="nil"/>
              <w:left w:val="nil"/>
              <w:bottom w:val="nil"/>
              <w:right w:val="nil"/>
            </w:tcBorders>
            <w:shd w:val="clear" w:color="auto" w:fill="auto"/>
            <w:noWrap/>
            <w:vAlign w:val="center"/>
            <w:hideMark/>
          </w:tcPr>
          <w:p w14:paraId="6254EDE4" w14:textId="20C99881" w:rsidR="004B7451" w:rsidRPr="004B7451" w:rsidRDefault="004B7451" w:rsidP="00FA7848">
            <w:pPr>
              <w:jc w:val="right"/>
              <w:rPr>
                <w:rFonts w:ascii="Arial" w:hAnsi="Arial" w:cs="Arial"/>
                <w:color w:val="000000"/>
                <w:sz w:val="20"/>
                <w:szCs w:val="20"/>
                <w:lang w:val="en-US"/>
              </w:rPr>
            </w:pPr>
            <w:r w:rsidRPr="004B7451">
              <w:rPr>
                <w:rFonts w:ascii="Arial" w:hAnsi="Arial" w:cs="Arial"/>
                <w:color w:val="000000"/>
                <w:sz w:val="20"/>
                <w:szCs w:val="20"/>
              </w:rPr>
              <w:t>-2,8</w:t>
            </w:r>
          </w:p>
        </w:tc>
        <w:tc>
          <w:tcPr>
            <w:tcW w:w="1954" w:type="dxa"/>
            <w:tcBorders>
              <w:top w:val="nil"/>
              <w:left w:val="nil"/>
              <w:bottom w:val="nil"/>
              <w:right w:val="nil"/>
            </w:tcBorders>
            <w:shd w:val="clear" w:color="auto" w:fill="auto"/>
            <w:noWrap/>
            <w:vAlign w:val="center"/>
            <w:hideMark/>
          </w:tcPr>
          <w:p w14:paraId="6F373830" w14:textId="4AD0B81C" w:rsidR="004B7451" w:rsidRPr="004B7451" w:rsidRDefault="004B7451" w:rsidP="00FA7848">
            <w:pPr>
              <w:jc w:val="right"/>
              <w:rPr>
                <w:rFonts w:ascii="Arial" w:hAnsi="Arial" w:cs="Arial"/>
                <w:color w:val="000000"/>
                <w:sz w:val="20"/>
                <w:szCs w:val="20"/>
                <w:lang w:val="en-US"/>
              </w:rPr>
            </w:pPr>
            <w:r w:rsidRPr="004B7451">
              <w:rPr>
                <w:rFonts w:ascii="Arial" w:hAnsi="Arial" w:cs="Arial"/>
                <w:color w:val="000000"/>
                <w:sz w:val="20"/>
                <w:szCs w:val="20"/>
              </w:rPr>
              <w:t>-10,2</w:t>
            </w:r>
          </w:p>
        </w:tc>
      </w:tr>
      <w:tr w:rsidR="00FA7848" w:rsidRPr="004B7451" w14:paraId="16A85946" w14:textId="77777777" w:rsidTr="000A5186">
        <w:trPr>
          <w:cantSplit/>
          <w:trHeight w:val="372"/>
        </w:trPr>
        <w:tc>
          <w:tcPr>
            <w:tcW w:w="1807" w:type="dxa"/>
            <w:tcBorders>
              <w:top w:val="nil"/>
              <w:left w:val="nil"/>
              <w:bottom w:val="nil"/>
              <w:right w:val="nil"/>
            </w:tcBorders>
            <w:shd w:val="clear" w:color="auto" w:fill="auto"/>
            <w:noWrap/>
            <w:vAlign w:val="center"/>
            <w:hideMark/>
          </w:tcPr>
          <w:p w14:paraId="4FF5846E" w14:textId="77777777" w:rsidR="004B7451" w:rsidRPr="004B7451" w:rsidRDefault="004B7451" w:rsidP="004B7451">
            <w:pPr>
              <w:rPr>
                <w:rFonts w:ascii="Arial" w:hAnsi="Arial" w:cs="Arial"/>
                <w:color w:val="000000"/>
                <w:sz w:val="20"/>
                <w:szCs w:val="20"/>
                <w:lang w:val="en-US"/>
              </w:rPr>
            </w:pPr>
            <w:r w:rsidRPr="004B7451">
              <w:rPr>
                <w:rFonts w:ascii="Arial" w:hAnsi="Arial" w:cs="Arial"/>
                <w:color w:val="000000"/>
                <w:sz w:val="20"/>
                <w:szCs w:val="20"/>
                <w:lang w:eastAsia="vi-VN"/>
              </w:rPr>
              <w:t>Sea way</w:t>
            </w:r>
          </w:p>
        </w:tc>
        <w:tc>
          <w:tcPr>
            <w:tcW w:w="1437" w:type="dxa"/>
            <w:tcBorders>
              <w:top w:val="nil"/>
              <w:left w:val="nil"/>
              <w:bottom w:val="nil"/>
              <w:right w:val="nil"/>
            </w:tcBorders>
            <w:shd w:val="clear" w:color="auto" w:fill="auto"/>
            <w:noWrap/>
            <w:vAlign w:val="center"/>
            <w:hideMark/>
          </w:tcPr>
          <w:p w14:paraId="18E64FB9" w14:textId="77777777" w:rsidR="004B7451" w:rsidRPr="004B7451" w:rsidRDefault="004B7451" w:rsidP="00FA7848">
            <w:pPr>
              <w:jc w:val="right"/>
              <w:rPr>
                <w:rFonts w:ascii="Arial" w:hAnsi="Arial" w:cs="Arial"/>
                <w:color w:val="000000"/>
                <w:sz w:val="20"/>
                <w:szCs w:val="20"/>
                <w:lang w:val="en-US"/>
              </w:rPr>
            </w:pPr>
            <w:r w:rsidRPr="004B7451">
              <w:rPr>
                <w:rFonts w:ascii="Arial" w:hAnsi="Arial" w:cs="Arial"/>
                <w:color w:val="000000"/>
                <w:sz w:val="20"/>
                <w:szCs w:val="20"/>
              </w:rPr>
              <w:t>21,8</w:t>
            </w:r>
          </w:p>
        </w:tc>
        <w:tc>
          <w:tcPr>
            <w:tcW w:w="1624" w:type="dxa"/>
            <w:tcBorders>
              <w:top w:val="nil"/>
              <w:left w:val="nil"/>
              <w:bottom w:val="nil"/>
              <w:right w:val="nil"/>
            </w:tcBorders>
            <w:shd w:val="clear" w:color="auto" w:fill="auto"/>
            <w:noWrap/>
            <w:vAlign w:val="center"/>
            <w:hideMark/>
          </w:tcPr>
          <w:p w14:paraId="568D24ED" w14:textId="77777777" w:rsidR="004B7451" w:rsidRPr="004B7451" w:rsidRDefault="004B7451" w:rsidP="00FA7848">
            <w:pPr>
              <w:jc w:val="right"/>
              <w:rPr>
                <w:rFonts w:ascii="Arial" w:hAnsi="Arial" w:cs="Arial"/>
                <w:color w:val="000000"/>
                <w:sz w:val="20"/>
                <w:szCs w:val="20"/>
                <w:lang w:val="en-US"/>
              </w:rPr>
            </w:pPr>
            <w:r w:rsidRPr="004B7451">
              <w:rPr>
                <w:rFonts w:ascii="Arial" w:hAnsi="Arial" w:cs="Arial"/>
                <w:color w:val="000000"/>
                <w:sz w:val="20"/>
                <w:szCs w:val="20"/>
              </w:rPr>
              <w:t>41,1</w:t>
            </w:r>
          </w:p>
        </w:tc>
        <w:tc>
          <w:tcPr>
            <w:tcW w:w="294" w:type="dxa"/>
            <w:tcBorders>
              <w:top w:val="nil"/>
              <w:left w:val="nil"/>
              <w:bottom w:val="nil"/>
              <w:right w:val="nil"/>
            </w:tcBorders>
            <w:shd w:val="clear" w:color="auto" w:fill="auto"/>
            <w:noWrap/>
            <w:vAlign w:val="center"/>
            <w:hideMark/>
          </w:tcPr>
          <w:p w14:paraId="7FCE8531" w14:textId="77777777" w:rsidR="004B7451" w:rsidRPr="004B7451" w:rsidRDefault="004B7451" w:rsidP="00FA7848">
            <w:pPr>
              <w:jc w:val="center"/>
              <w:rPr>
                <w:rFonts w:ascii="Arial" w:hAnsi="Arial" w:cs="Arial"/>
                <w:color w:val="000000"/>
                <w:sz w:val="20"/>
                <w:szCs w:val="20"/>
                <w:lang w:val="en-US"/>
              </w:rPr>
            </w:pPr>
          </w:p>
        </w:tc>
        <w:tc>
          <w:tcPr>
            <w:tcW w:w="995" w:type="dxa"/>
            <w:tcBorders>
              <w:top w:val="nil"/>
              <w:left w:val="nil"/>
              <w:bottom w:val="nil"/>
              <w:right w:val="nil"/>
            </w:tcBorders>
            <w:shd w:val="clear" w:color="auto" w:fill="auto"/>
            <w:noWrap/>
            <w:vAlign w:val="center"/>
            <w:hideMark/>
          </w:tcPr>
          <w:p w14:paraId="30D894A0" w14:textId="33479173" w:rsidR="004B7451" w:rsidRPr="004B7451" w:rsidRDefault="004B7451" w:rsidP="00FA7848">
            <w:pPr>
              <w:jc w:val="right"/>
              <w:rPr>
                <w:rFonts w:ascii="Arial" w:hAnsi="Arial" w:cs="Arial"/>
                <w:color w:val="000000"/>
                <w:sz w:val="20"/>
                <w:szCs w:val="20"/>
                <w:lang w:val="en-US"/>
              </w:rPr>
            </w:pPr>
            <w:r w:rsidRPr="004B7451">
              <w:rPr>
                <w:rFonts w:ascii="Arial" w:hAnsi="Arial" w:cs="Arial"/>
                <w:color w:val="000000"/>
                <w:sz w:val="20"/>
                <w:szCs w:val="20"/>
              </w:rPr>
              <w:t>18,1</w:t>
            </w:r>
          </w:p>
        </w:tc>
        <w:tc>
          <w:tcPr>
            <w:tcW w:w="1954" w:type="dxa"/>
            <w:tcBorders>
              <w:top w:val="nil"/>
              <w:left w:val="nil"/>
              <w:bottom w:val="nil"/>
              <w:right w:val="nil"/>
            </w:tcBorders>
            <w:shd w:val="clear" w:color="auto" w:fill="auto"/>
            <w:noWrap/>
            <w:vAlign w:val="center"/>
            <w:hideMark/>
          </w:tcPr>
          <w:p w14:paraId="7FCA8048" w14:textId="16C78CDE" w:rsidR="004B7451" w:rsidRPr="004B7451" w:rsidRDefault="004B7451" w:rsidP="00FA7848">
            <w:pPr>
              <w:jc w:val="right"/>
              <w:rPr>
                <w:rFonts w:ascii="Arial" w:hAnsi="Arial" w:cs="Arial"/>
                <w:color w:val="000000"/>
                <w:sz w:val="20"/>
                <w:szCs w:val="20"/>
                <w:lang w:val="en-US"/>
              </w:rPr>
            </w:pPr>
            <w:r w:rsidRPr="004B7451">
              <w:rPr>
                <w:rFonts w:ascii="Arial" w:hAnsi="Arial" w:cs="Arial"/>
                <w:color w:val="000000"/>
                <w:sz w:val="20"/>
                <w:szCs w:val="20"/>
              </w:rPr>
              <w:t>11,9</w:t>
            </w:r>
          </w:p>
        </w:tc>
      </w:tr>
      <w:tr w:rsidR="00FA7848" w:rsidRPr="004B7451" w14:paraId="5E0996F5" w14:textId="77777777" w:rsidTr="000A5186">
        <w:trPr>
          <w:cantSplit/>
          <w:trHeight w:val="372"/>
        </w:trPr>
        <w:tc>
          <w:tcPr>
            <w:tcW w:w="1807" w:type="dxa"/>
            <w:tcBorders>
              <w:top w:val="nil"/>
              <w:left w:val="nil"/>
              <w:bottom w:val="nil"/>
              <w:right w:val="nil"/>
            </w:tcBorders>
            <w:shd w:val="clear" w:color="auto" w:fill="auto"/>
            <w:noWrap/>
            <w:vAlign w:val="center"/>
            <w:hideMark/>
          </w:tcPr>
          <w:p w14:paraId="53758382" w14:textId="77777777" w:rsidR="004B7451" w:rsidRPr="004B7451" w:rsidRDefault="004B7451" w:rsidP="004B7451">
            <w:pPr>
              <w:rPr>
                <w:rFonts w:ascii="Arial" w:hAnsi="Arial" w:cs="Arial"/>
                <w:color w:val="000000"/>
                <w:sz w:val="20"/>
                <w:szCs w:val="20"/>
                <w:lang w:val="en-US"/>
              </w:rPr>
            </w:pPr>
            <w:r w:rsidRPr="004B7451">
              <w:rPr>
                <w:rFonts w:ascii="Arial" w:hAnsi="Arial" w:cs="Arial"/>
                <w:color w:val="000000"/>
                <w:sz w:val="20"/>
                <w:szCs w:val="20"/>
                <w:lang w:eastAsia="vi-VN"/>
              </w:rPr>
              <w:t>Inland water way</w:t>
            </w:r>
          </w:p>
        </w:tc>
        <w:tc>
          <w:tcPr>
            <w:tcW w:w="1437" w:type="dxa"/>
            <w:tcBorders>
              <w:top w:val="nil"/>
              <w:left w:val="nil"/>
              <w:bottom w:val="nil"/>
              <w:right w:val="nil"/>
            </w:tcBorders>
            <w:shd w:val="clear" w:color="auto" w:fill="auto"/>
            <w:noWrap/>
            <w:vAlign w:val="center"/>
            <w:hideMark/>
          </w:tcPr>
          <w:p w14:paraId="5E42EB17" w14:textId="77777777" w:rsidR="004B7451" w:rsidRPr="004B7451" w:rsidRDefault="004B7451" w:rsidP="00FA7848">
            <w:pPr>
              <w:jc w:val="right"/>
              <w:rPr>
                <w:rFonts w:ascii="Arial" w:hAnsi="Arial" w:cs="Arial"/>
                <w:color w:val="000000"/>
                <w:sz w:val="20"/>
                <w:szCs w:val="20"/>
                <w:lang w:val="en-US"/>
              </w:rPr>
            </w:pPr>
            <w:r w:rsidRPr="004B7451">
              <w:rPr>
                <w:rFonts w:ascii="Arial" w:hAnsi="Arial" w:cs="Arial"/>
                <w:color w:val="000000"/>
                <w:sz w:val="20"/>
                <w:szCs w:val="20"/>
              </w:rPr>
              <w:t>94,8</w:t>
            </w:r>
          </w:p>
        </w:tc>
        <w:tc>
          <w:tcPr>
            <w:tcW w:w="1624" w:type="dxa"/>
            <w:tcBorders>
              <w:top w:val="nil"/>
              <w:left w:val="nil"/>
              <w:bottom w:val="nil"/>
              <w:right w:val="nil"/>
            </w:tcBorders>
            <w:shd w:val="clear" w:color="auto" w:fill="auto"/>
            <w:noWrap/>
            <w:vAlign w:val="center"/>
            <w:hideMark/>
          </w:tcPr>
          <w:p w14:paraId="4841BB87" w14:textId="77777777" w:rsidR="004B7451" w:rsidRPr="004B7451" w:rsidRDefault="004B7451" w:rsidP="00FA7848">
            <w:pPr>
              <w:jc w:val="right"/>
              <w:rPr>
                <w:rFonts w:ascii="Arial" w:hAnsi="Arial" w:cs="Arial"/>
                <w:color w:val="000000"/>
                <w:sz w:val="20"/>
                <w:szCs w:val="20"/>
                <w:lang w:val="en-US"/>
              </w:rPr>
            </w:pPr>
            <w:r w:rsidRPr="004B7451">
              <w:rPr>
                <w:rFonts w:ascii="Arial" w:hAnsi="Arial" w:cs="Arial"/>
                <w:color w:val="000000"/>
                <w:sz w:val="20"/>
                <w:szCs w:val="20"/>
              </w:rPr>
              <w:t>22,1</w:t>
            </w:r>
          </w:p>
        </w:tc>
        <w:tc>
          <w:tcPr>
            <w:tcW w:w="294" w:type="dxa"/>
            <w:tcBorders>
              <w:top w:val="nil"/>
              <w:left w:val="nil"/>
              <w:bottom w:val="nil"/>
              <w:right w:val="nil"/>
            </w:tcBorders>
            <w:shd w:val="clear" w:color="auto" w:fill="auto"/>
            <w:noWrap/>
            <w:vAlign w:val="center"/>
            <w:hideMark/>
          </w:tcPr>
          <w:p w14:paraId="1CC412A5" w14:textId="77777777" w:rsidR="004B7451" w:rsidRPr="004B7451" w:rsidRDefault="004B7451" w:rsidP="00FA7848">
            <w:pPr>
              <w:jc w:val="center"/>
              <w:rPr>
                <w:rFonts w:ascii="Arial" w:hAnsi="Arial" w:cs="Arial"/>
                <w:color w:val="000000"/>
                <w:sz w:val="20"/>
                <w:szCs w:val="20"/>
                <w:lang w:val="en-US"/>
              </w:rPr>
            </w:pPr>
          </w:p>
        </w:tc>
        <w:tc>
          <w:tcPr>
            <w:tcW w:w="995" w:type="dxa"/>
            <w:tcBorders>
              <w:top w:val="nil"/>
              <w:left w:val="nil"/>
              <w:bottom w:val="nil"/>
              <w:right w:val="nil"/>
            </w:tcBorders>
            <w:shd w:val="clear" w:color="auto" w:fill="auto"/>
            <w:noWrap/>
            <w:vAlign w:val="center"/>
            <w:hideMark/>
          </w:tcPr>
          <w:p w14:paraId="290C0D4C" w14:textId="33710474" w:rsidR="004B7451" w:rsidRPr="004B7451" w:rsidRDefault="004B7451" w:rsidP="00FA7848">
            <w:pPr>
              <w:jc w:val="right"/>
              <w:rPr>
                <w:rFonts w:ascii="Arial" w:hAnsi="Arial" w:cs="Arial"/>
                <w:color w:val="000000"/>
                <w:sz w:val="20"/>
                <w:szCs w:val="20"/>
                <w:lang w:val="en-US"/>
              </w:rPr>
            </w:pPr>
            <w:r w:rsidRPr="004B7451">
              <w:rPr>
                <w:rFonts w:ascii="Arial" w:hAnsi="Arial" w:cs="Arial"/>
                <w:color w:val="000000"/>
                <w:sz w:val="20"/>
                <w:szCs w:val="20"/>
              </w:rPr>
              <w:t>21,0</w:t>
            </w:r>
          </w:p>
        </w:tc>
        <w:tc>
          <w:tcPr>
            <w:tcW w:w="1954" w:type="dxa"/>
            <w:tcBorders>
              <w:top w:val="nil"/>
              <w:left w:val="nil"/>
              <w:bottom w:val="nil"/>
              <w:right w:val="nil"/>
            </w:tcBorders>
            <w:shd w:val="clear" w:color="auto" w:fill="auto"/>
            <w:noWrap/>
            <w:vAlign w:val="center"/>
            <w:hideMark/>
          </w:tcPr>
          <w:p w14:paraId="4E66EFC7" w14:textId="7738DA4F" w:rsidR="004B7451" w:rsidRPr="004B7451" w:rsidRDefault="004B7451" w:rsidP="00FA7848">
            <w:pPr>
              <w:jc w:val="right"/>
              <w:rPr>
                <w:rFonts w:ascii="Arial" w:hAnsi="Arial" w:cs="Arial"/>
                <w:color w:val="000000"/>
                <w:sz w:val="20"/>
                <w:szCs w:val="20"/>
                <w:lang w:val="en-US"/>
              </w:rPr>
            </w:pPr>
            <w:r w:rsidRPr="004B7451">
              <w:rPr>
                <w:rFonts w:ascii="Arial" w:hAnsi="Arial" w:cs="Arial"/>
                <w:color w:val="000000"/>
                <w:sz w:val="20"/>
                <w:szCs w:val="20"/>
              </w:rPr>
              <w:t>14,7</w:t>
            </w:r>
          </w:p>
        </w:tc>
      </w:tr>
      <w:tr w:rsidR="00FA7848" w:rsidRPr="004B7451" w14:paraId="3F6BE6BE" w14:textId="77777777" w:rsidTr="000A5186">
        <w:trPr>
          <w:cantSplit/>
          <w:trHeight w:val="372"/>
        </w:trPr>
        <w:tc>
          <w:tcPr>
            <w:tcW w:w="1807" w:type="dxa"/>
            <w:tcBorders>
              <w:top w:val="nil"/>
              <w:left w:val="nil"/>
              <w:bottom w:val="nil"/>
              <w:right w:val="nil"/>
            </w:tcBorders>
            <w:shd w:val="clear" w:color="auto" w:fill="auto"/>
            <w:noWrap/>
            <w:vAlign w:val="center"/>
            <w:hideMark/>
          </w:tcPr>
          <w:p w14:paraId="30F123E6" w14:textId="77777777" w:rsidR="004B7451" w:rsidRPr="004B7451" w:rsidRDefault="004B7451" w:rsidP="004B7451">
            <w:pPr>
              <w:rPr>
                <w:rFonts w:ascii="Arial" w:hAnsi="Arial" w:cs="Arial"/>
                <w:color w:val="000000"/>
                <w:sz w:val="20"/>
                <w:szCs w:val="20"/>
                <w:lang w:val="en-US"/>
              </w:rPr>
            </w:pPr>
            <w:r w:rsidRPr="004B7451">
              <w:rPr>
                <w:rFonts w:ascii="Arial" w:hAnsi="Arial" w:cs="Arial"/>
                <w:color w:val="000000"/>
                <w:sz w:val="20"/>
                <w:szCs w:val="20"/>
                <w:lang w:eastAsia="vi-VN"/>
              </w:rPr>
              <w:t>Road</w:t>
            </w:r>
          </w:p>
        </w:tc>
        <w:tc>
          <w:tcPr>
            <w:tcW w:w="1437" w:type="dxa"/>
            <w:tcBorders>
              <w:top w:val="nil"/>
              <w:left w:val="nil"/>
              <w:bottom w:val="nil"/>
              <w:right w:val="nil"/>
            </w:tcBorders>
            <w:shd w:val="clear" w:color="auto" w:fill="auto"/>
            <w:noWrap/>
            <w:vAlign w:val="center"/>
            <w:hideMark/>
          </w:tcPr>
          <w:p w14:paraId="2DFB01CD" w14:textId="77777777" w:rsidR="004B7451" w:rsidRPr="004B7451" w:rsidRDefault="004B7451" w:rsidP="00FA7848">
            <w:pPr>
              <w:jc w:val="right"/>
              <w:rPr>
                <w:rFonts w:ascii="Arial" w:hAnsi="Arial" w:cs="Arial"/>
                <w:color w:val="000000"/>
                <w:sz w:val="20"/>
                <w:szCs w:val="20"/>
                <w:lang w:val="en-US"/>
              </w:rPr>
            </w:pPr>
            <w:r w:rsidRPr="004B7451">
              <w:rPr>
                <w:rFonts w:ascii="Arial" w:hAnsi="Arial" w:cs="Arial"/>
                <w:color w:val="000000"/>
                <w:sz w:val="20"/>
                <w:szCs w:val="20"/>
              </w:rPr>
              <w:t>298,5</w:t>
            </w:r>
          </w:p>
        </w:tc>
        <w:tc>
          <w:tcPr>
            <w:tcW w:w="1624" w:type="dxa"/>
            <w:tcBorders>
              <w:top w:val="nil"/>
              <w:left w:val="nil"/>
              <w:bottom w:val="nil"/>
              <w:right w:val="nil"/>
            </w:tcBorders>
            <w:shd w:val="clear" w:color="auto" w:fill="auto"/>
            <w:noWrap/>
            <w:vAlign w:val="center"/>
            <w:hideMark/>
          </w:tcPr>
          <w:p w14:paraId="1180E7BF" w14:textId="77777777" w:rsidR="004B7451" w:rsidRPr="004B7451" w:rsidRDefault="004B7451" w:rsidP="00FA7848">
            <w:pPr>
              <w:jc w:val="right"/>
              <w:rPr>
                <w:rFonts w:ascii="Arial" w:hAnsi="Arial" w:cs="Arial"/>
                <w:color w:val="000000"/>
                <w:sz w:val="20"/>
                <w:szCs w:val="20"/>
                <w:lang w:val="en-US"/>
              </w:rPr>
            </w:pPr>
            <w:r w:rsidRPr="004B7451">
              <w:rPr>
                <w:rFonts w:ascii="Arial" w:hAnsi="Arial" w:cs="Arial"/>
                <w:color w:val="000000"/>
                <w:sz w:val="20"/>
                <w:szCs w:val="20"/>
              </w:rPr>
              <w:t>22,4</w:t>
            </w:r>
          </w:p>
        </w:tc>
        <w:tc>
          <w:tcPr>
            <w:tcW w:w="294" w:type="dxa"/>
            <w:tcBorders>
              <w:top w:val="nil"/>
              <w:left w:val="nil"/>
              <w:bottom w:val="nil"/>
              <w:right w:val="nil"/>
            </w:tcBorders>
            <w:shd w:val="clear" w:color="auto" w:fill="auto"/>
            <w:noWrap/>
            <w:vAlign w:val="center"/>
            <w:hideMark/>
          </w:tcPr>
          <w:p w14:paraId="19474ECD" w14:textId="77777777" w:rsidR="004B7451" w:rsidRPr="004B7451" w:rsidRDefault="004B7451" w:rsidP="00FA7848">
            <w:pPr>
              <w:jc w:val="center"/>
              <w:rPr>
                <w:rFonts w:ascii="Arial" w:hAnsi="Arial" w:cs="Arial"/>
                <w:color w:val="000000"/>
                <w:sz w:val="20"/>
                <w:szCs w:val="20"/>
                <w:lang w:val="en-US"/>
              </w:rPr>
            </w:pPr>
          </w:p>
        </w:tc>
        <w:tc>
          <w:tcPr>
            <w:tcW w:w="995" w:type="dxa"/>
            <w:tcBorders>
              <w:top w:val="nil"/>
              <w:left w:val="nil"/>
              <w:bottom w:val="nil"/>
              <w:right w:val="nil"/>
            </w:tcBorders>
            <w:shd w:val="clear" w:color="auto" w:fill="auto"/>
            <w:noWrap/>
            <w:vAlign w:val="center"/>
            <w:hideMark/>
          </w:tcPr>
          <w:p w14:paraId="5FA6BBBA" w14:textId="3E69E6D8" w:rsidR="004B7451" w:rsidRPr="004B7451" w:rsidRDefault="004B7451" w:rsidP="00FA7848">
            <w:pPr>
              <w:jc w:val="right"/>
              <w:rPr>
                <w:rFonts w:ascii="Arial" w:hAnsi="Arial" w:cs="Arial"/>
                <w:color w:val="000000"/>
                <w:sz w:val="20"/>
                <w:szCs w:val="20"/>
                <w:lang w:val="en-US"/>
              </w:rPr>
            </w:pPr>
            <w:r w:rsidRPr="004B7451">
              <w:rPr>
                <w:rFonts w:ascii="Arial" w:hAnsi="Arial" w:cs="Arial"/>
                <w:color w:val="000000"/>
                <w:sz w:val="20"/>
                <w:szCs w:val="20"/>
              </w:rPr>
              <w:t>11,6</w:t>
            </w:r>
          </w:p>
        </w:tc>
        <w:tc>
          <w:tcPr>
            <w:tcW w:w="1954" w:type="dxa"/>
            <w:tcBorders>
              <w:top w:val="nil"/>
              <w:left w:val="nil"/>
              <w:bottom w:val="nil"/>
              <w:right w:val="nil"/>
            </w:tcBorders>
            <w:shd w:val="clear" w:color="auto" w:fill="auto"/>
            <w:noWrap/>
            <w:vAlign w:val="center"/>
            <w:hideMark/>
          </w:tcPr>
          <w:p w14:paraId="1A7CC3B0" w14:textId="5EA256C9" w:rsidR="004B7451" w:rsidRPr="004B7451" w:rsidRDefault="004B7451" w:rsidP="00FA7848">
            <w:pPr>
              <w:jc w:val="right"/>
              <w:rPr>
                <w:rFonts w:ascii="Arial" w:hAnsi="Arial" w:cs="Arial"/>
                <w:color w:val="000000"/>
                <w:sz w:val="20"/>
                <w:szCs w:val="20"/>
                <w:lang w:val="en-US"/>
              </w:rPr>
            </w:pPr>
            <w:r w:rsidRPr="004B7451">
              <w:rPr>
                <w:rFonts w:ascii="Arial" w:hAnsi="Arial" w:cs="Arial"/>
                <w:color w:val="000000"/>
                <w:sz w:val="20"/>
                <w:szCs w:val="20"/>
              </w:rPr>
              <w:t>16,2</w:t>
            </w:r>
          </w:p>
        </w:tc>
      </w:tr>
      <w:tr w:rsidR="00FA7848" w:rsidRPr="004B7451" w14:paraId="08ADE70A" w14:textId="77777777" w:rsidTr="000A5186">
        <w:trPr>
          <w:cantSplit/>
          <w:trHeight w:val="372"/>
        </w:trPr>
        <w:tc>
          <w:tcPr>
            <w:tcW w:w="1807" w:type="dxa"/>
            <w:tcBorders>
              <w:top w:val="nil"/>
              <w:left w:val="nil"/>
              <w:bottom w:val="single" w:sz="4" w:space="0" w:color="auto"/>
              <w:right w:val="nil"/>
            </w:tcBorders>
            <w:shd w:val="clear" w:color="auto" w:fill="auto"/>
            <w:noWrap/>
            <w:vAlign w:val="center"/>
            <w:hideMark/>
          </w:tcPr>
          <w:p w14:paraId="297FDC85" w14:textId="77777777" w:rsidR="004B7451" w:rsidRPr="004B7451" w:rsidRDefault="004B7451" w:rsidP="004B7451">
            <w:pPr>
              <w:rPr>
                <w:rFonts w:ascii="Arial" w:hAnsi="Arial" w:cs="Arial"/>
                <w:color w:val="000000"/>
                <w:sz w:val="20"/>
                <w:szCs w:val="20"/>
                <w:lang w:val="en-US"/>
              </w:rPr>
            </w:pPr>
            <w:r w:rsidRPr="004B7451">
              <w:rPr>
                <w:rFonts w:ascii="Arial" w:hAnsi="Arial" w:cs="Arial"/>
                <w:color w:val="000000"/>
                <w:sz w:val="20"/>
                <w:szCs w:val="20"/>
                <w:lang w:eastAsia="vi-VN"/>
              </w:rPr>
              <w:t xml:space="preserve">Airway </w:t>
            </w:r>
          </w:p>
        </w:tc>
        <w:tc>
          <w:tcPr>
            <w:tcW w:w="1437" w:type="dxa"/>
            <w:tcBorders>
              <w:top w:val="nil"/>
              <w:left w:val="nil"/>
              <w:bottom w:val="single" w:sz="4" w:space="0" w:color="auto"/>
              <w:right w:val="nil"/>
            </w:tcBorders>
            <w:shd w:val="clear" w:color="auto" w:fill="auto"/>
            <w:noWrap/>
            <w:vAlign w:val="center"/>
            <w:hideMark/>
          </w:tcPr>
          <w:p w14:paraId="293B9776" w14:textId="77777777" w:rsidR="004B7451" w:rsidRPr="004B7451" w:rsidRDefault="004B7451" w:rsidP="00FA7848">
            <w:pPr>
              <w:jc w:val="right"/>
              <w:rPr>
                <w:rFonts w:ascii="Arial" w:hAnsi="Arial" w:cs="Arial"/>
                <w:color w:val="000000"/>
                <w:sz w:val="20"/>
                <w:szCs w:val="20"/>
                <w:lang w:val="en-US"/>
              </w:rPr>
            </w:pPr>
            <w:r w:rsidRPr="004B7451">
              <w:rPr>
                <w:rFonts w:ascii="Arial" w:hAnsi="Arial" w:cs="Arial"/>
                <w:color w:val="000000"/>
                <w:sz w:val="20"/>
                <w:szCs w:val="20"/>
              </w:rPr>
              <w:t>0,08</w:t>
            </w:r>
          </w:p>
        </w:tc>
        <w:tc>
          <w:tcPr>
            <w:tcW w:w="1624" w:type="dxa"/>
            <w:tcBorders>
              <w:top w:val="nil"/>
              <w:left w:val="nil"/>
              <w:bottom w:val="single" w:sz="4" w:space="0" w:color="auto"/>
              <w:right w:val="nil"/>
            </w:tcBorders>
            <w:shd w:val="clear" w:color="auto" w:fill="auto"/>
            <w:noWrap/>
            <w:vAlign w:val="center"/>
            <w:hideMark/>
          </w:tcPr>
          <w:p w14:paraId="6E2E45BB" w14:textId="77777777" w:rsidR="004B7451" w:rsidRPr="004B7451" w:rsidRDefault="004B7451" w:rsidP="00FA7848">
            <w:pPr>
              <w:jc w:val="right"/>
              <w:rPr>
                <w:rFonts w:ascii="Arial" w:hAnsi="Arial" w:cs="Arial"/>
                <w:color w:val="000000"/>
                <w:sz w:val="20"/>
                <w:szCs w:val="20"/>
                <w:lang w:val="en-US"/>
              </w:rPr>
            </w:pPr>
            <w:r w:rsidRPr="004B7451">
              <w:rPr>
                <w:rFonts w:ascii="Arial" w:hAnsi="Arial" w:cs="Arial"/>
                <w:color w:val="000000"/>
                <w:sz w:val="20"/>
                <w:szCs w:val="20"/>
              </w:rPr>
              <w:t>1,8</w:t>
            </w:r>
          </w:p>
        </w:tc>
        <w:tc>
          <w:tcPr>
            <w:tcW w:w="294" w:type="dxa"/>
            <w:tcBorders>
              <w:top w:val="nil"/>
              <w:left w:val="nil"/>
              <w:bottom w:val="single" w:sz="4" w:space="0" w:color="auto"/>
              <w:right w:val="nil"/>
            </w:tcBorders>
            <w:shd w:val="clear" w:color="auto" w:fill="auto"/>
            <w:noWrap/>
            <w:vAlign w:val="center"/>
            <w:hideMark/>
          </w:tcPr>
          <w:p w14:paraId="00361C29" w14:textId="7FC9BB37" w:rsidR="004B7451" w:rsidRPr="004B7451" w:rsidRDefault="004B7451" w:rsidP="00FA7848">
            <w:pPr>
              <w:jc w:val="center"/>
              <w:rPr>
                <w:rFonts w:ascii="Arial" w:hAnsi="Arial" w:cs="Arial"/>
                <w:color w:val="000000"/>
                <w:sz w:val="20"/>
                <w:szCs w:val="20"/>
                <w:lang w:val="en-US"/>
              </w:rPr>
            </w:pPr>
          </w:p>
        </w:tc>
        <w:tc>
          <w:tcPr>
            <w:tcW w:w="995" w:type="dxa"/>
            <w:tcBorders>
              <w:top w:val="nil"/>
              <w:left w:val="nil"/>
              <w:bottom w:val="single" w:sz="4" w:space="0" w:color="auto"/>
              <w:right w:val="nil"/>
            </w:tcBorders>
            <w:shd w:val="clear" w:color="auto" w:fill="auto"/>
            <w:noWrap/>
            <w:vAlign w:val="center"/>
            <w:hideMark/>
          </w:tcPr>
          <w:p w14:paraId="36E302DF" w14:textId="61E55C3B" w:rsidR="004B7451" w:rsidRPr="004B7451" w:rsidRDefault="004B7451" w:rsidP="00FA7848">
            <w:pPr>
              <w:jc w:val="right"/>
              <w:rPr>
                <w:rFonts w:ascii="Arial" w:hAnsi="Arial" w:cs="Arial"/>
                <w:color w:val="000000"/>
                <w:sz w:val="20"/>
                <w:szCs w:val="20"/>
                <w:lang w:val="en-US"/>
              </w:rPr>
            </w:pPr>
            <w:r w:rsidRPr="004B7451">
              <w:rPr>
                <w:rFonts w:ascii="Arial" w:hAnsi="Arial" w:cs="Arial"/>
                <w:color w:val="000000"/>
                <w:sz w:val="20"/>
                <w:szCs w:val="20"/>
              </w:rPr>
              <w:t>72,6</w:t>
            </w:r>
          </w:p>
        </w:tc>
        <w:tc>
          <w:tcPr>
            <w:tcW w:w="1954" w:type="dxa"/>
            <w:tcBorders>
              <w:top w:val="nil"/>
              <w:left w:val="nil"/>
              <w:bottom w:val="single" w:sz="4" w:space="0" w:color="auto"/>
              <w:right w:val="nil"/>
            </w:tcBorders>
            <w:shd w:val="clear" w:color="auto" w:fill="auto"/>
            <w:noWrap/>
            <w:vAlign w:val="center"/>
            <w:hideMark/>
          </w:tcPr>
          <w:p w14:paraId="3DF204C6" w14:textId="305310A2" w:rsidR="004B7451" w:rsidRPr="004B7451" w:rsidRDefault="004B7451" w:rsidP="00FA7848">
            <w:pPr>
              <w:jc w:val="right"/>
              <w:rPr>
                <w:rFonts w:ascii="Arial" w:hAnsi="Arial" w:cs="Arial"/>
                <w:color w:val="000000"/>
                <w:sz w:val="20"/>
                <w:szCs w:val="20"/>
                <w:lang w:val="en-US"/>
              </w:rPr>
            </w:pPr>
            <w:r w:rsidRPr="004B7451">
              <w:rPr>
                <w:rFonts w:ascii="Arial" w:hAnsi="Arial" w:cs="Arial"/>
                <w:color w:val="000000"/>
                <w:sz w:val="20"/>
                <w:szCs w:val="20"/>
              </w:rPr>
              <w:t>37,0</w:t>
            </w:r>
          </w:p>
        </w:tc>
      </w:tr>
    </w:tbl>
    <w:p w14:paraId="60B33D12" w14:textId="77777777" w:rsidR="005B0F44" w:rsidRDefault="005B0F44" w:rsidP="00FA1C14">
      <w:pPr>
        <w:spacing w:beforeLines="40" w:before="96" w:afterLines="40" w:after="96" w:line="264" w:lineRule="auto"/>
        <w:ind w:firstLine="567"/>
        <w:jc w:val="center"/>
        <w:rPr>
          <w:rFonts w:ascii="Arial" w:hAnsi="Arial" w:cs="Arial"/>
          <w:b/>
          <w:bCs/>
          <w:sz w:val="2"/>
          <w:szCs w:val="24"/>
          <w:lang w:val="fr-FR"/>
        </w:rPr>
      </w:pPr>
    </w:p>
    <w:p w14:paraId="573AC244" w14:textId="77777777" w:rsidR="005B0F44" w:rsidRDefault="005B0F44" w:rsidP="00FA1C14">
      <w:pPr>
        <w:pStyle w:val="NormalWeb"/>
        <w:shd w:val="clear" w:color="auto" w:fill="FFFFFF"/>
        <w:tabs>
          <w:tab w:val="left" w:pos="6540"/>
        </w:tabs>
        <w:spacing w:beforeLines="40" w:before="96" w:beforeAutospacing="0" w:afterLines="40" w:after="96" w:afterAutospacing="0" w:line="264" w:lineRule="auto"/>
        <w:ind w:firstLine="567"/>
        <w:rPr>
          <w:b/>
          <w:bCs/>
          <w:sz w:val="2"/>
          <w:szCs w:val="28"/>
          <w:lang w:val="pt-BR"/>
        </w:rPr>
      </w:pPr>
    </w:p>
    <w:p w14:paraId="043B85AC" w14:textId="77777777" w:rsidR="005B0F44" w:rsidRDefault="005B0F44" w:rsidP="000A5186">
      <w:pPr>
        <w:spacing w:beforeLines="40" w:before="96" w:afterLines="40" w:after="96" w:line="293" w:lineRule="auto"/>
        <w:ind w:firstLine="567"/>
        <w:jc w:val="both"/>
        <w:rPr>
          <w:b/>
          <w:bCs/>
          <w:i/>
        </w:rPr>
      </w:pPr>
      <w:r>
        <w:rPr>
          <w:b/>
          <w:bCs/>
          <w:i/>
          <w:iCs/>
          <w:lang w:val="pt-BR"/>
        </w:rPr>
        <w:t xml:space="preserve">đ) </w:t>
      </w:r>
      <w:r>
        <w:rPr>
          <w:rFonts w:ascii="Times New Roman Bold Italic" w:hAnsi="Times New Roman Bold Italic"/>
          <w:b/>
          <w:i/>
          <w:iCs/>
          <w:lang w:val="fr-FR"/>
        </w:rPr>
        <w:t>International visitors to Viet Nam</w:t>
      </w:r>
      <w:r>
        <w:rPr>
          <w:rStyle w:val="FootnoteReference"/>
          <w:rFonts w:ascii="Times New Roman Bold Italic" w:eastAsiaTheme="majorEastAsia" w:hAnsi="Times New Roman Bold Italic"/>
          <w:b/>
          <w:i/>
          <w:iCs/>
        </w:rPr>
        <w:footnoteReference w:id="28"/>
      </w:r>
    </w:p>
    <w:p w14:paraId="7A83B83A" w14:textId="7C309BB0" w:rsidR="005B0F44" w:rsidRDefault="00D83303" w:rsidP="000A5186">
      <w:pPr>
        <w:shd w:val="clear" w:color="auto" w:fill="FFFFFF"/>
        <w:spacing w:beforeLines="40" w:before="96" w:afterLines="40" w:after="96" w:line="293" w:lineRule="auto"/>
        <w:ind w:firstLine="567"/>
        <w:jc w:val="both"/>
        <w:rPr>
          <w:i/>
          <w:iCs/>
          <w:lang w:val="fr-FR"/>
        </w:rPr>
      </w:pPr>
      <w:r>
        <w:rPr>
          <w:i/>
          <w:iCs/>
          <w:lang w:val="fr-FR"/>
        </w:rPr>
        <w:t>Thanks to</w:t>
      </w:r>
      <w:r w:rsidR="005B0F44" w:rsidRPr="006C6F70">
        <w:rPr>
          <w:i/>
          <w:iCs/>
          <w:lang w:val="fr-FR"/>
        </w:rPr>
        <w:t xml:space="preserve"> the effectiveness of </w:t>
      </w:r>
      <w:r w:rsidR="005B0F44">
        <w:rPr>
          <w:i/>
          <w:iCs/>
          <w:lang w:val="fr-FR"/>
        </w:rPr>
        <w:t xml:space="preserve">favorable </w:t>
      </w:r>
      <w:r w:rsidR="005B0F44" w:rsidRPr="006C6F70">
        <w:rPr>
          <w:i/>
          <w:iCs/>
          <w:lang w:val="fr-FR"/>
        </w:rPr>
        <w:t xml:space="preserve">visa policies, tourism stimulus programs as well as the efforts of the government and people, the number of international visitors to Vietnam in </w:t>
      </w:r>
      <w:r>
        <w:rPr>
          <w:i/>
          <w:iCs/>
          <w:lang w:val="fr-FR"/>
        </w:rPr>
        <w:t>02/</w:t>
      </w:r>
      <w:r w:rsidR="005B0F44" w:rsidRPr="006C6F70">
        <w:rPr>
          <w:i/>
          <w:iCs/>
          <w:lang w:val="fr-FR"/>
        </w:rPr>
        <w:t>2024</w:t>
      </w:r>
      <w:r w:rsidR="005B0F44">
        <w:rPr>
          <w:rStyle w:val="FootnoteReference"/>
          <w:i/>
          <w:iCs/>
          <w:lang w:val="fr-FR"/>
        </w:rPr>
        <w:footnoteReference w:id="29"/>
      </w:r>
      <w:r w:rsidR="005B0F44" w:rsidRPr="006C6F70">
        <w:rPr>
          <w:i/>
          <w:iCs/>
          <w:lang w:val="fr-FR"/>
        </w:rPr>
        <w:t xml:space="preserve"> reached more than 1.5 million</w:t>
      </w:r>
      <w:r w:rsidR="005B0F44">
        <w:rPr>
          <w:i/>
          <w:iCs/>
          <w:lang w:val="fr-FR"/>
        </w:rPr>
        <w:t>,</w:t>
      </w:r>
      <w:r w:rsidR="005B0F44" w:rsidRPr="006C6F70">
        <w:rPr>
          <w:i/>
          <w:iCs/>
          <w:lang w:val="fr-FR"/>
        </w:rPr>
        <w:t xml:space="preserve"> </w:t>
      </w:r>
      <w:bookmarkStart w:id="7" w:name="_Hlk149633857"/>
      <w:r w:rsidR="005B0F44">
        <w:rPr>
          <w:i/>
          <w:iCs/>
          <w:lang w:val="fr-FR"/>
        </w:rPr>
        <w:t>up 1.3</w:t>
      </w:r>
      <w:bookmarkEnd w:id="7"/>
      <w:r w:rsidR="005B0F44">
        <w:rPr>
          <w:i/>
          <w:iCs/>
          <w:lang w:val="fr-FR"/>
        </w:rPr>
        <w:t xml:space="preserve">% compared to the previous month and </w:t>
      </w:r>
      <w:bookmarkStart w:id="8" w:name="_Hlk149633866"/>
      <w:r w:rsidR="005B0F44">
        <w:rPr>
          <w:i/>
          <w:iCs/>
          <w:lang w:val="fr-FR"/>
        </w:rPr>
        <w:t xml:space="preserve">increased by 64.1% </w:t>
      </w:r>
      <w:bookmarkEnd w:id="8"/>
      <w:r w:rsidR="005B0F44">
        <w:rPr>
          <w:i/>
          <w:iCs/>
          <w:lang w:val="fr-FR"/>
        </w:rPr>
        <w:t>compared to the same period last year. In the first 2 months of 2024, international visitors to our country reached</w:t>
      </w:r>
      <w:bookmarkStart w:id="9" w:name="_Hlk149633887"/>
      <w:r w:rsidR="005B0F44">
        <w:rPr>
          <w:i/>
          <w:iCs/>
          <w:lang w:val="fr-FR"/>
        </w:rPr>
        <w:t xml:space="preserve"> more than 3 million arrivals</w:t>
      </w:r>
      <w:bookmarkEnd w:id="9"/>
      <w:r w:rsidR="005B0F44">
        <w:rPr>
          <w:i/>
          <w:iCs/>
          <w:lang w:val="fr-FR"/>
        </w:rPr>
        <w:t xml:space="preserve">, up 68.7% compared to the same period last year </w:t>
      </w:r>
      <w:r w:rsidR="005B0F44" w:rsidRPr="00A136C9">
        <w:rPr>
          <w:i/>
          <w:iCs/>
          <w:lang w:val="fr-FR"/>
        </w:rPr>
        <w:t>and equal to 98.5%</w:t>
      </w:r>
      <w:r w:rsidR="005B0F44">
        <w:rPr>
          <w:i/>
          <w:iCs/>
          <w:lang w:val="fr-FR"/>
        </w:rPr>
        <w:t xml:space="preserve"> to </w:t>
      </w:r>
      <w:r w:rsidR="005B0F44" w:rsidRPr="00A136C9">
        <w:rPr>
          <w:i/>
          <w:iCs/>
          <w:lang w:val="fr-FR"/>
        </w:rPr>
        <w:t>the</w:t>
      </w:r>
      <w:r w:rsidR="005B0F44" w:rsidRPr="00672651">
        <w:rPr>
          <w:i/>
          <w:iCs/>
          <w:lang w:val="fr-FR"/>
        </w:rPr>
        <w:t xml:space="preserve"> </w:t>
      </w:r>
      <w:r w:rsidR="005B0F44">
        <w:rPr>
          <w:i/>
          <w:iCs/>
          <w:lang w:val="fr-FR"/>
        </w:rPr>
        <w:t>same period of 2019</w:t>
      </w:r>
      <w:r w:rsidR="005B0F44" w:rsidRPr="00A136C9">
        <w:rPr>
          <w:i/>
          <w:iCs/>
          <w:lang w:val="fr-FR"/>
        </w:rPr>
        <w:t xml:space="preserve"> - the year before the Covid-19 </w:t>
      </w:r>
      <w:r w:rsidR="008905C6">
        <w:rPr>
          <w:i/>
          <w:iCs/>
          <w:lang w:val="fr-FR"/>
        </w:rPr>
        <w:t>pan</w:t>
      </w:r>
      <w:r w:rsidR="008905C6" w:rsidRPr="00A136C9">
        <w:rPr>
          <w:i/>
          <w:iCs/>
          <w:lang w:val="fr-FR"/>
        </w:rPr>
        <w:t>demic</w:t>
      </w:r>
      <w:r w:rsidR="005B0F44" w:rsidRPr="00A136C9">
        <w:rPr>
          <w:i/>
          <w:iCs/>
          <w:lang w:val="fr-FR"/>
        </w:rPr>
        <w:t>.</w:t>
      </w:r>
    </w:p>
    <w:p w14:paraId="2A3F715F" w14:textId="503F97FD" w:rsidR="005B0F44" w:rsidRDefault="005B0F44" w:rsidP="00AB00B5">
      <w:pPr>
        <w:shd w:val="clear" w:color="auto" w:fill="FFFFFF"/>
        <w:spacing w:beforeLines="40" w:before="96" w:afterLines="40" w:after="96" w:line="300" w:lineRule="auto"/>
        <w:ind w:firstLine="567"/>
        <w:jc w:val="both"/>
        <w:rPr>
          <w:lang w:val="fr-FR"/>
        </w:rPr>
      </w:pPr>
      <w:r>
        <w:rPr>
          <w:lang w:val="fr-FR"/>
        </w:rPr>
        <w:t>Out of a total of 3 million international arrivals to Viet Nam in the first 2 months</w:t>
      </w:r>
      <w:r w:rsidR="00FA1C14">
        <w:rPr>
          <w:lang w:val="fr-FR"/>
        </w:rPr>
        <w:t xml:space="preserve"> </w:t>
      </w:r>
      <w:r>
        <w:rPr>
          <w:lang w:val="fr-FR"/>
        </w:rPr>
        <w:t>of this year, arrivals by air reached nearly 2.6 million arrivals, accounting for 84.2% of international arrivals to Viet Nam and 1.6 times higher than the same period last year; by road reached 388.6</w:t>
      </w:r>
      <w:r>
        <w:rPr>
          <w:bCs/>
          <w:lang w:val="pt-BR" w:eastAsia="en-GB"/>
        </w:rPr>
        <w:t xml:space="preserve"> </w:t>
      </w:r>
      <w:r>
        <w:rPr>
          <w:lang w:val="fr-FR"/>
        </w:rPr>
        <w:t xml:space="preserve">million arrivals, accounting for </w:t>
      </w:r>
      <w:r>
        <w:rPr>
          <w:lang w:val="fr-FR"/>
        </w:rPr>
        <w:lastRenderedPageBreak/>
        <w:t xml:space="preserve">12.8% and 2.5 times higher; by sea reached </w:t>
      </w:r>
      <w:r>
        <w:rPr>
          <w:bCs/>
          <w:lang w:val="pt-BR" w:eastAsia="en-GB"/>
        </w:rPr>
        <w:t xml:space="preserve">90.7 </w:t>
      </w:r>
      <w:r>
        <w:rPr>
          <w:lang w:val="fr-FR"/>
        </w:rPr>
        <w:t xml:space="preserve">thousand arrivals, accounting for 3% and </w:t>
      </w:r>
      <w:r>
        <w:rPr>
          <w:bCs/>
          <w:lang w:val="pt-BR" w:eastAsia="en-GB"/>
        </w:rPr>
        <w:t xml:space="preserve">7 </w:t>
      </w:r>
      <w:r>
        <w:rPr>
          <w:lang w:val="fr-FR"/>
        </w:rPr>
        <w:t>times higher.</w:t>
      </w:r>
    </w:p>
    <w:p w14:paraId="5EED1D5B" w14:textId="379D2E9A" w:rsidR="005B0F44" w:rsidRPr="00AB00B5" w:rsidRDefault="005B0F44" w:rsidP="00AB00B5">
      <w:pPr>
        <w:spacing w:beforeLines="40" w:before="96" w:afterLines="40" w:after="96" w:line="264" w:lineRule="auto"/>
        <w:ind w:firstLine="567"/>
        <w:jc w:val="center"/>
        <w:rPr>
          <w:rFonts w:ascii="Arial" w:hAnsi="Arial" w:cs="Arial"/>
          <w:b/>
          <w:bCs/>
          <w:iCs/>
          <w:sz w:val="24"/>
          <w:szCs w:val="24"/>
          <w:lang w:val="fr-FR"/>
        </w:rPr>
      </w:pPr>
      <w:r w:rsidRPr="00AB00B5">
        <w:rPr>
          <w:rFonts w:ascii="Arial" w:hAnsi="Arial" w:cs="Arial"/>
          <w:b/>
          <w:bCs/>
          <w:iCs/>
          <w:sz w:val="24"/>
          <w:szCs w:val="24"/>
          <w:lang w:val="fr-FR"/>
        </w:rPr>
        <w:t xml:space="preserve">Figure 17. International visitors to Viet Nam in the first 2 months </w:t>
      </w:r>
      <w:r w:rsidR="00FA1C14" w:rsidRPr="00AB00B5">
        <w:rPr>
          <w:rFonts w:ascii="Arial" w:hAnsi="Arial" w:cs="Arial"/>
          <w:b/>
          <w:bCs/>
          <w:iCs/>
          <w:sz w:val="24"/>
          <w:szCs w:val="24"/>
          <w:lang w:val="fr-FR"/>
        </w:rPr>
        <w:br/>
      </w:r>
      <w:r w:rsidRPr="00AB00B5">
        <w:rPr>
          <w:rFonts w:ascii="Arial" w:hAnsi="Arial" w:cs="Arial"/>
          <w:b/>
          <w:bCs/>
          <w:iCs/>
          <w:sz w:val="24"/>
          <w:szCs w:val="24"/>
          <w:lang w:val="fr-FR"/>
        </w:rPr>
        <w:t>of 2024 by territories</w:t>
      </w:r>
    </w:p>
    <w:p w14:paraId="7A44DB56" w14:textId="77777777" w:rsidR="00753A68" w:rsidRPr="003105AA" w:rsidRDefault="00753A68" w:rsidP="00753A68">
      <w:pPr>
        <w:spacing w:beforeLines="40" w:before="96" w:afterLines="40" w:after="96" w:line="264" w:lineRule="auto"/>
        <w:ind w:firstLine="567"/>
        <w:jc w:val="both"/>
        <w:rPr>
          <w:bCs/>
          <w:i/>
        </w:rPr>
      </w:pPr>
      <w:r w:rsidRPr="00BB4D40">
        <w:rPr>
          <w:b/>
          <w:bCs/>
          <w:i/>
          <w:iCs/>
          <w:lang w:val="nl-NL"/>
        </w:rPr>
        <w:t xml:space="preserve">d) </w:t>
      </w:r>
      <w:r>
        <w:rPr>
          <w:b/>
          <w:bCs/>
          <w:i/>
          <w:iCs/>
        </w:rPr>
        <w:t>P</w:t>
      </w:r>
      <w:r w:rsidRPr="006C586D">
        <w:rPr>
          <w:b/>
          <w:bCs/>
          <w:i/>
          <w:iCs/>
        </w:rPr>
        <w:t xml:space="preserve">assengers and </w:t>
      </w:r>
      <w:r>
        <w:rPr>
          <w:b/>
          <w:bCs/>
          <w:i/>
          <w:iCs/>
        </w:rPr>
        <w:t>freight t</w:t>
      </w:r>
      <w:r w:rsidRPr="00870842">
        <w:rPr>
          <w:b/>
          <w:bCs/>
          <w:i/>
          <w:iCs/>
        </w:rPr>
        <w:t>ransport</w:t>
      </w:r>
      <w:r w:rsidRPr="003105AA">
        <w:rPr>
          <w:bCs/>
          <w:i/>
        </w:rPr>
        <w:t xml:space="preserve"> </w:t>
      </w:r>
    </w:p>
    <w:p w14:paraId="3E9F62A3" w14:textId="77777777" w:rsidR="00753A68" w:rsidRPr="006C586D" w:rsidRDefault="00753A68" w:rsidP="00753A68">
      <w:pPr>
        <w:spacing w:beforeLines="40" w:before="96" w:afterLines="40" w:after="96" w:line="264" w:lineRule="auto"/>
        <w:ind w:firstLine="567"/>
        <w:jc w:val="both"/>
        <w:rPr>
          <w:rFonts w:ascii="Times New Roman Italic" w:eastAsiaTheme="minorHAnsi" w:hAnsi="Times New Roman Italic"/>
          <w:bCs/>
          <w:i/>
          <w:kern w:val="2"/>
          <w14:ligatures w14:val="standardContextual"/>
        </w:rPr>
      </w:pPr>
      <w:r w:rsidRPr="00456C02">
        <w:rPr>
          <w:rFonts w:ascii="Times New Roman Italic" w:eastAsiaTheme="minorHAnsi" w:hAnsi="Times New Roman Italic"/>
          <w:bCs/>
          <w:i/>
          <w:kern w:val="2"/>
          <w14:ligatures w14:val="standardContextual"/>
        </w:rPr>
        <w:t>Transportation activities in February 2025 continued to be vibrant, meeting the travel and spring travel needs of domestic people as well as international visitors to Vietnam, serving production and import and export of goods.</w:t>
      </w:r>
      <w:r>
        <w:rPr>
          <w:rFonts w:ascii="Times New Roman Italic" w:eastAsiaTheme="minorHAnsi" w:hAnsi="Times New Roman Italic"/>
          <w:bCs/>
          <w:i/>
          <w:kern w:val="2"/>
          <w14:ligatures w14:val="standardContextual"/>
        </w:rPr>
        <w:t xml:space="preserve"> </w:t>
      </w:r>
      <w:r w:rsidRPr="003105AA">
        <w:rPr>
          <w:rFonts w:ascii="Times New Roman Italic" w:eastAsiaTheme="minorHAnsi" w:hAnsi="Times New Roman Italic"/>
          <w:bCs/>
          <w:i/>
          <w:kern w:val="2"/>
          <w14:ligatures w14:val="standardContextual"/>
        </w:rPr>
        <w:t xml:space="preserve">Compared to the same period last year, passenger transport </w:t>
      </w:r>
      <w:r w:rsidRPr="006C586D">
        <w:rPr>
          <w:i/>
          <w:lang w:val="pl-PL"/>
        </w:rPr>
        <w:t xml:space="preserve">in </w:t>
      </w:r>
      <w:r>
        <w:rPr>
          <w:i/>
          <w:lang w:val="pl-PL"/>
        </w:rPr>
        <w:t>02/2025</w:t>
      </w:r>
      <w:r w:rsidRPr="006C586D">
        <w:rPr>
          <w:i/>
          <w:lang w:val="pl-PL"/>
        </w:rPr>
        <w:t xml:space="preserve"> </w:t>
      </w:r>
      <w:r w:rsidRPr="003105AA">
        <w:rPr>
          <w:rFonts w:ascii="Times New Roman Italic" w:eastAsiaTheme="minorHAnsi" w:hAnsi="Times New Roman Italic"/>
          <w:bCs/>
          <w:i/>
          <w:kern w:val="2"/>
          <w14:ligatures w14:val="standardContextual"/>
        </w:rPr>
        <w:t xml:space="preserve">increased by </w:t>
      </w:r>
      <w:r>
        <w:rPr>
          <w:rFonts w:ascii="Times New Roman Italic" w:eastAsiaTheme="minorHAnsi" w:hAnsi="Times New Roman Italic"/>
          <w:bCs/>
          <w:i/>
          <w:kern w:val="2"/>
          <w14:ligatures w14:val="standardContextual"/>
        </w:rPr>
        <w:t>12.2</w:t>
      </w:r>
      <w:r w:rsidRPr="003105AA">
        <w:rPr>
          <w:rFonts w:ascii="Times New Roman Italic" w:eastAsiaTheme="minorHAnsi" w:hAnsi="Times New Roman Italic"/>
          <w:bCs/>
          <w:i/>
          <w:kern w:val="2"/>
          <w14:ligatures w14:val="standardContextual"/>
        </w:rPr>
        <w:t>% of passenger carried and increased by 12.</w:t>
      </w:r>
      <w:r>
        <w:rPr>
          <w:rFonts w:ascii="Times New Roman Italic" w:eastAsiaTheme="minorHAnsi" w:hAnsi="Times New Roman Italic"/>
          <w:bCs/>
          <w:i/>
          <w:kern w:val="2"/>
          <w14:ligatures w14:val="standardContextual"/>
        </w:rPr>
        <w:t>7</w:t>
      </w:r>
      <w:r w:rsidRPr="003105AA">
        <w:rPr>
          <w:rFonts w:ascii="Times New Roman Italic" w:eastAsiaTheme="minorHAnsi" w:hAnsi="Times New Roman Italic"/>
          <w:bCs/>
          <w:i/>
          <w:kern w:val="2"/>
          <w14:ligatures w14:val="standardContextual"/>
        </w:rPr>
        <w:t xml:space="preserve">% of  passenger traffic; freight transport increased by </w:t>
      </w:r>
      <w:r>
        <w:rPr>
          <w:rFonts w:ascii="Times New Roman Italic" w:eastAsiaTheme="minorHAnsi" w:hAnsi="Times New Roman Italic"/>
          <w:bCs/>
          <w:i/>
          <w:kern w:val="2"/>
          <w14:ligatures w14:val="standardContextual"/>
        </w:rPr>
        <w:t>16.0</w:t>
      </w:r>
      <w:r w:rsidRPr="003105AA">
        <w:rPr>
          <w:rFonts w:ascii="Times New Roman Italic" w:eastAsiaTheme="minorHAnsi" w:hAnsi="Times New Roman Italic"/>
          <w:bCs/>
          <w:i/>
          <w:kern w:val="2"/>
          <w14:ligatures w14:val="standardContextual"/>
        </w:rPr>
        <w:t xml:space="preserve">% of  freight carried and up </w:t>
      </w:r>
      <w:r>
        <w:rPr>
          <w:rFonts w:ascii="Times New Roman Italic" w:eastAsiaTheme="minorHAnsi" w:hAnsi="Times New Roman Italic"/>
          <w:bCs/>
          <w:i/>
          <w:kern w:val="2"/>
          <w14:ligatures w14:val="standardContextual"/>
        </w:rPr>
        <w:t>19.1</w:t>
      </w:r>
      <w:r w:rsidRPr="003105AA">
        <w:rPr>
          <w:rFonts w:ascii="Times New Roman Italic" w:eastAsiaTheme="minorHAnsi" w:hAnsi="Times New Roman Italic"/>
          <w:bCs/>
          <w:i/>
          <w:kern w:val="2"/>
          <w14:ligatures w14:val="standardContextual"/>
        </w:rPr>
        <w:t>% of freight traffic.</w:t>
      </w:r>
    </w:p>
    <w:p w14:paraId="0397CC61" w14:textId="77777777" w:rsidR="00753A68" w:rsidRPr="003105AA" w:rsidRDefault="00753A68" w:rsidP="00753A68">
      <w:pPr>
        <w:spacing w:beforeLines="40" w:before="96" w:afterLines="40" w:after="96" w:line="264" w:lineRule="auto"/>
        <w:ind w:firstLine="567"/>
        <w:jc w:val="both"/>
        <w:rPr>
          <w:rFonts w:ascii="Times New Roman Italic" w:eastAsiaTheme="minorHAnsi" w:hAnsi="Times New Roman Italic"/>
          <w:bCs/>
          <w:i/>
          <w:kern w:val="2"/>
          <w14:ligatures w14:val="standardContextual"/>
        </w:rPr>
      </w:pPr>
      <w:r w:rsidRPr="003105AA">
        <w:rPr>
          <w:rFonts w:ascii="Times New Roman Italic" w:eastAsiaTheme="minorHAnsi" w:hAnsi="Times New Roman Italic"/>
          <w:bCs/>
          <w:i/>
          <w:kern w:val="2"/>
          <w14:ligatures w14:val="standardContextual"/>
        </w:rPr>
        <w:t xml:space="preserve">Overall, in </w:t>
      </w:r>
      <w:r>
        <w:rPr>
          <w:rFonts w:ascii="Times New Roman Italic" w:eastAsiaTheme="minorHAnsi" w:hAnsi="Times New Roman Italic"/>
          <w:bCs/>
          <w:i/>
          <w:kern w:val="2"/>
          <w14:ligatures w14:val="standardContextual"/>
        </w:rPr>
        <w:t>two months of 2025</w:t>
      </w:r>
      <w:r w:rsidRPr="003105AA">
        <w:rPr>
          <w:rFonts w:ascii="Times New Roman Italic" w:eastAsiaTheme="minorHAnsi" w:hAnsi="Times New Roman Italic"/>
          <w:bCs/>
          <w:i/>
          <w:kern w:val="2"/>
          <w14:ligatures w14:val="standardContextual"/>
        </w:rPr>
        <w:t xml:space="preserve">, passenger carried increased by </w:t>
      </w:r>
      <w:r>
        <w:rPr>
          <w:rFonts w:ascii="Times New Roman Italic" w:eastAsiaTheme="minorHAnsi" w:hAnsi="Times New Roman Italic"/>
          <w:bCs/>
          <w:i/>
          <w:kern w:val="2"/>
          <w14:ligatures w14:val="standardContextual"/>
        </w:rPr>
        <w:t>13.8</w:t>
      </w:r>
      <w:r w:rsidRPr="003105AA">
        <w:rPr>
          <w:rFonts w:ascii="Times New Roman Italic" w:eastAsiaTheme="minorHAnsi" w:hAnsi="Times New Roman Italic"/>
          <w:bCs/>
          <w:i/>
          <w:kern w:val="2"/>
          <w14:ligatures w14:val="standardContextual"/>
        </w:rPr>
        <w:t xml:space="preserve">% and passenger traffic up </w:t>
      </w:r>
      <w:r>
        <w:rPr>
          <w:rFonts w:ascii="Times New Roman Italic" w:eastAsiaTheme="minorHAnsi" w:hAnsi="Times New Roman Italic"/>
          <w:bCs/>
          <w:i/>
          <w:kern w:val="2"/>
          <w14:ligatures w14:val="standardContextual"/>
        </w:rPr>
        <w:t>16.2</w:t>
      </w:r>
      <w:r w:rsidRPr="003105AA">
        <w:rPr>
          <w:rFonts w:ascii="Times New Roman Italic" w:eastAsiaTheme="minorHAnsi" w:hAnsi="Times New Roman Italic"/>
          <w:bCs/>
          <w:i/>
          <w:kern w:val="2"/>
          <w14:ligatures w14:val="standardContextual"/>
        </w:rPr>
        <w:t xml:space="preserve">% over the same period last year; freight carried increased by </w:t>
      </w:r>
      <w:r>
        <w:rPr>
          <w:rFonts w:ascii="Times New Roman Italic" w:eastAsiaTheme="minorHAnsi" w:hAnsi="Times New Roman Italic"/>
          <w:bCs/>
          <w:i/>
          <w:kern w:val="2"/>
          <w14:ligatures w14:val="standardContextual"/>
        </w:rPr>
        <w:t>14.5</w:t>
      </w:r>
      <w:r w:rsidRPr="003105AA">
        <w:rPr>
          <w:rFonts w:ascii="Times New Roman Italic" w:eastAsiaTheme="minorHAnsi" w:hAnsi="Times New Roman Italic"/>
          <w:bCs/>
          <w:i/>
          <w:kern w:val="2"/>
          <w14:ligatures w14:val="standardContextual"/>
        </w:rPr>
        <w:t>% and freight traffic up 11.</w:t>
      </w:r>
      <w:r>
        <w:rPr>
          <w:rFonts w:ascii="Times New Roman Italic" w:eastAsiaTheme="minorHAnsi" w:hAnsi="Times New Roman Italic"/>
          <w:bCs/>
          <w:i/>
          <w:kern w:val="2"/>
          <w14:ligatures w14:val="standardContextual"/>
        </w:rPr>
        <w:t>8</w:t>
      </w:r>
      <w:r w:rsidRPr="003105AA">
        <w:rPr>
          <w:rFonts w:ascii="Times New Roman Italic" w:eastAsiaTheme="minorHAnsi" w:hAnsi="Times New Roman Italic"/>
          <w:bCs/>
          <w:i/>
          <w:kern w:val="2"/>
          <w14:ligatures w14:val="standardContextual"/>
        </w:rPr>
        <w:t xml:space="preserve">%. </w:t>
      </w:r>
    </w:p>
    <w:p w14:paraId="71884B73" w14:textId="77777777" w:rsidR="00753A68" w:rsidRPr="00BB4D40" w:rsidRDefault="00753A68" w:rsidP="00753A68">
      <w:pPr>
        <w:tabs>
          <w:tab w:val="left" w:pos="567"/>
        </w:tabs>
        <w:spacing w:beforeLines="40" w:before="96" w:afterLines="40" w:after="96" w:line="276" w:lineRule="auto"/>
        <w:ind w:firstLine="567"/>
        <w:jc w:val="both"/>
        <w:rPr>
          <w:lang w:val="pl-PL"/>
        </w:rPr>
      </w:pPr>
      <w:r w:rsidRPr="00BB4D40">
        <w:rPr>
          <w:i/>
          <w:lang w:val="pl-PL"/>
        </w:rPr>
        <w:t>Passenger transport</w:t>
      </w:r>
      <w:r w:rsidRPr="00BB4D40">
        <w:rPr>
          <w:lang w:val="pl-PL"/>
        </w:rPr>
        <w:t xml:space="preserve"> in </w:t>
      </w:r>
      <w:r>
        <w:rPr>
          <w:lang w:val="pl-PL"/>
        </w:rPr>
        <w:t>02/2025</w:t>
      </w:r>
      <w:r w:rsidRPr="00BB4D40">
        <w:rPr>
          <w:lang w:val="pl-PL"/>
        </w:rPr>
        <w:t xml:space="preserve"> was estimated at </w:t>
      </w:r>
      <w:r>
        <w:rPr>
          <w:lang w:val="nl-NL"/>
        </w:rPr>
        <w:t>464.3</w:t>
      </w:r>
      <w:r w:rsidRPr="00BB4D40">
        <w:rPr>
          <w:lang w:val="nl-NL"/>
        </w:rPr>
        <w:t xml:space="preserve"> </w:t>
      </w:r>
      <w:r w:rsidRPr="00BB4D40">
        <w:rPr>
          <w:lang w:val="pl-PL"/>
        </w:rPr>
        <w:t xml:space="preserve">million passengers, </w:t>
      </w:r>
      <w:r>
        <w:rPr>
          <w:lang w:val="pl-PL"/>
        </w:rPr>
        <w:t>in</w:t>
      </w:r>
      <w:r w:rsidRPr="00BB4D40">
        <w:rPr>
          <w:lang w:val="pl-PL"/>
        </w:rPr>
        <w:t xml:space="preserve">creased by </w:t>
      </w:r>
      <w:r>
        <w:rPr>
          <w:lang w:val="pl-PL"/>
        </w:rPr>
        <w:t>3.6</w:t>
      </w:r>
      <w:r w:rsidRPr="00BB4D40">
        <w:rPr>
          <w:lang w:val="pl-PL"/>
        </w:rPr>
        <w:t xml:space="preserve">% and passenger traffic was </w:t>
      </w:r>
      <w:r>
        <w:rPr>
          <w:lang w:val="nl-NL"/>
        </w:rPr>
        <w:t>26.3</w:t>
      </w:r>
      <w:r w:rsidRPr="00BB4D40">
        <w:rPr>
          <w:lang w:val="nl-NL"/>
        </w:rPr>
        <w:t xml:space="preserve"> </w:t>
      </w:r>
      <w:r w:rsidRPr="00BB4D40">
        <w:rPr>
          <w:lang w:val="pl-PL"/>
        </w:rPr>
        <w:t xml:space="preserve">billion passengers-kilometers, </w:t>
      </w:r>
      <w:r>
        <w:rPr>
          <w:lang w:val="pl-PL"/>
        </w:rPr>
        <w:t>in</w:t>
      </w:r>
      <w:r w:rsidRPr="00BB4D40">
        <w:rPr>
          <w:lang w:val="pl-PL"/>
        </w:rPr>
        <w:t xml:space="preserve">creased by </w:t>
      </w:r>
      <w:r>
        <w:rPr>
          <w:lang w:val="pl-PL"/>
        </w:rPr>
        <w:t>1.9</w:t>
      </w:r>
      <w:r w:rsidRPr="00BB4D40">
        <w:rPr>
          <w:lang w:val="pl-PL"/>
        </w:rPr>
        <w:t>%</w:t>
      </w:r>
      <w:r w:rsidRPr="001E5CAE">
        <w:rPr>
          <w:lang w:val="pl-PL"/>
        </w:rPr>
        <w:t xml:space="preserve"> </w:t>
      </w:r>
      <w:r w:rsidRPr="00BB4D40">
        <w:rPr>
          <w:lang w:val="pl-PL"/>
        </w:rPr>
        <w:t xml:space="preserve">over the previous month. </w:t>
      </w:r>
      <w:r>
        <w:rPr>
          <w:lang w:val="pl-PL"/>
        </w:rPr>
        <w:t>In two months of 2025</w:t>
      </w:r>
      <w:r w:rsidRPr="00BB4D40">
        <w:rPr>
          <w:lang w:val="pl-PL"/>
        </w:rPr>
        <w:t xml:space="preserve">, passenger carried was estimated at </w:t>
      </w:r>
      <w:r>
        <w:rPr>
          <w:lang w:val="nl-NL"/>
        </w:rPr>
        <w:t>912.4</w:t>
      </w:r>
      <w:r w:rsidRPr="00BB4D40">
        <w:rPr>
          <w:lang w:val="nl-NL"/>
        </w:rPr>
        <w:t xml:space="preserve"> </w:t>
      </w:r>
      <w:r w:rsidRPr="00BB4D40">
        <w:rPr>
          <w:lang w:val="pl-PL"/>
        </w:rPr>
        <w:t xml:space="preserve">million passengers, up </w:t>
      </w:r>
      <w:r>
        <w:rPr>
          <w:lang w:val="nl-NL"/>
        </w:rPr>
        <w:t>13.8</w:t>
      </w:r>
      <w:r w:rsidRPr="00BB4D40">
        <w:rPr>
          <w:lang w:val="pl-PL"/>
        </w:rPr>
        <w:t xml:space="preserve">% over the same period last year and passenger traffic was </w:t>
      </w:r>
      <w:r>
        <w:rPr>
          <w:lang w:val="nl-NL"/>
        </w:rPr>
        <w:t>52.1</w:t>
      </w:r>
      <w:r w:rsidRPr="00BB4D40">
        <w:rPr>
          <w:lang w:val="nl-NL"/>
        </w:rPr>
        <w:t xml:space="preserve"> </w:t>
      </w:r>
      <w:r w:rsidRPr="00BB4D40">
        <w:rPr>
          <w:lang w:val="pl-PL"/>
        </w:rPr>
        <w:t xml:space="preserve">billion passengers.km, increased by </w:t>
      </w:r>
      <w:r>
        <w:rPr>
          <w:lang w:val="nl-NL"/>
        </w:rPr>
        <w:t>16.2</w:t>
      </w:r>
      <w:r w:rsidRPr="00BB4D40">
        <w:rPr>
          <w:lang w:val="pl-PL"/>
        </w:rPr>
        <w:t xml:space="preserve">%. Of which, domestic transport reached </w:t>
      </w:r>
      <w:r>
        <w:rPr>
          <w:lang w:val="pl-PL"/>
        </w:rPr>
        <w:t>909.0</w:t>
      </w:r>
      <w:r w:rsidRPr="00BB4D40">
        <w:rPr>
          <w:lang w:val="nl-NL"/>
        </w:rPr>
        <w:t xml:space="preserve"> </w:t>
      </w:r>
      <w:r w:rsidRPr="00BB4D40">
        <w:rPr>
          <w:lang w:val="pl-PL"/>
        </w:rPr>
        <w:t xml:space="preserve">million passengers, up </w:t>
      </w:r>
      <w:r>
        <w:rPr>
          <w:lang w:val="nl-NL"/>
        </w:rPr>
        <w:t>13.8</w:t>
      </w:r>
      <w:r w:rsidRPr="00BB4D40">
        <w:rPr>
          <w:lang w:val="pl-PL"/>
        </w:rPr>
        <w:t xml:space="preserve">% over the same period last year and </w:t>
      </w:r>
      <w:r>
        <w:rPr>
          <w:lang w:val="nl-NL"/>
        </w:rPr>
        <w:t>40.9</w:t>
      </w:r>
      <w:r w:rsidRPr="00BB4D40">
        <w:rPr>
          <w:lang w:val="nl-NL"/>
        </w:rPr>
        <w:t xml:space="preserve"> </w:t>
      </w:r>
      <w:r w:rsidRPr="00BB4D40">
        <w:rPr>
          <w:lang w:val="pl-PL"/>
        </w:rPr>
        <w:t xml:space="preserve">billion passengers-kilometers, up </w:t>
      </w:r>
      <w:r>
        <w:rPr>
          <w:lang w:val="nl-NL"/>
        </w:rPr>
        <w:t>16.3</w:t>
      </w:r>
      <w:r w:rsidRPr="00BB4D40">
        <w:rPr>
          <w:lang w:val="pl-PL"/>
        </w:rPr>
        <w:t xml:space="preserve">%; overseas transport reached </w:t>
      </w:r>
      <w:r>
        <w:rPr>
          <w:lang w:val="nl-NL"/>
        </w:rPr>
        <w:t>3.4</w:t>
      </w:r>
      <w:r w:rsidRPr="00BB4D40">
        <w:rPr>
          <w:lang w:val="nl-NL"/>
        </w:rPr>
        <w:t xml:space="preserve"> </w:t>
      </w:r>
      <w:r w:rsidRPr="00BB4D40">
        <w:rPr>
          <w:lang w:val="pl-PL"/>
        </w:rPr>
        <w:t xml:space="preserve">million passengers, increased by </w:t>
      </w:r>
      <w:r>
        <w:rPr>
          <w:lang w:val="pl-PL"/>
        </w:rPr>
        <w:t>15.3</w:t>
      </w:r>
      <w:r w:rsidRPr="00BB4D40">
        <w:rPr>
          <w:lang w:val="pl-PL"/>
        </w:rPr>
        <w:t xml:space="preserve">% and </w:t>
      </w:r>
      <w:r>
        <w:rPr>
          <w:lang w:val="nl-NL"/>
        </w:rPr>
        <w:t>11.2</w:t>
      </w:r>
      <w:r w:rsidRPr="00BB4D40">
        <w:rPr>
          <w:lang w:val="nl-NL"/>
        </w:rPr>
        <w:t xml:space="preserve"> </w:t>
      </w:r>
      <w:r w:rsidRPr="00BB4D40">
        <w:rPr>
          <w:lang w:val="pl-PL"/>
        </w:rPr>
        <w:t xml:space="preserve">billion passengers-kilometers, </w:t>
      </w:r>
      <w:r w:rsidRPr="00BB4D40">
        <w:rPr>
          <w:lang w:val="nl-NL"/>
        </w:rPr>
        <w:t xml:space="preserve">up </w:t>
      </w:r>
      <w:r>
        <w:rPr>
          <w:lang w:val="nl-NL"/>
        </w:rPr>
        <w:t>15.8</w:t>
      </w:r>
      <w:r w:rsidRPr="00BB4D40">
        <w:rPr>
          <w:lang w:val="nl-NL"/>
        </w:rPr>
        <w:t>% compared to</w:t>
      </w:r>
      <w:r w:rsidRPr="00BB4D40">
        <w:rPr>
          <w:lang w:val="pl-PL"/>
        </w:rPr>
        <w:t xml:space="preserve"> the same period last year. </w:t>
      </w:r>
    </w:p>
    <w:p w14:paraId="14C36D0C" w14:textId="77777777" w:rsidR="00753A68" w:rsidRPr="00870842" w:rsidRDefault="00753A68" w:rsidP="00753A68">
      <w:pPr>
        <w:spacing w:beforeLines="40" w:before="96" w:afterLines="40" w:after="96" w:line="264" w:lineRule="auto"/>
        <w:jc w:val="center"/>
        <w:rPr>
          <w:rFonts w:ascii="Arial" w:hAnsi="Arial" w:cs="Arial"/>
          <w:b/>
          <w:bCs/>
          <w:sz w:val="24"/>
          <w:szCs w:val="24"/>
        </w:rPr>
      </w:pPr>
      <w:r w:rsidRPr="00870842">
        <w:rPr>
          <w:rFonts w:ascii="Arial" w:hAnsi="Arial" w:cs="Arial"/>
          <w:b/>
          <w:bCs/>
          <w:iCs/>
          <w:sz w:val="24"/>
          <w:szCs w:val="24"/>
        </w:rPr>
        <w:t>Table 6</w:t>
      </w:r>
      <w:r w:rsidRPr="00870842">
        <w:rPr>
          <w:rFonts w:ascii="Arial" w:hAnsi="Arial" w:cs="Arial" w:hint="eastAsia"/>
          <w:b/>
          <w:bCs/>
          <w:iCs/>
          <w:sz w:val="24"/>
          <w:szCs w:val="24"/>
        </w:rPr>
        <w:t> </w:t>
      </w:r>
      <w:r w:rsidRPr="00870842">
        <w:rPr>
          <w:rFonts w:ascii="Arial" w:hAnsi="Arial" w:cs="Arial"/>
          <w:b/>
          <w:bCs/>
          <w:iCs/>
          <w:sz w:val="24"/>
          <w:szCs w:val="24"/>
        </w:rPr>
        <w:t xml:space="preserve">: Passengers transport in </w:t>
      </w:r>
      <w:r>
        <w:rPr>
          <w:rFonts w:ascii="Arial" w:hAnsi="Arial" w:cs="Arial"/>
          <w:b/>
          <w:bCs/>
          <w:iCs/>
          <w:sz w:val="24"/>
          <w:szCs w:val="24"/>
        </w:rPr>
        <w:t>02 months</w:t>
      </w:r>
      <w:r w:rsidRPr="00870842">
        <w:rPr>
          <w:rFonts w:ascii="Arial" w:hAnsi="Arial" w:cs="Arial"/>
          <w:b/>
          <w:bCs/>
          <w:iCs/>
          <w:sz w:val="24"/>
          <w:szCs w:val="24"/>
        </w:rPr>
        <w:t xml:space="preserve"> of 202</w:t>
      </w:r>
      <w:r>
        <w:rPr>
          <w:rFonts w:ascii="Arial" w:hAnsi="Arial" w:cs="Arial"/>
          <w:b/>
          <w:bCs/>
          <w:iCs/>
          <w:sz w:val="24"/>
          <w:szCs w:val="24"/>
        </w:rPr>
        <w:t>5</w:t>
      </w:r>
      <w:r w:rsidRPr="00870842">
        <w:rPr>
          <w:rFonts w:ascii="Arial" w:hAnsi="Arial" w:cs="Arial"/>
          <w:b/>
          <w:bCs/>
          <w:iCs/>
          <w:sz w:val="24"/>
          <w:szCs w:val="24"/>
        </w:rPr>
        <w:br/>
      </w:r>
      <w:r w:rsidRPr="00870842">
        <w:rPr>
          <w:rFonts w:ascii="Arial" w:hAnsi="Arial" w:cs="Arial"/>
          <w:b/>
          <w:bCs/>
          <w:sz w:val="24"/>
          <w:szCs w:val="24"/>
        </w:rPr>
        <w:t>by types of transport</w:t>
      </w:r>
    </w:p>
    <w:tbl>
      <w:tblPr>
        <w:tblW w:w="9236" w:type="dxa"/>
        <w:jc w:val="center"/>
        <w:tblBorders>
          <w:top w:val="single" w:sz="4" w:space="0" w:color="auto"/>
        </w:tblBorders>
        <w:tblLook w:val="04A0" w:firstRow="1" w:lastRow="0" w:firstColumn="1" w:lastColumn="0" w:noHBand="0" w:noVBand="1"/>
      </w:tblPr>
      <w:tblGrid>
        <w:gridCol w:w="1887"/>
        <w:gridCol w:w="1886"/>
        <w:gridCol w:w="2394"/>
        <w:gridCol w:w="1666"/>
        <w:gridCol w:w="1403"/>
      </w:tblGrid>
      <w:tr w:rsidR="00753A68" w:rsidRPr="00BB4D40" w14:paraId="51B68842" w14:textId="77777777" w:rsidTr="00C47D68">
        <w:trPr>
          <w:trHeight w:val="378"/>
          <w:jc w:val="center"/>
        </w:trPr>
        <w:tc>
          <w:tcPr>
            <w:tcW w:w="1887" w:type="dxa"/>
            <w:vAlign w:val="center"/>
            <w:hideMark/>
          </w:tcPr>
          <w:p w14:paraId="283B18FD" w14:textId="77777777" w:rsidR="00753A68" w:rsidRPr="00870842" w:rsidRDefault="00753A68" w:rsidP="00C47D68">
            <w:pPr>
              <w:spacing w:before="40" w:after="40"/>
              <w:ind w:firstLine="567"/>
              <w:rPr>
                <w:rFonts w:ascii="Times New Roman Bold" w:hAnsi="Times New Roman Bold"/>
                <w:b/>
                <w:bCs/>
              </w:rPr>
            </w:pPr>
          </w:p>
        </w:tc>
        <w:tc>
          <w:tcPr>
            <w:tcW w:w="4280" w:type="dxa"/>
            <w:gridSpan w:val="2"/>
            <w:tcBorders>
              <w:top w:val="single" w:sz="4" w:space="0" w:color="auto"/>
              <w:bottom w:val="single" w:sz="4" w:space="0" w:color="auto"/>
            </w:tcBorders>
            <w:vAlign w:val="center"/>
            <w:hideMark/>
          </w:tcPr>
          <w:p w14:paraId="7E3A5B27" w14:textId="77777777" w:rsidR="00753A68" w:rsidRPr="00BB4D40" w:rsidRDefault="00753A68" w:rsidP="00C47D68">
            <w:pPr>
              <w:spacing w:before="40" w:after="40"/>
              <w:ind w:firstLine="205"/>
              <w:jc w:val="center"/>
              <w:rPr>
                <w:rFonts w:ascii="Arial" w:hAnsi="Arial" w:cs="Arial"/>
                <w:sz w:val="20"/>
                <w:szCs w:val="20"/>
                <w:lang w:eastAsia="vi-VN"/>
              </w:rPr>
            </w:pPr>
            <w:r w:rsidRPr="00BB4D40">
              <w:rPr>
                <w:rFonts w:ascii="Arial" w:hAnsi="Arial" w:cs="Arial"/>
                <w:iCs/>
                <w:sz w:val="20"/>
                <w:szCs w:val="20"/>
                <w:lang w:eastAsia="vi-VN"/>
              </w:rPr>
              <w:t>Number of passengers</w:t>
            </w:r>
          </w:p>
        </w:tc>
        <w:tc>
          <w:tcPr>
            <w:tcW w:w="3069" w:type="dxa"/>
            <w:gridSpan w:val="2"/>
            <w:tcBorders>
              <w:top w:val="single" w:sz="4" w:space="0" w:color="auto"/>
              <w:bottom w:val="single" w:sz="4" w:space="0" w:color="auto"/>
            </w:tcBorders>
            <w:vAlign w:val="center"/>
            <w:hideMark/>
          </w:tcPr>
          <w:p w14:paraId="1FC7DEAE" w14:textId="77777777" w:rsidR="00753A68" w:rsidRPr="00BB4D40" w:rsidRDefault="00753A68" w:rsidP="00C47D68">
            <w:pPr>
              <w:spacing w:before="40" w:after="40"/>
              <w:ind w:firstLine="77"/>
              <w:jc w:val="center"/>
              <w:rPr>
                <w:rFonts w:ascii="Arial" w:hAnsi="Arial" w:cs="Arial"/>
                <w:color w:val="000000"/>
                <w:sz w:val="20"/>
                <w:szCs w:val="20"/>
                <w:lang w:eastAsia="vi-VN"/>
              </w:rPr>
            </w:pPr>
            <w:r w:rsidRPr="00BB4D40">
              <w:rPr>
                <w:rFonts w:ascii="Arial" w:hAnsi="Arial" w:cs="Arial"/>
                <w:color w:val="000000"/>
                <w:sz w:val="20"/>
                <w:szCs w:val="20"/>
                <w:lang w:eastAsia="vi-VN"/>
              </w:rPr>
              <w:t>Growth rate compared to the same period last year (%)</w:t>
            </w:r>
          </w:p>
        </w:tc>
      </w:tr>
      <w:tr w:rsidR="00753A68" w:rsidRPr="00BB4D40" w14:paraId="0436DE47" w14:textId="77777777" w:rsidTr="00C47D68">
        <w:trPr>
          <w:trHeight w:val="376"/>
          <w:jc w:val="center"/>
        </w:trPr>
        <w:tc>
          <w:tcPr>
            <w:tcW w:w="1887" w:type="dxa"/>
            <w:vAlign w:val="center"/>
            <w:hideMark/>
          </w:tcPr>
          <w:p w14:paraId="62963E04" w14:textId="77777777" w:rsidR="00753A68" w:rsidRPr="00BB4D40" w:rsidRDefault="00753A68" w:rsidP="00C47D68">
            <w:pPr>
              <w:spacing w:before="40" w:after="40"/>
              <w:ind w:firstLine="567"/>
              <w:rPr>
                <w:rFonts w:ascii="Arial" w:hAnsi="Arial" w:cs="Arial"/>
                <w:color w:val="000000"/>
                <w:sz w:val="20"/>
                <w:szCs w:val="20"/>
                <w:lang w:eastAsia="vi-VN"/>
              </w:rPr>
            </w:pPr>
          </w:p>
        </w:tc>
        <w:tc>
          <w:tcPr>
            <w:tcW w:w="1886" w:type="dxa"/>
            <w:tcBorders>
              <w:top w:val="single" w:sz="4" w:space="0" w:color="auto"/>
              <w:bottom w:val="single" w:sz="4" w:space="0" w:color="auto"/>
            </w:tcBorders>
            <w:vAlign w:val="center"/>
            <w:hideMark/>
          </w:tcPr>
          <w:p w14:paraId="38D60AD3" w14:textId="77777777" w:rsidR="00753A68" w:rsidRPr="00BB4D40" w:rsidRDefault="00753A68" w:rsidP="00C47D68">
            <w:pPr>
              <w:spacing w:before="40" w:after="40"/>
              <w:jc w:val="center"/>
              <w:rPr>
                <w:rFonts w:ascii="Arial" w:hAnsi="Arial" w:cs="Arial"/>
                <w:sz w:val="20"/>
                <w:szCs w:val="20"/>
                <w:lang w:eastAsia="vi-VN"/>
              </w:rPr>
            </w:pPr>
            <w:r w:rsidRPr="00BB4D40">
              <w:rPr>
                <w:rFonts w:ascii="Arial" w:hAnsi="Arial" w:cs="Arial"/>
                <w:sz w:val="20"/>
                <w:szCs w:val="20"/>
                <w:lang w:eastAsia="vi-VN"/>
              </w:rPr>
              <w:t>Carried</w:t>
            </w:r>
            <w:r w:rsidRPr="00BB4D40">
              <w:rPr>
                <w:rFonts w:ascii="Arial" w:hAnsi="Arial" w:cs="Arial"/>
                <w:sz w:val="20"/>
                <w:szCs w:val="20"/>
                <w:lang w:eastAsia="vi-VN"/>
              </w:rPr>
              <w:br/>
              <w:t>(Mill. passengers)</w:t>
            </w:r>
          </w:p>
        </w:tc>
        <w:tc>
          <w:tcPr>
            <w:tcW w:w="2394" w:type="dxa"/>
            <w:tcBorders>
              <w:top w:val="single" w:sz="4" w:space="0" w:color="auto"/>
              <w:bottom w:val="single" w:sz="4" w:space="0" w:color="auto"/>
            </w:tcBorders>
            <w:vAlign w:val="center"/>
            <w:hideMark/>
          </w:tcPr>
          <w:p w14:paraId="066A25A9" w14:textId="77777777" w:rsidR="00753A68" w:rsidRPr="00BB4D40" w:rsidRDefault="00753A68" w:rsidP="00C47D68">
            <w:pPr>
              <w:spacing w:before="40" w:after="40"/>
              <w:ind w:hanging="214"/>
              <w:jc w:val="center"/>
              <w:rPr>
                <w:rFonts w:ascii="Arial" w:hAnsi="Arial" w:cs="Arial"/>
                <w:sz w:val="20"/>
                <w:szCs w:val="20"/>
                <w:lang w:eastAsia="vi-VN"/>
              </w:rPr>
            </w:pPr>
            <w:r w:rsidRPr="00BB4D40">
              <w:rPr>
                <w:rFonts w:ascii="Arial" w:hAnsi="Arial" w:cs="Arial"/>
                <w:sz w:val="20"/>
                <w:szCs w:val="20"/>
                <w:lang w:eastAsia="vi-VN"/>
              </w:rPr>
              <w:t>Traffic</w:t>
            </w:r>
            <w:r w:rsidRPr="00BB4D40">
              <w:rPr>
                <w:rFonts w:ascii="Arial" w:hAnsi="Arial" w:cs="Arial"/>
                <w:sz w:val="20"/>
                <w:szCs w:val="20"/>
                <w:lang w:eastAsia="vi-VN"/>
              </w:rPr>
              <w:br/>
              <w:t>(Bill. passengers-km)</w:t>
            </w:r>
          </w:p>
        </w:tc>
        <w:tc>
          <w:tcPr>
            <w:tcW w:w="1666" w:type="dxa"/>
            <w:tcBorders>
              <w:top w:val="single" w:sz="4" w:space="0" w:color="auto"/>
              <w:bottom w:val="single" w:sz="4" w:space="0" w:color="auto"/>
            </w:tcBorders>
            <w:vAlign w:val="center"/>
            <w:hideMark/>
          </w:tcPr>
          <w:p w14:paraId="3133722D" w14:textId="77777777" w:rsidR="00753A68" w:rsidRPr="00BB4D40" w:rsidRDefault="00753A68" w:rsidP="00C47D68">
            <w:pPr>
              <w:spacing w:before="40" w:after="40"/>
              <w:jc w:val="center"/>
              <w:rPr>
                <w:rFonts w:ascii="Arial" w:hAnsi="Arial" w:cs="Arial"/>
                <w:sz w:val="20"/>
                <w:szCs w:val="20"/>
                <w:lang w:eastAsia="vi-VN"/>
              </w:rPr>
            </w:pPr>
            <w:r w:rsidRPr="00BB4D40">
              <w:rPr>
                <w:rFonts w:ascii="Arial" w:hAnsi="Arial" w:cs="Arial"/>
                <w:sz w:val="20"/>
                <w:szCs w:val="20"/>
                <w:lang w:eastAsia="vi-VN"/>
              </w:rPr>
              <w:t>Carried</w:t>
            </w:r>
          </w:p>
        </w:tc>
        <w:tc>
          <w:tcPr>
            <w:tcW w:w="1403" w:type="dxa"/>
            <w:tcBorders>
              <w:top w:val="single" w:sz="4" w:space="0" w:color="auto"/>
              <w:bottom w:val="single" w:sz="4" w:space="0" w:color="auto"/>
            </w:tcBorders>
            <w:vAlign w:val="center"/>
            <w:hideMark/>
          </w:tcPr>
          <w:p w14:paraId="1DB00184" w14:textId="77777777" w:rsidR="00753A68" w:rsidRPr="00BB4D40" w:rsidRDefault="00753A68" w:rsidP="00C47D68">
            <w:pPr>
              <w:spacing w:before="40" w:after="40"/>
              <w:ind w:hanging="138"/>
              <w:jc w:val="center"/>
              <w:rPr>
                <w:rFonts w:ascii="Arial" w:hAnsi="Arial" w:cs="Arial"/>
                <w:sz w:val="20"/>
                <w:szCs w:val="20"/>
                <w:lang w:eastAsia="vi-VN"/>
              </w:rPr>
            </w:pPr>
            <w:r w:rsidRPr="00BB4D40">
              <w:rPr>
                <w:rFonts w:ascii="Arial" w:hAnsi="Arial" w:cs="Arial"/>
                <w:sz w:val="20"/>
                <w:szCs w:val="20"/>
                <w:lang w:eastAsia="vi-VN"/>
              </w:rPr>
              <w:t>Traffic</w:t>
            </w:r>
          </w:p>
        </w:tc>
      </w:tr>
      <w:tr w:rsidR="00753A68" w:rsidRPr="00BB4D40" w14:paraId="3E801709" w14:textId="77777777" w:rsidTr="00C47D68">
        <w:trPr>
          <w:trHeight w:val="250"/>
          <w:jc w:val="center"/>
        </w:trPr>
        <w:tc>
          <w:tcPr>
            <w:tcW w:w="1887" w:type="dxa"/>
            <w:noWrap/>
            <w:vAlign w:val="center"/>
            <w:hideMark/>
          </w:tcPr>
          <w:p w14:paraId="47F9FB8C" w14:textId="77777777" w:rsidR="00753A68" w:rsidRPr="00BB4D40" w:rsidRDefault="00753A68" w:rsidP="00C47D68">
            <w:pPr>
              <w:spacing w:before="100" w:after="40"/>
              <w:ind w:firstLine="142"/>
              <w:jc w:val="both"/>
              <w:rPr>
                <w:rFonts w:ascii="Arial" w:hAnsi="Arial" w:cs="Arial"/>
                <w:b/>
                <w:bCs/>
                <w:sz w:val="20"/>
                <w:szCs w:val="20"/>
                <w:lang w:eastAsia="vi-VN"/>
              </w:rPr>
            </w:pPr>
            <w:r w:rsidRPr="00BB4D40">
              <w:rPr>
                <w:rFonts w:ascii="Arial" w:hAnsi="Arial" w:cs="Arial"/>
                <w:b/>
                <w:bCs/>
                <w:sz w:val="20"/>
                <w:szCs w:val="20"/>
                <w:lang w:eastAsia="vi-VN"/>
              </w:rPr>
              <w:t>Total</w:t>
            </w:r>
          </w:p>
        </w:tc>
        <w:tc>
          <w:tcPr>
            <w:tcW w:w="1886" w:type="dxa"/>
            <w:tcBorders>
              <w:top w:val="single" w:sz="4" w:space="0" w:color="auto"/>
            </w:tcBorders>
            <w:shd w:val="clear" w:color="auto" w:fill="auto"/>
            <w:noWrap/>
            <w:vAlign w:val="center"/>
            <w:hideMark/>
          </w:tcPr>
          <w:p w14:paraId="5C33F4B6" w14:textId="77777777" w:rsidR="00753A68" w:rsidRPr="00FC383C" w:rsidRDefault="00753A68" w:rsidP="00C47D68">
            <w:pPr>
              <w:spacing w:before="40" w:after="40" w:line="257" w:lineRule="auto"/>
              <w:ind w:right="502"/>
              <w:jc w:val="right"/>
              <w:rPr>
                <w:rFonts w:ascii="Arial" w:hAnsi="Arial" w:cs="Arial"/>
                <w:b/>
                <w:bCs/>
                <w:sz w:val="20"/>
                <w:szCs w:val="20"/>
                <w14:ligatures w14:val="standardContextual"/>
              </w:rPr>
            </w:pPr>
            <w:r w:rsidRPr="00C30E94">
              <w:rPr>
                <w:rFonts w:ascii="Arial" w:hAnsi="Arial" w:cs="Arial"/>
                <w:b/>
                <w:bCs/>
                <w:sz w:val="20"/>
                <w:szCs w:val="20"/>
              </w:rPr>
              <w:t>912</w:t>
            </w:r>
            <w:r>
              <w:rPr>
                <w:rFonts w:ascii="Arial" w:hAnsi="Arial" w:cs="Arial"/>
                <w:b/>
                <w:bCs/>
                <w:sz w:val="20"/>
                <w:szCs w:val="20"/>
              </w:rPr>
              <w:t>.</w:t>
            </w:r>
            <w:r w:rsidRPr="00C30E94">
              <w:rPr>
                <w:rFonts w:ascii="Arial" w:hAnsi="Arial" w:cs="Arial"/>
                <w:b/>
                <w:bCs/>
                <w:sz w:val="20"/>
                <w:szCs w:val="20"/>
              </w:rPr>
              <w:t>4</w:t>
            </w:r>
          </w:p>
        </w:tc>
        <w:tc>
          <w:tcPr>
            <w:tcW w:w="2394" w:type="dxa"/>
            <w:tcBorders>
              <w:top w:val="single" w:sz="4" w:space="0" w:color="auto"/>
            </w:tcBorders>
            <w:shd w:val="clear" w:color="auto" w:fill="auto"/>
            <w:noWrap/>
            <w:vAlign w:val="center"/>
            <w:hideMark/>
          </w:tcPr>
          <w:p w14:paraId="503FD590" w14:textId="77777777" w:rsidR="00753A68" w:rsidRPr="00FC383C" w:rsidRDefault="00753A68" w:rsidP="00C47D68">
            <w:pPr>
              <w:spacing w:before="40" w:after="40" w:line="257" w:lineRule="auto"/>
              <w:ind w:right="957"/>
              <w:jc w:val="right"/>
              <w:rPr>
                <w:rFonts w:ascii="Arial" w:hAnsi="Arial" w:cs="Arial"/>
                <w:b/>
                <w:bCs/>
                <w:sz w:val="20"/>
                <w:szCs w:val="20"/>
                <w14:ligatures w14:val="standardContextual"/>
              </w:rPr>
            </w:pPr>
            <w:r w:rsidRPr="00C30E94">
              <w:rPr>
                <w:rFonts w:ascii="Arial" w:hAnsi="Arial" w:cs="Arial"/>
                <w:b/>
                <w:bCs/>
                <w:sz w:val="20"/>
                <w:szCs w:val="20"/>
              </w:rPr>
              <w:t>52</w:t>
            </w:r>
            <w:r>
              <w:rPr>
                <w:rFonts w:ascii="Arial" w:hAnsi="Arial" w:cs="Arial"/>
                <w:b/>
                <w:bCs/>
                <w:sz w:val="20"/>
                <w:szCs w:val="20"/>
              </w:rPr>
              <w:t>.</w:t>
            </w:r>
            <w:r w:rsidRPr="00C30E94">
              <w:rPr>
                <w:rFonts w:ascii="Arial" w:hAnsi="Arial" w:cs="Arial"/>
                <w:b/>
                <w:bCs/>
                <w:sz w:val="20"/>
                <w:szCs w:val="20"/>
              </w:rPr>
              <w:t>1</w:t>
            </w:r>
          </w:p>
        </w:tc>
        <w:tc>
          <w:tcPr>
            <w:tcW w:w="1666" w:type="dxa"/>
            <w:tcBorders>
              <w:top w:val="single" w:sz="4" w:space="0" w:color="auto"/>
            </w:tcBorders>
            <w:shd w:val="clear" w:color="auto" w:fill="auto"/>
            <w:noWrap/>
            <w:vAlign w:val="center"/>
            <w:hideMark/>
          </w:tcPr>
          <w:p w14:paraId="3BF0E149" w14:textId="77777777" w:rsidR="00753A68" w:rsidRPr="00C52A32" w:rsidRDefault="00753A68" w:rsidP="00C47D68">
            <w:pPr>
              <w:spacing w:before="40" w:after="40" w:line="257" w:lineRule="auto"/>
              <w:ind w:right="502"/>
              <w:jc w:val="right"/>
              <w:rPr>
                <w:rFonts w:ascii="Arial" w:hAnsi="Arial" w:cs="Arial"/>
                <w:b/>
                <w:bCs/>
                <w:sz w:val="20"/>
                <w:szCs w:val="20"/>
                <w14:ligatures w14:val="standardContextual"/>
              </w:rPr>
            </w:pPr>
            <w:r w:rsidRPr="00C30E94">
              <w:rPr>
                <w:rFonts w:ascii="Arial" w:hAnsi="Arial" w:cs="Arial"/>
                <w:b/>
                <w:bCs/>
                <w:sz w:val="20"/>
                <w:szCs w:val="20"/>
              </w:rPr>
              <w:t>13</w:t>
            </w:r>
            <w:r>
              <w:rPr>
                <w:rFonts w:ascii="Arial" w:hAnsi="Arial" w:cs="Arial"/>
                <w:b/>
                <w:bCs/>
                <w:sz w:val="20"/>
                <w:szCs w:val="20"/>
              </w:rPr>
              <w:t>.</w:t>
            </w:r>
            <w:r w:rsidRPr="00C30E94">
              <w:rPr>
                <w:rFonts w:ascii="Arial" w:hAnsi="Arial" w:cs="Arial"/>
                <w:b/>
                <w:bCs/>
                <w:sz w:val="20"/>
                <w:szCs w:val="20"/>
              </w:rPr>
              <w:t>8</w:t>
            </w:r>
          </w:p>
        </w:tc>
        <w:tc>
          <w:tcPr>
            <w:tcW w:w="1403" w:type="dxa"/>
            <w:tcBorders>
              <w:top w:val="single" w:sz="4" w:space="0" w:color="auto"/>
            </w:tcBorders>
            <w:shd w:val="clear" w:color="auto" w:fill="auto"/>
            <w:noWrap/>
            <w:vAlign w:val="center"/>
            <w:hideMark/>
          </w:tcPr>
          <w:p w14:paraId="22FF7D8C" w14:textId="77777777" w:rsidR="00753A68" w:rsidRPr="00C52A32" w:rsidRDefault="00753A68" w:rsidP="00C47D68">
            <w:pPr>
              <w:spacing w:before="40" w:after="40" w:line="257" w:lineRule="auto"/>
              <w:ind w:right="502"/>
              <w:jc w:val="right"/>
              <w:rPr>
                <w:rFonts w:ascii="Arial" w:hAnsi="Arial" w:cs="Arial"/>
                <w:b/>
                <w:bCs/>
                <w:sz w:val="20"/>
                <w:szCs w:val="20"/>
                <w14:ligatures w14:val="standardContextual"/>
              </w:rPr>
            </w:pPr>
            <w:r w:rsidRPr="00C30E94">
              <w:rPr>
                <w:rFonts w:ascii="Arial" w:hAnsi="Arial" w:cs="Arial"/>
                <w:b/>
                <w:bCs/>
                <w:sz w:val="20"/>
                <w:szCs w:val="20"/>
              </w:rPr>
              <w:t>16</w:t>
            </w:r>
            <w:r>
              <w:rPr>
                <w:rFonts w:ascii="Arial" w:hAnsi="Arial" w:cs="Arial"/>
                <w:b/>
                <w:bCs/>
                <w:sz w:val="20"/>
                <w:szCs w:val="20"/>
              </w:rPr>
              <w:t>.</w:t>
            </w:r>
            <w:r w:rsidRPr="00C30E94">
              <w:rPr>
                <w:rFonts w:ascii="Arial" w:hAnsi="Arial" w:cs="Arial"/>
                <w:b/>
                <w:bCs/>
                <w:sz w:val="20"/>
                <w:szCs w:val="20"/>
              </w:rPr>
              <w:t>2</w:t>
            </w:r>
          </w:p>
        </w:tc>
      </w:tr>
      <w:tr w:rsidR="00753A68" w:rsidRPr="00BB4D40" w14:paraId="14A62F07" w14:textId="77777777" w:rsidTr="00C47D68">
        <w:trPr>
          <w:trHeight w:val="212"/>
          <w:jc w:val="center"/>
        </w:trPr>
        <w:tc>
          <w:tcPr>
            <w:tcW w:w="1887" w:type="dxa"/>
            <w:noWrap/>
            <w:vAlign w:val="center"/>
            <w:hideMark/>
          </w:tcPr>
          <w:p w14:paraId="5300906E" w14:textId="77777777" w:rsidR="00753A68" w:rsidRPr="00BB4D40" w:rsidRDefault="00753A68" w:rsidP="00C47D68">
            <w:pPr>
              <w:tabs>
                <w:tab w:val="left" w:pos="407"/>
              </w:tabs>
              <w:spacing w:before="40" w:after="40"/>
              <w:ind w:firstLine="142"/>
              <w:jc w:val="both"/>
              <w:rPr>
                <w:rFonts w:ascii="Arial" w:hAnsi="Arial" w:cs="Arial"/>
                <w:sz w:val="20"/>
                <w:szCs w:val="20"/>
                <w:lang w:eastAsia="vi-VN"/>
              </w:rPr>
            </w:pPr>
            <w:r w:rsidRPr="00BB4D40">
              <w:rPr>
                <w:rFonts w:ascii="Arial" w:hAnsi="Arial" w:cs="Arial"/>
                <w:sz w:val="20"/>
                <w:szCs w:val="20"/>
                <w:lang w:eastAsia="vi-VN"/>
              </w:rPr>
              <w:t>Rail way</w:t>
            </w:r>
          </w:p>
        </w:tc>
        <w:tc>
          <w:tcPr>
            <w:tcW w:w="1886" w:type="dxa"/>
            <w:shd w:val="clear" w:color="auto" w:fill="auto"/>
            <w:noWrap/>
            <w:vAlign w:val="center"/>
            <w:hideMark/>
          </w:tcPr>
          <w:p w14:paraId="57B1B5D5" w14:textId="77777777" w:rsidR="00753A68" w:rsidRPr="00FC383C" w:rsidRDefault="00753A68" w:rsidP="00C47D68">
            <w:pPr>
              <w:spacing w:before="40" w:after="40" w:line="257" w:lineRule="auto"/>
              <w:ind w:right="502"/>
              <w:jc w:val="right"/>
              <w:rPr>
                <w:rFonts w:ascii="Arial" w:hAnsi="Arial" w:cs="Arial"/>
                <w:sz w:val="20"/>
                <w:szCs w:val="20"/>
                <w14:ligatures w14:val="standardContextual"/>
              </w:rPr>
            </w:pPr>
            <w:r w:rsidRPr="00C30E94">
              <w:rPr>
                <w:rFonts w:ascii="Arial" w:hAnsi="Arial" w:cs="Arial"/>
                <w:sz w:val="20"/>
                <w:szCs w:val="20"/>
              </w:rPr>
              <w:t>1</w:t>
            </w:r>
            <w:r>
              <w:rPr>
                <w:rFonts w:ascii="Arial" w:hAnsi="Arial" w:cs="Arial"/>
                <w:sz w:val="20"/>
                <w:szCs w:val="20"/>
              </w:rPr>
              <w:t>.</w:t>
            </w:r>
            <w:r w:rsidRPr="00C30E94">
              <w:rPr>
                <w:rFonts w:ascii="Arial" w:hAnsi="Arial" w:cs="Arial"/>
                <w:sz w:val="20"/>
                <w:szCs w:val="20"/>
              </w:rPr>
              <w:t>2</w:t>
            </w:r>
          </w:p>
        </w:tc>
        <w:tc>
          <w:tcPr>
            <w:tcW w:w="2394" w:type="dxa"/>
            <w:shd w:val="clear" w:color="auto" w:fill="auto"/>
            <w:noWrap/>
            <w:vAlign w:val="center"/>
            <w:hideMark/>
          </w:tcPr>
          <w:p w14:paraId="57999F78" w14:textId="77777777" w:rsidR="00753A68" w:rsidRPr="00FC383C" w:rsidRDefault="00753A68" w:rsidP="00C47D68">
            <w:pPr>
              <w:spacing w:before="40" w:after="40" w:line="257" w:lineRule="auto"/>
              <w:ind w:right="957"/>
              <w:jc w:val="right"/>
              <w:rPr>
                <w:rFonts w:ascii="Arial" w:hAnsi="Arial" w:cs="Arial"/>
                <w:sz w:val="20"/>
                <w:szCs w:val="20"/>
                <w14:ligatures w14:val="standardContextual"/>
              </w:rPr>
            </w:pPr>
            <w:r w:rsidRPr="00C30E94">
              <w:rPr>
                <w:rFonts w:ascii="Arial" w:hAnsi="Arial" w:cs="Arial"/>
                <w:sz w:val="20"/>
                <w:szCs w:val="20"/>
              </w:rPr>
              <w:t>0</w:t>
            </w:r>
            <w:r>
              <w:rPr>
                <w:rFonts w:ascii="Arial" w:hAnsi="Arial" w:cs="Arial"/>
                <w:sz w:val="20"/>
                <w:szCs w:val="20"/>
              </w:rPr>
              <w:t>.</w:t>
            </w:r>
            <w:r w:rsidRPr="00C30E94">
              <w:rPr>
                <w:rFonts w:ascii="Arial" w:hAnsi="Arial" w:cs="Arial"/>
                <w:sz w:val="20"/>
                <w:szCs w:val="20"/>
              </w:rPr>
              <w:t>5</w:t>
            </w:r>
          </w:p>
        </w:tc>
        <w:tc>
          <w:tcPr>
            <w:tcW w:w="1666" w:type="dxa"/>
            <w:shd w:val="clear" w:color="auto" w:fill="auto"/>
            <w:noWrap/>
            <w:vAlign w:val="center"/>
            <w:hideMark/>
          </w:tcPr>
          <w:p w14:paraId="3B87986F" w14:textId="77777777" w:rsidR="00753A68" w:rsidRPr="00C52A32" w:rsidRDefault="00753A68" w:rsidP="00C47D68">
            <w:pPr>
              <w:spacing w:before="40" w:after="40" w:line="257" w:lineRule="auto"/>
              <w:ind w:right="502"/>
              <w:jc w:val="right"/>
              <w:rPr>
                <w:rFonts w:ascii="Arial" w:hAnsi="Arial" w:cs="Arial"/>
                <w:sz w:val="20"/>
                <w:szCs w:val="20"/>
                <w14:ligatures w14:val="standardContextual"/>
              </w:rPr>
            </w:pPr>
            <w:r w:rsidRPr="00C30E94">
              <w:rPr>
                <w:rFonts w:ascii="Arial" w:hAnsi="Arial" w:cs="Arial"/>
                <w:sz w:val="20"/>
                <w:szCs w:val="20"/>
              </w:rPr>
              <w:t>4</w:t>
            </w:r>
            <w:r>
              <w:rPr>
                <w:rFonts w:ascii="Arial" w:hAnsi="Arial" w:cs="Arial"/>
                <w:sz w:val="20"/>
                <w:szCs w:val="20"/>
              </w:rPr>
              <w:t>.</w:t>
            </w:r>
            <w:r w:rsidRPr="00C30E94">
              <w:rPr>
                <w:rFonts w:ascii="Arial" w:hAnsi="Arial" w:cs="Arial"/>
                <w:sz w:val="20"/>
                <w:szCs w:val="20"/>
              </w:rPr>
              <w:t>9</w:t>
            </w:r>
          </w:p>
        </w:tc>
        <w:tc>
          <w:tcPr>
            <w:tcW w:w="1403" w:type="dxa"/>
            <w:shd w:val="clear" w:color="auto" w:fill="auto"/>
            <w:noWrap/>
            <w:vAlign w:val="center"/>
            <w:hideMark/>
          </w:tcPr>
          <w:p w14:paraId="5BEFABFF" w14:textId="77777777" w:rsidR="00753A68" w:rsidRPr="00C52A32" w:rsidRDefault="00753A68" w:rsidP="00C47D68">
            <w:pPr>
              <w:spacing w:before="40" w:after="40" w:line="257" w:lineRule="auto"/>
              <w:ind w:right="502"/>
              <w:jc w:val="right"/>
              <w:rPr>
                <w:rFonts w:ascii="Arial" w:hAnsi="Arial" w:cs="Arial"/>
                <w:sz w:val="20"/>
                <w:szCs w:val="20"/>
                <w14:ligatures w14:val="standardContextual"/>
              </w:rPr>
            </w:pPr>
            <w:r w:rsidRPr="00C30E94">
              <w:rPr>
                <w:rFonts w:ascii="Arial" w:hAnsi="Arial" w:cs="Arial"/>
                <w:sz w:val="20"/>
                <w:szCs w:val="20"/>
              </w:rPr>
              <w:t>7</w:t>
            </w:r>
            <w:r>
              <w:rPr>
                <w:rFonts w:ascii="Arial" w:hAnsi="Arial" w:cs="Arial"/>
                <w:sz w:val="20"/>
                <w:szCs w:val="20"/>
              </w:rPr>
              <w:t>.</w:t>
            </w:r>
            <w:r w:rsidRPr="00C30E94">
              <w:rPr>
                <w:rFonts w:ascii="Arial" w:hAnsi="Arial" w:cs="Arial"/>
                <w:sz w:val="20"/>
                <w:szCs w:val="20"/>
              </w:rPr>
              <w:t>3</w:t>
            </w:r>
          </w:p>
        </w:tc>
      </w:tr>
      <w:tr w:rsidR="00753A68" w:rsidRPr="00BB4D40" w14:paraId="13131E04" w14:textId="77777777" w:rsidTr="00C47D68">
        <w:trPr>
          <w:trHeight w:val="212"/>
          <w:jc w:val="center"/>
        </w:trPr>
        <w:tc>
          <w:tcPr>
            <w:tcW w:w="1887" w:type="dxa"/>
            <w:noWrap/>
            <w:vAlign w:val="center"/>
            <w:hideMark/>
          </w:tcPr>
          <w:p w14:paraId="4666EDC5" w14:textId="77777777" w:rsidR="00753A68" w:rsidRPr="00BB4D40" w:rsidRDefault="00753A68" w:rsidP="00C47D68">
            <w:pPr>
              <w:tabs>
                <w:tab w:val="left" w:pos="407"/>
              </w:tabs>
              <w:spacing w:before="40" w:after="40"/>
              <w:ind w:firstLine="142"/>
              <w:jc w:val="both"/>
              <w:rPr>
                <w:rFonts w:ascii="Arial" w:hAnsi="Arial" w:cs="Arial"/>
                <w:sz w:val="20"/>
                <w:szCs w:val="20"/>
                <w:lang w:eastAsia="vi-VN"/>
              </w:rPr>
            </w:pPr>
            <w:r w:rsidRPr="00BB4D40">
              <w:rPr>
                <w:rFonts w:ascii="Arial" w:hAnsi="Arial" w:cs="Arial"/>
                <w:sz w:val="20"/>
                <w:szCs w:val="20"/>
                <w:lang w:eastAsia="vi-VN"/>
              </w:rPr>
              <w:t>Sea way</w:t>
            </w:r>
          </w:p>
        </w:tc>
        <w:tc>
          <w:tcPr>
            <w:tcW w:w="1886" w:type="dxa"/>
            <w:shd w:val="clear" w:color="auto" w:fill="auto"/>
            <w:noWrap/>
            <w:vAlign w:val="center"/>
            <w:hideMark/>
          </w:tcPr>
          <w:p w14:paraId="75BC6A51" w14:textId="77777777" w:rsidR="00753A68" w:rsidRPr="00FC383C" w:rsidRDefault="00753A68" w:rsidP="00C47D68">
            <w:pPr>
              <w:spacing w:before="40" w:after="40" w:line="257" w:lineRule="auto"/>
              <w:ind w:right="502"/>
              <w:jc w:val="right"/>
              <w:rPr>
                <w:rFonts w:ascii="Arial" w:hAnsi="Arial" w:cs="Arial"/>
                <w:sz w:val="20"/>
                <w:szCs w:val="20"/>
                <w14:ligatures w14:val="standardContextual"/>
              </w:rPr>
            </w:pPr>
            <w:r w:rsidRPr="00C30E94">
              <w:rPr>
                <w:rFonts w:ascii="Arial" w:hAnsi="Arial" w:cs="Arial"/>
                <w:sz w:val="20"/>
                <w:szCs w:val="20"/>
              </w:rPr>
              <w:t>3</w:t>
            </w:r>
            <w:r>
              <w:rPr>
                <w:rFonts w:ascii="Arial" w:hAnsi="Arial" w:cs="Arial"/>
                <w:sz w:val="20"/>
                <w:szCs w:val="20"/>
              </w:rPr>
              <w:t>.</w:t>
            </w:r>
            <w:r w:rsidRPr="00C30E94">
              <w:rPr>
                <w:rFonts w:ascii="Arial" w:hAnsi="Arial" w:cs="Arial"/>
                <w:sz w:val="20"/>
                <w:szCs w:val="20"/>
              </w:rPr>
              <w:t>4</w:t>
            </w:r>
          </w:p>
        </w:tc>
        <w:tc>
          <w:tcPr>
            <w:tcW w:w="2394" w:type="dxa"/>
            <w:shd w:val="clear" w:color="auto" w:fill="auto"/>
            <w:noWrap/>
            <w:vAlign w:val="center"/>
            <w:hideMark/>
          </w:tcPr>
          <w:p w14:paraId="584797C4" w14:textId="77777777" w:rsidR="00753A68" w:rsidRPr="00FC383C" w:rsidRDefault="00753A68" w:rsidP="00C47D68">
            <w:pPr>
              <w:spacing w:before="40" w:after="40" w:line="257" w:lineRule="auto"/>
              <w:ind w:right="957"/>
              <w:jc w:val="right"/>
              <w:rPr>
                <w:rFonts w:ascii="Arial" w:hAnsi="Arial" w:cs="Arial"/>
                <w:sz w:val="20"/>
                <w:szCs w:val="20"/>
                <w14:ligatures w14:val="standardContextual"/>
              </w:rPr>
            </w:pPr>
            <w:r w:rsidRPr="00C30E94">
              <w:rPr>
                <w:rFonts w:ascii="Arial" w:hAnsi="Arial" w:cs="Arial"/>
                <w:sz w:val="20"/>
                <w:szCs w:val="20"/>
              </w:rPr>
              <w:t>0</w:t>
            </w:r>
            <w:r>
              <w:rPr>
                <w:rFonts w:ascii="Arial" w:hAnsi="Arial" w:cs="Arial"/>
                <w:sz w:val="20"/>
                <w:szCs w:val="20"/>
              </w:rPr>
              <w:t>.</w:t>
            </w:r>
            <w:r w:rsidRPr="00C30E94">
              <w:rPr>
                <w:rFonts w:ascii="Arial" w:hAnsi="Arial" w:cs="Arial"/>
                <w:sz w:val="20"/>
                <w:szCs w:val="20"/>
              </w:rPr>
              <w:t>2</w:t>
            </w:r>
          </w:p>
        </w:tc>
        <w:tc>
          <w:tcPr>
            <w:tcW w:w="1666" w:type="dxa"/>
            <w:shd w:val="clear" w:color="auto" w:fill="auto"/>
            <w:noWrap/>
            <w:vAlign w:val="center"/>
            <w:hideMark/>
          </w:tcPr>
          <w:p w14:paraId="4D961B3C" w14:textId="77777777" w:rsidR="00753A68" w:rsidRPr="00C52A32" w:rsidRDefault="00753A68" w:rsidP="00C47D68">
            <w:pPr>
              <w:spacing w:before="40" w:after="40" w:line="257" w:lineRule="auto"/>
              <w:ind w:right="502"/>
              <w:jc w:val="right"/>
              <w:rPr>
                <w:rFonts w:ascii="Arial" w:hAnsi="Arial" w:cs="Arial"/>
                <w:sz w:val="20"/>
                <w:szCs w:val="20"/>
                <w14:ligatures w14:val="standardContextual"/>
              </w:rPr>
            </w:pPr>
            <w:r w:rsidRPr="00C30E94">
              <w:rPr>
                <w:rFonts w:ascii="Arial" w:hAnsi="Arial" w:cs="Arial"/>
                <w:sz w:val="20"/>
                <w:szCs w:val="20"/>
              </w:rPr>
              <w:t>-6</w:t>
            </w:r>
            <w:r>
              <w:rPr>
                <w:rFonts w:ascii="Arial" w:hAnsi="Arial" w:cs="Arial"/>
                <w:sz w:val="20"/>
                <w:szCs w:val="20"/>
              </w:rPr>
              <w:t>.</w:t>
            </w:r>
            <w:r w:rsidRPr="00C30E94">
              <w:rPr>
                <w:rFonts w:ascii="Arial" w:hAnsi="Arial" w:cs="Arial"/>
                <w:sz w:val="20"/>
                <w:szCs w:val="20"/>
              </w:rPr>
              <w:t>4</w:t>
            </w:r>
          </w:p>
        </w:tc>
        <w:tc>
          <w:tcPr>
            <w:tcW w:w="1403" w:type="dxa"/>
            <w:shd w:val="clear" w:color="auto" w:fill="auto"/>
            <w:noWrap/>
            <w:vAlign w:val="center"/>
            <w:hideMark/>
          </w:tcPr>
          <w:p w14:paraId="129FAF41" w14:textId="77777777" w:rsidR="00753A68" w:rsidRPr="00C52A32" w:rsidRDefault="00753A68" w:rsidP="00C47D68">
            <w:pPr>
              <w:spacing w:before="40" w:after="40" w:line="257" w:lineRule="auto"/>
              <w:ind w:right="502"/>
              <w:jc w:val="right"/>
              <w:rPr>
                <w:rFonts w:ascii="Arial" w:hAnsi="Arial" w:cs="Arial"/>
                <w:sz w:val="20"/>
                <w:szCs w:val="20"/>
                <w14:ligatures w14:val="standardContextual"/>
              </w:rPr>
            </w:pPr>
            <w:r w:rsidRPr="00C30E94">
              <w:rPr>
                <w:rFonts w:ascii="Arial" w:hAnsi="Arial" w:cs="Arial"/>
                <w:sz w:val="20"/>
                <w:szCs w:val="20"/>
              </w:rPr>
              <w:t>-12</w:t>
            </w:r>
            <w:r>
              <w:rPr>
                <w:rFonts w:ascii="Arial" w:hAnsi="Arial" w:cs="Arial"/>
                <w:sz w:val="20"/>
                <w:szCs w:val="20"/>
              </w:rPr>
              <w:t>.</w:t>
            </w:r>
            <w:r w:rsidRPr="00C30E94">
              <w:rPr>
                <w:rFonts w:ascii="Arial" w:hAnsi="Arial" w:cs="Arial"/>
                <w:sz w:val="20"/>
                <w:szCs w:val="20"/>
              </w:rPr>
              <w:t>7</w:t>
            </w:r>
          </w:p>
        </w:tc>
      </w:tr>
      <w:tr w:rsidR="00753A68" w:rsidRPr="00BB4D40" w14:paraId="4A02B3CE" w14:textId="77777777" w:rsidTr="00C47D68">
        <w:trPr>
          <w:trHeight w:val="212"/>
          <w:jc w:val="center"/>
        </w:trPr>
        <w:tc>
          <w:tcPr>
            <w:tcW w:w="1887" w:type="dxa"/>
            <w:noWrap/>
            <w:vAlign w:val="center"/>
            <w:hideMark/>
          </w:tcPr>
          <w:p w14:paraId="5F734B47" w14:textId="77777777" w:rsidR="00753A68" w:rsidRPr="00BB4D40" w:rsidRDefault="00753A68" w:rsidP="00C47D68">
            <w:pPr>
              <w:tabs>
                <w:tab w:val="left" w:pos="407"/>
              </w:tabs>
              <w:spacing w:before="40" w:after="40"/>
              <w:ind w:firstLine="142"/>
              <w:jc w:val="both"/>
              <w:rPr>
                <w:rFonts w:ascii="Arial" w:hAnsi="Arial" w:cs="Arial"/>
                <w:sz w:val="20"/>
                <w:szCs w:val="20"/>
                <w:lang w:eastAsia="vi-VN"/>
              </w:rPr>
            </w:pPr>
            <w:r w:rsidRPr="00BB4D40">
              <w:rPr>
                <w:rFonts w:ascii="Arial" w:hAnsi="Arial" w:cs="Arial"/>
                <w:sz w:val="20"/>
                <w:szCs w:val="20"/>
                <w:lang w:eastAsia="vi-VN"/>
              </w:rPr>
              <w:t>Inland water way</w:t>
            </w:r>
          </w:p>
        </w:tc>
        <w:tc>
          <w:tcPr>
            <w:tcW w:w="1886" w:type="dxa"/>
            <w:shd w:val="clear" w:color="auto" w:fill="auto"/>
            <w:noWrap/>
            <w:vAlign w:val="center"/>
            <w:hideMark/>
          </w:tcPr>
          <w:p w14:paraId="651BDC1A" w14:textId="77777777" w:rsidR="00753A68" w:rsidRPr="00FC383C" w:rsidRDefault="00753A68" w:rsidP="00C47D68">
            <w:pPr>
              <w:spacing w:before="40" w:after="40" w:line="257" w:lineRule="auto"/>
              <w:ind w:right="502"/>
              <w:jc w:val="right"/>
              <w:rPr>
                <w:rFonts w:ascii="Arial" w:hAnsi="Arial" w:cs="Arial"/>
                <w:sz w:val="20"/>
                <w:szCs w:val="20"/>
                <w14:ligatures w14:val="standardContextual"/>
              </w:rPr>
            </w:pPr>
            <w:r w:rsidRPr="00C30E94">
              <w:rPr>
                <w:rFonts w:ascii="Arial" w:hAnsi="Arial" w:cs="Arial"/>
                <w:sz w:val="20"/>
                <w:szCs w:val="20"/>
              </w:rPr>
              <w:t>85</w:t>
            </w:r>
            <w:r>
              <w:rPr>
                <w:rFonts w:ascii="Arial" w:hAnsi="Arial" w:cs="Arial"/>
                <w:sz w:val="20"/>
                <w:szCs w:val="20"/>
              </w:rPr>
              <w:t>.</w:t>
            </w:r>
            <w:r w:rsidRPr="00C30E94">
              <w:rPr>
                <w:rFonts w:ascii="Arial" w:hAnsi="Arial" w:cs="Arial"/>
                <w:sz w:val="20"/>
                <w:szCs w:val="20"/>
              </w:rPr>
              <w:t>5</w:t>
            </w:r>
          </w:p>
        </w:tc>
        <w:tc>
          <w:tcPr>
            <w:tcW w:w="2394" w:type="dxa"/>
            <w:shd w:val="clear" w:color="auto" w:fill="auto"/>
            <w:noWrap/>
            <w:vAlign w:val="center"/>
            <w:hideMark/>
          </w:tcPr>
          <w:p w14:paraId="78D7AE34" w14:textId="77777777" w:rsidR="00753A68" w:rsidRPr="00FC383C" w:rsidRDefault="00753A68" w:rsidP="00C47D68">
            <w:pPr>
              <w:spacing w:before="40" w:after="40" w:line="257" w:lineRule="auto"/>
              <w:ind w:right="957"/>
              <w:jc w:val="right"/>
              <w:rPr>
                <w:rFonts w:ascii="Arial" w:hAnsi="Arial" w:cs="Arial"/>
                <w:sz w:val="20"/>
                <w:szCs w:val="20"/>
                <w14:ligatures w14:val="standardContextual"/>
              </w:rPr>
            </w:pPr>
            <w:r w:rsidRPr="00C30E94">
              <w:rPr>
                <w:rFonts w:ascii="Arial" w:hAnsi="Arial" w:cs="Arial"/>
                <w:sz w:val="20"/>
                <w:szCs w:val="20"/>
              </w:rPr>
              <w:t>1</w:t>
            </w:r>
            <w:r>
              <w:rPr>
                <w:rFonts w:ascii="Arial" w:hAnsi="Arial" w:cs="Arial"/>
                <w:sz w:val="20"/>
                <w:szCs w:val="20"/>
              </w:rPr>
              <w:t>.</w:t>
            </w:r>
            <w:r w:rsidRPr="00C30E94">
              <w:rPr>
                <w:rFonts w:ascii="Arial" w:hAnsi="Arial" w:cs="Arial"/>
                <w:sz w:val="20"/>
                <w:szCs w:val="20"/>
              </w:rPr>
              <w:t>4</w:t>
            </w:r>
          </w:p>
        </w:tc>
        <w:tc>
          <w:tcPr>
            <w:tcW w:w="1666" w:type="dxa"/>
            <w:shd w:val="clear" w:color="auto" w:fill="auto"/>
            <w:noWrap/>
            <w:vAlign w:val="center"/>
            <w:hideMark/>
          </w:tcPr>
          <w:p w14:paraId="0542FC27" w14:textId="77777777" w:rsidR="00753A68" w:rsidRPr="00C52A32" w:rsidRDefault="00753A68" w:rsidP="00C47D68">
            <w:pPr>
              <w:spacing w:before="40" w:after="40" w:line="257" w:lineRule="auto"/>
              <w:ind w:right="502"/>
              <w:jc w:val="right"/>
              <w:rPr>
                <w:rFonts w:ascii="Arial" w:hAnsi="Arial" w:cs="Arial"/>
                <w:sz w:val="20"/>
                <w:szCs w:val="20"/>
                <w14:ligatures w14:val="standardContextual"/>
              </w:rPr>
            </w:pPr>
            <w:r w:rsidRPr="00C30E94">
              <w:rPr>
                <w:rFonts w:ascii="Arial" w:hAnsi="Arial" w:cs="Arial"/>
                <w:sz w:val="20"/>
                <w:szCs w:val="20"/>
              </w:rPr>
              <w:t>28</w:t>
            </w:r>
            <w:r>
              <w:rPr>
                <w:rFonts w:ascii="Arial" w:hAnsi="Arial" w:cs="Arial"/>
                <w:sz w:val="20"/>
                <w:szCs w:val="20"/>
              </w:rPr>
              <w:t>.</w:t>
            </w:r>
            <w:r w:rsidRPr="00C30E94">
              <w:rPr>
                <w:rFonts w:ascii="Arial" w:hAnsi="Arial" w:cs="Arial"/>
                <w:sz w:val="20"/>
                <w:szCs w:val="20"/>
              </w:rPr>
              <w:t>7</w:t>
            </w:r>
          </w:p>
        </w:tc>
        <w:tc>
          <w:tcPr>
            <w:tcW w:w="1403" w:type="dxa"/>
            <w:shd w:val="clear" w:color="auto" w:fill="auto"/>
            <w:noWrap/>
            <w:vAlign w:val="center"/>
            <w:hideMark/>
          </w:tcPr>
          <w:p w14:paraId="75D01000" w14:textId="77777777" w:rsidR="00753A68" w:rsidRPr="00C52A32" w:rsidRDefault="00753A68" w:rsidP="00C47D68">
            <w:pPr>
              <w:spacing w:before="40" w:after="40" w:line="257" w:lineRule="auto"/>
              <w:ind w:right="502"/>
              <w:jc w:val="right"/>
              <w:rPr>
                <w:rFonts w:ascii="Arial" w:hAnsi="Arial" w:cs="Arial"/>
                <w:sz w:val="20"/>
                <w:szCs w:val="20"/>
                <w14:ligatures w14:val="standardContextual"/>
              </w:rPr>
            </w:pPr>
            <w:r w:rsidRPr="00C30E94">
              <w:rPr>
                <w:rFonts w:ascii="Arial" w:hAnsi="Arial" w:cs="Arial"/>
                <w:sz w:val="20"/>
                <w:szCs w:val="20"/>
              </w:rPr>
              <w:t>22</w:t>
            </w:r>
            <w:r>
              <w:rPr>
                <w:rFonts w:ascii="Arial" w:hAnsi="Arial" w:cs="Arial"/>
                <w:sz w:val="20"/>
                <w:szCs w:val="20"/>
              </w:rPr>
              <w:t>.</w:t>
            </w:r>
            <w:r w:rsidRPr="00C30E94">
              <w:rPr>
                <w:rFonts w:ascii="Arial" w:hAnsi="Arial" w:cs="Arial"/>
                <w:sz w:val="20"/>
                <w:szCs w:val="20"/>
              </w:rPr>
              <w:t>1</w:t>
            </w:r>
          </w:p>
        </w:tc>
      </w:tr>
      <w:tr w:rsidR="00753A68" w:rsidRPr="00BB4D40" w14:paraId="128F22CA" w14:textId="77777777" w:rsidTr="00C47D68">
        <w:trPr>
          <w:trHeight w:val="212"/>
          <w:jc w:val="center"/>
        </w:trPr>
        <w:tc>
          <w:tcPr>
            <w:tcW w:w="1887" w:type="dxa"/>
            <w:tcBorders>
              <w:bottom w:val="nil"/>
            </w:tcBorders>
            <w:noWrap/>
            <w:vAlign w:val="center"/>
            <w:hideMark/>
          </w:tcPr>
          <w:p w14:paraId="64B8BD93" w14:textId="77777777" w:rsidR="00753A68" w:rsidRPr="00BB4D40" w:rsidRDefault="00753A68" w:rsidP="00C47D68">
            <w:pPr>
              <w:tabs>
                <w:tab w:val="left" w:pos="407"/>
              </w:tabs>
              <w:spacing w:before="40" w:after="40"/>
              <w:ind w:firstLine="142"/>
              <w:jc w:val="both"/>
              <w:rPr>
                <w:rFonts w:ascii="Arial" w:hAnsi="Arial" w:cs="Arial"/>
                <w:sz w:val="20"/>
                <w:szCs w:val="20"/>
                <w:lang w:eastAsia="vi-VN"/>
              </w:rPr>
            </w:pPr>
            <w:r w:rsidRPr="00BB4D40">
              <w:rPr>
                <w:rFonts w:ascii="Arial" w:hAnsi="Arial" w:cs="Arial"/>
                <w:sz w:val="20"/>
                <w:szCs w:val="20"/>
                <w:lang w:eastAsia="vi-VN"/>
              </w:rPr>
              <w:t>Road</w:t>
            </w:r>
          </w:p>
        </w:tc>
        <w:tc>
          <w:tcPr>
            <w:tcW w:w="1886" w:type="dxa"/>
            <w:tcBorders>
              <w:bottom w:val="nil"/>
            </w:tcBorders>
            <w:shd w:val="clear" w:color="auto" w:fill="auto"/>
            <w:noWrap/>
            <w:vAlign w:val="center"/>
            <w:hideMark/>
          </w:tcPr>
          <w:p w14:paraId="1E4DA525" w14:textId="77777777" w:rsidR="00753A68" w:rsidRPr="00FC383C" w:rsidRDefault="00753A68" w:rsidP="00C47D68">
            <w:pPr>
              <w:spacing w:before="40" w:after="40" w:line="257" w:lineRule="auto"/>
              <w:ind w:right="502"/>
              <w:jc w:val="right"/>
              <w:rPr>
                <w:rFonts w:ascii="Arial" w:hAnsi="Arial" w:cs="Arial"/>
                <w:sz w:val="20"/>
                <w:szCs w:val="20"/>
                <w14:ligatures w14:val="standardContextual"/>
              </w:rPr>
            </w:pPr>
            <w:r w:rsidRPr="00C30E94">
              <w:rPr>
                <w:rFonts w:ascii="Arial" w:hAnsi="Arial" w:cs="Arial"/>
                <w:sz w:val="20"/>
                <w:szCs w:val="20"/>
              </w:rPr>
              <w:t>812</w:t>
            </w:r>
            <w:r>
              <w:rPr>
                <w:rFonts w:ascii="Arial" w:hAnsi="Arial" w:cs="Arial"/>
                <w:sz w:val="20"/>
                <w:szCs w:val="20"/>
              </w:rPr>
              <w:t>.</w:t>
            </w:r>
            <w:r w:rsidRPr="00C30E94">
              <w:rPr>
                <w:rFonts w:ascii="Arial" w:hAnsi="Arial" w:cs="Arial"/>
                <w:sz w:val="20"/>
                <w:szCs w:val="20"/>
              </w:rPr>
              <w:t>8</w:t>
            </w:r>
          </w:p>
        </w:tc>
        <w:tc>
          <w:tcPr>
            <w:tcW w:w="2394" w:type="dxa"/>
            <w:tcBorders>
              <w:bottom w:val="nil"/>
            </w:tcBorders>
            <w:shd w:val="clear" w:color="auto" w:fill="auto"/>
            <w:noWrap/>
            <w:vAlign w:val="center"/>
            <w:hideMark/>
          </w:tcPr>
          <w:p w14:paraId="23C52FC5" w14:textId="77777777" w:rsidR="00753A68" w:rsidRPr="00FC383C" w:rsidRDefault="00753A68" w:rsidP="00C47D68">
            <w:pPr>
              <w:spacing w:before="40" w:after="40" w:line="257" w:lineRule="auto"/>
              <w:ind w:right="957"/>
              <w:jc w:val="right"/>
              <w:rPr>
                <w:rFonts w:ascii="Arial" w:hAnsi="Arial" w:cs="Arial"/>
                <w:sz w:val="20"/>
                <w:szCs w:val="20"/>
                <w14:ligatures w14:val="standardContextual"/>
              </w:rPr>
            </w:pPr>
            <w:r w:rsidRPr="00C30E94">
              <w:rPr>
                <w:rFonts w:ascii="Arial" w:hAnsi="Arial" w:cs="Arial"/>
                <w:sz w:val="20"/>
                <w:szCs w:val="20"/>
              </w:rPr>
              <w:t>33</w:t>
            </w:r>
            <w:r>
              <w:rPr>
                <w:rFonts w:ascii="Arial" w:hAnsi="Arial" w:cs="Arial"/>
                <w:sz w:val="20"/>
                <w:szCs w:val="20"/>
              </w:rPr>
              <w:t>.</w:t>
            </w:r>
            <w:r w:rsidRPr="00C30E94">
              <w:rPr>
                <w:rFonts w:ascii="Arial" w:hAnsi="Arial" w:cs="Arial"/>
                <w:sz w:val="20"/>
                <w:szCs w:val="20"/>
              </w:rPr>
              <w:t>4</w:t>
            </w:r>
          </w:p>
        </w:tc>
        <w:tc>
          <w:tcPr>
            <w:tcW w:w="1666" w:type="dxa"/>
            <w:tcBorders>
              <w:bottom w:val="nil"/>
            </w:tcBorders>
            <w:shd w:val="clear" w:color="auto" w:fill="auto"/>
            <w:noWrap/>
            <w:vAlign w:val="center"/>
            <w:hideMark/>
          </w:tcPr>
          <w:p w14:paraId="5EC65C4D" w14:textId="77777777" w:rsidR="00753A68" w:rsidRPr="00C52A32" w:rsidRDefault="00753A68" w:rsidP="00C47D68">
            <w:pPr>
              <w:spacing w:before="40" w:after="40" w:line="257" w:lineRule="auto"/>
              <w:ind w:right="502"/>
              <w:jc w:val="right"/>
              <w:rPr>
                <w:rFonts w:ascii="Arial" w:hAnsi="Arial" w:cs="Arial"/>
                <w:sz w:val="20"/>
                <w:szCs w:val="20"/>
                <w14:ligatures w14:val="standardContextual"/>
              </w:rPr>
            </w:pPr>
            <w:r w:rsidRPr="00C30E94">
              <w:rPr>
                <w:rFonts w:ascii="Arial" w:hAnsi="Arial" w:cs="Arial"/>
                <w:sz w:val="20"/>
                <w:szCs w:val="20"/>
              </w:rPr>
              <w:t>12</w:t>
            </w:r>
            <w:r>
              <w:rPr>
                <w:rFonts w:ascii="Arial" w:hAnsi="Arial" w:cs="Arial"/>
                <w:sz w:val="20"/>
                <w:szCs w:val="20"/>
              </w:rPr>
              <w:t>.</w:t>
            </w:r>
            <w:r w:rsidRPr="00C30E94">
              <w:rPr>
                <w:rFonts w:ascii="Arial" w:hAnsi="Arial" w:cs="Arial"/>
                <w:sz w:val="20"/>
                <w:szCs w:val="20"/>
              </w:rPr>
              <w:t>6</w:t>
            </w:r>
          </w:p>
        </w:tc>
        <w:tc>
          <w:tcPr>
            <w:tcW w:w="1403" w:type="dxa"/>
            <w:tcBorders>
              <w:bottom w:val="nil"/>
            </w:tcBorders>
            <w:shd w:val="clear" w:color="auto" w:fill="auto"/>
            <w:noWrap/>
            <w:vAlign w:val="center"/>
            <w:hideMark/>
          </w:tcPr>
          <w:p w14:paraId="7ACFD79A" w14:textId="77777777" w:rsidR="00753A68" w:rsidRPr="00C52A32" w:rsidRDefault="00753A68" w:rsidP="00C47D68">
            <w:pPr>
              <w:spacing w:before="40" w:after="40" w:line="257" w:lineRule="auto"/>
              <w:ind w:right="502"/>
              <w:jc w:val="right"/>
              <w:rPr>
                <w:rFonts w:ascii="Arial" w:hAnsi="Arial" w:cs="Arial"/>
                <w:sz w:val="20"/>
                <w:szCs w:val="20"/>
                <w14:ligatures w14:val="standardContextual"/>
              </w:rPr>
            </w:pPr>
            <w:r w:rsidRPr="00C30E94">
              <w:rPr>
                <w:rFonts w:ascii="Arial" w:hAnsi="Arial" w:cs="Arial"/>
                <w:sz w:val="20"/>
                <w:szCs w:val="20"/>
              </w:rPr>
              <w:t>18</w:t>
            </w:r>
            <w:r>
              <w:rPr>
                <w:rFonts w:ascii="Arial" w:hAnsi="Arial" w:cs="Arial"/>
                <w:sz w:val="20"/>
                <w:szCs w:val="20"/>
              </w:rPr>
              <w:t>.</w:t>
            </w:r>
            <w:r w:rsidRPr="00C30E94">
              <w:rPr>
                <w:rFonts w:ascii="Arial" w:hAnsi="Arial" w:cs="Arial"/>
                <w:sz w:val="20"/>
                <w:szCs w:val="20"/>
              </w:rPr>
              <w:t>3</w:t>
            </w:r>
          </w:p>
        </w:tc>
      </w:tr>
      <w:tr w:rsidR="00753A68" w:rsidRPr="00BB4D40" w14:paraId="4391790C" w14:textId="77777777" w:rsidTr="00C47D68">
        <w:trPr>
          <w:trHeight w:val="245"/>
          <w:jc w:val="center"/>
        </w:trPr>
        <w:tc>
          <w:tcPr>
            <w:tcW w:w="1887" w:type="dxa"/>
            <w:tcBorders>
              <w:top w:val="nil"/>
              <w:bottom w:val="single" w:sz="4" w:space="0" w:color="auto"/>
            </w:tcBorders>
            <w:noWrap/>
            <w:vAlign w:val="center"/>
            <w:hideMark/>
          </w:tcPr>
          <w:p w14:paraId="18364BF8" w14:textId="77777777" w:rsidR="00753A68" w:rsidRPr="00BB4D40" w:rsidRDefault="00753A68" w:rsidP="00C47D68">
            <w:pPr>
              <w:tabs>
                <w:tab w:val="left" w:pos="407"/>
              </w:tabs>
              <w:spacing w:before="40" w:after="40"/>
              <w:ind w:firstLine="142"/>
              <w:jc w:val="both"/>
              <w:rPr>
                <w:rFonts w:ascii="Arial" w:hAnsi="Arial" w:cs="Arial"/>
                <w:sz w:val="20"/>
                <w:szCs w:val="20"/>
                <w:lang w:eastAsia="vi-VN"/>
              </w:rPr>
            </w:pPr>
            <w:r w:rsidRPr="00BB4D40">
              <w:rPr>
                <w:rFonts w:ascii="Arial" w:hAnsi="Arial" w:cs="Arial"/>
                <w:sz w:val="20"/>
                <w:szCs w:val="20"/>
                <w:lang w:eastAsia="vi-VN"/>
              </w:rPr>
              <w:t xml:space="preserve">Airway </w:t>
            </w:r>
          </w:p>
        </w:tc>
        <w:tc>
          <w:tcPr>
            <w:tcW w:w="1886" w:type="dxa"/>
            <w:tcBorders>
              <w:top w:val="nil"/>
              <w:bottom w:val="single" w:sz="4" w:space="0" w:color="auto"/>
            </w:tcBorders>
            <w:shd w:val="clear" w:color="auto" w:fill="auto"/>
            <w:noWrap/>
            <w:vAlign w:val="center"/>
            <w:hideMark/>
          </w:tcPr>
          <w:p w14:paraId="760D1F7D" w14:textId="77777777" w:rsidR="00753A68" w:rsidRPr="00FC383C" w:rsidRDefault="00753A68" w:rsidP="00C47D68">
            <w:pPr>
              <w:spacing w:before="40" w:after="40" w:line="257" w:lineRule="auto"/>
              <w:ind w:right="502"/>
              <w:jc w:val="right"/>
              <w:rPr>
                <w:rFonts w:ascii="Arial" w:hAnsi="Arial" w:cs="Arial"/>
                <w:sz w:val="20"/>
                <w:szCs w:val="20"/>
                <w14:ligatures w14:val="standardContextual"/>
              </w:rPr>
            </w:pPr>
            <w:r w:rsidRPr="00C30E94">
              <w:rPr>
                <w:rFonts w:ascii="Arial" w:hAnsi="Arial" w:cs="Arial"/>
                <w:sz w:val="20"/>
                <w:szCs w:val="20"/>
              </w:rPr>
              <w:t>9</w:t>
            </w:r>
            <w:r>
              <w:rPr>
                <w:rFonts w:ascii="Arial" w:hAnsi="Arial" w:cs="Arial"/>
                <w:sz w:val="20"/>
                <w:szCs w:val="20"/>
              </w:rPr>
              <w:t>.</w:t>
            </w:r>
            <w:r w:rsidRPr="00C30E94">
              <w:rPr>
                <w:rFonts w:ascii="Arial" w:hAnsi="Arial" w:cs="Arial"/>
                <w:sz w:val="20"/>
                <w:szCs w:val="20"/>
              </w:rPr>
              <w:t>5</w:t>
            </w:r>
          </w:p>
        </w:tc>
        <w:tc>
          <w:tcPr>
            <w:tcW w:w="2394" w:type="dxa"/>
            <w:tcBorders>
              <w:top w:val="nil"/>
              <w:bottom w:val="single" w:sz="4" w:space="0" w:color="auto"/>
            </w:tcBorders>
            <w:shd w:val="clear" w:color="auto" w:fill="auto"/>
            <w:noWrap/>
            <w:vAlign w:val="center"/>
            <w:hideMark/>
          </w:tcPr>
          <w:p w14:paraId="707DF9AA" w14:textId="77777777" w:rsidR="00753A68" w:rsidRPr="00FC383C" w:rsidRDefault="00753A68" w:rsidP="00C47D68">
            <w:pPr>
              <w:spacing w:before="40" w:after="40" w:line="257" w:lineRule="auto"/>
              <w:ind w:right="957"/>
              <w:jc w:val="right"/>
              <w:rPr>
                <w:rFonts w:ascii="Arial" w:hAnsi="Arial" w:cs="Arial"/>
                <w:sz w:val="20"/>
                <w:szCs w:val="20"/>
                <w14:ligatures w14:val="standardContextual"/>
              </w:rPr>
            </w:pPr>
            <w:r w:rsidRPr="00C30E94">
              <w:rPr>
                <w:rFonts w:ascii="Arial" w:hAnsi="Arial" w:cs="Arial"/>
                <w:sz w:val="20"/>
                <w:szCs w:val="20"/>
              </w:rPr>
              <w:t>16</w:t>
            </w:r>
            <w:r>
              <w:rPr>
                <w:rFonts w:ascii="Arial" w:hAnsi="Arial" w:cs="Arial"/>
                <w:sz w:val="20"/>
                <w:szCs w:val="20"/>
              </w:rPr>
              <w:t>.</w:t>
            </w:r>
            <w:r w:rsidRPr="00C30E94">
              <w:rPr>
                <w:rFonts w:ascii="Arial" w:hAnsi="Arial" w:cs="Arial"/>
                <w:sz w:val="20"/>
                <w:szCs w:val="20"/>
              </w:rPr>
              <w:t>6</w:t>
            </w:r>
          </w:p>
        </w:tc>
        <w:tc>
          <w:tcPr>
            <w:tcW w:w="1666" w:type="dxa"/>
            <w:tcBorders>
              <w:top w:val="nil"/>
              <w:bottom w:val="single" w:sz="4" w:space="0" w:color="auto"/>
            </w:tcBorders>
            <w:shd w:val="clear" w:color="auto" w:fill="auto"/>
            <w:noWrap/>
            <w:vAlign w:val="center"/>
            <w:hideMark/>
          </w:tcPr>
          <w:p w14:paraId="2BDFE752" w14:textId="77777777" w:rsidR="00753A68" w:rsidRPr="00C52A32" w:rsidRDefault="00753A68" w:rsidP="00C47D68">
            <w:pPr>
              <w:spacing w:before="40" w:after="40" w:line="257" w:lineRule="auto"/>
              <w:ind w:right="502"/>
              <w:jc w:val="right"/>
              <w:rPr>
                <w:rFonts w:ascii="Arial" w:hAnsi="Arial" w:cs="Arial"/>
                <w:sz w:val="20"/>
                <w:szCs w:val="20"/>
                <w14:ligatures w14:val="standardContextual"/>
              </w:rPr>
            </w:pPr>
            <w:r w:rsidRPr="00C30E94">
              <w:rPr>
                <w:rFonts w:ascii="Arial" w:hAnsi="Arial" w:cs="Arial"/>
                <w:sz w:val="20"/>
                <w:szCs w:val="20"/>
              </w:rPr>
              <w:t>9</w:t>
            </w:r>
            <w:r>
              <w:rPr>
                <w:rFonts w:ascii="Arial" w:hAnsi="Arial" w:cs="Arial"/>
                <w:sz w:val="20"/>
                <w:szCs w:val="20"/>
              </w:rPr>
              <w:t>.</w:t>
            </w:r>
            <w:r w:rsidRPr="00C30E94">
              <w:rPr>
                <w:rFonts w:ascii="Arial" w:hAnsi="Arial" w:cs="Arial"/>
                <w:sz w:val="20"/>
                <w:szCs w:val="20"/>
              </w:rPr>
              <w:t>5</w:t>
            </w:r>
          </w:p>
        </w:tc>
        <w:tc>
          <w:tcPr>
            <w:tcW w:w="1403" w:type="dxa"/>
            <w:tcBorders>
              <w:top w:val="nil"/>
              <w:bottom w:val="single" w:sz="4" w:space="0" w:color="auto"/>
            </w:tcBorders>
            <w:shd w:val="clear" w:color="auto" w:fill="auto"/>
            <w:noWrap/>
            <w:vAlign w:val="center"/>
            <w:hideMark/>
          </w:tcPr>
          <w:p w14:paraId="47B9F24E" w14:textId="77777777" w:rsidR="00753A68" w:rsidRPr="00C52A32" w:rsidRDefault="00753A68" w:rsidP="00C47D68">
            <w:pPr>
              <w:spacing w:before="40" w:after="40" w:line="257" w:lineRule="auto"/>
              <w:ind w:right="502"/>
              <w:jc w:val="right"/>
              <w:rPr>
                <w:rFonts w:ascii="Arial" w:hAnsi="Arial" w:cs="Arial"/>
                <w:sz w:val="20"/>
                <w:szCs w:val="20"/>
                <w14:ligatures w14:val="standardContextual"/>
              </w:rPr>
            </w:pPr>
            <w:r w:rsidRPr="00C30E94">
              <w:rPr>
                <w:rFonts w:ascii="Arial" w:hAnsi="Arial" w:cs="Arial"/>
                <w:sz w:val="20"/>
                <w:szCs w:val="20"/>
              </w:rPr>
              <w:t>12</w:t>
            </w:r>
            <w:r>
              <w:rPr>
                <w:rFonts w:ascii="Arial" w:hAnsi="Arial" w:cs="Arial"/>
                <w:sz w:val="20"/>
                <w:szCs w:val="20"/>
              </w:rPr>
              <w:t>.</w:t>
            </w:r>
            <w:r w:rsidRPr="00C30E94">
              <w:rPr>
                <w:rFonts w:ascii="Arial" w:hAnsi="Arial" w:cs="Arial"/>
                <w:sz w:val="20"/>
                <w:szCs w:val="20"/>
              </w:rPr>
              <w:t>4</w:t>
            </w:r>
          </w:p>
        </w:tc>
      </w:tr>
    </w:tbl>
    <w:p w14:paraId="3EDD8B9D" w14:textId="77777777" w:rsidR="00753A68" w:rsidRPr="00BB4D40" w:rsidRDefault="00753A68" w:rsidP="00753A68">
      <w:pPr>
        <w:spacing w:beforeLines="40" w:before="96" w:afterLines="40" w:after="96" w:line="264" w:lineRule="auto"/>
        <w:ind w:firstLine="142"/>
        <w:jc w:val="both"/>
        <w:rPr>
          <w:bCs/>
          <w:i/>
          <w:iCs/>
          <w:sz w:val="8"/>
          <w:lang w:val="fr-FR"/>
        </w:rPr>
      </w:pPr>
    </w:p>
    <w:p w14:paraId="5441E019" w14:textId="77777777" w:rsidR="00753A68" w:rsidRPr="00BB4D40" w:rsidRDefault="00753A68" w:rsidP="00753A68">
      <w:pPr>
        <w:spacing w:beforeLines="40" w:before="96" w:afterLines="40" w:after="96" w:line="293" w:lineRule="auto"/>
        <w:ind w:firstLine="567"/>
        <w:jc w:val="both"/>
        <w:rPr>
          <w:color w:val="000000" w:themeColor="text1"/>
        </w:rPr>
      </w:pPr>
      <w:r w:rsidRPr="00BB4D40">
        <w:rPr>
          <w:i/>
          <w:lang w:val="pl-PL"/>
        </w:rPr>
        <w:t>Freight transport</w:t>
      </w:r>
      <w:r w:rsidRPr="00BB4D40">
        <w:rPr>
          <w:lang w:val="pl-PL"/>
        </w:rPr>
        <w:t xml:space="preserve"> in </w:t>
      </w:r>
      <w:r>
        <w:rPr>
          <w:lang w:val="pl-PL"/>
        </w:rPr>
        <w:t>02/2025</w:t>
      </w:r>
      <w:r w:rsidRPr="00BB4D40">
        <w:rPr>
          <w:lang w:val="pl-PL"/>
        </w:rPr>
        <w:t xml:space="preserve"> was estimated at </w:t>
      </w:r>
      <w:r>
        <w:t>234.2</w:t>
      </w:r>
      <w:r w:rsidRPr="00870842">
        <w:t xml:space="preserve"> </w:t>
      </w:r>
      <w:r w:rsidRPr="00BB4D40">
        <w:rPr>
          <w:lang w:val="pl-PL"/>
        </w:rPr>
        <w:t xml:space="preserve">million tons of </w:t>
      </w:r>
      <w:r w:rsidRPr="00BB4D40">
        <w:rPr>
          <w:color w:val="000000" w:themeColor="text1"/>
        </w:rPr>
        <w:t>freight carried</w:t>
      </w:r>
      <w:r w:rsidRPr="00BB4D40">
        <w:rPr>
          <w:lang w:val="pl-PL"/>
        </w:rPr>
        <w:t xml:space="preserve">, </w:t>
      </w:r>
      <w:r>
        <w:rPr>
          <w:lang w:val="pl-PL"/>
        </w:rPr>
        <w:t>de</w:t>
      </w:r>
      <w:r w:rsidRPr="00BB4D40">
        <w:rPr>
          <w:lang w:val="pl-PL"/>
        </w:rPr>
        <w:t xml:space="preserve">creased by </w:t>
      </w:r>
      <w:r>
        <w:t>1.4</w:t>
      </w:r>
      <w:r w:rsidRPr="00BB4D40">
        <w:rPr>
          <w:lang w:val="pl-PL"/>
        </w:rPr>
        <w:t xml:space="preserve">% and </w:t>
      </w:r>
      <w:r>
        <w:t>48.9</w:t>
      </w:r>
      <w:r w:rsidRPr="00870842">
        <w:t xml:space="preserve"> </w:t>
      </w:r>
      <w:r w:rsidRPr="00BB4D40">
        <w:rPr>
          <w:lang w:val="pl-PL"/>
        </w:rPr>
        <w:t xml:space="preserve">billion tons.km </w:t>
      </w:r>
      <w:r w:rsidRPr="00BB4D40">
        <w:rPr>
          <w:color w:val="000000" w:themeColor="text1"/>
        </w:rPr>
        <w:t>of freight traffic</w:t>
      </w:r>
      <w:r w:rsidRPr="00BB4D40">
        <w:rPr>
          <w:lang w:val="pl-PL"/>
        </w:rPr>
        <w:t xml:space="preserve">, </w:t>
      </w:r>
      <w:r>
        <w:rPr>
          <w:lang w:val="pl-PL"/>
        </w:rPr>
        <w:t>de</w:t>
      </w:r>
      <w:r w:rsidRPr="00BB4D40">
        <w:rPr>
          <w:lang w:val="pl-PL"/>
        </w:rPr>
        <w:t xml:space="preserve">creased </w:t>
      </w:r>
      <w:r w:rsidRPr="00BB4D40">
        <w:rPr>
          <w:lang w:val="pl-PL"/>
        </w:rPr>
        <w:lastRenderedPageBreak/>
        <w:t xml:space="preserve">by </w:t>
      </w:r>
      <w:r>
        <w:rPr>
          <w:lang w:val="pl-PL"/>
        </w:rPr>
        <w:t>0.6</w:t>
      </w:r>
      <w:r w:rsidRPr="00BB4D40">
        <w:rPr>
          <w:lang w:val="pl-PL"/>
        </w:rPr>
        <w:t>% over the previous month</w:t>
      </w:r>
      <w:r w:rsidRPr="00BB4D40">
        <w:t xml:space="preserve">. </w:t>
      </w:r>
      <w:r w:rsidRPr="00BB4D40">
        <w:rPr>
          <w:lang w:val="pl-PL"/>
        </w:rPr>
        <w:t xml:space="preserve">Generally for </w:t>
      </w:r>
      <w:r>
        <w:rPr>
          <w:lang w:val="pl-PL"/>
        </w:rPr>
        <w:t xml:space="preserve">two months </w:t>
      </w:r>
      <w:r w:rsidRPr="00BB4D40">
        <w:rPr>
          <w:lang w:val="pl-PL"/>
        </w:rPr>
        <w:t>of 202</w:t>
      </w:r>
      <w:r>
        <w:rPr>
          <w:lang w:val="pl-PL"/>
        </w:rPr>
        <w:t>5</w:t>
      </w:r>
      <w:r w:rsidRPr="00BB4D40">
        <w:rPr>
          <w:lang w:val="pl-PL"/>
        </w:rPr>
        <w:t xml:space="preserve">, freight transport was estimated at </w:t>
      </w:r>
      <w:r>
        <w:t>471.8</w:t>
      </w:r>
      <w:r w:rsidRPr="00870842">
        <w:t xml:space="preserve"> </w:t>
      </w:r>
      <w:r w:rsidRPr="00BB4D40">
        <w:rPr>
          <w:lang w:val="pl-PL"/>
        </w:rPr>
        <w:t xml:space="preserve">million tons of </w:t>
      </w:r>
      <w:r w:rsidRPr="00BB4D40">
        <w:rPr>
          <w:color w:val="000000" w:themeColor="text1"/>
        </w:rPr>
        <w:t>freight carried</w:t>
      </w:r>
      <w:r w:rsidRPr="00BB4D40">
        <w:rPr>
          <w:lang w:val="pl-PL"/>
        </w:rPr>
        <w:t xml:space="preserve">, up </w:t>
      </w:r>
      <w:r>
        <w:t>14.5</w:t>
      </w:r>
      <w:r w:rsidRPr="00BB4D40">
        <w:rPr>
          <w:lang w:val="pl-PL"/>
        </w:rPr>
        <w:t xml:space="preserve">% over the same period last year and </w:t>
      </w:r>
      <w:r>
        <w:t>98.1</w:t>
      </w:r>
      <w:r w:rsidRPr="00870842">
        <w:t xml:space="preserve"> </w:t>
      </w:r>
      <w:r w:rsidRPr="00BB4D40">
        <w:rPr>
          <w:lang w:val="pl-PL"/>
        </w:rPr>
        <w:t xml:space="preserve">billion tons.km </w:t>
      </w:r>
      <w:r w:rsidRPr="00BB4D40">
        <w:rPr>
          <w:color w:val="000000" w:themeColor="text1"/>
        </w:rPr>
        <w:t>of freight traffic</w:t>
      </w:r>
      <w:r w:rsidRPr="00BB4D40">
        <w:rPr>
          <w:lang w:val="pl-PL"/>
        </w:rPr>
        <w:t xml:space="preserve">, an increase of </w:t>
      </w:r>
      <w:r>
        <w:rPr>
          <w:lang w:val="pl-PL"/>
        </w:rPr>
        <w:t>11.8</w:t>
      </w:r>
      <w:r w:rsidRPr="00BB4D40">
        <w:rPr>
          <w:lang w:val="pl-PL"/>
        </w:rPr>
        <w:t xml:space="preserve">%. Of which, domestic transport reached </w:t>
      </w:r>
      <w:r>
        <w:t>463.4</w:t>
      </w:r>
      <w:r w:rsidRPr="00870842">
        <w:t xml:space="preserve"> </w:t>
      </w:r>
      <w:r w:rsidRPr="00BB4D40">
        <w:rPr>
          <w:lang w:val="pl-PL"/>
        </w:rPr>
        <w:t xml:space="preserve">million tons of </w:t>
      </w:r>
      <w:r w:rsidRPr="00BB4D40">
        <w:rPr>
          <w:color w:val="000000" w:themeColor="text1"/>
        </w:rPr>
        <w:t>freight carried</w:t>
      </w:r>
      <w:r w:rsidRPr="00BB4D40">
        <w:rPr>
          <w:lang w:val="pl-PL"/>
        </w:rPr>
        <w:t xml:space="preserve">, up </w:t>
      </w:r>
      <w:r>
        <w:t>14.7</w:t>
      </w:r>
      <w:r w:rsidRPr="00BB4D40">
        <w:rPr>
          <w:lang w:val="pl-PL"/>
        </w:rPr>
        <w:t xml:space="preserve">% and </w:t>
      </w:r>
      <w:r>
        <w:t>59.5</w:t>
      </w:r>
      <w:r w:rsidRPr="00870842">
        <w:t xml:space="preserve"> </w:t>
      </w:r>
      <w:r w:rsidRPr="00BB4D40">
        <w:rPr>
          <w:lang w:val="pl-PL"/>
        </w:rPr>
        <w:t xml:space="preserve">billion tons.km of </w:t>
      </w:r>
      <w:r w:rsidRPr="00BB4D40">
        <w:rPr>
          <w:color w:val="000000" w:themeColor="text1"/>
        </w:rPr>
        <w:t>freight traffic</w:t>
      </w:r>
      <w:r w:rsidRPr="00BB4D40">
        <w:rPr>
          <w:lang w:val="pl-PL"/>
        </w:rPr>
        <w:t xml:space="preserve">, up </w:t>
      </w:r>
      <w:r>
        <w:t>8.6</w:t>
      </w:r>
      <w:r w:rsidRPr="00BB4D40">
        <w:rPr>
          <w:lang w:val="pl-PL"/>
        </w:rPr>
        <w:t xml:space="preserve">%; overseas transport reached </w:t>
      </w:r>
      <w:r>
        <w:t>8.1</w:t>
      </w:r>
      <w:r w:rsidRPr="00870842">
        <w:t xml:space="preserve"> </w:t>
      </w:r>
      <w:r w:rsidRPr="00BB4D40">
        <w:rPr>
          <w:lang w:val="pl-PL"/>
        </w:rPr>
        <w:t xml:space="preserve">million </w:t>
      </w:r>
      <w:r w:rsidRPr="00BB4D40">
        <w:rPr>
          <w:color w:val="000000" w:themeColor="text1"/>
        </w:rPr>
        <w:t xml:space="preserve">tons of freight carried, up </w:t>
      </w:r>
      <w:r>
        <w:rPr>
          <w:color w:val="000000" w:themeColor="text1"/>
        </w:rPr>
        <w:t>5.8</w:t>
      </w:r>
      <w:r w:rsidRPr="00BB4D40">
        <w:rPr>
          <w:color w:val="000000" w:themeColor="text1"/>
        </w:rPr>
        <w:t xml:space="preserve">% and </w:t>
      </w:r>
      <w:r>
        <w:rPr>
          <w:color w:val="000000" w:themeColor="text1"/>
        </w:rPr>
        <w:t>38.6</w:t>
      </w:r>
      <w:r w:rsidRPr="00BB4D40">
        <w:rPr>
          <w:color w:val="000000" w:themeColor="text1"/>
        </w:rPr>
        <w:t xml:space="preserve"> billion tons.km of freight traffic, up </w:t>
      </w:r>
      <w:r>
        <w:rPr>
          <w:color w:val="000000" w:themeColor="text1"/>
        </w:rPr>
        <w:t>17.0</w:t>
      </w:r>
      <w:r w:rsidRPr="00BB4D40">
        <w:rPr>
          <w:color w:val="000000" w:themeColor="text1"/>
        </w:rPr>
        <w:t xml:space="preserve">%. </w:t>
      </w:r>
    </w:p>
    <w:p w14:paraId="7E3F05A8" w14:textId="77777777" w:rsidR="00753A68" w:rsidRPr="00BB4D40" w:rsidRDefault="00753A68" w:rsidP="00753A68">
      <w:pPr>
        <w:spacing w:beforeLines="40" w:before="96" w:afterLines="40" w:after="96" w:line="264" w:lineRule="auto"/>
        <w:jc w:val="center"/>
        <w:rPr>
          <w:b/>
          <w:bCs/>
          <w:sz w:val="2"/>
          <w:lang w:val="pt-BR"/>
        </w:rPr>
      </w:pPr>
      <w:r w:rsidRPr="00870842">
        <w:rPr>
          <w:rFonts w:ascii="Arial" w:hAnsi="Arial" w:cs="Arial"/>
          <w:b/>
          <w:bCs/>
          <w:iCs/>
          <w:sz w:val="24"/>
          <w:szCs w:val="24"/>
        </w:rPr>
        <w:t xml:space="preserve">Table 7. Carriage of freight in </w:t>
      </w:r>
      <w:r>
        <w:rPr>
          <w:rFonts w:ascii="Arial" w:hAnsi="Arial" w:cs="Arial"/>
          <w:b/>
          <w:bCs/>
          <w:iCs/>
          <w:sz w:val="24"/>
          <w:szCs w:val="24"/>
        </w:rPr>
        <w:t>02 months</w:t>
      </w:r>
      <w:r w:rsidRPr="00870842">
        <w:rPr>
          <w:rFonts w:ascii="Arial" w:hAnsi="Arial" w:cs="Arial"/>
          <w:b/>
          <w:bCs/>
          <w:iCs/>
          <w:sz w:val="24"/>
          <w:szCs w:val="24"/>
        </w:rPr>
        <w:t xml:space="preserve"> of 202</w:t>
      </w:r>
      <w:r>
        <w:rPr>
          <w:rFonts w:ascii="Arial" w:hAnsi="Arial" w:cs="Arial"/>
          <w:b/>
          <w:bCs/>
          <w:iCs/>
          <w:sz w:val="24"/>
          <w:szCs w:val="24"/>
        </w:rPr>
        <w:t>5</w:t>
      </w:r>
      <w:r w:rsidRPr="00870842">
        <w:rPr>
          <w:rFonts w:ascii="Arial" w:hAnsi="Arial" w:cs="Arial"/>
          <w:b/>
          <w:bCs/>
          <w:iCs/>
          <w:sz w:val="24"/>
          <w:szCs w:val="24"/>
        </w:rPr>
        <w:br/>
        <w:t>by types of transport</w:t>
      </w:r>
    </w:p>
    <w:tbl>
      <w:tblPr>
        <w:tblW w:w="9167" w:type="dxa"/>
        <w:tblInd w:w="284" w:type="dxa"/>
        <w:tblLook w:val="04A0" w:firstRow="1" w:lastRow="0" w:firstColumn="1" w:lastColumn="0" w:noHBand="0" w:noVBand="1"/>
      </w:tblPr>
      <w:tblGrid>
        <w:gridCol w:w="2158"/>
        <w:gridCol w:w="1811"/>
        <w:gridCol w:w="1843"/>
        <w:gridCol w:w="1795"/>
        <w:gridCol w:w="1560"/>
      </w:tblGrid>
      <w:tr w:rsidR="00753A68" w:rsidRPr="00BB4D40" w14:paraId="2233801A" w14:textId="77777777" w:rsidTr="00C47D68">
        <w:trPr>
          <w:trHeight w:val="580"/>
        </w:trPr>
        <w:tc>
          <w:tcPr>
            <w:tcW w:w="2158" w:type="dxa"/>
            <w:tcBorders>
              <w:top w:val="single" w:sz="8" w:space="0" w:color="auto"/>
              <w:left w:val="nil"/>
              <w:bottom w:val="nil"/>
              <w:right w:val="nil"/>
            </w:tcBorders>
            <w:shd w:val="clear" w:color="auto" w:fill="auto"/>
            <w:vAlign w:val="center"/>
            <w:hideMark/>
          </w:tcPr>
          <w:p w14:paraId="52C8F16C" w14:textId="77777777" w:rsidR="00753A68" w:rsidRPr="00BB4D40" w:rsidRDefault="00753A68" w:rsidP="00C47D68">
            <w:pPr>
              <w:rPr>
                <w:rFonts w:ascii="Arial" w:hAnsi="Arial" w:cs="Arial"/>
                <w:color w:val="000000"/>
                <w:sz w:val="20"/>
                <w:szCs w:val="20"/>
              </w:rPr>
            </w:pPr>
            <w:r w:rsidRPr="00870842">
              <w:rPr>
                <w:rFonts w:ascii="Arial" w:hAnsi="Arial" w:cs="Arial"/>
                <w:color w:val="000000"/>
                <w:sz w:val="20"/>
                <w:szCs w:val="20"/>
              </w:rPr>
              <w:t> </w:t>
            </w:r>
          </w:p>
        </w:tc>
        <w:tc>
          <w:tcPr>
            <w:tcW w:w="3654" w:type="dxa"/>
            <w:gridSpan w:val="2"/>
            <w:tcBorders>
              <w:top w:val="single" w:sz="8" w:space="0" w:color="auto"/>
              <w:left w:val="nil"/>
              <w:bottom w:val="single" w:sz="8" w:space="0" w:color="auto"/>
              <w:right w:val="nil"/>
            </w:tcBorders>
            <w:shd w:val="clear" w:color="auto" w:fill="auto"/>
            <w:vAlign w:val="center"/>
            <w:hideMark/>
          </w:tcPr>
          <w:p w14:paraId="01E28B96" w14:textId="77777777" w:rsidR="00753A68" w:rsidRPr="00BB4D40" w:rsidRDefault="00753A68" w:rsidP="00C47D68">
            <w:pPr>
              <w:jc w:val="center"/>
              <w:rPr>
                <w:rFonts w:ascii="Arial" w:hAnsi="Arial" w:cs="Arial"/>
                <w:color w:val="000000"/>
                <w:sz w:val="20"/>
                <w:szCs w:val="20"/>
              </w:rPr>
            </w:pPr>
            <w:r w:rsidRPr="00BB4D40">
              <w:rPr>
                <w:rFonts w:ascii="Arial" w:hAnsi="Arial" w:cs="Arial"/>
                <w:color w:val="000000"/>
                <w:sz w:val="20"/>
                <w:szCs w:val="20"/>
              </w:rPr>
              <w:t>Quantity of goods</w:t>
            </w:r>
          </w:p>
        </w:tc>
        <w:tc>
          <w:tcPr>
            <w:tcW w:w="3355" w:type="dxa"/>
            <w:gridSpan w:val="2"/>
            <w:tcBorders>
              <w:top w:val="single" w:sz="8" w:space="0" w:color="auto"/>
              <w:left w:val="nil"/>
              <w:bottom w:val="single" w:sz="8" w:space="0" w:color="auto"/>
              <w:right w:val="nil"/>
            </w:tcBorders>
            <w:shd w:val="clear" w:color="auto" w:fill="auto"/>
            <w:vAlign w:val="center"/>
            <w:hideMark/>
          </w:tcPr>
          <w:p w14:paraId="6B11BAAD" w14:textId="77777777" w:rsidR="00753A68" w:rsidRPr="00BB4D40" w:rsidRDefault="00753A68" w:rsidP="00C47D68">
            <w:pPr>
              <w:jc w:val="center"/>
              <w:rPr>
                <w:rFonts w:ascii="Arial" w:hAnsi="Arial" w:cs="Arial"/>
                <w:color w:val="000000"/>
                <w:sz w:val="20"/>
                <w:szCs w:val="20"/>
              </w:rPr>
            </w:pPr>
            <w:r w:rsidRPr="00BB4D40">
              <w:rPr>
                <w:rFonts w:ascii="Arial" w:hAnsi="Arial" w:cs="Arial"/>
                <w:color w:val="000000"/>
                <w:sz w:val="20"/>
                <w:szCs w:val="20"/>
              </w:rPr>
              <w:t xml:space="preserve">Growth rate compared to the </w:t>
            </w:r>
            <w:r>
              <w:rPr>
                <w:rFonts w:ascii="Arial" w:hAnsi="Arial" w:cs="Arial"/>
                <w:color w:val="000000"/>
                <w:sz w:val="20"/>
                <w:szCs w:val="20"/>
              </w:rPr>
              <w:br/>
            </w:r>
            <w:r w:rsidRPr="00BB4D40">
              <w:rPr>
                <w:rFonts w:ascii="Arial" w:hAnsi="Arial" w:cs="Arial"/>
                <w:color w:val="000000"/>
                <w:sz w:val="20"/>
                <w:szCs w:val="20"/>
              </w:rPr>
              <w:t>same period last year (%)</w:t>
            </w:r>
          </w:p>
        </w:tc>
      </w:tr>
      <w:tr w:rsidR="00753A68" w:rsidRPr="00BB4D40" w14:paraId="459ABEF4" w14:textId="77777777" w:rsidTr="00C47D68">
        <w:trPr>
          <w:trHeight w:val="372"/>
        </w:trPr>
        <w:tc>
          <w:tcPr>
            <w:tcW w:w="2158" w:type="dxa"/>
            <w:vMerge w:val="restart"/>
            <w:tcBorders>
              <w:top w:val="nil"/>
              <w:left w:val="nil"/>
              <w:bottom w:val="nil"/>
              <w:right w:val="nil"/>
            </w:tcBorders>
            <w:shd w:val="clear" w:color="auto" w:fill="auto"/>
            <w:vAlign w:val="center"/>
            <w:hideMark/>
          </w:tcPr>
          <w:p w14:paraId="2CC63C97" w14:textId="77777777" w:rsidR="00753A68" w:rsidRPr="00BB4D40" w:rsidRDefault="00753A68" w:rsidP="00C47D68">
            <w:pPr>
              <w:jc w:val="center"/>
              <w:rPr>
                <w:rFonts w:ascii="Arial" w:hAnsi="Arial" w:cs="Arial"/>
                <w:color w:val="000000"/>
                <w:sz w:val="20"/>
                <w:szCs w:val="20"/>
              </w:rPr>
            </w:pPr>
          </w:p>
        </w:tc>
        <w:tc>
          <w:tcPr>
            <w:tcW w:w="1811" w:type="dxa"/>
            <w:tcBorders>
              <w:top w:val="nil"/>
              <w:left w:val="nil"/>
              <w:bottom w:val="nil"/>
              <w:right w:val="nil"/>
            </w:tcBorders>
            <w:shd w:val="clear" w:color="auto" w:fill="auto"/>
            <w:vAlign w:val="center"/>
            <w:hideMark/>
          </w:tcPr>
          <w:p w14:paraId="4C0F29D9" w14:textId="77777777" w:rsidR="00753A68" w:rsidRPr="00BB4D40" w:rsidRDefault="00753A68" w:rsidP="00C47D68">
            <w:pPr>
              <w:jc w:val="center"/>
              <w:rPr>
                <w:rFonts w:ascii="Arial" w:hAnsi="Arial" w:cs="Arial"/>
                <w:color w:val="000000"/>
                <w:sz w:val="20"/>
                <w:szCs w:val="20"/>
              </w:rPr>
            </w:pPr>
            <w:r w:rsidRPr="00BB4D40">
              <w:rPr>
                <w:rFonts w:ascii="Arial" w:hAnsi="Arial" w:cs="Arial"/>
                <w:color w:val="000000"/>
                <w:sz w:val="20"/>
                <w:szCs w:val="20"/>
                <w:lang w:eastAsia="vi-VN"/>
              </w:rPr>
              <w:t>Carried</w:t>
            </w:r>
          </w:p>
        </w:tc>
        <w:tc>
          <w:tcPr>
            <w:tcW w:w="1843" w:type="dxa"/>
            <w:tcBorders>
              <w:top w:val="nil"/>
              <w:left w:val="nil"/>
              <w:bottom w:val="nil"/>
              <w:right w:val="nil"/>
            </w:tcBorders>
            <w:shd w:val="clear" w:color="auto" w:fill="auto"/>
            <w:vAlign w:val="center"/>
            <w:hideMark/>
          </w:tcPr>
          <w:p w14:paraId="7CC53E1F" w14:textId="77777777" w:rsidR="00753A68" w:rsidRPr="00BB4D40" w:rsidRDefault="00753A68" w:rsidP="00C47D68">
            <w:pPr>
              <w:jc w:val="center"/>
              <w:rPr>
                <w:rFonts w:ascii="Arial" w:hAnsi="Arial" w:cs="Arial"/>
                <w:color w:val="000000"/>
                <w:sz w:val="20"/>
                <w:szCs w:val="20"/>
              </w:rPr>
            </w:pPr>
            <w:r w:rsidRPr="00BB4D40">
              <w:rPr>
                <w:rFonts w:ascii="Arial" w:hAnsi="Arial" w:cs="Arial"/>
                <w:color w:val="000000"/>
                <w:sz w:val="20"/>
                <w:szCs w:val="20"/>
                <w:lang w:eastAsia="vi-VN"/>
              </w:rPr>
              <w:t>Traffic</w:t>
            </w:r>
          </w:p>
        </w:tc>
        <w:tc>
          <w:tcPr>
            <w:tcW w:w="1795" w:type="dxa"/>
            <w:vMerge w:val="restart"/>
            <w:tcBorders>
              <w:top w:val="nil"/>
              <w:left w:val="nil"/>
              <w:bottom w:val="single" w:sz="4" w:space="0" w:color="000000"/>
              <w:right w:val="nil"/>
            </w:tcBorders>
            <w:shd w:val="clear" w:color="auto" w:fill="auto"/>
            <w:vAlign w:val="center"/>
            <w:hideMark/>
          </w:tcPr>
          <w:p w14:paraId="35ED38BA" w14:textId="77777777" w:rsidR="00753A68" w:rsidRPr="00BB4D40" w:rsidRDefault="00753A68" w:rsidP="00C47D68">
            <w:pPr>
              <w:jc w:val="center"/>
              <w:rPr>
                <w:rFonts w:ascii="Arial" w:hAnsi="Arial" w:cs="Arial"/>
                <w:color w:val="000000"/>
                <w:sz w:val="20"/>
                <w:szCs w:val="20"/>
              </w:rPr>
            </w:pPr>
            <w:r w:rsidRPr="00BB4D40">
              <w:rPr>
                <w:rFonts w:ascii="Arial" w:hAnsi="Arial" w:cs="Arial"/>
                <w:color w:val="000000"/>
                <w:sz w:val="20"/>
                <w:szCs w:val="20"/>
                <w:lang w:eastAsia="vi-VN"/>
              </w:rPr>
              <w:t>Carried</w:t>
            </w:r>
          </w:p>
        </w:tc>
        <w:tc>
          <w:tcPr>
            <w:tcW w:w="1560" w:type="dxa"/>
            <w:vMerge w:val="restart"/>
            <w:tcBorders>
              <w:top w:val="nil"/>
              <w:left w:val="nil"/>
              <w:bottom w:val="single" w:sz="4" w:space="0" w:color="000000"/>
              <w:right w:val="nil"/>
            </w:tcBorders>
            <w:shd w:val="clear" w:color="auto" w:fill="auto"/>
            <w:vAlign w:val="center"/>
            <w:hideMark/>
          </w:tcPr>
          <w:p w14:paraId="68A60F02" w14:textId="77777777" w:rsidR="00753A68" w:rsidRPr="00BB4D40" w:rsidRDefault="00753A68" w:rsidP="00C47D68">
            <w:pPr>
              <w:jc w:val="center"/>
              <w:rPr>
                <w:rFonts w:ascii="Arial" w:hAnsi="Arial" w:cs="Arial"/>
                <w:color w:val="000000"/>
                <w:sz w:val="20"/>
                <w:szCs w:val="20"/>
              </w:rPr>
            </w:pPr>
            <w:r w:rsidRPr="00BB4D40">
              <w:rPr>
                <w:rFonts w:ascii="Arial" w:hAnsi="Arial" w:cs="Arial"/>
                <w:color w:val="000000"/>
                <w:sz w:val="20"/>
                <w:szCs w:val="20"/>
                <w:lang w:eastAsia="vi-VN"/>
              </w:rPr>
              <w:t>Traffic</w:t>
            </w:r>
          </w:p>
        </w:tc>
      </w:tr>
      <w:tr w:rsidR="00753A68" w:rsidRPr="00BB4D40" w14:paraId="40BFCE5F" w14:textId="77777777" w:rsidTr="00C47D68">
        <w:trPr>
          <w:trHeight w:val="165"/>
        </w:trPr>
        <w:tc>
          <w:tcPr>
            <w:tcW w:w="2158" w:type="dxa"/>
            <w:vMerge/>
            <w:tcBorders>
              <w:top w:val="nil"/>
              <w:left w:val="nil"/>
              <w:bottom w:val="nil"/>
              <w:right w:val="nil"/>
            </w:tcBorders>
            <w:vAlign w:val="center"/>
            <w:hideMark/>
          </w:tcPr>
          <w:p w14:paraId="5C9C80D0" w14:textId="77777777" w:rsidR="00753A68" w:rsidRPr="00BB4D40" w:rsidRDefault="00753A68" w:rsidP="00C47D68">
            <w:pPr>
              <w:rPr>
                <w:rFonts w:ascii="Arial" w:hAnsi="Arial" w:cs="Arial"/>
                <w:color w:val="000000"/>
                <w:sz w:val="20"/>
                <w:szCs w:val="20"/>
              </w:rPr>
            </w:pPr>
          </w:p>
        </w:tc>
        <w:tc>
          <w:tcPr>
            <w:tcW w:w="1811" w:type="dxa"/>
            <w:tcBorders>
              <w:top w:val="nil"/>
              <w:left w:val="nil"/>
              <w:bottom w:val="single" w:sz="4" w:space="0" w:color="auto"/>
              <w:right w:val="nil"/>
            </w:tcBorders>
            <w:shd w:val="clear" w:color="auto" w:fill="auto"/>
            <w:vAlign w:val="center"/>
            <w:hideMark/>
          </w:tcPr>
          <w:p w14:paraId="7B069429" w14:textId="77777777" w:rsidR="00753A68" w:rsidRPr="00BB4D40" w:rsidRDefault="00753A68" w:rsidP="00C47D68">
            <w:pPr>
              <w:jc w:val="center"/>
              <w:rPr>
                <w:rFonts w:ascii="Arial" w:hAnsi="Arial" w:cs="Arial"/>
                <w:color w:val="000000"/>
                <w:sz w:val="20"/>
                <w:szCs w:val="20"/>
              </w:rPr>
            </w:pPr>
            <w:r w:rsidRPr="00BB4D40">
              <w:rPr>
                <w:rFonts w:ascii="Arial" w:hAnsi="Arial" w:cs="Arial"/>
                <w:color w:val="000000"/>
                <w:sz w:val="20"/>
                <w:szCs w:val="20"/>
              </w:rPr>
              <w:t>(Mill. tons)</w:t>
            </w:r>
          </w:p>
        </w:tc>
        <w:tc>
          <w:tcPr>
            <w:tcW w:w="1843" w:type="dxa"/>
            <w:tcBorders>
              <w:top w:val="nil"/>
              <w:left w:val="nil"/>
              <w:bottom w:val="single" w:sz="4" w:space="0" w:color="auto"/>
              <w:right w:val="nil"/>
            </w:tcBorders>
            <w:shd w:val="clear" w:color="auto" w:fill="auto"/>
            <w:vAlign w:val="center"/>
            <w:hideMark/>
          </w:tcPr>
          <w:p w14:paraId="466ED89D" w14:textId="77777777" w:rsidR="00753A68" w:rsidRPr="00BB4D40" w:rsidRDefault="00753A68" w:rsidP="00C47D68">
            <w:pPr>
              <w:jc w:val="center"/>
              <w:rPr>
                <w:rFonts w:ascii="Arial" w:hAnsi="Arial" w:cs="Arial"/>
                <w:color w:val="000000"/>
                <w:sz w:val="20"/>
                <w:szCs w:val="20"/>
              </w:rPr>
            </w:pPr>
            <w:r w:rsidRPr="00BB4D40">
              <w:rPr>
                <w:rFonts w:ascii="Arial" w:hAnsi="Arial" w:cs="Arial"/>
                <w:color w:val="000000"/>
                <w:sz w:val="20"/>
                <w:szCs w:val="20"/>
              </w:rPr>
              <w:t>(Bill. tons-km)</w:t>
            </w:r>
          </w:p>
        </w:tc>
        <w:tc>
          <w:tcPr>
            <w:tcW w:w="1795" w:type="dxa"/>
            <w:vMerge/>
            <w:tcBorders>
              <w:top w:val="nil"/>
              <w:left w:val="nil"/>
              <w:bottom w:val="single" w:sz="4" w:space="0" w:color="000000"/>
              <w:right w:val="nil"/>
            </w:tcBorders>
            <w:vAlign w:val="center"/>
            <w:hideMark/>
          </w:tcPr>
          <w:p w14:paraId="2578D248" w14:textId="77777777" w:rsidR="00753A68" w:rsidRPr="00BB4D40" w:rsidRDefault="00753A68" w:rsidP="00C47D68">
            <w:pPr>
              <w:jc w:val="center"/>
              <w:rPr>
                <w:rFonts w:ascii="Arial" w:hAnsi="Arial" w:cs="Arial"/>
                <w:color w:val="000000"/>
                <w:sz w:val="20"/>
                <w:szCs w:val="20"/>
              </w:rPr>
            </w:pPr>
          </w:p>
        </w:tc>
        <w:tc>
          <w:tcPr>
            <w:tcW w:w="1560" w:type="dxa"/>
            <w:vMerge/>
            <w:tcBorders>
              <w:top w:val="nil"/>
              <w:left w:val="nil"/>
              <w:bottom w:val="single" w:sz="4" w:space="0" w:color="000000"/>
              <w:right w:val="nil"/>
            </w:tcBorders>
            <w:vAlign w:val="center"/>
            <w:hideMark/>
          </w:tcPr>
          <w:p w14:paraId="2727E66E" w14:textId="77777777" w:rsidR="00753A68" w:rsidRPr="00BB4D40" w:rsidRDefault="00753A68" w:rsidP="00C47D68">
            <w:pPr>
              <w:jc w:val="right"/>
              <w:rPr>
                <w:rFonts w:ascii="Arial" w:hAnsi="Arial" w:cs="Arial"/>
                <w:color w:val="000000"/>
                <w:sz w:val="20"/>
                <w:szCs w:val="20"/>
              </w:rPr>
            </w:pPr>
          </w:p>
        </w:tc>
      </w:tr>
      <w:tr w:rsidR="00753A68" w:rsidRPr="00BB4D40" w14:paraId="1BF92B18" w14:textId="77777777" w:rsidTr="00C47D68">
        <w:trPr>
          <w:cantSplit/>
          <w:trHeight w:val="372"/>
        </w:trPr>
        <w:tc>
          <w:tcPr>
            <w:tcW w:w="2158" w:type="dxa"/>
            <w:tcBorders>
              <w:top w:val="nil"/>
              <w:left w:val="nil"/>
              <w:bottom w:val="nil"/>
              <w:right w:val="nil"/>
            </w:tcBorders>
            <w:shd w:val="clear" w:color="auto" w:fill="auto"/>
            <w:noWrap/>
            <w:vAlign w:val="center"/>
            <w:hideMark/>
          </w:tcPr>
          <w:p w14:paraId="195CE622" w14:textId="77777777" w:rsidR="00753A68" w:rsidRPr="00BB4D40" w:rsidRDefault="00753A68" w:rsidP="00C47D68">
            <w:pPr>
              <w:rPr>
                <w:rFonts w:ascii="Arial" w:hAnsi="Arial" w:cs="Arial"/>
                <w:b/>
                <w:bCs/>
                <w:color w:val="000000"/>
                <w:sz w:val="20"/>
                <w:szCs w:val="20"/>
              </w:rPr>
            </w:pPr>
            <w:r w:rsidRPr="00BB4D40">
              <w:rPr>
                <w:rFonts w:ascii="Arial" w:hAnsi="Arial" w:cs="Arial"/>
                <w:b/>
                <w:bCs/>
                <w:color w:val="000000"/>
                <w:sz w:val="20"/>
                <w:szCs w:val="20"/>
              </w:rPr>
              <w:t>Total</w:t>
            </w:r>
          </w:p>
        </w:tc>
        <w:tc>
          <w:tcPr>
            <w:tcW w:w="1811" w:type="dxa"/>
            <w:tcBorders>
              <w:top w:val="nil"/>
              <w:left w:val="nil"/>
              <w:bottom w:val="nil"/>
              <w:right w:val="nil"/>
            </w:tcBorders>
            <w:shd w:val="clear" w:color="auto" w:fill="auto"/>
            <w:noWrap/>
            <w:vAlign w:val="center"/>
            <w:hideMark/>
          </w:tcPr>
          <w:p w14:paraId="1BF5751B" w14:textId="77777777" w:rsidR="00753A68" w:rsidRPr="00F04784" w:rsidRDefault="00753A68" w:rsidP="00C47D68">
            <w:pPr>
              <w:spacing w:beforeLines="40" w:before="96"/>
              <w:ind w:right="447"/>
              <w:jc w:val="right"/>
              <w:rPr>
                <w:rFonts w:ascii="Arial" w:hAnsi="Arial" w:cs="Arial"/>
                <w:b/>
                <w:bCs/>
                <w:sz w:val="20"/>
                <w:szCs w:val="20"/>
                <w14:ligatures w14:val="standardContextual"/>
              </w:rPr>
            </w:pPr>
            <w:r w:rsidRPr="00C30E94">
              <w:rPr>
                <w:rFonts w:ascii="Arial" w:hAnsi="Arial" w:cs="Arial"/>
                <w:b/>
                <w:bCs/>
                <w:sz w:val="20"/>
                <w:szCs w:val="20"/>
              </w:rPr>
              <w:t>471</w:t>
            </w:r>
            <w:r>
              <w:rPr>
                <w:rFonts w:ascii="Arial" w:hAnsi="Arial" w:cs="Arial"/>
                <w:b/>
                <w:bCs/>
                <w:sz w:val="20"/>
                <w:szCs w:val="20"/>
              </w:rPr>
              <w:t>.</w:t>
            </w:r>
            <w:r w:rsidRPr="00C30E94">
              <w:rPr>
                <w:rFonts w:ascii="Arial" w:hAnsi="Arial" w:cs="Arial"/>
                <w:b/>
                <w:bCs/>
                <w:sz w:val="20"/>
                <w:szCs w:val="20"/>
              </w:rPr>
              <w:t>8</w:t>
            </w:r>
          </w:p>
        </w:tc>
        <w:tc>
          <w:tcPr>
            <w:tcW w:w="1843" w:type="dxa"/>
            <w:tcBorders>
              <w:top w:val="nil"/>
              <w:left w:val="nil"/>
              <w:bottom w:val="nil"/>
              <w:right w:val="nil"/>
            </w:tcBorders>
            <w:shd w:val="clear" w:color="auto" w:fill="auto"/>
            <w:noWrap/>
            <w:vAlign w:val="center"/>
            <w:hideMark/>
          </w:tcPr>
          <w:p w14:paraId="329A3C9D" w14:textId="77777777" w:rsidR="00753A68" w:rsidRPr="00F04784" w:rsidRDefault="00753A68" w:rsidP="00C47D68">
            <w:pPr>
              <w:spacing w:beforeLines="40" w:before="96"/>
              <w:ind w:right="447"/>
              <w:jc w:val="right"/>
              <w:rPr>
                <w:rFonts w:ascii="Arial" w:hAnsi="Arial" w:cs="Arial"/>
                <w:b/>
                <w:bCs/>
                <w:sz w:val="20"/>
                <w:szCs w:val="20"/>
                <w14:ligatures w14:val="standardContextual"/>
              </w:rPr>
            </w:pPr>
            <w:r w:rsidRPr="00C30E94">
              <w:rPr>
                <w:rFonts w:ascii="Arial" w:hAnsi="Arial" w:cs="Arial"/>
                <w:b/>
                <w:bCs/>
                <w:sz w:val="20"/>
                <w:szCs w:val="20"/>
              </w:rPr>
              <w:t>98</w:t>
            </w:r>
            <w:r>
              <w:rPr>
                <w:rFonts w:ascii="Arial" w:hAnsi="Arial" w:cs="Arial"/>
                <w:b/>
                <w:bCs/>
                <w:sz w:val="20"/>
                <w:szCs w:val="20"/>
              </w:rPr>
              <w:t>.</w:t>
            </w:r>
            <w:r w:rsidRPr="00C30E94">
              <w:rPr>
                <w:rFonts w:ascii="Arial" w:hAnsi="Arial" w:cs="Arial"/>
                <w:b/>
                <w:bCs/>
                <w:sz w:val="20"/>
                <w:szCs w:val="20"/>
              </w:rPr>
              <w:t>1</w:t>
            </w:r>
          </w:p>
        </w:tc>
        <w:tc>
          <w:tcPr>
            <w:tcW w:w="1795" w:type="dxa"/>
            <w:tcBorders>
              <w:top w:val="nil"/>
              <w:left w:val="nil"/>
              <w:bottom w:val="nil"/>
              <w:right w:val="nil"/>
            </w:tcBorders>
            <w:shd w:val="clear" w:color="auto" w:fill="auto"/>
            <w:noWrap/>
            <w:vAlign w:val="center"/>
          </w:tcPr>
          <w:p w14:paraId="62142887" w14:textId="77777777" w:rsidR="00753A68" w:rsidRPr="00F04784" w:rsidRDefault="00753A68" w:rsidP="00C47D68">
            <w:pPr>
              <w:spacing w:beforeLines="40" w:before="96"/>
              <w:ind w:right="447"/>
              <w:jc w:val="right"/>
              <w:rPr>
                <w:rFonts w:ascii="Arial" w:hAnsi="Arial" w:cs="Arial"/>
                <w:b/>
                <w:bCs/>
                <w:sz w:val="20"/>
                <w:szCs w:val="20"/>
                <w14:ligatures w14:val="standardContextual"/>
              </w:rPr>
            </w:pPr>
            <w:r w:rsidRPr="00C30E94">
              <w:rPr>
                <w:rFonts w:ascii="Arial" w:hAnsi="Arial" w:cs="Arial"/>
                <w:b/>
                <w:bCs/>
                <w:kern w:val="2"/>
                <w:sz w:val="20"/>
                <w:szCs w:val="20"/>
                <w14:ligatures w14:val="standardContextual"/>
              </w:rPr>
              <w:t>14</w:t>
            </w:r>
            <w:r>
              <w:rPr>
                <w:rFonts w:ascii="Arial" w:hAnsi="Arial" w:cs="Arial"/>
                <w:b/>
                <w:bCs/>
                <w:kern w:val="2"/>
                <w:sz w:val="20"/>
                <w:szCs w:val="20"/>
                <w14:ligatures w14:val="standardContextual"/>
              </w:rPr>
              <w:t>.</w:t>
            </w:r>
            <w:r w:rsidRPr="00C30E94">
              <w:rPr>
                <w:rFonts w:ascii="Arial" w:hAnsi="Arial" w:cs="Arial"/>
                <w:b/>
                <w:bCs/>
                <w:kern w:val="2"/>
                <w:sz w:val="20"/>
                <w:szCs w:val="20"/>
                <w14:ligatures w14:val="standardContextual"/>
              </w:rPr>
              <w:t>5</w:t>
            </w:r>
          </w:p>
        </w:tc>
        <w:tc>
          <w:tcPr>
            <w:tcW w:w="1560" w:type="dxa"/>
            <w:tcBorders>
              <w:top w:val="nil"/>
              <w:left w:val="nil"/>
              <w:bottom w:val="nil"/>
              <w:right w:val="nil"/>
            </w:tcBorders>
            <w:shd w:val="clear" w:color="auto" w:fill="auto"/>
            <w:noWrap/>
            <w:vAlign w:val="center"/>
            <w:hideMark/>
          </w:tcPr>
          <w:p w14:paraId="3A63A68C" w14:textId="77777777" w:rsidR="00753A68" w:rsidRPr="00F04784" w:rsidRDefault="00753A68" w:rsidP="00C47D68">
            <w:pPr>
              <w:spacing w:beforeLines="40" w:before="96"/>
              <w:ind w:right="447"/>
              <w:jc w:val="right"/>
              <w:rPr>
                <w:rFonts w:ascii="Arial" w:hAnsi="Arial" w:cs="Arial"/>
                <w:b/>
                <w:bCs/>
                <w:sz w:val="20"/>
                <w:szCs w:val="20"/>
                <w14:ligatures w14:val="standardContextual"/>
              </w:rPr>
            </w:pPr>
            <w:r w:rsidRPr="00C30E94">
              <w:rPr>
                <w:rFonts w:ascii="Arial" w:hAnsi="Arial" w:cs="Arial"/>
                <w:b/>
                <w:bCs/>
                <w:kern w:val="2"/>
                <w:sz w:val="20"/>
                <w:szCs w:val="20"/>
                <w14:ligatures w14:val="standardContextual"/>
              </w:rPr>
              <w:t>11</w:t>
            </w:r>
            <w:r>
              <w:rPr>
                <w:rFonts w:ascii="Arial" w:hAnsi="Arial" w:cs="Arial"/>
                <w:b/>
                <w:bCs/>
                <w:kern w:val="2"/>
                <w:sz w:val="20"/>
                <w:szCs w:val="20"/>
                <w14:ligatures w14:val="standardContextual"/>
              </w:rPr>
              <w:t>.</w:t>
            </w:r>
            <w:r w:rsidRPr="00C30E94">
              <w:rPr>
                <w:rFonts w:ascii="Arial" w:hAnsi="Arial" w:cs="Arial"/>
                <w:b/>
                <w:bCs/>
                <w:kern w:val="2"/>
                <w:sz w:val="20"/>
                <w:szCs w:val="20"/>
                <w14:ligatures w14:val="standardContextual"/>
              </w:rPr>
              <w:t>8</w:t>
            </w:r>
          </w:p>
        </w:tc>
      </w:tr>
      <w:tr w:rsidR="00753A68" w:rsidRPr="00BB4D40" w14:paraId="576ECCE5" w14:textId="77777777" w:rsidTr="00C47D68">
        <w:trPr>
          <w:cantSplit/>
          <w:trHeight w:val="372"/>
        </w:trPr>
        <w:tc>
          <w:tcPr>
            <w:tcW w:w="2158" w:type="dxa"/>
            <w:tcBorders>
              <w:top w:val="nil"/>
              <w:left w:val="nil"/>
              <w:bottom w:val="nil"/>
              <w:right w:val="nil"/>
            </w:tcBorders>
            <w:shd w:val="clear" w:color="auto" w:fill="auto"/>
            <w:noWrap/>
            <w:vAlign w:val="center"/>
            <w:hideMark/>
          </w:tcPr>
          <w:p w14:paraId="40F6F037" w14:textId="77777777" w:rsidR="00753A68" w:rsidRPr="00BB4D40" w:rsidRDefault="00753A68" w:rsidP="00C47D68">
            <w:pPr>
              <w:ind w:firstLine="319"/>
              <w:rPr>
                <w:rFonts w:ascii="Arial" w:hAnsi="Arial" w:cs="Arial"/>
                <w:color w:val="000000"/>
                <w:sz w:val="20"/>
                <w:szCs w:val="20"/>
              </w:rPr>
            </w:pPr>
            <w:r w:rsidRPr="00BB4D40">
              <w:rPr>
                <w:rFonts w:ascii="Arial" w:hAnsi="Arial" w:cs="Arial"/>
                <w:color w:val="000000"/>
                <w:sz w:val="20"/>
                <w:szCs w:val="20"/>
                <w:lang w:eastAsia="vi-VN"/>
              </w:rPr>
              <w:t>Rail way</w:t>
            </w:r>
          </w:p>
        </w:tc>
        <w:tc>
          <w:tcPr>
            <w:tcW w:w="1811" w:type="dxa"/>
            <w:tcBorders>
              <w:top w:val="nil"/>
              <w:left w:val="nil"/>
              <w:bottom w:val="nil"/>
              <w:right w:val="nil"/>
            </w:tcBorders>
            <w:shd w:val="clear" w:color="auto" w:fill="auto"/>
            <w:noWrap/>
            <w:vAlign w:val="center"/>
            <w:hideMark/>
          </w:tcPr>
          <w:p w14:paraId="5C6A462B" w14:textId="77777777" w:rsidR="00753A68" w:rsidRPr="00F04784" w:rsidRDefault="00753A68" w:rsidP="00C47D68">
            <w:pPr>
              <w:spacing w:beforeLines="40" w:before="96"/>
              <w:ind w:right="447"/>
              <w:jc w:val="right"/>
              <w:rPr>
                <w:rFonts w:ascii="Arial" w:hAnsi="Arial" w:cs="Arial"/>
                <w:sz w:val="20"/>
                <w:szCs w:val="20"/>
                <w14:ligatures w14:val="standardContextual"/>
              </w:rPr>
            </w:pPr>
            <w:r w:rsidRPr="00C30E94">
              <w:rPr>
                <w:rFonts w:ascii="Arial" w:hAnsi="Arial" w:cs="Arial"/>
                <w:sz w:val="20"/>
                <w:szCs w:val="20"/>
              </w:rPr>
              <w:t>0</w:t>
            </w:r>
            <w:r>
              <w:rPr>
                <w:rFonts w:ascii="Arial" w:hAnsi="Arial" w:cs="Arial"/>
                <w:sz w:val="20"/>
                <w:szCs w:val="20"/>
              </w:rPr>
              <w:t>.</w:t>
            </w:r>
            <w:r w:rsidRPr="00C30E94">
              <w:rPr>
                <w:rFonts w:ascii="Arial" w:hAnsi="Arial" w:cs="Arial"/>
                <w:sz w:val="20"/>
                <w:szCs w:val="20"/>
              </w:rPr>
              <w:t>7</w:t>
            </w:r>
          </w:p>
        </w:tc>
        <w:tc>
          <w:tcPr>
            <w:tcW w:w="1843" w:type="dxa"/>
            <w:tcBorders>
              <w:top w:val="nil"/>
              <w:left w:val="nil"/>
              <w:bottom w:val="nil"/>
              <w:right w:val="nil"/>
            </w:tcBorders>
            <w:shd w:val="clear" w:color="auto" w:fill="auto"/>
            <w:noWrap/>
            <w:vAlign w:val="center"/>
            <w:hideMark/>
          </w:tcPr>
          <w:p w14:paraId="7412D7CE" w14:textId="77777777" w:rsidR="00753A68" w:rsidRPr="00F04784" w:rsidRDefault="00753A68" w:rsidP="00C47D68">
            <w:pPr>
              <w:spacing w:beforeLines="40" w:before="96"/>
              <w:ind w:right="447"/>
              <w:jc w:val="right"/>
              <w:rPr>
                <w:rFonts w:ascii="Arial" w:hAnsi="Arial" w:cs="Arial"/>
                <w:sz w:val="20"/>
                <w:szCs w:val="20"/>
                <w14:ligatures w14:val="standardContextual"/>
              </w:rPr>
            </w:pPr>
            <w:r w:rsidRPr="00C30E94">
              <w:rPr>
                <w:rFonts w:ascii="Arial" w:hAnsi="Arial" w:cs="Arial"/>
                <w:sz w:val="20"/>
                <w:szCs w:val="20"/>
              </w:rPr>
              <w:t>0</w:t>
            </w:r>
            <w:r>
              <w:rPr>
                <w:rFonts w:ascii="Arial" w:hAnsi="Arial" w:cs="Arial"/>
                <w:sz w:val="20"/>
                <w:szCs w:val="20"/>
              </w:rPr>
              <w:t>.</w:t>
            </w:r>
            <w:r w:rsidRPr="00C30E94">
              <w:rPr>
                <w:rFonts w:ascii="Arial" w:hAnsi="Arial" w:cs="Arial"/>
                <w:sz w:val="20"/>
                <w:szCs w:val="20"/>
              </w:rPr>
              <w:t>5</w:t>
            </w:r>
          </w:p>
        </w:tc>
        <w:tc>
          <w:tcPr>
            <w:tcW w:w="1795" w:type="dxa"/>
            <w:tcBorders>
              <w:top w:val="nil"/>
              <w:left w:val="nil"/>
              <w:bottom w:val="nil"/>
              <w:right w:val="nil"/>
            </w:tcBorders>
            <w:shd w:val="clear" w:color="auto" w:fill="auto"/>
            <w:noWrap/>
            <w:vAlign w:val="center"/>
          </w:tcPr>
          <w:p w14:paraId="11EDE12A" w14:textId="77777777" w:rsidR="00753A68" w:rsidRPr="00F04784" w:rsidRDefault="00753A68" w:rsidP="00C47D68">
            <w:pPr>
              <w:spacing w:beforeLines="40" w:before="96"/>
              <w:ind w:right="447"/>
              <w:jc w:val="right"/>
              <w:rPr>
                <w:rFonts w:ascii="Arial" w:hAnsi="Arial" w:cs="Arial"/>
                <w:sz w:val="20"/>
                <w:szCs w:val="20"/>
                <w14:ligatures w14:val="standardContextual"/>
              </w:rPr>
            </w:pPr>
            <w:r w:rsidRPr="00C30E94">
              <w:rPr>
                <w:rFonts w:ascii="Arial" w:hAnsi="Arial" w:cs="Arial"/>
                <w:kern w:val="2"/>
                <w:sz w:val="20"/>
                <w:szCs w:val="20"/>
                <w14:ligatures w14:val="standardContextual"/>
              </w:rPr>
              <w:t>-0</w:t>
            </w:r>
            <w:r>
              <w:rPr>
                <w:rFonts w:ascii="Arial" w:hAnsi="Arial" w:cs="Arial"/>
                <w:kern w:val="2"/>
                <w:sz w:val="20"/>
                <w:szCs w:val="20"/>
                <w14:ligatures w14:val="standardContextual"/>
              </w:rPr>
              <w:t>.</w:t>
            </w:r>
            <w:r w:rsidRPr="00C30E94">
              <w:rPr>
                <w:rFonts w:ascii="Arial" w:hAnsi="Arial" w:cs="Arial"/>
                <w:kern w:val="2"/>
                <w:sz w:val="20"/>
                <w:szCs w:val="20"/>
                <w14:ligatures w14:val="standardContextual"/>
              </w:rPr>
              <w:t>9</w:t>
            </w:r>
          </w:p>
        </w:tc>
        <w:tc>
          <w:tcPr>
            <w:tcW w:w="1560" w:type="dxa"/>
            <w:tcBorders>
              <w:top w:val="nil"/>
              <w:left w:val="nil"/>
              <w:bottom w:val="nil"/>
              <w:right w:val="nil"/>
            </w:tcBorders>
            <w:shd w:val="clear" w:color="auto" w:fill="auto"/>
            <w:noWrap/>
            <w:vAlign w:val="center"/>
            <w:hideMark/>
          </w:tcPr>
          <w:p w14:paraId="6DE3CE50" w14:textId="77777777" w:rsidR="00753A68" w:rsidRPr="00F04784" w:rsidRDefault="00753A68" w:rsidP="00C47D68">
            <w:pPr>
              <w:spacing w:beforeLines="40" w:before="96"/>
              <w:ind w:right="447"/>
              <w:jc w:val="right"/>
              <w:rPr>
                <w:rFonts w:ascii="Arial" w:hAnsi="Arial" w:cs="Arial"/>
                <w:sz w:val="20"/>
                <w:szCs w:val="20"/>
                <w14:ligatures w14:val="standardContextual"/>
              </w:rPr>
            </w:pPr>
            <w:r w:rsidRPr="00C30E94">
              <w:rPr>
                <w:rFonts w:ascii="Arial" w:hAnsi="Arial" w:cs="Arial"/>
                <w:kern w:val="2"/>
                <w:sz w:val="20"/>
                <w:szCs w:val="20"/>
                <w14:ligatures w14:val="standardContextual"/>
              </w:rPr>
              <w:t>-4</w:t>
            </w:r>
            <w:r>
              <w:rPr>
                <w:rFonts w:ascii="Arial" w:hAnsi="Arial" w:cs="Arial"/>
                <w:kern w:val="2"/>
                <w:sz w:val="20"/>
                <w:szCs w:val="20"/>
                <w14:ligatures w14:val="standardContextual"/>
              </w:rPr>
              <w:t>.</w:t>
            </w:r>
            <w:r w:rsidRPr="00C30E94">
              <w:rPr>
                <w:rFonts w:ascii="Arial" w:hAnsi="Arial" w:cs="Arial"/>
                <w:kern w:val="2"/>
                <w:sz w:val="20"/>
                <w:szCs w:val="20"/>
                <w14:ligatures w14:val="standardContextual"/>
              </w:rPr>
              <w:t>8</w:t>
            </w:r>
          </w:p>
        </w:tc>
      </w:tr>
      <w:tr w:rsidR="00753A68" w:rsidRPr="00BB4D40" w14:paraId="6689A291" w14:textId="77777777" w:rsidTr="00C47D68">
        <w:trPr>
          <w:cantSplit/>
          <w:trHeight w:val="372"/>
        </w:trPr>
        <w:tc>
          <w:tcPr>
            <w:tcW w:w="2158" w:type="dxa"/>
            <w:tcBorders>
              <w:top w:val="nil"/>
              <w:left w:val="nil"/>
              <w:bottom w:val="nil"/>
              <w:right w:val="nil"/>
            </w:tcBorders>
            <w:shd w:val="clear" w:color="auto" w:fill="auto"/>
            <w:noWrap/>
            <w:vAlign w:val="center"/>
            <w:hideMark/>
          </w:tcPr>
          <w:p w14:paraId="50B75484" w14:textId="77777777" w:rsidR="00753A68" w:rsidRPr="00BB4D40" w:rsidRDefault="00753A68" w:rsidP="00C47D68">
            <w:pPr>
              <w:ind w:firstLine="319"/>
              <w:rPr>
                <w:rFonts w:ascii="Arial" w:hAnsi="Arial" w:cs="Arial"/>
                <w:color w:val="000000"/>
                <w:sz w:val="20"/>
                <w:szCs w:val="20"/>
              </w:rPr>
            </w:pPr>
            <w:r w:rsidRPr="00BB4D40">
              <w:rPr>
                <w:rFonts w:ascii="Arial" w:hAnsi="Arial" w:cs="Arial"/>
                <w:color w:val="000000"/>
                <w:sz w:val="20"/>
                <w:szCs w:val="20"/>
                <w:lang w:eastAsia="vi-VN"/>
              </w:rPr>
              <w:t>Sea way</w:t>
            </w:r>
          </w:p>
        </w:tc>
        <w:tc>
          <w:tcPr>
            <w:tcW w:w="1811" w:type="dxa"/>
            <w:tcBorders>
              <w:top w:val="nil"/>
              <w:left w:val="nil"/>
              <w:bottom w:val="nil"/>
              <w:right w:val="nil"/>
            </w:tcBorders>
            <w:shd w:val="clear" w:color="auto" w:fill="auto"/>
            <w:noWrap/>
            <w:vAlign w:val="center"/>
            <w:hideMark/>
          </w:tcPr>
          <w:p w14:paraId="2432384D" w14:textId="77777777" w:rsidR="00753A68" w:rsidRPr="00F04784" w:rsidRDefault="00753A68" w:rsidP="00C47D68">
            <w:pPr>
              <w:spacing w:beforeLines="40" w:before="96"/>
              <w:ind w:right="447"/>
              <w:jc w:val="right"/>
              <w:rPr>
                <w:rFonts w:ascii="Arial" w:hAnsi="Arial" w:cs="Arial"/>
                <w:sz w:val="20"/>
                <w:szCs w:val="20"/>
                <w14:ligatures w14:val="standardContextual"/>
              </w:rPr>
            </w:pPr>
            <w:r w:rsidRPr="00C30E94">
              <w:rPr>
                <w:rFonts w:ascii="Arial" w:hAnsi="Arial" w:cs="Arial"/>
                <w:sz w:val="20"/>
                <w:szCs w:val="20"/>
              </w:rPr>
              <w:t>27</w:t>
            </w:r>
            <w:r>
              <w:rPr>
                <w:rFonts w:ascii="Arial" w:hAnsi="Arial" w:cs="Arial"/>
                <w:sz w:val="20"/>
                <w:szCs w:val="20"/>
              </w:rPr>
              <w:t>.</w:t>
            </w:r>
            <w:r w:rsidRPr="00C30E94">
              <w:rPr>
                <w:rFonts w:ascii="Arial" w:hAnsi="Arial" w:cs="Arial"/>
                <w:sz w:val="20"/>
                <w:szCs w:val="20"/>
              </w:rPr>
              <w:t>2</w:t>
            </w:r>
          </w:p>
        </w:tc>
        <w:tc>
          <w:tcPr>
            <w:tcW w:w="1843" w:type="dxa"/>
            <w:tcBorders>
              <w:top w:val="nil"/>
              <w:left w:val="nil"/>
              <w:bottom w:val="nil"/>
              <w:right w:val="nil"/>
            </w:tcBorders>
            <w:shd w:val="clear" w:color="auto" w:fill="auto"/>
            <w:noWrap/>
            <w:vAlign w:val="center"/>
            <w:hideMark/>
          </w:tcPr>
          <w:p w14:paraId="35A6AE7A" w14:textId="77777777" w:rsidR="00753A68" w:rsidRPr="00F04784" w:rsidRDefault="00753A68" w:rsidP="00C47D68">
            <w:pPr>
              <w:spacing w:beforeLines="40" w:before="96"/>
              <w:ind w:right="447"/>
              <w:jc w:val="right"/>
              <w:rPr>
                <w:rFonts w:ascii="Arial" w:hAnsi="Arial" w:cs="Arial"/>
                <w:sz w:val="20"/>
                <w:szCs w:val="20"/>
                <w14:ligatures w14:val="standardContextual"/>
              </w:rPr>
            </w:pPr>
            <w:r w:rsidRPr="00C30E94">
              <w:rPr>
                <w:rFonts w:ascii="Arial" w:hAnsi="Arial" w:cs="Arial"/>
                <w:sz w:val="20"/>
                <w:szCs w:val="20"/>
              </w:rPr>
              <w:t>56</w:t>
            </w:r>
            <w:r>
              <w:rPr>
                <w:rFonts w:ascii="Arial" w:hAnsi="Arial" w:cs="Arial"/>
                <w:sz w:val="20"/>
                <w:szCs w:val="20"/>
              </w:rPr>
              <w:t>.</w:t>
            </w:r>
            <w:r w:rsidRPr="00C30E94">
              <w:rPr>
                <w:rFonts w:ascii="Arial" w:hAnsi="Arial" w:cs="Arial"/>
                <w:sz w:val="20"/>
                <w:szCs w:val="20"/>
              </w:rPr>
              <w:t>5</w:t>
            </w:r>
          </w:p>
        </w:tc>
        <w:tc>
          <w:tcPr>
            <w:tcW w:w="1795" w:type="dxa"/>
            <w:tcBorders>
              <w:top w:val="nil"/>
              <w:left w:val="nil"/>
              <w:bottom w:val="nil"/>
              <w:right w:val="nil"/>
            </w:tcBorders>
            <w:shd w:val="clear" w:color="auto" w:fill="auto"/>
            <w:noWrap/>
            <w:vAlign w:val="center"/>
          </w:tcPr>
          <w:p w14:paraId="56804341" w14:textId="77777777" w:rsidR="00753A68" w:rsidRPr="00F04784" w:rsidRDefault="00753A68" w:rsidP="00C47D68">
            <w:pPr>
              <w:spacing w:beforeLines="40" w:before="96"/>
              <w:ind w:right="447"/>
              <w:jc w:val="right"/>
              <w:rPr>
                <w:rFonts w:ascii="Arial" w:hAnsi="Arial" w:cs="Arial"/>
                <w:sz w:val="20"/>
                <w:szCs w:val="20"/>
                <w14:ligatures w14:val="standardContextual"/>
              </w:rPr>
            </w:pPr>
            <w:r w:rsidRPr="00C30E94">
              <w:rPr>
                <w:rFonts w:ascii="Arial" w:hAnsi="Arial" w:cs="Arial"/>
                <w:kern w:val="2"/>
                <w:sz w:val="20"/>
                <w:szCs w:val="20"/>
                <w14:ligatures w14:val="standardContextual"/>
              </w:rPr>
              <w:t>25</w:t>
            </w:r>
            <w:r>
              <w:rPr>
                <w:rFonts w:ascii="Arial" w:hAnsi="Arial" w:cs="Arial"/>
                <w:kern w:val="2"/>
                <w:sz w:val="20"/>
                <w:szCs w:val="20"/>
                <w14:ligatures w14:val="standardContextual"/>
              </w:rPr>
              <w:t>.</w:t>
            </w:r>
            <w:r w:rsidRPr="00C30E94">
              <w:rPr>
                <w:rFonts w:ascii="Arial" w:hAnsi="Arial" w:cs="Arial"/>
                <w:kern w:val="2"/>
                <w:sz w:val="20"/>
                <w:szCs w:val="20"/>
                <w14:ligatures w14:val="standardContextual"/>
              </w:rPr>
              <w:t>9</w:t>
            </w:r>
          </w:p>
        </w:tc>
        <w:tc>
          <w:tcPr>
            <w:tcW w:w="1560" w:type="dxa"/>
            <w:tcBorders>
              <w:top w:val="nil"/>
              <w:left w:val="nil"/>
              <w:bottom w:val="nil"/>
              <w:right w:val="nil"/>
            </w:tcBorders>
            <w:shd w:val="clear" w:color="auto" w:fill="auto"/>
            <w:noWrap/>
            <w:vAlign w:val="center"/>
            <w:hideMark/>
          </w:tcPr>
          <w:p w14:paraId="11A0F2A7" w14:textId="77777777" w:rsidR="00753A68" w:rsidRPr="00F04784" w:rsidRDefault="00753A68" w:rsidP="00C47D68">
            <w:pPr>
              <w:spacing w:beforeLines="40" w:before="96"/>
              <w:ind w:right="447"/>
              <w:jc w:val="right"/>
              <w:rPr>
                <w:rFonts w:ascii="Arial" w:hAnsi="Arial" w:cs="Arial"/>
                <w:sz w:val="20"/>
                <w:szCs w:val="20"/>
                <w14:ligatures w14:val="standardContextual"/>
              </w:rPr>
            </w:pPr>
            <w:r w:rsidRPr="00C30E94">
              <w:rPr>
                <w:rFonts w:ascii="Arial" w:hAnsi="Arial" w:cs="Arial"/>
                <w:kern w:val="2"/>
                <w:sz w:val="20"/>
                <w:szCs w:val="20"/>
                <w14:ligatures w14:val="standardContextual"/>
              </w:rPr>
              <w:t>24</w:t>
            </w:r>
            <w:r>
              <w:rPr>
                <w:rFonts w:ascii="Arial" w:hAnsi="Arial" w:cs="Arial"/>
                <w:kern w:val="2"/>
                <w:sz w:val="20"/>
                <w:szCs w:val="20"/>
                <w14:ligatures w14:val="standardContextual"/>
              </w:rPr>
              <w:t>.</w:t>
            </w:r>
            <w:r w:rsidRPr="00C30E94">
              <w:rPr>
                <w:rFonts w:ascii="Arial" w:hAnsi="Arial" w:cs="Arial"/>
                <w:kern w:val="2"/>
                <w:sz w:val="20"/>
                <w:szCs w:val="20"/>
                <w14:ligatures w14:val="standardContextual"/>
              </w:rPr>
              <w:t>9</w:t>
            </w:r>
          </w:p>
        </w:tc>
      </w:tr>
      <w:tr w:rsidR="00753A68" w:rsidRPr="00BB4D40" w14:paraId="2F275C9E" w14:textId="77777777" w:rsidTr="00C47D68">
        <w:trPr>
          <w:cantSplit/>
          <w:trHeight w:val="372"/>
        </w:trPr>
        <w:tc>
          <w:tcPr>
            <w:tcW w:w="2158" w:type="dxa"/>
            <w:tcBorders>
              <w:top w:val="nil"/>
              <w:left w:val="nil"/>
              <w:bottom w:val="nil"/>
              <w:right w:val="nil"/>
            </w:tcBorders>
            <w:shd w:val="clear" w:color="auto" w:fill="auto"/>
            <w:noWrap/>
            <w:vAlign w:val="center"/>
            <w:hideMark/>
          </w:tcPr>
          <w:p w14:paraId="492E93D4" w14:textId="77777777" w:rsidR="00753A68" w:rsidRPr="00BB4D40" w:rsidRDefault="00753A68" w:rsidP="00C47D68">
            <w:pPr>
              <w:ind w:firstLine="319"/>
              <w:rPr>
                <w:rFonts w:ascii="Arial" w:hAnsi="Arial" w:cs="Arial"/>
                <w:color w:val="000000"/>
                <w:sz w:val="20"/>
                <w:szCs w:val="20"/>
              </w:rPr>
            </w:pPr>
            <w:r w:rsidRPr="00BB4D40">
              <w:rPr>
                <w:rFonts w:ascii="Arial" w:hAnsi="Arial" w:cs="Arial"/>
                <w:color w:val="000000"/>
                <w:sz w:val="20"/>
                <w:szCs w:val="20"/>
                <w:lang w:eastAsia="vi-VN"/>
              </w:rPr>
              <w:t>Inland water way</w:t>
            </w:r>
          </w:p>
        </w:tc>
        <w:tc>
          <w:tcPr>
            <w:tcW w:w="1811" w:type="dxa"/>
            <w:tcBorders>
              <w:top w:val="nil"/>
              <w:left w:val="nil"/>
              <w:bottom w:val="nil"/>
              <w:right w:val="nil"/>
            </w:tcBorders>
            <w:shd w:val="clear" w:color="auto" w:fill="auto"/>
            <w:noWrap/>
            <w:vAlign w:val="center"/>
            <w:hideMark/>
          </w:tcPr>
          <w:p w14:paraId="1AEA0F39" w14:textId="77777777" w:rsidR="00753A68" w:rsidRPr="00F04784" w:rsidRDefault="00753A68" w:rsidP="00C47D68">
            <w:pPr>
              <w:spacing w:beforeLines="40" w:before="96"/>
              <w:ind w:right="447"/>
              <w:jc w:val="right"/>
              <w:rPr>
                <w:rFonts w:ascii="Arial" w:hAnsi="Arial" w:cs="Arial"/>
                <w:sz w:val="20"/>
                <w:szCs w:val="20"/>
                <w14:ligatures w14:val="standardContextual"/>
              </w:rPr>
            </w:pPr>
            <w:r w:rsidRPr="00C30E94">
              <w:rPr>
                <w:rFonts w:ascii="Arial" w:hAnsi="Arial" w:cs="Arial"/>
                <w:sz w:val="20"/>
                <w:szCs w:val="20"/>
              </w:rPr>
              <w:t>97</w:t>
            </w:r>
            <w:r>
              <w:rPr>
                <w:rFonts w:ascii="Arial" w:hAnsi="Arial" w:cs="Arial"/>
                <w:sz w:val="20"/>
                <w:szCs w:val="20"/>
              </w:rPr>
              <w:t>.</w:t>
            </w:r>
            <w:r w:rsidRPr="00C30E94">
              <w:rPr>
                <w:rFonts w:ascii="Arial" w:hAnsi="Arial" w:cs="Arial"/>
                <w:sz w:val="20"/>
                <w:szCs w:val="20"/>
              </w:rPr>
              <w:t>5</w:t>
            </w:r>
          </w:p>
        </w:tc>
        <w:tc>
          <w:tcPr>
            <w:tcW w:w="1843" w:type="dxa"/>
            <w:tcBorders>
              <w:top w:val="nil"/>
              <w:left w:val="nil"/>
              <w:bottom w:val="nil"/>
              <w:right w:val="nil"/>
            </w:tcBorders>
            <w:shd w:val="clear" w:color="auto" w:fill="auto"/>
            <w:noWrap/>
            <w:vAlign w:val="center"/>
            <w:hideMark/>
          </w:tcPr>
          <w:p w14:paraId="2056C411" w14:textId="77777777" w:rsidR="00753A68" w:rsidRPr="00F04784" w:rsidRDefault="00753A68" w:rsidP="00C47D68">
            <w:pPr>
              <w:spacing w:beforeLines="40" w:before="96"/>
              <w:ind w:right="447"/>
              <w:jc w:val="right"/>
              <w:rPr>
                <w:rFonts w:ascii="Arial" w:hAnsi="Arial" w:cs="Arial"/>
                <w:sz w:val="20"/>
                <w:szCs w:val="20"/>
                <w14:ligatures w14:val="standardContextual"/>
              </w:rPr>
            </w:pPr>
            <w:r w:rsidRPr="00C30E94">
              <w:rPr>
                <w:rFonts w:ascii="Arial" w:hAnsi="Arial" w:cs="Arial"/>
                <w:sz w:val="20"/>
                <w:szCs w:val="20"/>
              </w:rPr>
              <w:t>18</w:t>
            </w:r>
            <w:r>
              <w:rPr>
                <w:rFonts w:ascii="Arial" w:hAnsi="Arial" w:cs="Arial"/>
                <w:sz w:val="20"/>
                <w:szCs w:val="20"/>
              </w:rPr>
              <w:t>.</w:t>
            </w:r>
            <w:r w:rsidRPr="00C30E94">
              <w:rPr>
                <w:rFonts w:ascii="Arial" w:hAnsi="Arial" w:cs="Arial"/>
                <w:sz w:val="20"/>
                <w:szCs w:val="20"/>
              </w:rPr>
              <w:t>3</w:t>
            </w:r>
          </w:p>
        </w:tc>
        <w:tc>
          <w:tcPr>
            <w:tcW w:w="1795" w:type="dxa"/>
            <w:tcBorders>
              <w:top w:val="nil"/>
              <w:left w:val="nil"/>
              <w:bottom w:val="nil"/>
              <w:right w:val="nil"/>
            </w:tcBorders>
            <w:shd w:val="clear" w:color="auto" w:fill="auto"/>
            <w:noWrap/>
            <w:vAlign w:val="center"/>
          </w:tcPr>
          <w:p w14:paraId="3BAC8928" w14:textId="77777777" w:rsidR="00753A68" w:rsidRPr="00F04784" w:rsidRDefault="00753A68" w:rsidP="00C47D68">
            <w:pPr>
              <w:spacing w:beforeLines="40" w:before="96"/>
              <w:ind w:right="447"/>
              <w:jc w:val="right"/>
              <w:rPr>
                <w:rFonts w:ascii="Arial" w:hAnsi="Arial" w:cs="Arial"/>
                <w:sz w:val="20"/>
                <w:szCs w:val="20"/>
                <w14:ligatures w14:val="standardContextual"/>
              </w:rPr>
            </w:pPr>
            <w:r w:rsidRPr="00C30E94">
              <w:rPr>
                <w:rFonts w:ascii="Arial" w:hAnsi="Arial" w:cs="Arial"/>
                <w:kern w:val="2"/>
                <w:sz w:val="20"/>
                <w:szCs w:val="20"/>
                <w14:ligatures w14:val="standardContextual"/>
              </w:rPr>
              <w:t>8</w:t>
            </w:r>
            <w:r>
              <w:rPr>
                <w:rFonts w:ascii="Arial" w:hAnsi="Arial" w:cs="Arial"/>
                <w:kern w:val="2"/>
                <w:sz w:val="20"/>
                <w:szCs w:val="20"/>
                <w14:ligatures w14:val="standardContextual"/>
              </w:rPr>
              <w:t>.</w:t>
            </w:r>
            <w:r w:rsidRPr="00C30E94">
              <w:rPr>
                <w:rFonts w:ascii="Arial" w:hAnsi="Arial" w:cs="Arial"/>
                <w:kern w:val="2"/>
                <w:sz w:val="20"/>
                <w:szCs w:val="20"/>
                <w14:ligatures w14:val="standardContextual"/>
              </w:rPr>
              <w:t>7</w:t>
            </w:r>
          </w:p>
        </w:tc>
        <w:tc>
          <w:tcPr>
            <w:tcW w:w="1560" w:type="dxa"/>
            <w:tcBorders>
              <w:top w:val="nil"/>
              <w:left w:val="nil"/>
              <w:bottom w:val="nil"/>
              <w:right w:val="nil"/>
            </w:tcBorders>
            <w:shd w:val="clear" w:color="auto" w:fill="auto"/>
            <w:noWrap/>
            <w:vAlign w:val="center"/>
            <w:hideMark/>
          </w:tcPr>
          <w:p w14:paraId="65169A39" w14:textId="77777777" w:rsidR="00753A68" w:rsidRPr="00F04784" w:rsidRDefault="00753A68" w:rsidP="00C47D68">
            <w:pPr>
              <w:spacing w:beforeLines="40" w:before="96"/>
              <w:ind w:right="447"/>
              <w:jc w:val="right"/>
              <w:rPr>
                <w:rFonts w:ascii="Arial" w:hAnsi="Arial" w:cs="Arial"/>
                <w:sz w:val="20"/>
                <w:szCs w:val="20"/>
                <w14:ligatures w14:val="standardContextual"/>
              </w:rPr>
            </w:pPr>
            <w:r w:rsidRPr="00C30E94">
              <w:rPr>
                <w:rFonts w:ascii="Arial" w:hAnsi="Arial" w:cs="Arial"/>
                <w:kern w:val="2"/>
                <w:sz w:val="20"/>
                <w:szCs w:val="20"/>
                <w14:ligatures w14:val="standardContextual"/>
              </w:rPr>
              <w:t>-7</w:t>
            </w:r>
            <w:r>
              <w:rPr>
                <w:rFonts w:ascii="Arial" w:hAnsi="Arial" w:cs="Arial"/>
                <w:kern w:val="2"/>
                <w:sz w:val="20"/>
                <w:szCs w:val="20"/>
                <w14:ligatures w14:val="standardContextual"/>
              </w:rPr>
              <w:t>.</w:t>
            </w:r>
            <w:r w:rsidRPr="00C30E94">
              <w:rPr>
                <w:rFonts w:ascii="Arial" w:hAnsi="Arial" w:cs="Arial"/>
                <w:kern w:val="2"/>
                <w:sz w:val="20"/>
                <w:szCs w:val="20"/>
                <w14:ligatures w14:val="standardContextual"/>
              </w:rPr>
              <w:t>6</w:t>
            </w:r>
          </w:p>
        </w:tc>
      </w:tr>
      <w:tr w:rsidR="00753A68" w:rsidRPr="00BB4D40" w14:paraId="3549086E" w14:textId="77777777" w:rsidTr="00C47D68">
        <w:trPr>
          <w:cantSplit/>
          <w:trHeight w:val="372"/>
        </w:trPr>
        <w:tc>
          <w:tcPr>
            <w:tcW w:w="2158" w:type="dxa"/>
            <w:tcBorders>
              <w:top w:val="nil"/>
              <w:left w:val="nil"/>
              <w:bottom w:val="nil"/>
              <w:right w:val="nil"/>
            </w:tcBorders>
            <w:shd w:val="clear" w:color="auto" w:fill="auto"/>
            <w:noWrap/>
            <w:vAlign w:val="center"/>
            <w:hideMark/>
          </w:tcPr>
          <w:p w14:paraId="1418E00F" w14:textId="77777777" w:rsidR="00753A68" w:rsidRPr="00BB4D40" w:rsidRDefault="00753A68" w:rsidP="00C47D68">
            <w:pPr>
              <w:ind w:firstLine="319"/>
              <w:rPr>
                <w:rFonts w:ascii="Arial" w:hAnsi="Arial" w:cs="Arial"/>
                <w:color w:val="000000"/>
                <w:sz w:val="20"/>
                <w:szCs w:val="20"/>
              </w:rPr>
            </w:pPr>
            <w:r w:rsidRPr="00BB4D40">
              <w:rPr>
                <w:rFonts w:ascii="Arial" w:hAnsi="Arial" w:cs="Arial"/>
                <w:color w:val="000000"/>
                <w:sz w:val="20"/>
                <w:szCs w:val="20"/>
                <w:lang w:eastAsia="vi-VN"/>
              </w:rPr>
              <w:t>Road</w:t>
            </w:r>
          </w:p>
        </w:tc>
        <w:tc>
          <w:tcPr>
            <w:tcW w:w="1811" w:type="dxa"/>
            <w:tcBorders>
              <w:top w:val="nil"/>
              <w:left w:val="nil"/>
              <w:bottom w:val="nil"/>
              <w:right w:val="nil"/>
            </w:tcBorders>
            <w:shd w:val="clear" w:color="auto" w:fill="auto"/>
            <w:noWrap/>
            <w:vAlign w:val="center"/>
            <w:hideMark/>
          </w:tcPr>
          <w:p w14:paraId="19585DF1" w14:textId="77777777" w:rsidR="00753A68" w:rsidRPr="00F04784" w:rsidRDefault="00753A68" w:rsidP="00C47D68">
            <w:pPr>
              <w:spacing w:beforeLines="40" w:before="96"/>
              <w:ind w:right="447"/>
              <w:jc w:val="right"/>
              <w:rPr>
                <w:rFonts w:ascii="Arial" w:hAnsi="Arial" w:cs="Arial"/>
                <w:sz w:val="20"/>
                <w:szCs w:val="20"/>
                <w14:ligatures w14:val="standardContextual"/>
              </w:rPr>
            </w:pPr>
            <w:r w:rsidRPr="00C30E94">
              <w:rPr>
                <w:rFonts w:ascii="Arial" w:hAnsi="Arial" w:cs="Arial"/>
                <w:sz w:val="20"/>
                <w:szCs w:val="20"/>
              </w:rPr>
              <w:t>346</w:t>
            </w:r>
            <w:r>
              <w:rPr>
                <w:rFonts w:ascii="Arial" w:hAnsi="Arial" w:cs="Arial"/>
                <w:sz w:val="20"/>
                <w:szCs w:val="20"/>
              </w:rPr>
              <w:t>.</w:t>
            </w:r>
            <w:r w:rsidRPr="00C30E94">
              <w:rPr>
                <w:rFonts w:ascii="Arial" w:hAnsi="Arial" w:cs="Arial"/>
                <w:sz w:val="20"/>
                <w:szCs w:val="20"/>
              </w:rPr>
              <w:t>3</w:t>
            </w:r>
          </w:p>
        </w:tc>
        <w:tc>
          <w:tcPr>
            <w:tcW w:w="1843" w:type="dxa"/>
            <w:tcBorders>
              <w:top w:val="nil"/>
              <w:left w:val="nil"/>
              <w:bottom w:val="nil"/>
              <w:right w:val="nil"/>
            </w:tcBorders>
            <w:shd w:val="clear" w:color="auto" w:fill="auto"/>
            <w:noWrap/>
            <w:vAlign w:val="center"/>
            <w:hideMark/>
          </w:tcPr>
          <w:p w14:paraId="6E18ACC2" w14:textId="77777777" w:rsidR="00753A68" w:rsidRPr="00F04784" w:rsidRDefault="00753A68" w:rsidP="00C47D68">
            <w:pPr>
              <w:spacing w:beforeLines="40" w:before="96"/>
              <w:ind w:right="447"/>
              <w:jc w:val="right"/>
              <w:rPr>
                <w:rFonts w:ascii="Arial" w:hAnsi="Arial" w:cs="Arial"/>
                <w:sz w:val="20"/>
                <w:szCs w:val="20"/>
                <w14:ligatures w14:val="standardContextual"/>
              </w:rPr>
            </w:pPr>
            <w:r w:rsidRPr="00C30E94">
              <w:rPr>
                <w:rFonts w:ascii="Arial" w:hAnsi="Arial" w:cs="Arial"/>
                <w:sz w:val="20"/>
                <w:szCs w:val="20"/>
              </w:rPr>
              <w:t>21</w:t>
            </w:r>
            <w:r>
              <w:rPr>
                <w:rFonts w:ascii="Arial" w:hAnsi="Arial" w:cs="Arial"/>
                <w:sz w:val="20"/>
                <w:szCs w:val="20"/>
              </w:rPr>
              <w:t>.</w:t>
            </w:r>
            <w:r w:rsidRPr="00C30E94">
              <w:rPr>
                <w:rFonts w:ascii="Arial" w:hAnsi="Arial" w:cs="Arial"/>
                <w:sz w:val="20"/>
                <w:szCs w:val="20"/>
              </w:rPr>
              <w:t>1</w:t>
            </w:r>
          </w:p>
        </w:tc>
        <w:tc>
          <w:tcPr>
            <w:tcW w:w="1795" w:type="dxa"/>
            <w:tcBorders>
              <w:top w:val="nil"/>
              <w:left w:val="nil"/>
              <w:bottom w:val="nil"/>
              <w:right w:val="nil"/>
            </w:tcBorders>
            <w:shd w:val="clear" w:color="auto" w:fill="auto"/>
            <w:noWrap/>
            <w:vAlign w:val="center"/>
          </w:tcPr>
          <w:p w14:paraId="43A86FE2" w14:textId="77777777" w:rsidR="00753A68" w:rsidRPr="00F04784" w:rsidRDefault="00753A68" w:rsidP="00C47D68">
            <w:pPr>
              <w:spacing w:beforeLines="40" w:before="96"/>
              <w:ind w:right="447"/>
              <w:jc w:val="right"/>
              <w:rPr>
                <w:rFonts w:ascii="Arial" w:hAnsi="Arial" w:cs="Arial"/>
                <w:sz w:val="20"/>
                <w:szCs w:val="20"/>
                <w14:ligatures w14:val="standardContextual"/>
              </w:rPr>
            </w:pPr>
            <w:r w:rsidRPr="00C30E94">
              <w:rPr>
                <w:rFonts w:ascii="Arial" w:hAnsi="Arial" w:cs="Arial"/>
                <w:kern w:val="2"/>
                <w:sz w:val="20"/>
                <w:szCs w:val="20"/>
                <w14:ligatures w14:val="standardContextual"/>
              </w:rPr>
              <w:t>15</w:t>
            </w:r>
            <w:r>
              <w:rPr>
                <w:rFonts w:ascii="Arial" w:hAnsi="Arial" w:cs="Arial"/>
                <w:kern w:val="2"/>
                <w:sz w:val="20"/>
                <w:szCs w:val="20"/>
                <w14:ligatures w14:val="standardContextual"/>
              </w:rPr>
              <w:t>.</w:t>
            </w:r>
            <w:r w:rsidRPr="00C30E94">
              <w:rPr>
                <w:rFonts w:ascii="Arial" w:hAnsi="Arial" w:cs="Arial"/>
                <w:kern w:val="2"/>
                <w:sz w:val="20"/>
                <w:szCs w:val="20"/>
                <w14:ligatures w14:val="standardContextual"/>
              </w:rPr>
              <w:t>5</w:t>
            </w:r>
          </w:p>
        </w:tc>
        <w:tc>
          <w:tcPr>
            <w:tcW w:w="1560" w:type="dxa"/>
            <w:tcBorders>
              <w:top w:val="nil"/>
              <w:left w:val="nil"/>
              <w:bottom w:val="nil"/>
              <w:right w:val="nil"/>
            </w:tcBorders>
            <w:shd w:val="clear" w:color="auto" w:fill="auto"/>
            <w:noWrap/>
            <w:vAlign w:val="center"/>
            <w:hideMark/>
          </w:tcPr>
          <w:p w14:paraId="2FD91009" w14:textId="77777777" w:rsidR="00753A68" w:rsidRPr="00F04784" w:rsidRDefault="00753A68" w:rsidP="00C47D68">
            <w:pPr>
              <w:spacing w:beforeLines="40" w:before="96"/>
              <w:ind w:right="447"/>
              <w:jc w:val="right"/>
              <w:rPr>
                <w:rFonts w:ascii="Arial" w:hAnsi="Arial" w:cs="Arial"/>
                <w:sz w:val="20"/>
                <w:szCs w:val="20"/>
                <w14:ligatures w14:val="standardContextual"/>
              </w:rPr>
            </w:pPr>
            <w:r w:rsidRPr="00C30E94">
              <w:rPr>
                <w:rFonts w:ascii="Arial" w:hAnsi="Arial" w:cs="Arial"/>
                <w:kern w:val="2"/>
                <w:sz w:val="20"/>
                <w:szCs w:val="20"/>
                <w14:ligatures w14:val="standardContextual"/>
              </w:rPr>
              <w:t>3</w:t>
            </w:r>
            <w:r>
              <w:rPr>
                <w:rFonts w:ascii="Arial" w:hAnsi="Arial" w:cs="Arial"/>
                <w:kern w:val="2"/>
                <w:sz w:val="20"/>
                <w:szCs w:val="20"/>
                <w14:ligatures w14:val="standardContextual"/>
              </w:rPr>
              <w:t>.</w:t>
            </w:r>
            <w:r w:rsidRPr="00C30E94">
              <w:rPr>
                <w:rFonts w:ascii="Arial" w:hAnsi="Arial" w:cs="Arial"/>
                <w:kern w:val="2"/>
                <w:sz w:val="20"/>
                <w:szCs w:val="20"/>
                <w14:ligatures w14:val="standardContextual"/>
              </w:rPr>
              <w:t>0</w:t>
            </w:r>
          </w:p>
        </w:tc>
      </w:tr>
      <w:tr w:rsidR="00753A68" w:rsidRPr="00BB4D40" w14:paraId="42C860F2" w14:textId="77777777" w:rsidTr="00C47D68">
        <w:trPr>
          <w:cantSplit/>
          <w:trHeight w:val="372"/>
        </w:trPr>
        <w:tc>
          <w:tcPr>
            <w:tcW w:w="2158" w:type="dxa"/>
            <w:tcBorders>
              <w:top w:val="nil"/>
              <w:left w:val="nil"/>
              <w:bottom w:val="single" w:sz="4" w:space="0" w:color="auto"/>
              <w:right w:val="nil"/>
            </w:tcBorders>
            <w:shd w:val="clear" w:color="auto" w:fill="auto"/>
            <w:noWrap/>
            <w:vAlign w:val="center"/>
            <w:hideMark/>
          </w:tcPr>
          <w:p w14:paraId="4DD531A9" w14:textId="77777777" w:rsidR="00753A68" w:rsidRPr="00BB4D40" w:rsidRDefault="00753A68" w:rsidP="00C47D68">
            <w:pPr>
              <w:ind w:firstLine="319"/>
              <w:rPr>
                <w:rFonts w:ascii="Arial" w:hAnsi="Arial" w:cs="Arial"/>
                <w:color w:val="000000"/>
                <w:sz w:val="20"/>
                <w:szCs w:val="20"/>
              </w:rPr>
            </w:pPr>
            <w:r w:rsidRPr="00BB4D40">
              <w:rPr>
                <w:rFonts w:ascii="Arial" w:hAnsi="Arial" w:cs="Arial"/>
                <w:color w:val="000000"/>
                <w:sz w:val="20"/>
                <w:szCs w:val="20"/>
                <w:lang w:eastAsia="vi-VN"/>
              </w:rPr>
              <w:t xml:space="preserve">Airway </w:t>
            </w:r>
          </w:p>
        </w:tc>
        <w:tc>
          <w:tcPr>
            <w:tcW w:w="1811" w:type="dxa"/>
            <w:tcBorders>
              <w:top w:val="nil"/>
              <w:left w:val="nil"/>
              <w:bottom w:val="single" w:sz="4" w:space="0" w:color="auto"/>
              <w:right w:val="nil"/>
            </w:tcBorders>
            <w:shd w:val="clear" w:color="auto" w:fill="auto"/>
            <w:noWrap/>
            <w:vAlign w:val="center"/>
            <w:hideMark/>
          </w:tcPr>
          <w:p w14:paraId="06DF0819" w14:textId="77777777" w:rsidR="00753A68" w:rsidRPr="00F04784" w:rsidRDefault="00753A68" w:rsidP="00C47D68">
            <w:pPr>
              <w:spacing w:beforeLines="40" w:before="96"/>
              <w:ind w:right="447"/>
              <w:jc w:val="right"/>
              <w:rPr>
                <w:rFonts w:ascii="Arial" w:hAnsi="Arial" w:cs="Arial"/>
                <w:sz w:val="20"/>
                <w:szCs w:val="20"/>
                <w14:ligatures w14:val="standardContextual"/>
              </w:rPr>
            </w:pPr>
            <w:r w:rsidRPr="00C30E94">
              <w:rPr>
                <w:rFonts w:ascii="Arial" w:hAnsi="Arial" w:cs="Arial"/>
                <w:sz w:val="20"/>
                <w:szCs w:val="20"/>
              </w:rPr>
              <w:t>0</w:t>
            </w:r>
            <w:r>
              <w:rPr>
                <w:rFonts w:ascii="Arial" w:hAnsi="Arial" w:cs="Arial"/>
                <w:sz w:val="20"/>
                <w:szCs w:val="20"/>
              </w:rPr>
              <w:t>.</w:t>
            </w:r>
            <w:r w:rsidRPr="00C30E94">
              <w:rPr>
                <w:rFonts w:ascii="Arial" w:hAnsi="Arial" w:cs="Arial"/>
                <w:sz w:val="20"/>
                <w:szCs w:val="20"/>
              </w:rPr>
              <w:t>1</w:t>
            </w:r>
          </w:p>
        </w:tc>
        <w:tc>
          <w:tcPr>
            <w:tcW w:w="1843" w:type="dxa"/>
            <w:tcBorders>
              <w:top w:val="nil"/>
              <w:left w:val="nil"/>
              <w:bottom w:val="single" w:sz="4" w:space="0" w:color="auto"/>
              <w:right w:val="nil"/>
            </w:tcBorders>
            <w:shd w:val="clear" w:color="auto" w:fill="auto"/>
            <w:noWrap/>
            <w:vAlign w:val="center"/>
            <w:hideMark/>
          </w:tcPr>
          <w:p w14:paraId="3546698B" w14:textId="77777777" w:rsidR="00753A68" w:rsidRPr="00F04784" w:rsidRDefault="00753A68" w:rsidP="00C47D68">
            <w:pPr>
              <w:spacing w:beforeLines="40" w:before="96"/>
              <w:ind w:right="447"/>
              <w:jc w:val="right"/>
              <w:rPr>
                <w:rFonts w:ascii="Arial" w:hAnsi="Arial" w:cs="Arial"/>
                <w:sz w:val="20"/>
                <w:szCs w:val="20"/>
                <w14:ligatures w14:val="standardContextual"/>
              </w:rPr>
            </w:pPr>
            <w:r w:rsidRPr="00C30E94">
              <w:rPr>
                <w:rFonts w:ascii="Arial" w:hAnsi="Arial" w:cs="Arial"/>
                <w:sz w:val="20"/>
                <w:szCs w:val="20"/>
              </w:rPr>
              <w:t>1</w:t>
            </w:r>
            <w:r>
              <w:rPr>
                <w:rFonts w:ascii="Arial" w:hAnsi="Arial" w:cs="Arial"/>
                <w:sz w:val="20"/>
                <w:szCs w:val="20"/>
              </w:rPr>
              <w:t>.</w:t>
            </w:r>
            <w:r w:rsidRPr="00C30E94">
              <w:rPr>
                <w:rFonts w:ascii="Arial" w:hAnsi="Arial" w:cs="Arial"/>
                <w:sz w:val="20"/>
                <w:szCs w:val="20"/>
              </w:rPr>
              <w:t>7</w:t>
            </w:r>
          </w:p>
        </w:tc>
        <w:tc>
          <w:tcPr>
            <w:tcW w:w="1795" w:type="dxa"/>
            <w:tcBorders>
              <w:top w:val="nil"/>
              <w:left w:val="nil"/>
              <w:bottom w:val="single" w:sz="4" w:space="0" w:color="auto"/>
              <w:right w:val="nil"/>
            </w:tcBorders>
            <w:shd w:val="clear" w:color="auto" w:fill="auto"/>
            <w:noWrap/>
            <w:vAlign w:val="center"/>
          </w:tcPr>
          <w:p w14:paraId="694BD7C1" w14:textId="77777777" w:rsidR="00753A68" w:rsidRPr="00F04784" w:rsidRDefault="00753A68" w:rsidP="00C47D68">
            <w:pPr>
              <w:spacing w:beforeLines="40" w:before="96"/>
              <w:ind w:right="447"/>
              <w:jc w:val="right"/>
              <w:rPr>
                <w:rFonts w:ascii="Arial" w:hAnsi="Arial" w:cs="Arial"/>
                <w:sz w:val="20"/>
                <w:szCs w:val="20"/>
                <w14:ligatures w14:val="standardContextual"/>
              </w:rPr>
            </w:pPr>
            <w:r w:rsidRPr="00C30E94">
              <w:rPr>
                <w:rFonts w:ascii="Arial" w:hAnsi="Arial" w:cs="Arial"/>
                <w:kern w:val="2"/>
                <w:sz w:val="20"/>
                <w:szCs w:val="20"/>
                <w14:ligatures w14:val="standardContextual"/>
              </w:rPr>
              <w:t>10</w:t>
            </w:r>
            <w:r>
              <w:rPr>
                <w:rFonts w:ascii="Arial" w:hAnsi="Arial" w:cs="Arial"/>
                <w:kern w:val="2"/>
                <w:sz w:val="20"/>
                <w:szCs w:val="20"/>
                <w14:ligatures w14:val="standardContextual"/>
              </w:rPr>
              <w:t>.</w:t>
            </w:r>
            <w:r w:rsidRPr="00C30E94">
              <w:rPr>
                <w:rFonts w:ascii="Arial" w:hAnsi="Arial" w:cs="Arial"/>
                <w:kern w:val="2"/>
                <w:sz w:val="20"/>
                <w:szCs w:val="20"/>
                <w14:ligatures w14:val="standardContextual"/>
              </w:rPr>
              <w:t>2</w:t>
            </w:r>
          </w:p>
        </w:tc>
        <w:tc>
          <w:tcPr>
            <w:tcW w:w="1560" w:type="dxa"/>
            <w:tcBorders>
              <w:top w:val="nil"/>
              <w:left w:val="nil"/>
              <w:bottom w:val="single" w:sz="4" w:space="0" w:color="auto"/>
              <w:right w:val="nil"/>
            </w:tcBorders>
            <w:shd w:val="clear" w:color="auto" w:fill="auto"/>
            <w:noWrap/>
            <w:vAlign w:val="center"/>
            <w:hideMark/>
          </w:tcPr>
          <w:p w14:paraId="1DA0F449" w14:textId="77777777" w:rsidR="00753A68" w:rsidRPr="00F04784" w:rsidRDefault="00753A68" w:rsidP="00C47D68">
            <w:pPr>
              <w:spacing w:beforeLines="40" w:before="96"/>
              <w:ind w:right="447"/>
              <w:jc w:val="right"/>
              <w:rPr>
                <w:rFonts w:ascii="Arial" w:hAnsi="Arial" w:cs="Arial"/>
                <w:sz w:val="20"/>
                <w:szCs w:val="20"/>
                <w14:ligatures w14:val="standardContextual"/>
              </w:rPr>
            </w:pPr>
            <w:r w:rsidRPr="00C30E94">
              <w:rPr>
                <w:rFonts w:ascii="Arial" w:hAnsi="Arial" w:cs="Arial"/>
                <w:kern w:val="2"/>
                <w:sz w:val="20"/>
                <w:szCs w:val="20"/>
                <w14:ligatures w14:val="standardContextual"/>
              </w:rPr>
              <w:t>-2</w:t>
            </w:r>
            <w:r>
              <w:rPr>
                <w:rFonts w:ascii="Arial" w:hAnsi="Arial" w:cs="Arial"/>
                <w:kern w:val="2"/>
                <w:sz w:val="20"/>
                <w:szCs w:val="20"/>
                <w14:ligatures w14:val="standardContextual"/>
              </w:rPr>
              <w:t>.</w:t>
            </w:r>
            <w:r w:rsidRPr="00C30E94">
              <w:rPr>
                <w:rFonts w:ascii="Arial" w:hAnsi="Arial" w:cs="Arial"/>
                <w:kern w:val="2"/>
                <w:sz w:val="20"/>
                <w:szCs w:val="20"/>
                <w14:ligatures w14:val="standardContextual"/>
              </w:rPr>
              <w:t>3</w:t>
            </w:r>
          </w:p>
        </w:tc>
      </w:tr>
    </w:tbl>
    <w:p w14:paraId="1C3C083F" w14:textId="77777777" w:rsidR="00753A68" w:rsidRPr="00BB4D40" w:rsidRDefault="00753A68" w:rsidP="00753A68">
      <w:pPr>
        <w:spacing w:beforeLines="40" w:before="96" w:afterLines="40" w:after="96" w:line="264" w:lineRule="auto"/>
        <w:ind w:firstLine="567"/>
        <w:jc w:val="center"/>
        <w:rPr>
          <w:rFonts w:ascii="Arial" w:hAnsi="Arial" w:cs="Arial"/>
          <w:b/>
          <w:bCs/>
          <w:sz w:val="2"/>
          <w:szCs w:val="24"/>
          <w:lang w:val="fr-FR"/>
        </w:rPr>
      </w:pPr>
    </w:p>
    <w:p w14:paraId="461514AE" w14:textId="77777777" w:rsidR="00753A68" w:rsidRPr="00BB4D40" w:rsidRDefault="00753A68" w:rsidP="00753A68">
      <w:pPr>
        <w:spacing w:beforeLines="40" w:before="96" w:afterLines="40" w:after="96" w:line="293" w:lineRule="auto"/>
        <w:ind w:firstLine="567"/>
        <w:jc w:val="both"/>
        <w:rPr>
          <w:b/>
          <w:bCs/>
          <w:i/>
        </w:rPr>
      </w:pPr>
      <w:r w:rsidRPr="00BB4D40">
        <w:rPr>
          <w:b/>
          <w:bCs/>
          <w:i/>
          <w:iCs/>
          <w:lang w:val="pt-BR"/>
        </w:rPr>
        <w:t xml:space="preserve">đ) </w:t>
      </w:r>
      <w:r w:rsidRPr="00870842">
        <w:rPr>
          <w:rFonts w:ascii="Times New Roman Bold Italic" w:hAnsi="Times New Roman Bold Italic"/>
          <w:b/>
          <w:i/>
          <w:iCs/>
        </w:rPr>
        <w:t>International visitors to Viet Nam</w:t>
      </w:r>
      <w:r w:rsidRPr="00BB4D40">
        <w:rPr>
          <w:rStyle w:val="FootnoteReference"/>
          <w:rFonts w:ascii="Times New Roman Bold Italic" w:eastAsiaTheme="majorEastAsia" w:hAnsi="Times New Roman Bold Italic"/>
          <w:b/>
          <w:i/>
          <w:iCs/>
        </w:rPr>
        <w:footnoteReference w:id="30"/>
      </w:r>
    </w:p>
    <w:p w14:paraId="31C72F1A" w14:textId="77777777" w:rsidR="00753A68" w:rsidRPr="00870842" w:rsidRDefault="00753A68" w:rsidP="00753A68">
      <w:pPr>
        <w:shd w:val="clear" w:color="auto" w:fill="FFFFFF"/>
        <w:spacing w:beforeLines="40" w:before="96" w:afterLines="40" w:after="96" w:line="293" w:lineRule="auto"/>
        <w:ind w:firstLine="567"/>
        <w:jc w:val="both"/>
        <w:rPr>
          <w:i/>
          <w:iCs/>
        </w:rPr>
      </w:pPr>
      <w:r w:rsidRPr="00870842">
        <w:rPr>
          <w:i/>
          <w:iCs/>
        </w:rPr>
        <w:t>Favorable visa policies, enhanced tourism promotion programs, and prestigious tourism awards presented by international organizations have attracted an increasing number of international visitors to Vietnam.</w:t>
      </w:r>
    </w:p>
    <w:p w14:paraId="4166D4C2" w14:textId="77777777" w:rsidR="00753A68" w:rsidRPr="00870842" w:rsidRDefault="00753A68" w:rsidP="00753A68">
      <w:pPr>
        <w:shd w:val="clear" w:color="auto" w:fill="FFFFFF"/>
        <w:spacing w:beforeLines="40" w:before="96" w:afterLines="40" w:after="96" w:line="293" w:lineRule="auto"/>
        <w:ind w:firstLine="567"/>
        <w:jc w:val="both"/>
      </w:pPr>
      <w:r w:rsidRPr="00870842">
        <w:t xml:space="preserve">In </w:t>
      </w:r>
      <w:r>
        <w:t>02/2025</w:t>
      </w:r>
      <w:r w:rsidRPr="003A2BF7">
        <w:rPr>
          <w:rStyle w:val="FootnoteReference"/>
          <w:rFonts w:eastAsiaTheme="majorEastAsia"/>
          <w:lang w:val="fr-FR"/>
        </w:rPr>
        <w:footnoteReference w:id="31"/>
      </w:r>
      <w:r w:rsidRPr="00870842">
        <w:t>, the number of international visitors to Viet Nam reached 1.</w:t>
      </w:r>
      <w:r>
        <w:t>9</w:t>
      </w:r>
      <w:r w:rsidRPr="00870842">
        <w:t xml:space="preserve"> million, increased by </w:t>
      </w:r>
      <w:r>
        <w:t>23.7</w:t>
      </w:r>
      <w:r w:rsidRPr="00870842">
        <w:t xml:space="preserve">% compared to the same period last year. In </w:t>
      </w:r>
      <w:r>
        <w:t>the first two months of 2025</w:t>
      </w:r>
      <w:r w:rsidRPr="00870842">
        <w:t xml:space="preserve">, international visitors to our country reached nearly </w:t>
      </w:r>
      <w:r>
        <w:t>3.96</w:t>
      </w:r>
      <w:r w:rsidRPr="00870842">
        <w:t xml:space="preserve"> million arrivals, up </w:t>
      </w:r>
      <w:r>
        <w:t>30.2</w:t>
      </w:r>
      <w:r w:rsidRPr="00870842">
        <w:t>% compared to the same period last year.</w:t>
      </w:r>
      <w:r>
        <w:t>Of which</w:t>
      </w:r>
      <w:r w:rsidRPr="00870842">
        <w:t xml:space="preserve">, arrivals by air reached nearly </w:t>
      </w:r>
      <w:r>
        <w:t>3.4</w:t>
      </w:r>
      <w:r w:rsidRPr="00870842">
        <w:t xml:space="preserve"> million arrivals, accounting for </w:t>
      </w:r>
      <w:r>
        <w:t>85.7</w:t>
      </w:r>
      <w:r w:rsidRPr="00870842">
        <w:t xml:space="preserve">% of international arrivals to Viet Nam and up </w:t>
      </w:r>
      <w:r>
        <w:t>32.5</w:t>
      </w:r>
      <w:r w:rsidRPr="00870842">
        <w:t xml:space="preserve">% over the same period last year; by road reached </w:t>
      </w:r>
      <w:r>
        <w:t xml:space="preserve">467.2 thousand </w:t>
      </w:r>
      <w:r w:rsidRPr="00870842">
        <w:t xml:space="preserve">arrivals, accounting for </w:t>
      </w:r>
      <w:r>
        <w:t>11.8</w:t>
      </w:r>
      <w:r w:rsidRPr="00870842">
        <w:t xml:space="preserve">% and up </w:t>
      </w:r>
      <w:r>
        <w:t>20.2</w:t>
      </w:r>
      <w:r w:rsidRPr="00870842">
        <w:t xml:space="preserve">%; by sea reached </w:t>
      </w:r>
      <w:r>
        <w:rPr>
          <w:bCs/>
          <w:lang w:val="pt-BR" w:eastAsia="en-GB"/>
        </w:rPr>
        <w:t>99.4</w:t>
      </w:r>
      <w:r w:rsidRPr="00BB4D40">
        <w:rPr>
          <w:bCs/>
          <w:lang w:val="pt-BR" w:eastAsia="en-GB"/>
        </w:rPr>
        <w:t xml:space="preserve"> </w:t>
      </w:r>
      <w:r w:rsidRPr="00870842">
        <w:t xml:space="preserve">thousand arrivals, accounting for </w:t>
      </w:r>
      <w:r>
        <w:t>2.5</w:t>
      </w:r>
      <w:r w:rsidRPr="00870842">
        <w:t xml:space="preserve">% and up </w:t>
      </w:r>
      <w:r>
        <w:t>9.6</w:t>
      </w:r>
      <w:r w:rsidRPr="00870842">
        <w:t>% .</w:t>
      </w:r>
    </w:p>
    <w:p w14:paraId="20FCE7ED" w14:textId="77777777" w:rsidR="00753A68" w:rsidRPr="00870842" w:rsidRDefault="00753A68" w:rsidP="00753A68">
      <w:pPr>
        <w:spacing w:beforeLines="40" w:before="96" w:afterLines="40" w:after="96" w:line="264" w:lineRule="auto"/>
        <w:jc w:val="center"/>
        <w:rPr>
          <w:rFonts w:ascii="Arial" w:hAnsi="Arial" w:cs="Arial"/>
          <w:b/>
          <w:bCs/>
          <w:iCs/>
          <w:sz w:val="24"/>
          <w:szCs w:val="24"/>
        </w:rPr>
      </w:pPr>
      <w:r w:rsidRPr="00870842">
        <w:rPr>
          <w:rFonts w:ascii="Arial" w:hAnsi="Arial" w:cs="Arial"/>
          <w:b/>
          <w:bCs/>
          <w:iCs/>
          <w:sz w:val="24"/>
          <w:szCs w:val="24"/>
        </w:rPr>
        <w:t xml:space="preserve">Figure 17. International visitors to Viet Nam in </w:t>
      </w:r>
      <w:r>
        <w:rPr>
          <w:rFonts w:ascii="Arial" w:hAnsi="Arial" w:cs="Arial"/>
          <w:b/>
          <w:bCs/>
          <w:iCs/>
          <w:sz w:val="24"/>
          <w:szCs w:val="24"/>
        </w:rPr>
        <w:t>02 months</w:t>
      </w:r>
      <w:r w:rsidRPr="00870842">
        <w:rPr>
          <w:rFonts w:ascii="Arial" w:hAnsi="Arial" w:cs="Arial"/>
          <w:b/>
          <w:bCs/>
          <w:iCs/>
          <w:sz w:val="24"/>
          <w:szCs w:val="24"/>
        </w:rPr>
        <w:t xml:space="preserve"> </w:t>
      </w:r>
      <w:r w:rsidRPr="00870842">
        <w:rPr>
          <w:rFonts w:ascii="Arial" w:hAnsi="Arial" w:cs="Arial"/>
          <w:b/>
          <w:bCs/>
          <w:iCs/>
          <w:sz w:val="24"/>
          <w:szCs w:val="24"/>
        </w:rPr>
        <w:br/>
        <w:t>of 202</w:t>
      </w:r>
      <w:r>
        <w:rPr>
          <w:rFonts w:ascii="Arial" w:hAnsi="Arial" w:cs="Arial"/>
          <w:b/>
          <w:bCs/>
          <w:iCs/>
          <w:sz w:val="24"/>
          <w:szCs w:val="24"/>
        </w:rPr>
        <w:t>5</w:t>
      </w:r>
      <w:r w:rsidRPr="00870842">
        <w:rPr>
          <w:rFonts w:ascii="Arial" w:hAnsi="Arial" w:cs="Arial"/>
          <w:b/>
          <w:bCs/>
          <w:iCs/>
          <w:sz w:val="24"/>
          <w:szCs w:val="24"/>
        </w:rPr>
        <w:t xml:space="preserve"> by territories</w:t>
      </w:r>
    </w:p>
    <w:p w14:paraId="586C210D" w14:textId="1920BA4C" w:rsidR="0048539B" w:rsidRPr="00753A68" w:rsidRDefault="00753A68" w:rsidP="00753A68">
      <w:r>
        <w:rPr>
          <w:noProof/>
          <w:lang w:val="en-US"/>
        </w:rPr>
        <w:lastRenderedPageBreak/>
        <w:drawing>
          <wp:inline distT="0" distB="0" distL="0" distR="0" wp14:anchorId="1C79B5B8" wp14:editId="043D1E7A">
            <wp:extent cx="5972175" cy="2990850"/>
            <wp:effectExtent l="0" t="0" r="9525" b="0"/>
            <wp:docPr id="1562583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2175" cy="2990850"/>
                    </a:xfrm>
                    <a:prstGeom prst="rect">
                      <a:avLst/>
                    </a:prstGeom>
                    <a:noFill/>
                    <a:ln>
                      <a:noFill/>
                    </a:ln>
                  </pic:spPr>
                </pic:pic>
              </a:graphicData>
            </a:graphic>
          </wp:inline>
        </w:drawing>
      </w:r>
    </w:p>
    <w:p w14:paraId="771A398F" w14:textId="77777777" w:rsidR="00753A68" w:rsidRPr="00442A1B" w:rsidRDefault="00753A68" w:rsidP="00753A68">
      <w:pPr>
        <w:spacing w:before="120" w:after="120" w:line="288" w:lineRule="auto"/>
        <w:ind w:firstLine="720"/>
        <w:jc w:val="both"/>
        <w:rPr>
          <w:b/>
        </w:rPr>
      </w:pPr>
      <w:r w:rsidRPr="00442A1B">
        <w:rPr>
          <w:b/>
        </w:rPr>
        <w:t>7. Some social situations</w:t>
      </w:r>
    </w:p>
    <w:p w14:paraId="441F142A" w14:textId="77777777" w:rsidR="00753A68" w:rsidRPr="00442A1B" w:rsidRDefault="00753A68" w:rsidP="00753A68">
      <w:pPr>
        <w:spacing w:before="120" w:after="120" w:line="288" w:lineRule="auto"/>
        <w:ind w:firstLine="720"/>
        <w:jc w:val="both"/>
        <w:rPr>
          <w:b/>
          <w:i/>
        </w:rPr>
      </w:pPr>
      <w:r w:rsidRPr="00442A1B">
        <w:rPr>
          <w:b/>
          <w:i/>
        </w:rPr>
        <w:t>a) People's life</w:t>
      </w:r>
    </w:p>
    <w:p w14:paraId="77557AC7" w14:textId="77777777" w:rsidR="00753A68" w:rsidRPr="00442A1B" w:rsidRDefault="00753A68" w:rsidP="00753A68">
      <w:pPr>
        <w:spacing w:before="120" w:after="120" w:line="288" w:lineRule="auto"/>
        <w:ind w:firstLine="720"/>
        <w:jc w:val="both"/>
      </w:pPr>
      <w:r w:rsidRPr="00442A1B">
        <w:t>According to the preliminary results of the Labor and Employment Survey, the rate of households with income in the month remained unchanged and increased compared to the same period last year at 97.0% (an increase of 1 percentage point compared to the January 2025 reporting period and an increase of 2.8 percentage points compared to the same period last year); the rate of households with income decreased was 3.0%.</w:t>
      </w:r>
    </w:p>
    <w:p w14:paraId="2554173C" w14:textId="77777777" w:rsidR="00753A68" w:rsidRPr="00442A1B" w:rsidRDefault="00753A68" w:rsidP="00753A68">
      <w:pPr>
        <w:spacing w:before="120" w:after="120" w:line="288" w:lineRule="auto"/>
        <w:ind w:firstLine="720"/>
        <w:jc w:val="both"/>
      </w:pPr>
      <w:r w:rsidRPr="00442A1B">
        <w:t>Households whose income in February decreased compared to the same period last year identified the main reasons as</w:t>
      </w:r>
      <w:r w:rsidRPr="00C30E94">
        <w:rPr>
          <w:rStyle w:val="FootnoteReference"/>
          <w:bCs/>
          <w:snapToGrid w:val="0"/>
          <w:spacing w:val="-4"/>
          <w:lang w:val="nl-NL"/>
        </w:rPr>
        <w:footnoteReference w:id="32"/>
      </w:r>
      <w:r w:rsidRPr="00442A1B">
        <w:t>: Some household members lost their jobs or temporarily quit their jobs (48.1%); due to a decrease in the scale of household production and business activities (17.6%); due to an increase in input costs for household production and business activities (16.0%); due to a decrease in the selling price of products from household production and business activities (15.1%).</w:t>
      </w:r>
    </w:p>
    <w:p w14:paraId="260C24DA" w14:textId="77777777" w:rsidR="00753A68" w:rsidRPr="00442A1B" w:rsidRDefault="00753A68" w:rsidP="00753A68">
      <w:pPr>
        <w:spacing w:before="120" w:after="120" w:line="288" w:lineRule="auto"/>
        <w:ind w:firstLine="720"/>
        <w:jc w:val="both"/>
      </w:pPr>
      <w:r w:rsidRPr="00442A1B">
        <w:t xml:space="preserve">In the first two months of 2025, 30.4% of households reported experiencing at least one event that negatively affected their family life, similar to the January 2025 reporting period and down 2.6 percentage points compared to the February 2024 reporting period. Among households negatively affected by events: 29.4% of households are suffering from the effects of rising prices of goods and services; 2.1% of households are negatively affected by natural </w:t>
      </w:r>
      <w:r w:rsidRPr="00442A1B">
        <w:lastRenderedPageBreak/>
        <w:t>disasters; 2.5% of households are negatively affected by human diseases and 1.7% of households are negatively affected by diseases in livestock and crops.</w:t>
      </w:r>
    </w:p>
    <w:p w14:paraId="3AEE80AF" w14:textId="77777777" w:rsidR="00753A68" w:rsidRPr="00442A1B" w:rsidRDefault="00753A68" w:rsidP="00753A68">
      <w:pPr>
        <w:spacing w:before="120" w:after="120" w:line="288" w:lineRule="auto"/>
        <w:ind w:firstLine="720"/>
        <w:jc w:val="both"/>
      </w:pPr>
      <w:r w:rsidRPr="00442A1B">
        <w:t>In February, 14.3% of interviewed households received assistance from various sources. Of these, 10.0% received assistance from relatives and friends; 5.1% from local programs and policies; 4.8% from national programs and policies; 1.9% from charitable activities of other organizations and individuals; and 0.01% from other sources.</w:t>
      </w:r>
    </w:p>
    <w:p w14:paraId="6ACB89F8" w14:textId="56CC088C" w:rsidR="00753A68" w:rsidRDefault="00753A68" w:rsidP="00753A68">
      <w:pPr>
        <w:spacing w:before="120" w:after="120" w:line="288" w:lineRule="auto"/>
        <w:ind w:firstLine="720"/>
        <w:jc w:val="both"/>
      </w:pPr>
      <w:r w:rsidRPr="00442A1B">
        <w:t>Social security work has always been promptly implemented by all levels and sectors. From the beginning of the year to February 27, 2025, the Government has supported people with nearly 6.9 thousand tons of rice, including: Supporting more than 6.0 thousand tons of rice to relieve hunger on the occasion of Lunar New Year for 402.6 thousand people; supporting 836 tons of rice to relieve hunger during the 2025 crop gap for 55.8 thousand people.</w:t>
      </w:r>
    </w:p>
    <w:p w14:paraId="440475F4" w14:textId="77777777" w:rsidR="00753A68" w:rsidRPr="00753A68" w:rsidRDefault="00753A68" w:rsidP="00753A68">
      <w:pPr>
        <w:tabs>
          <w:tab w:val="left" w:pos="0"/>
          <w:tab w:val="left" w:pos="720"/>
        </w:tabs>
        <w:spacing w:after="120" w:line="259" w:lineRule="auto"/>
        <w:ind w:firstLine="720"/>
        <w:jc w:val="both"/>
        <w:rPr>
          <w:b/>
          <w:bCs/>
          <w:i/>
          <w:iCs/>
          <w:lang w:val="nl-NL"/>
        </w:rPr>
      </w:pPr>
      <w:r w:rsidRPr="00753A68">
        <w:rPr>
          <w:b/>
          <w:bCs/>
          <w:i/>
          <w:iCs/>
          <w:lang w:val="nl-NL"/>
        </w:rPr>
        <w:t>b) Disease situation and food poisoning</w:t>
      </w:r>
    </w:p>
    <w:p w14:paraId="7A2DE808" w14:textId="77777777" w:rsidR="00753A68" w:rsidRPr="00753A68" w:rsidRDefault="00753A68" w:rsidP="00753A68">
      <w:pPr>
        <w:spacing w:after="120" w:line="259" w:lineRule="auto"/>
        <w:ind w:firstLine="720"/>
        <w:jc w:val="both"/>
        <w:rPr>
          <w:lang w:val="de-DE"/>
        </w:rPr>
      </w:pPr>
      <w:r w:rsidRPr="00753A68">
        <w:rPr>
          <w:lang w:val="de-DE"/>
        </w:rPr>
        <w:t>According to a report from the Ministry of Health, in the month (from January 19 to February 18, 2025), the whole country had 6,540 cases of dengue fever; 1,989 cases of hand, foot and mouth disease; 18.5 thousand cases of typhus suspected of measles (01 death); 08 deaths due to rabies; 26 cases of viral encephalitis; 03 cases of meningococcal meningitis. In the two months of 2025, the whole country had 16,607 cases of dengue fever (01 death); 5,595 cases of hand, foot and mouth disease; 38.7 thousand cases of typhus suspected of measles (04 deaths); 10 deaths due to rabies; 50 cases of viral encephalitis; 06 cases of meningococcal meningitis.</w:t>
      </w:r>
    </w:p>
    <w:p w14:paraId="4E2B654E" w14:textId="77777777" w:rsidR="00753A68" w:rsidRPr="00753A68" w:rsidRDefault="00753A68" w:rsidP="00753A68">
      <w:pPr>
        <w:spacing w:after="120" w:line="259" w:lineRule="auto"/>
        <w:ind w:firstLine="720"/>
        <w:jc w:val="both"/>
        <w:rPr>
          <w:lang w:val="de-DE"/>
        </w:rPr>
      </w:pPr>
      <w:r w:rsidRPr="00753A68">
        <w:rPr>
          <w:lang w:val="de-DE"/>
        </w:rPr>
        <w:t>The total number of people living with HIV in the country as of February 18, 2025 was 246.9 thousand people; the number of deaths due to HIV/AIDS was 116.1 thousand people.</w:t>
      </w:r>
    </w:p>
    <w:p w14:paraId="71DA387A" w14:textId="77777777" w:rsidR="00753A68" w:rsidRPr="00753A68" w:rsidRDefault="00753A68" w:rsidP="00753A68">
      <w:pPr>
        <w:spacing w:after="120" w:line="259" w:lineRule="auto"/>
        <w:ind w:firstLine="720"/>
        <w:jc w:val="both"/>
        <w:rPr>
          <w:lang w:val="de-DE"/>
        </w:rPr>
      </w:pPr>
      <w:r w:rsidRPr="00753A68">
        <w:rPr>
          <w:lang w:val="de-DE"/>
        </w:rPr>
        <w:t>Regarding food poisoning, in February 2025 there was no food poisoning. In the two months of 2025 (from January 19 to February 18, 2025), the whole country had 05 cases with 37 people being poisoned (05 people died).</w:t>
      </w:r>
    </w:p>
    <w:p w14:paraId="5BB583AD" w14:textId="77777777" w:rsidR="00753A68" w:rsidRPr="00753A68" w:rsidRDefault="00753A68" w:rsidP="00753A68">
      <w:pPr>
        <w:spacing w:after="120" w:line="259" w:lineRule="auto"/>
        <w:ind w:firstLine="720"/>
        <w:jc w:val="both"/>
        <w:outlineLvl w:val="0"/>
        <w:rPr>
          <w:b/>
          <w:i/>
          <w:iCs/>
          <w:lang w:val="nl-NL"/>
        </w:rPr>
      </w:pPr>
      <w:r w:rsidRPr="00753A68">
        <w:rPr>
          <w:b/>
          <w:bCs/>
          <w:i/>
          <w:iCs/>
          <w:lang w:val="pl-PL"/>
        </w:rPr>
        <w:t xml:space="preserve">c) </w:t>
      </w:r>
      <w:r w:rsidRPr="00753A68">
        <w:rPr>
          <w:b/>
          <w:i/>
          <w:iCs/>
          <w:lang w:val="nl-NL"/>
        </w:rPr>
        <w:t>Sports activities</w:t>
      </w:r>
    </w:p>
    <w:p w14:paraId="5D89584A" w14:textId="77777777" w:rsidR="00753A68" w:rsidRPr="00753A68" w:rsidRDefault="00753A68" w:rsidP="00753A68">
      <w:pPr>
        <w:spacing w:after="120" w:line="259" w:lineRule="auto"/>
        <w:ind w:firstLine="720"/>
        <w:jc w:val="both"/>
        <w:rPr>
          <w:bCs/>
          <w:spacing w:val="-2"/>
          <w:lang w:val="nl-NL"/>
        </w:rPr>
      </w:pPr>
      <w:r w:rsidRPr="00753A68">
        <w:rPr>
          <w:bCs/>
          <w:spacing w:val="-2"/>
          <w:lang w:val="nl-NL"/>
        </w:rPr>
        <w:t xml:space="preserve">In February, many solemn activities took place across the country to celebrate the 95th anniversary of the founding of the Communist Party of Vietnam (February 3, 1930-February 3, 2025). This was also the beginning of the new year, so many festivals were organized by localities across the country to preserve the nation's traditional cultural identity and promote history, culture, and tourism to domestic and international tourists. Outstanding festivals include: Perfume Pagoda Festival - Hanoi, Dong Da Festival - Hanoi, Yen Tu Festival - Quang </w:t>
      </w:r>
      <w:r w:rsidRPr="00753A68">
        <w:rPr>
          <w:bCs/>
          <w:spacing w:val="-2"/>
          <w:lang w:val="nl-NL"/>
        </w:rPr>
        <w:lastRenderedPageBreak/>
        <w:t>Ninh, Lim Festival - Bac Ninh, Tran Temple Festival - Nam Dinh, Tam Chuc Pagoda Festival - Ha Nam...</w:t>
      </w:r>
    </w:p>
    <w:p w14:paraId="790D03EB" w14:textId="77777777" w:rsidR="00753A68" w:rsidRPr="00753A68" w:rsidRDefault="00753A68" w:rsidP="00753A68">
      <w:pPr>
        <w:spacing w:after="120" w:line="259" w:lineRule="auto"/>
        <w:ind w:firstLine="720"/>
        <w:jc w:val="both"/>
        <w:rPr>
          <w:bCs/>
          <w:lang w:val="nl-NL"/>
        </w:rPr>
      </w:pPr>
      <w:r w:rsidRPr="00753A68">
        <w:rPr>
          <w:bCs/>
          <w:lang w:val="nl-NL"/>
        </w:rPr>
        <w:t>Regarding the mass sports movement, some outstanding activities took place during the month such as: National U19 Women's Football Championship - Acecook Cup 2025; final round of the 2024-2025 national U19 football championship; V-League national football championship 2024-2025; the 3rd traditional men's boat race in Krong Ana district - Dak Lak in 2025; The 27th Ta Cu - Binh Thuan Open mountain climbing tournament in 2025...</w:t>
      </w:r>
    </w:p>
    <w:p w14:paraId="6C70D892" w14:textId="2B9F4825" w:rsidR="00753A68" w:rsidRPr="00753A68" w:rsidRDefault="00753A68" w:rsidP="00753A68">
      <w:pPr>
        <w:spacing w:after="120" w:line="259" w:lineRule="auto"/>
        <w:ind w:firstLine="720"/>
        <w:jc w:val="both"/>
        <w:rPr>
          <w:bCs/>
          <w:lang w:val="nl-NL"/>
        </w:rPr>
      </w:pPr>
      <w:r w:rsidRPr="00753A68">
        <w:rPr>
          <w:bCs/>
          <w:lang w:val="nl-NL"/>
        </w:rPr>
        <w:t>Regarding high-performance sports, in February there were a number of outstanding events such as: Singapore International Badminton Tournament 2025 starting from February 18-23, 2025 in Singapore; Vietnam women's futsal team won tickets to the 2025 Asian women's futsal tournament; Indonesia Masters 2025 international badminton tour</w:t>
      </w:r>
      <w:r w:rsidR="00D75E7E">
        <w:rPr>
          <w:bCs/>
          <w:lang w:val="vi-VN"/>
        </w:rPr>
        <w:t>s</w:t>
      </w:r>
      <w:r w:rsidRPr="00753A68">
        <w:rPr>
          <w:bCs/>
          <w:lang w:val="nl-NL"/>
        </w:rPr>
        <w:t>nament kicks off from January 21-26, 2025 in Indonesia; Asian Road Cycling Championship 2025 from February 5-17, 2025 in Thailand; The 9th Asian Winter Games 2025 takes place from February 7-14, 2025 in China.</w:t>
      </w:r>
    </w:p>
    <w:p w14:paraId="1D78EB7A" w14:textId="77777777" w:rsidR="00753A68" w:rsidRPr="00442A1B" w:rsidRDefault="00753A68" w:rsidP="00753A68">
      <w:pPr>
        <w:spacing w:before="120" w:after="120" w:line="288" w:lineRule="auto"/>
        <w:ind w:firstLine="720"/>
        <w:jc w:val="both"/>
        <w:rPr>
          <w:b/>
          <w:i/>
        </w:rPr>
      </w:pPr>
      <w:r w:rsidRPr="00442A1B">
        <w:rPr>
          <w:b/>
          <w:i/>
        </w:rPr>
        <w:t>d) Traffic accidents</w:t>
      </w:r>
      <w:r w:rsidRPr="00C30E94">
        <w:rPr>
          <w:b/>
          <w:bCs/>
          <w:iCs/>
          <w:vertAlign w:val="superscript"/>
        </w:rPr>
        <w:footnoteReference w:id="33"/>
      </w:r>
    </w:p>
    <w:p w14:paraId="42EE6EE1" w14:textId="77777777" w:rsidR="00753A68" w:rsidRPr="00442A1B" w:rsidRDefault="00753A68" w:rsidP="00753A68">
      <w:pPr>
        <w:spacing w:before="120" w:after="120" w:line="288" w:lineRule="auto"/>
        <w:ind w:firstLine="720"/>
        <w:jc w:val="both"/>
      </w:pPr>
      <w:r w:rsidRPr="00442A1B">
        <w:t>In February (from January 26 to February 25, 2025), there were 1,431 traffic accidents nationwide, killing 784 people and injuring 1,053 people. Compared to January 2025, the number of traffic accidents decreased by 19.2%; the number of deaths decreased by 18.7%; the number of injuries decreased by 7.5%. Compared to the same period in 2024, the number of traffic accidents decreased by 36.8%; the number of deaths decreased by 21.5%; the number of injuries decreased by 40.4%.</w:t>
      </w:r>
    </w:p>
    <w:p w14:paraId="5020731F" w14:textId="77777777" w:rsidR="00753A68" w:rsidRPr="00442A1B" w:rsidRDefault="00753A68" w:rsidP="00753A68">
      <w:pPr>
        <w:spacing w:before="120" w:after="120" w:line="288" w:lineRule="auto"/>
        <w:ind w:firstLine="720"/>
        <w:jc w:val="both"/>
      </w:pPr>
      <w:r w:rsidRPr="00442A1B">
        <w:t>In the first two months of 2025, there were 3,203 traffic accidents nationwide, killing 1,748 people and injuring 2,191 people. Compared to the same period last year, the number of traffic accidents decreased by 31.2%; the number of deaths decreased by 10.5%; the number of injuries decreased by 41.0%. On average, there were 52 traffic accidents per day in the first two months of 2025 nationwide, killing 28 people and injuring 35 people.</w:t>
      </w:r>
    </w:p>
    <w:p w14:paraId="07ED4DBF" w14:textId="77777777" w:rsidR="00753A68" w:rsidRPr="00442A1B" w:rsidRDefault="00753A68" w:rsidP="00753A68">
      <w:pPr>
        <w:spacing w:before="120" w:after="120" w:line="288" w:lineRule="auto"/>
        <w:ind w:firstLine="720"/>
        <w:jc w:val="both"/>
        <w:rPr>
          <w:b/>
          <w:i/>
        </w:rPr>
      </w:pPr>
      <w:r w:rsidRPr="00442A1B">
        <w:rPr>
          <w:b/>
          <w:i/>
        </w:rPr>
        <w:t>d) Damage caused by natural disasters</w:t>
      </w:r>
      <w:r w:rsidRPr="00C30E94">
        <w:rPr>
          <w:rStyle w:val="FootnoteReference"/>
          <w:rFonts w:eastAsia="Calibri"/>
          <w:b/>
          <w:bCs/>
          <w:i/>
          <w:lang w:val="pl-PL"/>
        </w:rPr>
        <w:footnoteReference w:id="34"/>
      </w:r>
    </w:p>
    <w:p w14:paraId="35CC57ED" w14:textId="77777777" w:rsidR="00753A68" w:rsidRPr="00442A1B" w:rsidRDefault="00753A68" w:rsidP="00753A68">
      <w:pPr>
        <w:spacing w:before="120" w:after="120" w:line="288" w:lineRule="auto"/>
        <w:ind w:firstLine="720"/>
        <w:jc w:val="both"/>
      </w:pPr>
      <w:r w:rsidRPr="00442A1B">
        <w:t xml:space="preserve">Damage caused by natural disasters in February was mainly due to the impact of storms and lightning, injuring 5 people; 545.3 hectares of rice and </w:t>
      </w:r>
      <w:r w:rsidRPr="00442A1B">
        <w:lastRenderedPageBreak/>
        <w:t>crops were flooded and damaged; the total value of property damage caused by natural disasters in the month was nearly 6 billion VND, down 64.7% compared to the same period last year. In the first two months of this year, natural disasters injured 5 people; 2.7 thousand hectares of rice and crops were damaged; the total value of property damage was estimated at 20.8 billion VND, down 73.7% compared to the same period in 2024.</w:t>
      </w:r>
    </w:p>
    <w:p w14:paraId="7B55FA22" w14:textId="77777777" w:rsidR="00753A68" w:rsidRPr="00442A1B" w:rsidRDefault="00753A68" w:rsidP="00753A68">
      <w:pPr>
        <w:spacing w:before="120" w:after="120" w:line="288" w:lineRule="auto"/>
        <w:ind w:firstLine="720"/>
        <w:jc w:val="both"/>
        <w:rPr>
          <w:b/>
          <w:i/>
        </w:rPr>
      </w:pPr>
      <w:r w:rsidRPr="00442A1B">
        <w:rPr>
          <w:b/>
          <w:i/>
        </w:rPr>
        <w:t>e) Environmental protection and fire and explosion prevention</w:t>
      </w:r>
    </w:p>
    <w:p w14:paraId="2C69DECB" w14:textId="77777777" w:rsidR="00753A68" w:rsidRPr="00442A1B" w:rsidRDefault="00753A68" w:rsidP="00753A68">
      <w:pPr>
        <w:spacing w:before="120" w:after="120" w:line="288" w:lineRule="auto"/>
        <w:ind w:firstLine="720"/>
        <w:jc w:val="both"/>
      </w:pPr>
      <w:r w:rsidRPr="00442A1B">
        <w:t>In February (from January 18 to February 17, 2025)</w:t>
      </w:r>
      <w:r w:rsidRPr="004D6D12">
        <w:rPr>
          <w:rFonts w:eastAsia="Calibri"/>
          <w:lang w:val="de-DE"/>
        </w:rPr>
        <w:t xml:space="preserve"> </w:t>
      </w:r>
      <w:r w:rsidRPr="00C30E94">
        <w:rPr>
          <w:rStyle w:val="FootnoteReference"/>
          <w:rFonts w:eastAsia="Calibri"/>
          <w:lang w:val="de-DE"/>
        </w:rPr>
        <w:footnoteReference w:id="35"/>
      </w:r>
      <w:r w:rsidRPr="00442A1B">
        <w:t>, authorities detected 1,535 environmental violations in 54/63 localities</w:t>
      </w:r>
      <w:r w:rsidRPr="00C30E94">
        <w:rPr>
          <w:rStyle w:val="FootnoteReference"/>
          <w:noProof/>
        </w:rPr>
        <w:footnoteReference w:id="36"/>
      </w:r>
      <w:r w:rsidRPr="00442A1B">
        <w:t>, of which 1,522 cases were handled with a total fine of VND 24.9 billion, down 17.0% compared to the previous month and down 13.4% compared to the same period last year. In the first two months of this year, authorities detected 5,329 environmental violations, of which 4,659 cases were handled with a total fine of VND 54.9 billion, down 1.1% compared to the same period last year.</w:t>
      </w:r>
    </w:p>
    <w:p w14:paraId="7494CFB5" w14:textId="77777777" w:rsidR="00753A68" w:rsidRPr="00442A1B" w:rsidRDefault="00753A68" w:rsidP="00753A68">
      <w:pPr>
        <w:spacing w:before="120" w:after="120" w:line="288" w:lineRule="auto"/>
        <w:ind w:firstLine="720"/>
        <w:jc w:val="both"/>
      </w:pPr>
      <w:r w:rsidRPr="00442A1B">
        <w:t>During the month (from January 15 to February 14, 2025)</w:t>
      </w:r>
      <w:r w:rsidRPr="004D6D12">
        <w:rPr>
          <w:rFonts w:eastAsia="Calibri"/>
          <w:spacing w:val="4"/>
          <w:lang w:val="de-DE"/>
        </w:rPr>
        <w:t xml:space="preserve"> </w:t>
      </w:r>
      <w:r w:rsidRPr="00C30E94">
        <w:rPr>
          <w:rStyle w:val="FootnoteReference"/>
          <w:rFonts w:eastAsia="Calibri"/>
          <w:spacing w:val="4"/>
          <w:lang w:val="de-DE"/>
        </w:rPr>
        <w:footnoteReference w:id="37"/>
      </w:r>
      <w:r w:rsidRPr="00442A1B">
        <w:t>, there were 338 fire and explosion incidents nationwide, killing 6 people and injuring 4 people, causing an estimated loss of VND 24.6 billion, 2.1 times higher than the previous month and down 11.2% over the same period last year. In the first two months of this year, there were 715 fire and explosion incidents nationwide, killing 14 people and injuring 12 people, causing an estimated loss of VND 36.3 billion, down 23.0% over the same period last year./.</w:t>
      </w:r>
    </w:p>
    <w:p w14:paraId="6D82A038" w14:textId="77777777" w:rsidR="005B4D1B" w:rsidRPr="009620E0" w:rsidRDefault="005B4D1B" w:rsidP="00FA1C14">
      <w:pPr>
        <w:spacing w:beforeLines="40" w:before="96" w:afterLines="40" w:after="96" w:line="264" w:lineRule="auto"/>
        <w:ind w:firstLine="567"/>
        <w:jc w:val="both"/>
        <w:rPr>
          <w:b/>
          <w:bCs/>
          <w:lang w:val="pl-PL"/>
        </w:rPr>
      </w:pPr>
    </w:p>
    <w:sectPr w:rsidR="005B4D1B" w:rsidRPr="009620E0" w:rsidSect="00924457">
      <w:headerReference w:type="even" r:id="rId27"/>
      <w:headerReference w:type="default" r:id="rId28"/>
      <w:footerReference w:type="even" r:id="rId29"/>
      <w:footerReference w:type="default" r:id="rId30"/>
      <w:headerReference w:type="first" r:id="rId31"/>
      <w:footerReference w:type="first" r:id="rId32"/>
      <w:pgSz w:w="11907" w:h="16840" w:code="9"/>
      <w:pgMar w:top="1077" w:right="1275" w:bottom="1134" w:left="1701" w:header="505" w:footer="567"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091445" w14:textId="77777777" w:rsidR="00CF1E03" w:rsidRDefault="00CF1E03" w:rsidP="001A07A9">
      <w:r>
        <w:separator/>
      </w:r>
    </w:p>
  </w:endnote>
  <w:endnote w:type="continuationSeparator" w:id="0">
    <w:p w14:paraId="4C759BE4" w14:textId="77777777" w:rsidR="00CF1E03" w:rsidRDefault="00CF1E03" w:rsidP="001A0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H">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imes New Roman Italic">
    <w:panose1 w:val="0202050305040509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Times New Roman Bold">
    <w:panose1 w:val="00000000000000000000"/>
    <w:charset w:val="00"/>
    <w:family w:val="roman"/>
    <w:notTrueType/>
    <w:pitch w:val="default"/>
  </w:font>
  <w:font w:name="Times New Roman Bold Italic">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52385" w14:textId="77777777" w:rsidR="00CF1E03" w:rsidRDefault="00CF1E0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C78E5" w14:textId="77777777" w:rsidR="00CF1E03" w:rsidRDefault="00CF1E0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F8D27" w14:textId="77777777" w:rsidR="00CF1E03" w:rsidRDefault="00CF1E0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3AFC06" w14:textId="77777777" w:rsidR="00CF1E03" w:rsidRDefault="00CF1E03" w:rsidP="001A07A9">
      <w:r>
        <w:separator/>
      </w:r>
    </w:p>
  </w:footnote>
  <w:footnote w:type="continuationSeparator" w:id="0">
    <w:p w14:paraId="782E8676" w14:textId="77777777" w:rsidR="00CF1E03" w:rsidRDefault="00CF1E03" w:rsidP="001A07A9">
      <w:r>
        <w:continuationSeparator/>
      </w:r>
    </w:p>
  </w:footnote>
  <w:footnote w:id="1">
    <w:p w14:paraId="5E781123" w14:textId="77777777" w:rsidR="00753A68" w:rsidRPr="00FC383C" w:rsidRDefault="00753A68" w:rsidP="00753A68">
      <w:pPr>
        <w:pStyle w:val="FootnoteText"/>
        <w:spacing w:after="60"/>
        <w:ind w:left="142" w:hanging="142"/>
        <w:jc w:val="both"/>
        <w:rPr>
          <w:lang w:val="en-US"/>
        </w:rPr>
      </w:pPr>
      <w:r w:rsidRPr="00FC383C">
        <w:rPr>
          <w:rStyle w:val="FootnoteReference"/>
        </w:rPr>
        <w:footnoteRef/>
      </w:r>
      <w:r w:rsidRPr="00FC383C">
        <w:t xml:space="preserve"> </w:t>
      </w:r>
      <w:r w:rsidRPr="00E45A88">
        <w:t xml:space="preserve">Raising buffaloes and cows for meat has decreased mainly due to difficult farming conditions, high farming costs, and low profits, leading to a decrease in the number of animals. However, the dairy herd </w:t>
      </w:r>
      <w:r>
        <w:rPr>
          <w:lang w:val="en-US"/>
        </w:rPr>
        <w:t>wa</w:t>
      </w:r>
      <w:r w:rsidRPr="00E45A88">
        <w:t>s still growing steadily.</w:t>
      </w:r>
    </w:p>
  </w:footnote>
  <w:footnote w:id="2">
    <w:p w14:paraId="2E145FB8" w14:textId="77777777" w:rsidR="00753A68" w:rsidRPr="007E6283" w:rsidRDefault="00753A68" w:rsidP="00753A68">
      <w:pPr>
        <w:pStyle w:val="FootnoteText"/>
        <w:jc w:val="both"/>
        <w:rPr>
          <w:lang w:val="sv-SE"/>
        </w:rPr>
      </w:pPr>
      <w:r>
        <w:rPr>
          <w:rStyle w:val="FootnoteReference"/>
        </w:rPr>
        <w:footnoteRef/>
      </w:r>
      <w:r>
        <w:t xml:space="preserve"> </w:t>
      </w:r>
      <w:r w:rsidRPr="007E6283">
        <w:rPr>
          <w:lang w:val="sv-SE"/>
        </w:rPr>
        <w:t>According to data from the Ministry of Agriculture and Rural Development, calculated from December 16, 2024 to January 15, 2025.</w:t>
      </w:r>
    </w:p>
  </w:footnote>
  <w:footnote w:id="3">
    <w:p w14:paraId="5EA8E258" w14:textId="77777777" w:rsidR="00753A68" w:rsidRPr="007E6283" w:rsidRDefault="00753A68" w:rsidP="00753A68">
      <w:pPr>
        <w:pStyle w:val="FootnoteText"/>
        <w:jc w:val="both"/>
        <w:rPr>
          <w:lang w:val="sv-SE"/>
        </w:rPr>
      </w:pPr>
      <w:r>
        <w:rPr>
          <w:rStyle w:val="FootnoteReference"/>
        </w:rPr>
        <w:footnoteRef/>
      </w:r>
      <w:r>
        <w:t xml:space="preserve"> </w:t>
      </w:r>
      <w:r w:rsidRPr="007E6283">
        <w:rPr>
          <w:lang w:val="sv-SE"/>
        </w:rPr>
        <w:t>In February 2024, the damaged forest area was 54.2 hectares, of which the burned forest area was 0.4 hectares and the cut and destroyed forest area was 53.8 hectares.</w:t>
      </w:r>
    </w:p>
  </w:footnote>
  <w:footnote w:id="4">
    <w:p w14:paraId="10003545" w14:textId="77777777" w:rsidR="00753A68" w:rsidRDefault="00753A68" w:rsidP="00753A68">
      <w:pPr>
        <w:pStyle w:val="BodyText"/>
        <w:jc w:val="both"/>
      </w:pPr>
      <w:r w:rsidRPr="00CE2212">
        <w:rPr>
          <w:rStyle w:val="FootnoteReference"/>
          <w:rFonts w:ascii="Times New Roman" w:hAnsi="Times New Roman"/>
          <w:sz w:val="20"/>
          <w:szCs w:val="20"/>
        </w:rPr>
        <w:footnoteRef/>
      </w:r>
      <w:r w:rsidRPr="00CE2212">
        <w:rPr>
          <w:rFonts w:ascii="Times New Roman" w:hAnsi="Times New Roman"/>
          <w:sz w:val="20"/>
          <w:szCs w:val="20"/>
        </w:rPr>
        <w:t xml:space="preserve"> </w:t>
      </w:r>
      <w:r w:rsidRPr="0050424A">
        <w:rPr>
          <w:rFonts w:ascii="Times New Roman" w:hAnsi="Times New Roman"/>
          <w:sz w:val="20"/>
          <w:szCs w:val="20"/>
          <w:lang w:val="sv-SE"/>
        </w:rPr>
        <w:t>Source: Compiled from reports of Mekong Delta provinces: The price of raw pangasius has increased since the last two weeks of December 2024 until now. Currently, the price of raw pangasius in the Mekong Delta is fluctuating at 31,500-31,800 VND/kg, an increase of about 3,000-3,500 VND/kg compared to the selling price in the same period last year.</w:t>
      </w:r>
    </w:p>
  </w:footnote>
  <w:footnote w:id="5">
    <w:p w14:paraId="73084FBC" w14:textId="77777777" w:rsidR="00753A68" w:rsidRPr="00CE2212" w:rsidRDefault="00753A68" w:rsidP="00753A68">
      <w:pPr>
        <w:pStyle w:val="FootnoteText"/>
        <w:jc w:val="both"/>
      </w:pPr>
      <w:r w:rsidRPr="00CE2212">
        <w:rPr>
          <w:rStyle w:val="FootnoteReference"/>
        </w:rPr>
        <w:footnoteRef/>
      </w:r>
      <w:r>
        <w:t xml:space="preserve"> </w:t>
      </w:r>
      <w:hyperlink r:id="rId1" w:history="1">
        <w:r w:rsidRPr="00CE2212">
          <w:rPr>
            <w:rStyle w:val="Hyperlink"/>
          </w:rPr>
          <w:t>https://vasep.com.vn/gia-thuy-san/gia-trong-nuoc/gia-thuy-san-tai-khanh-hoa-tu-14-20-02-2025-24800</w:t>
        </w:r>
      </w:hyperlink>
      <w:r w:rsidRPr="00CE2212">
        <w:t>:</w:t>
      </w:r>
      <w:r>
        <w:t xml:space="preserve"> </w:t>
      </w:r>
      <w:r w:rsidRPr="00CE2212">
        <w:t>The price of white leg shrimp 100 pieces/kg is 85,000-95,000 VND/kg, 60-80 pieces/kg fluctuates at 150,000-160,000 VND/kg, the price of raw black tiger shrimp 40 pieces/kg is 150,000-155,000 VND/kg, 30 pieces/kg is 175,000-180,000 VND/kg, 20 pieces/kg is 230,000-235,000 VND/kg.</w:t>
      </w:r>
    </w:p>
  </w:footnote>
  <w:footnote w:id="6">
    <w:p w14:paraId="20E7DDEE" w14:textId="77777777" w:rsidR="00753A68" w:rsidRPr="009768BF" w:rsidRDefault="00753A68" w:rsidP="00753A68">
      <w:pPr>
        <w:pStyle w:val="FootnoteText"/>
        <w:jc w:val="both"/>
      </w:pPr>
      <w:r w:rsidRPr="009768BF">
        <w:rPr>
          <w:rStyle w:val="FootnoteReference"/>
        </w:rPr>
        <w:footnoteRef/>
      </w:r>
      <w:r w:rsidRPr="009768BF">
        <w:t xml:space="preserve"> Favorable sea weather, falling oil prices (DO 0.05S-II oil price in February 2024 is 20,910 VND/liter, DO 0.05S-II oil price in February 2025 is 19,050 VND/liter), and increased consumer demand have encouraged fishermen to go out to sea to fish.</w:t>
      </w:r>
    </w:p>
  </w:footnote>
  <w:footnote w:id="7">
    <w:p w14:paraId="77DCA76B" w14:textId="77777777" w:rsidR="00753A68" w:rsidRPr="00F1270D" w:rsidRDefault="00753A68" w:rsidP="00753A68">
      <w:pPr>
        <w:pStyle w:val="FootnoteText"/>
        <w:spacing w:after="40"/>
        <w:ind w:left="142" w:hanging="142"/>
        <w:jc w:val="both"/>
        <w:rPr>
          <w:lang w:val="en-US"/>
        </w:rPr>
      </w:pPr>
      <w:r w:rsidRPr="00F1270D">
        <w:rPr>
          <w:rStyle w:val="FootnoteReference"/>
        </w:rPr>
        <w:footnoteRef/>
      </w:r>
      <w:r w:rsidRPr="00F1270D">
        <w:t xml:space="preserve"> </w:t>
      </w:r>
      <w:r w:rsidRPr="00EF68CD">
        <w:rPr>
          <w:spacing w:val="3"/>
          <w:shd w:val="clear" w:color="auto" w:fill="FFFFFF"/>
        </w:rPr>
        <w:t>The Industrial Production Index (IIP) in February 2025, compared to the previous month, experienced a sharp decline in several major industrial provinces: Quảng Ngãi decreased by 14.9%; Quảng Nam by 10.4%; Bắc Ninh by 7.2%; Quảng Ninh by 6.9%; Cần Thơ by 6.7%; Bà Rịa - Vũng Tàu by 5.7%; Hải Phòng by 4.2%; and Thái Nguyên by 1.9%.</w:t>
      </w:r>
    </w:p>
  </w:footnote>
  <w:footnote w:id="8">
    <w:p w14:paraId="670FB8F1" w14:textId="77777777" w:rsidR="00753A68" w:rsidRPr="00F1270D" w:rsidRDefault="00753A68" w:rsidP="00753A68">
      <w:pPr>
        <w:pStyle w:val="FootnoteText"/>
        <w:spacing w:after="40"/>
        <w:ind w:left="142" w:hanging="142"/>
        <w:jc w:val="both"/>
        <w:rPr>
          <w:lang w:val="en-US"/>
        </w:rPr>
      </w:pPr>
      <w:r w:rsidRPr="00F1270D">
        <w:rPr>
          <w:rStyle w:val="FootnoteReference"/>
        </w:rPr>
        <w:footnoteRef/>
      </w:r>
      <w:r w:rsidRPr="00F1270D">
        <w:t xml:space="preserve"> </w:t>
      </w:r>
      <w:r w:rsidRPr="00EF68CD">
        <w:rPr>
          <w:lang w:val="en-US"/>
        </w:rPr>
        <w:t>In the same period last year, the Lunar New Year holiday (Giáp Thìn) fell entirely within February 2024, from February 8 to the end of February 14, 2024."</w:t>
      </w:r>
    </w:p>
  </w:footnote>
  <w:footnote w:id="9">
    <w:p w14:paraId="6136E62B" w14:textId="77777777" w:rsidR="00753A68" w:rsidRPr="00F1270D" w:rsidRDefault="00753A68" w:rsidP="00753A68">
      <w:pPr>
        <w:ind w:left="142" w:hanging="142"/>
        <w:jc w:val="both"/>
        <w:rPr>
          <w:sz w:val="20"/>
          <w:szCs w:val="20"/>
          <w:lang w:val="en-US"/>
        </w:rPr>
      </w:pPr>
      <w:r w:rsidRPr="00F1270D">
        <w:rPr>
          <w:rStyle w:val="FootnoteReference"/>
          <w:sz w:val="20"/>
          <w:szCs w:val="20"/>
        </w:rPr>
        <w:footnoteRef/>
      </w:r>
      <w:r w:rsidRPr="00F1270D">
        <w:rPr>
          <w:sz w:val="20"/>
          <w:szCs w:val="20"/>
        </w:rPr>
        <w:t xml:space="preserve"> </w:t>
      </w:r>
      <w:r w:rsidRPr="00C50930">
        <w:rPr>
          <w:spacing w:val="3"/>
          <w:sz w:val="20"/>
          <w:szCs w:val="20"/>
          <w:shd w:val="clear" w:color="auto" w:fill="FFFFFF"/>
        </w:rPr>
        <w:t>Localities have a high production index of the processing and manufacturing industry in the first two months of 2025 compared to the same period last year: Phu Tho increased by 48.5%; Bac Kan increased by 41.4%; Bac Giang increased by 26.8%; Thanh Hoa increased by 19.9%; Quang Nam increased by 19.5%; Nam Dinh increased by 18.0%; Kien Giang increased by 17.8%. Localities with a high production index of the electricity production and distribution industry: Tra Vinh increased by 51.3%; Hoa Binh increased by 43.6%; Quang Nam increased by 13.8%; Kien Giang increased by 12.7%; Ben Tre increased by 9.1%.</w:t>
      </w:r>
    </w:p>
  </w:footnote>
  <w:footnote w:id="10">
    <w:p w14:paraId="1228D9B0" w14:textId="77777777" w:rsidR="00753A68" w:rsidRPr="00F1270D" w:rsidRDefault="00753A68" w:rsidP="00753A68">
      <w:pPr>
        <w:ind w:left="142" w:hanging="142"/>
        <w:jc w:val="both"/>
        <w:rPr>
          <w:sz w:val="22"/>
          <w:szCs w:val="22"/>
        </w:rPr>
      </w:pPr>
      <w:r w:rsidRPr="00F1270D">
        <w:rPr>
          <w:rStyle w:val="FootnoteReference"/>
          <w:sz w:val="20"/>
          <w:szCs w:val="20"/>
        </w:rPr>
        <w:footnoteRef/>
      </w:r>
      <w:r w:rsidRPr="00F1270D">
        <w:rPr>
          <w:sz w:val="20"/>
          <w:szCs w:val="20"/>
        </w:rPr>
        <w:t xml:space="preserve"> </w:t>
      </w:r>
      <w:r w:rsidRPr="00C50930">
        <w:rPr>
          <w:sz w:val="20"/>
          <w:szCs w:val="20"/>
        </w:rPr>
        <w:t>Localities with the production index of the processing and manufacturing industry in the first two months of 2025 decreased compared to the same period last year: Ha Tinh decreased by 11.1%; Ca Mau decreased by 4.6%; Cao Bang decreased by 3.2%; Quang Ngai decreased by 0.5%. Localities with the index of the electricity production and distribution industry in the first two months of 2025 decreased compared to the same period last year: Bac Lieu decreased by 29.7%; Ca Mau decreased by 16.5%; Lao Cai decreased by 9.0%; Ha Tinh decreased by 5.7%. Localities have a decrease in the production index of the mining industry in the first two months of 2025 compared to the same period last year: Gia Lai decreased by 60.7%; Ba Ria - Vung Tau decreased by 13.7%; Hanoi decreased by 3.7%.</w:t>
      </w:r>
    </w:p>
  </w:footnote>
  <w:footnote w:id="11">
    <w:p w14:paraId="6E49884E" w14:textId="77777777" w:rsidR="00753A68" w:rsidRPr="00444341" w:rsidRDefault="00753A68" w:rsidP="00753A68">
      <w:pPr>
        <w:jc w:val="both"/>
        <w:rPr>
          <w:sz w:val="20"/>
          <w:szCs w:val="20"/>
        </w:rPr>
      </w:pPr>
      <w:r w:rsidRPr="00444341">
        <w:rPr>
          <w:sz w:val="20"/>
          <w:szCs w:val="20"/>
          <w:vertAlign w:val="superscript"/>
        </w:rPr>
        <w:footnoteRef/>
      </w:r>
      <w:r>
        <w:rPr>
          <w:sz w:val="20"/>
          <w:szCs w:val="20"/>
        </w:rPr>
        <w:t xml:space="preserve"> </w:t>
      </w:r>
      <w:r w:rsidRPr="00444341">
        <w:rPr>
          <w:sz w:val="20"/>
          <w:szCs w:val="20"/>
        </w:rPr>
        <w:t xml:space="preserve">Source: National Business Registration Information System, Department of </w:t>
      </w:r>
      <w:r>
        <w:rPr>
          <w:sz w:val="20"/>
          <w:szCs w:val="20"/>
        </w:rPr>
        <w:t>Private Enterprise and Collective Economy Development, Ministry of Finance</w:t>
      </w:r>
      <w:r w:rsidRPr="00444341">
        <w:rPr>
          <w:sz w:val="20"/>
          <w:szCs w:val="20"/>
        </w:rPr>
        <w:t xml:space="preserve">, received </w:t>
      </w:r>
      <w:r>
        <w:rPr>
          <w:sz w:val="20"/>
          <w:szCs w:val="20"/>
        </w:rPr>
        <w:t>March</w:t>
      </w:r>
      <w:r w:rsidRPr="00444341">
        <w:rPr>
          <w:sz w:val="20"/>
          <w:szCs w:val="20"/>
        </w:rPr>
        <w:t xml:space="preserve"> </w:t>
      </w:r>
      <w:r>
        <w:rPr>
          <w:sz w:val="20"/>
          <w:szCs w:val="20"/>
        </w:rPr>
        <w:t>03</w:t>
      </w:r>
      <w:r>
        <w:rPr>
          <w:sz w:val="20"/>
          <w:szCs w:val="20"/>
          <w:vertAlign w:val="superscript"/>
        </w:rPr>
        <w:t>r</w:t>
      </w:r>
      <w:r w:rsidRPr="00444341">
        <w:rPr>
          <w:sz w:val="20"/>
          <w:szCs w:val="20"/>
          <w:vertAlign w:val="superscript"/>
        </w:rPr>
        <w:t>d</w:t>
      </w:r>
      <w:r w:rsidRPr="00444341">
        <w:rPr>
          <w:sz w:val="20"/>
          <w:szCs w:val="20"/>
        </w:rPr>
        <w:t>, 202</w:t>
      </w:r>
      <w:r>
        <w:rPr>
          <w:sz w:val="20"/>
          <w:szCs w:val="20"/>
        </w:rPr>
        <w:t>5</w:t>
      </w:r>
      <w:r w:rsidRPr="00444341">
        <w:rPr>
          <w:sz w:val="20"/>
          <w:szCs w:val="20"/>
        </w:rPr>
        <w:t xml:space="preserve">. Implementing Decree No. 62/2024/ND-CP dated June </w:t>
      </w:r>
      <w:r>
        <w:rPr>
          <w:sz w:val="20"/>
          <w:szCs w:val="20"/>
        </w:rPr>
        <w:t>0</w:t>
      </w:r>
      <w:r w:rsidRPr="00444341">
        <w:rPr>
          <w:sz w:val="20"/>
          <w:szCs w:val="20"/>
        </w:rPr>
        <w:t>7</w:t>
      </w:r>
      <w:r>
        <w:rPr>
          <w:sz w:val="20"/>
          <w:szCs w:val="20"/>
          <w:vertAlign w:val="superscript"/>
        </w:rPr>
        <w:t>th</w:t>
      </w:r>
      <w:r w:rsidRPr="00444341">
        <w:rPr>
          <w:sz w:val="20"/>
          <w:szCs w:val="20"/>
        </w:rPr>
        <w:t xml:space="preserve">, 2024 of the Government (effective from August </w:t>
      </w:r>
      <w:r>
        <w:rPr>
          <w:sz w:val="20"/>
          <w:szCs w:val="20"/>
        </w:rPr>
        <w:t>0</w:t>
      </w:r>
      <w:r w:rsidRPr="00444341">
        <w:rPr>
          <w:sz w:val="20"/>
          <w:szCs w:val="20"/>
        </w:rPr>
        <w:t>1</w:t>
      </w:r>
      <w:r>
        <w:rPr>
          <w:sz w:val="20"/>
          <w:szCs w:val="20"/>
          <w:vertAlign w:val="superscript"/>
        </w:rPr>
        <w:t>st</w:t>
      </w:r>
      <w:r w:rsidRPr="00444341">
        <w:rPr>
          <w:sz w:val="20"/>
          <w:szCs w:val="20"/>
        </w:rPr>
        <w:t xml:space="preserve">, 2024), the data period on business registration in the month is calculated from the 1st to the last day of the reporting month. Particularly for time indicators (enterprises returning to operations, enterprises temporarily suspending business for a limited period of time, enterprises temporarily suspending operations awaiting dissolution procedures), the data period is the months before the time. August </w:t>
      </w:r>
      <w:r>
        <w:rPr>
          <w:sz w:val="20"/>
          <w:szCs w:val="20"/>
        </w:rPr>
        <w:t>0</w:t>
      </w:r>
      <w:r w:rsidRPr="00444341">
        <w:rPr>
          <w:sz w:val="20"/>
          <w:szCs w:val="20"/>
        </w:rPr>
        <w:t>1</w:t>
      </w:r>
      <w:r>
        <w:rPr>
          <w:sz w:val="20"/>
          <w:szCs w:val="20"/>
          <w:vertAlign w:val="superscript"/>
        </w:rPr>
        <w:t>st</w:t>
      </w:r>
      <w:r w:rsidRPr="00444341">
        <w:rPr>
          <w:sz w:val="20"/>
          <w:szCs w:val="20"/>
        </w:rPr>
        <w:t>, 2024 is calculated from the 21</w:t>
      </w:r>
      <w:r w:rsidRPr="00444341">
        <w:rPr>
          <w:sz w:val="20"/>
          <w:szCs w:val="20"/>
          <w:vertAlign w:val="superscript"/>
        </w:rPr>
        <w:t>st</w:t>
      </w:r>
      <w:r w:rsidRPr="00444341">
        <w:rPr>
          <w:sz w:val="20"/>
          <w:szCs w:val="20"/>
        </w:rPr>
        <w:t xml:space="preserve"> of the month preceding the reporting month to the 20</w:t>
      </w:r>
      <w:r w:rsidRPr="00444341">
        <w:rPr>
          <w:sz w:val="20"/>
          <w:szCs w:val="20"/>
          <w:vertAlign w:val="superscript"/>
        </w:rPr>
        <w:t>th</w:t>
      </w:r>
      <w:r w:rsidRPr="00444341">
        <w:rPr>
          <w:sz w:val="20"/>
          <w:szCs w:val="20"/>
        </w:rPr>
        <w:t xml:space="preserve"> of the reporting month.</w:t>
      </w:r>
    </w:p>
  </w:footnote>
  <w:footnote w:id="12">
    <w:p w14:paraId="4810A196" w14:textId="77777777" w:rsidR="00753A68" w:rsidRPr="00F1270D" w:rsidRDefault="00753A68" w:rsidP="00753A68">
      <w:pPr>
        <w:pStyle w:val="FootnoteText"/>
      </w:pPr>
      <w:r w:rsidRPr="00F1270D">
        <w:rPr>
          <w:rStyle w:val="FootnoteReference"/>
        </w:rPr>
        <w:footnoteRef/>
      </w:r>
      <w:r w:rsidRPr="00F1270D">
        <w:rPr>
          <w:lang w:val="en-GB"/>
        </w:rPr>
        <w:t xml:space="preserve"> </w:t>
      </w:r>
      <w:r w:rsidRPr="00F1270D">
        <w:t xml:space="preserve">According to the report of the Foreign Investment Agency, Ministry of </w:t>
      </w:r>
      <w:r>
        <w:rPr>
          <w:lang w:val="en-US"/>
        </w:rPr>
        <w:t xml:space="preserve">Finance </w:t>
      </w:r>
      <w:r w:rsidRPr="00F1270D">
        <w:t xml:space="preserve">, received on March </w:t>
      </w:r>
      <w:r>
        <w:rPr>
          <w:lang w:val="en-US"/>
        </w:rPr>
        <w:t xml:space="preserve">1 , </w:t>
      </w:r>
      <w:r w:rsidRPr="00F1270D">
        <w:t>2025.</w:t>
      </w:r>
    </w:p>
  </w:footnote>
  <w:footnote w:id="13">
    <w:p w14:paraId="0970D039" w14:textId="77777777" w:rsidR="002155FC" w:rsidRPr="00F1270D" w:rsidRDefault="002155FC" w:rsidP="002155FC">
      <w:pPr>
        <w:spacing w:after="40"/>
        <w:ind w:left="142" w:hanging="142"/>
        <w:jc w:val="both"/>
        <w:rPr>
          <w:lang w:val="it-IT"/>
        </w:rPr>
      </w:pPr>
      <w:r w:rsidRPr="00F1270D">
        <w:rPr>
          <w:rStyle w:val="FootnoteReference"/>
          <w:sz w:val="20"/>
          <w:szCs w:val="20"/>
        </w:rPr>
        <w:footnoteRef/>
      </w:r>
      <w:r w:rsidRPr="00F1270D">
        <w:rPr>
          <w:sz w:val="20"/>
          <w:szCs w:val="20"/>
        </w:rPr>
        <w:t xml:space="preserve"> </w:t>
      </w:r>
      <w:r w:rsidRPr="00F1270D">
        <w:rPr>
          <w:sz w:val="20"/>
          <w:szCs w:val="20"/>
          <w:lang w:val="nl-NL"/>
        </w:rPr>
        <w:t>According to Report No. 56/BC-BTC dated February 26, 2025 of the Ministry of Finance.</w:t>
      </w:r>
    </w:p>
  </w:footnote>
  <w:footnote w:id="14">
    <w:p w14:paraId="47F0D454" w14:textId="77777777" w:rsidR="002155FC" w:rsidRPr="00F1270D" w:rsidRDefault="002155FC" w:rsidP="002155FC">
      <w:pPr>
        <w:pStyle w:val="FootnoteText"/>
        <w:ind w:left="198" w:hanging="198"/>
        <w:jc w:val="both"/>
        <w:rPr>
          <w:lang w:val="en-US"/>
        </w:rPr>
      </w:pPr>
      <w:r w:rsidRPr="00F1270D">
        <w:rPr>
          <w:rStyle w:val="FootnoteReference"/>
        </w:rPr>
        <w:footnoteRef/>
      </w:r>
      <w:r w:rsidRPr="00F1270D">
        <w:t xml:space="preserve"> </w:t>
      </w:r>
      <w:r w:rsidRPr="00F1270D">
        <w:rPr>
          <w:spacing w:val="2"/>
          <w:lang w:val="en-US"/>
        </w:rPr>
        <w:t xml:space="preserve">The </w:t>
      </w:r>
      <w:r w:rsidRPr="00F1270D">
        <w:rPr>
          <w:spacing w:val="2"/>
        </w:rPr>
        <w:t xml:space="preserve">growth rate of </w:t>
      </w:r>
      <w:r w:rsidRPr="00F1270D">
        <w:rPr>
          <w:spacing w:val="2"/>
          <w:lang w:val="en-US"/>
        </w:rPr>
        <w:t xml:space="preserve">state budget revenue in the first two </w:t>
      </w:r>
      <w:r w:rsidRPr="00F1270D">
        <w:rPr>
          <w:spacing w:val="2"/>
        </w:rPr>
        <w:t xml:space="preserve">months </w:t>
      </w:r>
      <w:r w:rsidRPr="00F1270D">
        <w:rPr>
          <w:spacing w:val="2"/>
          <w:lang w:val="en-US"/>
        </w:rPr>
        <w:t xml:space="preserve">of 2025 </w:t>
      </w:r>
      <w:r w:rsidRPr="00F1270D">
        <w:rPr>
          <w:spacing w:val="2"/>
        </w:rPr>
        <w:t xml:space="preserve">increased quite a bit due to the economic growth from the fourth quarter of the previous year at a fairly high rate, causing a high increase in domestic revenue such as income tax, value added tax of enterprises, the difference between </w:t>
      </w:r>
      <w:r w:rsidRPr="00F1270D">
        <w:rPr>
          <w:spacing w:val="2"/>
          <w:lang w:val="en-US"/>
        </w:rPr>
        <w:t xml:space="preserve">state budget revenue and expenditure </w:t>
      </w:r>
      <w:r w:rsidRPr="00F1270D">
        <w:rPr>
          <w:spacing w:val="2"/>
        </w:rPr>
        <w:t xml:space="preserve">arising in the fourth quarter of 2024 and payment to </w:t>
      </w:r>
      <w:r w:rsidRPr="00F1270D">
        <w:rPr>
          <w:spacing w:val="2"/>
          <w:lang w:val="en-US"/>
        </w:rPr>
        <w:t xml:space="preserve">the state budget </w:t>
      </w:r>
      <w:r w:rsidRPr="00F1270D">
        <w:rPr>
          <w:spacing w:val="2"/>
        </w:rPr>
        <w:t xml:space="preserve">at the beginning of 2025 </w:t>
      </w:r>
      <w:r w:rsidRPr="00F1270D">
        <w:rPr>
          <w:spacing w:val="2"/>
          <w:lang w:val="en-US"/>
        </w:rPr>
        <w:t>.</w:t>
      </w:r>
    </w:p>
  </w:footnote>
  <w:footnote w:id="15">
    <w:p w14:paraId="04963601" w14:textId="77777777" w:rsidR="00753A68" w:rsidRPr="003105AA" w:rsidRDefault="00753A68" w:rsidP="00753A68">
      <w:pPr>
        <w:pStyle w:val="FootnoteText"/>
      </w:pPr>
      <w:r>
        <w:rPr>
          <w:rStyle w:val="FootnoteReference"/>
        </w:rPr>
        <w:footnoteRef/>
      </w:r>
      <w:r>
        <w:t xml:space="preserve"> </w:t>
      </w:r>
      <w:r w:rsidRPr="003105AA">
        <w:t>Lunar New Year At Ty fell in January 2025, while Lunar New Year Giap Thin fell in February 2024</w:t>
      </w:r>
      <w:r>
        <w:t>.</w:t>
      </w:r>
    </w:p>
  </w:footnote>
  <w:footnote w:id="16">
    <w:p w14:paraId="77CCFFB9" w14:textId="77777777" w:rsidR="00753A68" w:rsidRPr="00334A03" w:rsidRDefault="00753A68" w:rsidP="00753A68">
      <w:pPr>
        <w:pStyle w:val="FootnoteText"/>
        <w:ind w:left="142" w:hanging="142"/>
        <w:jc w:val="both"/>
        <w:rPr>
          <w:lang w:val="en-US"/>
        </w:rPr>
      </w:pPr>
      <w:r w:rsidRPr="00334A03">
        <w:rPr>
          <w:rStyle w:val="FootnoteReference"/>
        </w:rPr>
        <w:footnoteRef/>
      </w:r>
      <w:r w:rsidRPr="00334A03">
        <w:t xml:space="preserve"> The value of export turnover is calculated at F.O.B price and import turnover is calculated at C.I.F price (including transportation and insurance costs of imported goods).</w:t>
      </w:r>
    </w:p>
  </w:footnote>
  <w:footnote w:id="17">
    <w:p w14:paraId="0E7B46E9" w14:textId="77777777" w:rsidR="00753A68" w:rsidRPr="00334A03" w:rsidRDefault="00753A68" w:rsidP="00753A68">
      <w:pPr>
        <w:pStyle w:val="FootnoteText"/>
        <w:ind w:left="142" w:hanging="142"/>
        <w:jc w:val="both"/>
        <w:rPr>
          <w:lang w:val="en-US"/>
        </w:rPr>
      </w:pPr>
      <w:r w:rsidRPr="00334A03">
        <w:rPr>
          <w:rStyle w:val="FootnoteReference"/>
        </w:rPr>
        <w:footnoteRef/>
      </w:r>
      <w:r w:rsidRPr="00334A03">
        <w:t xml:space="preserve"> </w:t>
      </w:r>
      <w:r w:rsidRPr="00527F02">
        <w:t xml:space="preserve">Preliminary export and import </w:t>
      </w:r>
      <w:r>
        <w:t>data for</w:t>
      </w:r>
      <w:r w:rsidRPr="00527F02">
        <w:t xml:space="preserve"> February 2025 provided by </w:t>
      </w:r>
      <w:r>
        <w:t>the Viet Nam</w:t>
      </w:r>
      <w:r w:rsidRPr="00527F02">
        <w:t xml:space="preserve"> Customs</w:t>
      </w:r>
      <w:r>
        <w:t xml:space="preserve"> </w:t>
      </w:r>
      <w:r w:rsidRPr="00527F02">
        <w:t>on March 3, 2025</w:t>
      </w:r>
      <w:r>
        <w:t>.</w:t>
      </w:r>
    </w:p>
  </w:footnote>
  <w:footnote w:id="18">
    <w:p w14:paraId="2A5BFEEF" w14:textId="77777777" w:rsidR="00753A68" w:rsidRPr="008D42B1" w:rsidRDefault="00753A68" w:rsidP="00753A68">
      <w:pPr>
        <w:pStyle w:val="FootnoteText"/>
        <w:ind w:left="142" w:hanging="142"/>
        <w:rPr>
          <w:lang w:val="en-US"/>
        </w:rPr>
      </w:pPr>
      <w:r>
        <w:rPr>
          <w:rStyle w:val="FootnoteReference"/>
        </w:rPr>
        <w:footnoteRef/>
      </w:r>
      <w:r>
        <w:t xml:space="preserve"> </w:t>
      </w:r>
      <w:r w:rsidRPr="008D42B1">
        <w:t>Because February last year had Lunar New Year holiday, the number of working days in February this year is 5 days more than February last year.</w:t>
      </w:r>
    </w:p>
  </w:footnote>
  <w:footnote w:id="19">
    <w:p w14:paraId="264FE9B2" w14:textId="77777777" w:rsidR="00753A68" w:rsidRPr="00334A03" w:rsidRDefault="00753A68" w:rsidP="00753A68">
      <w:pPr>
        <w:pStyle w:val="FootnoteText"/>
        <w:ind w:left="142" w:hanging="142"/>
        <w:jc w:val="both"/>
      </w:pPr>
      <w:r w:rsidRPr="00334A03">
        <w:rPr>
          <w:rStyle w:val="FootnoteReference"/>
        </w:rPr>
        <w:footnoteRef/>
      </w:r>
      <w:r w:rsidRPr="00334A03">
        <w:t xml:space="preserve"> Total import and export turnover of goods in </w:t>
      </w:r>
      <w:r>
        <w:t>two</w:t>
      </w:r>
      <w:r w:rsidRPr="00334A03">
        <w:t xml:space="preserve"> months of 202</w:t>
      </w:r>
      <w:r>
        <w:t>4</w:t>
      </w:r>
      <w:r w:rsidRPr="00334A03">
        <w:t xml:space="preserve"> reached </w:t>
      </w:r>
      <w:r>
        <w:t>113.5</w:t>
      </w:r>
      <w:r w:rsidRPr="00334A03">
        <w:t xml:space="preserve"> billion USD, </w:t>
      </w:r>
      <w:r>
        <w:t>up</w:t>
      </w:r>
      <w:r w:rsidRPr="00334A03">
        <w:t xml:space="preserve"> </w:t>
      </w:r>
      <w:r>
        <w:t>18.2</w:t>
      </w:r>
      <w:r w:rsidRPr="00334A03">
        <w:t xml:space="preserve">% over the same period last year, of which exports reached </w:t>
      </w:r>
      <w:r>
        <w:t>59.3</w:t>
      </w:r>
      <w:r w:rsidRPr="00334A03">
        <w:t xml:space="preserve"> billion USD, </w:t>
      </w:r>
      <w:r>
        <w:t>up</w:t>
      </w:r>
      <w:r w:rsidRPr="00334A03">
        <w:t xml:space="preserve"> </w:t>
      </w:r>
      <w:r>
        <w:t>19.2</w:t>
      </w:r>
      <w:r w:rsidRPr="00334A03">
        <w:t xml:space="preserve">%; imports reached </w:t>
      </w:r>
      <w:r>
        <w:t>54.2</w:t>
      </w:r>
      <w:r w:rsidRPr="00334A03">
        <w:t xml:space="preserve"> billion USD, </w:t>
      </w:r>
      <w:r>
        <w:t>up</w:t>
      </w:r>
      <w:r w:rsidRPr="00334A03">
        <w:t xml:space="preserve"> 1</w:t>
      </w:r>
      <w:r>
        <w:t>7.1</w:t>
      </w:r>
      <w:r w:rsidRPr="00334A03">
        <w:t>%.</w:t>
      </w:r>
    </w:p>
  </w:footnote>
  <w:footnote w:id="20">
    <w:p w14:paraId="62C52775" w14:textId="77777777" w:rsidR="00753A68" w:rsidRPr="00334A03" w:rsidRDefault="00753A68" w:rsidP="00753A68">
      <w:pPr>
        <w:pStyle w:val="FootnoteText"/>
        <w:ind w:left="142" w:hanging="142"/>
        <w:jc w:val="both"/>
        <w:rPr>
          <w:lang w:val="en-US"/>
        </w:rPr>
      </w:pPr>
      <w:r w:rsidRPr="00334A03">
        <w:rPr>
          <w:rStyle w:val="FootnoteReference"/>
        </w:rPr>
        <w:footnoteRef/>
      </w:r>
      <w:r w:rsidRPr="00334A03">
        <w:t xml:space="preserve"> </w:t>
      </w:r>
      <w:r>
        <w:t>74</w:t>
      </w:r>
      <w:r w:rsidRPr="00334A03">
        <w:t xml:space="preserve"> million USD higher than the figure sent by </w:t>
      </w:r>
      <w:r>
        <w:t>the Viet Nam</w:t>
      </w:r>
      <w:r w:rsidRPr="00334A03">
        <w:t xml:space="preserve"> Customs to the Statistics Office on </w:t>
      </w:r>
      <w:r>
        <w:t>February</w:t>
      </w:r>
      <w:r w:rsidRPr="00334A03">
        <w:t xml:space="preserve"> 3, </w:t>
      </w:r>
      <w:r>
        <w:t>2025.</w:t>
      </w:r>
    </w:p>
  </w:footnote>
  <w:footnote w:id="21">
    <w:p w14:paraId="40878C85" w14:textId="77777777" w:rsidR="00753A68" w:rsidRPr="00B372C3" w:rsidRDefault="00753A68" w:rsidP="00753A68">
      <w:pPr>
        <w:pStyle w:val="FootnoteText"/>
        <w:jc w:val="both"/>
        <w:rPr>
          <w:lang w:val="en-US"/>
        </w:rPr>
      </w:pPr>
      <w:r>
        <w:rPr>
          <w:rStyle w:val="FootnoteReference"/>
        </w:rPr>
        <w:footnoteRef/>
      </w:r>
      <w:r>
        <w:t xml:space="preserve"> 79</w:t>
      </w:r>
      <w:r w:rsidRPr="00334A03">
        <w:t xml:space="preserve"> million USD higher than the figure sent by </w:t>
      </w:r>
      <w:r>
        <w:t>the Viet Nam</w:t>
      </w:r>
      <w:r w:rsidRPr="00334A03">
        <w:t xml:space="preserve"> Customs to the Statistics Office on </w:t>
      </w:r>
      <w:r>
        <w:t>February</w:t>
      </w:r>
      <w:r w:rsidRPr="00334A03">
        <w:t xml:space="preserve"> 3, </w:t>
      </w:r>
      <w:r>
        <w:t>2025.</w:t>
      </w:r>
    </w:p>
  </w:footnote>
  <w:footnote w:id="22">
    <w:p w14:paraId="2B269C11" w14:textId="77777777" w:rsidR="00753A68" w:rsidRPr="004C7CF5" w:rsidRDefault="00753A68" w:rsidP="00753A68">
      <w:pPr>
        <w:pStyle w:val="FootnoteText"/>
        <w:ind w:left="720" w:hanging="720"/>
        <w:jc w:val="both"/>
        <w:rPr>
          <w:lang w:val="vi-VN"/>
        </w:rPr>
      </w:pPr>
      <w:r w:rsidRPr="004C7CF5">
        <w:rPr>
          <w:rStyle w:val="FootnoteReference"/>
        </w:rPr>
        <w:footnoteRef/>
      </w:r>
      <w:r w:rsidRPr="004C7CF5">
        <w:rPr>
          <w:lang w:val="vi-VN"/>
        </w:rPr>
        <w:t xml:space="preserve"> </w:t>
      </w:r>
      <w:r w:rsidRPr="00415151">
        <w:rPr>
          <w:lang w:val="en-US"/>
        </w:rPr>
        <w:t xml:space="preserve">January </w:t>
      </w:r>
      <w:r w:rsidRPr="003077BD">
        <w:rPr>
          <w:lang w:val="en-US"/>
        </w:rPr>
        <w:t xml:space="preserve">report shows trade surplus of </w:t>
      </w:r>
      <w:r>
        <w:rPr>
          <w:lang w:val="en-US"/>
        </w:rPr>
        <w:t>3.03</w:t>
      </w:r>
      <w:r w:rsidRPr="003077BD">
        <w:rPr>
          <w:lang w:val="en-US"/>
        </w:rPr>
        <w:t xml:space="preserve"> billion USD</w:t>
      </w:r>
    </w:p>
  </w:footnote>
  <w:footnote w:id="23">
    <w:p w14:paraId="2F91BCD9" w14:textId="77777777" w:rsidR="00753A68" w:rsidRPr="00D86931" w:rsidRDefault="00753A68" w:rsidP="00753A68">
      <w:pPr>
        <w:pStyle w:val="FootnoteText"/>
        <w:ind w:left="142" w:hanging="142"/>
        <w:jc w:val="both"/>
      </w:pPr>
      <w:r>
        <w:rPr>
          <w:rStyle w:val="FootnoteReference"/>
        </w:rPr>
        <w:footnoteRef/>
      </w:r>
      <w:r>
        <w:t xml:space="preserve"> </w:t>
      </w:r>
      <w:r w:rsidRPr="00B34517">
        <w:t>The electricity and water price index for February 2025 reflects fluctuations one month later than other items because it is calculated based on revenue and consumption output of January 2025.</w:t>
      </w:r>
    </w:p>
  </w:footnote>
  <w:footnote w:id="24">
    <w:p w14:paraId="0506989E" w14:textId="77777777" w:rsidR="00753A68" w:rsidRPr="00150620" w:rsidRDefault="00753A68" w:rsidP="00753A68">
      <w:pPr>
        <w:pStyle w:val="FootnoteText"/>
        <w:spacing w:before="40" w:after="40"/>
        <w:ind w:left="198" w:hanging="198"/>
        <w:jc w:val="both"/>
        <w:rPr>
          <w:lang w:val="en-US"/>
        </w:rPr>
      </w:pPr>
      <w:r w:rsidRPr="009044DD">
        <w:rPr>
          <w:rStyle w:val="FootnoteReference"/>
        </w:rPr>
        <w:footnoteRef/>
      </w:r>
      <w:r w:rsidRPr="009044DD">
        <w:t xml:space="preserve"> </w:t>
      </w:r>
      <w:r w:rsidRPr="00A33D4C">
        <w:t>Pork price index increased by 1.74%; fresh and processed fruit price index increased by 2.01%; fresh seafood price index increased by 1.18%; processed seafood increased by 0.29%; fish sauce and dipping sauce price index increased by 0.35%; beans and nuts increased by 0.2%; spices increased by 0.19%; tea, coffee, cocoa increased by 0.17%; cakes, jams, and candies increased by 0.11%; milk, butter, and cheese increased by 0.09%. On the contrary, the fresh, dried, and processed vegetable price index decreased by 2.69%, of which tomato prices decreased by 11.94%; kohlrabi decreased by 8.26%; cabbage decreased by 7.06%; fresh and dried spices of all kinds decreased by 2.77% due to favorable weather conditions that made the supply abundant and plentiful.</w:t>
      </w:r>
    </w:p>
  </w:footnote>
  <w:footnote w:id="25">
    <w:p w14:paraId="69199952" w14:textId="77777777" w:rsidR="00753A68" w:rsidRPr="002C19D3" w:rsidRDefault="00753A68" w:rsidP="00753A68">
      <w:pPr>
        <w:pStyle w:val="FootnoteText"/>
        <w:spacing w:before="40" w:after="40"/>
        <w:ind w:left="198" w:hanging="198"/>
        <w:jc w:val="both"/>
        <w:rPr>
          <w:lang w:val="en-US"/>
        </w:rPr>
      </w:pPr>
      <w:r>
        <w:rPr>
          <w:rStyle w:val="FootnoteReference"/>
        </w:rPr>
        <w:footnoteRef/>
      </w:r>
      <w:r>
        <w:t xml:space="preserve"> </w:t>
      </w:r>
      <w:r w:rsidRPr="00A33D4C">
        <w:rPr>
          <w:spacing w:val="-4"/>
          <w:lang w:val="en-US"/>
        </w:rPr>
        <w:t>Due to the increased consumer demand during the New Year festivals, spring travel, and gatherings. Along with that, the high prices of raw materials and labor costs after the Lunar New Year holiday have pushed up the price of eating out. Of which, the price of eating out increased by 0.74%; drinking out increased by 0.99%; and fast food takeaway increased by 0.62%.</w:t>
      </w:r>
    </w:p>
  </w:footnote>
  <w:footnote w:id="26">
    <w:p w14:paraId="161BDA46" w14:textId="77777777" w:rsidR="00753A68" w:rsidRPr="006F7141" w:rsidRDefault="00753A68" w:rsidP="00753A68">
      <w:pPr>
        <w:pStyle w:val="FootnoteText"/>
        <w:ind w:left="198" w:hanging="198"/>
        <w:jc w:val="both"/>
        <w:rPr>
          <w:lang w:val="en-US"/>
        </w:rPr>
      </w:pPr>
      <w:r>
        <w:rPr>
          <w:rStyle w:val="FootnoteReference"/>
        </w:rPr>
        <w:footnoteRef/>
      </w:r>
      <w:r>
        <w:t xml:space="preserve"> </w:t>
      </w:r>
      <w:r w:rsidRPr="00A33D4C">
        <w:t>Domestic rice prices decreased due to lower consumer demand after the Lunar New Year, while export rice prices decreased due to increased world rice supply as India returned to the rice export market after two years of restrictions. Accordingly, the rice price index decreased by 0.54% (regular rice decreased by 0.7%; premium rice decreased by 0.1%).</w:t>
      </w:r>
    </w:p>
  </w:footnote>
  <w:footnote w:id="27">
    <w:p w14:paraId="45917018" w14:textId="77777777" w:rsidR="00753A68" w:rsidRPr="00FC383C" w:rsidRDefault="00753A68" w:rsidP="00753A68">
      <w:pPr>
        <w:pStyle w:val="FootnoteText"/>
        <w:spacing w:before="20" w:after="20"/>
        <w:ind w:left="142" w:hanging="142"/>
        <w:jc w:val="both"/>
      </w:pPr>
      <w:r w:rsidRPr="00FC383C">
        <w:rPr>
          <w:rStyle w:val="FootnoteReference"/>
        </w:rPr>
        <w:footnoteRef/>
      </w:r>
      <w:r>
        <w:t xml:space="preserve"> </w:t>
      </w:r>
      <w:r w:rsidRPr="00FC383C">
        <w:t>CPI after excluding food, fresh food, energy and state-managed goods including medical services and education.</w:t>
      </w:r>
    </w:p>
  </w:footnote>
  <w:footnote w:id="28">
    <w:p w14:paraId="7F2413A7" w14:textId="77777777" w:rsidR="00CF1E03" w:rsidRDefault="00CF1E03" w:rsidP="005B0F44">
      <w:pPr>
        <w:pStyle w:val="FootnoteText"/>
        <w:jc w:val="both"/>
        <w:rPr>
          <w:sz w:val="18"/>
          <w:szCs w:val="18"/>
        </w:rPr>
      </w:pPr>
      <w:r>
        <w:rPr>
          <w:rStyle w:val="FootnoteReference"/>
        </w:rPr>
        <w:footnoteRef/>
      </w:r>
      <w:r>
        <w:rPr>
          <w:spacing w:val="2"/>
        </w:rPr>
        <w:t xml:space="preserve"> According to the report of the Border Gate Department, the Border Guard Command, the Ministry of National Defense and the Immigration Department.</w:t>
      </w:r>
    </w:p>
  </w:footnote>
  <w:footnote w:id="29">
    <w:p w14:paraId="2612DED0" w14:textId="77777777" w:rsidR="00CF1E03" w:rsidRPr="00672651" w:rsidRDefault="00CF1E03" w:rsidP="005B0F44">
      <w:pPr>
        <w:pStyle w:val="FootnoteText"/>
        <w:rPr>
          <w:lang w:val="en-US"/>
        </w:rPr>
      </w:pPr>
      <w:r>
        <w:rPr>
          <w:rStyle w:val="FootnoteReference"/>
        </w:rPr>
        <w:footnoteRef/>
      </w:r>
      <w:r>
        <w:t xml:space="preserve"> </w:t>
      </w:r>
      <w:r>
        <w:rPr>
          <w:lang w:val="en-US"/>
        </w:rPr>
        <w:t>T</w:t>
      </w:r>
      <w:r>
        <w:rPr>
          <w:lang w:val="nl-NL"/>
        </w:rPr>
        <w:t>he reporting period was from January 21, 2024 to Februari 20, 2024.</w:t>
      </w:r>
    </w:p>
  </w:footnote>
  <w:footnote w:id="30">
    <w:p w14:paraId="37C6DE80" w14:textId="77777777" w:rsidR="00753A68" w:rsidRDefault="00753A68" w:rsidP="00753A68">
      <w:pPr>
        <w:pStyle w:val="FootnoteText"/>
        <w:jc w:val="both"/>
        <w:rPr>
          <w:sz w:val="18"/>
          <w:szCs w:val="18"/>
        </w:rPr>
      </w:pPr>
      <w:r>
        <w:rPr>
          <w:rStyle w:val="FootnoteReference"/>
        </w:rPr>
        <w:footnoteRef/>
      </w:r>
      <w:r>
        <w:rPr>
          <w:spacing w:val="2"/>
        </w:rPr>
        <w:t xml:space="preserve"> According to the report of the Border Gate Department, the Border Guard Command, the Ministry of National Defense and the Immigration Department </w:t>
      </w:r>
      <w:r w:rsidRPr="008A7BD1">
        <w:rPr>
          <w:spacing w:val="2"/>
        </w:rPr>
        <w:t xml:space="preserve">on </w:t>
      </w:r>
      <w:r>
        <w:rPr>
          <w:spacing w:val="2"/>
        </w:rPr>
        <w:t>February</w:t>
      </w:r>
      <w:r w:rsidRPr="008A7BD1">
        <w:rPr>
          <w:spacing w:val="2"/>
        </w:rPr>
        <w:t xml:space="preserve"> 27, 202</w:t>
      </w:r>
      <w:r>
        <w:rPr>
          <w:spacing w:val="2"/>
        </w:rPr>
        <w:t>5</w:t>
      </w:r>
      <w:r w:rsidRPr="008A7BD1">
        <w:rPr>
          <w:spacing w:val="2"/>
        </w:rPr>
        <w:t>.</w:t>
      </w:r>
    </w:p>
  </w:footnote>
  <w:footnote w:id="31">
    <w:p w14:paraId="6352A678" w14:textId="77777777" w:rsidR="00753A68" w:rsidRPr="00672651" w:rsidRDefault="00753A68" w:rsidP="00753A68">
      <w:pPr>
        <w:pStyle w:val="FootnoteText"/>
        <w:rPr>
          <w:lang w:val="en-US"/>
        </w:rPr>
      </w:pPr>
      <w:r>
        <w:rPr>
          <w:rStyle w:val="FootnoteReference"/>
        </w:rPr>
        <w:footnoteRef/>
      </w:r>
      <w:r>
        <w:t xml:space="preserve"> </w:t>
      </w:r>
      <w:r>
        <w:rPr>
          <w:lang w:val="en-US"/>
        </w:rPr>
        <w:t>T</w:t>
      </w:r>
      <w:r>
        <w:rPr>
          <w:lang w:val="nl-NL"/>
        </w:rPr>
        <w:t>he reporting period was from January 26, 2025 to February 25, 2025.</w:t>
      </w:r>
    </w:p>
  </w:footnote>
  <w:footnote w:id="32">
    <w:p w14:paraId="0BF15B47" w14:textId="77777777" w:rsidR="00753A68" w:rsidRPr="00F1270D" w:rsidRDefault="00753A68" w:rsidP="00753A68">
      <w:pPr>
        <w:pStyle w:val="FootnoteText"/>
        <w:rPr>
          <w:lang w:val="nl-NL"/>
        </w:rPr>
      </w:pPr>
      <w:r w:rsidRPr="00F1270D">
        <w:rPr>
          <w:rStyle w:val="FootnoteReference"/>
        </w:rPr>
        <w:footnoteRef/>
      </w:r>
      <w:r w:rsidRPr="00F1270D">
        <w:t xml:space="preserve"> </w:t>
      </w:r>
      <w:r w:rsidRPr="00442A1B">
        <w:t>A household can choose many causes for reduced income.</w:t>
      </w:r>
    </w:p>
  </w:footnote>
  <w:footnote w:id="33">
    <w:p w14:paraId="45476478" w14:textId="77777777" w:rsidR="00753A68" w:rsidRPr="00F1270D" w:rsidRDefault="00753A68" w:rsidP="00753A68">
      <w:pPr>
        <w:pStyle w:val="FootnoteText"/>
        <w:ind w:left="198" w:hanging="198"/>
        <w:jc w:val="both"/>
      </w:pPr>
      <w:r w:rsidRPr="00F1270D">
        <w:rPr>
          <w:rStyle w:val="FootnoteReference"/>
        </w:rPr>
        <w:footnoteRef/>
      </w:r>
      <w:r w:rsidRPr="004D6D12">
        <w:t>According to a quick report from the Office of the Ministry of Public Security and the Vietnam Maritime Administration (Ministry of Transport) on February 28, 2025</w:t>
      </w:r>
      <w:r w:rsidRPr="00F1270D">
        <w:t>.</w:t>
      </w:r>
    </w:p>
  </w:footnote>
  <w:footnote w:id="34">
    <w:p w14:paraId="5EE639D7" w14:textId="77777777" w:rsidR="00753A68" w:rsidRPr="00F1270D" w:rsidRDefault="00753A68" w:rsidP="00753A68">
      <w:pPr>
        <w:pStyle w:val="FootnoteText"/>
        <w:spacing w:after="40"/>
        <w:ind w:left="198" w:hanging="198"/>
        <w:jc w:val="both"/>
        <w:rPr>
          <w:spacing w:val="-2"/>
        </w:rPr>
      </w:pPr>
      <w:r w:rsidRPr="00F1270D">
        <w:rPr>
          <w:rStyle w:val="FootnoteReference"/>
        </w:rPr>
        <w:footnoteRef/>
      </w:r>
      <w:r w:rsidRPr="004D6D12">
        <w:t>Summary of Reports from 63 Departments of Agriculture and Environment, reporting period from January 19 to February 18, 2025</w:t>
      </w:r>
      <w:r w:rsidRPr="00F1270D">
        <w:t>.</w:t>
      </w:r>
    </w:p>
  </w:footnote>
  <w:footnote w:id="35">
    <w:p w14:paraId="4145DCAD" w14:textId="77777777" w:rsidR="00753A68" w:rsidRPr="00F1270D" w:rsidRDefault="00753A68" w:rsidP="00753A68">
      <w:pPr>
        <w:pStyle w:val="FootnoteText"/>
        <w:spacing w:after="40"/>
        <w:ind w:left="198" w:hanging="198"/>
        <w:jc w:val="both"/>
        <w:rPr>
          <w:lang w:val="en-US"/>
        </w:rPr>
      </w:pPr>
      <w:r w:rsidRPr="00F1270D">
        <w:rPr>
          <w:rStyle w:val="FootnoteReference"/>
        </w:rPr>
        <w:footnoteRef/>
      </w:r>
      <w:r w:rsidRPr="004D6D12">
        <w:rPr>
          <w:lang w:val="de-DE"/>
        </w:rPr>
        <w:t>According to reports from the Department of Agriculture and Environment, the Provincial and Municipal Police Departments under the Central Government were compiled by the Statistics Offices.</w:t>
      </w:r>
    </w:p>
  </w:footnote>
  <w:footnote w:id="36">
    <w:p w14:paraId="302F9E15" w14:textId="77777777" w:rsidR="00753A68" w:rsidRPr="00F1270D" w:rsidRDefault="00753A68" w:rsidP="00753A68">
      <w:pPr>
        <w:tabs>
          <w:tab w:val="left" w:pos="426"/>
          <w:tab w:val="left" w:pos="900"/>
        </w:tabs>
        <w:spacing w:after="40"/>
        <w:ind w:left="198" w:hanging="198"/>
        <w:jc w:val="both"/>
        <w:rPr>
          <w:sz w:val="20"/>
          <w:szCs w:val="20"/>
        </w:rPr>
      </w:pPr>
      <w:r w:rsidRPr="00F1270D">
        <w:rPr>
          <w:rStyle w:val="FootnoteReference"/>
          <w:sz w:val="20"/>
          <w:szCs w:val="20"/>
        </w:rPr>
        <w:footnoteRef/>
      </w:r>
      <w:r w:rsidRPr="00AC4AF8">
        <w:rPr>
          <w:noProof/>
          <w:sz w:val="20"/>
          <w:szCs w:val="20"/>
        </w:rPr>
        <w:t>There are 09 localities that did not detect any environmental violations in February 2025: Lao Cai, Khanh Hoa, Kon Tum, Dak Nong, Lam Dong, Ba Ria - Vung Tau, Long An, An Giang and Can Tho.</w:t>
      </w:r>
    </w:p>
  </w:footnote>
  <w:footnote w:id="37">
    <w:p w14:paraId="2DD05F2D" w14:textId="77777777" w:rsidR="00753A68" w:rsidRPr="00F1270D" w:rsidRDefault="00753A68" w:rsidP="00753A68">
      <w:pPr>
        <w:pStyle w:val="FootnoteText"/>
        <w:spacing w:after="40"/>
        <w:ind w:left="198" w:hanging="198"/>
      </w:pPr>
      <w:r w:rsidRPr="00F1270D">
        <w:rPr>
          <w:rStyle w:val="FootnoteReference"/>
        </w:rPr>
        <w:footnoteRef/>
      </w:r>
      <w:r w:rsidRPr="004D6D12">
        <w:t>According to a quick report from the Ministry of Public Security on February 23, 2025</w:t>
      </w:r>
      <w:r w:rsidRPr="00F1270D">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A3945" w14:textId="77777777" w:rsidR="00CF1E03" w:rsidRDefault="00CF1E0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ED533" w14:textId="714A575C" w:rsidR="00CF1E03" w:rsidRPr="00AC7FFB" w:rsidRDefault="00CF1E03">
    <w:pPr>
      <w:pStyle w:val="Header"/>
      <w:jc w:val="center"/>
      <w:rPr>
        <w:sz w:val="26"/>
        <w:szCs w:val="26"/>
      </w:rPr>
    </w:pPr>
    <w:r w:rsidRPr="00AC7FFB">
      <w:rPr>
        <w:sz w:val="26"/>
        <w:szCs w:val="26"/>
      </w:rPr>
      <w:fldChar w:fldCharType="begin"/>
    </w:r>
    <w:r w:rsidRPr="00AC7FFB">
      <w:rPr>
        <w:sz w:val="26"/>
        <w:szCs w:val="26"/>
      </w:rPr>
      <w:instrText xml:space="preserve"> PAGE   \* MERGEFORMAT </w:instrText>
    </w:r>
    <w:r w:rsidRPr="00AC7FFB">
      <w:rPr>
        <w:sz w:val="26"/>
        <w:szCs w:val="26"/>
      </w:rPr>
      <w:fldChar w:fldCharType="separate"/>
    </w:r>
    <w:r w:rsidR="00CE7EA7">
      <w:rPr>
        <w:noProof/>
        <w:sz w:val="26"/>
        <w:szCs w:val="26"/>
      </w:rPr>
      <w:t>24</w:t>
    </w:r>
    <w:r w:rsidRPr="00AC7FFB">
      <w:rPr>
        <w:sz w:val="26"/>
        <w:szCs w:val="26"/>
      </w:rPr>
      <w:fldChar w:fldCharType="end"/>
    </w:r>
  </w:p>
  <w:p w14:paraId="1345E178" w14:textId="77777777" w:rsidR="00CF1E03" w:rsidRDefault="00CF1E03">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12E76" w14:textId="77777777" w:rsidR="00CF1E03" w:rsidRDefault="00CF1E0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CF8748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782B92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20C6D1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5E05CB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5C2267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09A1A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F4A209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0D0772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FF69E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4DA35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50C3DF2"/>
    <w:multiLevelType w:val="hybridMultilevel"/>
    <w:tmpl w:val="57B2C124"/>
    <w:lvl w:ilvl="0" w:tplc="97D2DCAC">
      <w:numFmt w:val="bullet"/>
      <w:lvlText w:val="-"/>
      <w:lvlJc w:val="left"/>
      <w:pPr>
        <w:ind w:left="927" w:hanging="360"/>
      </w:pPr>
      <w:rPr>
        <w:rFonts w:ascii="Times New Roman" w:eastAsia="Times New Roman" w:hAnsi="Times New Roman"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1" w15:restartNumberingAfterBreak="0">
    <w:nsid w:val="386E21E8"/>
    <w:multiLevelType w:val="hybridMultilevel"/>
    <w:tmpl w:val="19F8C82A"/>
    <w:lvl w:ilvl="0" w:tplc="107265E2">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427E2210"/>
    <w:multiLevelType w:val="hybridMultilevel"/>
    <w:tmpl w:val="5B5A25EE"/>
    <w:lvl w:ilvl="0" w:tplc="B7665A3E">
      <w:start w:val="1"/>
      <w:numFmt w:val="decimal"/>
      <w:lvlText w:val="(%1)"/>
      <w:lvlJc w:val="left"/>
      <w:pPr>
        <w:ind w:left="927" w:hanging="360"/>
      </w:pPr>
      <w:rPr>
        <w:rFonts w:hint="default"/>
        <w:sz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4F2B5A09"/>
    <w:multiLevelType w:val="hybridMultilevel"/>
    <w:tmpl w:val="E242A0A0"/>
    <w:lvl w:ilvl="0" w:tplc="DEFAB62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6A190281"/>
    <w:multiLevelType w:val="hybridMultilevel"/>
    <w:tmpl w:val="29E6A5A4"/>
    <w:lvl w:ilvl="0" w:tplc="F4002D4C">
      <w:start w:val="3"/>
      <w:numFmt w:val="lowerLetter"/>
      <w:lvlText w:val="%1."/>
      <w:lvlJc w:val="left"/>
      <w:pPr>
        <w:ind w:left="1170" w:hanging="360"/>
      </w:pPr>
      <w:rPr>
        <w:rFonts w:cs="Times New Roman" w:hint="default"/>
      </w:rPr>
    </w:lvl>
    <w:lvl w:ilvl="1" w:tplc="04090019">
      <w:start w:val="1"/>
      <w:numFmt w:val="lowerLetter"/>
      <w:lvlText w:val="%2."/>
      <w:lvlJc w:val="left"/>
      <w:pPr>
        <w:ind w:left="1890" w:hanging="360"/>
      </w:pPr>
      <w:rPr>
        <w:rFonts w:cs="Times New Roman"/>
      </w:rPr>
    </w:lvl>
    <w:lvl w:ilvl="2" w:tplc="0409001B">
      <w:start w:val="1"/>
      <w:numFmt w:val="lowerRoman"/>
      <w:lvlText w:val="%3."/>
      <w:lvlJc w:val="right"/>
      <w:pPr>
        <w:ind w:left="2610" w:hanging="180"/>
      </w:pPr>
      <w:rPr>
        <w:rFonts w:cs="Times New Roman"/>
      </w:rPr>
    </w:lvl>
    <w:lvl w:ilvl="3" w:tplc="0409000F">
      <w:start w:val="1"/>
      <w:numFmt w:val="decimal"/>
      <w:lvlText w:val="%4."/>
      <w:lvlJc w:val="left"/>
      <w:pPr>
        <w:ind w:left="3330" w:hanging="360"/>
      </w:pPr>
      <w:rPr>
        <w:rFonts w:cs="Times New Roman"/>
      </w:rPr>
    </w:lvl>
    <w:lvl w:ilvl="4" w:tplc="04090019">
      <w:start w:val="1"/>
      <w:numFmt w:val="lowerLetter"/>
      <w:lvlText w:val="%5."/>
      <w:lvlJc w:val="left"/>
      <w:pPr>
        <w:ind w:left="4050" w:hanging="360"/>
      </w:pPr>
      <w:rPr>
        <w:rFonts w:cs="Times New Roman"/>
      </w:rPr>
    </w:lvl>
    <w:lvl w:ilvl="5" w:tplc="0409001B">
      <w:start w:val="1"/>
      <w:numFmt w:val="lowerRoman"/>
      <w:lvlText w:val="%6."/>
      <w:lvlJc w:val="right"/>
      <w:pPr>
        <w:ind w:left="4770" w:hanging="180"/>
      </w:pPr>
      <w:rPr>
        <w:rFonts w:cs="Times New Roman"/>
      </w:rPr>
    </w:lvl>
    <w:lvl w:ilvl="6" w:tplc="0409000F">
      <w:start w:val="1"/>
      <w:numFmt w:val="decimal"/>
      <w:lvlText w:val="%7."/>
      <w:lvlJc w:val="left"/>
      <w:pPr>
        <w:ind w:left="5490" w:hanging="360"/>
      </w:pPr>
      <w:rPr>
        <w:rFonts w:cs="Times New Roman"/>
      </w:rPr>
    </w:lvl>
    <w:lvl w:ilvl="7" w:tplc="04090019">
      <w:start w:val="1"/>
      <w:numFmt w:val="lowerLetter"/>
      <w:lvlText w:val="%8."/>
      <w:lvlJc w:val="left"/>
      <w:pPr>
        <w:ind w:left="6210" w:hanging="360"/>
      </w:pPr>
      <w:rPr>
        <w:rFonts w:cs="Times New Roman"/>
      </w:rPr>
    </w:lvl>
    <w:lvl w:ilvl="8" w:tplc="0409001B">
      <w:start w:val="1"/>
      <w:numFmt w:val="lowerRoman"/>
      <w:lvlText w:val="%9."/>
      <w:lvlJc w:val="right"/>
      <w:pPr>
        <w:ind w:left="6930" w:hanging="180"/>
      </w:pPr>
      <w:rPr>
        <w:rFonts w:cs="Times New Roman"/>
      </w:rPr>
    </w:lvl>
  </w:abstractNum>
  <w:abstractNum w:abstractNumId="15" w15:restartNumberingAfterBreak="0">
    <w:nsid w:val="6C15253D"/>
    <w:multiLevelType w:val="hybridMultilevel"/>
    <w:tmpl w:val="31AC050A"/>
    <w:lvl w:ilvl="0" w:tplc="CBAAC4FA">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13"/>
  </w:num>
  <w:num w:numId="2">
    <w:abstractNumId w:val="14"/>
  </w:num>
  <w:num w:numId="3">
    <w:abstractNumId w:val="15"/>
  </w:num>
  <w:num w:numId="4">
    <w:abstractNumId w:val="10"/>
  </w:num>
  <w:num w:numId="5">
    <w:abstractNumId w:val="11"/>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4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468"/>
    <w:rsid w:val="0000060A"/>
    <w:rsid w:val="0000106D"/>
    <w:rsid w:val="00001111"/>
    <w:rsid w:val="00001C22"/>
    <w:rsid w:val="000036C2"/>
    <w:rsid w:val="000039A3"/>
    <w:rsid w:val="00003C5E"/>
    <w:rsid w:val="000043CF"/>
    <w:rsid w:val="0000461D"/>
    <w:rsid w:val="00005622"/>
    <w:rsid w:val="0000631B"/>
    <w:rsid w:val="000071F9"/>
    <w:rsid w:val="000111B7"/>
    <w:rsid w:val="00011FBD"/>
    <w:rsid w:val="00012187"/>
    <w:rsid w:val="00012590"/>
    <w:rsid w:val="00012976"/>
    <w:rsid w:val="00012C2C"/>
    <w:rsid w:val="00013D33"/>
    <w:rsid w:val="00014846"/>
    <w:rsid w:val="00014AB2"/>
    <w:rsid w:val="000154AA"/>
    <w:rsid w:val="00016203"/>
    <w:rsid w:val="000169D6"/>
    <w:rsid w:val="0001752D"/>
    <w:rsid w:val="00020671"/>
    <w:rsid w:val="000209B1"/>
    <w:rsid w:val="000229F8"/>
    <w:rsid w:val="00022A03"/>
    <w:rsid w:val="00024AC9"/>
    <w:rsid w:val="0002533E"/>
    <w:rsid w:val="00025359"/>
    <w:rsid w:val="0002579C"/>
    <w:rsid w:val="00026AA3"/>
    <w:rsid w:val="0002736B"/>
    <w:rsid w:val="000277B8"/>
    <w:rsid w:val="0003027A"/>
    <w:rsid w:val="000308C7"/>
    <w:rsid w:val="00030AF3"/>
    <w:rsid w:val="00030D8A"/>
    <w:rsid w:val="000317F3"/>
    <w:rsid w:val="000319D7"/>
    <w:rsid w:val="0003230D"/>
    <w:rsid w:val="00032F6F"/>
    <w:rsid w:val="00033E21"/>
    <w:rsid w:val="00034406"/>
    <w:rsid w:val="000355A1"/>
    <w:rsid w:val="00036452"/>
    <w:rsid w:val="00040137"/>
    <w:rsid w:val="000420D5"/>
    <w:rsid w:val="00042223"/>
    <w:rsid w:val="00042EB9"/>
    <w:rsid w:val="00044A7D"/>
    <w:rsid w:val="00045745"/>
    <w:rsid w:val="000461E1"/>
    <w:rsid w:val="000463F1"/>
    <w:rsid w:val="00046AD8"/>
    <w:rsid w:val="00046EB2"/>
    <w:rsid w:val="00047933"/>
    <w:rsid w:val="000506B5"/>
    <w:rsid w:val="00050839"/>
    <w:rsid w:val="00050A08"/>
    <w:rsid w:val="00051916"/>
    <w:rsid w:val="00052DD5"/>
    <w:rsid w:val="00054799"/>
    <w:rsid w:val="0005479A"/>
    <w:rsid w:val="00055398"/>
    <w:rsid w:val="0005565B"/>
    <w:rsid w:val="00055C58"/>
    <w:rsid w:val="000564ED"/>
    <w:rsid w:val="00056734"/>
    <w:rsid w:val="000577DB"/>
    <w:rsid w:val="000601AD"/>
    <w:rsid w:val="00060A18"/>
    <w:rsid w:val="00060D9F"/>
    <w:rsid w:val="00060EF3"/>
    <w:rsid w:val="00061C45"/>
    <w:rsid w:val="00061DBA"/>
    <w:rsid w:val="00062BEB"/>
    <w:rsid w:val="00062D3D"/>
    <w:rsid w:val="00062EB5"/>
    <w:rsid w:val="00062FE7"/>
    <w:rsid w:val="00063317"/>
    <w:rsid w:val="00063509"/>
    <w:rsid w:val="00063669"/>
    <w:rsid w:val="0006483F"/>
    <w:rsid w:val="0006495B"/>
    <w:rsid w:val="00065158"/>
    <w:rsid w:val="0006555A"/>
    <w:rsid w:val="000658A7"/>
    <w:rsid w:val="00065A13"/>
    <w:rsid w:val="00065CCF"/>
    <w:rsid w:val="00066D3C"/>
    <w:rsid w:val="000708ED"/>
    <w:rsid w:val="00070B2D"/>
    <w:rsid w:val="00070C81"/>
    <w:rsid w:val="000712EE"/>
    <w:rsid w:val="00072295"/>
    <w:rsid w:val="00072810"/>
    <w:rsid w:val="00072A12"/>
    <w:rsid w:val="000730C0"/>
    <w:rsid w:val="00074861"/>
    <w:rsid w:val="0007509B"/>
    <w:rsid w:val="0007526A"/>
    <w:rsid w:val="0007626A"/>
    <w:rsid w:val="00076466"/>
    <w:rsid w:val="0007684A"/>
    <w:rsid w:val="00076D5E"/>
    <w:rsid w:val="00076F40"/>
    <w:rsid w:val="0007721A"/>
    <w:rsid w:val="00077553"/>
    <w:rsid w:val="0007787D"/>
    <w:rsid w:val="00077957"/>
    <w:rsid w:val="000809AB"/>
    <w:rsid w:val="000820EA"/>
    <w:rsid w:val="00083FA5"/>
    <w:rsid w:val="000851C7"/>
    <w:rsid w:val="0008608F"/>
    <w:rsid w:val="00086FF3"/>
    <w:rsid w:val="000906F5"/>
    <w:rsid w:val="0009075A"/>
    <w:rsid w:val="000909CE"/>
    <w:rsid w:val="0009196E"/>
    <w:rsid w:val="00092656"/>
    <w:rsid w:val="00092A06"/>
    <w:rsid w:val="00092C77"/>
    <w:rsid w:val="00092E0E"/>
    <w:rsid w:val="000930DA"/>
    <w:rsid w:val="000937B1"/>
    <w:rsid w:val="00093E9A"/>
    <w:rsid w:val="00094645"/>
    <w:rsid w:val="00095257"/>
    <w:rsid w:val="00095F89"/>
    <w:rsid w:val="0009679C"/>
    <w:rsid w:val="00096C40"/>
    <w:rsid w:val="00097180"/>
    <w:rsid w:val="00097770"/>
    <w:rsid w:val="000A0827"/>
    <w:rsid w:val="000A0849"/>
    <w:rsid w:val="000A1186"/>
    <w:rsid w:val="000A173F"/>
    <w:rsid w:val="000A192B"/>
    <w:rsid w:val="000A1CCE"/>
    <w:rsid w:val="000A3467"/>
    <w:rsid w:val="000A39E0"/>
    <w:rsid w:val="000A3B20"/>
    <w:rsid w:val="000A42A0"/>
    <w:rsid w:val="000A4465"/>
    <w:rsid w:val="000A4A08"/>
    <w:rsid w:val="000A5186"/>
    <w:rsid w:val="000A58E0"/>
    <w:rsid w:val="000A5F10"/>
    <w:rsid w:val="000A6278"/>
    <w:rsid w:val="000A64CA"/>
    <w:rsid w:val="000B1DBB"/>
    <w:rsid w:val="000B2181"/>
    <w:rsid w:val="000B3A76"/>
    <w:rsid w:val="000B3B84"/>
    <w:rsid w:val="000B4674"/>
    <w:rsid w:val="000B46CF"/>
    <w:rsid w:val="000B481F"/>
    <w:rsid w:val="000B49D3"/>
    <w:rsid w:val="000B56FF"/>
    <w:rsid w:val="000B5B1D"/>
    <w:rsid w:val="000B630A"/>
    <w:rsid w:val="000B720A"/>
    <w:rsid w:val="000B775B"/>
    <w:rsid w:val="000C006C"/>
    <w:rsid w:val="000C0548"/>
    <w:rsid w:val="000C1A58"/>
    <w:rsid w:val="000C1AEE"/>
    <w:rsid w:val="000C27E6"/>
    <w:rsid w:val="000C5209"/>
    <w:rsid w:val="000C53E9"/>
    <w:rsid w:val="000C5737"/>
    <w:rsid w:val="000C5829"/>
    <w:rsid w:val="000C65E4"/>
    <w:rsid w:val="000C68DD"/>
    <w:rsid w:val="000C6AB4"/>
    <w:rsid w:val="000C6F18"/>
    <w:rsid w:val="000C74A9"/>
    <w:rsid w:val="000C7688"/>
    <w:rsid w:val="000C7F9F"/>
    <w:rsid w:val="000D0051"/>
    <w:rsid w:val="000D0C22"/>
    <w:rsid w:val="000D26EE"/>
    <w:rsid w:val="000D26EF"/>
    <w:rsid w:val="000D2BF5"/>
    <w:rsid w:val="000D3A06"/>
    <w:rsid w:val="000D4AFF"/>
    <w:rsid w:val="000D4CC8"/>
    <w:rsid w:val="000D4F5D"/>
    <w:rsid w:val="000D53AB"/>
    <w:rsid w:val="000D573D"/>
    <w:rsid w:val="000D58AA"/>
    <w:rsid w:val="000D60C2"/>
    <w:rsid w:val="000D713B"/>
    <w:rsid w:val="000D71B7"/>
    <w:rsid w:val="000D76D0"/>
    <w:rsid w:val="000D78C2"/>
    <w:rsid w:val="000E0006"/>
    <w:rsid w:val="000E0C6F"/>
    <w:rsid w:val="000E1182"/>
    <w:rsid w:val="000E2AD5"/>
    <w:rsid w:val="000E4B18"/>
    <w:rsid w:val="000E4E3C"/>
    <w:rsid w:val="000E535D"/>
    <w:rsid w:val="000E6165"/>
    <w:rsid w:val="000E63BD"/>
    <w:rsid w:val="000E689F"/>
    <w:rsid w:val="000E6961"/>
    <w:rsid w:val="000E780A"/>
    <w:rsid w:val="000F0084"/>
    <w:rsid w:val="000F0EA1"/>
    <w:rsid w:val="000F394F"/>
    <w:rsid w:val="000F3CA3"/>
    <w:rsid w:val="000F423F"/>
    <w:rsid w:val="000F4742"/>
    <w:rsid w:val="000F4AC9"/>
    <w:rsid w:val="000F4DEC"/>
    <w:rsid w:val="000F5913"/>
    <w:rsid w:val="000F6092"/>
    <w:rsid w:val="000F6482"/>
    <w:rsid w:val="000F74AD"/>
    <w:rsid w:val="000F78C7"/>
    <w:rsid w:val="000F7BC2"/>
    <w:rsid w:val="00100DF0"/>
    <w:rsid w:val="00100EB4"/>
    <w:rsid w:val="00101826"/>
    <w:rsid w:val="0010196B"/>
    <w:rsid w:val="0010267B"/>
    <w:rsid w:val="00103A80"/>
    <w:rsid w:val="00103B7E"/>
    <w:rsid w:val="001053C0"/>
    <w:rsid w:val="001067DB"/>
    <w:rsid w:val="0010732D"/>
    <w:rsid w:val="00107927"/>
    <w:rsid w:val="00110D60"/>
    <w:rsid w:val="001111A4"/>
    <w:rsid w:val="00111673"/>
    <w:rsid w:val="00112582"/>
    <w:rsid w:val="0011328C"/>
    <w:rsid w:val="00113542"/>
    <w:rsid w:val="0011450B"/>
    <w:rsid w:val="001145F4"/>
    <w:rsid w:val="00114759"/>
    <w:rsid w:val="001156CE"/>
    <w:rsid w:val="001163E2"/>
    <w:rsid w:val="00117119"/>
    <w:rsid w:val="0011728C"/>
    <w:rsid w:val="00117732"/>
    <w:rsid w:val="00117781"/>
    <w:rsid w:val="0012078A"/>
    <w:rsid w:val="001208B8"/>
    <w:rsid w:val="001208F7"/>
    <w:rsid w:val="00120AA1"/>
    <w:rsid w:val="00120DCB"/>
    <w:rsid w:val="001219F9"/>
    <w:rsid w:val="001221E5"/>
    <w:rsid w:val="00123F60"/>
    <w:rsid w:val="00124496"/>
    <w:rsid w:val="00124520"/>
    <w:rsid w:val="00124AE1"/>
    <w:rsid w:val="00124D0A"/>
    <w:rsid w:val="00124E9B"/>
    <w:rsid w:val="00124F5E"/>
    <w:rsid w:val="00125D1A"/>
    <w:rsid w:val="001261B4"/>
    <w:rsid w:val="00126B64"/>
    <w:rsid w:val="00126BCD"/>
    <w:rsid w:val="00127476"/>
    <w:rsid w:val="00127893"/>
    <w:rsid w:val="00130530"/>
    <w:rsid w:val="0013106B"/>
    <w:rsid w:val="00132327"/>
    <w:rsid w:val="00132AB4"/>
    <w:rsid w:val="00132C6D"/>
    <w:rsid w:val="00132DA3"/>
    <w:rsid w:val="00132F80"/>
    <w:rsid w:val="0013362F"/>
    <w:rsid w:val="00134829"/>
    <w:rsid w:val="0013560B"/>
    <w:rsid w:val="00135708"/>
    <w:rsid w:val="00135F41"/>
    <w:rsid w:val="00136657"/>
    <w:rsid w:val="00137F3E"/>
    <w:rsid w:val="00140121"/>
    <w:rsid w:val="0014056F"/>
    <w:rsid w:val="00140802"/>
    <w:rsid w:val="001409C2"/>
    <w:rsid w:val="00141006"/>
    <w:rsid w:val="001413DD"/>
    <w:rsid w:val="00141744"/>
    <w:rsid w:val="00141BCE"/>
    <w:rsid w:val="00142019"/>
    <w:rsid w:val="0014209C"/>
    <w:rsid w:val="001426FE"/>
    <w:rsid w:val="00142D28"/>
    <w:rsid w:val="00143944"/>
    <w:rsid w:val="00143D58"/>
    <w:rsid w:val="0014472B"/>
    <w:rsid w:val="00144921"/>
    <w:rsid w:val="00145BC9"/>
    <w:rsid w:val="001465E7"/>
    <w:rsid w:val="00147998"/>
    <w:rsid w:val="00150717"/>
    <w:rsid w:val="001507DD"/>
    <w:rsid w:val="00150E8C"/>
    <w:rsid w:val="00151028"/>
    <w:rsid w:val="0015190E"/>
    <w:rsid w:val="0015299C"/>
    <w:rsid w:val="0015336C"/>
    <w:rsid w:val="00155547"/>
    <w:rsid w:val="00155DE1"/>
    <w:rsid w:val="001573FD"/>
    <w:rsid w:val="00160722"/>
    <w:rsid w:val="0016093E"/>
    <w:rsid w:val="0016098B"/>
    <w:rsid w:val="001609D3"/>
    <w:rsid w:val="00161BCD"/>
    <w:rsid w:val="0016207C"/>
    <w:rsid w:val="00162689"/>
    <w:rsid w:val="001631CA"/>
    <w:rsid w:val="00164709"/>
    <w:rsid w:val="00164CDE"/>
    <w:rsid w:val="001655F8"/>
    <w:rsid w:val="00165BBE"/>
    <w:rsid w:val="001665C1"/>
    <w:rsid w:val="00166711"/>
    <w:rsid w:val="00166F19"/>
    <w:rsid w:val="00170E86"/>
    <w:rsid w:val="00171A4B"/>
    <w:rsid w:val="001724C7"/>
    <w:rsid w:val="001727A5"/>
    <w:rsid w:val="00173C75"/>
    <w:rsid w:val="00174088"/>
    <w:rsid w:val="00174CD4"/>
    <w:rsid w:val="00175126"/>
    <w:rsid w:val="0017566E"/>
    <w:rsid w:val="0017608F"/>
    <w:rsid w:val="00176E13"/>
    <w:rsid w:val="0017716A"/>
    <w:rsid w:val="00177248"/>
    <w:rsid w:val="00180A37"/>
    <w:rsid w:val="00180D47"/>
    <w:rsid w:val="0018111D"/>
    <w:rsid w:val="0018214D"/>
    <w:rsid w:val="00182AE3"/>
    <w:rsid w:val="001836D2"/>
    <w:rsid w:val="001842C2"/>
    <w:rsid w:val="00184CDD"/>
    <w:rsid w:val="00185B08"/>
    <w:rsid w:val="00185C7C"/>
    <w:rsid w:val="00185CEB"/>
    <w:rsid w:val="001867C2"/>
    <w:rsid w:val="0018688D"/>
    <w:rsid w:val="001879CD"/>
    <w:rsid w:val="00187FE2"/>
    <w:rsid w:val="001909BC"/>
    <w:rsid w:val="00190AEB"/>
    <w:rsid w:val="00190D41"/>
    <w:rsid w:val="00191B9D"/>
    <w:rsid w:val="00193B56"/>
    <w:rsid w:val="0019426B"/>
    <w:rsid w:val="00194ABE"/>
    <w:rsid w:val="00195284"/>
    <w:rsid w:val="0019559C"/>
    <w:rsid w:val="0019657C"/>
    <w:rsid w:val="0019666F"/>
    <w:rsid w:val="001967B1"/>
    <w:rsid w:val="00196951"/>
    <w:rsid w:val="00197B4A"/>
    <w:rsid w:val="001A02E3"/>
    <w:rsid w:val="001A07A9"/>
    <w:rsid w:val="001A0BF1"/>
    <w:rsid w:val="001A1D48"/>
    <w:rsid w:val="001A1DE3"/>
    <w:rsid w:val="001A1F71"/>
    <w:rsid w:val="001A24A0"/>
    <w:rsid w:val="001A307B"/>
    <w:rsid w:val="001A5466"/>
    <w:rsid w:val="001A6265"/>
    <w:rsid w:val="001A632D"/>
    <w:rsid w:val="001A767A"/>
    <w:rsid w:val="001A7B87"/>
    <w:rsid w:val="001A7D38"/>
    <w:rsid w:val="001B0377"/>
    <w:rsid w:val="001B05F7"/>
    <w:rsid w:val="001B0A32"/>
    <w:rsid w:val="001B1245"/>
    <w:rsid w:val="001B17CD"/>
    <w:rsid w:val="001B1F8B"/>
    <w:rsid w:val="001B2DC9"/>
    <w:rsid w:val="001B31A8"/>
    <w:rsid w:val="001B34BB"/>
    <w:rsid w:val="001B37A2"/>
    <w:rsid w:val="001B3974"/>
    <w:rsid w:val="001B4565"/>
    <w:rsid w:val="001B46A1"/>
    <w:rsid w:val="001B46AC"/>
    <w:rsid w:val="001B471E"/>
    <w:rsid w:val="001B47EE"/>
    <w:rsid w:val="001B5C7F"/>
    <w:rsid w:val="001B5F6C"/>
    <w:rsid w:val="001B7A79"/>
    <w:rsid w:val="001B7CA1"/>
    <w:rsid w:val="001B7D2D"/>
    <w:rsid w:val="001B7F65"/>
    <w:rsid w:val="001C07D6"/>
    <w:rsid w:val="001C0EAD"/>
    <w:rsid w:val="001C1AB7"/>
    <w:rsid w:val="001C1B98"/>
    <w:rsid w:val="001C2530"/>
    <w:rsid w:val="001C26B0"/>
    <w:rsid w:val="001C2E28"/>
    <w:rsid w:val="001C3319"/>
    <w:rsid w:val="001C43F7"/>
    <w:rsid w:val="001C4575"/>
    <w:rsid w:val="001C48AB"/>
    <w:rsid w:val="001C76B1"/>
    <w:rsid w:val="001C7ADA"/>
    <w:rsid w:val="001D13CD"/>
    <w:rsid w:val="001D2988"/>
    <w:rsid w:val="001D3772"/>
    <w:rsid w:val="001D49F4"/>
    <w:rsid w:val="001D4C5F"/>
    <w:rsid w:val="001D5279"/>
    <w:rsid w:val="001D5CA2"/>
    <w:rsid w:val="001D6579"/>
    <w:rsid w:val="001D7D68"/>
    <w:rsid w:val="001E014E"/>
    <w:rsid w:val="001E07EA"/>
    <w:rsid w:val="001E0EF9"/>
    <w:rsid w:val="001E2999"/>
    <w:rsid w:val="001E2ADB"/>
    <w:rsid w:val="001E342B"/>
    <w:rsid w:val="001E3544"/>
    <w:rsid w:val="001E375D"/>
    <w:rsid w:val="001E39D0"/>
    <w:rsid w:val="001E4032"/>
    <w:rsid w:val="001E4A2C"/>
    <w:rsid w:val="001E5C74"/>
    <w:rsid w:val="001E6570"/>
    <w:rsid w:val="001E6760"/>
    <w:rsid w:val="001E6957"/>
    <w:rsid w:val="001E6C19"/>
    <w:rsid w:val="001E76A4"/>
    <w:rsid w:val="001E7B07"/>
    <w:rsid w:val="001F00E2"/>
    <w:rsid w:val="001F016A"/>
    <w:rsid w:val="001F0A9F"/>
    <w:rsid w:val="001F16CD"/>
    <w:rsid w:val="001F1CBC"/>
    <w:rsid w:val="001F2C37"/>
    <w:rsid w:val="001F37AF"/>
    <w:rsid w:val="001F39ED"/>
    <w:rsid w:val="001F3C7C"/>
    <w:rsid w:val="001F402B"/>
    <w:rsid w:val="001F4845"/>
    <w:rsid w:val="001F4A1C"/>
    <w:rsid w:val="001F508E"/>
    <w:rsid w:val="001F55D6"/>
    <w:rsid w:val="001F6365"/>
    <w:rsid w:val="001F65EC"/>
    <w:rsid w:val="001F716C"/>
    <w:rsid w:val="001F76F2"/>
    <w:rsid w:val="002001DC"/>
    <w:rsid w:val="00201470"/>
    <w:rsid w:val="0020207F"/>
    <w:rsid w:val="00202A30"/>
    <w:rsid w:val="00202F58"/>
    <w:rsid w:val="00204E46"/>
    <w:rsid w:val="00205351"/>
    <w:rsid w:val="00205E9D"/>
    <w:rsid w:val="0020639D"/>
    <w:rsid w:val="00206E2F"/>
    <w:rsid w:val="00207B86"/>
    <w:rsid w:val="002109E7"/>
    <w:rsid w:val="002119D4"/>
    <w:rsid w:val="0021331F"/>
    <w:rsid w:val="00213504"/>
    <w:rsid w:val="00213741"/>
    <w:rsid w:val="00213EAE"/>
    <w:rsid w:val="00214BD5"/>
    <w:rsid w:val="002155FC"/>
    <w:rsid w:val="00215A08"/>
    <w:rsid w:val="00216288"/>
    <w:rsid w:val="00216820"/>
    <w:rsid w:val="00216F88"/>
    <w:rsid w:val="00217082"/>
    <w:rsid w:val="0022111F"/>
    <w:rsid w:val="00222054"/>
    <w:rsid w:val="00222603"/>
    <w:rsid w:val="0022390D"/>
    <w:rsid w:val="002248A1"/>
    <w:rsid w:val="00224B8D"/>
    <w:rsid w:val="00225018"/>
    <w:rsid w:val="002254DC"/>
    <w:rsid w:val="002255B4"/>
    <w:rsid w:val="002260F3"/>
    <w:rsid w:val="0022663B"/>
    <w:rsid w:val="0022689D"/>
    <w:rsid w:val="00226983"/>
    <w:rsid w:val="00227769"/>
    <w:rsid w:val="00227FAD"/>
    <w:rsid w:val="00230997"/>
    <w:rsid w:val="00230D3B"/>
    <w:rsid w:val="00231368"/>
    <w:rsid w:val="00232402"/>
    <w:rsid w:val="0023258A"/>
    <w:rsid w:val="00232811"/>
    <w:rsid w:val="002331DD"/>
    <w:rsid w:val="00233480"/>
    <w:rsid w:val="00233CFF"/>
    <w:rsid w:val="00234AEA"/>
    <w:rsid w:val="00234E05"/>
    <w:rsid w:val="00234FB7"/>
    <w:rsid w:val="00235F70"/>
    <w:rsid w:val="00235F8C"/>
    <w:rsid w:val="002360BA"/>
    <w:rsid w:val="002362A4"/>
    <w:rsid w:val="00236B3F"/>
    <w:rsid w:val="00237434"/>
    <w:rsid w:val="002374E8"/>
    <w:rsid w:val="00237CFC"/>
    <w:rsid w:val="00240415"/>
    <w:rsid w:val="00240EE0"/>
    <w:rsid w:val="002410E5"/>
    <w:rsid w:val="002411CF"/>
    <w:rsid w:val="00241982"/>
    <w:rsid w:val="00241FA7"/>
    <w:rsid w:val="002424B1"/>
    <w:rsid w:val="002428EB"/>
    <w:rsid w:val="002430F5"/>
    <w:rsid w:val="00244001"/>
    <w:rsid w:val="002443F6"/>
    <w:rsid w:val="002447BD"/>
    <w:rsid w:val="00245678"/>
    <w:rsid w:val="00245B4B"/>
    <w:rsid w:val="002460EF"/>
    <w:rsid w:val="00246180"/>
    <w:rsid w:val="002462D2"/>
    <w:rsid w:val="00246895"/>
    <w:rsid w:val="00246DB4"/>
    <w:rsid w:val="00246E11"/>
    <w:rsid w:val="002473DA"/>
    <w:rsid w:val="00250DF8"/>
    <w:rsid w:val="00252237"/>
    <w:rsid w:val="00253440"/>
    <w:rsid w:val="00255176"/>
    <w:rsid w:val="00255261"/>
    <w:rsid w:val="0025599D"/>
    <w:rsid w:val="00255B1E"/>
    <w:rsid w:val="0025706F"/>
    <w:rsid w:val="0026046F"/>
    <w:rsid w:val="002606E1"/>
    <w:rsid w:val="00260DDA"/>
    <w:rsid w:val="00260F60"/>
    <w:rsid w:val="0026129F"/>
    <w:rsid w:val="002613FE"/>
    <w:rsid w:val="00261489"/>
    <w:rsid w:val="002618D5"/>
    <w:rsid w:val="00261A90"/>
    <w:rsid w:val="00262BD6"/>
    <w:rsid w:val="002646C7"/>
    <w:rsid w:val="002678A7"/>
    <w:rsid w:val="00267FE6"/>
    <w:rsid w:val="002700EC"/>
    <w:rsid w:val="002703FD"/>
    <w:rsid w:val="00270CB2"/>
    <w:rsid w:val="00270D65"/>
    <w:rsid w:val="00270F84"/>
    <w:rsid w:val="00271A36"/>
    <w:rsid w:val="00272057"/>
    <w:rsid w:val="00272C69"/>
    <w:rsid w:val="00272F35"/>
    <w:rsid w:val="00272FD8"/>
    <w:rsid w:val="002746F6"/>
    <w:rsid w:val="00276597"/>
    <w:rsid w:val="002767E7"/>
    <w:rsid w:val="00276AEF"/>
    <w:rsid w:val="00276BBB"/>
    <w:rsid w:val="00277396"/>
    <w:rsid w:val="00277A2F"/>
    <w:rsid w:val="00277D53"/>
    <w:rsid w:val="0028025F"/>
    <w:rsid w:val="00280560"/>
    <w:rsid w:val="00280A50"/>
    <w:rsid w:val="00280F3B"/>
    <w:rsid w:val="00280F5D"/>
    <w:rsid w:val="00281200"/>
    <w:rsid w:val="002817E5"/>
    <w:rsid w:val="00281B8E"/>
    <w:rsid w:val="00281CE7"/>
    <w:rsid w:val="00282EF0"/>
    <w:rsid w:val="00283199"/>
    <w:rsid w:val="002833E3"/>
    <w:rsid w:val="00284578"/>
    <w:rsid w:val="002845AF"/>
    <w:rsid w:val="00284E9E"/>
    <w:rsid w:val="00285772"/>
    <w:rsid w:val="00286623"/>
    <w:rsid w:val="0028764F"/>
    <w:rsid w:val="00287AD9"/>
    <w:rsid w:val="0029123C"/>
    <w:rsid w:val="00291AAB"/>
    <w:rsid w:val="00292F96"/>
    <w:rsid w:val="002931B4"/>
    <w:rsid w:val="00294043"/>
    <w:rsid w:val="00294BF0"/>
    <w:rsid w:val="00294F82"/>
    <w:rsid w:val="0029538F"/>
    <w:rsid w:val="0029679B"/>
    <w:rsid w:val="002967BE"/>
    <w:rsid w:val="002978A7"/>
    <w:rsid w:val="002978B4"/>
    <w:rsid w:val="002A03A3"/>
    <w:rsid w:val="002A06B7"/>
    <w:rsid w:val="002A0FB3"/>
    <w:rsid w:val="002A1098"/>
    <w:rsid w:val="002A1D7F"/>
    <w:rsid w:val="002A1F3F"/>
    <w:rsid w:val="002A20F4"/>
    <w:rsid w:val="002A2190"/>
    <w:rsid w:val="002A2D5D"/>
    <w:rsid w:val="002A5269"/>
    <w:rsid w:val="002A564D"/>
    <w:rsid w:val="002A58CB"/>
    <w:rsid w:val="002A5F08"/>
    <w:rsid w:val="002A64AF"/>
    <w:rsid w:val="002A693B"/>
    <w:rsid w:val="002A6C59"/>
    <w:rsid w:val="002A6D5C"/>
    <w:rsid w:val="002A7813"/>
    <w:rsid w:val="002B0104"/>
    <w:rsid w:val="002B0D6E"/>
    <w:rsid w:val="002B1778"/>
    <w:rsid w:val="002B20B1"/>
    <w:rsid w:val="002B32A3"/>
    <w:rsid w:val="002B3F9A"/>
    <w:rsid w:val="002B4DB3"/>
    <w:rsid w:val="002B651E"/>
    <w:rsid w:val="002B705E"/>
    <w:rsid w:val="002B79F2"/>
    <w:rsid w:val="002B7AF8"/>
    <w:rsid w:val="002C04CF"/>
    <w:rsid w:val="002C0DFE"/>
    <w:rsid w:val="002C0EC1"/>
    <w:rsid w:val="002C1136"/>
    <w:rsid w:val="002C324A"/>
    <w:rsid w:val="002C34D5"/>
    <w:rsid w:val="002C3749"/>
    <w:rsid w:val="002C3B32"/>
    <w:rsid w:val="002C443A"/>
    <w:rsid w:val="002C4F8A"/>
    <w:rsid w:val="002C547D"/>
    <w:rsid w:val="002C593B"/>
    <w:rsid w:val="002C5ADF"/>
    <w:rsid w:val="002C5CAB"/>
    <w:rsid w:val="002C5DF7"/>
    <w:rsid w:val="002C5FC9"/>
    <w:rsid w:val="002C642A"/>
    <w:rsid w:val="002C6A9B"/>
    <w:rsid w:val="002D1706"/>
    <w:rsid w:val="002D1E1E"/>
    <w:rsid w:val="002D549B"/>
    <w:rsid w:val="002D591D"/>
    <w:rsid w:val="002D5980"/>
    <w:rsid w:val="002D5AA3"/>
    <w:rsid w:val="002D6554"/>
    <w:rsid w:val="002D6A3D"/>
    <w:rsid w:val="002D6E24"/>
    <w:rsid w:val="002D7E9A"/>
    <w:rsid w:val="002E01CF"/>
    <w:rsid w:val="002E172E"/>
    <w:rsid w:val="002E2E79"/>
    <w:rsid w:val="002E34C4"/>
    <w:rsid w:val="002E52FC"/>
    <w:rsid w:val="002E5AA0"/>
    <w:rsid w:val="002E716D"/>
    <w:rsid w:val="002E746D"/>
    <w:rsid w:val="002E76FF"/>
    <w:rsid w:val="002E7AC4"/>
    <w:rsid w:val="002F217A"/>
    <w:rsid w:val="002F2967"/>
    <w:rsid w:val="002F2CE1"/>
    <w:rsid w:val="002F322F"/>
    <w:rsid w:val="002F35DF"/>
    <w:rsid w:val="002F39FD"/>
    <w:rsid w:val="002F3DF2"/>
    <w:rsid w:val="002F455A"/>
    <w:rsid w:val="002F5491"/>
    <w:rsid w:val="002F6257"/>
    <w:rsid w:val="002F6316"/>
    <w:rsid w:val="002F6F31"/>
    <w:rsid w:val="002F6F8F"/>
    <w:rsid w:val="002F7C5C"/>
    <w:rsid w:val="002F7F0F"/>
    <w:rsid w:val="00301C19"/>
    <w:rsid w:val="00301E3E"/>
    <w:rsid w:val="0030244C"/>
    <w:rsid w:val="003024C8"/>
    <w:rsid w:val="003030A7"/>
    <w:rsid w:val="003034DF"/>
    <w:rsid w:val="0030372C"/>
    <w:rsid w:val="003038A9"/>
    <w:rsid w:val="00304BCC"/>
    <w:rsid w:val="003050B9"/>
    <w:rsid w:val="003053FB"/>
    <w:rsid w:val="00305768"/>
    <w:rsid w:val="00305DFC"/>
    <w:rsid w:val="0030747B"/>
    <w:rsid w:val="00310425"/>
    <w:rsid w:val="0031084F"/>
    <w:rsid w:val="0031098C"/>
    <w:rsid w:val="003115FD"/>
    <w:rsid w:val="00311735"/>
    <w:rsid w:val="00311A4E"/>
    <w:rsid w:val="003123BF"/>
    <w:rsid w:val="003124D8"/>
    <w:rsid w:val="0031295B"/>
    <w:rsid w:val="00312F96"/>
    <w:rsid w:val="00314F72"/>
    <w:rsid w:val="0031572E"/>
    <w:rsid w:val="0031609F"/>
    <w:rsid w:val="003164EB"/>
    <w:rsid w:val="00317259"/>
    <w:rsid w:val="00324857"/>
    <w:rsid w:val="003259F5"/>
    <w:rsid w:val="003300AC"/>
    <w:rsid w:val="0033017B"/>
    <w:rsid w:val="003303B3"/>
    <w:rsid w:val="00330865"/>
    <w:rsid w:val="00330EDD"/>
    <w:rsid w:val="00331023"/>
    <w:rsid w:val="00333314"/>
    <w:rsid w:val="00333A1D"/>
    <w:rsid w:val="00333B83"/>
    <w:rsid w:val="00333CC2"/>
    <w:rsid w:val="00333E6A"/>
    <w:rsid w:val="00333EEA"/>
    <w:rsid w:val="00333FCB"/>
    <w:rsid w:val="00334421"/>
    <w:rsid w:val="00335BEB"/>
    <w:rsid w:val="00335C3A"/>
    <w:rsid w:val="0033626E"/>
    <w:rsid w:val="00336285"/>
    <w:rsid w:val="003369FF"/>
    <w:rsid w:val="00337C63"/>
    <w:rsid w:val="00337EF8"/>
    <w:rsid w:val="00340654"/>
    <w:rsid w:val="00342138"/>
    <w:rsid w:val="00343E99"/>
    <w:rsid w:val="00343FEC"/>
    <w:rsid w:val="00344066"/>
    <w:rsid w:val="00344A45"/>
    <w:rsid w:val="00344C94"/>
    <w:rsid w:val="0034570B"/>
    <w:rsid w:val="00347DAC"/>
    <w:rsid w:val="003503F9"/>
    <w:rsid w:val="0035061B"/>
    <w:rsid w:val="003508ED"/>
    <w:rsid w:val="00350F5B"/>
    <w:rsid w:val="00351ACE"/>
    <w:rsid w:val="00351B4C"/>
    <w:rsid w:val="00351BCA"/>
    <w:rsid w:val="00353826"/>
    <w:rsid w:val="0035460D"/>
    <w:rsid w:val="00354AC6"/>
    <w:rsid w:val="00356186"/>
    <w:rsid w:val="003573E1"/>
    <w:rsid w:val="0036078D"/>
    <w:rsid w:val="00360AC9"/>
    <w:rsid w:val="003613D8"/>
    <w:rsid w:val="0036195D"/>
    <w:rsid w:val="00362576"/>
    <w:rsid w:val="00362821"/>
    <w:rsid w:val="003630BA"/>
    <w:rsid w:val="003641CE"/>
    <w:rsid w:val="003646D3"/>
    <w:rsid w:val="00365F85"/>
    <w:rsid w:val="00366C89"/>
    <w:rsid w:val="00367639"/>
    <w:rsid w:val="003707C8"/>
    <w:rsid w:val="00371200"/>
    <w:rsid w:val="00371714"/>
    <w:rsid w:val="003720CF"/>
    <w:rsid w:val="00372772"/>
    <w:rsid w:val="003730D0"/>
    <w:rsid w:val="00373E5D"/>
    <w:rsid w:val="00374525"/>
    <w:rsid w:val="00374627"/>
    <w:rsid w:val="00374EC0"/>
    <w:rsid w:val="00374EE1"/>
    <w:rsid w:val="003754CE"/>
    <w:rsid w:val="00375819"/>
    <w:rsid w:val="00375ADA"/>
    <w:rsid w:val="00376242"/>
    <w:rsid w:val="003772E4"/>
    <w:rsid w:val="00377414"/>
    <w:rsid w:val="00377428"/>
    <w:rsid w:val="00377437"/>
    <w:rsid w:val="00377C6F"/>
    <w:rsid w:val="00380875"/>
    <w:rsid w:val="00380C91"/>
    <w:rsid w:val="00381426"/>
    <w:rsid w:val="00381CF0"/>
    <w:rsid w:val="00382C10"/>
    <w:rsid w:val="003846E8"/>
    <w:rsid w:val="00384978"/>
    <w:rsid w:val="00384C8B"/>
    <w:rsid w:val="00384D1F"/>
    <w:rsid w:val="00385852"/>
    <w:rsid w:val="003860A9"/>
    <w:rsid w:val="003864A3"/>
    <w:rsid w:val="00386775"/>
    <w:rsid w:val="0038699B"/>
    <w:rsid w:val="00390782"/>
    <w:rsid w:val="00391153"/>
    <w:rsid w:val="0039142A"/>
    <w:rsid w:val="00392005"/>
    <w:rsid w:val="003921AB"/>
    <w:rsid w:val="00393310"/>
    <w:rsid w:val="00394017"/>
    <w:rsid w:val="00394184"/>
    <w:rsid w:val="003948C3"/>
    <w:rsid w:val="0039524D"/>
    <w:rsid w:val="00395AE7"/>
    <w:rsid w:val="003962FA"/>
    <w:rsid w:val="00396456"/>
    <w:rsid w:val="00396735"/>
    <w:rsid w:val="00396D19"/>
    <w:rsid w:val="0039734B"/>
    <w:rsid w:val="00397893"/>
    <w:rsid w:val="00397A90"/>
    <w:rsid w:val="003A032D"/>
    <w:rsid w:val="003A0469"/>
    <w:rsid w:val="003A0F63"/>
    <w:rsid w:val="003A20D9"/>
    <w:rsid w:val="003A35EA"/>
    <w:rsid w:val="003A43B6"/>
    <w:rsid w:val="003A5AB4"/>
    <w:rsid w:val="003A5C51"/>
    <w:rsid w:val="003A60C9"/>
    <w:rsid w:val="003A6648"/>
    <w:rsid w:val="003A71BE"/>
    <w:rsid w:val="003A7DD3"/>
    <w:rsid w:val="003B0FBF"/>
    <w:rsid w:val="003B13C6"/>
    <w:rsid w:val="003B19AB"/>
    <w:rsid w:val="003B219A"/>
    <w:rsid w:val="003B3AF1"/>
    <w:rsid w:val="003B48CA"/>
    <w:rsid w:val="003B4F22"/>
    <w:rsid w:val="003B59E4"/>
    <w:rsid w:val="003B5E50"/>
    <w:rsid w:val="003B5F91"/>
    <w:rsid w:val="003B6025"/>
    <w:rsid w:val="003B61F2"/>
    <w:rsid w:val="003B6797"/>
    <w:rsid w:val="003B681E"/>
    <w:rsid w:val="003C2153"/>
    <w:rsid w:val="003C2361"/>
    <w:rsid w:val="003C2625"/>
    <w:rsid w:val="003C290E"/>
    <w:rsid w:val="003C38A5"/>
    <w:rsid w:val="003C3B1A"/>
    <w:rsid w:val="003C5032"/>
    <w:rsid w:val="003C573B"/>
    <w:rsid w:val="003C62B6"/>
    <w:rsid w:val="003C6B83"/>
    <w:rsid w:val="003C74EA"/>
    <w:rsid w:val="003C7FC2"/>
    <w:rsid w:val="003D0D09"/>
    <w:rsid w:val="003D11FA"/>
    <w:rsid w:val="003D1C6F"/>
    <w:rsid w:val="003D3666"/>
    <w:rsid w:val="003D3798"/>
    <w:rsid w:val="003D3A33"/>
    <w:rsid w:val="003D3A69"/>
    <w:rsid w:val="003D46E1"/>
    <w:rsid w:val="003D4E92"/>
    <w:rsid w:val="003D528E"/>
    <w:rsid w:val="003D56F2"/>
    <w:rsid w:val="003D5902"/>
    <w:rsid w:val="003D6D60"/>
    <w:rsid w:val="003D7231"/>
    <w:rsid w:val="003E02F4"/>
    <w:rsid w:val="003E038D"/>
    <w:rsid w:val="003E04D7"/>
    <w:rsid w:val="003E12E4"/>
    <w:rsid w:val="003E1FF6"/>
    <w:rsid w:val="003E20B1"/>
    <w:rsid w:val="003E2930"/>
    <w:rsid w:val="003E2BC6"/>
    <w:rsid w:val="003E464B"/>
    <w:rsid w:val="003E4B8B"/>
    <w:rsid w:val="003E5310"/>
    <w:rsid w:val="003E5459"/>
    <w:rsid w:val="003E7967"/>
    <w:rsid w:val="003E79D5"/>
    <w:rsid w:val="003F0288"/>
    <w:rsid w:val="003F0E35"/>
    <w:rsid w:val="003F0E91"/>
    <w:rsid w:val="003F1828"/>
    <w:rsid w:val="003F1B11"/>
    <w:rsid w:val="003F1C0F"/>
    <w:rsid w:val="003F3476"/>
    <w:rsid w:val="003F374A"/>
    <w:rsid w:val="003F436B"/>
    <w:rsid w:val="003F55B3"/>
    <w:rsid w:val="003F613E"/>
    <w:rsid w:val="003F6605"/>
    <w:rsid w:val="003F6B51"/>
    <w:rsid w:val="003F75DC"/>
    <w:rsid w:val="0040059E"/>
    <w:rsid w:val="00400EFE"/>
    <w:rsid w:val="00401746"/>
    <w:rsid w:val="00401A24"/>
    <w:rsid w:val="00401B5D"/>
    <w:rsid w:val="00402123"/>
    <w:rsid w:val="00402AF1"/>
    <w:rsid w:val="00403340"/>
    <w:rsid w:val="0040343C"/>
    <w:rsid w:val="004049DE"/>
    <w:rsid w:val="004061A5"/>
    <w:rsid w:val="0040664D"/>
    <w:rsid w:val="004073AE"/>
    <w:rsid w:val="00407DC9"/>
    <w:rsid w:val="004101A7"/>
    <w:rsid w:val="00410F17"/>
    <w:rsid w:val="00411DFA"/>
    <w:rsid w:val="004127B5"/>
    <w:rsid w:val="00412CB5"/>
    <w:rsid w:val="00413672"/>
    <w:rsid w:val="00414597"/>
    <w:rsid w:val="00415915"/>
    <w:rsid w:val="00416570"/>
    <w:rsid w:val="00416BAE"/>
    <w:rsid w:val="00417404"/>
    <w:rsid w:val="0041742B"/>
    <w:rsid w:val="004201C3"/>
    <w:rsid w:val="004208E5"/>
    <w:rsid w:val="00420BA5"/>
    <w:rsid w:val="00420ED8"/>
    <w:rsid w:val="00421023"/>
    <w:rsid w:val="00421AA1"/>
    <w:rsid w:val="0042245B"/>
    <w:rsid w:val="00422B6A"/>
    <w:rsid w:val="00422E90"/>
    <w:rsid w:val="0042400D"/>
    <w:rsid w:val="004243E2"/>
    <w:rsid w:val="00424496"/>
    <w:rsid w:val="00424772"/>
    <w:rsid w:val="00425889"/>
    <w:rsid w:val="00425B7A"/>
    <w:rsid w:val="004266CF"/>
    <w:rsid w:val="00426894"/>
    <w:rsid w:val="00427015"/>
    <w:rsid w:val="00427E4F"/>
    <w:rsid w:val="00430628"/>
    <w:rsid w:val="00430B5F"/>
    <w:rsid w:val="0043112F"/>
    <w:rsid w:val="00431ECB"/>
    <w:rsid w:val="00434668"/>
    <w:rsid w:val="004347CF"/>
    <w:rsid w:val="00434946"/>
    <w:rsid w:val="00435A2C"/>
    <w:rsid w:val="00437B94"/>
    <w:rsid w:val="0044006F"/>
    <w:rsid w:val="00441659"/>
    <w:rsid w:val="004419D3"/>
    <w:rsid w:val="00442443"/>
    <w:rsid w:val="00442806"/>
    <w:rsid w:val="00443644"/>
    <w:rsid w:val="00443BE8"/>
    <w:rsid w:val="00443F6F"/>
    <w:rsid w:val="00444D4C"/>
    <w:rsid w:val="00444F57"/>
    <w:rsid w:val="004453F0"/>
    <w:rsid w:val="00445783"/>
    <w:rsid w:val="00445A08"/>
    <w:rsid w:val="00446B19"/>
    <w:rsid w:val="00446E10"/>
    <w:rsid w:val="00447723"/>
    <w:rsid w:val="00447E45"/>
    <w:rsid w:val="0045127B"/>
    <w:rsid w:val="00452C21"/>
    <w:rsid w:val="00452EDA"/>
    <w:rsid w:val="004535F6"/>
    <w:rsid w:val="0045657A"/>
    <w:rsid w:val="00457074"/>
    <w:rsid w:val="00457EB6"/>
    <w:rsid w:val="0046080A"/>
    <w:rsid w:val="00461375"/>
    <w:rsid w:val="00462080"/>
    <w:rsid w:val="00462431"/>
    <w:rsid w:val="00462AE3"/>
    <w:rsid w:val="00462C66"/>
    <w:rsid w:val="004637EA"/>
    <w:rsid w:val="00463FD1"/>
    <w:rsid w:val="0046414A"/>
    <w:rsid w:val="00464B71"/>
    <w:rsid w:val="004662EB"/>
    <w:rsid w:val="0046723B"/>
    <w:rsid w:val="004674D9"/>
    <w:rsid w:val="00467556"/>
    <w:rsid w:val="00467716"/>
    <w:rsid w:val="00467FDC"/>
    <w:rsid w:val="00470251"/>
    <w:rsid w:val="004711B3"/>
    <w:rsid w:val="004717A5"/>
    <w:rsid w:val="004718B6"/>
    <w:rsid w:val="00471A25"/>
    <w:rsid w:val="00471EFD"/>
    <w:rsid w:val="004720F0"/>
    <w:rsid w:val="00472148"/>
    <w:rsid w:val="004722F7"/>
    <w:rsid w:val="00473A87"/>
    <w:rsid w:val="00473A9B"/>
    <w:rsid w:val="00474541"/>
    <w:rsid w:val="00474E3C"/>
    <w:rsid w:val="0047502D"/>
    <w:rsid w:val="004756B3"/>
    <w:rsid w:val="00475BE3"/>
    <w:rsid w:val="00475C6A"/>
    <w:rsid w:val="00475D80"/>
    <w:rsid w:val="004760EC"/>
    <w:rsid w:val="00476E50"/>
    <w:rsid w:val="004811C2"/>
    <w:rsid w:val="004815EC"/>
    <w:rsid w:val="004820F1"/>
    <w:rsid w:val="0048210B"/>
    <w:rsid w:val="004821CF"/>
    <w:rsid w:val="00482AD6"/>
    <w:rsid w:val="004836C2"/>
    <w:rsid w:val="00484212"/>
    <w:rsid w:val="00484583"/>
    <w:rsid w:val="00484754"/>
    <w:rsid w:val="0048539B"/>
    <w:rsid w:val="004857EB"/>
    <w:rsid w:val="00485881"/>
    <w:rsid w:val="00486294"/>
    <w:rsid w:val="00486A1C"/>
    <w:rsid w:val="00486BA5"/>
    <w:rsid w:val="004872D8"/>
    <w:rsid w:val="00487872"/>
    <w:rsid w:val="00487E32"/>
    <w:rsid w:val="00490207"/>
    <w:rsid w:val="004911CB"/>
    <w:rsid w:val="004923BA"/>
    <w:rsid w:val="00492F48"/>
    <w:rsid w:val="00493200"/>
    <w:rsid w:val="00493CB0"/>
    <w:rsid w:val="00495364"/>
    <w:rsid w:val="0049579E"/>
    <w:rsid w:val="00495B24"/>
    <w:rsid w:val="00495C1C"/>
    <w:rsid w:val="0049648C"/>
    <w:rsid w:val="00496963"/>
    <w:rsid w:val="0049756D"/>
    <w:rsid w:val="004A0435"/>
    <w:rsid w:val="004A08A3"/>
    <w:rsid w:val="004A0CBC"/>
    <w:rsid w:val="004A0CFB"/>
    <w:rsid w:val="004A107C"/>
    <w:rsid w:val="004A1889"/>
    <w:rsid w:val="004A1C4A"/>
    <w:rsid w:val="004A28D5"/>
    <w:rsid w:val="004A2B69"/>
    <w:rsid w:val="004A2B72"/>
    <w:rsid w:val="004A37E8"/>
    <w:rsid w:val="004A4924"/>
    <w:rsid w:val="004A4C06"/>
    <w:rsid w:val="004A572E"/>
    <w:rsid w:val="004A5C2F"/>
    <w:rsid w:val="004A6E79"/>
    <w:rsid w:val="004B0889"/>
    <w:rsid w:val="004B08BD"/>
    <w:rsid w:val="004B143F"/>
    <w:rsid w:val="004B1981"/>
    <w:rsid w:val="004B3698"/>
    <w:rsid w:val="004B36A3"/>
    <w:rsid w:val="004B3C45"/>
    <w:rsid w:val="004B5DCF"/>
    <w:rsid w:val="004B7451"/>
    <w:rsid w:val="004B7E7F"/>
    <w:rsid w:val="004C075B"/>
    <w:rsid w:val="004C0D70"/>
    <w:rsid w:val="004C1B99"/>
    <w:rsid w:val="004C1C66"/>
    <w:rsid w:val="004C2737"/>
    <w:rsid w:val="004C2A87"/>
    <w:rsid w:val="004C3102"/>
    <w:rsid w:val="004C3D22"/>
    <w:rsid w:val="004C4EB5"/>
    <w:rsid w:val="004C5123"/>
    <w:rsid w:val="004C6435"/>
    <w:rsid w:val="004C6772"/>
    <w:rsid w:val="004C7323"/>
    <w:rsid w:val="004C7696"/>
    <w:rsid w:val="004D0148"/>
    <w:rsid w:val="004D04CF"/>
    <w:rsid w:val="004D1996"/>
    <w:rsid w:val="004D1BEF"/>
    <w:rsid w:val="004D1DFA"/>
    <w:rsid w:val="004D2772"/>
    <w:rsid w:val="004D4553"/>
    <w:rsid w:val="004D4976"/>
    <w:rsid w:val="004D76A6"/>
    <w:rsid w:val="004D76BC"/>
    <w:rsid w:val="004D7D08"/>
    <w:rsid w:val="004E05DA"/>
    <w:rsid w:val="004E1177"/>
    <w:rsid w:val="004E1566"/>
    <w:rsid w:val="004E1BF1"/>
    <w:rsid w:val="004E2443"/>
    <w:rsid w:val="004E2C9D"/>
    <w:rsid w:val="004E2E80"/>
    <w:rsid w:val="004E4906"/>
    <w:rsid w:val="004E58F1"/>
    <w:rsid w:val="004E59E6"/>
    <w:rsid w:val="004E6050"/>
    <w:rsid w:val="004E60C1"/>
    <w:rsid w:val="004E63EF"/>
    <w:rsid w:val="004E693F"/>
    <w:rsid w:val="004E7A71"/>
    <w:rsid w:val="004E7F32"/>
    <w:rsid w:val="004F0182"/>
    <w:rsid w:val="004F0C3E"/>
    <w:rsid w:val="004F197F"/>
    <w:rsid w:val="004F1E9F"/>
    <w:rsid w:val="004F24F7"/>
    <w:rsid w:val="004F342F"/>
    <w:rsid w:val="004F405D"/>
    <w:rsid w:val="004F4D2C"/>
    <w:rsid w:val="004F4E31"/>
    <w:rsid w:val="004F5550"/>
    <w:rsid w:val="004F5B5C"/>
    <w:rsid w:val="004F5EB3"/>
    <w:rsid w:val="004F60D2"/>
    <w:rsid w:val="004F6430"/>
    <w:rsid w:val="004F721B"/>
    <w:rsid w:val="004F75CE"/>
    <w:rsid w:val="0050016C"/>
    <w:rsid w:val="00501259"/>
    <w:rsid w:val="0050142F"/>
    <w:rsid w:val="0050156D"/>
    <w:rsid w:val="005021C3"/>
    <w:rsid w:val="00502C6D"/>
    <w:rsid w:val="0050315D"/>
    <w:rsid w:val="005037C5"/>
    <w:rsid w:val="005040EF"/>
    <w:rsid w:val="005048DD"/>
    <w:rsid w:val="005048E9"/>
    <w:rsid w:val="005049BA"/>
    <w:rsid w:val="00505976"/>
    <w:rsid w:val="00505C15"/>
    <w:rsid w:val="00506501"/>
    <w:rsid w:val="00506888"/>
    <w:rsid w:val="00507297"/>
    <w:rsid w:val="00507D89"/>
    <w:rsid w:val="00510318"/>
    <w:rsid w:val="005103CA"/>
    <w:rsid w:val="00510750"/>
    <w:rsid w:val="0051116C"/>
    <w:rsid w:val="005116CF"/>
    <w:rsid w:val="005119B9"/>
    <w:rsid w:val="00512510"/>
    <w:rsid w:val="00512F85"/>
    <w:rsid w:val="00513C6B"/>
    <w:rsid w:val="005153C3"/>
    <w:rsid w:val="005155A0"/>
    <w:rsid w:val="00515C56"/>
    <w:rsid w:val="00515FFC"/>
    <w:rsid w:val="005160B7"/>
    <w:rsid w:val="0051638F"/>
    <w:rsid w:val="005178D4"/>
    <w:rsid w:val="00520D37"/>
    <w:rsid w:val="00520FA1"/>
    <w:rsid w:val="00521890"/>
    <w:rsid w:val="005218DD"/>
    <w:rsid w:val="00521B67"/>
    <w:rsid w:val="00522FB2"/>
    <w:rsid w:val="0052363D"/>
    <w:rsid w:val="0052399A"/>
    <w:rsid w:val="00523AE7"/>
    <w:rsid w:val="00524B6C"/>
    <w:rsid w:val="00525131"/>
    <w:rsid w:val="005260D5"/>
    <w:rsid w:val="00526C09"/>
    <w:rsid w:val="00527C77"/>
    <w:rsid w:val="005307E2"/>
    <w:rsid w:val="00530DC4"/>
    <w:rsid w:val="00531764"/>
    <w:rsid w:val="00531CC2"/>
    <w:rsid w:val="00531FBA"/>
    <w:rsid w:val="0053213A"/>
    <w:rsid w:val="00532515"/>
    <w:rsid w:val="00532BA1"/>
    <w:rsid w:val="00533B03"/>
    <w:rsid w:val="00534241"/>
    <w:rsid w:val="00534AD9"/>
    <w:rsid w:val="00534F89"/>
    <w:rsid w:val="00535297"/>
    <w:rsid w:val="005363A9"/>
    <w:rsid w:val="00536D67"/>
    <w:rsid w:val="00536DC1"/>
    <w:rsid w:val="0053717E"/>
    <w:rsid w:val="005372CA"/>
    <w:rsid w:val="00537359"/>
    <w:rsid w:val="00537AA7"/>
    <w:rsid w:val="00537EF3"/>
    <w:rsid w:val="0054023E"/>
    <w:rsid w:val="005402DE"/>
    <w:rsid w:val="005410D2"/>
    <w:rsid w:val="0054138F"/>
    <w:rsid w:val="005413B5"/>
    <w:rsid w:val="005417C8"/>
    <w:rsid w:val="0054210B"/>
    <w:rsid w:val="005422F7"/>
    <w:rsid w:val="005430CA"/>
    <w:rsid w:val="00543730"/>
    <w:rsid w:val="00543D37"/>
    <w:rsid w:val="005447CC"/>
    <w:rsid w:val="00544B44"/>
    <w:rsid w:val="00545366"/>
    <w:rsid w:val="00545514"/>
    <w:rsid w:val="005462CF"/>
    <w:rsid w:val="00547082"/>
    <w:rsid w:val="0054773E"/>
    <w:rsid w:val="00550E31"/>
    <w:rsid w:val="00551275"/>
    <w:rsid w:val="00551592"/>
    <w:rsid w:val="00552A61"/>
    <w:rsid w:val="00553379"/>
    <w:rsid w:val="00553972"/>
    <w:rsid w:val="005540B3"/>
    <w:rsid w:val="005545B9"/>
    <w:rsid w:val="00554896"/>
    <w:rsid w:val="00554A3A"/>
    <w:rsid w:val="0055518C"/>
    <w:rsid w:val="00555697"/>
    <w:rsid w:val="0055664D"/>
    <w:rsid w:val="005574E1"/>
    <w:rsid w:val="00562AF4"/>
    <w:rsid w:val="005654CF"/>
    <w:rsid w:val="00565EE6"/>
    <w:rsid w:val="0056605B"/>
    <w:rsid w:val="00566BB4"/>
    <w:rsid w:val="00566C77"/>
    <w:rsid w:val="00567985"/>
    <w:rsid w:val="005679DE"/>
    <w:rsid w:val="005724F5"/>
    <w:rsid w:val="00573D4F"/>
    <w:rsid w:val="005749EA"/>
    <w:rsid w:val="00574DB7"/>
    <w:rsid w:val="005755C5"/>
    <w:rsid w:val="00575674"/>
    <w:rsid w:val="00575969"/>
    <w:rsid w:val="00576263"/>
    <w:rsid w:val="005767A5"/>
    <w:rsid w:val="00577AEC"/>
    <w:rsid w:val="0058047C"/>
    <w:rsid w:val="00581863"/>
    <w:rsid w:val="00582601"/>
    <w:rsid w:val="005827A9"/>
    <w:rsid w:val="005845FF"/>
    <w:rsid w:val="00584B5A"/>
    <w:rsid w:val="00585C21"/>
    <w:rsid w:val="005861DD"/>
    <w:rsid w:val="00587538"/>
    <w:rsid w:val="00587CC5"/>
    <w:rsid w:val="00590379"/>
    <w:rsid w:val="00591015"/>
    <w:rsid w:val="00591556"/>
    <w:rsid w:val="00591C09"/>
    <w:rsid w:val="00592381"/>
    <w:rsid w:val="00593052"/>
    <w:rsid w:val="005933B1"/>
    <w:rsid w:val="00594D82"/>
    <w:rsid w:val="00594FB6"/>
    <w:rsid w:val="005957B9"/>
    <w:rsid w:val="005957C6"/>
    <w:rsid w:val="005962C7"/>
    <w:rsid w:val="00596527"/>
    <w:rsid w:val="0059662F"/>
    <w:rsid w:val="005975DA"/>
    <w:rsid w:val="00597E98"/>
    <w:rsid w:val="005A0A82"/>
    <w:rsid w:val="005A0B2B"/>
    <w:rsid w:val="005A1DCE"/>
    <w:rsid w:val="005A1E6F"/>
    <w:rsid w:val="005A2BDE"/>
    <w:rsid w:val="005A2D13"/>
    <w:rsid w:val="005A4145"/>
    <w:rsid w:val="005A4EDC"/>
    <w:rsid w:val="005A6770"/>
    <w:rsid w:val="005A75BF"/>
    <w:rsid w:val="005B015D"/>
    <w:rsid w:val="005B027B"/>
    <w:rsid w:val="005B03DF"/>
    <w:rsid w:val="005B0F44"/>
    <w:rsid w:val="005B1317"/>
    <w:rsid w:val="005B1763"/>
    <w:rsid w:val="005B2113"/>
    <w:rsid w:val="005B2470"/>
    <w:rsid w:val="005B3950"/>
    <w:rsid w:val="005B3AE3"/>
    <w:rsid w:val="005B43D0"/>
    <w:rsid w:val="005B43FA"/>
    <w:rsid w:val="005B4A75"/>
    <w:rsid w:val="005B4D1B"/>
    <w:rsid w:val="005B64DA"/>
    <w:rsid w:val="005B738B"/>
    <w:rsid w:val="005B748E"/>
    <w:rsid w:val="005C0004"/>
    <w:rsid w:val="005C0C96"/>
    <w:rsid w:val="005C14A0"/>
    <w:rsid w:val="005C1F5C"/>
    <w:rsid w:val="005C644F"/>
    <w:rsid w:val="005C6AC9"/>
    <w:rsid w:val="005C7094"/>
    <w:rsid w:val="005D0080"/>
    <w:rsid w:val="005D029B"/>
    <w:rsid w:val="005D0720"/>
    <w:rsid w:val="005D08AD"/>
    <w:rsid w:val="005D15EB"/>
    <w:rsid w:val="005D16E2"/>
    <w:rsid w:val="005D194A"/>
    <w:rsid w:val="005D234A"/>
    <w:rsid w:val="005D292E"/>
    <w:rsid w:val="005D2DF7"/>
    <w:rsid w:val="005D350C"/>
    <w:rsid w:val="005D5AC7"/>
    <w:rsid w:val="005D5E3F"/>
    <w:rsid w:val="005D6082"/>
    <w:rsid w:val="005D658A"/>
    <w:rsid w:val="005D67ED"/>
    <w:rsid w:val="005D6DB3"/>
    <w:rsid w:val="005D6EEE"/>
    <w:rsid w:val="005E07B3"/>
    <w:rsid w:val="005E0AF1"/>
    <w:rsid w:val="005E0E5D"/>
    <w:rsid w:val="005E113F"/>
    <w:rsid w:val="005E1CA7"/>
    <w:rsid w:val="005E2339"/>
    <w:rsid w:val="005E2793"/>
    <w:rsid w:val="005E33B2"/>
    <w:rsid w:val="005E3871"/>
    <w:rsid w:val="005E3C96"/>
    <w:rsid w:val="005E47CC"/>
    <w:rsid w:val="005E4F2C"/>
    <w:rsid w:val="005E6550"/>
    <w:rsid w:val="005E7EF6"/>
    <w:rsid w:val="005F021A"/>
    <w:rsid w:val="005F0A29"/>
    <w:rsid w:val="005F149F"/>
    <w:rsid w:val="005F2199"/>
    <w:rsid w:val="005F231B"/>
    <w:rsid w:val="005F2AA9"/>
    <w:rsid w:val="005F3E59"/>
    <w:rsid w:val="005F4387"/>
    <w:rsid w:val="005F4438"/>
    <w:rsid w:val="005F470F"/>
    <w:rsid w:val="005F5A83"/>
    <w:rsid w:val="005F7316"/>
    <w:rsid w:val="005F7A3D"/>
    <w:rsid w:val="00600233"/>
    <w:rsid w:val="00603898"/>
    <w:rsid w:val="0060421C"/>
    <w:rsid w:val="006050D9"/>
    <w:rsid w:val="0060651F"/>
    <w:rsid w:val="00610535"/>
    <w:rsid w:val="006107E7"/>
    <w:rsid w:val="00611090"/>
    <w:rsid w:val="006115E9"/>
    <w:rsid w:val="00611F07"/>
    <w:rsid w:val="00611FB3"/>
    <w:rsid w:val="00612744"/>
    <w:rsid w:val="0061286E"/>
    <w:rsid w:val="00612F02"/>
    <w:rsid w:val="00613872"/>
    <w:rsid w:val="00613D91"/>
    <w:rsid w:val="00615CC5"/>
    <w:rsid w:val="00616178"/>
    <w:rsid w:val="006178A2"/>
    <w:rsid w:val="00617DFD"/>
    <w:rsid w:val="00621C75"/>
    <w:rsid w:val="00621F52"/>
    <w:rsid w:val="00621FD6"/>
    <w:rsid w:val="006232DC"/>
    <w:rsid w:val="006233C2"/>
    <w:rsid w:val="00623A26"/>
    <w:rsid w:val="00624C04"/>
    <w:rsid w:val="00624FD7"/>
    <w:rsid w:val="006253B3"/>
    <w:rsid w:val="006254D3"/>
    <w:rsid w:val="00630E22"/>
    <w:rsid w:val="00631415"/>
    <w:rsid w:val="00631C06"/>
    <w:rsid w:val="00632116"/>
    <w:rsid w:val="00632366"/>
    <w:rsid w:val="006350FE"/>
    <w:rsid w:val="00635BB1"/>
    <w:rsid w:val="00635D72"/>
    <w:rsid w:val="00635E7A"/>
    <w:rsid w:val="00636C65"/>
    <w:rsid w:val="0063786F"/>
    <w:rsid w:val="006379FB"/>
    <w:rsid w:val="00641DDA"/>
    <w:rsid w:val="006428DB"/>
    <w:rsid w:val="00644250"/>
    <w:rsid w:val="00647C00"/>
    <w:rsid w:val="0065072E"/>
    <w:rsid w:val="00651CA2"/>
    <w:rsid w:val="006526D6"/>
    <w:rsid w:val="00653776"/>
    <w:rsid w:val="0065379C"/>
    <w:rsid w:val="00654009"/>
    <w:rsid w:val="0065516B"/>
    <w:rsid w:val="00655C8A"/>
    <w:rsid w:val="0065628F"/>
    <w:rsid w:val="00661EA6"/>
    <w:rsid w:val="0066247C"/>
    <w:rsid w:val="00662AE7"/>
    <w:rsid w:val="00663097"/>
    <w:rsid w:val="0066486E"/>
    <w:rsid w:val="006648A4"/>
    <w:rsid w:val="00664CDE"/>
    <w:rsid w:val="00664F00"/>
    <w:rsid w:val="00665070"/>
    <w:rsid w:val="00665110"/>
    <w:rsid w:val="00665133"/>
    <w:rsid w:val="00665140"/>
    <w:rsid w:val="006662B3"/>
    <w:rsid w:val="006665E3"/>
    <w:rsid w:val="00666959"/>
    <w:rsid w:val="00667394"/>
    <w:rsid w:val="00667D6B"/>
    <w:rsid w:val="006716B9"/>
    <w:rsid w:val="00672242"/>
    <w:rsid w:val="0067234E"/>
    <w:rsid w:val="0067242E"/>
    <w:rsid w:val="00672AE8"/>
    <w:rsid w:val="00674261"/>
    <w:rsid w:val="006742E3"/>
    <w:rsid w:val="0067478E"/>
    <w:rsid w:val="0067483E"/>
    <w:rsid w:val="00674A9B"/>
    <w:rsid w:val="00675797"/>
    <w:rsid w:val="0067586F"/>
    <w:rsid w:val="006758E3"/>
    <w:rsid w:val="00676219"/>
    <w:rsid w:val="00676968"/>
    <w:rsid w:val="006779C4"/>
    <w:rsid w:val="00677AB7"/>
    <w:rsid w:val="00680048"/>
    <w:rsid w:val="00680ED9"/>
    <w:rsid w:val="006825A8"/>
    <w:rsid w:val="00682749"/>
    <w:rsid w:val="0068376A"/>
    <w:rsid w:val="00683C58"/>
    <w:rsid w:val="006849E4"/>
    <w:rsid w:val="006856A9"/>
    <w:rsid w:val="006857AF"/>
    <w:rsid w:val="0068603A"/>
    <w:rsid w:val="00686051"/>
    <w:rsid w:val="00686D1D"/>
    <w:rsid w:val="00686FB1"/>
    <w:rsid w:val="006902C7"/>
    <w:rsid w:val="006908FB"/>
    <w:rsid w:val="006909D4"/>
    <w:rsid w:val="00690A0F"/>
    <w:rsid w:val="00691566"/>
    <w:rsid w:val="006916F3"/>
    <w:rsid w:val="0069209E"/>
    <w:rsid w:val="0069243E"/>
    <w:rsid w:val="006925C1"/>
    <w:rsid w:val="00692BAC"/>
    <w:rsid w:val="00693983"/>
    <w:rsid w:val="006939CC"/>
    <w:rsid w:val="00693B1B"/>
    <w:rsid w:val="00694188"/>
    <w:rsid w:val="00695E4A"/>
    <w:rsid w:val="0069726E"/>
    <w:rsid w:val="006973ED"/>
    <w:rsid w:val="006A0136"/>
    <w:rsid w:val="006A075C"/>
    <w:rsid w:val="006A18AB"/>
    <w:rsid w:val="006A1998"/>
    <w:rsid w:val="006A2E6D"/>
    <w:rsid w:val="006A3250"/>
    <w:rsid w:val="006A3732"/>
    <w:rsid w:val="006A39A7"/>
    <w:rsid w:val="006A45D3"/>
    <w:rsid w:val="006A4B7A"/>
    <w:rsid w:val="006A4BE4"/>
    <w:rsid w:val="006A50CB"/>
    <w:rsid w:val="006A5850"/>
    <w:rsid w:val="006A5EAC"/>
    <w:rsid w:val="006A64FE"/>
    <w:rsid w:val="006A68F5"/>
    <w:rsid w:val="006A6FF3"/>
    <w:rsid w:val="006A70CD"/>
    <w:rsid w:val="006A75C8"/>
    <w:rsid w:val="006B0854"/>
    <w:rsid w:val="006B10DD"/>
    <w:rsid w:val="006B11BC"/>
    <w:rsid w:val="006B1BE4"/>
    <w:rsid w:val="006B1CCB"/>
    <w:rsid w:val="006B1EB1"/>
    <w:rsid w:val="006B2F89"/>
    <w:rsid w:val="006B3797"/>
    <w:rsid w:val="006B3E32"/>
    <w:rsid w:val="006B455A"/>
    <w:rsid w:val="006B4DCE"/>
    <w:rsid w:val="006B5400"/>
    <w:rsid w:val="006B5B6D"/>
    <w:rsid w:val="006B65D4"/>
    <w:rsid w:val="006B676A"/>
    <w:rsid w:val="006B7524"/>
    <w:rsid w:val="006B78B8"/>
    <w:rsid w:val="006B7C8E"/>
    <w:rsid w:val="006B7F2E"/>
    <w:rsid w:val="006C01CB"/>
    <w:rsid w:val="006C0B92"/>
    <w:rsid w:val="006C0D2E"/>
    <w:rsid w:val="006C12B9"/>
    <w:rsid w:val="006C1DCE"/>
    <w:rsid w:val="006C2691"/>
    <w:rsid w:val="006C2A70"/>
    <w:rsid w:val="006C2B78"/>
    <w:rsid w:val="006C2F23"/>
    <w:rsid w:val="006C2FDE"/>
    <w:rsid w:val="006C3892"/>
    <w:rsid w:val="006C51F7"/>
    <w:rsid w:val="006C5855"/>
    <w:rsid w:val="006C65FE"/>
    <w:rsid w:val="006C6631"/>
    <w:rsid w:val="006C67B0"/>
    <w:rsid w:val="006C6EB0"/>
    <w:rsid w:val="006C7C78"/>
    <w:rsid w:val="006C7D52"/>
    <w:rsid w:val="006C7FF8"/>
    <w:rsid w:val="006D02A0"/>
    <w:rsid w:val="006D03DA"/>
    <w:rsid w:val="006D267C"/>
    <w:rsid w:val="006D2DEA"/>
    <w:rsid w:val="006D3FDB"/>
    <w:rsid w:val="006D4066"/>
    <w:rsid w:val="006D4161"/>
    <w:rsid w:val="006D479A"/>
    <w:rsid w:val="006D4C2D"/>
    <w:rsid w:val="006D63EA"/>
    <w:rsid w:val="006D6FA3"/>
    <w:rsid w:val="006D7146"/>
    <w:rsid w:val="006D7B3A"/>
    <w:rsid w:val="006E0371"/>
    <w:rsid w:val="006E0C56"/>
    <w:rsid w:val="006E15C9"/>
    <w:rsid w:val="006E2097"/>
    <w:rsid w:val="006E2671"/>
    <w:rsid w:val="006E2C2D"/>
    <w:rsid w:val="006E31A9"/>
    <w:rsid w:val="006E3F96"/>
    <w:rsid w:val="006E4A0D"/>
    <w:rsid w:val="006E7295"/>
    <w:rsid w:val="006E77E9"/>
    <w:rsid w:val="006E798C"/>
    <w:rsid w:val="006F0149"/>
    <w:rsid w:val="006F0711"/>
    <w:rsid w:val="006F1A2C"/>
    <w:rsid w:val="006F1CDE"/>
    <w:rsid w:val="006F2CC0"/>
    <w:rsid w:val="006F2EE5"/>
    <w:rsid w:val="006F31FB"/>
    <w:rsid w:val="006F36C8"/>
    <w:rsid w:val="006F3E32"/>
    <w:rsid w:val="006F4684"/>
    <w:rsid w:val="006F5073"/>
    <w:rsid w:val="006F5DAE"/>
    <w:rsid w:val="006F6568"/>
    <w:rsid w:val="006F6890"/>
    <w:rsid w:val="006F73F8"/>
    <w:rsid w:val="006F765E"/>
    <w:rsid w:val="006F7BD2"/>
    <w:rsid w:val="00700F0C"/>
    <w:rsid w:val="0070102C"/>
    <w:rsid w:val="007018F4"/>
    <w:rsid w:val="0070388E"/>
    <w:rsid w:val="00704A55"/>
    <w:rsid w:val="007057CB"/>
    <w:rsid w:val="00706683"/>
    <w:rsid w:val="00710239"/>
    <w:rsid w:val="00710A24"/>
    <w:rsid w:val="007116A0"/>
    <w:rsid w:val="00712FDC"/>
    <w:rsid w:val="0071307C"/>
    <w:rsid w:val="00714249"/>
    <w:rsid w:val="0071441A"/>
    <w:rsid w:val="00714C15"/>
    <w:rsid w:val="00716C15"/>
    <w:rsid w:val="00716EF8"/>
    <w:rsid w:val="00717128"/>
    <w:rsid w:val="00717C12"/>
    <w:rsid w:val="00717C91"/>
    <w:rsid w:val="00720F7C"/>
    <w:rsid w:val="00721124"/>
    <w:rsid w:val="007212B6"/>
    <w:rsid w:val="007226EF"/>
    <w:rsid w:val="007228EF"/>
    <w:rsid w:val="007264D4"/>
    <w:rsid w:val="0072676D"/>
    <w:rsid w:val="00726E9E"/>
    <w:rsid w:val="0072754F"/>
    <w:rsid w:val="00727D9C"/>
    <w:rsid w:val="00730172"/>
    <w:rsid w:val="007301AD"/>
    <w:rsid w:val="007307AD"/>
    <w:rsid w:val="007311B1"/>
    <w:rsid w:val="00732BCC"/>
    <w:rsid w:val="00733631"/>
    <w:rsid w:val="007340AC"/>
    <w:rsid w:val="0073439F"/>
    <w:rsid w:val="00734583"/>
    <w:rsid w:val="00734BF6"/>
    <w:rsid w:val="00735017"/>
    <w:rsid w:val="00735A2D"/>
    <w:rsid w:val="00736030"/>
    <w:rsid w:val="00736F2E"/>
    <w:rsid w:val="007372E4"/>
    <w:rsid w:val="007407C1"/>
    <w:rsid w:val="007413BA"/>
    <w:rsid w:val="00742C11"/>
    <w:rsid w:val="0074341B"/>
    <w:rsid w:val="00743426"/>
    <w:rsid w:val="0074452B"/>
    <w:rsid w:val="007448C4"/>
    <w:rsid w:val="0074555E"/>
    <w:rsid w:val="00745974"/>
    <w:rsid w:val="00745A63"/>
    <w:rsid w:val="00745F67"/>
    <w:rsid w:val="007464B9"/>
    <w:rsid w:val="0074697A"/>
    <w:rsid w:val="0074700D"/>
    <w:rsid w:val="0074741D"/>
    <w:rsid w:val="007474C5"/>
    <w:rsid w:val="007504B9"/>
    <w:rsid w:val="00751464"/>
    <w:rsid w:val="0075162B"/>
    <w:rsid w:val="00751B39"/>
    <w:rsid w:val="00752FED"/>
    <w:rsid w:val="007533DC"/>
    <w:rsid w:val="0075389D"/>
    <w:rsid w:val="00753A68"/>
    <w:rsid w:val="00753C2F"/>
    <w:rsid w:val="0075474B"/>
    <w:rsid w:val="00755AA8"/>
    <w:rsid w:val="00755C7F"/>
    <w:rsid w:val="00755F1C"/>
    <w:rsid w:val="007568FE"/>
    <w:rsid w:val="00756CC4"/>
    <w:rsid w:val="00756F66"/>
    <w:rsid w:val="0076113B"/>
    <w:rsid w:val="007617D9"/>
    <w:rsid w:val="00761B6E"/>
    <w:rsid w:val="0076337C"/>
    <w:rsid w:val="00763744"/>
    <w:rsid w:val="007645A8"/>
    <w:rsid w:val="00765BF5"/>
    <w:rsid w:val="007664A2"/>
    <w:rsid w:val="00766FB1"/>
    <w:rsid w:val="00767678"/>
    <w:rsid w:val="007678A6"/>
    <w:rsid w:val="007678D8"/>
    <w:rsid w:val="0077102C"/>
    <w:rsid w:val="00771B29"/>
    <w:rsid w:val="00771D64"/>
    <w:rsid w:val="00771EAD"/>
    <w:rsid w:val="007725AD"/>
    <w:rsid w:val="00774DDF"/>
    <w:rsid w:val="007751F3"/>
    <w:rsid w:val="00775487"/>
    <w:rsid w:val="007762C6"/>
    <w:rsid w:val="0077767B"/>
    <w:rsid w:val="00777D3D"/>
    <w:rsid w:val="007800A6"/>
    <w:rsid w:val="00780BA1"/>
    <w:rsid w:val="00780F86"/>
    <w:rsid w:val="007823B7"/>
    <w:rsid w:val="0078357C"/>
    <w:rsid w:val="00783AFE"/>
    <w:rsid w:val="00783EA5"/>
    <w:rsid w:val="0078484C"/>
    <w:rsid w:val="00785651"/>
    <w:rsid w:val="00787E50"/>
    <w:rsid w:val="00787F31"/>
    <w:rsid w:val="00790614"/>
    <w:rsid w:val="0079322E"/>
    <w:rsid w:val="00795AA3"/>
    <w:rsid w:val="00795E9A"/>
    <w:rsid w:val="007979E8"/>
    <w:rsid w:val="007A0948"/>
    <w:rsid w:val="007A2649"/>
    <w:rsid w:val="007A3468"/>
    <w:rsid w:val="007A4389"/>
    <w:rsid w:val="007A4523"/>
    <w:rsid w:val="007A4661"/>
    <w:rsid w:val="007A5672"/>
    <w:rsid w:val="007A6202"/>
    <w:rsid w:val="007A77EB"/>
    <w:rsid w:val="007B1378"/>
    <w:rsid w:val="007B2402"/>
    <w:rsid w:val="007B276E"/>
    <w:rsid w:val="007B38A7"/>
    <w:rsid w:val="007B39E0"/>
    <w:rsid w:val="007B3DD0"/>
    <w:rsid w:val="007B4E70"/>
    <w:rsid w:val="007B50AA"/>
    <w:rsid w:val="007B59CF"/>
    <w:rsid w:val="007B5C25"/>
    <w:rsid w:val="007B6548"/>
    <w:rsid w:val="007B7662"/>
    <w:rsid w:val="007B78F4"/>
    <w:rsid w:val="007B7FA2"/>
    <w:rsid w:val="007C08F7"/>
    <w:rsid w:val="007C12B8"/>
    <w:rsid w:val="007C1488"/>
    <w:rsid w:val="007C1675"/>
    <w:rsid w:val="007C25AE"/>
    <w:rsid w:val="007C2867"/>
    <w:rsid w:val="007C4023"/>
    <w:rsid w:val="007C4DE8"/>
    <w:rsid w:val="007C547D"/>
    <w:rsid w:val="007C5E3D"/>
    <w:rsid w:val="007C6684"/>
    <w:rsid w:val="007C69B9"/>
    <w:rsid w:val="007C6A81"/>
    <w:rsid w:val="007C77AA"/>
    <w:rsid w:val="007C7F4B"/>
    <w:rsid w:val="007D03EE"/>
    <w:rsid w:val="007D0AD7"/>
    <w:rsid w:val="007D1D1E"/>
    <w:rsid w:val="007D2BE8"/>
    <w:rsid w:val="007D3B10"/>
    <w:rsid w:val="007D462D"/>
    <w:rsid w:val="007D46FC"/>
    <w:rsid w:val="007D4903"/>
    <w:rsid w:val="007D5537"/>
    <w:rsid w:val="007D5963"/>
    <w:rsid w:val="007D5C66"/>
    <w:rsid w:val="007D5FE7"/>
    <w:rsid w:val="007D7772"/>
    <w:rsid w:val="007E01BC"/>
    <w:rsid w:val="007E05CA"/>
    <w:rsid w:val="007E0BDA"/>
    <w:rsid w:val="007E25AD"/>
    <w:rsid w:val="007E25EB"/>
    <w:rsid w:val="007E312D"/>
    <w:rsid w:val="007E3AF4"/>
    <w:rsid w:val="007E3B08"/>
    <w:rsid w:val="007E4880"/>
    <w:rsid w:val="007E4EFC"/>
    <w:rsid w:val="007E5594"/>
    <w:rsid w:val="007E5BA9"/>
    <w:rsid w:val="007E637C"/>
    <w:rsid w:val="007E6918"/>
    <w:rsid w:val="007E6A18"/>
    <w:rsid w:val="007E72DE"/>
    <w:rsid w:val="007E75D7"/>
    <w:rsid w:val="007F09F4"/>
    <w:rsid w:val="007F0D0D"/>
    <w:rsid w:val="007F1364"/>
    <w:rsid w:val="007F24D1"/>
    <w:rsid w:val="007F29F6"/>
    <w:rsid w:val="007F37C6"/>
    <w:rsid w:val="007F3BAA"/>
    <w:rsid w:val="007F47C9"/>
    <w:rsid w:val="007F4A04"/>
    <w:rsid w:val="007F5BDF"/>
    <w:rsid w:val="007F6475"/>
    <w:rsid w:val="007F647C"/>
    <w:rsid w:val="007F693F"/>
    <w:rsid w:val="007F7893"/>
    <w:rsid w:val="0080041B"/>
    <w:rsid w:val="00800A0B"/>
    <w:rsid w:val="00801E14"/>
    <w:rsid w:val="00802101"/>
    <w:rsid w:val="008025AC"/>
    <w:rsid w:val="00802BD8"/>
    <w:rsid w:val="00802F81"/>
    <w:rsid w:val="00803FAC"/>
    <w:rsid w:val="00804E3D"/>
    <w:rsid w:val="00804F0A"/>
    <w:rsid w:val="00804F0F"/>
    <w:rsid w:val="00805079"/>
    <w:rsid w:val="008062BE"/>
    <w:rsid w:val="0080689A"/>
    <w:rsid w:val="00806F39"/>
    <w:rsid w:val="00807661"/>
    <w:rsid w:val="008078BE"/>
    <w:rsid w:val="00807C6E"/>
    <w:rsid w:val="00810F42"/>
    <w:rsid w:val="00810FD1"/>
    <w:rsid w:val="00811308"/>
    <w:rsid w:val="00811581"/>
    <w:rsid w:val="00812759"/>
    <w:rsid w:val="00813446"/>
    <w:rsid w:val="008138A9"/>
    <w:rsid w:val="008141D7"/>
    <w:rsid w:val="00814574"/>
    <w:rsid w:val="0081496C"/>
    <w:rsid w:val="00816211"/>
    <w:rsid w:val="008228B8"/>
    <w:rsid w:val="00824DDF"/>
    <w:rsid w:val="00825299"/>
    <w:rsid w:val="00825E42"/>
    <w:rsid w:val="00826219"/>
    <w:rsid w:val="00827233"/>
    <w:rsid w:val="0082768B"/>
    <w:rsid w:val="0083084D"/>
    <w:rsid w:val="008310E9"/>
    <w:rsid w:val="0083222F"/>
    <w:rsid w:val="008334C2"/>
    <w:rsid w:val="00834C65"/>
    <w:rsid w:val="0083541D"/>
    <w:rsid w:val="00835F09"/>
    <w:rsid w:val="0083634B"/>
    <w:rsid w:val="00840116"/>
    <w:rsid w:val="00840D3F"/>
    <w:rsid w:val="00842B64"/>
    <w:rsid w:val="00844186"/>
    <w:rsid w:val="00844ECF"/>
    <w:rsid w:val="00845A92"/>
    <w:rsid w:val="00846541"/>
    <w:rsid w:val="00846DE6"/>
    <w:rsid w:val="00847523"/>
    <w:rsid w:val="00847652"/>
    <w:rsid w:val="0085005E"/>
    <w:rsid w:val="00850D45"/>
    <w:rsid w:val="0085217C"/>
    <w:rsid w:val="00852352"/>
    <w:rsid w:val="008523C2"/>
    <w:rsid w:val="0085269A"/>
    <w:rsid w:val="00852BA0"/>
    <w:rsid w:val="008539A7"/>
    <w:rsid w:val="00855077"/>
    <w:rsid w:val="008556E8"/>
    <w:rsid w:val="00856069"/>
    <w:rsid w:val="00857754"/>
    <w:rsid w:val="00857B0A"/>
    <w:rsid w:val="00857B3D"/>
    <w:rsid w:val="008603AC"/>
    <w:rsid w:val="00861375"/>
    <w:rsid w:val="00862123"/>
    <w:rsid w:val="00862276"/>
    <w:rsid w:val="008623F8"/>
    <w:rsid w:val="00862BEF"/>
    <w:rsid w:val="00863576"/>
    <w:rsid w:val="00863FC5"/>
    <w:rsid w:val="00863FF7"/>
    <w:rsid w:val="00864E69"/>
    <w:rsid w:val="00865165"/>
    <w:rsid w:val="00865420"/>
    <w:rsid w:val="0086637F"/>
    <w:rsid w:val="0086662D"/>
    <w:rsid w:val="008667AA"/>
    <w:rsid w:val="008669C1"/>
    <w:rsid w:val="00866B10"/>
    <w:rsid w:val="00866B98"/>
    <w:rsid w:val="0086787C"/>
    <w:rsid w:val="00867D42"/>
    <w:rsid w:val="008708D0"/>
    <w:rsid w:val="00870904"/>
    <w:rsid w:val="00872167"/>
    <w:rsid w:val="008726A6"/>
    <w:rsid w:val="00872CFA"/>
    <w:rsid w:val="0087302C"/>
    <w:rsid w:val="0087367C"/>
    <w:rsid w:val="00874271"/>
    <w:rsid w:val="008742E2"/>
    <w:rsid w:val="0087527D"/>
    <w:rsid w:val="00875885"/>
    <w:rsid w:val="008759C7"/>
    <w:rsid w:val="00876291"/>
    <w:rsid w:val="00876BC7"/>
    <w:rsid w:val="0087726B"/>
    <w:rsid w:val="008775A6"/>
    <w:rsid w:val="008776DA"/>
    <w:rsid w:val="00877A72"/>
    <w:rsid w:val="00877BBA"/>
    <w:rsid w:val="00877C31"/>
    <w:rsid w:val="00880D9A"/>
    <w:rsid w:val="008814CC"/>
    <w:rsid w:val="008849EF"/>
    <w:rsid w:val="00885A90"/>
    <w:rsid w:val="00885D68"/>
    <w:rsid w:val="00886773"/>
    <w:rsid w:val="00887103"/>
    <w:rsid w:val="00887313"/>
    <w:rsid w:val="00887597"/>
    <w:rsid w:val="00887959"/>
    <w:rsid w:val="008905C6"/>
    <w:rsid w:val="0089090A"/>
    <w:rsid w:val="00891A92"/>
    <w:rsid w:val="008923B8"/>
    <w:rsid w:val="0089337C"/>
    <w:rsid w:val="00893528"/>
    <w:rsid w:val="008935F3"/>
    <w:rsid w:val="008945F4"/>
    <w:rsid w:val="00894984"/>
    <w:rsid w:val="00895235"/>
    <w:rsid w:val="0089555C"/>
    <w:rsid w:val="008966BC"/>
    <w:rsid w:val="008969AF"/>
    <w:rsid w:val="008A1575"/>
    <w:rsid w:val="008A175C"/>
    <w:rsid w:val="008A1A4E"/>
    <w:rsid w:val="008A259A"/>
    <w:rsid w:val="008A3AF4"/>
    <w:rsid w:val="008A3F11"/>
    <w:rsid w:val="008A4131"/>
    <w:rsid w:val="008A4280"/>
    <w:rsid w:val="008A4ACD"/>
    <w:rsid w:val="008A4F3E"/>
    <w:rsid w:val="008A5455"/>
    <w:rsid w:val="008A7B33"/>
    <w:rsid w:val="008A7D7F"/>
    <w:rsid w:val="008B048D"/>
    <w:rsid w:val="008B238C"/>
    <w:rsid w:val="008B3D24"/>
    <w:rsid w:val="008B4E45"/>
    <w:rsid w:val="008B5BAF"/>
    <w:rsid w:val="008B6477"/>
    <w:rsid w:val="008B6E1E"/>
    <w:rsid w:val="008B7F46"/>
    <w:rsid w:val="008C00A1"/>
    <w:rsid w:val="008C06BD"/>
    <w:rsid w:val="008C0C48"/>
    <w:rsid w:val="008C0E27"/>
    <w:rsid w:val="008C110C"/>
    <w:rsid w:val="008C111A"/>
    <w:rsid w:val="008C11AE"/>
    <w:rsid w:val="008C1ECD"/>
    <w:rsid w:val="008C1F9A"/>
    <w:rsid w:val="008C28E6"/>
    <w:rsid w:val="008C3034"/>
    <w:rsid w:val="008C366B"/>
    <w:rsid w:val="008C3DCF"/>
    <w:rsid w:val="008C5308"/>
    <w:rsid w:val="008C5B46"/>
    <w:rsid w:val="008C63D6"/>
    <w:rsid w:val="008C70A1"/>
    <w:rsid w:val="008D0705"/>
    <w:rsid w:val="008D0CE5"/>
    <w:rsid w:val="008D143A"/>
    <w:rsid w:val="008D230C"/>
    <w:rsid w:val="008D2DF1"/>
    <w:rsid w:val="008D4094"/>
    <w:rsid w:val="008D46D2"/>
    <w:rsid w:val="008D4B4F"/>
    <w:rsid w:val="008D6246"/>
    <w:rsid w:val="008D7072"/>
    <w:rsid w:val="008D7304"/>
    <w:rsid w:val="008D7F41"/>
    <w:rsid w:val="008E05B0"/>
    <w:rsid w:val="008E0C3D"/>
    <w:rsid w:val="008E0D8D"/>
    <w:rsid w:val="008E2295"/>
    <w:rsid w:val="008E24E4"/>
    <w:rsid w:val="008E2D1D"/>
    <w:rsid w:val="008E33D2"/>
    <w:rsid w:val="008E343B"/>
    <w:rsid w:val="008E463A"/>
    <w:rsid w:val="008E6109"/>
    <w:rsid w:val="008E667F"/>
    <w:rsid w:val="008E6D4B"/>
    <w:rsid w:val="008F0E80"/>
    <w:rsid w:val="008F1343"/>
    <w:rsid w:val="008F151F"/>
    <w:rsid w:val="008F1AA4"/>
    <w:rsid w:val="008F1AFF"/>
    <w:rsid w:val="008F1C17"/>
    <w:rsid w:val="008F2B40"/>
    <w:rsid w:val="008F2C43"/>
    <w:rsid w:val="008F2D02"/>
    <w:rsid w:val="008F2FD6"/>
    <w:rsid w:val="008F31DC"/>
    <w:rsid w:val="008F435A"/>
    <w:rsid w:val="008F4564"/>
    <w:rsid w:val="008F5353"/>
    <w:rsid w:val="008F57BF"/>
    <w:rsid w:val="008F5C87"/>
    <w:rsid w:val="008F6291"/>
    <w:rsid w:val="008F62C9"/>
    <w:rsid w:val="008F63B2"/>
    <w:rsid w:val="008F6CDF"/>
    <w:rsid w:val="008F6D39"/>
    <w:rsid w:val="008F6F5D"/>
    <w:rsid w:val="008F7BF9"/>
    <w:rsid w:val="009006D0"/>
    <w:rsid w:val="0090084D"/>
    <w:rsid w:val="00900CDB"/>
    <w:rsid w:val="00900FCB"/>
    <w:rsid w:val="00901AB5"/>
    <w:rsid w:val="009023F1"/>
    <w:rsid w:val="00902DDB"/>
    <w:rsid w:val="009035A4"/>
    <w:rsid w:val="00904AAD"/>
    <w:rsid w:val="009059E0"/>
    <w:rsid w:val="00906159"/>
    <w:rsid w:val="0090769B"/>
    <w:rsid w:val="00907B98"/>
    <w:rsid w:val="00907C6B"/>
    <w:rsid w:val="00910195"/>
    <w:rsid w:val="009106A5"/>
    <w:rsid w:val="00912CAD"/>
    <w:rsid w:val="0091302A"/>
    <w:rsid w:val="00913134"/>
    <w:rsid w:val="00913879"/>
    <w:rsid w:val="00913B2D"/>
    <w:rsid w:val="009140A9"/>
    <w:rsid w:val="009158EE"/>
    <w:rsid w:val="009164A3"/>
    <w:rsid w:val="00916646"/>
    <w:rsid w:val="009167DC"/>
    <w:rsid w:val="00916FD4"/>
    <w:rsid w:val="0092008F"/>
    <w:rsid w:val="0092094B"/>
    <w:rsid w:val="009217A2"/>
    <w:rsid w:val="009226DE"/>
    <w:rsid w:val="009228D4"/>
    <w:rsid w:val="009233BF"/>
    <w:rsid w:val="009234A3"/>
    <w:rsid w:val="00923626"/>
    <w:rsid w:val="0092403D"/>
    <w:rsid w:val="009241D2"/>
    <w:rsid w:val="00924457"/>
    <w:rsid w:val="00924539"/>
    <w:rsid w:val="00925E64"/>
    <w:rsid w:val="009269C3"/>
    <w:rsid w:val="009276A6"/>
    <w:rsid w:val="00927DB9"/>
    <w:rsid w:val="00930D73"/>
    <w:rsid w:val="00931A53"/>
    <w:rsid w:val="009333AF"/>
    <w:rsid w:val="00933E07"/>
    <w:rsid w:val="00934204"/>
    <w:rsid w:val="009344AD"/>
    <w:rsid w:val="00934DDC"/>
    <w:rsid w:val="00935551"/>
    <w:rsid w:val="009359A7"/>
    <w:rsid w:val="00936B1C"/>
    <w:rsid w:val="00936D98"/>
    <w:rsid w:val="00937357"/>
    <w:rsid w:val="0093739E"/>
    <w:rsid w:val="00940A41"/>
    <w:rsid w:val="00941B7D"/>
    <w:rsid w:val="00941C8F"/>
    <w:rsid w:val="0094380E"/>
    <w:rsid w:val="009444D6"/>
    <w:rsid w:val="0094454B"/>
    <w:rsid w:val="00944B45"/>
    <w:rsid w:val="0094509E"/>
    <w:rsid w:val="009459BB"/>
    <w:rsid w:val="009464A1"/>
    <w:rsid w:val="00947CFB"/>
    <w:rsid w:val="009502F8"/>
    <w:rsid w:val="00950743"/>
    <w:rsid w:val="00953157"/>
    <w:rsid w:val="00953EE8"/>
    <w:rsid w:val="00954441"/>
    <w:rsid w:val="009550E9"/>
    <w:rsid w:val="0095647F"/>
    <w:rsid w:val="00956712"/>
    <w:rsid w:val="0095677C"/>
    <w:rsid w:val="00956A94"/>
    <w:rsid w:val="00956F29"/>
    <w:rsid w:val="009572FF"/>
    <w:rsid w:val="0095733B"/>
    <w:rsid w:val="009604D1"/>
    <w:rsid w:val="00960550"/>
    <w:rsid w:val="00961197"/>
    <w:rsid w:val="0096179E"/>
    <w:rsid w:val="009620E0"/>
    <w:rsid w:val="00962A97"/>
    <w:rsid w:val="00962D26"/>
    <w:rsid w:val="009630EE"/>
    <w:rsid w:val="00963125"/>
    <w:rsid w:val="009635F0"/>
    <w:rsid w:val="009637BF"/>
    <w:rsid w:val="009640EF"/>
    <w:rsid w:val="00965447"/>
    <w:rsid w:val="00967E39"/>
    <w:rsid w:val="0097190B"/>
    <w:rsid w:val="00971ABA"/>
    <w:rsid w:val="00971E05"/>
    <w:rsid w:val="00972103"/>
    <w:rsid w:val="0097348C"/>
    <w:rsid w:val="00973A8C"/>
    <w:rsid w:val="009743BF"/>
    <w:rsid w:val="009749D5"/>
    <w:rsid w:val="00975937"/>
    <w:rsid w:val="00975A61"/>
    <w:rsid w:val="0097656D"/>
    <w:rsid w:val="009777FF"/>
    <w:rsid w:val="00977EAE"/>
    <w:rsid w:val="00981633"/>
    <w:rsid w:val="00981A96"/>
    <w:rsid w:val="00981E56"/>
    <w:rsid w:val="00982BB3"/>
    <w:rsid w:val="0098315B"/>
    <w:rsid w:val="00983602"/>
    <w:rsid w:val="00983924"/>
    <w:rsid w:val="00984B96"/>
    <w:rsid w:val="00985175"/>
    <w:rsid w:val="00985EAF"/>
    <w:rsid w:val="0098755F"/>
    <w:rsid w:val="0099088E"/>
    <w:rsid w:val="00990C0A"/>
    <w:rsid w:val="009931D8"/>
    <w:rsid w:val="00993215"/>
    <w:rsid w:val="00993807"/>
    <w:rsid w:val="00993A28"/>
    <w:rsid w:val="0099434E"/>
    <w:rsid w:val="009950CF"/>
    <w:rsid w:val="00997446"/>
    <w:rsid w:val="00997A27"/>
    <w:rsid w:val="009A0F10"/>
    <w:rsid w:val="009A28D0"/>
    <w:rsid w:val="009A3EAE"/>
    <w:rsid w:val="009A418E"/>
    <w:rsid w:val="009A41E8"/>
    <w:rsid w:val="009A449E"/>
    <w:rsid w:val="009A4801"/>
    <w:rsid w:val="009A498B"/>
    <w:rsid w:val="009A4BF3"/>
    <w:rsid w:val="009A50E4"/>
    <w:rsid w:val="009A523A"/>
    <w:rsid w:val="009A536A"/>
    <w:rsid w:val="009A5801"/>
    <w:rsid w:val="009A6FCF"/>
    <w:rsid w:val="009A7778"/>
    <w:rsid w:val="009B020A"/>
    <w:rsid w:val="009B2F77"/>
    <w:rsid w:val="009B3602"/>
    <w:rsid w:val="009B3BAA"/>
    <w:rsid w:val="009B5B49"/>
    <w:rsid w:val="009B6929"/>
    <w:rsid w:val="009B6ABE"/>
    <w:rsid w:val="009B6F24"/>
    <w:rsid w:val="009B712C"/>
    <w:rsid w:val="009B7216"/>
    <w:rsid w:val="009B7F98"/>
    <w:rsid w:val="009C0FEB"/>
    <w:rsid w:val="009C1FEB"/>
    <w:rsid w:val="009C25D6"/>
    <w:rsid w:val="009C3CBF"/>
    <w:rsid w:val="009C3F89"/>
    <w:rsid w:val="009C4ABF"/>
    <w:rsid w:val="009C4BC7"/>
    <w:rsid w:val="009C6439"/>
    <w:rsid w:val="009C6AF8"/>
    <w:rsid w:val="009D038D"/>
    <w:rsid w:val="009D0C54"/>
    <w:rsid w:val="009D0D05"/>
    <w:rsid w:val="009D132C"/>
    <w:rsid w:val="009D1745"/>
    <w:rsid w:val="009D1974"/>
    <w:rsid w:val="009D236B"/>
    <w:rsid w:val="009D29B9"/>
    <w:rsid w:val="009D2B9C"/>
    <w:rsid w:val="009D2EFB"/>
    <w:rsid w:val="009D42CF"/>
    <w:rsid w:val="009D48F9"/>
    <w:rsid w:val="009D4986"/>
    <w:rsid w:val="009D5B3F"/>
    <w:rsid w:val="009E037F"/>
    <w:rsid w:val="009E0718"/>
    <w:rsid w:val="009E1007"/>
    <w:rsid w:val="009E11DA"/>
    <w:rsid w:val="009E18AD"/>
    <w:rsid w:val="009E1EBE"/>
    <w:rsid w:val="009E2156"/>
    <w:rsid w:val="009E25CE"/>
    <w:rsid w:val="009E2DFB"/>
    <w:rsid w:val="009E3139"/>
    <w:rsid w:val="009E31AF"/>
    <w:rsid w:val="009E4120"/>
    <w:rsid w:val="009E41DB"/>
    <w:rsid w:val="009E4425"/>
    <w:rsid w:val="009E488E"/>
    <w:rsid w:val="009E48B7"/>
    <w:rsid w:val="009E49E3"/>
    <w:rsid w:val="009E50F3"/>
    <w:rsid w:val="009E5914"/>
    <w:rsid w:val="009E5AAA"/>
    <w:rsid w:val="009E5CA4"/>
    <w:rsid w:val="009E5DA0"/>
    <w:rsid w:val="009E61B4"/>
    <w:rsid w:val="009E6E7E"/>
    <w:rsid w:val="009E72B3"/>
    <w:rsid w:val="009F0D9B"/>
    <w:rsid w:val="009F0DC1"/>
    <w:rsid w:val="009F2CA0"/>
    <w:rsid w:val="009F2EE2"/>
    <w:rsid w:val="009F366F"/>
    <w:rsid w:val="009F4693"/>
    <w:rsid w:val="009F64F9"/>
    <w:rsid w:val="009F6C1F"/>
    <w:rsid w:val="009F6E24"/>
    <w:rsid w:val="009F6E57"/>
    <w:rsid w:val="009F71C4"/>
    <w:rsid w:val="009F7401"/>
    <w:rsid w:val="009F76FF"/>
    <w:rsid w:val="009F79E6"/>
    <w:rsid w:val="009F7E4E"/>
    <w:rsid w:val="00A000DE"/>
    <w:rsid w:val="00A007C7"/>
    <w:rsid w:val="00A00D8D"/>
    <w:rsid w:val="00A01109"/>
    <w:rsid w:val="00A021F9"/>
    <w:rsid w:val="00A032BE"/>
    <w:rsid w:val="00A03334"/>
    <w:rsid w:val="00A03FB6"/>
    <w:rsid w:val="00A043EA"/>
    <w:rsid w:val="00A05680"/>
    <w:rsid w:val="00A0793B"/>
    <w:rsid w:val="00A11891"/>
    <w:rsid w:val="00A119D5"/>
    <w:rsid w:val="00A11B1D"/>
    <w:rsid w:val="00A120EB"/>
    <w:rsid w:val="00A12AF1"/>
    <w:rsid w:val="00A12C9A"/>
    <w:rsid w:val="00A13F42"/>
    <w:rsid w:val="00A14EFB"/>
    <w:rsid w:val="00A1528B"/>
    <w:rsid w:val="00A16199"/>
    <w:rsid w:val="00A16520"/>
    <w:rsid w:val="00A168C5"/>
    <w:rsid w:val="00A17999"/>
    <w:rsid w:val="00A17AA6"/>
    <w:rsid w:val="00A17BA4"/>
    <w:rsid w:val="00A17C84"/>
    <w:rsid w:val="00A20988"/>
    <w:rsid w:val="00A2190B"/>
    <w:rsid w:val="00A219D8"/>
    <w:rsid w:val="00A226E2"/>
    <w:rsid w:val="00A22DD2"/>
    <w:rsid w:val="00A22F99"/>
    <w:rsid w:val="00A2373F"/>
    <w:rsid w:val="00A24B31"/>
    <w:rsid w:val="00A25E39"/>
    <w:rsid w:val="00A26D12"/>
    <w:rsid w:val="00A27640"/>
    <w:rsid w:val="00A27C84"/>
    <w:rsid w:val="00A27EF5"/>
    <w:rsid w:val="00A30001"/>
    <w:rsid w:val="00A306DB"/>
    <w:rsid w:val="00A309DB"/>
    <w:rsid w:val="00A31568"/>
    <w:rsid w:val="00A3199B"/>
    <w:rsid w:val="00A32F48"/>
    <w:rsid w:val="00A33464"/>
    <w:rsid w:val="00A3353B"/>
    <w:rsid w:val="00A33B93"/>
    <w:rsid w:val="00A360C3"/>
    <w:rsid w:val="00A365DA"/>
    <w:rsid w:val="00A3663C"/>
    <w:rsid w:val="00A36A9D"/>
    <w:rsid w:val="00A36CA5"/>
    <w:rsid w:val="00A37309"/>
    <w:rsid w:val="00A37FCB"/>
    <w:rsid w:val="00A40060"/>
    <w:rsid w:val="00A400F2"/>
    <w:rsid w:val="00A40285"/>
    <w:rsid w:val="00A403AE"/>
    <w:rsid w:val="00A40FC6"/>
    <w:rsid w:val="00A41BBA"/>
    <w:rsid w:val="00A41C17"/>
    <w:rsid w:val="00A4212D"/>
    <w:rsid w:val="00A429F9"/>
    <w:rsid w:val="00A43442"/>
    <w:rsid w:val="00A43BF1"/>
    <w:rsid w:val="00A44689"/>
    <w:rsid w:val="00A44A41"/>
    <w:rsid w:val="00A456A8"/>
    <w:rsid w:val="00A45F71"/>
    <w:rsid w:val="00A46722"/>
    <w:rsid w:val="00A46FF9"/>
    <w:rsid w:val="00A471E8"/>
    <w:rsid w:val="00A5003F"/>
    <w:rsid w:val="00A5054F"/>
    <w:rsid w:val="00A507F9"/>
    <w:rsid w:val="00A50E1E"/>
    <w:rsid w:val="00A510D2"/>
    <w:rsid w:val="00A51141"/>
    <w:rsid w:val="00A51C69"/>
    <w:rsid w:val="00A51EA3"/>
    <w:rsid w:val="00A52D4B"/>
    <w:rsid w:val="00A5349B"/>
    <w:rsid w:val="00A53DED"/>
    <w:rsid w:val="00A54A32"/>
    <w:rsid w:val="00A54D2B"/>
    <w:rsid w:val="00A553A7"/>
    <w:rsid w:val="00A556E5"/>
    <w:rsid w:val="00A56B3D"/>
    <w:rsid w:val="00A600C3"/>
    <w:rsid w:val="00A607A9"/>
    <w:rsid w:val="00A61F9A"/>
    <w:rsid w:val="00A624D3"/>
    <w:rsid w:val="00A62C08"/>
    <w:rsid w:val="00A6347E"/>
    <w:rsid w:val="00A63B4C"/>
    <w:rsid w:val="00A63DF6"/>
    <w:rsid w:val="00A63E37"/>
    <w:rsid w:val="00A64AE7"/>
    <w:rsid w:val="00A651D4"/>
    <w:rsid w:val="00A65D6C"/>
    <w:rsid w:val="00A65FE6"/>
    <w:rsid w:val="00A66AF2"/>
    <w:rsid w:val="00A66D92"/>
    <w:rsid w:val="00A67352"/>
    <w:rsid w:val="00A6767D"/>
    <w:rsid w:val="00A67A1E"/>
    <w:rsid w:val="00A71C97"/>
    <w:rsid w:val="00A73AAD"/>
    <w:rsid w:val="00A76468"/>
    <w:rsid w:val="00A80335"/>
    <w:rsid w:val="00A80373"/>
    <w:rsid w:val="00A82E1A"/>
    <w:rsid w:val="00A83B49"/>
    <w:rsid w:val="00A83BAF"/>
    <w:rsid w:val="00A8516A"/>
    <w:rsid w:val="00A868DE"/>
    <w:rsid w:val="00A86E31"/>
    <w:rsid w:val="00A86F15"/>
    <w:rsid w:val="00A872A7"/>
    <w:rsid w:val="00A87808"/>
    <w:rsid w:val="00A908D0"/>
    <w:rsid w:val="00A91406"/>
    <w:rsid w:val="00A92223"/>
    <w:rsid w:val="00A92F45"/>
    <w:rsid w:val="00A939EF"/>
    <w:rsid w:val="00A941BD"/>
    <w:rsid w:val="00A95AF7"/>
    <w:rsid w:val="00A9683D"/>
    <w:rsid w:val="00A968F9"/>
    <w:rsid w:val="00A96EE8"/>
    <w:rsid w:val="00A97A97"/>
    <w:rsid w:val="00AA102B"/>
    <w:rsid w:val="00AA1EF9"/>
    <w:rsid w:val="00AA2642"/>
    <w:rsid w:val="00AA34D3"/>
    <w:rsid w:val="00AA459C"/>
    <w:rsid w:val="00AA464B"/>
    <w:rsid w:val="00AA5055"/>
    <w:rsid w:val="00AA5D42"/>
    <w:rsid w:val="00AA5F1E"/>
    <w:rsid w:val="00AA6973"/>
    <w:rsid w:val="00AA6B04"/>
    <w:rsid w:val="00AA6B7F"/>
    <w:rsid w:val="00AA7EEA"/>
    <w:rsid w:val="00AB00B5"/>
    <w:rsid w:val="00AB1140"/>
    <w:rsid w:val="00AB2819"/>
    <w:rsid w:val="00AB2B43"/>
    <w:rsid w:val="00AB358E"/>
    <w:rsid w:val="00AB367D"/>
    <w:rsid w:val="00AB4540"/>
    <w:rsid w:val="00AB4719"/>
    <w:rsid w:val="00AB4B6A"/>
    <w:rsid w:val="00AB52F4"/>
    <w:rsid w:val="00AB6AD0"/>
    <w:rsid w:val="00AB75A8"/>
    <w:rsid w:val="00AB7A1E"/>
    <w:rsid w:val="00AC050E"/>
    <w:rsid w:val="00AC0C74"/>
    <w:rsid w:val="00AC0FAE"/>
    <w:rsid w:val="00AC1820"/>
    <w:rsid w:val="00AC194B"/>
    <w:rsid w:val="00AC21DD"/>
    <w:rsid w:val="00AC2EC1"/>
    <w:rsid w:val="00AC37BA"/>
    <w:rsid w:val="00AC3D25"/>
    <w:rsid w:val="00AC40A3"/>
    <w:rsid w:val="00AC5744"/>
    <w:rsid w:val="00AC5DAD"/>
    <w:rsid w:val="00AC65AD"/>
    <w:rsid w:val="00AC6D83"/>
    <w:rsid w:val="00AC788C"/>
    <w:rsid w:val="00AC7FFB"/>
    <w:rsid w:val="00AD0135"/>
    <w:rsid w:val="00AD14FC"/>
    <w:rsid w:val="00AD1D64"/>
    <w:rsid w:val="00AD2139"/>
    <w:rsid w:val="00AD2601"/>
    <w:rsid w:val="00AD27B7"/>
    <w:rsid w:val="00AD2C73"/>
    <w:rsid w:val="00AD332A"/>
    <w:rsid w:val="00AD4374"/>
    <w:rsid w:val="00AD4502"/>
    <w:rsid w:val="00AD4873"/>
    <w:rsid w:val="00AD5489"/>
    <w:rsid w:val="00AD5872"/>
    <w:rsid w:val="00AD6969"/>
    <w:rsid w:val="00AD6A00"/>
    <w:rsid w:val="00AD7963"/>
    <w:rsid w:val="00AD7CC0"/>
    <w:rsid w:val="00AE19DB"/>
    <w:rsid w:val="00AE346C"/>
    <w:rsid w:val="00AE346E"/>
    <w:rsid w:val="00AE3E71"/>
    <w:rsid w:val="00AE410D"/>
    <w:rsid w:val="00AE4171"/>
    <w:rsid w:val="00AE45F6"/>
    <w:rsid w:val="00AE4968"/>
    <w:rsid w:val="00AE4A21"/>
    <w:rsid w:val="00AE4B92"/>
    <w:rsid w:val="00AE5B71"/>
    <w:rsid w:val="00AE6695"/>
    <w:rsid w:val="00AE7650"/>
    <w:rsid w:val="00AF098D"/>
    <w:rsid w:val="00AF1FDC"/>
    <w:rsid w:val="00AF324A"/>
    <w:rsid w:val="00AF44FD"/>
    <w:rsid w:val="00AF4B41"/>
    <w:rsid w:val="00AF52A3"/>
    <w:rsid w:val="00AF6993"/>
    <w:rsid w:val="00AF7386"/>
    <w:rsid w:val="00AF7786"/>
    <w:rsid w:val="00B0078E"/>
    <w:rsid w:val="00B00CF7"/>
    <w:rsid w:val="00B02B42"/>
    <w:rsid w:val="00B03D7F"/>
    <w:rsid w:val="00B0402F"/>
    <w:rsid w:val="00B041CF"/>
    <w:rsid w:val="00B04C0F"/>
    <w:rsid w:val="00B04E3A"/>
    <w:rsid w:val="00B04FB1"/>
    <w:rsid w:val="00B05544"/>
    <w:rsid w:val="00B05C7C"/>
    <w:rsid w:val="00B05CC4"/>
    <w:rsid w:val="00B05FEF"/>
    <w:rsid w:val="00B0687F"/>
    <w:rsid w:val="00B0724D"/>
    <w:rsid w:val="00B07ADD"/>
    <w:rsid w:val="00B10489"/>
    <w:rsid w:val="00B1130E"/>
    <w:rsid w:val="00B113EF"/>
    <w:rsid w:val="00B11706"/>
    <w:rsid w:val="00B11BB2"/>
    <w:rsid w:val="00B12792"/>
    <w:rsid w:val="00B12A1C"/>
    <w:rsid w:val="00B12B40"/>
    <w:rsid w:val="00B13AC9"/>
    <w:rsid w:val="00B1459C"/>
    <w:rsid w:val="00B153C4"/>
    <w:rsid w:val="00B1568A"/>
    <w:rsid w:val="00B15789"/>
    <w:rsid w:val="00B15F75"/>
    <w:rsid w:val="00B161AB"/>
    <w:rsid w:val="00B163B9"/>
    <w:rsid w:val="00B16BB7"/>
    <w:rsid w:val="00B2003B"/>
    <w:rsid w:val="00B20A29"/>
    <w:rsid w:val="00B2156F"/>
    <w:rsid w:val="00B2192D"/>
    <w:rsid w:val="00B2196D"/>
    <w:rsid w:val="00B21EA8"/>
    <w:rsid w:val="00B223A3"/>
    <w:rsid w:val="00B22B39"/>
    <w:rsid w:val="00B257B5"/>
    <w:rsid w:val="00B268BF"/>
    <w:rsid w:val="00B269A4"/>
    <w:rsid w:val="00B26CA2"/>
    <w:rsid w:val="00B27EE6"/>
    <w:rsid w:val="00B310AB"/>
    <w:rsid w:val="00B3119D"/>
    <w:rsid w:val="00B311E5"/>
    <w:rsid w:val="00B31697"/>
    <w:rsid w:val="00B32435"/>
    <w:rsid w:val="00B33D58"/>
    <w:rsid w:val="00B3419C"/>
    <w:rsid w:val="00B34B94"/>
    <w:rsid w:val="00B362BA"/>
    <w:rsid w:val="00B36F4E"/>
    <w:rsid w:val="00B37F34"/>
    <w:rsid w:val="00B401BC"/>
    <w:rsid w:val="00B4030F"/>
    <w:rsid w:val="00B404CC"/>
    <w:rsid w:val="00B4063E"/>
    <w:rsid w:val="00B41669"/>
    <w:rsid w:val="00B41AB2"/>
    <w:rsid w:val="00B41D02"/>
    <w:rsid w:val="00B41DCC"/>
    <w:rsid w:val="00B4232A"/>
    <w:rsid w:val="00B42817"/>
    <w:rsid w:val="00B43442"/>
    <w:rsid w:val="00B43F99"/>
    <w:rsid w:val="00B442D5"/>
    <w:rsid w:val="00B44F6C"/>
    <w:rsid w:val="00B4516C"/>
    <w:rsid w:val="00B45484"/>
    <w:rsid w:val="00B4594E"/>
    <w:rsid w:val="00B45E71"/>
    <w:rsid w:val="00B47B9C"/>
    <w:rsid w:val="00B47F5D"/>
    <w:rsid w:val="00B5114D"/>
    <w:rsid w:val="00B515D8"/>
    <w:rsid w:val="00B515F4"/>
    <w:rsid w:val="00B516C7"/>
    <w:rsid w:val="00B51CF6"/>
    <w:rsid w:val="00B52C06"/>
    <w:rsid w:val="00B541A0"/>
    <w:rsid w:val="00B5447F"/>
    <w:rsid w:val="00B56438"/>
    <w:rsid w:val="00B569D7"/>
    <w:rsid w:val="00B56A44"/>
    <w:rsid w:val="00B57704"/>
    <w:rsid w:val="00B61EBD"/>
    <w:rsid w:val="00B62479"/>
    <w:rsid w:val="00B6349B"/>
    <w:rsid w:val="00B63B46"/>
    <w:rsid w:val="00B649BA"/>
    <w:rsid w:val="00B64DF8"/>
    <w:rsid w:val="00B66165"/>
    <w:rsid w:val="00B66332"/>
    <w:rsid w:val="00B676EA"/>
    <w:rsid w:val="00B67BAF"/>
    <w:rsid w:val="00B67F1E"/>
    <w:rsid w:val="00B70F5A"/>
    <w:rsid w:val="00B711CC"/>
    <w:rsid w:val="00B714E2"/>
    <w:rsid w:val="00B7190C"/>
    <w:rsid w:val="00B71B55"/>
    <w:rsid w:val="00B71EB6"/>
    <w:rsid w:val="00B7238E"/>
    <w:rsid w:val="00B72458"/>
    <w:rsid w:val="00B72471"/>
    <w:rsid w:val="00B72F28"/>
    <w:rsid w:val="00B736EA"/>
    <w:rsid w:val="00B73C17"/>
    <w:rsid w:val="00B74328"/>
    <w:rsid w:val="00B744F1"/>
    <w:rsid w:val="00B74BC5"/>
    <w:rsid w:val="00B75242"/>
    <w:rsid w:val="00B75F07"/>
    <w:rsid w:val="00B75F5D"/>
    <w:rsid w:val="00B76E14"/>
    <w:rsid w:val="00B776E6"/>
    <w:rsid w:val="00B779C4"/>
    <w:rsid w:val="00B77CAC"/>
    <w:rsid w:val="00B77D16"/>
    <w:rsid w:val="00B8088D"/>
    <w:rsid w:val="00B81B8A"/>
    <w:rsid w:val="00B81C2E"/>
    <w:rsid w:val="00B81E14"/>
    <w:rsid w:val="00B822A1"/>
    <w:rsid w:val="00B82745"/>
    <w:rsid w:val="00B82CCB"/>
    <w:rsid w:val="00B831A0"/>
    <w:rsid w:val="00B848F9"/>
    <w:rsid w:val="00B84B53"/>
    <w:rsid w:val="00B854AD"/>
    <w:rsid w:val="00B854E5"/>
    <w:rsid w:val="00B85BEE"/>
    <w:rsid w:val="00B86BA3"/>
    <w:rsid w:val="00B86E3B"/>
    <w:rsid w:val="00B87451"/>
    <w:rsid w:val="00B8750D"/>
    <w:rsid w:val="00B90902"/>
    <w:rsid w:val="00B909C2"/>
    <w:rsid w:val="00B90BF6"/>
    <w:rsid w:val="00B91C95"/>
    <w:rsid w:val="00B922FB"/>
    <w:rsid w:val="00B94447"/>
    <w:rsid w:val="00B948AA"/>
    <w:rsid w:val="00B950EB"/>
    <w:rsid w:val="00B951ED"/>
    <w:rsid w:val="00B953F0"/>
    <w:rsid w:val="00B95948"/>
    <w:rsid w:val="00B96122"/>
    <w:rsid w:val="00B96458"/>
    <w:rsid w:val="00B97571"/>
    <w:rsid w:val="00BA28EF"/>
    <w:rsid w:val="00BA3BAD"/>
    <w:rsid w:val="00BA4065"/>
    <w:rsid w:val="00BA425B"/>
    <w:rsid w:val="00BA4A7B"/>
    <w:rsid w:val="00BA6358"/>
    <w:rsid w:val="00BA674B"/>
    <w:rsid w:val="00BA6CF3"/>
    <w:rsid w:val="00BA6D32"/>
    <w:rsid w:val="00BA6FE7"/>
    <w:rsid w:val="00BA7510"/>
    <w:rsid w:val="00BA79D9"/>
    <w:rsid w:val="00BA7CD1"/>
    <w:rsid w:val="00BB08D8"/>
    <w:rsid w:val="00BB0BAC"/>
    <w:rsid w:val="00BB0FD7"/>
    <w:rsid w:val="00BB2BDC"/>
    <w:rsid w:val="00BB32A2"/>
    <w:rsid w:val="00BB407A"/>
    <w:rsid w:val="00BB4A9E"/>
    <w:rsid w:val="00BB58AF"/>
    <w:rsid w:val="00BB600E"/>
    <w:rsid w:val="00BB6B6F"/>
    <w:rsid w:val="00BB7CA6"/>
    <w:rsid w:val="00BC0C9C"/>
    <w:rsid w:val="00BC179C"/>
    <w:rsid w:val="00BC187D"/>
    <w:rsid w:val="00BC1A32"/>
    <w:rsid w:val="00BC34E2"/>
    <w:rsid w:val="00BC3C18"/>
    <w:rsid w:val="00BC3C52"/>
    <w:rsid w:val="00BC57BD"/>
    <w:rsid w:val="00BC6377"/>
    <w:rsid w:val="00BD034A"/>
    <w:rsid w:val="00BD0C21"/>
    <w:rsid w:val="00BD2379"/>
    <w:rsid w:val="00BD2969"/>
    <w:rsid w:val="00BD2EBC"/>
    <w:rsid w:val="00BD3305"/>
    <w:rsid w:val="00BD34BD"/>
    <w:rsid w:val="00BD3E2A"/>
    <w:rsid w:val="00BD473C"/>
    <w:rsid w:val="00BD4835"/>
    <w:rsid w:val="00BD52DD"/>
    <w:rsid w:val="00BD55B0"/>
    <w:rsid w:val="00BD759C"/>
    <w:rsid w:val="00BD75F1"/>
    <w:rsid w:val="00BD77B2"/>
    <w:rsid w:val="00BD7BA9"/>
    <w:rsid w:val="00BD7C09"/>
    <w:rsid w:val="00BE05AE"/>
    <w:rsid w:val="00BE06EE"/>
    <w:rsid w:val="00BE220D"/>
    <w:rsid w:val="00BE2268"/>
    <w:rsid w:val="00BE25FE"/>
    <w:rsid w:val="00BE26DB"/>
    <w:rsid w:val="00BE345F"/>
    <w:rsid w:val="00BE3DE9"/>
    <w:rsid w:val="00BE4FEB"/>
    <w:rsid w:val="00BE561B"/>
    <w:rsid w:val="00BE596D"/>
    <w:rsid w:val="00BE5D64"/>
    <w:rsid w:val="00BE5EBB"/>
    <w:rsid w:val="00BE6A53"/>
    <w:rsid w:val="00BF17F8"/>
    <w:rsid w:val="00BF1935"/>
    <w:rsid w:val="00BF37F3"/>
    <w:rsid w:val="00BF4517"/>
    <w:rsid w:val="00BF4C93"/>
    <w:rsid w:val="00BF60C1"/>
    <w:rsid w:val="00BF6DF1"/>
    <w:rsid w:val="00BF7B07"/>
    <w:rsid w:val="00BF7B66"/>
    <w:rsid w:val="00C002ED"/>
    <w:rsid w:val="00C003AC"/>
    <w:rsid w:val="00C010DE"/>
    <w:rsid w:val="00C0234F"/>
    <w:rsid w:val="00C02C4A"/>
    <w:rsid w:val="00C031A9"/>
    <w:rsid w:val="00C03581"/>
    <w:rsid w:val="00C03EC5"/>
    <w:rsid w:val="00C04DCB"/>
    <w:rsid w:val="00C054B2"/>
    <w:rsid w:val="00C0560B"/>
    <w:rsid w:val="00C05D09"/>
    <w:rsid w:val="00C07036"/>
    <w:rsid w:val="00C07159"/>
    <w:rsid w:val="00C075CA"/>
    <w:rsid w:val="00C104FE"/>
    <w:rsid w:val="00C10660"/>
    <w:rsid w:val="00C1084D"/>
    <w:rsid w:val="00C10A0A"/>
    <w:rsid w:val="00C10DF0"/>
    <w:rsid w:val="00C11266"/>
    <w:rsid w:val="00C1130D"/>
    <w:rsid w:val="00C1358B"/>
    <w:rsid w:val="00C1451D"/>
    <w:rsid w:val="00C14780"/>
    <w:rsid w:val="00C15ABB"/>
    <w:rsid w:val="00C174C9"/>
    <w:rsid w:val="00C177EF"/>
    <w:rsid w:val="00C17C7C"/>
    <w:rsid w:val="00C201C3"/>
    <w:rsid w:val="00C2081A"/>
    <w:rsid w:val="00C208AD"/>
    <w:rsid w:val="00C21383"/>
    <w:rsid w:val="00C230C3"/>
    <w:rsid w:val="00C23E95"/>
    <w:rsid w:val="00C24D3A"/>
    <w:rsid w:val="00C25640"/>
    <w:rsid w:val="00C25750"/>
    <w:rsid w:val="00C26F53"/>
    <w:rsid w:val="00C270EA"/>
    <w:rsid w:val="00C30551"/>
    <w:rsid w:val="00C312CF"/>
    <w:rsid w:val="00C328C1"/>
    <w:rsid w:val="00C33352"/>
    <w:rsid w:val="00C34525"/>
    <w:rsid w:val="00C35ED8"/>
    <w:rsid w:val="00C36AE4"/>
    <w:rsid w:val="00C372B5"/>
    <w:rsid w:val="00C379C2"/>
    <w:rsid w:val="00C37BF0"/>
    <w:rsid w:val="00C40F6F"/>
    <w:rsid w:val="00C413F3"/>
    <w:rsid w:val="00C429D1"/>
    <w:rsid w:val="00C44497"/>
    <w:rsid w:val="00C44580"/>
    <w:rsid w:val="00C44AD6"/>
    <w:rsid w:val="00C45690"/>
    <w:rsid w:val="00C47B08"/>
    <w:rsid w:val="00C50E52"/>
    <w:rsid w:val="00C51481"/>
    <w:rsid w:val="00C51DAA"/>
    <w:rsid w:val="00C52129"/>
    <w:rsid w:val="00C528E3"/>
    <w:rsid w:val="00C52D45"/>
    <w:rsid w:val="00C53438"/>
    <w:rsid w:val="00C53A1D"/>
    <w:rsid w:val="00C53E6A"/>
    <w:rsid w:val="00C5449F"/>
    <w:rsid w:val="00C5512A"/>
    <w:rsid w:val="00C55D37"/>
    <w:rsid w:val="00C561D9"/>
    <w:rsid w:val="00C5733B"/>
    <w:rsid w:val="00C600E3"/>
    <w:rsid w:val="00C61283"/>
    <w:rsid w:val="00C61AF3"/>
    <w:rsid w:val="00C6262C"/>
    <w:rsid w:val="00C645F2"/>
    <w:rsid w:val="00C64AC3"/>
    <w:rsid w:val="00C6575B"/>
    <w:rsid w:val="00C66A06"/>
    <w:rsid w:val="00C6723F"/>
    <w:rsid w:val="00C67B3B"/>
    <w:rsid w:val="00C7087E"/>
    <w:rsid w:val="00C71215"/>
    <w:rsid w:val="00C7151E"/>
    <w:rsid w:val="00C718A1"/>
    <w:rsid w:val="00C71F96"/>
    <w:rsid w:val="00C72295"/>
    <w:rsid w:val="00C725FC"/>
    <w:rsid w:val="00C74651"/>
    <w:rsid w:val="00C755C9"/>
    <w:rsid w:val="00C756F4"/>
    <w:rsid w:val="00C75848"/>
    <w:rsid w:val="00C7672D"/>
    <w:rsid w:val="00C77156"/>
    <w:rsid w:val="00C771AB"/>
    <w:rsid w:val="00C77792"/>
    <w:rsid w:val="00C77A60"/>
    <w:rsid w:val="00C81769"/>
    <w:rsid w:val="00C824B0"/>
    <w:rsid w:val="00C82512"/>
    <w:rsid w:val="00C82791"/>
    <w:rsid w:val="00C85027"/>
    <w:rsid w:val="00C8612B"/>
    <w:rsid w:val="00C874C1"/>
    <w:rsid w:val="00C90C9E"/>
    <w:rsid w:val="00C911A3"/>
    <w:rsid w:val="00C91AEB"/>
    <w:rsid w:val="00C91C52"/>
    <w:rsid w:val="00C923B6"/>
    <w:rsid w:val="00C932AB"/>
    <w:rsid w:val="00C93A69"/>
    <w:rsid w:val="00C9546A"/>
    <w:rsid w:val="00C954E7"/>
    <w:rsid w:val="00C97109"/>
    <w:rsid w:val="00C97CE7"/>
    <w:rsid w:val="00CA003F"/>
    <w:rsid w:val="00CA080A"/>
    <w:rsid w:val="00CA1CFE"/>
    <w:rsid w:val="00CA2733"/>
    <w:rsid w:val="00CA2950"/>
    <w:rsid w:val="00CA4CF8"/>
    <w:rsid w:val="00CA4EF2"/>
    <w:rsid w:val="00CA699C"/>
    <w:rsid w:val="00CA6A31"/>
    <w:rsid w:val="00CA7378"/>
    <w:rsid w:val="00CB09DC"/>
    <w:rsid w:val="00CB1E15"/>
    <w:rsid w:val="00CB441B"/>
    <w:rsid w:val="00CB471C"/>
    <w:rsid w:val="00CB4B08"/>
    <w:rsid w:val="00CB510E"/>
    <w:rsid w:val="00CB6202"/>
    <w:rsid w:val="00CB73F4"/>
    <w:rsid w:val="00CB7FF8"/>
    <w:rsid w:val="00CC298C"/>
    <w:rsid w:val="00CC2EE1"/>
    <w:rsid w:val="00CC311D"/>
    <w:rsid w:val="00CC3647"/>
    <w:rsid w:val="00CC3996"/>
    <w:rsid w:val="00CC3CA9"/>
    <w:rsid w:val="00CC43DE"/>
    <w:rsid w:val="00CC50BF"/>
    <w:rsid w:val="00CC6599"/>
    <w:rsid w:val="00CC6BB2"/>
    <w:rsid w:val="00CC7316"/>
    <w:rsid w:val="00CC760E"/>
    <w:rsid w:val="00CC79EB"/>
    <w:rsid w:val="00CC7A2C"/>
    <w:rsid w:val="00CC7B47"/>
    <w:rsid w:val="00CC7E85"/>
    <w:rsid w:val="00CD2079"/>
    <w:rsid w:val="00CD2605"/>
    <w:rsid w:val="00CD3BFB"/>
    <w:rsid w:val="00CD477B"/>
    <w:rsid w:val="00CD4EC7"/>
    <w:rsid w:val="00CD5782"/>
    <w:rsid w:val="00CD5F40"/>
    <w:rsid w:val="00CD687F"/>
    <w:rsid w:val="00CD7BD4"/>
    <w:rsid w:val="00CD7D6B"/>
    <w:rsid w:val="00CE1B4E"/>
    <w:rsid w:val="00CE1B72"/>
    <w:rsid w:val="00CE1EDD"/>
    <w:rsid w:val="00CE228A"/>
    <w:rsid w:val="00CE2D82"/>
    <w:rsid w:val="00CE5880"/>
    <w:rsid w:val="00CE5B07"/>
    <w:rsid w:val="00CE654A"/>
    <w:rsid w:val="00CE7433"/>
    <w:rsid w:val="00CE7EA7"/>
    <w:rsid w:val="00CE7FB0"/>
    <w:rsid w:val="00CF158E"/>
    <w:rsid w:val="00CF1732"/>
    <w:rsid w:val="00CF1B54"/>
    <w:rsid w:val="00CF1E03"/>
    <w:rsid w:val="00CF338D"/>
    <w:rsid w:val="00CF3B6B"/>
    <w:rsid w:val="00CF3D27"/>
    <w:rsid w:val="00CF4A7D"/>
    <w:rsid w:val="00CF4BA0"/>
    <w:rsid w:val="00CF51B3"/>
    <w:rsid w:val="00CF52F3"/>
    <w:rsid w:val="00CF582C"/>
    <w:rsid w:val="00CF59A2"/>
    <w:rsid w:val="00CF5F97"/>
    <w:rsid w:val="00CF6256"/>
    <w:rsid w:val="00CF78D3"/>
    <w:rsid w:val="00CF7C76"/>
    <w:rsid w:val="00CF7E95"/>
    <w:rsid w:val="00CF7F2F"/>
    <w:rsid w:val="00CF7F4C"/>
    <w:rsid w:val="00CF7F7A"/>
    <w:rsid w:val="00D00674"/>
    <w:rsid w:val="00D00F9C"/>
    <w:rsid w:val="00D012F1"/>
    <w:rsid w:val="00D0161D"/>
    <w:rsid w:val="00D018E0"/>
    <w:rsid w:val="00D01A43"/>
    <w:rsid w:val="00D01B57"/>
    <w:rsid w:val="00D01EC7"/>
    <w:rsid w:val="00D029DA"/>
    <w:rsid w:val="00D02C50"/>
    <w:rsid w:val="00D03C60"/>
    <w:rsid w:val="00D04115"/>
    <w:rsid w:val="00D05CE4"/>
    <w:rsid w:val="00D06490"/>
    <w:rsid w:val="00D06744"/>
    <w:rsid w:val="00D0676B"/>
    <w:rsid w:val="00D06FF7"/>
    <w:rsid w:val="00D1029B"/>
    <w:rsid w:val="00D106C0"/>
    <w:rsid w:val="00D12488"/>
    <w:rsid w:val="00D14119"/>
    <w:rsid w:val="00D14950"/>
    <w:rsid w:val="00D1530E"/>
    <w:rsid w:val="00D15F99"/>
    <w:rsid w:val="00D175C6"/>
    <w:rsid w:val="00D1781D"/>
    <w:rsid w:val="00D17A5D"/>
    <w:rsid w:val="00D17E05"/>
    <w:rsid w:val="00D20594"/>
    <w:rsid w:val="00D21319"/>
    <w:rsid w:val="00D21322"/>
    <w:rsid w:val="00D2133A"/>
    <w:rsid w:val="00D2186E"/>
    <w:rsid w:val="00D22398"/>
    <w:rsid w:val="00D226F8"/>
    <w:rsid w:val="00D22A49"/>
    <w:rsid w:val="00D22C68"/>
    <w:rsid w:val="00D23114"/>
    <w:rsid w:val="00D23945"/>
    <w:rsid w:val="00D245A1"/>
    <w:rsid w:val="00D24C1F"/>
    <w:rsid w:val="00D25F0E"/>
    <w:rsid w:val="00D25F14"/>
    <w:rsid w:val="00D2611D"/>
    <w:rsid w:val="00D26EFC"/>
    <w:rsid w:val="00D27529"/>
    <w:rsid w:val="00D27A83"/>
    <w:rsid w:val="00D300E6"/>
    <w:rsid w:val="00D30E1F"/>
    <w:rsid w:val="00D30EA9"/>
    <w:rsid w:val="00D312DD"/>
    <w:rsid w:val="00D31500"/>
    <w:rsid w:val="00D31980"/>
    <w:rsid w:val="00D31B73"/>
    <w:rsid w:val="00D32334"/>
    <w:rsid w:val="00D327BB"/>
    <w:rsid w:val="00D32CF5"/>
    <w:rsid w:val="00D3308E"/>
    <w:rsid w:val="00D33A18"/>
    <w:rsid w:val="00D3477A"/>
    <w:rsid w:val="00D3487D"/>
    <w:rsid w:val="00D34EF6"/>
    <w:rsid w:val="00D359D2"/>
    <w:rsid w:val="00D3676F"/>
    <w:rsid w:val="00D36E3E"/>
    <w:rsid w:val="00D3739F"/>
    <w:rsid w:val="00D37E87"/>
    <w:rsid w:val="00D4183D"/>
    <w:rsid w:val="00D41C3A"/>
    <w:rsid w:val="00D42730"/>
    <w:rsid w:val="00D43095"/>
    <w:rsid w:val="00D4313D"/>
    <w:rsid w:val="00D43803"/>
    <w:rsid w:val="00D43BE8"/>
    <w:rsid w:val="00D44ADA"/>
    <w:rsid w:val="00D4532D"/>
    <w:rsid w:val="00D45518"/>
    <w:rsid w:val="00D4596E"/>
    <w:rsid w:val="00D45C86"/>
    <w:rsid w:val="00D46C2D"/>
    <w:rsid w:val="00D47509"/>
    <w:rsid w:val="00D476F6"/>
    <w:rsid w:val="00D47840"/>
    <w:rsid w:val="00D50B20"/>
    <w:rsid w:val="00D5106F"/>
    <w:rsid w:val="00D518B2"/>
    <w:rsid w:val="00D51BEA"/>
    <w:rsid w:val="00D51D4A"/>
    <w:rsid w:val="00D52515"/>
    <w:rsid w:val="00D52705"/>
    <w:rsid w:val="00D52993"/>
    <w:rsid w:val="00D53422"/>
    <w:rsid w:val="00D53B4F"/>
    <w:rsid w:val="00D53FCD"/>
    <w:rsid w:val="00D54688"/>
    <w:rsid w:val="00D5503C"/>
    <w:rsid w:val="00D550F3"/>
    <w:rsid w:val="00D55221"/>
    <w:rsid w:val="00D55DD7"/>
    <w:rsid w:val="00D5622B"/>
    <w:rsid w:val="00D566B3"/>
    <w:rsid w:val="00D56736"/>
    <w:rsid w:val="00D56E7F"/>
    <w:rsid w:val="00D56FF7"/>
    <w:rsid w:val="00D57A18"/>
    <w:rsid w:val="00D60C5A"/>
    <w:rsid w:val="00D60EC2"/>
    <w:rsid w:val="00D614EC"/>
    <w:rsid w:val="00D61892"/>
    <w:rsid w:val="00D62199"/>
    <w:rsid w:val="00D6227C"/>
    <w:rsid w:val="00D639EA"/>
    <w:rsid w:val="00D63AAD"/>
    <w:rsid w:val="00D64E40"/>
    <w:rsid w:val="00D66284"/>
    <w:rsid w:val="00D66ACF"/>
    <w:rsid w:val="00D66AEB"/>
    <w:rsid w:val="00D67C70"/>
    <w:rsid w:val="00D700D5"/>
    <w:rsid w:val="00D70279"/>
    <w:rsid w:val="00D709F7"/>
    <w:rsid w:val="00D70DA7"/>
    <w:rsid w:val="00D714A5"/>
    <w:rsid w:val="00D7279E"/>
    <w:rsid w:val="00D73548"/>
    <w:rsid w:val="00D73849"/>
    <w:rsid w:val="00D739F2"/>
    <w:rsid w:val="00D73EA7"/>
    <w:rsid w:val="00D73F3B"/>
    <w:rsid w:val="00D7410E"/>
    <w:rsid w:val="00D7468D"/>
    <w:rsid w:val="00D74E39"/>
    <w:rsid w:val="00D75387"/>
    <w:rsid w:val="00D75E7E"/>
    <w:rsid w:val="00D762DF"/>
    <w:rsid w:val="00D77774"/>
    <w:rsid w:val="00D77941"/>
    <w:rsid w:val="00D77B62"/>
    <w:rsid w:val="00D77B8F"/>
    <w:rsid w:val="00D80551"/>
    <w:rsid w:val="00D80F40"/>
    <w:rsid w:val="00D81612"/>
    <w:rsid w:val="00D818D4"/>
    <w:rsid w:val="00D81D51"/>
    <w:rsid w:val="00D82F31"/>
    <w:rsid w:val="00D8323F"/>
    <w:rsid w:val="00D83303"/>
    <w:rsid w:val="00D83C2C"/>
    <w:rsid w:val="00D851EB"/>
    <w:rsid w:val="00D856D3"/>
    <w:rsid w:val="00D86217"/>
    <w:rsid w:val="00D8654D"/>
    <w:rsid w:val="00D86666"/>
    <w:rsid w:val="00D86FE9"/>
    <w:rsid w:val="00D8799F"/>
    <w:rsid w:val="00D87AAD"/>
    <w:rsid w:val="00D90056"/>
    <w:rsid w:val="00D90B98"/>
    <w:rsid w:val="00D90F52"/>
    <w:rsid w:val="00D91777"/>
    <w:rsid w:val="00D91AE0"/>
    <w:rsid w:val="00D9216D"/>
    <w:rsid w:val="00D92402"/>
    <w:rsid w:val="00D9244F"/>
    <w:rsid w:val="00D92984"/>
    <w:rsid w:val="00D936A3"/>
    <w:rsid w:val="00D93948"/>
    <w:rsid w:val="00D93AA7"/>
    <w:rsid w:val="00D943D6"/>
    <w:rsid w:val="00D9479B"/>
    <w:rsid w:val="00D94F5E"/>
    <w:rsid w:val="00D9529F"/>
    <w:rsid w:val="00D9549C"/>
    <w:rsid w:val="00D956F0"/>
    <w:rsid w:val="00D963BF"/>
    <w:rsid w:val="00D965C6"/>
    <w:rsid w:val="00DA076E"/>
    <w:rsid w:val="00DA0EC0"/>
    <w:rsid w:val="00DA1A54"/>
    <w:rsid w:val="00DA2122"/>
    <w:rsid w:val="00DA319B"/>
    <w:rsid w:val="00DA60E8"/>
    <w:rsid w:val="00DA62BB"/>
    <w:rsid w:val="00DA72A3"/>
    <w:rsid w:val="00DB0764"/>
    <w:rsid w:val="00DB0DE8"/>
    <w:rsid w:val="00DB13E1"/>
    <w:rsid w:val="00DB1535"/>
    <w:rsid w:val="00DB1A2D"/>
    <w:rsid w:val="00DB1B67"/>
    <w:rsid w:val="00DB519F"/>
    <w:rsid w:val="00DB5D3D"/>
    <w:rsid w:val="00DB5E62"/>
    <w:rsid w:val="00DC1202"/>
    <w:rsid w:val="00DC172A"/>
    <w:rsid w:val="00DC290A"/>
    <w:rsid w:val="00DC2A6C"/>
    <w:rsid w:val="00DC3F3B"/>
    <w:rsid w:val="00DC6E6F"/>
    <w:rsid w:val="00DC7810"/>
    <w:rsid w:val="00DD1A4A"/>
    <w:rsid w:val="00DD1C46"/>
    <w:rsid w:val="00DD1F8F"/>
    <w:rsid w:val="00DD2CDD"/>
    <w:rsid w:val="00DD3001"/>
    <w:rsid w:val="00DD52B1"/>
    <w:rsid w:val="00DD6602"/>
    <w:rsid w:val="00DD685B"/>
    <w:rsid w:val="00DD7D16"/>
    <w:rsid w:val="00DD7E60"/>
    <w:rsid w:val="00DE0266"/>
    <w:rsid w:val="00DE212A"/>
    <w:rsid w:val="00DE267B"/>
    <w:rsid w:val="00DE2818"/>
    <w:rsid w:val="00DE32B4"/>
    <w:rsid w:val="00DE376A"/>
    <w:rsid w:val="00DE3B3F"/>
    <w:rsid w:val="00DE3D1D"/>
    <w:rsid w:val="00DE5146"/>
    <w:rsid w:val="00DE625C"/>
    <w:rsid w:val="00DE703B"/>
    <w:rsid w:val="00DF02F2"/>
    <w:rsid w:val="00DF0806"/>
    <w:rsid w:val="00DF2612"/>
    <w:rsid w:val="00DF28B3"/>
    <w:rsid w:val="00DF2EB7"/>
    <w:rsid w:val="00DF32FA"/>
    <w:rsid w:val="00DF3355"/>
    <w:rsid w:val="00DF385E"/>
    <w:rsid w:val="00DF39FB"/>
    <w:rsid w:val="00DF4AC5"/>
    <w:rsid w:val="00DF50CC"/>
    <w:rsid w:val="00DF748E"/>
    <w:rsid w:val="00DF7787"/>
    <w:rsid w:val="00E01736"/>
    <w:rsid w:val="00E0406B"/>
    <w:rsid w:val="00E043B0"/>
    <w:rsid w:val="00E049E7"/>
    <w:rsid w:val="00E05038"/>
    <w:rsid w:val="00E052A6"/>
    <w:rsid w:val="00E06119"/>
    <w:rsid w:val="00E068CD"/>
    <w:rsid w:val="00E06A32"/>
    <w:rsid w:val="00E06B22"/>
    <w:rsid w:val="00E07D5A"/>
    <w:rsid w:val="00E107ED"/>
    <w:rsid w:val="00E110EA"/>
    <w:rsid w:val="00E11596"/>
    <w:rsid w:val="00E11CB6"/>
    <w:rsid w:val="00E11DA4"/>
    <w:rsid w:val="00E12ED0"/>
    <w:rsid w:val="00E15863"/>
    <w:rsid w:val="00E159FC"/>
    <w:rsid w:val="00E15F43"/>
    <w:rsid w:val="00E164FE"/>
    <w:rsid w:val="00E17B74"/>
    <w:rsid w:val="00E2020A"/>
    <w:rsid w:val="00E20CC0"/>
    <w:rsid w:val="00E227DB"/>
    <w:rsid w:val="00E22AEF"/>
    <w:rsid w:val="00E2378F"/>
    <w:rsid w:val="00E24520"/>
    <w:rsid w:val="00E254DD"/>
    <w:rsid w:val="00E26CC4"/>
    <w:rsid w:val="00E271EC"/>
    <w:rsid w:val="00E27214"/>
    <w:rsid w:val="00E2740F"/>
    <w:rsid w:val="00E277F9"/>
    <w:rsid w:val="00E30119"/>
    <w:rsid w:val="00E3063E"/>
    <w:rsid w:val="00E3075A"/>
    <w:rsid w:val="00E32717"/>
    <w:rsid w:val="00E32BA5"/>
    <w:rsid w:val="00E33659"/>
    <w:rsid w:val="00E33832"/>
    <w:rsid w:val="00E3521D"/>
    <w:rsid w:val="00E35D59"/>
    <w:rsid w:val="00E40895"/>
    <w:rsid w:val="00E40C53"/>
    <w:rsid w:val="00E40D28"/>
    <w:rsid w:val="00E41A08"/>
    <w:rsid w:val="00E42F89"/>
    <w:rsid w:val="00E4320F"/>
    <w:rsid w:val="00E4380A"/>
    <w:rsid w:val="00E44078"/>
    <w:rsid w:val="00E442D9"/>
    <w:rsid w:val="00E4559F"/>
    <w:rsid w:val="00E456F5"/>
    <w:rsid w:val="00E46295"/>
    <w:rsid w:val="00E46EEB"/>
    <w:rsid w:val="00E5049E"/>
    <w:rsid w:val="00E515C7"/>
    <w:rsid w:val="00E53CF4"/>
    <w:rsid w:val="00E53EF8"/>
    <w:rsid w:val="00E54FB7"/>
    <w:rsid w:val="00E55111"/>
    <w:rsid w:val="00E56312"/>
    <w:rsid w:val="00E56B92"/>
    <w:rsid w:val="00E56E28"/>
    <w:rsid w:val="00E60391"/>
    <w:rsid w:val="00E60806"/>
    <w:rsid w:val="00E6323B"/>
    <w:rsid w:val="00E63B16"/>
    <w:rsid w:val="00E64DEC"/>
    <w:rsid w:val="00E65288"/>
    <w:rsid w:val="00E6647B"/>
    <w:rsid w:val="00E67593"/>
    <w:rsid w:val="00E6793A"/>
    <w:rsid w:val="00E71187"/>
    <w:rsid w:val="00E716DD"/>
    <w:rsid w:val="00E71D2C"/>
    <w:rsid w:val="00E73EB4"/>
    <w:rsid w:val="00E744C7"/>
    <w:rsid w:val="00E76683"/>
    <w:rsid w:val="00E76815"/>
    <w:rsid w:val="00E76926"/>
    <w:rsid w:val="00E76BD2"/>
    <w:rsid w:val="00E76DD8"/>
    <w:rsid w:val="00E77633"/>
    <w:rsid w:val="00E80E34"/>
    <w:rsid w:val="00E81A95"/>
    <w:rsid w:val="00E81AC8"/>
    <w:rsid w:val="00E81E8E"/>
    <w:rsid w:val="00E831E8"/>
    <w:rsid w:val="00E83A34"/>
    <w:rsid w:val="00E83D63"/>
    <w:rsid w:val="00E8529A"/>
    <w:rsid w:val="00E85CCA"/>
    <w:rsid w:val="00E8686C"/>
    <w:rsid w:val="00E90836"/>
    <w:rsid w:val="00E90C17"/>
    <w:rsid w:val="00E91787"/>
    <w:rsid w:val="00E91994"/>
    <w:rsid w:val="00E91E0E"/>
    <w:rsid w:val="00E935A4"/>
    <w:rsid w:val="00E93AE4"/>
    <w:rsid w:val="00E93FD4"/>
    <w:rsid w:val="00E949C1"/>
    <w:rsid w:val="00E94A80"/>
    <w:rsid w:val="00E958B2"/>
    <w:rsid w:val="00E95BB4"/>
    <w:rsid w:val="00E95C55"/>
    <w:rsid w:val="00E95D8A"/>
    <w:rsid w:val="00E96709"/>
    <w:rsid w:val="00E97FF4"/>
    <w:rsid w:val="00EA03BA"/>
    <w:rsid w:val="00EA0CAD"/>
    <w:rsid w:val="00EA10B2"/>
    <w:rsid w:val="00EA1942"/>
    <w:rsid w:val="00EA1A3E"/>
    <w:rsid w:val="00EA2709"/>
    <w:rsid w:val="00EA2E1A"/>
    <w:rsid w:val="00EA430E"/>
    <w:rsid w:val="00EA48C6"/>
    <w:rsid w:val="00EA5CEC"/>
    <w:rsid w:val="00EA608D"/>
    <w:rsid w:val="00EA6146"/>
    <w:rsid w:val="00EA7AD2"/>
    <w:rsid w:val="00EA7F0C"/>
    <w:rsid w:val="00EB030A"/>
    <w:rsid w:val="00EB0424"/>
    <w:rsid w:val="00EB070C"/>
    <w:rsid w:val="00EB164A"/>
    <w:rsid w:val="00EB1B16"/>
    <w:rsid w:val="00EB229B"/>
    <w:rsid w:val="00EB2FF4"/>
    <w:rsid w:val="00EB3F3E"/>
    <w:rsid w:val="00EB4DED"/>
    <w:rsid w:val="00EB558C"/>
    <w:rsid w:val="00EB5ED1"/>
    <w:rsid w:val="00EB6051"/>
    <w:rsid w:val="00EB65B6"/>
    <w:rsid w:val="00EB6838"/>
    <w:rsid w:val="00EB69CD"/>
    <w:rsid w:val="00EB75CD"/>
    <w:rsid w:val="00EC0A0E"/>
    <w:rsid w:val="00EC2A4E"/>
    <w:rsid w:val="00EC2B6C"/>
    <w:rsid w:val="00EC30AB"/>
    <w:rsid w:val="00EC42CC"/>
    <w:rsid w:val="00EC42E9"/>
    <w:rsid w:val="00EC46CB"/>
    <w:rsid w:val="00EC5A3D"/>
    <w:rsid w:val="00EC5D69"/>
    <w:rsid w:val="00EC6AAE"/>
    <w:rsid w:val="00EC706B"/>
    <w:rsid w:val="00EC78D4"/>
    <w:rsid w:val="00ED0031"/>
    <w:rsid w:val="00ED1011"/>
    <w:rsid w:val="00ED1418"/>
    <w:rsid w:val="00ED19DB"/>
    <w:rsid w:val="00ED29E1"/>
    <w:rsid w:val="00ED43FC"/>
    <w:rsid w:val="00ED507A"/>
    <w:rsid w:val="00ED52C3"/>
    <w:rsid w:val="00ED6747"/>
    <w:rsid w:val="00ED702E"/>
    <w:rsid w:val="00ED7A58"/>
    <w:rsid w:val="00EE00F4"/>
    <w:rsid w:val="00EE11BE"/>
    <w:rsid w:val="00EE13BE"/>
    <w:rsid w:val="00EE1C4D"/>
    <w:rsid w:val="00EE2103"/>
    <w:rsid w:val="00EE2A58"/>
    <w:rsid w:val="00EE3ADF"/>
    <w:rsid w:val="00EE3EB3"/>
    <w:rsid w:val="00EE44A2"/>
    <w:rsid w:val="00EE4558"/>
    <w:rsid w:val="00EE490B"/>
    <w:rsid w:val="00EE534F"/>
    <w:rsid w:val="00EE57CB"/>
    <w:rsid w:val="00EE62DC"/>
    <w:rsid w:val="00EF040C"/>
    <w:rsid w:val="00EF0AA3"/>
    <w:rsid w:val="00EF0D4E"/>
    <w:rsid w:val="00EF1114"/>
    <w:rsid w:val="00EF2439"/>
    <w:rsid w:val="00EF2957"/>
    <w:rsid w:val="00EF4597"/>
    <w:rsid w:val="00EF53E4"/>
    <w:rsid w:val="00EF5501"/>
    <w:rsid w:val="00EF5CDD"/>
    <w:rsid w:val="00EF5D27"/>
    <w:rsid w:val="00EF64DB"/>
    <w:rsid w:val="00EF650A"/>
    <w:rsid w:val="00EF711C"/>
    <w:rsid w:val="00F000F0"/>
    <w:rsid w:val="00F0248A"/>
    <w:rsid w:val="00F03236"/>
    <w:rsid w:val="00F03AB0"/>
    <w:rsid w:val="00F04E4D"/>
    <w:rsid w:val="00F05A60"/>
    <w:rsid w:val="00F069A7"/>
    <w:rsid w:val="00F06EE1"/>
    <w:rsid w:val="00F06F1A"/>
    <w:rsid w:val="00F075D5"/>
    <w:rsid w:val="00F1015A"/>
    <w:rsid w:val="00F101A8"/>
    <w:rsid w:val="00F1068B"/>
    <w:rsid w:val="00F120ED"/>
    <w:rsid w:val="00F125A7"/>
    <w:rsid w:val="00F12C70"/>
    <w:rsid w:val="00F15BAC"/>
    <w:rsid w:val="00F16648"/>
    <w:rsid w:val="00F16912"/>
    <w:rsid w:val="00F16BDA"/>
    <w:rsid w:val="00F16C58"/>
    <w:rsid w:val="00F16C7A"/>
    <w:rsid w:val="00F16E73"/>
    <w:rsid w:val="00F1701D"/>
    <w:rsid w:val="00F17380"/>
    <w:rsid w:val="00F20B33"/>
    <w:rsid w:val="00F211A2"/>
    <w:rsid w:val="00F213F7"/>
    <w:rsid w:val="00F2173E"/>
    <w:rsid w:val="00F21D8A"/>
    <w:rsid w:val="00F22398"/>
    <w:rsid w:val="00F223C1"/>
    <w:rsid w:val="00F226FF"/>
    <w:rsid w:val="00F2270B"/>
    <w:rsid w:val="00F22D55"/>
    <w:rsid w:val="00F2379B"/>
    <w:rsid w:val="00F259F0"/>
    <w:rsid w:val="00F26350"/>
    <w:rsid w:val="00F2744C"/>
    <w:rsid w:val="00F27C69"/>
    <w:rsid w:val="00F301D2"/>
    <w:rsid w:val="00F303B9"/>
    <w:rsid w:val="00F30861"/>
    <w:rsid w:val="00F320FC"/>
    <w:rsid w:val="00F33045"/>
    <w:rsid w:val="00F33D25"/>
    <w:rsid w:val="00F33E4B"/>
    <w:rsid w:val="00F344E2"/>
    <w:rsid w:val="00F3474A"/>
    <w:rsid w:val="00F359E0"/>
    <w:rsid w:val="00F35B28"/>
    <w:rsid w:val="00F35C58"/>
    <w:rsid w:val="00F36554"/>
    <w:rsid w:val="00F370B3"/>
    <w:rsid w:val="00F41304"/>
    <w:rsid w:val="00F4137D"/>
    <w:rsid w:val="00F41416"/>
    <w:rsid w:val="00F418D4"/>
    <w:rsid w:val="00F42848"/>
    <w:rsid w:val="00F42E45"/>
    <w:rsid w:val="00F44893"/>
    <w:rsid w:val="00F44BF8"/>
    <w:rsid w:val="00F453BB"/>
    <w:rsid w:val="00F46124"/>
    <w:rsid w:val="00F47060"/>
    <w:rsid w:val="00F4759B"/>
    <w:rsid w:val="00F50892"/>
    <w:rsid w:val="00F50DBF"/>
    <w:rsid w:val="00F50EFF"/>
    <w:rsid w:val="00F5190C"/>
    <w:rsid w:val="00F5215C"/>
    <w:rsid w:val="00F526B4"/>
    <w:rsid w:val="00F5427A"/>
    <w:rsid w:val="00F54BB3"/>
    <w:rsid w:val="00F5612F"/>
    <w:rsid w:val="00F56874"/>
    <w:rsid w:val="00F569C6"/>
    <w:rsid w:val="00F600F1"/>
    <w:rsid w:val="00F6076D"/>
    <w:rsid w:val="00F612CA"/>
    <w:rsid w:val="00F6165C"/>
    <w:rsid w:val="00F61B21"/>
    <w:rsid w:val="00F61C60"/>
    <w:rsid w:val="00F636ED"/>
    <w:rsid w:val="00F63D80"/>
    <w:rsid w:val="00F643EB"/>
    <w:rsid w:val="00F64885"/>
    <w:rsid w:val="00F649AE"/>
    <w:rsid w:val="00F64CFA"/>
    <w:rsid w:val="00F652B2"/>
    <w:rsid w:val="00F65584"/>
    <w:rsid w:val="00F655BE"/>
    <w:rsid w:val="00F65B8F"/>
    <w:rsid w:val="00F65F75"/>
    <w:rsid w:val="00F660F6"/>
    <w:rsid w:val="00F6735E"/>
    <w:rsid w:val="00F673B1"/>
    <w:rsid w:val="00F7034A"/>
    <w:rsid w:val="00F71440"/>
    <w:rsid w:val="00F72B6E"/>
    <w:rsid w:val="00F732F0"/>
    <w:rsid w:val="00F74820"/>
    <w:rsid w:val="00F75436"/>
    <w:rsid w:val="00F761CC"/>
    <w:rsid w:val="00F7689C"/>
    <w:rsid w:val="00F76912"/>
    <w:rsid w:val="00F76AC5"/>
    <w:rsid w:val="00F76E04"/>
    <w:rsid w:val="00F76E3C"/>
    <w:rsid w:val="00F770ED"/>
    <w:rsid w:val="00F80261"/>
    <w:rsid w:val="00F80EA3"/>
    <w:rsid w:val="00F81501"/>
    <w:rsid w:val="00F824C9"/>
    <w:rsid w:val="00F831EC"/>
    <w:rsid w:val="00F83730"/>
    <w:rsid w:val="00F84478"/>
    <w:rsid w:val="00F855C2"/>
    <w:rsid w:val="00F8580A"/>
    <w:rsid w:val="00F85B3B"/>
    <w:rsid w:val="00F86375"/>
    <w:rsid w:val="00F86382"/>
    <w:rsid w:val="00F8639A"/>
    <w:rsid w:val="00F864A0"/>
    <w:rsid w:val="00F86F11"/>
    <w:rsid w:val="00F9065D"/>
    <w:rsid w:val="00F90B1B"/>
    <w:rsid w:val="00F93FC8"/>
    <w:rsid w:val="00F95340"/>
    <w:rsid w:val="00F95C35"/>
    <w:rsid w:val="00F96330"/>
    <w:rsid w:val="00F96696"/>
    <w:rsid w:val="00F96841"/>
    <w:rsid w:val="00F96FD0"/>
    <w:rsid w:val="00FA0706"/>
    <w:rsid w:val="00FA12E7"/>
    <w:rsid w:val="00FA1AB1"/>
    <w:rsid w:val="00FA1C14"/>
    <w:rsid w:val="00FA1C54"/>
    <w:rsid w:val="00FA26DF"/>
    <w:rsid w:val="00FA2DFE"/>
    <w:rsid w:val="00FA37E2"/>
    <w:rsid w:val="00FA45D8"/>
    <w:rsid w:val="00FA481A"/>
    <w:rsid w:val="00FA624A"/>
    <w:rsid w:val="00FA730C"/>
    <w:rsid w:val="00FA7614"/>
    <w:rsid w:val="00FA7848"/>
    <w:rsid w:val="00FB033E"/>
    <w:rsid w:val="00FB050B"/>
    <w:rsid w:val="00FB12B5"/>
    <w:rsid w:val="00FB17FE"/>
    <w:rsid w:val="00FB19AD"/>
    <w:rsid w:val="00FB219C"/>
    <w:rsid w:val="00FB2294"/>
    <w:rsid w:val="00FB2994"/>
    <w:rsid w:val="00FB4FA0"/>
    <w:rsid w:val="00FB50EF"/>
    <w:rsid w:val="00FB6211"/>
    <w:rsid w:val="00FB7147"/>
    <w:rsid w:val="00FB7D06"/>
    <w:rsid w:val="00FC064D"/>
    <w:rsid w:val="00FC2DF1"/>
    <w:rsid w:val="00FC3A8F"/>
    <w:rsid w:val="00FC402E"/>
    <w:rsid w:val="00FC4AD5"/>
    <w:rsid w:val="00FC4BF0"/>
    <w:rsid w:val="00FC5078"/>
    <w:rsid w:val="00FC5C7F"/>
    <w:rsid w:val="00FC5F2F"/>
    <w:rsid w:val="00FC680C"/>
    <w:rsid w:val="00FC707A"/>
    <w:rsid w:val="00FC76B9"/>
    <w:rsid w:val="00FD0B17"/>
    <w:rsid w:val="00FD1435"/>
    <w:rsid w:val="00FD1A63"/>
    <w:rsid w:val="00FD3097"/>
    <w:rsid w:val="00FD3DD4"/>
    <w:rsid w:val="00FD5FDF"/>
    <w:rsid w:val="00FD6428"/>
    <w:rsid w:val="00FD7FA7"/>
    <w:rsid w:val="00FE08E3"/>
    <w:rsid w:val="00FE08FD"/>
    <w:rsid w:val="00FE09FD"/>
    <w:rsid w:val="00FE1482"/>
    <w:rsid w:val="00FE271C"/>
    <w:rsid w:val="00FE4275"/>
    <w:rsid w:val="00FE49E0"/>
    <w:rsid w:val="00FE5C76"/>
    <w:rsid w:val="00FE71B2"/>
    <w:rsid w:val="00FF03D2"/>
    <w:rsid w:val="00FF1F90"/>
    <w:rsid w:val="00FF215B"/>
    <w:rsid w:val="00FF2C47"/>
    <w:rsid w:val="00FF2F0D"/>
    <w:rsid w:val="00FF46C4"/>
    <w:rsid w:val="00FF4A50"/>
    <w:rsid w:val="00FF59EB"/>
    <w:rsid w:val="00FF5EE6"/>
    <w:rsid w:val="00FF5FBD"/>
    <w:rsid w:val="00FF6546"/>
    <w:rsid w:val="00FF734C"/>
    <w:rsid w:val="00FF7F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375585D"/>
  <w15:docId w15:val="{E69F6EE5-8FF4-44B2-9DA0-55C0306F3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E9A"/>
    <w:rPr>
      <w:rFonts w:ascii="Times New Roman" w:eastAsia="Times New Roman" w:hAnsi="Times New Roman"/>
      <w:sz w:val="28"/>
      <w:szCs w:val="28"/>
      <w:lang w:eastAsia="en-US"/>
    </w:rPr>
  </w:style>
  <w:style w:type="paragraph" w:styleId="Heading1">
    <w:name w:val="heading 1"/>
    <w:basedOn w:val="Normal"/>
    <w:next w:val="Normal"/>
    <w:link w:val="Heading1Char"/>
    <w:qFormat/>
    <w:locked/>
    <w:rsid w:val="00D5622B"/>
    <w:pPr>
      <w:keepNext/>
      <w:spacing w:before="240" w:after="60"/>
      <w:outlineLvl w:val="0"/>
    </w:pPr>
    <w:rPr>
      <w:rFonts w:ascii="Cambria" w:hAnsi="Cambria"/>
      <w:b/>
      <w:bCs/>
      <w:kern w:val="32"/>
      <w:sz w:val="32"/>
      <w:szCs w:val="32"/>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76468"/>
    <w:pPr>
      <w:autoSpaceDE w:val="0"/>
      <w:autoSpaceDN w:val="0"/>
      <w:adjustRightInd w:val="0"/>
    </w:pPr>
    <w:rPr>
      <w:rFonts w:ascii="Times New Roman" w:eastAsia="Times New Roman" w:hAnsi="Times New Roman"/>
      <w:color w:val="000000"/>
      <w:sz w:val="24"/>
      <w:szCs w:val="24"/>
      <w:lang w:eastAsia="en-US"/>
    </w:rPr>
  </w:style>
  <w:style w:type="paragraph" w:customStyle="1" w:styleId="Normal1">
    <w:name w:val="Normal1"/>
    <w:basedOn w:val="Normal"/>
    <w:rsid w:val="0067242E"/>
    <w:pPr>
      <w:spacing w:before="100" w:beforeAutospacing="1" w:after="100" w:afterAutospacing="1"/>
    </w:pPr>
    <w:rPr>
      <w:sz w:val="24"/>
      <w:szCs w:val="24"/>
    </w:rPr>
  </w:style>
  <w:style w:type="character" w:customStyle="1" w:styleId="BodyTextChar1">
    <w:name w:val="Body Text Char1"/>
    <w:link w:val="BodyText"/>
    <w:uiPriority w:val="99"/>
    <w:locked/>
    <w:rsid w:val="008D4094"/>
    <w:rPr>
      <w:sz w:val="24"/>
      <w:szCs w:val="24"/>
    </w:rPr>
  </w:style>
  <w:style w:type="paragraph" w:styleId="BodyText">
    <w:name w:val="Body Text"/>
    <w:basedOn w:val="Normal"/>
    <w:link w:val="BodyTextChar1"/>
    <w:uiPriority w:val="99"/>
    <w:rsid w:val="008D4094"/>
    <w:pPr>
      <w:spacing w:after="120"/>
    </w:pPr>
    <w:rPr>
      <w:rFonts w:ascii="Calibri" w:eastAsia="Calibri" w:hAnsi="Calibri"/>
      <w:sz w:val="24"/>
      <w:szCs w:val="24"/>
      <w:lang w:eastAsia="x-none"/>
    </w:rPr>
  </w:style>
  <w:style w:type="character" w:customStyle="1" w:styleId="BodyTextChar">
    <w:name w:val="Body Text Char"/>
    <w:uiPriority w:val="99"/>
    <w:semiHidden/>
    <w:locked/>
    <w:rsid w:val="008D4094"/>
    <w:rPr>
      <w:rFonts w:ascii="Times New Roman" w:hAnsi="Times New Roman" w:cs="Times New Roman"/>
      <w:sz w:val="28"/>
      <w:szCs w:val="28"/>
    </w:rPr>
  </w:style>
  <w:style w:type="character" w:styleId="Strong">
    <w:name w:val="Strong"/>
    <w:qFormat/>
    <w:rsid w:val="00A021F9"/>
    <w:rPr>
      <w:b/>
      <w:bCs/>
    </w:rPr>
  </w:style>
  <w:style w:type="paragraph" w:styleId="FootnoteText">
    <w:name w:val="footnote text"/>
    <w:aliases w:val="Footnote Text Char Char Char Char Char,Footnote Text Char Char Char Char Char Char Ch,fn,single space,FOOTNOTES,Footnote Text Char1 Char,Footnote Text Char Char1 Char,Footnote Text Char1 Char1,Footnote Text Char Char Char,ft,A,З,C,Geneva 9"/>
    <w:basedOn w:val="Normal"/>
    <w:link w:val="FootnoteTextChar"/>
    <w:uiPriority w:val="99"/>
    <w:qFormat/>
    <w:rsid w:val="001A07A9"/>
    <w:rPr>
      <w:rFonts w:eastAsia="Calibri"/>
      <w:sz w:val="20"/>
      <w:szCs w:val="20"/>
      <w:lang w:eastAsia="x-none"/>
    </w:rPr>
  </w:style>
  <w:style w:type="character" w:customStyle="1" w:styleId="FootnoteTextChar">
    <w:name w:val="Footnote Text Char"/>
    <w:aliases w:val="Footnote Text Char Char Char Char Char Char,Footnote Text Char Char Char Char Char Char Ch Char,fn Char,single space Char,FOOTNOTES Char,Footnote Text Char1 Char Char,Footnote Text Char Char1 Char Char,Footnote Text Char1 Char1 Char"/>
    <w:link w:val="FootnoteText"/>
    <w:uiPriority w:val="99"/>
    <w:qFormat/>
    <w:locked/>
    <w:rsid w:val="001A07A9"/>
    <w:rPr>
      <w:rFonts w:ascii="Times New Roman" w:hAnsi="Times New Roman" w:cs="Times New Roman"/>
      <w:sz w:val="20"/>
      <w:szCs w:val="20"/>
    </w:rPr>
  </w:style>
  <w:style w:type="character" w:styleId="FootnoteReference">
    <w:name w:val="footnote reference"/>
    <w:aliases w:val="Footnote,Footnote text,ftref,BVI fnr,BearingPoint,16 Point,Superscript 6 Point,fr,(NECG) Footnote Reference,Footnote + Arial,10 pt,Black,Footnote Text1,f,R,Footnote Text Char Char Char Char Char Char Ch Char Char Char Char Char Char C"/>
    <w:link w:val="CharChar1CharCharCharChar1CharCharCharCharCharCharCharChar"/>
    <w:uiPriority w:val="99"/>
    <w:qFormat/>
    <w:rsid w:val="001A07A9"/>
    <w:rPr>
      <w:vertAlign w:val="superscript"/>
    </w:rPr>
  </w:style>
  <w:style w:type="paragraph" w:styleId="NormalWeb">
    <w:name w:val="Normal (Web)"/>
    <w:aliases w:val="Обычный (веб)1,Обычный (веб) Знак,Обычный (веб) Знак1,Обычный (веб) Знак Знак, Char Char Char,Char Char Char, Char Char,Char Char Char Char Char Char Char Char Char Char Char Char Char Char Char,Char Cha,Char Char,Char,webb"/>
    <w:basedOn w:val="Normal"/>
    <w:link w:val="NormalWebChar"/>
    <w:uiPriority w:val="99"/>
    <w:qFormat/>
    <w:rsid w:val="00B90BF6"/>
    <w:pPr>
      <w:spacing w:before="100" w:beforeAutospacing="1" w:after="100" w:afterAutospacing="1"/>
    </w:pPr>
    <w:rPr>
      <w:rFonts w:eastAsia="Calibri"/>
      <w:sz w:val="24"/>
      <w:szCs w:val="24"/>
      <w:lang w:eastAsia="x-none"/>
    </w:rPr>
  </w:style>
  <w:style w:type="character" w:customStyle="1" w:styleId="normalchar">
    <w:name w:val="normal__char"/>
    <w:basedOn w:val="DefaultParagraphFont"/>
    <w:rsid w:val="00B90BF6"/>
  </w:style>
  <w:style w:type="paragraph" w:styleId="Header">
    <w:name w:val="header"/>
    <w:basedOn w:val="Normal"/>
    <w:link w:val="HeaderChar"/>
    <w:uiPriority w:val="99"/>
    <w:rsid w:val="0016207C"/>
    <w:pPr>
      <w:tabs>
        <w:tab w:val="center" w:pos="4680"/>
        <w:tab w:val="right" w:pos="9360"/>
      </w:tabs>
    </w:pPr>
    <w:rPr>
      <w:rFonts w:eastAsia="Calibri"/>
      <w:lang w:eastAsia="x-none"/>
    </w:rPr>
  </w:style>
  <w:style w:type="character" w:customStyle="1" w:styleId="HeaderChar">
    <w:name w:val="Header Char"/>
    <w:link w:val="Header"/>
    <w:uiPriority w:val="99"/>
    <w:locked/>
    <w:rsid w:val="0016207C"/>
    <w:rPr>
      <w:rFonts w:ascii="Times New Roman" w:hAnsi="Times New Roman" w:cs="Times New Roman"/>
      <w:sz w:val="28"/>
      <w:szCs w:val="28"/>
    </w:rPr>
  </w:style>
  <w:style w:type="paragraph" w:styleId="Footer">
    <w:name w:val="footer"/>
    <w:basedOn w:val="Normal"/>
    <w:link w:val="FooterChar"/>
    <w:uiPriority w:val="99"/>
    <w:semiHidden/>
    <w:rsid w:val="0016207C"/>
    <w:pPr>
      <w:tabs>
        <w:tab w:val="center" w:pos="4680"/>
        <w:tab w:val="right" w:pos="9360"/>
      </w:tabs>
    </w:pPr>
    <w:rPr>
      <w:rFonts w:eastAsia="Calibri"/>
      <w:lang w:eastAsia="x-none"/>
    </w:rPr>
  </w:style>
  <w:style w:type="character" w:customStyle="1" w:styleId="FooterChar">
    <w:name w:val="Footer Char"/>
    <w:link w:val="Footer"/>
    <w:uiPriority w:val="99"/>
    <w:semiHidden/>
    <w:locked/>
    <w:rsid w:val="0016207C"/>
    <w:rPr>
      <w:rFonts w:ascii="Times New Roman" w:hAnsi="Times New Roman" w:cs="Times New Roman"/>
      <w:sz w:val="28"/>
      <w:szCs w:val="28"/>
    </w:rPr>
  </w:style>
  <w:style w:type="paragraph" w:customStyle="1" w:styleId="BodyTextTimesNewRoman">
    <w:name w:val="Body Text + Times New Roman"/>
    <w:aliases w:val="14 pt,Bold,First line:  1,27 cm,Before:  4,5 ...,5 ... ...,Normal + Justified,First line:  0,99 cm,Right:  0,2 cm,Before:  2 pt,Afte...,Normal + Times New Roman,Justified,First line:  1 cm,..."/>
    <w:basedOn w:val="Normal"/>
    <w:link w:val="BodyTextTimesNewRomanChar"/>
    <w:uiPriority w:val="99"/>
    <w:rsid w:val="00CA6A31"/>
    <w:pPr>
      <w:spacing w:before="90" w:after="90" w:line="300" w:lineRule="exact"/>
      <w:ind w:firstLine="720"/>
      <w:jc w:val="both"/>
    </w:pPr>
    <w:rPr>
      <w:rFonts w:eastAsia="Calibri"/>
      <w:b/>
      <w:bCs/>
      <w:lang w:eastAsia="x-none"/>
    </w:rPr>
  </w:style>
  <w:style w:type="character" w:customStyle="1" w:styleId="BodyTextTimesNewRomanChar">
    <w:name w:val="Body Text + Times New Roman Char"/>
    <w:aliases w:val="14 pt Char,Bold Char,First line:  1 Char,27 cm Char,Before:  4 Char,5 ... Char,5 ... ... Char"/>
    <w:link w:val="BodyTextTimesNewRoman"/>
    <w:uiPriority w:val="99"/>
    <w:locked/>
    <w:rsid w:val="00CA6A31"/>
    <w:rPr>
      <w:rFonts w:ascii="Times New Roman" w:hAnsi="Times New Roman" w:cs="Times New Roman"/>
      <w:b/>
      <w:bCs/>
      <w:sz w:val="28"/>
      <w:szCs w:val="28"/>
      <w:lang w:val="en"/>
    </w:rPr>
  </w:style>
  <w:style w:type="paragraph" w:styleId="BalloonText">
    <w:name w:val="Balloon Text"/>
    <w:basedOn w:val="Normal"/>
    <w:link w:val="BalloonTextChar"/>
    <w:uiPriority w:val="99"/>
    <w:semiHidden/>
    <w:rsid w:val="00093E9A"/>
    <w:rPr>
      <w:rFonts w:eastAsia="Calibri"/>
      <w:szCs w:val="2"/>
      <w:lang w:eastAsia="x-none"/>
    </w:rPr>
  </w:style>
  <w:style w:type="character" w:customStyle="1" w:styleId="BalloonTextChar">
    <w:name w:val="Balloon Text Char"/>
    <w:link w:val="BalloonText"/>
    <w:uiPriority w:val="99"/>
    <w:semiHidden/>
    <w:locked/>
    <w:rsid w:val="00093E9A"/>
    <w:rPr>
      <w:rFonts w:ascii="Times New Roman" w:hAnsi="Times New Roman"/>
      <w:sz w:val="28"/>
      <w:szCs w:val="2"/>
      <w:lang w:val="en" w:eastAsia="x-none"/>
    </w:rPr>
  </w:style>
  <w:style w:type="paragraph" w:styleId="ListParagraph">
    <w:name w:val="List Paragraph"/>
    <w:aliases w:val="bullet,bullet 1,List Paragraph11,Bullets,List Bullet-OpsManual,References,Title Style 1,List Paragraph nowy,List Paragraph (numbered (a)),Liste 1,ANNEX,List Paragraph1,List Paragraph2,Aufzählung Spiegelstrich,EASPR13-01 normal"/>
    <w:basedOn w:val="Normal"/>
    <w:link w:val="ListParagraphChar"/>
    <w:uiPriority w:val="34"/>
    <w:qFormat/>
    <w:rsid w:val="000F6092"/>
    <w:pPr>
      <w:spacing w:after="200" w:line="276" w:lineRule="auto"/>
      <w:ind w:left="720"/>
      <w:contextualSpacing/>
    </w:pPr>
    <w:rPr>
      <w:rFonts w:eastAsia="Calibri"/>
    </w:rPr>
  </w:style>
  <w:style w:type="character" w:customStyle="1" w:styleId="normalchar0">
    <w:name w:val="normalchar"/>
    <w:basedOn w:val="DefaultParagraphFont"/>
    <w:rsid w:val="00B223A3"/>
  </w:style>
  <w:style w:type="character" w:customStyle="1" w:styleId="apple-converted-space">
    <w:name w:val="apple-converted-space"/>
    <w:basedOn w:val="DefaultParagraphFont"/>
    <w:rsid w:val="00C771AB"/>
  </w:style>
  <w:style w:type="paragraph" w:styleId="Title">
    <w:name w:val="Title"/>
    <w:basedOn w:val="Normal"/>
    <w:link w:val="TitleChar"/>
    <w:qFormat/>
    <w:locked/>
    <w:rsid w:val="0085217C"/>
    <w:pPr>
      <w:jc w:val="center"/>
    </w:pPr>
    <w:rPr>
      <w:rFonts w:ascii=".VnTimeH" w:hAnsi=".VnTimeH"/>
      <w:b/>
      <w:bCs/>
      <w:szCs w:val="24"/>
      <w:lang w:eastAsia="x-none"/>
    </w:rPr>
  </w:style>
  <w:style w:type="character" w:customStyle="1" w:styleId="TitleChar">
    <w:name w:val="Title Char"/>
    <w:link w:val="Title"/>
    <w:rsid w:val="0085217C"/>
    <w:rPr>
      <w:rFonts w:ascii=".VnTimeH" w:eastAsia="Times New Roman" w:hAnsi=".VnTimeH"/>
      <w:b/>
      <w:bCs/>
      <w:sz w:val="28"/>
      <w:szCs w:val="24"/>
    </w:rPr>
  </w:style>
  <w:style w:type="paragraph" w:customStyle="1" w:styleId="msotitlecxspmiddle">
    <w:name w:val="msotitlecxspmiddle"/>
    <w:basedOn w:val="Normal"/>
    <w:rsid w:val="0085217C"/>
    <w:pPr>
      <w:spacing w:before="100" w:beforeAutospacing="1" w:after="100" w:afterAutospacing="1"/>
    </w:pPr>
    <w:rPr>
      <w:sz w:val="24"/>
      <w:szCs w:val="24"/>
    </w:rPr>
  </w:style>
  <w:style w:type="paragraph" w:customStyle="1" w:styleId="Normal10">
    <w:name w:val="Normal1"/>
    <w:basedOn w:val="Normal"/>
    <w:qFormat/>
    <w:rsid w:val="000E6961"/>
    <w:pPr>
      <w:spacing w:before="100" w:beforeAutospacing="1" w:after="100" w:afterAutospacing="1"/>
    </w:pPr>
    <w:rPr>
      <w:rFonts w:ascii="Calibri" w:hAnsi="Calibri" w:cs="Calibri"/>
      <w:sz w:val="24"/>
      <w:szCs w:val="24"/>
    </w:rPr>
  </w:style>
  <w:style w:type="paragraph" w:styleId="List3">
    <w:name w:val="List 3"/>
    <w:basedOn w:val="Normal"/>
    <w:rsid w:val="00EC42CC"/>
    <w:pPr>
      <w:spacing w:before="100" w:beforeAutospacing="1" w:after="100" w:afterAutospacing="1"/>
    </w:pPr>
    <w:rPr>
      <w:rFonts w:eastAsia="MS Mincho"/>
      <w:sz w:val="24"/>
      <w:szCs w:val="24"/>
    </w:rPr>
  </w:style>
  <w:style w:type="paragraph" w:styleId="BodyTextIndent">
    <w:name w:val="Body Text Indent"/>
    <w:basedOn w:val="Normal"/>
    <w:link w:val="BodyTextIndentChar"/>
    <w:unhideWhenUsed/>
    <w:rsid w:val="005B43D0"/>
    <w:pPr>
      <w:spacing w:after="120"/>
      <w:ind w:left="360"/>
    </w:pPr>
    <w:rPr>
      <w:lang w:eastAsia="x-none"/>
    </w:rPr>
  </w:style>
  <w:style w:type="character" w:customStyle="1" w:styleId="BodyTextIndentChar">
    <w:name w:val="Body Text Indent Char"/>
    <w:link w:val="BodyTextIndent"/>
    <w:rsid w:val="005B43D0"/>
    <w:rPr>
      <w:rFonts w:ascii="Times New Roman" w:eastAsia="Times New Roman" w:hAnsi="Times New Roman"/>
      <w:sz w:val="28"/>
      <w:szCs w:val="28"/>
    </w:rPr>
  </w:style>
  <w:style w:type="paragraph" w:styleId="BodyTextIndent2">
    <w:name w:val="Body Text Indent 2"/>
    <w:basedOn w:val="Normal"/>
    <w:link w:val="BodyTextIndent2Char"/>
    <w:uiPriority w:val="99"/>
    <w:semiHidden/>
    <w:unhideWhenUsed/>
    <w:rsid w:val="00BB4A9E"/>
    <w:pPr>
      <w:spacing w:after="120" w:line="480" w:lineRule="auto"/>
      <w:ind w:left="360"/>
    </w:pPr>
    <w:rPr>
      <w:lang w:eastAsia="x-none"/>
    </w:rPr>
  </w:style>
  <w:style w:type="character" w:customStyle="1" w:styleId="BodyTextIndent2Char">
    <w:name w:val="Body Text Indent 2 Char"/>
    <w:link w:val="BodyTextIndent2"/>
    <w:uiPriority w:val="99"/>
    <w:semiHidden/>
    <w:rsid w:val="00BB4A9E"/>
    <w:rPr>
      <w:rFonts w:ascii="Times New Roman" w:eastAsia="Times New Roman" w:hAnsi="Times New Roman"/>
      <w:sz w:val="28"/>
      <w:szCs w:val="28"/>
    </w:rPr>
  </w:style>
  <w:style w:type="character" w:styleId="Emphasis">
    <w:name w:val="Emphasis"/>
    <w:uiPriority w:val="20"/>
    <w:qFormat/>
    <w:locked/>
    <w:rsid w:val="00C372B5"/>
    <w:rPr>
      <w:i/>
      <w:iCs/>
    </w:rPr>
  </w:style>
  <w:style w:type="character" w:customStyle="1" w:styleId="body0020textchar">
    <w:name w:val="body_0020text__char"/>
    <w:rsid w:val="006379FB"/>
    <w:rPr>
      <w:rFonts w:cs="Times New Roman"/>
    </w:rPr>
  </w:style>
  <w:style w:type="paragraph" w:styleId="EndnoteText">
    <w:name w:val="endnote text"/>
    <w:basedOn w:val="Normal"/>
    <w:link w:val="EndnoteTextChar"/>
    <w:uiPriority w:val="99"/>
    <w:semiHidden/>
    <w:unhideWhenUsed/>
    <w:rsid w:val="00416BAE"/>
    <w:rPr>
      <w:rFonts w:ascii="Calibri" w:eastAsia="Calibri" w:hAnsi="Calibri"/>
      <w:sz w:val="20"/>
      <w:szCs w:val="20"/>
      <w:lang w:eastAsia="x-none"/>
    </w:rPr>
  </w:style>
  <w:style w:type="character" w:customStyle="1" w:styleId="EndnoteTextChar">
    <w:name w:val="Endnote Text Char"/>
    <w:link w:val="EndnoteText"/>
    <w:uiPriority w:val="99"/>
    <w:semiHidden/>
    <w:rsid w:val="00416BAE"/>
    <w:rPr>
      <w:rFonts w:ascii="Calibri" w:eastAsia="Calibri" w:hAnsi="Calibri" w:cs="Times New Roman"/>
    </w:rPr>
  </w:style>
  <w:style w:type="character" w:styleId="EndnoteReference">
    <w:name w:val="endnote reference"/>
    <w:uiPriority w:val="99"/>
    <w:semiHidden/>
    <w:unhideWhenUsed/>
    <w:rsid w:val="00416BAE"/>
    <w:rPr>
      <w:vertAlign w:val="superscript"/>
    </w:rPr>
  </w:style>
  <w:style w:type="character" w:customStyle="1" w:styleId="Heading1Char">
    <w:name w:val="Heading 1 Char"/>
    <w:link w:val="Heading1"/>
    <w:rsid w:val="00D5622B"/>
    <w:rPr>
      <w:rFonts w:ascii="Cambria" w:eastAsia="Times New Roman" w:hAnsi="Cambria" w:cs="Times New Roman"/>
      <w:b/>
      <w:bCs/>
      <w:kern w:val="32"/>
      <w:sz w:val="32"/>
      <w:szCs w:val="32"/>
    </w:rPr>
  </w:style>
  <w:style w:type="character" w:customStyle="1" w:styleId="apple-style-span">
    <w:name w:val="apple-style-span"/>
    <w:basedOn w:val="DefaultParagraphFont"/>
    <w:rsid w:val="001B34BB"/>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qFormat/>
    <w:rsid w:val="002B0D6E"/>
    <w:pPr>
      <w:spacing w:after="160" w:line="240" w:lineRule="exact"/>
    </w:pPr>
    <w:rPr>
      <w:rFonts w:ascii="Calibri" w:eastAsia="Calibri" w:hAnsi="Calibri"/>
      <w:sz w:val="20"/>
      <w:szCs w:val="20"/>
      <w:vertAlign w:val="superscript"/>
      <w:lang w:eastAsia="x-none"/>
    </w:rPr>
  </w:style>
  <w:style w:type="character" w:customStyle="1" w:styleId="NormalWebChar">
    <w:name w:val="Normal (Web) Char"/>
    <w:aliases w:val="Обычный (веб)1 Char,Обычный (веб) Знак Char,Обычный (веб) Знак1 Char,Обычный (веб) Знак Знак Char, Char Char Char Char,Char Char Char Char, Char Char Char1,Char Char Char Char Char Char Char Char Char Char Char Char Char Char Char Char"/>
    <w:link w:val="NormalWeb"/>
    <w:uiPriority w:val="99"/>
    <w:rsid w:val="00B0687F"/>
    <w:rPr>
      <w:rFonts w:ascii="Times New Roman" w:hAnsi="Times New Roman"/>
      <w:sz w:val="24"/>
      <w:szCs w:val="24"/>
    </w:rPr>
  </w:style>
  <w:style w:type="table" w:styleId="TableGrid">
    <w:name w:val="Table Grid"/>
    <w:basedOn w:val="TableNormal"/>
    <w:uiPriority w:val="39"/>
    <w:locked/>
    <w:rsid w:val="00DC78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437B94"/>
    <w:rPr>
      <w:rFonts w:ascii="Times New Roman" w:hAnsi="Times New Roman" w:cs="Times New Roman" w:hint="default"/>
      <w:color w:val="000000"/>
      <w:sz w:val="28"/>
    </w:rPr>
  </w:style>
  <w:style w:type="character" w:customStyle="1" w:styleId="fontstyle21">
    <w:name w:val="fontstyle21"/>
    <w:rsid w:val="00437B94"/>
    <w:rPr>
      <w:rFonts w:ascii="Times New Roman" w:hAnsi="Times New Roman" w:cs="Times New Roman" w:hint="default"/>
      <w:b/>
      <w:bCs w:val="0"/>
      <w:color w:val="000000"/>
      <w:sz w:val="28"/>
    </w:rPr>
  </w:style>
  <w:style w:type="character" w:styleId="CommentReference">
    <w:name w:val="annotation reference"/>
    <w:basedOn w:val="DefaultParagraphFont"/>
    <w:uiPriority w:val="99"/>
    <w:semiHidden/>
    <w:unhideWhenUsed/>
    <w:rsid w:val="00BF1935"/>
    <w:rPr>
      <w:sz w:val="16"/>
      <w:szCs w:val="16"/>
    </w:rPr>
  </w:style>
  <w:style w:type="paragraph" w:styleId="CommentText">
    <w:name w:val="annotation text"/>
    <w:basedOn w:val="Normal"/>
    <w:link w:val="CommentTextChar"/>
    <w:uiPriority w:val="99"/>
    <w:unhideWhenUsed/>
    <w:rsid w:val="00093E9A"/>
    <w:rPr>
      <w:szCs w:val="20"/>
    </w:rPr>
  </w:style>
  <w:style w:type="character" w:customStyle="1" w:styleId="CommentTextChar">
    <w:name w:val="Comment Text Char"/>
    <w:basedOn w:val="DefaultParagraphFont"/>
    <w:link w:val="CommentText"/>
    <w:uiPriority w:val="99"/>
    <w:rsid w:val="00093E9A"/>
    <w:rPr>
      <w:rFonts w:ascii="Times New Roman" w:eastAsia="Times New Roman" w:hAnsi="Times New Roman"/>
      <w:sz w:val="28"/>
      <w:lang w:val="en" w:eastAsia="en-US"/>
    </w:rPr>
  </w:style>
  <w:style w:type="character" w:customStyle="1" w:styleId="ListParagraphChar">
    <w:name w:val="List Paragraph Char"/>
    <w:aliases w:val="bullet Char,bullet 1 Char,List Paragraph11 Char,Bullets Char,List Bullet-OpsManual Char,References Char,Title Style 1 Char,List Paragraph nowy Char,List Paragraph (numbered (a)) Char,Liste 1 Char,ANNEX Char,List Paragraph1 Char"/>
    <w:link w:val="ListParagraph"/>
    <w:uiPriority w:val="34"/>
    <w:rsid w:val="001E2ADB"/>
    <w:rPr>
      <w:rFonts w:ascii="Times New Roman" w:hAnsi="Times New Roman"/>
      <w:sz w:val="28"/>
      <w:szCs w:val="28"/>
      <w:lang w:val="en" w:eastAsia="en-US"/>
    </w:rPr>
  </w:style>
  <w:style w:type="character" w:styleId="Hyperlink">
    <w:name w:val="Hyperlink"/>
    <w:basedOn w:val="DefaultParagraphFont"/>
    <w:uiPriority w:val="99"/>
    <w:unhideWhenUsed/>
    <w:rsid w:val="005545B9"/>
    <w:rPr>
      <w:color w:val="0563C1" w:themeColor="hyperlink"/>
      <w:u w:val="single"/>
    </w:rPr>
  </w:style>
  <w:style w:type="paragraph" w:styleId="CommentSubject">
    <w:name w:val="annotation subject"/>
    <w:basedOn w:val="CommentText"/>
    <w:next w:val="CommentText"/>
    <w:link w:val="CommentSubjectChar"/>
    <w:uiPriority w:val="99"/>
    <w:semiHidden/>
    <w:unhideWhenUsed/>
    <w:rsid w:val="005E4F2C"/>
    <w:rPr>
      <w:b/>
      <w:bCs/>
    </w:rPr>
  </w:style>
  <w:style w:type="character" w:customStyle="1" w:styleId="CommentSubjectChar">
    <w:name w:val="Comment Subject Char"/>
    <w:basedOn w:val="CommentTextChar"/>
    <w:link w:val="CommentSubject"/>
    <w:uiPriority w:val="99"/>
    <w:semiHidden/>
    <w:rsid w:val="005E4F2C"/>
    <w:rPr>
      <w:rFonts w:ascii="Times New Roman" w:eastAsia="Times New Roman" w:hAnsi="Times New Roman"/>
      <w:b/>
      <w:bCs/>
      <w:sz w:val="28"/>
      <w:lang w:val="en" w:eastAsia="en-US"/>
    </w:rPr>
  </w:style>
  <w:style w:type="paragraph" w:styleId="Revision">
    <w:name w:val="Revision"/>
    <w:hidden/>
    <w:uiPriority w:val="99"/>
    <w:semiHidden/>
    <w:rsid w:val="00EC2B6C"/>
    <w:rPr>
      <w:rFonts w:ascii="Times New Roman" w:eastAsia="Times New Roman" w:hAnsi="Times New Roman"/>
      <w:sz w:val="28"/>
      <w:szCs w:val="28"/>
      <w:lang w:eastAsia="en-US"/>
    </w:rPr>
  </w:style>
  <w:style w:type="paragraph" w:customStyle="1" w:styleId="Normal11">
    <w:name w:val="Normal11"/>
    <w:basedOn w:val="Normal"/>
    <w:rsid w:val="002B1778"/>
    <w:pPr>
      <w:spacing w:before="100" w:beforeAutospacing="1" w:after="100" w:afterAutospacing="1"/>
    </w:pPr>
    <w:rPr>
      <w:rFonts w:ascii="Calibri" w:hAnsi="Calibri" w:cs="Calibri"/>
      <w:sz w:val="24"/>
      <w:szCs w:val="24"/>
    </w:rPr>
  </w:style>
  <w:style w:type="character" w:customStyle="1" w:styleId="a21">
    <w:name w:val="a21"/>
    <w:rsid w:val="00EF5CDD"/>
    <w:rPr>
      <w:rFonts w:ascii="Arial" w:hAnsi="Arial" w:cs="Arial" w:hint="default"/>
      <w:strike w:val="0"/>
      <w:dstrike w:val="0"/>
      <w:sz w:val="20"/>
      <w:szCs w:val="20"/>
      <w:u w:val="none"/>
      <w:effect w:val="none"/>
    </w:rPr>
  </w:style>
  <w:style w:type="paragraph" w:styleId="HTMLPreformatted">
    <w:name w:val="HTML Preformatted"/>
    <w:basedOn w:val="Normal"/>
    <w:link w:val="HTMLPreformattedChar"/>
    <w:uiPriority w:val="99"/>
    <w:unhideWhenUsed/>
    <w:rsid w:val="005B0F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rsid w:val="005B0F44"/>
    <w:rPr>
      <w:rFonts w:ascii="Courier New" w:eastAsia="Times New Roman" w:hAnsi="Courier New" w:cs="Courier New"/>
      <w:lang w:val="en-US" w:eastAsia="en-US"/>
    </w:rPr>
  </w:style>
  <w:style w:type="character" w:customStyle="1" w:styleId="rynqvb">
    <w:name w:val="rynqvb"/>
    <w:basedOn w:val="DefaultParagraphFont"/>
    <w:rsid w:val="00753A68"/>
  </w:style>
  <w:style w:type="table" w:customStyle="1" w:styleId="TableGrid1">
    <w:name w:val="Table Grid1"/>
    <w:basedOn w:val="TableNormal"/>
    <w:next w:val="TableGrid"/>
    <w:uiPriority w:val="39"/>
    <w:locked/>
    <w:rsid w:val="00753A6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locked/>
    <w:rsid w:val="00753A6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32456">
      <w:bodyDiv w:val="1"/>
      <w:marLeft w:val="0"/>
      <w:marRight w:val="0"/>
      <w:marTop w:val="0"/>
      <w:marBottom w:val="0"/>
      <w:divBdr>
        <w:top w:val="none" w:sz="0" w:space="0" w:color="auto"/>
        <w:left w:val="none" w:sz="0" w:space="0" w:color="auto"/>
        <w:bottom w:val="none" w:sz="0" w:space="0" w:color="auto"/>
        <w:right w:val="none" w:sz="0" w:space="0" w:color="auto"/>
      </w:divBdr>
    </w:div>
    <w:div w:id="100347869">
      <w:bodyDiv w:val="1"/>
      <w:marLeft w:val="0"/>
      <w:marRight w:val="0"/>
      <w:marTop w:val="0"/>
      <w:marBottom w:val="0"/>
      <w:divBdr>
        <w:top w:val="none" w:sz="0" w:space="0" w:color="auto"/>
        <w:left w:val="none" w:sz="0" w:space="0" w:color="auto"/>
        <w:bottom w:val="none" w:sz="0" w:space="0" w:color="auto"/>
        <w:right w:val="none" w:sz="0" w:space="0" w:color="auto"/>
      </w:divBdr>
    </w:div>
    <w:div w:id="114762139">
      <w:bodyDiv w:val="1"/>
      <w:marLeft w:val="0"/>
      <w:marRight w:val="0"/>
      <w:marTop w:val="0"/>
      <w:marBottom w:val="0"/>
      <w:divBdr>
        <w:top w:val="none" w:sz="0" w:space="0" w:color="auto"/>
        <w:left w:val="none" w:sz="0" w:space="0" w:color="auto"/>
        <w:bottom w:val="none" w:sz="0" w:space="0" w:color="auto"/>
        <w:right w:val="none" w:sz="0" w:space="0" w:color="auto"/>
      </w:divBdr>
    </w:div>
    <w:div w:id="143621461">
      <w:bodyDiv w:val="1"/>
      <w:marLeft w:val="0"/>
      <w:marRight w:val="0"/>
      <w:marTop w:val="0"/>
      <w:marBottom w:val="0"/>
      <w:divBdr>
        <w:top w:val="none" w:sz="0" w:space="0" w:color="auto"/>
        <w:left w:val="none" w:sz="0" w:space="0" w:color="auto"/>
        <w:bottom w:val="none" w:sz="0" w:space="0" w:color="auto"/>
        <w:right w:val="none" w:sz="0" w:space="0" w:color="auto"/>
      </w:divBdr>
    </w:div>
    <w:div w:id="244001353">
      <w:bodyDiv w:val="1"/>
      <w:marLeft w:val="0"/>
      <w:marRight w:val="0"/>
      <w:marTop w:val="0"/>
      <w:marBottom w:val="0"/>
      <w:divBdr>
        <w:top w:val="none" w:sz="0" w:space="0" w:color="auto"/>
        <w:left w:val="none" w:sz="0" w:space="0" w:color="auto"/>
        <w:bottom w:val="none" w:sz="0" w:space="0" w:color="auto"/>
        <w:right w:val="none" w:sz="0" w:space="0" w:color="auto"/>
      </w:divBdr>
    </w:div>
    <w:div w:id="308679062">
      <w:bodyDiv w:val="1"/>
      <w:marLeft w:val="0"/>
      <w:marRight w:val="0"/>
      <w:marTop w:val="0"/>
      <w:marBottom w:val="0"/>
      <w:divBdr>
        <w:top w:val="none" w:sz="0" w:space="0" w:color="auto"/>
        <w:left w:val="none" w:sz="0" w:space="0" w:color="auto"/>
        <w:bottom w:val="none" w:sz="0" w:space="0" w:color="auto"/>
        <w:right w:val="none" w:sz="0" w:space="0" w:color="auto"/>
      </w:divBdr>
    </w:div>
    <w:div w:id="324482424">
      <w:bodyDiv w:val="1"/>
      <w:marLeft w:val="0"/>
      <w:marRight w:val="0"/>
      <w:marTop w:val="0"/>
      <w:marBottom w:val="0"/>
      <w:divBdr>
        <w:top w:val="none" w:sz="0" w:space="0" w:color="auto"/>
        <w:left w:val="none" w:sz="0" w:space="0" w:color="auto"/>
        <w:bottom w:val="none" w:sz="0" w:space="0" w:color="auto"/>
        <w:right w:val="none" w:sz="0" w:space="0" w:color="auto"/>
      </w:divBdr>
    </w:div>
    <w:div w:id="469565802">
      <w:bodyDiv w:val="1"/>
      <w:marLeft w:val="0"/>
      <w:marRight w:val="0"/>
      <w:marTop w:val="0"/>
      <w:marBottom w:val="0"/>
      <w:divBdr>
        <w:top w:val="none" w:sz="0" w:space="0" w:color="auto"/>
        <w:left w:val="none" w:sz="0" w:space="0" w:color="auto"/>
        <w:bottom w:val="none" w:sz="0" w:space="0" w:color="auto"/>
        <w:right w:val="none" w:sz="0" w:space="0" w:color="auto"/>
      </w:divBdr>
      <w:divsChild>
        <w:div w:id="1471558600">
          <w:marLeft w:val="0"/>
          <w:marRight w:val="0"/>
          <w:marTop w:val="280"/>
          <w:marBottom w:val="280"/>
          <w:divBdr>
            <w:top w:val="none" w:sz="0" w:space="0" w:color="auto"/>
            <w:left w:val="none" w:sz="0" w:space="0" w:color="auto"/>
            <w:bottom w:val="none" w:sz="0" w:space="0" w:color="auto"/>
            <w:right w:val="none" w:sz="0" w:space="0" w:color="auto"/>
          </w:divBdr>
        </w:div>
        <w:div w:id="2028411194">
          <w:marLeft w:val="0"/>
          <w:marRight w:val="0"/>
          <w:marTop w:val="280"/>
          <w:marBottom w:val="280"/>
          <w:divBdr>
            <w:top w:val="none" w:sz="0" w:space="0" w:color="auto"/>
            <w:left w:val="none" w:sz="0" w:space="0" w:color="auto"/>
            <w:bottom w:val="none" w:sz="0" w:space="0" w:color="auto"/>
            <w:right w:val="none" w:sz="0" w:space="0" w:color="auto"/>
          </w:divBdr>
        </w:div>
      </w:divsChild>
    </w:div>
    <w:div w:id="560215158">
      <w:bodyDiv w:val="1"/>
      <w:marLeft w:val="0"/>
      <w:marRight w:val="0"/>
      <w:marTop w:val="0"/>
      <w:marBottom w:val="0"/>
      <w:divBdr>
        <w:top w:val="none" w:sz="0" w:space="0" w:color="auto"/>
        <w:left w:val="none" w:sz="0" w:space="0" w:color="auto"/>
        <w:bottom w:val="none" w:sz="0" w:space="0" w:color="auto"/>
        <w:right w:val="none" w:sz="0" w:space="0" w:color="auto"/>
      </w:divBdr>
    </w:div>
    <w:div w:id="575288605">
      <w:bodyDiv w:val="1"/>
      <w:marLeft w:val="0"/>
      <w:marRight w:val="0"/>
      <w:marTop w:val="0"/>
      <w:marBottom w:val="0"/>
      <w:divBdr>
        <w:top w:val="none" w:sz="0" w:space="0" w:color="auto"/>
        <w:left w:val="none" w:sz="0" w:space="0" w:color="auto"/>
        <w:bottom w:val="none" w:sz="0" w:space="0" w:color="auto"/>
        <w:right w:val="none" w:sz="0" w:space="0" w:color="auto"/>
      </w:divBdr>
    </w:div>
    <w:div w:id="666905878">
      <w:bodyDiv w:val="1"/>
      <w:marLeft w:val="0"/>
      <w:marRight w:val="0"/>
      <w:marTop w:val="0"/>
      <w:marBottom w:val="0"/>
      <w:divBdr>
        <w:top w:val="none" w:sz="0" w:space="0" w:color="auto"/>
        <w:left w:val="none" w:sz="0" w:space="0" w:color="auto"/>
        <w:bottom w:val="none" w:sz="0" w:space="0" w:color="auto"/>
        <w:right w:val="none" w:sz="0" w:space="0" w:color="auto"/>
      </w:divBdr>
    </w:div>
    <w:div w:id="953942521">
      <w:bodyDiv w:val="1"/>
      <w:marLeft w:val="0"/>
      <w:marRight w:val="0"/>
      <w:marTop w:val="0"/>
      <w:marBottom w:val="0"/>
      <w:divBdr>
        <w:top w:val="none" w:sz="0" w:space="0" w:color="auto"/>
        <w:left w:val="none" w:sz="0" w:space="0" w:color="auto"/>
        <w:bottom w:val="none" w:sz="0" w:space="0" w:color="auto"/>
        <w:right w:val="none" w:sz="0" w:space="0" w:color="auto"/>
      </w:divBdr>
    </w:div>
    <w:div w:id="960920856">
      <w:bodyDiv w:val="1"/>
      <w:marLeft w:val="0"/>
      <w:marRight w:val="0"/>
      <w:marTop w:val="0"/>
      <w:marBottom w:val="0"/>
      <w:divBdr>
        <w:top w:val="none" w:sz="0" w:space="0" w:color="auto"/>
        <w:left w:val="none" w:sz="0" w:space="0" w:color="auto"/>
        <w:bottom w:val="none" w:sz="0" w:space="0" w:color="auto"/>
        <w:right w:val="none" w:sz="0" w:space="0" w:color="auto"/>
      </w:divBdr>
    </w:div>
    <w:div w:id="1099525793">
      <w:bodyDiv w:val="1"/>
      <w:marLeft w:val="0"/>
      <w:marRight w:val="0"/>
      <w:marTop w:val="0"/>
      <w:marBottom w:val="0"/>
      <w:divBdr>
        <w:top w:val="none" w:sz="0" w:space="0" w:color="auto"/>
        <w:left w:val="none" w:sz="0" w:space="0" w:color="auto"/>
        <w:bottom w:val="none" w:sz="0" w:space="0" w:color="auto"/>
        <w:right w:val="none" w:sz="0" w:space="0" w:color="auto"/>
      </w:divBdr>
    </w:div>
    <w:div w:id="1403914989">
      <w:bodyDiv w:val="1"/>
      <w:marLeft w:val="0"/>
      <w:marRight w:val="0"/>
      <w:marTop w:val="0"/>
      <w:marBottom w:val="0"/>
      <w:divBdr>
        <w:top w:val="none" w:sz="0" w:space="0" w:color="auto"/>
        <w:left w:val="none" w:sz="0" w:space="0" w:color="auto"/>
        <w:bottom w:val="none" w:sz="0" w:space="0" w:color="auto"/>
        <w:right w:val="none" w:sz="0" w:space="0" w:color="auto"/>
      </w:divBdr>
      <w:divsChild>
        <w:div w:id="742262723">
          <w:marLeft w:val="0"/>
          <w:marRight w:val="0"/>
          <w:marTop w:val="280"/>
          <w:marBottom w:val="280"/>
          <w:divBdr>
            <w:top w:val="none" w:sz="0" w:space="0" w:color="auto"/>
            <w:left w:val="none" w:sz="0" w:space="0" w:color="auto"/>
            <w:bottom w:val="none" w:sz="0" w:space="0" w:color="auto"/>
            <w:right w:val="none" w:sz="0" w:space="0" w:color="auto"/>
          </w:divBdr>
        </w:div>
        <w:div w:id="1116951390">
          <w:marLeft w:val="0"/>
          <w:marRight w:val="0"/>
          <w:marTop w:val="280"/>
          <w:marBottom w:val="280"/>
          <w:divBdr>
            <w:top w:val="none" w:sz="0" w:space="0" w:color="auto"/>
            <w:left w:val="none" w:sz="0" w:space="0" w:color="auto"/>
            <w:bottom w:val="none" w:sz="0" w:space="0" w:color="auto"/>
            <w:right w:val="none" w:sz="0" w:space="0" w:color="auto"/>
          </w:divBdr>
        </w:div>
      </w:divsChild>
    </w:div>
    <w:div w:id="1601184680">
      <w:bodyDiv w:val="1"/>
      <w:marLeft w:val="0"/>
      <w:marRight w:val="0"/>
      <w:marTop w:val="0"/>
      <w:marBottom w:val="0"/>
      <w:divBdr>
        <w:top w:val="none" w:sz="0" w:space="0" w:color="auto"/>
        <w:left w:val="none" w:sz="0" w:space="0" w:color="auto"/>
        <w:bottom w:val="none" w:sz="0" w:space="0" w:color="auto"/>
        <w:right w:val="none" w:sz="0" w:space="0" w:color="auto"/>
      </w:divBdr>
    </w:div>
    <w:div w:id="1702391121">
      <w:bodyDiv w:val="1"/>
      <w:marLeft w:val="0"/>
      <w:marRight w:val="0"/>
      <w:marTop w:val="0"/>
      <w:marBottom w:val="0"/>
      <w:divBdr>
        <w:top w:val="none" w:sz="0" w:space="0" w:color="auto"/>
        <w:left w:val="none" w:sz="0" w:space="0" w:color="auto"/>
        <w:bottom w:val="none" w:sz="0" w:space="0" w:color="auto"/>
        <w:right w:val="none" w:sz="0" w:space="0" w:color="auto"/>
      </w:divBdr>
    </w:div>
    <w:div w:id="1723939753">
      <w:bodyDiv w:val="1"/>
      <w:marLeft w:val="0"/>
      <w:marRight w:val="0"/>
      <w:marTop w:val="0"/>
      <w:marBottom w:val="0"/>
      <w:divBdr>
        <w:top w:val="none" w:sz="0" w:space="0" w:color="auto"/>
        <w:left w:val="none" w:sz="0" w:space="0" w:color="auto"/>
        <w:bottom w:val="none" w:sz="0" w:space="0" w:color="auto"/>
        <w:right w:val="none" w:sz="0" w:space="0" w:color="auto"/>
      </w:divBdr>
    </w:div>
    <w:div w:id="1725178222">
      <w:bodyDiv w:val="1"/>
      <w:marLeft w:val="0"/>
      <w:marRight w:val="0"/>
      <w:marTop w:val="0"/>
      <w:marBottom w:val="0"/>
      <w:divBdr>
        <w:top w:val="none" w:sz="0" w:space="0" w:color="auto"/>
        <w:left w:val="none" w:sz="0" w:space="0" w:color="auto"/>
        <w:bottom w:val="none" w:sz="0" w:space="0" w:color="auto"/>
        <w:right w:val="none" w:sz="0" w:space="0" w:color="auto"/>
      </w:divBdr>
    </w:div>
    <w:div w:id="1858348671">
      <w:bodyDiv w:val="1"/>
      <w:marLeft w:val="0"/>
      <w:marRight w:val="0"/>
      <w:marTop w:val="0"/>
      <w:marBottom w:val="0"/>
      <w:divBdr>
        <w:top w:val="none" w:sz="0" w:space="0" w:color="auto"/>
        <w:left w:val="none" w:sz="0" w:space="0" w:color="auto"/>
        <w:bottom w:val="none" w:sz="0" w:space="0" w:color="auto"/>
        <w:right w:val="none" w:sz="0" w:space="0" w:color="auto"/>
      </w:divBdr>
    </w:div>
    <w:div w:id="1930308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4.xm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g"/><Relationship Id="rId25" Type="http://schemas.openxmlformats.org/officeDocument/2006/relationships/chart" Target="charts/chart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2.sv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5.xm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0.wmf"/><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vasep.com.vn/gia-thuy-san/gia-trong-nuoc/gia-thuy-san-tai-khanh-hoa-tu-14-20-02-2025-2480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btphuong\Desktop\N&#259;m%202025\b&#225;o%20cao%20th&#225;ng\Th&#225;ng%202%202025\Bi&#7875;u%20&#273;&#7891;%20th&#225;ng%20ti&#7871;ng%20T2%202025.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btphuong\Desktop\N&#259;m%202025\b&#225;o%20cao%20th&#225;ng\Th&#225;ng%202%202025\bi&#7875;u%20&#273;&#7891;%20FDI%20T2%202025.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btphuong\Desktop\N&#259;m%202025\b&#225;o%20cao%20th&#225;ng\Th&#225;ng%202%202025\bi&#7875;u%20&#273;&#7891;%20FDI%202.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gsofs05\tkth02\01%20Bao%20cao%20thang\2025\Th&#225;ng%202\Chuy&#234;n%20vi&#234;n\&#272;&#244;&#768;%20thi&#803;%20t&#244;&#777;ng%20m&#432;&#769;c%202.2025.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02%20BAO%20CAO\NAM2025\Th&#225;ng%202.2025\V&#7909;%20TH\Bi&#7875;u%20&#273;&#7891;%20XNK%20T2.2025.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02%20BAO%20CAO\NAM2025\Th&#225;ng%202.2025\V&#7909;%20TH\Bi&#7875;u%20&#273;&#7891;%20XNK%20T2.2025.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nthhuong\Downloads\Bi&#7875;u%20&#273;&#7891;%20CPI_%20Ngan%2028.2.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94158198993559E-2"/>
          <c:y val="0.12987602195116291"/>
          <c:w val="0.89996767604437333"/>
          <c:h val="0.66574137320055682"/>
        </c:manualLayout>
      </c:layout>
      <c:barChart>
        <c:barDir val="col"/>
        <c:grouping val="clustered"/>
        <c:varyColors val="0"/>
        <c:ser>
          <c:idx val="0"/>
          <c:order val="0"/>
          <c:tx>
            <c:strRef>
              <c:f>'[Biểu đồ tháng tiếng T2 2025.xlsx]Hình 7. Địa phương'!$D$4</c:f>
              <c:strCache>
                <c:ptCount val="1"/>
                <c:pt idx="0">
                  <c:v>2 tháng đầu năm 2024</c:v>
                </c:pt>
              </c:strCache>
            </c:strRef>
          </c:tx>
          <c:spPr>
            <a:solidFill>
              <a:srgbClr val="CFB09D"/>
            </a:solidFill>
            <a:ln>
              <a:noFill/>
            </a:ln>
            <a:effectLst/>
          </c:spPr>
          <c:invertIfNegative val="0"/>
          <c:cat>
            <c:strRef>
              <c:f>'[Biểu đồ tháng tiếng T2 2025.xlsx]Hình 7. Địa phương'!$C$5:$C$13</c:f>
              <c:strCache>
                <c:ptCount val="9"/>
                <c:pt idx="0">
                  <c:v> Ha Noi</c:v>
                </c:pt>
                <c:pt idx="1">
                  <c:v> Ho Chi Minh city</c:v>
                </c:pt>
                <c:pt idx="2">
                  <c:v> Hung Yen</c:v>
                </c:pt>
                <c:pt idx="3">
                  <c:v> Binh Duong</c:v>
                </c:pt>
                <c:pt idx="4">
                  <c:v> Hai Phong</c:v>
                </c:pt>
                <c:pt idx="5">
                  <c:v> Ba Ria - Vung Tau</c:v>
                </c:pt>
                <c:pt idx="6">
                  <c:v> Dong Nai</c:v>
                </c:pt>
                <c:pt idx="7">
                  <c:v> Thanh Hoa</c:v>
                </c:pt>
                <c:pt idx="8">
                  <c:v> Quang Ninh</c:v>
                </c:pt>
              </c:strCache>
            </c:strRef>
          </c:cat>
          <c:val>
            <c:numRef>
              <c:f>'[Biểu đồ tháng tiếng T2 2025.xlsx]Hình 7. Địa phương'!$D$5:$D$13</c:f>
              <c:numCache>
                <c:formatCode>0.0</c:formatCode>
                <c:ptCount val="9"/>
                <c:pt idx="0">
                  <c:v>6310.1589999999997</c:v>
                </c:pt>
                <c:pt idx="1">
                  <c:v>3683.694</c:v>
                </c:pt>
                <c:pt idx="2">
                  <c:v>1681.14</c:v>
                </c:pt>
                <c:pt idx="3">
                  <c:v>1584.5329999999999</c:v>
                </c:pt>
                <c:pt idx="4">
                  <c:v>1421.56</c:v>
                </c:pt>
                <c:pt idx="5">
                  <c:v>1747.2478100000001</c:v>
                </c:pt>
                <c:pt idx="6">
                  <c:v>1306.221</c:v>
                </c:pt>
                <c:pt idx="7">
                  <c:v>1190.3389999999999</c:v>
                </c:pt>
                <c:pt idx="8">
                  <c:v>1633.9659999999999</c:v>
                </c:pt>
              </c:numCache>
            </c:numRef>
          </c:val>
          <c:extLst>
            <c:ext xmlns:c16="http://schemas.microsoft.com/office/drawing/2014/chart" uri="{C3380CC4-5D6E-409C-BE32-E72D297353CC}">
              <c16:uniqueId val="{00000000-17F2-473C-B57B-42F560CC1796}"/>
            </c:ext>
          </c:extLst>
        </c:ser>
        <c:ser>
          <c:idx val="1"/>
          <c:order val="1"/>
          <c:tx>
            <c:strRef>
              <c:f>'[Biểu đồ tháng tiếng T2 2025.xlsx]Hình 7. Địa phương'!$E$4</c:f>
              <c:strCache>
                <c:ptCount val="1"/>
                <c:pt idx="0">
                  <c:v>2 tháng đầu năm 2025</c:v>
                </c:pt>
              </c:strCache>
            </c:strRef>
          </c:tx>
          <c:spPr>
            <a:solidFill>
              <a:srgbClr val="C84863"/>
            </a:solidFill>
            <a:ln>
              <a:noFill/>
            </a:ln>
            <a:effectLst/>
          </c:spPr>
          <c:invertIfNegative val="0"/>
          <c:dLbls>
            <c:dLbl>
              <c:idx val="2"/>
              <c:layout>
                <c:manualLayout>
                  <c:x val="1.3714284068777314E-2"/>
                  <c:y val="-2.560655269667337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17F2-473C-B57B-42F560CC1796}"/>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'[Biểu đồ tháng tiếng T2 2025.xlsx]Hình 7. Địa phương'!$C$5:$C$13</c:f>
              <c:strCache>
                <c:ptCount val="9"/>
                <c:pt idx="0">
                  <c:v> Ha Noi</c:v>
                </c:pt>
                <c:pt idx="1">
                  <c:v> Ho Chi Minh city</c:v>
                </c:pt>
                <c:pt idx="2">
                  <c:v> Hung Yen</c:v>
                </c:pt>
                <c:pt idx="3">
                  <c:v> Binh Duong</c:v>
                </c:pt>
                <c:pt idx="4">
                  <c:v> Hai Phong</c:v>
                </c:pt>
                <c:pt idx="5">
                  <c:v> Ba Ria - Vung Tau</c:v>
                </c:pt>
                <c:pt idx="6">
                  <c:v> Dong Nai</c:v>
                </c:pt>
                <c:pt idx="7">
                  <c:v> Thanh Hoa</c:v>
                </c:pt>
                <c:pt idx="8">
                  <c:v> Quang Ninh</c:v>
                </c:pt>
              </c:strCache>
            </c:strRef>
          </c:cat>
          <c:val>
            <c:numRef>
              <c:f>'[Biểu đồ tháng tiếng T2 2025.xlsx]Hình 7. Địa phương'!$E$5:$E$13</c:f>
              <c:numCache>
                <c:formatCode>0.0</c:formatCode>
                <c:ptCount val="9"/>
                <c:pt idx="0">
                  <c:v>9095.0149999999994</c:v>
                </c:pt>
                <c:pt idx="1">
                  <c:v>4230.1099999999997</c:v>
                </c:pt>
                <c:pt idx="2">
                  <c:v>2921.0650000000001</c:v>
                </c:pt>
                <c:pt idx="3">
                  <c:v>1986.1659999999999</c:v>
                </c:pt>
                <c:pt idx="4">
                  <c:v>1915.471</c:v>
                </c:pt>
                <c:pt idx="5">
                  <c:v>1872.8710000000001</c:v>
                </c:pt>
                <c:pt idx="6">
                  <c:v>1438.7840000000001</c:v>
                </c:pt>
                <c:pt idx="7">
                  <c:v>1435.9860000000001</c:v>
                </c:pt>
                <c:pt idx="8">
                  <c:v>1349.3710000000001</c:v>
                </c:pt>
              </c:numCache>
            </c:numRef>
          </c:val>
          <c:extLst>
            <c:ext xmlns:c16="http://schemas.microsoft.com/office/drawing/2014/chart" uri="{C3380CC4-5D6E-409C-BE32-E72D297353CC}">
              <c16:uniqueId val="{00000002-17F2-473C-B57B-42F560CC1796}"/>
            </c:ext>
          </c:extLst>
        </c:ser>
        <c:dLbls>
          <c:showLegendKey val="0"/>
          <c:showVal val="0"/>
          <c:showCatName val="0"/>
          <c:showSerName val="0"/>
          <c:showPercent val="0"/>
          <c:showBubbleSize val="0"/>
        </c:dLbls>
        <c:gapWidth val="36"/>
        <c:axId val="1071631488"/>
        <c:axId val="1071632032"/>
      </c:barChart>
      <c:catAx>
        <c:axId val="1071631488"/>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071632032"/>
        <c:crosses val="autoZero"/>
        <c:auto val="1"/>
        <c:lblAlgn val="ctr"/>
        <c:lblOffset val="100"/>
        <c:noMultiLvlLbl val="0"/>
      </c:catAx>
      <c:valAx>
        <c:axId val="107163203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1071631488"/>
        <c:crosses val="autoZero"/>
        <c:crossBetween val="between"/>
      </c:valAx>
      <c:spPr>
        <a:noFill/>
        <a:ln>
          <a:noFill/>
        </a:ln>
        <a:effectLst/>
      </c:spPr>
    </c:plotArea>
    <c:legend>
      <c:legendPos val="b"/>
      <c:layout>
        <c:manualLayout>
          <c:xMode val="edge"/>
          <c:yMode val="edge"/>
          <c:x val="9.8974536306017394E-2"/>
          <c:y val="0.8907966715509098"/>
          <c:w val="0.79532792856957735"/>
          <c:h val="3.9670390664644672E-2"/>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48964776558304"/>
          <c:y val="2.3068050749711605E-2"/>
          <c:w val="0.81632143903237475"/>
          <c:h val="0.68828706100318771"/>
        </c:manualLayout>
      </c:layout>
      <c:barChart>
        <c:barDir val="bar"/>
        <c:grouping val="stacked"/>
        <c:varyColors val="0"/>
        <c:ser>
          <c:idx val="0"/>
          <c:order val="0"/>
          <c:tx>
            <c:strRef>
              <c:f>'04. FDI SO SANH '!$A$16</c:f>
              <c:strCache>
                <c:ptCount val="1"/>
                <c:pt idx="0">
                  <c:v>Newly register capital</c:v>
                </c:pt>
              </c:strCache>
            </c:strRef>
          </c:tx>
          <c:invertIfNegative val="0"/>
          <c:dLbls>
            <c:dLbl>
              <c:idx val="0"/>
              <c:layout>
                <c:manualLayout>
                  <c:x val="-2.8828823375408787E-2"/>
                  <c:y val="-7.638800644811996E-17"/>
                </c:manualLayout>
              </c:layout>
              <c:tx>
                <c:rich>
                  <a:bodyPr/>
                  <a:lstStyle/>
                  <a:p>
                    <a:r>
                      <a:rPr lang="en-US"/>
                      <a:t>3,31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C0D-420E-B716-0B17876164CE}"/>
                </c:ext>
              </c:extLst>
            </c:dLbl>
            <c:dLbl>
              <c:idx val="1"/>
              <c:layout/>
              <c:tx>
                <c:rich>
                  <a:bodyPr/>
                  <a:lstStyle/>
                  <a:p>
                    <a:r>
                      <a:rPr lang="en-US"/>
                      <a:t>0,64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C0D-420E-B716-0B17876164CE}"/>
                </c:ext>
              </c:extLst>
            </c:dLbl>
            <c:dLbl>
              <c:idx val="2"/>
              <c:layout/>
              <c:tx>
                <c:rich>
                  <a:bodyPr/>
                  <a:lstStyle/>
                  <a:p>
                    <a:r>
                      <a:rPr lang="en-US"/>
                      <a:t>1,76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C0D-420E-B716-0B17876164CE}"/>
                </c:ext>
              </c:extLst>
            </c:dLbl>
            <c:dLbl>
              <c:idx val="3"/>
              <c:layout>
                <c:manualLayout>
                  <c:x val="-1.9219215583605901E-2"/>
                  <c:y val="-3.819400322405998E-17"/>
                </c:manualLayout>
              </c:layout>
              <c:tx>
                <c:rich>
                  <a:bodyPr/>
                  <a:lstStyle/>
                  <a:p>
                    <a:r>
                      <a:rPr lang="en-US"/>
                      <a:t>3,60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C0D-420E-B716-0B17876164CE}"/>
                </c:ext>
              </c:extLst>
            </c:dLbl>
            <c:dLbl>
              <c:idx val="4"/>
              <c:layout/>
              <c:tx>
                <c:rich>
                  <a:bodyPr/>
                  <a:lstStyle/>
                  <a:p>
                    <a:r>
                      <a:rPr lang="en-US"/>
                      <a:t>2,19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C0D-420E-B716-0B17876164C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'04. FDI SO SANH '!$B$15:$F$15</c:f>
              <c:numCache>
                <c:formatCode>General</c:formatCode>
                <c:ptCount val="5"/>
                <c:pt idx="0">
                  <c:v>2021</c:v>
                </c:pt>
                <c:pt idx="1">
                  <c:v>2022</c:v>
                </c:pt>
                <c:pt idx="2">
                  <c:v>2023</c:v>
                </c:pt>
                <c:pt idx="3">
                  <c:v>2024</c:v>
                </c:pt>
                <c:pt idx="4">
                  <c:v>2025</c:v>
                </c:pt>
              </c:numCache>
            </c:numRef>
          </c:cat>
          <c:val>
            <c:numRef>
              <c:f>'04. FDI SO SANH '!$B$16:$F$16</c:f>
              <c:numCache>
                <c:formatCode>0.00</c:formatCode>
                <c:ptCount val="5"/>
                <c:pt idx="0">
                  <c:v>3.30866813</c:v>
                </c:pt>
                <c:pt idx="1">
                  <c:v>0.63176240644999992</c:v>
                </c:pt>
                <c:pt idx="2">
                  <c:v>1.76414061691</c:v>
                </c:pt>
                <c:pt idx="3">
                  <c:v>3.5959377820000009</c:v>
                </c:pt>
                <c:pt idx="4">
                  <c:v>2.1910348144399996</c:v>
                </c:pt>
              </c:numCache>
            </c:numRef>
          </c:val>
          <c:extLst>
            <c:ext xmlns:c16="http://schemas.microsoft.com/office/drawing/2014/chart" uri="{C3380CC4-5D6E-409C-BE32-E72D297353CC}">
              <c16:uniqueId val="{00000005-7C0D-420E-B716-0B17876164CE}"/>
            </c:ext>
          </c:extLst>
        </c:ser>
        <c:ser>
          <c:idx val="1"/>
          <c:order val="1"/>
          <c:tx>
            <c:strRef>
              <c:f>'04. FDI SO SANH '!$A$17</c:f>
              <c:strCache>
                <c:ptCount val="1"/>
                <c:pt idx="0">
                  <c:v>Adjust register capital</c:v>
                </c:pt>
              </c:strCache>
            </c:strRef>
          </c:tx>
          <c:invertIfNegative val="0"/>
          <c:dLbls>
            <c:dLbl>
              <c:idx val="0"/>
              <c:layout/>
              <c:tx>
                <c:rich>
                  <a:bodyPr/>
                  <a:lstStyle/>
                  <a:p>
                    <a:r>
                      <a:rPr lang="en-US"/>
                      <a:t>1,61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C0D-420E-B716-0B17876164CE}"/>
                </c:ext>
              </c:extLst>
            </c:dLbl>
            <c:dLbl>
              <c:idx val="1"/>
              <c:layout>
                <c:manualLayout>
                  <c:x val="3.6036029219260982E-2"/>
                  <c:y val="-7.638800644811996E-17"/>
                </c:manualLayout>
              </c:layout>
              <c:tx>
                <c:rich>
                  <a:bodyPr/>
                  <a:lstStyle/>
                  <a:p>
                    <a:r>
                      <a:rPr lang="en-US"/>
                      <a:t>3,59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C0D-420E-B716-0B17876164CE}"/>
                </c:ext>
              </c:extLst>
            </c:dLbl>
            <c:dLbl>
              <c:idx val="2"/>
              <c:layout>
                <c:manualLayout>
                  <c:x val="-2.8828823375408787E-2"/>
                  <c:y val="-3.819400322405998E-17"/>
                </c:manualLayout>
              </c:layout>
              <c:tx>
                <c:rich>
                  <a:bodyPr wrap="square" lIns="38100" tIns="19050" rIns="38100" bIns="19050" anchor="ctr">
                    <a:noAutofit/>
                  </a:bodyPr>
                  <a:lstStyle/>
                  <a:p>
                    <a:pPr>
                      <a:defRPr/>
                    </a:pPr>
                    <a:r>
                      <a:rPr lang="en-US"/>
                      <a:t>0,54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7.2240226574878524E-2"/>
                      <c:h val="6.3354330708661422E-2"/>
                    </c:manualLayout>
                  </c15:layout>
                </c:ext>
                <c:ext xmlns:c16="http://schemas.microsoft.com/office/drawing/2014/chart" uri="{C3380CC4-5D6E-409C-BE32-E72D297353CC}">
                  <c16:uniqueId val="{00000008-7C0D-420E-B716-0B17876164CE}"/>
                </c:ext>
              </c:extLst>
            </c:dLbl>
            <c:dLbl>
              <c:idx val="3"/>
              <c:layout>
                <c:manualLayout>
                  <c:x val="-9.6096077918029297E-3"/>
                  <c:y val="-8.3333333333333714E-3"/>
                </c:manualLayout>
              </c:layout>
              <c:tx>
                <c:rich>
                  <a:bodyPr/>
                  <a:lstStyle/>
                  <a:p>
                    <a:r>
                      <a:rPr lang="en-US"/>
                      <a:t>0,44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C0D-420E-B716-0B17876164CE}"/>
                </c:ext>
              </c:extLst>
            </c:dLbl>
            <c:dLbl>
              <c:idx val="4"/>
              <c:layout/>
              <c:tx>
                <c:rich>
                  <a:bodyPr/>
                  <a:lstStyle/>
                  <a:p>
                    <a:r>
                      <a:rPr lang="en-US"/>
                      <a:t>4,18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C0D-420E-B716-0B17876164C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2021</c:v>
                </c:pt>
                <c:pt idx="1">
                  <c:v>2022</c:v>
                </c:pt>
                <c:pt idx="2">
                  <c:v>2023</c:v>
                </c:pt>
                <c:pt idx="3">
                  <c:v>2024</c:v>
                </c:pt>
                <c:pt idx="4">
                  <c:v>2025</c:v>
                </c:pt>
              </c:numCache>
            </c:numRef>
          </c:cat>
          <c:val>
            <c:numRef>
              <c:f>'04. FDI SO SANH '!$B$17:$F$17</c:f>
              <c:numCache>
                <c:formatCode>0.00</c:formatCode>
                <c:ptCount val="5"/>
                <c:pt idx="0">
                  <c:v>1.6064025292812498</c:v>
                </c:pt>
                <c:pt idx="1">
                  <c:v>3.5944651162343755</c:v>
                </c:pt>
                <c:pt idx="2">
                  <c:v>0.53535032283984374</c:v>
                </c:pt>
                <c:pt idx="3">
                  <c:v>0.44209694651806636</c:v>
                </c:pt>
                <c:pt idx="4">
                  <c:v>4.1841099008242191</c:v>
                </c:pt>
              </c:numCache>
            </c:numRef>
          </c:val>
          <c:extLst>
            <c:ext xmlns:c16="http://schemas.microsoft.com/office/drawing/2014/chart" uri="{C3380CC4-5D6E-409C-BE32-E72D297353CC}">
              <c16:uniqueId val="{0000000B-7C0D-420E-B716-0B17876164CE}"/>
            </c:ext>
          </c:extLst>
        </c:ser>
        <c:ser>
          <c:idx val="2"/>
          <c:order val="2"/>
          <c:tx>
            <c:strRef>
              <c:f>'04. FDI SO SANH '!$A$18</c:f>
              <c:strCache>
                <c:ptCount val="1"/>
                <c:pt idx="0">
                  <c:v>Total value of capital contribution and share purchases of foreign investor</c:v>
                </c:pt>
              </c:strCache>
            </c:strRef>
          </c:tx>
          <c:invertIfNegative val="0"/>
          <c:dLbls>
            <c:dLbl>
              <c:idx val="0"/>
              <c:layout/>
              <c:tx>
                <c:rich>
                  <a:bodyPr/>
                  <a:lstStyle/>
                  <a:p>
                    <a:r>
                      <a:rPr lang="en-US"/>
                      <a:t>0,54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7C0D-420E-B716-0B17876164CE}"/>
                </c:ext>
              </c:extLst>
            </c:dLbl>
            <c:dLbl>
              <c:idx val="1"/>
              <c:layout/>
              <c:tx>
                <c:rich>
                  <a:bodyPr/>
                  <a:lstStyle/>
                  <a:p>
                    <a:r>
                      <a:rPr lang="en-US" baseline="0"/>
                      <a:t>0,77</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7C0D-420E-B716-0B17876164CE}"/>
                </c:ext>
              </c:extLst>
            </c:dLbl>
            <c:dLbl>
              <c:idx val="2"/>
              <c:layout>
                <c:manualLayout>
                  <c:x val="-1.2012009739753662E-2"/>
                  <c:y val="-3.819400322405998E-17"/>
                </c:manualLayout>
              </c:layout>
              <c:tx>
                <c:rich>
                  <a:bodyPr/>
                  <a:lstStyle/>
                  <a:p>
                    <a:r>
                      <a:rPr lang="en-US"/>
                      <a:t>0,80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7C0D-420E-B716-0B17876164CE}"/>
                </c:ext>
              </c:extLst>
            </c:dLbl>
            <c:dLbl>
              <c:idx val="3"/>
              <c:layout>
                <c:manualLayout>
                  <c:x val="1.2012009739753573E-2"/>
                  <c:y val="-8.3333333333333714E-3"/>
                </c:manualLayout>
              </c:layout>
              <c:tx>
                <c:rich>
                  <a:bodyPr wrap="square" lIns="38100" tIns="19050" rIns="38100" bIns="19050" anchor="ctr">
                    <a:noAutofit/>
                  </a:bodyPr>
                  <a:lstStyle/>
                  <a:p>
                    <a:pPr>
                      <a:defRPr/>
                    </a:pPr>
                    <a:r>
                      <a:rPr lang="en-US"/>
                      <a:t>0,25</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F-7C0D-420E-B716-0B17876164CE}"/>
                </c:ext>
              </c:extLst>
            </c:dLbl>
            <c:dLbl>
              <c:idx val="4"/>
              <c:layout>
                <c:manualLayout>
                  <c:x val="2.4024019479507323E-2"/>
                  <c:y val="0"/>
                </c:manualLayout>
              </c:layout>
              <c:tx>
                <c:rich>
                  <a:bodyPr/>
                  <a:lstStyle/>
                  <a:p>
                    <a:r>
                      <a:rPr lang="en-US"/>
                      <a:t> 0,53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7C0D-420E-B716-0B17876164C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'04. FDI SO SANH '!$B$15:$F$15</c:f>
              <c:numCache>
                <c:formatCode>General</c:formatCode>
                <c:ptCount val="5"/>
                <c:pt idx="0">
                  <c:v>2021</c:v>
                </c:pt>
                <c:pt idx="1">
                  <c:v>2022</c:v>
                </c:pt>
                <c:pt idx="2">
                  <c:v>2023</c:v>
                </c:pt>
                <c:pt idx="3">
                  <c:v>2024</c:v>
                </c:pt>
                <c:pt idx="4">
                  <c:v>2025</c:v>
                </c:pt>
              </c:numCache>
            </c:numRef>
          </c:cat>
          <c:val>
            <c:numRef>
              <c:f>'04. FDI SO SANH '!$B$18:$F$18</c:f>
              <c:numCache>
                <c:formatCode>0.00</c:formatCode>
                <c:ptCount val="5"/>
                <c:pt idx="0">
                  <c:v>0.54309769858322487</c:v>
                </c:pt>
                <c:pt idx="1">
                  <c:v>0.76959727012500001</c:v>
                </c:pt>
                <c:pt idx="2">
                  <c:v>0.79787088626999991</c:v>
                </c:pt>
                <c:pt idx="3">
                  <c:v>0.25542473719000003</c:v>
                </c:pt>
                <c:pt idx="4">
                  <c:v>0.52976791101000031</c:v>
                </c:pt>
              </c:numCache>
            </c:numRef>
          </c:val>
          <c:extLst>
            <c:ext xmlns:c16="http://schemas.microsoft.com/office/drawing/2014/chart" uri="{C3380CC4-5D6E-409C-BE32-E72D297353CC}">
              <c16:uniqueId val="{00000011-7C0D-420E-B716-0B17876164CE}"/>
            </c:ext>
          </c:extLst>
        </c:ser>
        <c:dLbls>
          <c:showLegendKey val="0"/>
          <c:showVal val="0"/>
          <c:showCatName val="0"/>
          <c:showSerName val="0"/>
          <c:showPercent val="0"/>
          <c:showBubbleSize val="0"/>
        </c:dLbls>
        <c:gapWidth val="150"/>
        <c:overlap val="100"/>
        <c:axId val="-1874218784"/>
        <c:axId val="-1874232928"/>
      </c:barChart>
      <c:catAx>
        <c:axId val="-1874218784"/>
        <c:scaling>
          <c:orientation val="minMax"/>
        </c:scaling>
        <c:delete val="0"/>
        <c:axPos val="l"/>
        <c:numFmt formatCode="General" sourceLinked="1"/>
        <c:majorTickMark val="out"/>
        <c:minorTickMark val="none"/>
        <c:tickLblPos val="nextTo"/>
        <c:crossAx val="-1874232928"/>
        <c:crosses val="autoZero"/>
        <c:auto val="1"/>
        <c:lblAlgn val="ctr"/>
        <c:lblOffset val="100"/>
        <c:noMultiLvlLbl val="0"/>
      </c:catAx>
      <c:valAx>
        <c:axId val="-1874232928"/>
        <c:scaling>
          <c:orientation val="minMax"/>
        </c:scaling>
        <c:delete val="0"/>
        <c:axPos val="b"/>
        <c:majorGridlines/>
        <c:numFmt formatCode="0.00" sourceLinked="1"/>
        <c:majorTickMark val="out"/>
        <c:minorTickMark val="none"/>
        <c:tickLblPos val="nextTo"/>
        <c:crossAx val="-1874218784"/>
        <c:crosses val="autoZero"/>
        <c:crossBetween val="between"/>
      </c:valAx>
    </c:plotArea>
    <c:legend>
      <c:legendPos val="b"/>
      <c:layout/>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Sheet1!$B$4:$F$4</c:f>
              <c:numCache>
                <c:formatCode>General</c:formatCode>
                <c:ptCount val="5"/>
                <c:pt idx="0">
                  <c:v>2021</c:v>
                </c:pt>
                <c:pt idx="1">
                  <c:v>2022</c:v>
                </c:pt>
                <c:pt idx="2">
                  <c:v>2023</c:v>
                </c:pt>
                <c:pt idx="3">
                  <c:v>2024</c:v>
                </c:pt>
                <c:pt idx="4">
                  <c:v>2025</c:v>
                </c:pt>
              </c:numCache>
            </c:numRef>
          </c:cat>
          <c:val>
            <c:numRef>
              <c:f>Sheet1!$B$5:$F$5</c:f>
              <c:numCache>
                <c:formatCode>0.00</c:formatCode>
                <c:ptCount val="5"/>
                <c:pt idx="0">
                  <c:v>2.5</c:v>
                </c:pt>
                <c:pt idx="1">
                  <c:v>2.68</c:v>
                </c:pt>
                <c:pt idx="2">
                  <c:v>2.5499999999999998</c:v>
                </c:pt>
                <c:pt idx="3">
                  <c:v>2.8</c:v>
                </c:pt>
                <c:pt idx="4">
                  <c:v>2.95</c:v>
                </c:pt>
              </c:numCache>
            </c:numRef>
          </c:val>
          <c:extLst>
            <c:ext xmlns:c16="http://schemas.microsoft.com/office/drawing/2014/chart" uri="{C3380CC4-5D6E-409C-BE32-E72D297353CC}">
              <c16:uniqueId val="{00000000-7BF6-4F6B-B4A4-B61BAE415659}"/>
            </c:ext>
          </c:extLst>
        </c:ser>
        <c:dLbls>
          <c:showLegendKey val="0"/>
          <c:showVal val="0"/>
          <c:showCatName val="0"/>
          <c:showSerName val="0"/>
          <c:showPercent val="0"/>
          <c:showBubbleSize val="0"/>
        </c:dLbls>
        <c:gapWidth val="219"/>
        <c:overlap val="-27"/>
        <c:axId val="108849792"/>
        <c:axId val="108971136"/>
      </c:barChart>
      <c:catAx>
        <c:axId val="10884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8971136"/>
        <c:crosses val="autoZero"/>
        <c:auto val="1"/>
        <c:lblAlgn val="ctr"/>
        <c:lblOffset val="100"/>
        <c:noMultiLvlLbl val="0"/>
      </c:catAx>
      <c:valAx>
        <c:axId val="108971136"/>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10884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EN!$A$4</c:f>
              <c:strCache>
                <c:ptCount val="1"/>
                <c:pt idx="0">
                  <c:v>Total (Trillion dongs)</c:v>
                </c:pt>
              </c:strCache>
            </c:strRef>
          </c:tx>
          <c:spPr>
            <a:solidFill>
              <a:srgbClr val="CF5F13"/>
            </a:solidFill>
            <a:ln>
              <a:noFill/>
            </a:ln>
            <a:effectLst/>
          </c:spPr>
          <c:invertIfNegative val="0"/>
          <c:dLbls>
            <c:dLbl>
              <c:idx val="2"/>
              <c:layout>
                <c:manualLayout>
                  <c:x val="0"/>
                  <c:y val="-5.092592592592593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1B1-4504-B9DA-38C9A292232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EN!$B$3:$F$3</c:f>
              <c:numCache>
                <c:formatCode>General</c:formatCode>
                <c:ptCount val="5"/>
                <c:pt idx="0">
                  <c:v>2021</c:v>
                </c:pt>
                <c:pt idx="1">
                  <c:v>2022</c:v>
                </c:pt>
                <c:pt idx="2">
                  <c:v>2023</c:v>
                </c:pt>
                <c:pt idx="3">
                  <c:v>2024</c:v>
                </c:pt>
                <c:pt idx="4">
                  <c:v>2025</c:v>
                </c:pt>
              </c:numCache>
            </c:numRef>
          </c:cat>
          <c:val>
            <c:numRef>
              <c:f>EN!$B$4:$F$4</c:f>
              <c:numCache>
                <c:formatCode>0.0</c:formatCode>
                <c:ptCount val="5"/>
                <c:pt idx="0">
                  <c:v>800.08702064356794</c:v>
                </c:pt>
                <c:pt idx="1">
                  <c:v>831.35702851668213</c:v>
                </c:pt>
                <c:pt idx="2">
                  <c:v>959.28304436056283</c:v>
                </c:pt>
                <c:pt idx="3">
                  <c:v>1039.9420807425263</c:v>
                </c:pt>
                <c:pt idx="4">
                  <c:v>1137.5030359333407</c:v>
                </c:pt>
              </c:numCache>
            </c:numRef>
          </c:val>
          <c:extLst>
            <c:ext xmlns:c16="http://schemas.microsoft.com/office/drawing/2014/chart" uri="{C3380CC4-5D6E-409C-BE32-E72D297353CC}">
              <c16:uniqueId val="{00000001-51B1-4504-B9DA-38C9A2922326}"/>
            </c:ext>
          </c:extLst>
        </c:ser>
        <c:dLbls>
          <c:showLegendKey val="0"/>
          <c:showVal val="0"/>
          <c:showCatName val="0"/>
          <c:showSerName val="0"/>
          <c:showPercent val="0"/>
          <c:showBubbleSize val="0"/>
        </c:dLbls>
        <c:gapWidth val="122"/>
        <c:overlap val="-27"/>
        <c:axId val="167844352"/>
        <c:axId val="116812032"/>
      </c:barChart>
      <c:lineChart>
        <c:grouping val="stacked"/>
        <c:varyColors val="0"/>
        <c:ser>
          <c:idx val="1"/>
          <c:order val="1"/>
          <c:tx>
            <c:strRef>
              <c:f>EN!$A$5</c:f>
              <c:strCache>
                <c:ptCount val="1"/>
                <c:pt idx="0">
                  <c:v>Growth rate over the same period last year (%)</c:v>
                </c:pt>
              </c:strCache>
            </c:strRef>
          </c:tx>
          <c:spPr>
            <a:ln w="28575" cap="rnd">
              <a:solidFill>
                <a:srgbClr val="002060"/>
              </a:solidFill>
              <a:round/>
            </a:ln>
            <a:effectLst/>
          </c:spPr>
          <c:marker>
            <c:symbol val="circle"/>
            <c:size val="5"/>
            <c:spPr>
              <a:solidFill>
                <a:srgbClr val="002060"/>
              </a:solidFill>
              <a:ln w="9525">
                <a:noFill/>
              </a:ln>
              <a:effectLst/>
            </c:spPr>
          </c:marker>
          <c:dLbls>
            <c:dLbl>
              <c:idx val="0"/>
              <c:layout>
                <c:manualLayout>
                  <c:x val="-4.1666666666666664E-2"/>
                  <c:y val="-8.33333333333332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1B1-4504-B9DA-38C9A2922326}"/>
                </c:ext>
              </c:extLst>
            </c:dLbl>
            <c:dLbl>
              <c:idx val="1"/>
              <c:layout>
                <c:manualLayout>
                  <c:x val="-3.8888888888888938E-2"/>
                  <c:y val="7.407407407407398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1B1-4504-B9DA-38C9A2922326}"/>
                </c:ext>
              </c:extLst>
            </c:dLbl>
            <c:dLbl>
              <c:idx val="2"/>
              <c:layout>
                <c:manualLayout>
                  <c:x val="-5.2777777777777778E-2"/>
                  <c:y val="0.1203703703703703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1B1-4504-B9DA-38C9A2922326}"/>
                </c:ext>
              </c:extLst>
            </c:dLbl>
            <c:dLbl>
              <c:idx val="3"/>
              <c:layout>
                <c:manualLayout>
                  <c:x val="-4.1666666666666768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1B1-4504-B9DA-38C9A2922326}"/>
                </c:ext>
              </c:extLst>
            </c:dLbl>
            <c:dLbl>
              <c:idx val="4"/>
              <c:layout>
                <c:manualLayout>
                  <c:x val="-4.1666666666666664E-2"/>
                  <c:y val="5.55555555555556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1B1-4504-B9DA-38C9A292232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EN!$B$3:$F$3</c:f>
              <c:numCache>
                <c:formatCode>General</c:formatCode>
                <c:ptCount val="5"/>
                <c:pt idx="0">
                  <c:v>2021</c:v>
                </c:pt>
                <c:pt idx="1">
                  <c:v>2022</c:v>
                </c:pt>
                <c:pt idx="2">
                  <c:v>2023</c:v>
                </c:pt>
                <c:pt idx="3">
                  <c:v>2024</c:v>
                </c:pt>
                <c:pt idx="4">
                  <c:v>2025</c:v>
                </c:pt>
              </c:numCache>
            </c:numRef>
          </c:cat>
          <c:val>
            <c:numRef>
              <c:f>EN!$B$5:$F$5</c:f>
              <c:numCache>
                <c:formatCode>0.0</c:formatCode>
                <c:ptCount val="5"/>
                <c:pt idx="0">
                  <c:v>-4.2127275915935485</c:v>
                </c:pt>
                <c:pt idx="1">
                  <c:v>3.9083258528505525</c:v>
                </c:pt>
                <c:pt idx="2">
                  <c:v>15.387614641585202</c:v>
                </c:pt>
                <c:pt idx="3">
                  <c:v>8.4082624889642403</c:v>
                </c:pt>
                <c:pt idx="4">
                  <c:v>9.381383540240563</c:v>
                </c:pt>
              </c:numCache>
            </c:numRef>
          </c:val>
          <c:smooth val="0"/>
          <c:extLst>
            <c:ext xmlns:c16="http://schemas.microsoft.com/office/drawing/2014/chart" uri="{C3380CC4-5D6E-409C-BE32-E72D297353CC}">
              <c16:uniqueId val="{00000007-51B1-4504-B9DA-38C9A2922326}"/>
            </c:ext>
          </c:extLst>
        </c:ser>
        <c:dLbls>
          <c:showLegendKey val="0"/>
          <c:showVal val="0"/>
          <c:showCatName val="0"/>
          <c:showSerName val="0"/>
          <c:showPercent val="0"/>
          <c:showBubbleSize val="0"/>
        </c:dLbls>
        <c:marker val="1"/>
        <c:smooth val="0"/>
        <c:axId val="116867072"/>
        <c:axId val="116812608"/>
      </c:lineChart>
      <c:catAx>
        <c:axId val="16784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6812032"/>
        <c:crosses val="autoZero"/>
        <c:auto val="1"/>
        <c:lblAlgn val="ctr"/>
        <c:lblOffset val="100"/>
        <c:noMultiLvlLbl val="0"/>
      </c:catAx>
      <c:valAx>
        <c:axId val="1168120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844352"/>
        <c:crosses val="autoZero"/>
        <c:crossBetween val="between"/>
      </c:valAx>
      <c:valAx>
        <c:axId val="11681260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6867072"/>
        <c:crosses val="max"/>
        <c:crossBetween val="between"/>
      </c:valAx>
      <c:catAx>
        <c:axId val="116867072"/>
        <c:scaling>
          <c:orientation val="minMax"/>
        </c:scaling>
        <c:delete val="1"/>
        <c:axPos val="b"/>
        <c:numFmt formatCode="General" sourceLinked="1"/>
        <c:majorTickMark val="out"/>
        <c:minorTickMark val="none"/>
        <c:tickLblPos val="nextTo"/>
        <c:crossAx val="116812608"/>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800" b="1" i="0" baseline="0">
                <a:solidFill>
                  <a:sysClr val="windowText" lastClr="000000"/>
                </a:solidFill>
                <a:effectLst/>
                <a:latin typeface="Arial" panose="020B0604020202020204" pitchFamily="34" charset="0"/>
                <a:cs typeface="Arial" panose="020B0604020202020204" pitchFamily="34" charset="0"/>
              </a:rPr>
              <a:t>Export and import turnover of goods</a:t>
            </a:r>
          </a:p>
          <a:p>
            <a:pPr>
              <a:defRPr sz="800">
                <a:solidFill>
                  <a:sysClr val="windowText" lastClr="000000"/>
                </a:solidFill>
                <a:latin typeface="Arial" panose="020B0604020202020204" pitchFamily="34" charset="0"/>
                <a:cs typeface="Arial" panose="020B0604020202020204" pitchFamily="34" charset="0"/>
              </a:defRPr>
            </a:pPr>
            <a:r>
              <a:rPr lang="en-US" sz="800" b="1" i="1" baseline="0">
                <a:solidFill>
                  <a:sysClr val="windowText" lastClr="000000"/>
                </a:solidFill>
                <a:effectLst/>
                <a:latin typeface="Arial" panose="020B0604020202020204" pitchFamily="34" charset="0"/>
                <a:cs typeface="Arial" panose="020B0604020202020204" pitchFamily="34" charset="0"/>
              </a:rPr>
              <a:t>(Billion USD)</a:t>
            </a:r>
          </a:p>
        </c:rich>
      </c:tx>
      <c:layout/>
      <c:overlay val="0"/>
      <c:spPr>
        <a:noFill/>
        <a:ln>
          <a:no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stacked"/>
        <c:varyColors val="0"/>
        <c:ser>
          <c:idx val="0"/>
          <c:order val="0"/>
          <c:tx>
            <c:v>Xuất khẩu hàng hóa</c:v>
          </c:tx>
          <c:spPr>
            <a:solidFill>
              <a:srgbClr val="C00000"/>
            </a:solidFill>
            <a:ln w="3175">
              <a:solidFill>
                <a:schemeClr val="bg2">
                  <a:lumMod val="2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Arial "/>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EN'!$B$3:$B$8</c:f>
              <c:numCache>
                <c:formatCode>0.0</c:formatCode>
                <c:ptCount val="6"/>
                <c:pt idx="0">
                  <c:v>7.9</c:v>
                </c:pt>
                <c:pt idx="1">
                  <c:v>19.600000000000001</c:v>
                </c:pt>
                <c:pt idx="2">
                  <c:v>5.7</c:v>
                </c:pt>
                <c:pt idx="3">
                  <c:v>4.4000000000000004</c:v>
                </c:pt>
                <c:pt idx="4">
                  <c:v>8.8000000000000007</c:v>
                </c:pt>
                <c:pt idx="5">
                  <c:v>4.2</c:v>
                </c:pt>
              </c:numCache>
            </c:numRef>
          </c:val>
          <c:extLst>
            <c:ext xmlns:c16="http://schemas.microsoft.com/office/drawing/2014/chart" uri="{C3380CC4-5D6E-409C-BE32-E72D297353CC}">
              <c16:uniqueId val="{00000000-E3AC-4F69-A0A9-3D11DFA777C7}"/>
            </c:ext>
          </c:extLst>
        </c:ser>
        <c:ser>
          <c:idx val="1"/>
          <c:order val="1"/>
          <c:tx>
            <c:v>Nhập khẩu hàng hóa</c:v>
          </c:tx>
          <c:spPr>
            <a:solidFill>
              <a:srgbClr val="FFFF00"/>
            </a:solidFill>
            <a:ln w="3175">
              <a:solidFill>
                <a:schemeClr val="bg2">
                  <a:lumMod val="25000"/>
                </a:schemeClr>
              </a:solidFill>
            </a:ln>
            <a:effectLst/>
          </c:spPr>
          <c:invertIfNegative val="0"/>
          <c:dLbls>
            <c:dLbl>
              <c:idx val="1"/>
              <c:layout>
                <c:manualLayout>
                  <c:x val="-4.8966670800076898E-17"/>
                  <c:y val="9.272137227630969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3AC-4F69-A0A9-3D11DFA777C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EN'!$D$3:$D$8</c:f>
              <c:numCache>
                <c:formatCode>0.0</c:formatCode>
                <c:ptCount val="6"/>
                <c:pt idx="0">
                  <c:v>23.3</c:v>
                </c:pt>
                <c:pt idx="1">
                  <c:v>2.6</c:v>
                </c:pt>
                <c:pt idx="2">
                  <c:v>7.8</c:v>
                </c:pt>
                <c:pt idx="3">
                  <c:v>9</c:v>
                </c:pt>
                <c:pt idx="4">
                  <c:v>2.4</c:v>
                </c:pt>
                <c:pt idx="5">
                  <c:v>3.7</c:v>
                </c:pt>
              </c:numCache>
            </c:numRef>
          </c:val>
          <c:extLst>
            <c:ext xmlns:c16="http://schemas.microsoft.com/office/drawing/2014/chart" uri="{C3380CC4-5D6E-409C-BE32-E72D297353CC}">
              <c16:uniqueId val="{00000002-E3AC-4F69-A0A9-3D11DFA777C7}"/>
            </c:ext>
          </c:extLst>
        </c:ser>
        <c:dLbls>
          <c:showLegendKey val="0"/>
          <c:showVal val="0"/>
          <c:showCatName val="0"/>
          <c:showSerName val="0"/>
          <c:showPercent val="0"/>
          <c:showBubbleSize val="0"/>
        </c:dLbls>
        <c:gapWidth val="75"/>
        <c:overlap val="100"/>
        <c:axId val="319683056"/>
        <c:axId val="319688048"/>
      </c:barChart>
      <c:catAx>
        <c:axId val="319683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319688048"/>
        <c:crosses val="autoZero"/>
        <c:auto val="1"/>
        <c:lblAlgn val="ctr"/>
        <c:lblOffset val="100"/>
        <c:noMultiLvlLbl val="0"/>
      </c:catAx>
      <c:valAx>
        <c:axId val="31968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Arial "/>
                <a:ea typeface="+mn-ea"/>
                <a:cs typeface="+mn-cs"/>
              </a:defRPr>
            </a:pPr>
            <a:endParaRPr lang="en-US"/>
          </a:p>
        </c:txPr>
        <c:crossAx val="31968305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US" sz="800" b="1" i="0" baseline="0">
                <a:solidFill>
                  <a:sysClr val="windowText" lastClr="000000"/>
                </a:solidFill>
                <a:effectLst/>
                <a:latin typeface="Arial" panose="020B0604020202020204" pitchFamily="34" charset="0"/>
                <a:cs typeface="Arial" panose="020B0604020202020204" pitchFamily="34" charset="0"/>
              </a:rPr>
              <a:t>Growth rate over the same period last year </a:t>
            </a:r>
            <a:r>
              <a:rPr lang="en-US" sz="800" b="1" i="1" baseline="0">
                <a:solidFill>
                  <a:sysClr val="windowText" lastClr="000000"/>
                </a:solidFill>
                <a:effectLst/>
                <a:latin typeface="Arial" panose="020B0604020202020204" pitchFamily="34" charset="0"/>
                <a:cs typeface="Arial" panose="020B0604020202020204" pitchFamily="34" charset="0"/>
              </a:rPr>
              <a:t>(%)</a:t>
            </a:r>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80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v>Xuất khẩu hàng hóa</c:v>
          </c:tx>
          <c:spPr>
            <a:solidFill>
              <a:srgbClr val="C00000"/>
            </a:solidFill>
            <a:ln w="3175">
              <a:solidFill>
                <a:schemeClr val="bg2">
                  <a:lumMod val="25000"/>
                </a:schemeClr>
              </a:solid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2">
                        <a:lumMod val="25000"/>
                      </a:schemeClr>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EN'!$C$3:$C$8</c:f>
              <c:numCache>
                <c:formatCode>0.0</c:formatCode>
                <c:ptCount val="6"/>
                <c:pt idx="0" formatCode="General">
                  <c:v>-2.1</c:v>
                </c:pt>
                <c:pt idx="1">
                  <c:v>16.5</c:v>
                </c:pt>
                <c:pt idx="2">
                  <c:v>-1.4</c:v>
                </c:pt>
                <c:pt idx="3">
                  <c:v>4.9000000000000004</c:v>
                </c:pt>
                <c:pt idx="4" formatCode="General">
                  <c:v>13.3</c:v>
                </c:pt>
                <c:pt idx="5">
                  <c:v>15.1</c:v>
                </c:pt>
              </c:numCache>
            </c:numRef>
          </c:val>
          <c:extLst>
            <c:ext xmlns:c16="http://schemas.microsoft.com/office/drawing/2014/chart" uri="{C3380CC4-5D6E-409C-BE32-E72D297353CC}">
              <c16:uniqueId val="{00000000-4339-4620-A297-CB5E97F69EE3}"/>
            </c:ext>
          </c:extLst>
        </c:ser>
        <c:ser>
          <c:idx val="1"/>
          <c:order val="1"/>
          <c:tx>
            <c:v>Nhập khẩu hàng hóa</c:v>
          </c:tx>
          <c:spPr>
            <a:solidFill>
              <a:srgbClr val="FFFF00"/>
            </a:solidFill>
            <a:ln w="3175">
              <a:solidFill>
                <a:schemeClr val="bg2">
                  <a:lumMod val="25000"/>
                </a:schemeClr>
              </a:solidFill>
            </a:ln>
            <a:effectLst/>
          </c:spPr>
          <c:invertIfNegative val="0"/>
          <c:dLbls>
            <c:dLbl>
              <c:idx val="1"/>
              <c:layout>
                <c:manualLayout>
                  <c:x val="3.5813458100346151E-4"/>
                  <c:y val="-3.786685755189692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339-4620-A297-CB5E97F69EE3}"/>
                </c:ext>
              </c:extLst>
            </c:dLbl>
            <c:dLbl>
              <c:idx val="4"/>
              <c:layout>
                <c:manualLayout>
                  <c:x val="7.6045627376424927E-3"/>
                  <c:y val="1.13648293963254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339-4620-A297-CB5E97F69EE3}"/>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2">
                        <a:lumMod val="25000"/>
                      </a:schemeClr>
                    </a:solidFill>
                    <a:latin typeface="Arial "/>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'XNK nước EN'!$A$3:$A$8</c:f>
              <c:strCache>
                <c:ptCount val="6"/>
                <c:pt idx="0">
                  <c:v>China, PR</c:v>
                </c:pt>
                <c:pt idx="1">
                  <c:v>United States</c:v>
                </c:pt>
                <c:pt idx="2">
                  <c:v>ASEAN</c:v>
                </c:pt>
                <c:pt idx="3">
                  <c:v>Korea, Rep.</c:v>
                </c:pt>
                <c:pt idx="4">
                  <c:v>EU</c:v>
                </c:pt>
                <c:pt idx="5">
                  <c:v>Japan</c:v>
                </c:pt>
              </c:strCache>
            </c:strRef>
          </c:cat>
          <c:val>
            <c:numRef>
              <c:f>'XNK nước EN'!$E$3:$E$8</c:f>
              <c:numCache>
                <c:formatCode>General</c:formatCode>
                <c:ptCount val="6"/>
                <c:pt idx="0" formatCode="0.0">
                  <c:v>20.7</c:v>
                </c:pt>
                <c:pt idx="1">
                  <c:v>17.399999999999999</c:v>
                </c:pt>
                <c:pt idx="2">
                  <c:v>15.9</c:v>
                </c:pt>
                <c:pt idx="3">
                  <c:v>12.4</c:v>
                </c:pt>
                <c:pt idx="4" formatCode="0.0">
                  <c:v>0.4</c:v>
                </c:pt>
                <c:pt idx="5" formatCode="0.0">
                  <c:v>4.7</c:v>
                </c:pt>
              </c:numCache>
            </c:numRef>
          </c:val>
          <c:extLst>
            <c:ext xmlns:c16="http://schemas.microsoft.com/office/drawing/2014/chart" uri="{C3380CC4-5D6E-409C-BE32-E72D297353CC}">
              <c16:uniqueId val="{00000003-4339-4620-A297-CB5E97F69EE3}"/>
            </c:ext>
          </c:extLst>
        </c:ser>
        <c:dLbls>
          <c:showLegendKey val="0"/>
          <c:showVal val="0"/>
          <c:showCatName val="0"/>
          <c:showSerName val="0"/>
          <c:showPercent val="0"/>
          <c:showBubbleSize val="0"/>
        </c:dLbls>
        <c:gapWidth val="50"/>
        <c:overlap val="-27"/>
        <c:axId val="464358304"/>
        <c:axId val="464351232"/>
      </c:barChart>
      <c:catAx>
        <c:axId val="4643583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64351232"/>
        <c:crosses val="autoZero"/>
        <c:auto val="1"/>
        <c:lblAlgn val="ctr"/>
        <c:lblOffset val="100"/>
        <c:noMultiLvlLbl val="0"/>
      </c:catAx>
      <c:valAx>
        <c:axId val="464351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
                <a:ea typeface="+mn-ea"/>
                <a:cs typeface="+mn-cs"/>
              </a:defRPr>
            </a:pPr>
            <a:endParaRPr lang="en-US"/>
          </a:p>
        </c:txPr>
        <c:crossAx val="4643583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'Biểu đồ 1'!$B$1</c:f>
              <c:strCache>
                <c:ptCount val="1"/>
                <c:pt idx="0">
                  <c:v>Hình 1. Tốc độ tăng CPI tháng 02/2025 so với tháng trước</c:v>
                </c:pt>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8110-45D5-8E4D-E58D02BC0EAE}"/>
              </c:ext>
            </c:extLst>
          </c:dPt>
          <c:dPt>
            <c:idx val="1"/>
            <c:invertIfNegative val="0"/>
            <c:bubble3D val="0"/>
            <c:spPr>
              <a:solidFill>
                <a:srgbClr val="FF0000"/>
              </a:solidFill>
              <a:ln>
                <a:noFill/>
              </a:ln>
              <a:effectLst/>
            </c:spPr>
            <c:extLst>
              <c:ext xmlns:c16="http://schemas.microsoft.com/office/drawing/2014/chart" uri="{C3380CC4-5D6E-409C-BE32-E72D297353CC}">
                <c16:uniqueId val="{00000003-8110-45D5-8E4D-E58D02BC0EAE}"/>
              </c:ext>
            </c:extLst>
          </c:dPt>
          <c:dPt>
            <c:idx val="2"/>
            <c:invertIfNegative val="0"/>
            <c:bubble3D val="0"/>
            <c:spPr>
              <a:solidFill>
                <a:srgbClr val="FF0000"/>
              </a:solidFill>
              <a:ln>
                <a:noFill/>
              </a:ln>
              <a:effectLst/>
            </c:spPr>
            <c:extLst>
              <c:ext xmlns:c16="http://schemas.microsoft.com/office/drawing/2014/chart" uri="{C3380CC4-5D6E-409C-BE32-E72D297353CC}">
                <c16:uniqueId val="{00000005-8110-45D5-8E4D-E58D02BC0EAE}"/>
              </c:ext>
            </c:extLst>
          </c:dPt>
          <c:dPt>
            <c:idx val="3"/>
            <c:invertIfNegative val="0"/>
            <c:bubble3D val="0"/>
            <c:spPr>
              <a:solidFill>
                <a:srgbClr val="FF0000"/>
              </a:solidFill>
              <a:ln>
                <a:noFill/>
              </a:ln>
              <a:effectLst/>
            </c:spPr>
            <c:extLst>
              <c:ext xmlns:c16="http://schemas.microsoft.com/office/drawing/2014/chart" uri="{C3380CC4-5D6E-409C-BE32-E72D297353CC}">
                <c16:uniqueId val="{00000007-8110-45D5-8E4D-E58D02BC0EAE}"/>
              </c:ext>
            </c:extLst>
          </c:dPt>
          <c:dPt>
            <c:idx val="4"/>
            <c:invertIfNegative val="0"/>
            <c:bubble3D val="0"/>
            <c:spPr>
              <a:solidFill>
                <a:srgbClr val="FF0000"/>
              </a:solidFill>
              <a:ln>
                <a:noFill/>
              </a:ln>
              <a:effectLst/>
            </c:spPr>
            <c:extLst>
              <c:ext xmlns:c16="http://schemas.microsoft.com/office/drawing/2014/chart" uri="{C3380CC4-5D6E-409C-BE32-E72D297353CC}">
                <c16:uniqueId val="{00000009-8110-45D5-8E4D-E58D02BC0EAE}"/>
              </c:ext>
            </c:extLst>
          </c:dPt>
          <c:dPt>
            <c:idx val="5"/>
            <c:invertIfNegative val="0"/>
            <c:bubble3D val="0"/>
            <c:spPr>
              <a:solidFill>
                <a:srgbClr val="FF0000"/>
              </a:solidFill>
              <a:ln>
                <a:noFill/>
              </a:ln>
              <a:effectLst/>
            </c:spPr>
            <c:extLst>
              <c:ext xmlns:c16="http://schemas.microsoft.com/office/drawing/2014/chart" uri="{C3380CC4-5D6E-409C-BE32-E72D297353CC}">
                <c16:uniqueId val="{0000000B-8110-45D5-8E4D-E58D02BC0EAE}"/>
              </c:ext>
            </c:extLst>
          </c:dPt>
          <c:dPt>
            <c:idx val="6"/>
            <c:invertIfNegative val="0"/>
            <c:bubble3D val="0"/>
            <c:spPr>
              <a:solidFill>
                <a:srgbClr val="FF0000"/>
              </a:solidFill>
              <a:ln>
                <a:noFill/>
              </a:ln>
              <a:effectLst/>
            </c:spPr>
            <c:extLst>
              <c:ext xmlns:c16="http://schemas.microsoft.com/office/drawing/2014/chart" uri="{C3380CC4-5D6E-409C-BE32-E72D297353CC}">
                <c16:uniqueId val="{0000000D-8110-45D5-8E4D-E58D02BC0EAE}"/>
              </c:ext>
            </c:extLst>
          </c:dPt>
          <c:dPt>
            <c:idx val="7"/>
            <c:invertIfNegative val="0"/>
            <c:bubble3D val="0"/>
            <c:spPr>
              <a:solidFill>
                <a:srgbClr val="FF0000"/>
              </a:solidFill>
              <a:ln>
                <a:noFill/>
              </a:ln>
              <a:effectLst/>
            </c:spPr>
            <c:extLst>
              <c:ext xmlns:c16="http://schemas.microsoft.com/office/drawing/2014/chart" uri="{C3380CC4-5D6E-409C-BE32-E72D297353CC}">
                <c16:uniqueId val="{0000000F-8110-45D5-8E4D-E58D02BC0EAE}"/>
              </c:ext>
            </c:extLst>
          </c:dPt>
          <c:dPt>
            <c:idx val="8"/>
            <c:invertIfNegative val="0"/>
            <c:bubble3D val="0"/>
            <c:spPr>
              <a:solidFill>
                <a:srgbClr val="FF0000"/>
              </a:solidFill>
              <a:ln>
                <a:noFill/>
              </a:ln>
              <a:effectLst/>
            </c:spPr>
            <c:extLst>
              <c:ext xmlns:c16="http://schemas.microsoft.com/office/drawing/2014/chart" uri="{C3380CC4-5D6E-409C-BE32-E72D297353CC}">
                <c16:uniqueId val="{00000011-8110-45D5-8E4D-E58D02BC0EAE}"/>
              </c:ext>
            </c:extLst>
          </c:dPt>
          <c:dPt>
            <c:idx val="9"/>
            <c:invertIfNegative val="0"/>
            <c:bubble3D val="0"/>
            <c:spPr>
              <a:solidFill>
                <a:srgbClr val="FF0000"/>
              </a:solidFill>
              <a:ln>
                <a:solidFill>
                  <a:srgbClr val="FF0000"/>
                </a:solidFill>
              </a:ln>
              <a:effectLst/>
            </c:spPr>
            <c:extLst>
              <c:ext xmlns:c16="http://schemas.microsoft.com/office/drawing/2014/chart" uri="{C3380CC4-5D6E-409C-BE32-E72D297353CC}">
                <c16:uniqueId val="{00000013-8110-45D5-8E4D-E58D02BC0EAE}"/>
              </c:ext>
            </c:extLst>
          </c:dPt>
          <c:dPt>
            <c:idx val="10"/>
            <c:invertIfNegative val="0"/>
            <c:bubble3D val="0"/>
            <c:spPr>
              <a:solidFill>
                <a:srgbClr val="00B050"/>
              </a:solidFill>
              <a:ln>
                <a:solidFill>
                  <a:srgbClr val="00B050"/>
                </a:solidFill>
              </a:ln>
              <a:effectLst/>
            </c:spPr>
            <c:extLst>
              <c:ext xmlns:c16="http://schemas.microsoft.com/office/drawing/2014/chart" uri="{C3380CC4-5D6E-409C-BE32-E72D297353CC}">
                <c16:uniqueId val="{00000015-8110-45D5-8E4D-E58D02BC0EAE}"/>
              </c:ext>
            </c:extLst>
          </c:dPt>
          <c:dPt>
            <c:idx val="11"/>
            <c:invertIfNegative val="0"/>
            <c:bubble3D val="0"/>
            <c:spPr>
              <a:solidFill>
                <a:srgbClr val="00B050"/>
              </a:solidFill>
              <a:ln>
                <a:noFill/>
              </a:ln>
              <a:effectLst/>
            </c:spPr>
            <c:extLst>
              <c:ext xmlns:c16="http://schemas.microsoft.com/office/drawing/2014/chart" uri="{C3380CC4-5D6E-409C-BE32-E72D297353CC}">
                <c16:uniqueId val="{00000017-8110-45D5-8E4D-E58D02BC0EAE}"/>
              </c:ext>
            </c:extLst>
          </c:dPt>
          <c:dLbls>
            <c:dLbl>
              <c:idx val="6"/>
              <c:layout/>
              <c:tx>
                <c:rich>
                  <a:bodyPr/>
                  <a:lstStyle/>
                  <a:p>
                    <a:r>
                      <a:rPr lang="en-US"/>
                      <a:t>0,17%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8110-45D5-8E4D-E58D02BC0EAE}"/>
                </c:ext>
              </c:extLst>
            </c:dLbl>
            <c:dLbl>
              <c:idx val="7"/>
              <c:layout/>
              <c:tx>
                <c:rich>
                  <a:bodyPr/>
                  <a:lstStyle/>
                  <a:p>
                    <a:r>
                      <a:rPr lang="en-US"/>
                      <a:t>0,12%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8110-45D5-8E4D-E58D02BC0EA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'Biểu đồ 1'!$A$2:$A$13</c:f>
              <c:strCache>
                <c:ptCount val="12"/>
                <c:pt idx="0">
                  <c:v>CHỈ SỐ GIÁ TIÊU DÙNG</c:v>
                </c:pt>
                <c:pt idx="1">
                  <c:v>VII. Transport</c:v>
                </c:pt>
                <c:pt idx="2">
                  <c:v>IV. Housing and construction materials</c:v>
                </c:pt>
                <c:pt idx="3">
                  <c:v>I. Food and foodstuff</c:v>
                </c:pt>
                <c:pt idx="4">
                  <c:v>VI. Medicine and health care services</c:v>
                </c:pt>
                <c:pt idx="5">
                  <c:v>XI. Other consumer goods and services</c:v>
                </c:pt>
                <c:pt idx="6">
                  <c:v>X. Culture, entertainments and tourism</c:v>
                </c:pt>
                <c:pt idx="7">
                  <c:v>II. Beverage and cigarette</c:v>
                </c:pt>
                <c:pt idx="8">
                  <c:v>V. Household equipment and goods</c:v>
                </c:pt>
                <c:pt idx="9">
                  <c:v>IX. Education </c:v>
                </c:pt>
                <c:pt idx="10">
                  <c:v>VIII. Post and communication</c:v>
                </c:pt>
                <c:pt idx="11">
                  <c:v>III. Garment, hat, footwear</c:v>
                </c:pt>
              </c:strCache>
            </c:strRef>
          </c:cat>
          <c:val>
            <c:numRef>
              <c:f>'Biểu đồ 1'!$B$2:$B$13</c:f>
              <c:numCache>
                <c:formatCode>0.00%</c:formatCode>
                <c:ptCount val="12"/>
                <c:pt idx="0">
                  <c:v>3.3889999999999532E-3</c:v>
                </c:pt>
                <c:pt idx="1">
                  <c:v>6.2669999999999957E-3</c:v>
                </c:pt>
                <c:pt idx="2">
                  <c:v>5.5429999999999776E-3</c:v>
                </c:pt>
                <c:pt idx="3">
                  <c:v>4.2610000000000529E-3</c:v>
                </c:pt>
                <c:pt idx="4">
                  <c:v>3.0819999999999936E-3</c:v>
                </c:pt>
                <c:pt idx="5">
                  <c:v>1.7619999999999435E-3</c:v>
                </c:pt>
                <c:pt idx="6">
                  <c:v>1.723999999999961E-3</c:v>
                </c:pt>
                <c:pt idx="7">
                  <c:v>1.1780000000000256E-3</c:v>
                </c:pt>
                <c:pt idx="8">
                  <c:v>5.0799999999995293E-4</c:v>
                </c:pt>
                <c:pt idx="9">
                  <c:v>1.7300000000005866E-4</c:v>
                </c:pt>
                <c:pt idx="10">
                  <c:v>-3.1099999999995021E-4</c:v>
                </c:pt>
                <c:pt idx="11">
                  <c:v>-1.0769999999999413E-3</c:v>
                </c:pt>
              </c:numCache>
            </c:numRef>
          </c:val>
          <c:extLst>
            <c:ext xmlns:c16="http://schemas.microsoft.com/office/drawing/2014/chart" uri="{C3380CC4-5D6E-409C-BE32-E72D297353CC}">
              <c16:uniqueId val="{00000018-8110-45D5-8E4D-E58D02BC0EAE}"/>
            </c:ext>
          </c:extLst>
        </c:ser>
        <c:dLbls>
          <c:showLegendKey val="0"/>
          <c:showVal val="0"/>
          <c:showCatName val="0"/>
          <c:showSerName val="0"/>
          <c:showPercent val="0"/>
          <c:showBubbleSize val="0"/>
        </c:dLbls>
        <c:gapWidth val="166"/>
        <c:axId val="1621770432"/>
        <c:axId val="1621771520"/>
      </c:barChart>
      <c:catAx>
        <c:axId val="1621770432"/>
        <c:scaling>
          <c:orientation val="minMax"/>
        </c:scaling>
        <c:delete val="0"/>
        <c:axPos val="b"/>
        <c:numFmt formatCode="General" sourceLinked="1"/>
        <c:majorTickMark val="none"/>
        <c:minorTickMark val="none"/>
        <c:tickLblPos val="low"/>
        <c:spPr>
          <a:noFill/>
          <a:ln w="9525" cap="flat" cmpd="sng" algn="ctr">
            <a:solidFill>
              <a:schemeClr val="bg2">
                <a:lumMod val="25000"/>
              </a:schemeClr>
            </a:solidFill>
            <a:round/>
          </a:ln>
          <a:effectLst/>
        </c:spPr>
        <c:txPr>
          <a:bodyPr rot="-60000000" spcFirstLastPara="1" vertOverflow="ellipsis" vert="horz" wrap="square" anchor="ctr" anchorCtr="1"/>
          <a:lstStyle/>
          <a:p>
            <a:pPr>
              <a:defRPr sz="8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21771520"/>
        <c:crosses val="autoZero"/>
        <c:auto val="1"/>
        <c:lblAlgn val="ctr"/>
        <c:lblOffset val="100"/>
        <c:noMultiLvlLbl val="0"/>
      </c:catAx>
      <c:valAx>
        <c:axId val="162177152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crossAx val="16217704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0.18303</cdr:x>
      <cdr:y>0.12744</cdr:y>
    </cdr:from>
    <cdr:to>
      <cdr:x>0.23397</cdr:x>
      <cdr:y>0.17207</cdr:y>
    </cdr:to>
    <cdr:sp macro="" textlink="">
      <cdr:nvSpPr>
        <cdr:cNvPr id="4" name="Rectangle 3">
          <a:extLst xmlns:a="http://schemas.openxmlformats.org/drawingml/2006/main">
            <a:ext uri="{FF2B5EF4-FFF2-40B4-BE49-F238E27FC236}">
              <a16:creationId xmlns:a16="http://schemas.microsoft.com/office/drawing/2014/main" id="{74DF8E20-E5C2-D015-9566-587CFDFAB363}"/>
            </a:ext>
          </a:extLst>
        </cdr:cNvPr>
        <cdr:cNvSpPr/>
      </cdr:nvSpPr>
      <cdr:spPr>
        <a:xfrm xmlns:a="http://schemas.openxmlformats.org/drawingml/2006/main">
          <a:off x="1941067" y="552747"/>
          <a:ext cx="540225" cy="19353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44,1%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0.72405</cdr:x>
      <cdr:y>0.56949</cdr:y>
    </cdr:from>
    <cdr:to>
      <cdr:x>0.79909</cdr:x>
      <cdr:y>0.63027</cdr:y>
    </cdr:to>
    <cdr:sp macro="" textlink="">
      <cdr:nvSpPr>
        <cdr:cNvPr id="5" name="Rectangle 4">
          <a:extLst xmlns:a="http://schemas.openxmlformats.org/drawingml/2006/main">
            <a:ext uri="{FF2B5EF4-FFF2-40B4-BE49-F238E27FC236}">
              <a16:creationId xmlns:a16="http://schemas.microsoft.com/office/drawing/2014/main" id="{0880D7C8-9B92-7079-8B94-D704261C72FA}"/>
            </a:ext>
          </a:extLst>
        </cdr:cNvPr>
        <cdr:cNvSpPr/>
      </cdr:nvSpPr>
      <cdr:spPr>
        <a:xfrm xmlns:a="http://schemas.openxmlformats.org/drawingml/2006/main">
          <a:off x="6740715" y="2677478"/>
          <a:ext cx="698603" cy="28574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  10,1%</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0.01753</cdr:x>
      <cdr:y>0.03114</cdr:y>
    </cdr:from>
    <cdr:to>
      <cdr:x>0.11695</cdr:x>
      <cdr:y>0.08644</cdr:y>
    </cdr:to>
    <cdr:sp macro="" textlink="">
      <cdr:nvSpPr>
        <cdr:cNvPr id="6" name="Text Box 1">
          <a:extLst xmlns:a="http://schemas.openxmlformats.org/drawingml/2006/main">
            <a:ext uri="{FF2B5EF4-FFF2-40B4-BE49-F238E27FC236}">
              <a16:creationId xmlns:a16="http://schemas.microsoft.com/office/drawing/2014/main" id="{7CFA4185-AC5D-A44F-2CBB-DC19495B8A69}"/>
            </a:ext>
          </a:extLst>
        </cdr:cNvPr>
        <cdr:cNvSpPr txBox="1"/>
      </cdr:nvSpPr>
      <cdr:spPr>
        <a:xfrm xmlns:a="http://schemas.openxmlformats.org/drawingml/2006/main">
          <a:off x="146088" y="155555"/>
          <a:ext cx="828615" cy="27626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US" sz="1100" b="1" i="1">
              <a:effectLst/>
              <a:latin typeface="+mn-lt"/>
              <a:ea typeface="+mn-ea"/>
              <a:cs typeface="+mn-cs"/>
            </a:rPr>
            <a:t>Billion </a:t>
          </a:r>
          <a:r>
            <a:rPr lang="en-US" sz="1100" b="1" i="1" baseline="0">
              <a:effectLst/>
              <a:latin typeface="+mn-lt"/>
              <a:ea typeface="+mn-ea"/>
              <a:cs typeface="+mn-cs"/>
            </a:rPr>
            <a:t>VND</a:t>
          </a:r>
          <a:endParaRPr lang="en-US" sz="900">
            <a:effectLst/>
          </a:endParaRPr>
        </a:p>
        <a:p xmlns:a="http://schemas.openxmlformats.org/drawingml/2006/main">
          <a:endParaRPr lang="en-US" sz="900" b="1" i="1">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0.16911</cdr:x>
      <cdr:y>0.12934</cdr:y>
    </cdr:from>
    <cdr:to>
      <cdr:x>0.18829</cdr:x>
      <cdr:y>0.16475</cdr:y>
    </cdr:to>
    <cdr:sp macro="" textlink="">
      <cdr:nvSpPr>
        <cdr:cNvPr id="7" name="Arrow: Right 6">
          <a:extLst xmlns:a="http://schemas.openxmlformats.org/drawingml/2006/main">
            <a:ext uri="{FF2B5EF4-FFF2-40B4-BE49-F238E27FC236}">
              <a16:creationId xmlns:a16="http://schemas.microsoft.com/office/drawing/2014/main" id="{97CF3DA6-C0D4-EEB5-6CEC-E48D4D955573}"/>
            </a:ext>
          </a:extLst>
        </cdr:cNvPr>
        <cdr:cNvSpPr/>
      </cdr:nvSpPr>
      <cdr:spPr>
        <a:xfrm xmlns:a="http://schemas.openxmlformats.org/drawingml/2006/main" rot="16200000">
          <a:off x="1818325" y="536048"/>
          <a:ext cx="153581"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0.52733</cdr:x>
      <cdr:y>0.51877</cdr:y>
    </cdr:from>
    <cdr:to>
      <cdr:x>0.54651</cdr:x>
      <cdr:y>0.55418</cdr:y>
    </cdr:to>
    <cdr:sp macro="" textlink="">
      <cdr:nvSpPr>
        <cdr:cNvPr id="11" name="Arrow: Right 10">
          <a:extLst xmlns:a="http://schemas.openxmlformats.org/drawingml/2006/main">
            <a:ext uri="{FF2B5EF4-FFF2-40B4-BE49-F238E27FC236}">
              <a16:creationId xmlns:a16="http://schemas.microsoft.com/office/drawing/2014/main" id="{2069DF1B-87D3-7189-B4C4-DFA2B71A37EC}"/>
            </a:ext>
          </a:extLst>
        </cdr:cNvPr>
        <cdr:cNvSpPr/>
      </cdr:nvSpPr>
      <cdr:spPr>
        <a:xfrm xmlns:a="http://schemas.openxmlformats.org/drawingml/2006/main" rot="16200000">
          <a:off x="5620847" y="2117801"/>
          <a:ext cx="146497" cy="203406"/>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0.42964</cdr:x>
      <cdr:y>0.50398</cdr:y>
    </cdr:from>
    <cdr:to>
      <cdr:x>0.44882</cdr:x>
      <cdr:y>0.53939</cdr:y>
    </cdr:to>
    <cdr:sp macro="" textlink="">
      <cdr:nvSpPr>
        <cdr:cNvPr id="13" name="Arrow: Right 12">
          <a:extLst xmlns:a="http://schemas.openxmlformats.org/drawingml/2006/main">
            <a:ext uri="{FF2B5EF4-FFF2-40B4-BE49-F238E27FC236}">
              <a16:creationId xmlns:a16="http://schemas.microsoft.com/office/drawing/2014/main" id="{B3E23A0A-4E44-37BF-8991-C46BEDBBAFD5}"/>
            </a:ext>
          </a:extLst>
        </cdr:cNvPr>
        <cdr:cNvSpPr/>
      </cdr:nvSpPr>
      <cdr:spPr>
        <a:xfrm xmlns:a="http://schemas.openxmlformats.org/drawingml/2006/main" rot="16200000">
          <a:off x="4584796" y="2056588"/>
          <a:ext cx="146498"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0.24983</cdr:x>
      <cdr:y>0.37933</cdr:y>
    </cdr:from>
    <cdr:to>
      <cdr:x>0.36926</cdr:x>
      <cdr:y>0.4202</cdr:y>
    </cdr:to>
    <cdr:sp macro="" textlink="">
      <cdr:nvSpPr>
        <cdr:cNvPr id="14" name="Rectangle 13">
          <a:extLst xmlns:a="http://schemas.openxmlformats.org/drawingml/2006/main">
            <a:ext uri="{FF2B5EF4-FFF2-40B4-BE49-F238E27FC236}">
              <a16:creationId xmlns:a16="http://schemas.microsoft.com/office/drawing/2014/main" id="{DF40C718-A3E0-1AB3-8BEF-853B18AE7F7E}"/>
            </a:ext>
          </a:extLst>
        </cdr:cNvPr>
        <cdr:cNvSpPr/>
      </cdr:nvSpPr>
      <cdr:spPr>
        <a:xfrm xmlns:a="http://schemas.openxmlformats.org/drawingml/2006/main">
          <a:off x="2649434" y="1569343"/>
          <a:ext cx="1266571" cy="16908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14,8%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0.35155</cdr:x>
      <cdr:y>0.47974</cdr:y>
    </cdr:from>
    <cdr:to>
      <cdr:x>0.44912</cdr:x>
      <cdr:y>0.57986</cdr:y>
    </cdr:to>
    <cdr:sp macro="" textlink="">
      <cdr:nvSpPr>
        <cdr:cNvPr id="15" name="Rectangle 14">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3728271" y="2080730"/>
          <a:ext cx="1034744" cy="43424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73,8%</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0.44027</cdr:x>
      <cdr:y>0.49895</cdr:y>
    </cdr:from>
    <cdr:to>
      <cdr:x>0.53784</cdr:x>
      <cdr:y>0.57682</cdr:y>
    </cdr:to>
    <cdr:sp macro="" textlink="">
      <cdr:nvSpPr>
        <cdr:cNvPr id="16" name="Rectangle 15">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4669092" y="2164062"/>
          <a:ext cx="1034744" cy="33773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25,3%</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0.54095</cdr:x>
      <cdr:y>0.51629</cdr:y>
    </cdr:from>
    <cdr:to>
      <cdr:x>0.63852</cdr:x>
      <cdr:y>0.60168</cdr:y>
    </cdr:to>
    <cdr:sp macro="" textlink="">
      <cdr:nvSpPr>
        <cdr:cNvPr id="17" name="Rectangle 16">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056712" y="2165510"/>
          <a:ext cx="912069" cy="35813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34,7%</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0.63421</cdr:x>
      <cdr:y>0.55036</cdr:y>
    </cdr:from>
    <cdr:to>
      <cdr:x>0.73178</cdr:x>
      <cdr:y>0.62627</cdr:y>
    </cdr:to>
    <cdr:sp macro="" textlink="">
      <cdr:nvSpPr>
        <cdr:cNvPr id="18" name="Rectangle 17">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5928492" y="2308385"/>
          <a:ext cx="912068" cy="31840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baseline="0">
              <a:solidFill>
                <a:sysClr val="windowText" lastClr="000000"/>
              </a:solidFill>
              <a:latin typeface="Arial" panose="020B0604020202020204" pitchFamily="34" charset="0"/>
              <a:cs typeface="Arial" panose="020B0604020202020204" pitchFamily="34" charset="0"/>
            </a:rPr>
            <a:t>   7</a:t>
          </a:r>
          <a:r>
            <a:rPr lang="en-US" sz="800">
              <a:solidFill>
                <a:sysClr val="windowText" lastClr="000000"/>
              </a:solidFill>
              <a:latin typeface="Arial" panose="020B0604020202020204" pitchFamily="34" charset="0"/>
              <a:cs typeface="Arial" panose="020B0604020202020204" pitchFamily="34" charset="0"/>
            </a:rPr>
            <a:t>,2%</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0.83213</cdr:x>
      <cdr:y>0.57307</cdr:y>
    </cdr:from>
    <cdr:to>
      <cdr:x>0.94014</cdr:x>
      <cdr:y>0.63395</cdr:y>
    </cdr:to>
    <cdr:sp macro="" textlink="">
      <cdr:nvSpPr>
        <cdr:cNvPr id="19" name="Rectangle 18">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7778593" y="2403635"/>
          <a:ext cx="1009650" cy="25536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20,6%</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0.93094</cdr:x>
      <cdr:y>0.58712</cdr:y>
    </cdr:from>
    <cdr:to>
      <cdr:x>1</cdr:x>
      <cdr:y>0.637</cdr:y>
    </cdr:to>
    <cdr:sp macro="" textlink="">
      <cdr:nvSpPr>
        <cdr:cNvPr id="20" name="Rectangle 19">
          <a:extLst xmlns:a="http://schemas.openxmlformats.org/drawingml/2006/main">
            <a:ext uri="{FF2B5EF4-FFF2-40B4-BE49-F238E27FC236}">
              <a16:creationId xmlns:a16="http://schemas.microsoft.com/office/drawing/2014/main" id="{E660CB16-97B9-E921-47D7-A315071C218C}"/>
            </a:ext>
          </a:extLst>
        </cdr:cNvPr>
        <cdr:cNvSpPr/>
      </cdr:nvSpPr>
      <cdr:spPr>
        <a:xfrm xmlns:a="http://schemas.openxmlformats.org/drawingml/2006/main">
          <a:off x="8666799" y="2522695"/>
          <a:ext cx="642938" cy="2143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en-US" sz="800">
              <a:solidFill>
                <a:sysClr val="windowText" lastClr="000000"/>
              </a:solidFill>
              <a:latin typeface="Arial" panose="020B0604020202020204" pitchFamily="34" charset="0"/>
              <a:cs typeface="Arial" panose="020B0604020202020204" pitchFamily="34" charset="0"/>
            </a:rPr>
            <a:t>17,4%</a:t>
          </a:r>
          <a:endParaRPr lang="vi-VN" sz="8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0.23513</cdr:x>
      <cdr:y>0.3821</cdr:y>
    </cdr:from>
    <cdr:to>
      <cdr:x>0.25431</cdr:x>
      <cdr:y>0.41751</cdr:y>
    </cdr:to>
    <cdr:sp macro="" textlink="">
      <cdr:nvSpPr>
        <cdr:cNvPr id="24"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2522078" y="1552373"/>
          <a:ext cx="146497"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0.34001</cdr:x>
      <cdr:y>0.49058</cdr:y>
    </cdr:from>
    <cdr:to>
      <cdr:x>0.35919</cdr:x>
      <cdr:y>0.52599</cdr:y>
    </cdr:to>
    <cdr:sp macro="" textlink="">
      <cdr:nvSpPr>
        <cdr:cNvPr id="25"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3634351" y="2001166"/>
          <a:ext cx="146497" cy="203407"/>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0.82123</cdr:x>
      <cdr:y>0.5772</cdr:y>
    </cdr:from>
    <cdr:to>
      <cdr:x>0.84041</cdr:x>
      <cdr:y>0.61261</cdr:y>
    </cdr:to>
    <cdr:sp macro="" textlink="">
      <cdr:nvSpPr>
        <cdr:cNvPr id="27"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16200000">
          <a:off x="7692113" y="2405593"/>
          <a:ext cx="148521" cy="179291"/>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0.91762</cdr:x>
      <cdr:y>0.58404</cdr:y>
    </cdr:from>
    <cdr:to>
      <cdr:x>0.9368</cdr:x>
      <cdr:y>0.61945</cdr:y>
    </cdr:to>
    <cdr:sp macro="" textlink="">
      <cdr:nvSpPr>
        <cdr:cNvPr id="29" name="Arrow: Right 8">
          <a:extLst xmlns:a="http://schemas.openxmlformats.org/drawingml/2006/main">
            <a:ext uri="{FF2B5EF4-FFF2-40B4-BE49-F238E27FC236}">
              <a16:creationId xmlns:a16="http://schemas.microsoft.com/office/drawing/2014/main" id="{08E05CB8-7E44-C7F1-FA8E-A5D415D39D1B}"/>
            </a:ext>
          </a:extLst>
        </cdr:cNvPr>
        <cdr:cNvSpPr/>
      </cdr:nvSpPr>
      <cdr:spPr>
        <a:xfrm xmlns:a="http://schemas.openxmlformats.org/drawingml/2006/main" rot="5400000">
          <a:off x="9759961" y="2387808"/>
          <a:ext cx="146498" cy="203407"/>
        </a:xfrm>
        <a:prstGeom xmlns:a="http://schemas.openxmlformats.org/drawingml/2006/main" prst="rightArrow">
          <a:avLst/>
        </a:prstGeom>
        <a:solidFill xmlns:a="http://schemas.openxmlformats.org/drawingml/2006/main">
          <a:srgbClr val="FF000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0.63468</cdr:x>
      <cdr:y>0.55178</cdr:y>
    </cdr:from>
    <cdr:to>
      <cdr:x>0.65174</cdr:x>
      <cdr:y>0.58789</cdr:y>
    </cdr:to>
    <cdr:sp macro="" textlink="">
      <cdr:nvSpPr>
        <cdr:cNvPr id="23" name="Arrow: Right 14">
          <a:extLst xmlns:a="http://schemas.openxmlformats.org/drawingml/2006/main">
            <a:ext uri="{FF2B5EF4-FFF2-40B4-BE49-F238E27FC236}">
              <a16:creationId xmlns:a16="http://schemas.microsoft.com/office/drawing/2014/main" id="{4FDFFF9F-F3B4-F68C-E0B9-B14B90A21B49}"/>
            </a:ext>
          </a:extLst>
        </cdr:cNvPr>
        <cdr:cNvSpPr/>
      </cdr:nvSpPr>
      <cdr:spPr>
        <a:xfrm xmlns:a="http://schemas.openxmlformats.org/drawingml/2006/main" rot="16200000">
          <a:off x="6746645" y="2267035"/>
          <a:ext cx="149376" cy="180972"/>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dr:relSizeAnchor xmlns:cdr="http://schemas.openxmlformats.org/drawingml/2006/chartDrawing">
    <cdr:from>
      <cdr:x>0.7172</cdr:x>
      <cdr:y>0.56091</cdr:y>
    </cdr:from>
    <cdr:to>
      <cdr:x>0.73707</cdr:x>
      <cdr:y>0.60631</cdr:y>
    </cdr:to>
    <cdr:sp macro="" textlink="">
      <cdr:nvSpPr>
        <cdr:cNvPr id="2" name="Arrow: Right 1">
          <a:extLst xmlns:a="http://schemas.openxmlformats.org/drawingml/2006/main">
            <a:ext uri="{FF2B5EF4-FFF2-40B4-BE49-F238E27FC236}">
              <a16:creationId xmlns:a16="http://schemas.microsoft.com/office/drawing/2014/main" id="{31125FEE-AEBF-8667-81E7-4B5BB3A9B097}"/>
            </a:ext>
          </a:extLst>
        </cdr:cNvPr>
        <cdr:cNvSpPr/>
      </cdr:nvSpPr>
      <cdr:spPr>
        <a:xfrm xmlns:a="http://schemas.openxmlformats.org/drawingml/2006/main" rot="16200000">
          <a:off x="7617463" y="2309179"/>
          <a:ext cx="187820" cy="210640"/>
        </a:xfrm>
        <a:prstGeom xmlns:a="http://schemas.openxmlformats.org/drawingml/2006/main" prst="rightArrow">
          <a:avLst/>
        </a:prstGeom>
        <a:solidFill xmlns:a="http://schemas.openxmlformats.org/drawingml/2006/main">
          <a:srgbClr val="00B0F0"/>
        </a:solidFill>
        <a:ln xmlns:a="http://schemas.openxmlformats.org/drawingml/2006/main">
          <a:no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vi-VN"/>
        </a:p>
      </cdr:txBody>
    </cdr:sp>
  </cdr:relSizeAnchor>
</c:userShapes>
</file>

<file path=word/drawings/drawing2.xml><?xml version="1.0" encoding="utf-8"?>
<c:userShapes xmlns:c="http://schemas.openxmlformats.org/drawingml/2006/chart">
  <cdr:relSizeAnchor xmlns:cdr="http://schemas.openxmlformats.org/drawingml/2006/chartDrawing">
    <cdr:from>
      <cdr:x>0.83243</cdr:x>
      <cdr:y>0.05278</cdr:y>
    </cdr:from>
    <cdr:to>
      <cdr:x>0.94054</cdr:x>
      <cdr:y>0.13872</cdr:y>
    </cdr:to>
    <cdr:sp macro="" textlink="">
      <cdr:nvSpPr>
        <cdr:cNvPr id="2" name="Text Box 2"/>
        <cdr:cNvSpPr txBox="1">
          <a:spLocks xmlns:a="http://schemas.openxmlformats.org/drawingml/2006/main" noChangeArrowheads="1"/>
        </cdr:cNvSpPr>
      </cdr:nvSpPr>
      <cdr:spPr bwMode="auto">
        <a:xfrm xmlns:a="http://schemas.openxmlformats.org/drawingml/2006/main" flipH="1">
          <a:off x="4400551" y="160873"/>
          <a:ext cx="571500"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6,90</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0.61261</cdr:x>
      <cdr:y>0.19444</cdr:y>
    </cdr:from>
    <cdr:to>
      <cdr:x>0.70811</cdr:x>
      <cdr:y>0.27539</cdr:y>
    </cdr:to>
    <cdr:sp macro="" textlink="">
      <cdr:nvSpPr>
        <cdr:cNvPr id="3" name="Text Box 2"/>
        <cdr:cNvSpPr txBox="1">
          <a:spLocks xmlns:a="http://schemas.openxmlformats.org/drawingml/2006/main" noChangeArrowheads="1"/>
        </cdr:cNvSpPr>
      </cdr:nvSpPr>
      <cdr:spPr bwMode="auto">
        <a:xfrm xmlns:a="http://schemas.openxmlformats.org/drawingml/2006/main" flipH="1">
          <a:off x="3238501" y="592653"/>
          <a:ext cx="504825" cy="24673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4,29</a:t>
          </a:r>
        </a:p>
      </cdr:txBody>
    </cdr:sp>
  </cdr:relSizeAnchor>
  <cdr:relSizeAnchor xmlns:cdr="http://schemas.openxmlformats.org/drawingml/2006/chartDrawing">
    <cdr:from>
      <cdr:x>0.48829</cdr:x>
      <cdr:y>0.32188</cdr:y>
    </cdr:from>
    <cdr:to>
      <cdr:x>0.62342</cdr:x>
      <cdr:y>0.40782</cdr:y>
    </cdr:to>
    <cdr:sp macro="" textlink="">
      <cdr:nvSpPr>
        <cdr:cNvPr id="4" name="Text Box 2"/>
        <cdr:cNvSpPr txBox="1">
          <a:spLocks xmlns:a="http://schemas.openxmlformats.org/drawingml/2006/main" noChangeArrowheads="1"/>
        </cdr:cNvSpPr>
      </cdr:nvSpPr>
      <cdr:spPr bwMode="auto">
        <a:xfrm xmlns:a="http://schemas.openxmlformats.org/drawingml/2006/main" flipH="1">
          <a:off x="2581275" y="981090"/>
          <a:ext cx="714376"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US" sz="1000" b="1">
              <a:effectLst/>
              <a:latin typeface="Arial" panose="020B0604020202020204" pitchFamily="34" charset="0"/>
              <a:ea typeface="Times New Roman" panose="02020603050405020304" pitchFamily="18" charset="0"/>
              <a:cs typeface="Arial" panose="020B0604020202020204" pitchFamily="34" charset="0"/>
            </a:rPr>
            <a:t>3,10</a:t>
          </a:r>
        </a:p>
      </cdr:txBody>
    </cdr:sp>
  </cdr:relSizeAnchor>
  <cdr:relSizeAnchor xmlns:cdr="http://schemas.openxmlformats.org/drawingml/2006/chartDrawing">
    <cdr:from>
      <cdr:x>0.66306</cdr:x>
      <cdr:y>0.46367</cdr:y>
    </cdr:from>
    <cdr:to>
      <cdr:x>0.76036</cdr:x>
      <cdr:y>0.54961</cdr:y>
    </cdr:to>
    <cdr:sp macro="" textlink="">
      <cdr:nvSpPr>
        <cdr:cNvPr id="5" name="Text Box 2"/>
        <cdr:cNvSpPr txBox="1">
          <a:spLocks xmlns:a="http://schemas.openxmlformats.org/drawingml/2006/main" noChangeArrowheads="1"/>
        </cdr:cNvSpPr>
      </cdr:nvSpPr>
      <cdr:spPr bwMode="auto">
        <a:xfrm xmlns:a="http://schemas.openxmlformats.org/drawingml/2006/main" flipH="1">
          <a:off x="3505201" y="1413266"/>
          <a:ext cx="514350"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5,0</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dr:relSizeAnchor xmlns:cdr="http://schemas.openxmlformats.org/drawingml/2006/chartDrawing">
    <cdr:from>
      <cdr:x>0.71171</cdr:x>
      <cdr:y>0.60625</cdr:y>
    </cdr:from>
    <cdr:to>
      <cdr:x>0.87928</cdr:x>
      <cdr:y>0.69219</cdr:y>
    </cdr:to>
    <cdr:sp macro="" textlink="">
      <cdr:nvSpPr>
        <cdr:cNvPr id="6" name="Text Box 2"/>
        <cdr:cNvSpPr txBox="1">
          <a:spLocks xmlns:a="http://schemas.openxmlformats.org/drawingml/2006/main" noChangeArrowheads="1"/>
        </cdr:cNvSpPr>
      </cdr:nvSpPr>
      <cdr:spPr bwMode="auto">
        <a:xfrm xmlns:a="http://schemas.openxmlformats.org/drawingml/2006/main" flipH="1">
          <a:off x="3762375" y="1847850"/>
          <a:ext cx="885826" cy="2619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15000"/>
            </a:lnSpc>
            <a:spcAft>
              <a:spcPts val="1000"/>
            </a:spcAft>
          </a:pPr>
          <a:r>
            <a:rPr lang="en-GB" sz="1000" b="1">
              <a:effectLst/>
              <a:latin typeface="Arial" panose="020B0604020202020204" pitchFamily="34" charset="0"/>
              <a:ea typeface="Times New Roman" panose="02020603050405020304" pitchFamily="18" charset="0"/>
              <a:cs typeface="Arial" panose="020B0604020202020204" pitchFamily="34" charset="0"/>
            </a:rPr>
            <a:t>5,46</a:t>
          </a:r>
          <a:endParaRPr lang="en-US" sz="1100" b="1">
            <a:effectLst/>
            <a:latin typeface="Arial" panose="020B0604020202020204" pitchFamily="34" charset="0"/>
            <a:ea typeface="Times New Roman" panose="02020603050405020304" pitchFamily="18"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8968DF-7CD7-4F4F-BE30-8B0D0E53F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33</Pages>
  <Words>10070</Words>
  <Characters>52895</Characters>
  <Application>Microsoft Office Word</Application>
  <DocSecurity>0</DocSecurity>
  <Lines>440</Lines>
  <Paragraphs>125</Paragraphs>
  <ScaleCrop>false</ScaleCrop>
  <HeadingPairs>
    <vt:vector size="2" baseType="variant">
      <vt:variant>
        <vt:lpstr>Title</vt:lpstr>
      </vt:variant>
      <vt:variant>
        <vt:i4>1</vt:i4>
      </vt:variant>
    </vt:vector>
  </HeadingPairs>
  <TitlesOfParts>
    <vt:vector size="1" baseType="lpstr">
      <vt:lpstr/>
    </vt:vector>
  </TitlesOfParts>
  <Company>TKTH-TCTK</Company>
  <LinksUpToDate>false</LinksUpToDate>
  <CharactersWithSpaces>62840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ltanh</dc:creator>
  <cp:lastModifiedBy>Bùi Trâm Anh</cp:lastModifiedBy>
  <cp:revision>8</cp:revision>
  <cp:lastPrinted>2024-02-28T09:39:00Z</cp:lastPrinted>
  <dcterms:created xsi:type="dcterms:W3CDTF">2025-03-10T03:21:00Z</dcterms:created>
  <dcterms:modified xsi:type="dcterms:W3CDTF">2025-03-14T08:07:00Z</dcterms:modified>
</cp:coreProperties>
</file>