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7683C5" w14:textId="77777777" w:rsidR="003A35EA" w:rsidRPr="002A5269" w:rsidRDefault="003A35EA" w:rsidP="0016207C">
      <w:pPr>
        <w:spacing w:line="276" w:lineRule="auto"/>
        <w:jc w:val="center"/>
        <w:rPr>
          <w:rFonts w:ascii=".VnArialH" w:hAnsi=".VnArialH" w:cs=".VnArialH"/>
          <w:b/>
          <w:bCs/>
          <w:sz w:val="2"/>
          <w:szCs w:val="2"/>
        </w:rPr>
      </w:pPr>
    </w:p>
    <w:p w14:paraId="6A5ED20F" w14:textId="77777777" w:rsidR="00A73F37" w:rsidRPr="00C144DC" w:rsidRDefault="00A73F37" w:rsidP="00A73F37">
      <w:pPr>
        <w:spacing w:before="20" w:line="276" w:lineRule="auto"/>
        <w:jc w:val="center"/>
        <w:rPr>
          <w:b/>
          <w:bCs/>
          <w:sz w:val="2"/>
          <w:szCs w:val="36"/>
        </w:rPr>
      </w:pPr>
    </w:p>
    <w:tbl>
      <w:tblPr>
        <w:tblpPr w:leftFromText="180" w:rightFromText="180" w:vertAnchor="text" w:horzAnchor="margin" w:tblpXSpec="center" w:tblpY="-2"/>
        <w:tblW w:w="10710" w:type="dxa"/>
        <w:tblLayout w:type="fixed"/>
        <w:tblLook w:val="0000" w:firstRow="0" w:lastRow="0" w:firstColumn="0" w:lastColumn="0" w:noHBand="0" w:noVBand="0"/>
      </w:tblPr>
      <w:tblGrid>
        <w:gridCol w:w="5490"/>
        <w:gridCol w:w="5220"/>
      </w:tblGrid>
      <w:tr w:rsidR="00A73F37" w:rsidRPr="00974B69" w14:paraId="5B78E2D4" w14:textId="77777777" w:rsidTr="008278F8">
        <w:trPr>
          <w:trHeight w:val="1026"/>
        </w:trPr>
        <w:tc>
          <w:tcPr>
            <w:tcW w:w="5490" w:type="dxa"/>
          </w:tcPr>
          <w:p w14:paraId="52AD6ED4" w14:textId="77777777" w:rsidR="00A73F37" w:rsidRDefault="00A73F37" w:rsidP="008278F8">
            <w:pPr>
              <w:spacing w:line="276" w:lineRule="auto"/>
              <w:ind w:left="72" w:right="-115"/>
              <w:jc w:val="center"/>
              <w:rPr>
                <w:spacing w:val="-6"/>
                <w:sz w:val="24"/>
                <w:szCs w:val="24"/>
              </w:rPr>
            </w:pPr>
            <w:r w:rsidRPr="00974B69">
              <w:rPr>
                <w:spacing w:val="-6"/>
                <w:sz w:val="24"/>
                <w:szCs w:val="24"/>
              </w:rPr>
              <w:softHyphen/>
            </w:r>
            <w:r w:rsidRPr="00974B69">
              <w:rPr>
                <w:spacing w:val="-6"/>
                <w:sz w:val="24"/>
                <w:szCs w:val="24"/>
              </w:rPr>
              <w:softHyphen/>
            </w:r>
            <w:r w:rsidRPr="00974B69">
              <w:rPr>
                <w:spacing w:val="-6"/>
                <w:sz w:val="24"/>
                <w:szCs w:val="24"/>
              </w:rPr>
              <w:softHyphen/>
            </w:r>
            <w:r w:rsidRPr="00974B69">
              <w:rPr>
                <w:spacing w:val="-6"/>
                <w:sz w:val="24"/>
                <w:szCs w:val="24"/>
              </w:rPr>
              <w:softHyphen/>
              <w:t>MINISTRY OF PLANNING AND INVESTMENT</w:t>
            </w:r>
          </w:p>
          <w:p w14:paraId="62818BA3" w14:textId="77777777" w:rsidR="00A73F37" w:rsidRPr="00974B69" w:rsidRDefault="00A73F37" w:rsidP="008278F8">
            <w:pPr>
              <w:spacing w:line="276" w:lineRule="auto"/>
              <w:ind w:left="72" w:right="-115"/>
              <w:jc w:val="center"/>
              <w:rPr>
                <w:b/>
                <w:bCs/>
                <w:spacing w:val="-6"/>
                <w:sz w:val="24"/>
                <w:szCs w:val="24"/>
              </w:rPr>
            </w:pPr>
            <w:r>
              <w:rPr>
                <w:rFonts w:asciiTheme="minorHAnsi" w:hAnsiTheme="minorHAnsi" w:cstheme="minorBidi"/>
                <w:noProof/>
                <w:sz w:val="22"/>
                <w:szCs w:val="22"/>
                <w:lang w:val="en-US"/>
              </w:rPr>
              <mc:AlternateContent>
                <mc:Choice Requires="wps">
                  <w:drawing>
                    <wp:anchor distT="4294967291" distB="4294967291" distL="114300" distR="114300" simplePos="0" relativeHeight="251667968" behindDoc="0" locked="0" layoutInCell="1" allowOverlap="1" wp14:anchorId="49D3CD22" wp14:editId="5D7175E7">
                      <wp:simplePos x="0" y="0"/>
                      <wp:positionH relativeFrom="column">
                        <wp:posOffset>1145540</wp:posOffset>
                      </wp:positionH>
                      <wp:positionV relativeFrom="paragraph">
                        <wp:posOffset>203199</wp:posOffset>
                      </wp:positionV>
                      <wp:extent cx="971550" cy="0"/>
                      <wp:effectExtent l="0" t="0" r="0" b="0"/>
                      <wp:wrapNone/>
                      <wp:docPr id="30"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1550" cy="0"/>
                              </a:xfrm>
                              <a:prstGeom prst="line">
                                <a:avLst/>
                              </a:prstGeom>
                              <a:noFill/>
                              <a:ln w="1270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79824AC7" id="Straight Connector 30" o:spid="_x0000_s1026" style="position:absolute;z-index:25166796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90.2pt,16pt" to="166.7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" strokeweight="1pt"/>
                  </w:pict>
                </mc:Fallback>
              </mc:AlternateContent>
            </w:r>
            <w:r w:rsidRPr="00974B69">
              <w:rPr>
                <w:b/>
                <w:bCs/>
                <w:spacing w:val="-6"/>
                <w:sz w:val="24"/>
                <w:szCs w:val="24"/>
              </w:rPr>
              <w:t>GENERAL STATISTICS OFFICE</w:t>
            </w:r>
          </w:p>
          <w:p w14:paraId="1ED6D724" w14:textId="77777777" w:rsidR="00A73F37" w:rsidRDefault="00A73F37" w:rsidP="008278F8">
            <w:pPr>
              <w:spacing w:before="120" w:line="276" w:lineRule="auto"/>
              <w:ind w:left="16" w:right="-18"/>
              <w:jc w:val="center"/>
              <w:rPr>
                <w:sz w:val="26"/>
                <w:szCs w:val="26"/>
              </w:rPr>
            </w:pPr>
          </w:p>
          <w:p w14:paraId="33083B46" w14:textId="1AEA5486" w:rsidR="00A73F37" w:rsidRPr="00974B69" w:rsidRDefault="00A73F37" w:rsidP="008278F8">
            <w:pPr>
              <w:spacing w:before="120" w:line="276" w:lineRule="auto"/>
              <w:ind w:left="16" w:right="-18"/>
              <w:jc w:val="center"/>
              <w:rPr>
                <w:sz w:val="26"/>
                <w:szCs w:val="26"/>
              </w:rPr>
            </w:pPr>
            <w:r w:rsidRPr="00974B69">
              <w:rPr>
                <w:sz w:val="26"/>
                <w:szCs w:val="26"/>
              </w:rPr>
              <w:t xml:space="preserve">No: </w:t>
            </w:r>
            <w:r w:rsidR="00B02EE5">
              <w:rPr>
                <w:sz w:val="26"/>
                <w:szCs w:val="26"/>
                <w:lang w:val="en-US"/>
              </w:rPr>
              <w:t xml:space="preserve">      </w:t>
            </w:r>
            <w:r w:rsidRPr="00974B69">
              <w:rPr>
                <w:sz w:val="26"/>
                <w:szCs w:val="26"/>
              </w:rPr>
              <w:t>/BC-TCTK</w:t>
            </w:r>
          </w:p>
        </w:tc>
        <w:tc>
          <w:tcPr>
            <w:tcW w:w="5220" w:type="dxa"/>
          </w:tcPr>
          <w:p w14:paraId="5DD6B2F0" w14:textId="77777777" w:rsidR="00A73F37" w:rsidRPr="00974B69" w:rsidRDefault="00A73F37" w:rsidP="008278F8">
            <w:pPr>
              <w:spacing w:line="276" w:lineRule="auto"/>
              <w:rPr>
                <w:b/>
                <w:bCs/>
                <w:sz w:val="24"/>
                <w:szCs w:val="24"/>
              </w:rPr>
            </w:pPr>
            <w:r w:rsidRPr="00974B69">
              <w:rPr>
                <w:b/>
                <w:bCs/>
                <w:sz w:val="24"/>
                <w:szCs w:val="24"/>
              </w:rPr>
              <w:t>SOCIALIST REPUBLIC OF VIET NAM</w:t>
            </w:r>
          </w:p>
          <w:p w14:paraId="109B781C" w14:textId="77777777" w:rsidR="00A73F37" w:rsidRPr="00974B69" w:rsidRDefault="00A73F37" w:rsidP="008278F8">
            <w:pPr>
              <w:spacing w:line="276" w:lineRule="auto"/>
              <w:rPr>
                <w:b/>
                <w:bCs/>
                <w:sz w:val="24"/>
                <w:szCs w:val="24"/>
              </w:rPr>
            </w:pPr>
            <w:r>
              <w:rPr>
                <w:rFonts w:asciiTheme="minorHAnsi" w:hAnsiTheme="minorHAnsi" w:cstheme="minorBidi"/>
                <w:noProof/>
                <w:sz w:val="22"/>
                <w:szCs w:val="22"/>
                <w:lang w:val="en-US"/>
              </w:rPr>
              <mc:AlternateContent>
                <mc:Choice Requires="wps">
                  <w:drawing>
                    <wp:anchor distT="4294967291" distB="4294967291" distL="114300" distR="114300" simplePos="0" relativeHeight="251668992" behindDoc="0" locked="0" layoutInCell="1" allowOverlap="1" wp14:anchorId="64C515FA" wp14:editId="77E909B5">
                      <wp:simplePos x="0" y="0"/>
                      <wp:positionH relativeFrom="column">
                        <wp:posOffset>336550</wp:posOffset>
                      </wp:positionH>
                      <wp:positionV relativeFrom="paragraph">
                        <wp:posOffset>203199</wp:posOffset>
                      </wp:positionV>
                      <wp:extent cx="1884045" cy="0"/>
                      <wp:effectExtent l="0" t="0" r="0" b="0"/>
                      <wp:wrapNone/>
                      <wp:docPr id="1891351301" name="Straight Connector 1891351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84045" cy="0"/>
                              </a:xfrm>
                              <a:prstGeom prst="line">
                                <a:avLst/>
                              </a:prstGeom>
                              <a:noFill/>
                              <a:ln w="1270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39674BF3" id="Straight Connector 1891351301" o:spid="_x0000_s1026" style="position:absolute;z-index:25166899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6.5pt,16pt" to="174.8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" strokeweight="1pt"/>
                  </w:pict>
                </mc:Fallback>
              </mc:AlternateContent>
            </w:r>
            <w:r w:rsidRPr="00974B69">
              <w:rPr>
                <w:b/>
                <w:bCs/>
                <w:sz w:val="24"/>
                <w:szCs w:val="24"/>
              </w:rPr>
              <w:t>Independence-Freedom-Happiness</w:t>
            </w:r>
          </w:p>
          <w:p w14:paraId="375B7242" w14:textId="77777777" w:rsidR="00A73F37" w:rsidRDefault="00A73F37" w:rsidP="008278F8">
            <w:pPr>
              <w:spacing w:line="276" w:lineRule="auto"/>
              <w:ind w:left="72"/>
              <w:jc w:val="center"/>
              <w:rPr>
                <w:i/>
                <w:iCs/>
                <w:sz w:val="26"/>
                <w:szCs w:val="26"/>
              </w:rPr>
            </w:pPr>
          </w:p>
          <w:p w14:paraId="4A3B2EA2" w14:textId="5DB795D6" w:rsidR="00A73F37" w:rsidRPr="00A73F37" w:rsidRDefault="00A73F37" w:rsidP="008278F8">
            <w:pPr>
              <w:spacing w:line="276" w:lineRule="auto"/>
              <w:ind w:left="72" w:right="849"/>
              <w:jc w:val="center"/>
              <w:rPr>
                <w:b/>
                <w:bCs/>
                <w:i/>
                <w:iCs/>
                <w:sz w:val="26"/>
                <w:szCs w:val="26"/>
                <w:lang w:val="en-US"/>
              </w:rPr>
            </w:pPr>
            <w:r w:rsidRPr="00974B69">
              <w:rPr>
                <w:i/>
                <w:iCs/>
                <w:sz w:val="26"/>
                <w:szCs w:val="26"/>
              </w:rPr>
              <w:t>Ha Noi,</w:t>
            </w:r>
            <w:r w:rsidR="00B02EE5">
              <w:rPr>
                <w:i/>
                <w:iCs/>
                <w:sz w:val="26"/>
                <w:szCs w:val="26"/>
                <w:lang w:val="en-US"/>
              </w:rPr>
              <w:t xml:space="preserve"> 6</w:t>
            </w:r>
            <w:r w:rsidRPr="00974B69">
              <w:rPr>
                <w:i/>
                <w:iCs/>
                <w:sz w:val="26"/>
                <w:szCs w:val="26"/>
                <w:vertAlign w:val="superscript"/>
              </w:rPr>
              <w:t>th</w:t>
            </w:r>
            <w:r w:rsidRPr="00974B69">
              <w:rPr>
                <w:i/>
                <w:iCs/>
                <w:sz w:val="26"/>
                <w:szCs w:val="26"/>
              </w:rPr>
              <w:t xml:space="preserve"> </w:t>
            </w:r>
            <w:r w:rsidR="00B02EE5">
              <w:rPr>
                <w:i/>
                <w:iCs/>
                <w:sz w:val="26"/>
                <w:szCs w:val="26"/>
                <w:lang w:val="en-US"/>
              </w:rPr>
              <w:t>February</w:t>
            </w:r>
            <w:r w:rsidRPr="00974B69">
              <w:rPr>
                <w:i/>
                <w:iCs/>
                <w:sz w:val="26"/>
                <w:szCs w:val="26"/>
              </w:rPr>
              <w:t xml:space="preserve"> 202</w:t>
            </w:r>
            <w:r w:rsidR="00B02EE5">
              <w:rPr>
                <w:i/>
                <w:iCs/>
                <w:sz w:val="26"/>
                <w:szCs w:val="26"/>
                <w:lang w:val="en-US"/>
              </w:rPr>
              <w:t>5</w:t>
            </w:r>
          </w:p>
        </w:tc>
      </w:tr>
    </w:tbl>
    <w:p w14:paraId="47A2C106" w14:textId="7027CE87" w:rsidR="00A73F37" w:rsidRDefault="00A73F37" w:rsidP="00A73F37">
      <w:pPr>
        <w:spacing w:before="600" w:line="276" w:lineRule="auto"/>
        <w:jc w:val="center"/>
        <w:rPr>
          <w:b/>
          <w:bCs/>
          <w:sz w:val="32"/>
          <w:szCs w:val="32"/>
          <w:lang w:val="pt-BR"/>
        </w:rPr>
      </w:pPr>
      <w:r w:rsidRPr="006D7720">
        <w:rPr>
          <w:b/>
          <w:bCs/>
          <w:sz w:val="32"/>
          <w:szCs w:val="32"/>
          <w:lang w:val="pt-BR"/>
        </w:rPr>
        <w:t xml:space="preserve">Socio-economic situation report in </w:t>
      </w:r>
      <w:r>
        <w:rPr>
          <w:b/>
          <w:bCs/>
          <w:sz w:val="32"/>
          <w:szCs w:val="32"/>
          <w:lang w:val="pt-BR"/>
        </w:rPr>
        <w:t>January 202</w:t>
      </w:r>
      <w:r w:rsidR="00B02EE5">
        <w:rPr>
          <w:b/>
          <w:bCs/>
          <w:sz w:val="32"/>
          <w:szCs w:val="32"/>
          <w:lang w:val="pt-BR"/>
        </w:rPr>
        <w:t>5</w:t>
      </w:r>
    </w:p>
    <w:p w14:paraId="29E41452" w14:textId="77777777" w:rsidR="00C144DC" w:rsidRPr="001D0DCE" w:rsidRDefault="00287F87" w:rsidP="00C144DC">
      <w:pPr>
        <w:spacing w:before="20"/>
        <w:jc w:val="center"/>
        <w:rPr>
          <w:rFonts w:ascii="Arial" w:hAnsi="Arial" w:cs="Arial"/>
          <w:b/>
          <w:bCs/>
          <w:sz w:val="38"/>
          <w:szCs w:val="52"/>
        </w:rPr>
      </w:pPr>
      <w:r w:rsidRPr="001D0DCE">
        <w:rPr>
          <w:noProof/>
          <w:lang w:val="en-GB" w:eastAsia="en-GB"/>
        </w:rPr>
        <mc:AlternateContent>
          <mc:Choice Requires="wps">
            <w:drawing>
              <wp:anchor distT="4294967294" distB="4294967294" distL="114300" distR="114300" simplePos="0" relativeHeight="251660800" behindDoc="0" locked="0" layoutInCell="1" allowOverlap="1" wp14:anchorId="00A8869A" wp14:editId="5C40738C">
                <wp:simplePos x="0" y="0"/>
                <wp:positionH relativeFrom="column">
                  <wp:posOffset>2136140</wp:posOffset>
                </wp:positionH>
                <wp:positionV relativeFrom="paragraph">
                  <wp:posOffset>26034</wp:posOffset>
                </wp:positionV>
                <wp:extent cx="1412875" cy="0"/>
                <wp:effectExtent l="0" t="0" r="15875" b="19050"/>
                <wp:wrapNone/>
                <wp:docPr id="1"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128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12E974B" id="_x0000_t32" coordsize="21600,21600" o:spt="32" o:oned="t" path="m,l21600,21600e" filled="f">
                <v:path arrowok="t" fillok="f" o:connecttype="none"/>
                <o:lock v:ext="edit" shapetype="t"/>
              </v:shapetype>
              <v:shape id="AutoShape 4" o:spid="_x0000_s1026" type="#_x0000_t32" style="position:absolute;margin-left:168.2pt;margin-top:2.05pt;width:111.25pt;height:0;z-index:2516608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"/>
            </w:pict>
          </mc:Fallback>
        </mc:AlternateContent>
      </w:r>
    </w:p>
    <w:p w14:paraId="52F6E389" w14:textId="77777777" w:rsidR="002C4FEC" w:rsidRPr="002C4FEC" w:rsidRDefault="002C4FEC" w:rsidP="002C4FEC">
      <w:pPr>
        <w:spacing w:after="120"/>
        <w:ind w:firstLine="720"/>
        <w:jc w:val="both"/>
        <w:rPr>
          <w:b/>
          <w:bCs/>
          <w:lang w:val="en-US"/>
        </w:rPr>
      </w:pPr>
      <w:r w:rsidRPr="002C4FEC">
        <w:rPr>
          <w:b/>
          <w:bCs/>
          <w:lang w:val="en-US"/>
        </w:rPr>
        <w:t xml:space="preserve">1. Agricultural, forestry and fishery </w:t>
      </w:r>
    </w:p>
    <w:p w14:paraId="6483DF5A" w14:textId="77777777" w:rsidR="002C4FEC" w:rsidRPr="002C4FEC" w:rsidRDefault="002C4FEC" w:rsidP="002C4FEC">
      <w:pPr>
        <w:spacing w:after="120"/>
        <w:ind w:firstLine="720"/>
        <w:jc w:val="both"/>
        <w:rPr>
          <w:i/>
          <w:iCs/>
          <w:lang w:val="en-US"/>
        </w:rPr>
      </w:pPr>
      <w:r w:rsidRPr="002C4FEC">
        <w:rPr>
          <w:i/>
          <w:iCs/>
          <w:lang w:val="en-US"/>
        </w:rPr>
        <w:t>Agricultural production in January 2025 focused mainly on sowing and caring for spring rice, and planting crops nationwide. Pig and poultry farming developed well. People prepared land and selected quality seedlings for afforestation. Aquaculture output increased significantly, fully meeting consumer demand during the Lunar New Year.</w:t>
      </w:r>
    </w:p>
    <w:p w14:paraId="321C5EB5" w14:textId="77777777" w:rsidR="002C4FEC" w:rsidRPr="002C4FEC" w:rsidRDefault="002C4FEC" w:rsidP="002C4FEC">
      <w:pPr>
        <w:spacing w:after="120"/>
        <w:jc w:val="both"/>
        <w:rPr>
          <w:b/>
          <w:bCs/>
          <w:i/>
          <w:iCs/>
        </w:rPr>
      </w:pPr>
      <w:r w:rsidRPr="002C4FEC">
        <w:rPr>
          <w:b/>
          <w:bCs/>
          <w:i/>
          <w:iCs/>
          <w:lang w:val="en-US"/>
        </w:rPr>
        <w:tab/>
      </w:r>
      <w:r w:rsidRPr="002C4FEC">
        <w:rPr>
          <w:b/>
          <w:bCs/>
          <w:i/>
          <w:iCs/>
        </w:rPr>
        <w:t>a) Agriculture</w:t>
      </w:r>
    </w:p>
    <w:p w14:paraId="056A0586" w14:textId="77777777" w:rsidR="002C4FEC" w:rsidRPr="002C4FEC" w:rsidRDefault="002C4FEC" w:rsidP="002C4FEC">
      <w:pPr>
        <w:tabs>
          <w:tab w:val="left" w:pos="1080"/>
          <w:tab w:val="left" w:pos="1134"/>
        </w:tabs>
        <w:spacing w:after="120"/>
        <w:ind w:firstLine="720"/>
        <w:jc w:val="both"/>
        <w:rPr>
          <w:rFonts w:eastAsia="Calibri"/>
          <w:kern w:val="2"/>
          <w:lang w:val="en-US"/>
          <w14:ligatures w14:val="standardContextual"/>
        </w:rPr>
      </w:pPr>
      <w:r w:rsidRPr="002C4FEC">
        <w:rPr>
          <w:rFonts w:eastAsia="Calibri"/>
          <w:kern w:val="2"/>
          <w:lang w:val="en-US"/>
          <w14:ligatures w14:val="standardContextual"/>
        </w:rPr>
        <w:t>As of January 20, 2025, the whole country had sown 2,020.2 thousand hectares of spring rice, equal to 103.9% of the same period last year. Of which, the northern localities reached 217.7 thousand hectares, equal to 141.4% due to farmers took advantage of favorable weather to speed up the sowing progress before the Lunar New Year. Southern localities reached 1,802.5 thousand hectares, equal to 100.7%, particularly the Mekong Delta region has reached 1,463.0 thousand hectares, equal to 101.5%, due to many localities in the region such as Long An, Ben Tre, and Bac Lieu switching the 2024 autumn-winter rice crop area to the 2025 spring crop.</w:t>
      </w:r>
    </w:p>
    <w:p w14:paraId="4F6288E5" w14:textId="77777777" w:rsidR="002C4FEC" w:rsidRPr="002C4FEC" w:rsidRDefault="002C4FEC" w:rsidP="002C4FEC">
      <w:pPr>
        <w:tabs>
          <w:tab w:val="left" w:pos="1080"/>
          <w:tab w:val="left" w:pos="1134"/>
        </w:tabs>
        <w:spacing w:after="120"/>
        <w:ind w:firstLine="720"/>
        <w:jc w:val="both"/>
        <w:rPr>
          <w:rFonts w:eastAsia="Calibri"/>
          <w:kern w:val="2"/>
          <w:lang w:val="en-US"/>
          <w14:ligatures w14:val="standardContextual"/>
        </w:rPr>
      </w:pPr>
      <w:r w:rsidRPr="002C4FEC">
        <w:rPr>
          <w:rFonts w:eastAsia="Calibri"/>
          <w:kern w:val="2"/>
          <w:lang w:val="en-US"/>
          <w14:ligatures w14:val="standardContextual"/>
        </w:rPr>
        <w:t>To ensure good growth and development of rice, increase the efficiency of spring crop production, it is necessary to comply with the crop calendar, implement intensive technical measures, prevent and control pests and diseases, and closely monitor weather situation.</w:t>
      </w:r>
    </w:p>
    <w:p w14:paraId="122AA145" w14:textId="77777777" w:rsidR="002C4FEC" w:rsidRPr="002C4FEC" w:rsidRDefault="002C4FEC" w:rsidP="002C4FEC">
      <w:pPr>
        <w:spacing w:after="120"/>
        <w:ind w:firstLine="567"/>
        <w:jc w:val="both"/>
        <w:rPr>
          <w:iCs/>
          <w:lang w:val="pl-PL"/>
        </w:rPr>
      </w:pPr>
      <w:r w:rsidRPr="002C4FEC">
        <w:rPr>
          <w:iCs/>
          <w:lang w:val="pl-PL"/>
        </w:rPr>
        <w:t xml:space="preserve">Along with the spring rice planting, localities across the country were planting crops. The area of ​​sweet potatoes and soybeans has decreased compared to the same period last year due to switching to other crops such as corn, peanuts, vegetables, etc. for higher economic efficiency. </w:t>
      </w:r>
    </w:p>
    <w:p w14:paraId="08799303" w14:textId="77777777" w:rsidR="002C4FEC" w:rsidRPr="002C4FEC" w:rsidRDefault="002C4FEC" w:rsidP="002C4FEC">
      <w:pPr>
        <w:spacing w:beforeLines="40" w:before="96" w:afterLines="40" w:after="96" w:line="264" w:lineRule="auto"/>
        <w:ind w:firstLine="567"/>
        <w:jc w:val="center"/>
        <w:rPr>
          <w:lang w:val="de-DE"/>
        </w:rPr>
      </w:pPr>
      <w:r w:rsidRPr="002C4FEC">
        <w:rPr>
          <w:b/>
          <w:lang w:val="de-DE"/>
        </w:rPr>
        <w:t>Figure 1: Cultivation of main spring crops</w:t>
      </w:r>
    </w:p>
    <w:p w14:paraId="3B097D62" w14:textId="77777777" w:rsidR="002C4FEC" w:rsidRPr="002C4FEC" w:rsidRDefault="002C4FEC" w:rsidP="002C4FEC">
      <w:pPr>
        <w:spacing w:beforeLines="40" w:before="96" w:afterLines="40" w:after="96" w:line="264" w:lineRule="auto"/>
        <w:ind w:firstLine="567"/>
        <w:jc w:val="center"/>
        <w:rPr>
          <w:lang w:val="de-DE"/>
        </w:rPr>
      </w:pPr>
      <w:r w:rsidRPr="002C4FEC">
        <w:rPr>
          <w:lang w:val="de-DE"/>
        </w:rPr>
        <w:lastRenderedPageBreak/>
        <w:t>(As of 20/01/2025)</w:t>
      </w:r>
      <w:r w:rsidRPr="002C4FEC">
        <w:rPr>
          <w:noProof/>
          <w:lang w:val="en-US"/>
        </w:rPr>
        <w:drawing>
          <wp:inline distT="0" distB="0" distL="0" distR="0" wp14:anchorId="1EEC8345" wp14:editId="7274A5CF">
            <wp:extent cx="5890260" cy="2328545"/>
            <wp:effectExtent l="0" t="0" r="0" b="0"/>
            <wp:docPr id="1238953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90260" cy="2328545"/>
                    </a:xfrm>
                    <a:prstGeom prst="rect">
                      <a:avLst/>
                    </a:prstGeom>
                    <a:noFill/>
                    <a:ln>
                      <a:noFill/>
                    </a:ln>
                  </pic:spPr>
                </pic:pic>
              </a:graphicData>
            </a:graphic>
          </wp:inline>
        </w:drawing>
      </w:r>
    </w:p>
    <w:p w14:paraId="761BE147" w14:textId="77777777" w:rsidR="002C4FEC" w:rsidRPr="002C4FEC" w:rsidRDefault="002C4FEC" w:rsidP="002C4FEC">
      <w:pPr>
        <w:spacing w:before="40" w:after="40" w:line="264" w:lineRule="auto"/>
        <w:ind w:firstLine="720"/>
        <w:jc w:val="both"/>
        <w:rPr>
          <w:lang w:val="de-DE"/>
        </w:rPr>
      </w:pPr>
      <w:r w:rsidRPr="002C4FEC">
        <w:rPr>
          <w:lang w:val="de-DE"/>
        </w:rPr>
        <w:t>Buffalo and cattle farming continues to decline, and diseases were basically under control. Pig and poultry farming developed well, prices and consumption markets were stable, and people were expanding their herds to meet food needs during the Lunar New Year and other festivals at the beginning of the year.</w:t>
      </w:r>
    </w:p>
    <w:p w14:paraId="269E6857" w14:textId="77777777" w:rsidR="002C4FEC" w:rsidRPr="002C4FEC" w:rsidRDefault="002C4FEC" w:rsidP="002C4FEC">
      <w:pPr>
        <w:spacing w:line="259" w:lineRule="auto"/>
        <w:ind w:firstLine="567"/>
        <w:jc w:val="center"/>
        <w:rPr>
          <w:rFonts w:eastAsia="Calibri"/>
          <w:b/>
          <w:kern w:val="2"/>
          <w:lang w:val="en-US"/>
          <w14:ligatures w14:val="standardContextual"/>
        </w:rPr>
      </w:pPr>
      <w:r w:rsidRPr="002C4FEC">
        <w:rPr>
          <w:rFonts w:eastAsia="Calibri"/>
          <w:b/>
          <w:kern w:val="2"/>
          <w:lang w:val="en-US"/>
          <w14:ligatures w14:val="standardContextual"/>
        </w:rPr>
        <w:t>Figure 2. The growth rate of the population of livestock</w:t>
      </w:r>
    </w:p>
    <w:p w14:paraId="26159BB6" w14:textId="77777777" w:rsidR="002C4FEC" w:rsidRPr="002C4FEC" w:rsidRDefault="002C4FEC" w:rsidP="002C4FEC">
      <w:pPr>
        <w:spacing w:line="259" w:lineRule="auto"/>
        <w:ind w:firstLine="567"/>
        <w:jc w:val="center"/>
        <w:rPr>
          <w:rFonts w:eastAsia="Calibri"/>
          <w:b/>
          <w:kern w:val="2"/>
          <w:lang w:val="en-US"/>
          <w14:ligatures w14:val="standardContextual"/>
        </w:rPr>
      </w:pPr>
      <w:r w:rsidRPr="002C4FEC">
        <w:rPr>
          <w:rFonts w:eastAsia="Calibri"/>
          <w:b/>
          <w:kern w:val="2"/>
          <w:lang w:val="en-US"/>
          <w14:ligatures w14:val="standardContextual"/>
        </w:rPr>
        <w:t>at the end of January, 2025 compared to the same time last year</w:t>
      </w:r>
    </w:p>
    <w:p w14:paraId="2603613F" w14:textId="77777777" w:rsidR="002C4FEC" w:rsidRPr="002C4FEC" w:rsidRDefault="002C4FEC" w:rsidP="002C4FEC">
      <w:pPr>
        <w:spacing w:line="259" w:lineRule="auto"/>
        <w:ind w:firstLine="567"/>
        <w:jc w:val="center"/>
        <w:rPr>
          <w:rFonts w:eastAsia="Calibri"/>
          <w:b/>
          <w:kern w:val="2"/>
          <w:lang w:val="en-US"/>
          <w14:ligatures w14:val="standardContextual"/>
        </w:rPr>
      </w:pPr>
      <w:r w:rsidRPr="002C4FEC">
        <w:rPr>
          <w:noProof/>
          <w:lang w:val="en-US"/>
        </w:rPr>
        <w:drawing>
          <wp:inline distT="0" distB="0" distL="0" distR="0" wp14:anchorId="0009FBCD" wp14:editId="1A0D95DB">
            <wp:extent cx="5762625" cy="1541780"/>
            <wp:effectExtent l="0" t="0" r="9525" b="1270"/>
            <wp:docPr id="4424950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2625" cy="1541780"/>
                    </a:xfrm>
                    <a:prstGeom prst="rect">
                      <a:avLst/>
                    </a:prstGeom>
                    <a:noFill/>
                    <a:ln>
                      <a:noFill/>
                    </a:ln>
                  </pic:spPr>
                </pic:pic>
              </a:graphicData>
            </a:graphic>
          </wp:inline>
        </w:drawing>
      </w:r>
    </w:p>
    <w:p w14:paraId="6AB67657" w14:textId="77777777" w:rsidR="002C4FEC" w:rsidRPr="002C4FEC" w:rsidRDefault="002C4FEC" w:rsidP="002C4FEC">
      <w:pPr>
        <w:spacing w:after="120"/>
        <w:jc w:val="center"/>
        <w:rPr>
          <w:b/>
          <w:lang w:val="de-DE"/>
        </w:rPr>
      </w:pPr>
    </w:p>
    <w:p w14:paraId="574F7947" w14:textId="36C9A40E" w:rsidR="002C4FEC" w:rsidRPr="002C4FEC" w:rsidRDefault="002C4FEC" w:rsidP="002C4FEC">
      <w:pPr>
        <w:spacing w:before="40" w:after="40" w:line="259" w:lineRule="auto"/>
        <w:ind w:firstLine="567"/>
        <w:jc w:val="both"/>
        <w:rPr>
          <w:rFonts w:eastAsia="Calibri"/>
          <w:kern w:val="2"/>
          <w:lang w:val="en-US"/>
          <w14:ligatures w14:val="standardContextual"/>
        </w:rPr>
      </w:pPr>
      <w:r w:rsidRPr="002C4FEC">
        <w:rPr>
          <w:rFonts w:eastAsia="Calibri"/>
          <w:bCs/>
          <w:spacing w:val="-2"/>
          <w:kern w:val="2"/>
          <w:lang w:val="en-US"/>
          <w14:ligatures w14:val="standardContextual"/>
        </w:rPr>
        <w:t>Diseases in livestock and poultry were basically under control. As of January 31, 2025, the whole country has no blue ears disease; avian flu disease was reported in Tuyen Quang, Tien Giang; foot-and-mouth disease was reported in Phu Tho, Tien Giang; LSD was repor</w:t>
      </w:r>
      <w:r w:rsidR="00FD01B2">
        <w:rPr>
          <w:rFonts w:eastAsia="Calibri"/>
          <w:bCs/>
          <w:spacing w:val="-2"/>
          <w:kern w:val="2"/>
          <w:lang w:val="en-US"/>
          <w14:ligatures w14:val="standardContextual"/>
        </w:rPr>
        <w:t>s</w:t>
      </w:r>
      <w:r w:rsidRPr="002C4FEC">
        <w:rPr>
          <w:rFonts w:eastAsia="Calibri"/>
          <w:bCs/>
          <w:spacing w:val="-2"/>
          <w:kern w:val="2"/>
          <w:lang w:val="en-US"/>
          <w14:ligatures w14:val="standardContextual"/>
        </w:rPr>
        <w:t xml:space="preserve">ted Quang Nam; African swine fever was reported in 6 localities and animal rabies remained in 8 localites for less than 21 days. </w:t>
      </w:r>
    </w:p>
    <w:p w14:paraId="4623230D" w14:textId="77777777" w:rsidR="00B02EE5" w:rsidRPr="00B02EE5" w:rsidRDefault="00B02EE5" w:rsidP="00B02EE5">
      <w:pPr>
        <w:spacing w:after="40" w:line="276" w:lineRule="auto"/>
        <w:ind w:firstLine="567"/>
        <w:jc w:val="both"/>
        <w:rPr>
          <w:bCs/>
          <w:i/>
          <w:iCs/>
          <w:lang w:val="pl-PL"/>
        </w:rPr>
      </w:pPr>
      <w:r w:rsidRPr="00B02EE5">
        <w:rPr>
          <w:bCs/>
          <w:i/>
          <w:lang w:val="en-GB" w:eastAsia="en-GB"/>
        </w:rPr>
        <w:t xml:space="preserve">People prepare the land and select quality seedlings for afforestation. Aquaculture production has increased significantly, fully meeting consumer </w:t>
      </w:r>
      <w:r w:rsidRPr="00B02EE5">
        <w:rPr>
          <w:bCs/>
          <w:i/>
          <w:iCs/>
          <w:lang w:val="pl-PL"/>
        </w:rPr>
        <w:t>demand during the Lunar New Year.</w:t>
      </w:r>
    </w:p>
    <w:p w14:paraId="4D0487AF" w14:textId="77777777" w:rsidR="00B02EE5" w:rsidRPr="00B02EE5" w:rsidRDefault="00B02EE5" w:rsidP="00B02EE5">
      <w:pPr>
        <w:spacing w:after="40" w:line="276" w:lineRule="auto"/>
        <w:ind w:firstLine="567"/>
        <w:jc w:val="both"/>
        <w:rPr>
          <w:b/>
          <w:bCs/>
          <w:i/>
          <w:iCs/>
          <w:lang w:val="pl-PL"/>
        </w:rPr>
      </w:pPr>
      <w:r w:rsidRPr="00B02EE5">
        <w:rPr>
          <w:b/>
          <w:bCs/>
          <w:i/>
          <w:iCs/>
          <w:lang w:val="pl-PL"/>
        </w:rPr>
        <w:t>b) Forestry</w:t>
      </w:r>
    </w:p>
    <w:p w14:paraId="41D615DF" w14:textId="77777777" w:rsidR="00B02EE5" w:rsidRPr="00B02EE5" w:rsidRDefault="00B02EE5" w:rsidP="00B02EE5">
      <w:pPr>
        <w:spacing w:after="40" w:line="276" w:lineRule="auto"/>
        <w:ind w:firstLine="567"/>
        <w:jc w:val="both"/>
        <w:rPr>
          <w:lang w:val="pt-BR"/>
        </w:rPr>
      </w:pPr>
      <w:r w:rsidRPr="00B02EE5">
        <w:rPr>
          <w:bCs/>
          <w:iCs/>
          <w:lang w:val="pl-PL"/>
        </w:rPr>
        <w:t>The area of newly concentrated</w:t>
      </w:r>
      <w:r w:rsidRPr="00B02EE5">
        <w:rPr>
          <w:lang w:val="pt-BR"/>
        </w:rPr>
        <w:t xml:space="preserve"> planted forest in January 2025 was estimated at 8.2 thousand hectares, up 2.6% over the same period in 2024. The number of scattered forestry trees was estimated at 3.6 million trees, an increase of 2.3%. </w:t>
      </w:r>
      <w:r w:rsidRPr="00B02EE5">
        <w:rPr>
          <w:rFonts w:eastAsia="Calibri"/>
          <w:lang w:val="en-GB"/>
        </w:rPr>
        <w:t>The output of exploited timber</w:t>
      </w:r>
      <w:r w:rsidRPr="00B02EE5">
        <w:rPr>
          <w:lang w:val="pt-BR"/>
        </w:rPr>
        <w:t xml:space="preserve"> was estimated at 1,158.7 thousand m³, up 8.1% compared to the same period last year, due to dry weather and a dynamic wood </w:t>
      </w:r>
      <w:r w:rsidRPr="00B02EE5">
        <w:rPr>
          <w:lang w:val="pt-BR"/>
        </w:rPr>
        <w:lastRenderedPageBreak/>
        <w:t>consumption market, with raw wood prices remaining high, encouraging people to increase logging activities. Some provinces have high timber exploitation rate compared to the same period last year such as: Bac Kan up 21.1%, Tuyen Quang up 20.3%, Nghe An up 19.0%, Yen Bai up 13.3%, and Quang Nam up 8.2%.</w:t>
      </w:r>
    </w:p>
    <w:p w14:paraId="4D11E8EC" w14:textId="77777777" w:rsidR="00B02EE5" w:rsidRPr="00B02EE5" w:rsidRDefault="00B02EE5" w:rsidP="00B02EE5">
      <w:pPr>
        <w:tabs>
          <w:tab w:val="left" w:pos="360"/>
          <w:tab w:val="left" w:pos="1134"/>
        </w:tabs>
        <w:spacing w:after="40" w:line="276" w:lineRule="auto"/>
        <w:ind w:firstLine="567"/>
        <w:jc w:val="both"/>
        <w:rPr>
          <w:lang w:val="pt-BR"/>
        </w:rPr>
      </w:pPr>
      <w:r w:rsidRPr="00B02EE5">
        <w:rPr>
          <w:lang w:val="pt-BR"/>
        </w:rPr>
        <w:t>In January 2025, the damaged forest area</w:t>
      </w:r>
      <w:r w:rsidRPr="00B02EE5">
        <w:rPr>
          <w:rFonts w:ascii="Calibri" w:eastAsia="Calibri" w:hAnsi="Calibri"/>
          <w:sz w:val="22"/>
          <w:szCs w:val="22"/>
          <w:vertAlign w:val="superscript"/>
          <w:lang w:val="pt-BR"/>
        </w:rPr>
        <w:footnoteReference w:id="1"/>
      </w:r>
      <w:r w:rsidRPr="00B02EE5">
        <w:rPr>
          <w:lang w:val="pt-BR"/>
        </w:rPr>
        <w:t xml:space="preserve"> was 38.7 hectares, up 90.6% over the same period last year. Of which, the burnt forest area was 2.3 hectares, 8.0 times</w:t>
      </w:r>
      <w:r w:rsidRPr="00B02EE5">
        <w:rPr>
          <w:vertAlign w:val="superscript"/>
          <w:lang w:val="pt-BR"/>
        </w:rPr>
        <w:footnoteReference w:id="2"/>
      </w:r>
      <w:r w:rsidRPr="00B02EE5">
        <w:rPr>
          <w:lang w:val="pt-BR"/>
        </w:rPr>
        <w:t xml:space="preserve">, </w:t>
      </w:r>
      <w:r w:rsidRPr="00B02EE5">
        <w:rPr>
          <w:rFonts w:eastAsia="Calibri"/>
          <w:lang w:val="en-GB"/>
        </w:rPr>
        <w:t>the area of ​​forest cut down and destroyed</w:t>
      </w:r>
      <w:r w:rsidRPr="00B02EE5">
        <w:rPr>
          <w:rFonts w:ascii="Calibri" w:eastAsia="Calibri" w:hAnsi="Calibri"/>
          <w:sz w:val="22"/>
          <w:szCs w:val="22"/>
          <w:lang w:val="en-GB"/>
        </w:rPr>
        <w:t xml:space="preserve"> </w:t>
      </w:r>
      <w:r w:rsidRPr="00B02EE5">
        <w:rPr>
          <w:lang w:val="pt-BR"/>
        </w:rPr>
        <w:t xml:space="preserve">was 36.4 hectares, up 81.8%. The burnt forest areas were mainly in Cao Bang 1.3 hectares and Tuyen Quang 0.8 hectares, </w:t>
      </w:r>
      <w:r w:rsidRPr="00B02EE5">
        <w:rPr>
          <w:rFonts w:eastAsia="Calibri"/>
          <w:lang w:val="en-GB"/>
        </w:rPr>
        <w:t>the area of ​​forest cut down and destroyed</w:t>
      </w:r>
      <w:r w:rsidRPr="00B02EE5">
        <w:rPr>
          <w:lang w:val="pt-BR"/>
        </w:rPr>
        <w:t xml:space="preserve"> were recorded in Dak Lak 12.6 hectares, Son La 6.3 hectares, and Bac Kan 3.8 hectares.</w:t>
      </w:r>
    </w:p>
    <w:p w14:paraId="43218891" w14:textId="77777777" w:rsidR="00B02EE5" w:rsidRPr="00B02EE5" w:rsidRDefault="00B02EE5" w:rsidP="00B02EE5">
      <w:pPr>
        <w:ind w:firstLine="567"/>
        <w:jc w:val="both"/>
        <w:outlineLvl w:val="2"/>
        <w:rPr>
          <w:b/>
          <w:bCs/>
          <w:lang w:val="en-GB" w:eastAsia="en-GB"/>
        </w:rPr>
      </w:pPr>
      <w:r w:rsidRPr="00B02EE5">
        <w:rPr>
          <w:b/>
          <w:bCs/>
          <w:lang w:val="en-GB" w:eastAsia="en-GB"/>
        </w:rPr>
        <w:t>c) Fishery</w:t>
      </w:r>
    </w:p>
    <w:p w14:paraId="7880EC8D" w14:textId="77777777" w:rsidR="00B02EE5" w:rsidRPr="00B02EE5" w:rsidRDefault="00B02EE5" w:rsidP="00B02EE5">
      <w:pPr>
        <w:spacing w:line="276" w:lineRule="auto"/>
        <w:ind w:firstLine="567"/>
        <w:jc w:val="both"/>
        <w:rPr>
          <w:bCs/>
          <w:iCs/>
          <w:lang w:val="pl-PL"/>
        </w:rPr>
      </w:pPr>
      <w:r w:rsidRPr="00B02EE5">
        <w:rPr>
          <w:bCs/>
          <w:iCs/>
          <w:lang w:val="pl-PL"/>
        </w:rPr>
        <w:t xml:space="preserve">Fishery output in January 2025 was estimated at 594.1 thousand tons, up 0.7% over the same period last year, including: </w:t>
      </w:r>
      <w:r w:rsidRPr="00B02EE5">
        <w:rPr>
          <w:rFonts w:eastAsia="Calibri"/>
          <w:lang w:val="de-DE"/>
        </w:rPr>
        <w:t>Fish reached</w:t>
      </w:r>
      <w:r w:rsidRPr="00B02EE5">
        <w:rPr>
          <w:rFonts w:ascii="Calibri" w:eastAsia="Calibri" w:hAnsi="Calibri"/>
          <w:sz w:val="22"/>
          <w:szCs w:val="22"/>
          <w:lang w:val="de-DE"/>
        </w:rPr>
        <w:t xml:space="preserve"> </w:t>
      </w:r>
      <w:r w:rsidRPr="00B02EE5">
        <w:rPr>
          <w:bCs/>
          <w:iCs/>
          <w:lang w:val="pl-PL"/>
        </w:rPr>
        <w:t xml:space="preserve">443.4 thousand tons up 0.7%; </w:t>
      </w:r>
      <w:r w:rsidRPr="00B02EE5">
        <w:rPr>
          <w:rFonts w:eastAsia="Calibri"/>
          <w:lang w:val="de-DE"/>
        </w:rPr>
        <w:t>shrimp estimated at</w:t>
      </w:r>
      <w:r w:rsidRPr="00B02EE5">
        <w:rPr>
          <w:bCs/>
          <w:iCs/>
          <w:lang w:val="pl-PL"/>
        </w:rPr>
        <w:t xml:space="preserve"> 56.3 thousand tons up 3.1%; other aquatic products </w:t>
      </w:r>
      <w:r w:rsidRPr="00B02EE5">
        <w:rPr>
          <w:rFonts w:eastAsia="Calibri"/>
          <w:lang w:val="de-DE"/>
        </w:rPr>
        <w:t>estimated at</w:t>
      </w:r>
      <w:r w:rsidRPr="00B02EE5">
        <w:rPr>
          <w:bCs/>
          <w:iCs/>
          <w:lang w:val="pl-PL"/>
        </w:rPr>
        <w:t xml:space="preserve"> 94.4 thousand tons, down 0.9%.</w:t>
      </w:r>
    </w:p>
    <w:p w14:paraId="04FFE12D" w14:textId="77777777" w:rsidR="00B02EE5" w:rsidRPr="00B02EE5" w:rsidRDefault="00B02EE5" w:rsidP="00B02EE5">
      <w:pPr>
        <w:spacing w:after="40" w:line="276" w:lineRule="auto"/>
        <w:ind w:firstLine="567"/>
        <w:jc w:val="both"/>
        <w:rPr>
          <w:bCs/>
          <w:iCs/>
          <w:lang w:val="pl-PL"/>
        </w:rPr>
      </w:pPr>
      <w:r w:rsidRPr="00B02EE5">
        <w:rPr>
          <w:bCs/>
          <w:iCs/>
          <w:lang w:val="pl-PL"/>
        </w:rPr>
        <w:t>Aquaculture production in the month was estimated at 329.2 thousand tons, up 5.1% over the same period last year, of which: Fish output reached 241.1 thousand tons, up 5.5%; shrimp output reached 46.8 thousand tons, up 4.9%. Pangasius production in the month was estimated at 102.5 thousand tons, up 6.0% over the same period last year due to the increase in raw pangasius prices</w:t>
      </w:r>
      <w:r w:rsidRPr="00B02EE5">
        <w:rPr>
          <w:bCs/>
          <w:iCs/>
          <w:vertAlign w:val="superscript"/>
          <w:lang w:val="pl-PL"/>
        </w:rPr>
        <w:footnoteReference w:id="3"/>
      </w:r>
      <w:r w:rsidRPr="00B02EE5">
        <w:rPr>
          <w:bCs/>
          <w:iCs/>
          <w:lang w:val="pl-PL"/>
        </w:rPr>
        <w:t xml:space="preserve"> in the Mekong Delta, it encourages farmers to raise and at the same time creates conditions for processing enterprises to boost purchases to meet export demand at the beginning of the year. Some key pangasius farming localities have a fairly high increase in harvest output compared to the same period last year, such as Can Tho up 10.6%, Long An up 10.0%, Dong Thap up 9.0%, An Giang up 6.9%. The output of farmed shrimp in the month increased compared to the same period last year to serve consumer demand during the Lunar New Year and for export</w:t>
      </w:r>
      <w:r w:rsidRPr="00B02EE5">
        <w:rPr>
          <w:bCs/>
          <w:iCs/>
          <w:vertAlign w:val="superscript"/>
          <w:lang w:val="pl-PL"/>
        </w:rPr>
        <w:footnoteReference w:id="4"/>
      </w:r>
      <w:r w:rsidRPr="00B02EE5">
        <w:rPr>
          <w:bCs/>
          <w:iCs/>
          <w:lang w:val="pl-PL"/>
        </w:rPr>
        <w:t>. The output of white-leg shrimp is estimated at 26.5 thousand tons, up 6.4% over the same period last year; the output of black tiger shrimp reached 15.3 thousand tons, up 2.7%.</w:t>
      </w:r>
    </w:p>
    <w:p w14:paraId="676E29E0" w14:textId="77777777" w:rsidR="00B02EE5" w:rsidRPr="00B02EE5" w:rsidRDefault="00B02EE5" w:rsidP="00B02EE5">
      <w:pPr>
        <w:spacing w:before="40" w:after="40" w:line="276" w:lineRule="auto"/>
        <w:ind w:firstLine="567"/>
        <w:jc w:val="center"/>
        <w:rPr>
          <w:rFonts w:ascii="Arial" w:eastAsia="Calibri" w:hAnsi="Arial" w:cs="Arial"/>
          <w:b/>
          <w:bCs/>
          <w:sz w:val="24"/>
          <w:szCs w:val="24"/>
          <w:lang w:val="de-DE"/>
        </w:rPr>
      </w:pPr>
      <w:r w:rsidRPr="00B02EE5">
        <w:rPr>
          <w:rFonts w:ascii="Arial" w:eastAsia="Calibri" w:hAnsi="Arial" w:cs="Arial"/>
          <w:b/>
          <w:bCs/>
          <w:sz w:val="24"/>
          <w:szCs w:val="24"/>
          <w:lang w:val="de-DE"/>
        </w:rPr>
        <w:t>Figure 3. Fishery production of January in 2025</w:t>
      </w:r>
    </w:p>
    <w:p w14:paraId="08496EDD" w14:textId="77777777" w:rsidR="00B02EE5" w:rsidRPr="00B02EE5" w:rsidRDefault="00B02EE5" w:rsidP="00B02EE5">
      <w:pPr>
        <w:shd w:val="clear" w:color="auto" w:fill="FFFFFF"/>
        <w:tabs>
          <w:tab w:val="left" w:pos="9360"/>
        </w:tabs>
        <w:spacing w:line="288" w:lineRule="auto"/>
        <w:jc w:val="center"/>
        <w:rPr>
          <w:rFonts w:ascii="Calibri" w:eastAsia="Calibri" w:hAnsi="Calibri"/>
          <w:i/>
          <w:spacing w:val="-6"/>
          <w:sz w:val="22"/>
          <w:szCs w:val="22"/>
          <w:lang w:val="en-US"/>
        </w:rPr>
      </w:pPr>
      <w:r w:rsidRPr="00B02EE5">
        <w:rPr>
          <w:rFonts w:ascii="Arial" w:eastAsia="Calibri" w:hAnsi="Arial" w:cs="Arial"/>
          <w:bCs/>
          <w:i/>
          <w:sz w:val="24"/>
          <w:szCs w:val="24"/>
          <w:lang w:val="de-DE"/>
        </w:rPr>
        <w:t xml:space="preserve">                 (over the same previous in 2024)</w:t>
      </w:r>
      <w:r w:rsidRPr="00B02EE5">
        <w:rPr>
          <w:rFonts w:ascii="Calibri" w:eastAsia="Calibri" w:hAnsi="Calibri"/>
          <w:i/>
          <w:noProof/>
          <w:sz w:val="22"/>
          <w:szCs w:val="22"/>
          <w:lang w:val="en-US"/>
        </w:rPr>
        <w:t xml:space="preserve"> </w:t>
      </w:r>
    </w:p>
    <w:p w14:paraId="042ECAC3" w14:textId="77777777" w:rsidR="00B02EE5" w:rsidRPr="00B02EE5" w:rsidRDefault="00B02EE5" w:rsidP="00B02EE5">
      <w:pPr>
        <w:rPr>
          <w:sz w:val="24"/>
          <w:szCs w:val="24"/>
          <w:lang w:val="en-GB" w:eastAsia="en-GB"/>
        </w:rPr>
      </w:pPr>
      <w:r w:rsidRPr="00B02EE5">
        <w:rPr>
          <w:noProof/>
          <w:sz w:val="24"/>
          <w:szCs w:val="24"/>
          <w:lang w:val="en-GB" w:eastAsia="en-GB"/>
        </w:rPr>
        <w:lastRenderedPageBreak/>
        <w:drawing>
          <wp:inline distT="0" distB="0" distL="0" distR="0" wp14:anchorId="3C87E79B" wp14:editId="44CD0285">
            <wp:extent cx="5740227" cy="1900256"/>
            <wp:effectExtent l="0" t="0" r="0" b="5080"/>
            <wp:docPr id="1069417703" name="Picture 1069417703" descr="C:\Users\tvvinh\Pictures\Camera Roll\Thuy san _T1 202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vvinh\Pictures\Camera Roll\Thuy san _T1 2025-0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57511" cy="1939082"/>
                    </a:xfrm>
                    <a:prstGeom prst="rect">
                      <a:avLst/>
                    </a:prstGeom>
                    <a:noFill/>
                    <a:ln>
                      <a:noFill/>
                    </a:ln>
                  </pic:spPr>
                </pic:pic>
              </a:graphicData>
            </a:graphic>
          </wp:inline>
        </w:drawing>
      </w:r>
    </w:p>
    <w:p w14:paraId="09A4F3FB" w14:textId="2B99D8EB" w:rsidR="004A2A23" w:rsidRPr="00B02EE5" w:rsidRDefault="00B02EE5" w:rsidP="00B02EE5">
      <w:pPr>
        <w:spacing w:after="40" w:line="276" w:lineRule="auto"/>
        <w:ind w:firstLine="567"/>
        <w:jc w:val="both"/>
        <w:rPr>
          <w:rFonts w:eastAsia="Calibri"/>
          <w:lang w:val="en-GB"/>
        </w:rPr>
      </w:pPr>
      <w:r w:rsidRPr="00B02EE5">
        <w:rPr>
          <w:bCs/>
          <w:iCs/>
          <w:lang w:val="pl-PL"/>
        </w:rPr>
        <w:t xml:space="preserve">The </w:t>
      </w:r>
      <w:r w:rsidRPr="00B02EE5">
        <w:rPr>
          <w:rFonts w:eastAsia="Calibri"/>
          <w:lang w:val="de-DE"/>
        </w:rPr>
        <w:t>caught</w:t>
      </w:r>
      <w:r w:rsidRPr="00B02EE5">
        <w:rPr>
          <w:bCs/>
          <w:iCs/>
          <w:lang w:val="pl-PL"/>
        </w:rPr>
        <w:t xml:space="preserve"> fishery production in January 2025 was estimated at 264.9 thousand tons, down 4.3% </w:t>
      </w:r>
      <w:r w:rsidRPr="00B02EE5">
        <w:rPr>
          <w:rFonts w:eastAsia="Calibri"/>
          <w:lang w:val="de-DE"/>
        </w:rPr>
        <w:t>over the same period last year</w:t>
      </w:r>
      <w:r w:rsidRPr="00B02EE5">
        <w:rPr>
          <w:bCs/>
          <w:iCs/>
          <w:lang w:val="pl-PL"/>
        </w:rPr>
        <w:t>, including: Fish output was 202.3 thousand tons, down 4.4%; shrimp output was 9.5 thousand tons, down 5.0%; other aquatic products output was 53.1 thousand tons, down 5.8%. The decline in capture fishery output was attributed to the Lunar New Year holiday, which shortened fishermen’s time at sea compared to the same period last year. Additionally, some vessels temporarily halted operations for maintenance and preparation for the new fishing season. Estimated marine aquatic product output reached 246.7 thousand tons, down 4.4%, of which: Fish reached 189.4 thousand tons, down 4.5%; shrimp reached 8.1 thousand tons, down 4.7%; other aquatic products reached 49.2 thousand tons, down 5.9%.</w:t>
      </w:r>
    </w:p>
    <w:p w14:paraId="2945C927" w14:textId="77777777" w:rsidR="00B02EE5" w:rsidRPr="00B02EE5" w:rsidRDefault="00B02EE5" w:rsidP="00B02EE5">
      <w:pPr>
        <w:spacing w:after="120" w:line="264" w:lineRule="auto"/>
        <w:ind w:firstLine="720"/>
        <w:jc w:val="both"/>
        <w:rPr>
          <w:b/>
          <w:lang w:val="sv-SE"/>
        </w:rPr>
      </w:pPr>
      <w:r w:rsidRPr="00B02EE5">
        <w:rPr>
          <w:b/>
          <w:lang w:val="sv-SE"/>
        </w:rPr>
        <w:t>2. Industry Production</w:t>
      </w:r>
    </w:p>
    <w:p w14:paraId="7542985C" w14:textId="77777777" w:rsidR="00B02EE5" w:rsidRPr="00B02EE5" w:rsidRDefault="00B02EE5" w:rsidP="00B02EE5">
      <w:pPr>
        <w:shd w:val="clear" w:color="auto" w:fill="FFFFFF"/>
        <w:tabs>
          <w:tab w:val="left" w:pos="8931"/>
        </w:tabs>
        <w:spacing w:after="120" w:line="264" w:lineRule="auto"/>
        <w:ind w:firstLine="567"/>
        <w:jc w:val="both"/>
        <w:rPr>
          <w:iCs/>
          <w:lang w:val="de-DE"/>
        </w:rPr>
      </w:pPr>
      <w:r w:rsidRPr="00B02EE5">
        <w:rPr>
          <w:iCs/>
          <w:lang w:val="de-DE"/>
        </w:rPr>
        <w:t>The Lunar New Year will take place in January 2025, so the number of working days is less than the previous month and the same period last year. The industrial production index in January 2025 is estimated to decrease by 9.2% compared to the previous month and increase by 0.6% over the same period last year, of which the processing and manufacturing industry increased by 1.6%.</w:t>
      </w:r>
    </w:p>
    <w:p w14:paraId="16DBEE4C" w14:textId="77777777" w:rsidR="00B02EE5" w:rsidRPr="00B02EE5" w:rsidRDefault="00B02EE5" w:rsidP="00B02EE5">
      <w:pPr>
        <w:shd w:val="clear" w:color="auto" w:fill="FFFFFF"/>
        <w:tabs>
          <w:tab w:val="left" w:pos="8931"/>
        </w:tabs>
        <w:spacing w:after="120" w:line="264" w:lineRule="auto"/>
        <w:ind w:firstLine="567"/>
        <w:jc w:val="both"/>
        <w:rPr>
          <w:iCs/>
          <w:lang w:val="de-DE"/>
        </w:rPr>
      </w:pPr>
      <w:r w:rsidRPr="00B02EE5">
        <w:rPr>
          <w:iCs/>
          <w:lang w:val="de-DE"/>
        </w:rPr>
        <w:t>The index of industrial production (IIP) in January 2025 is estimated to decrease by 9.2% compared to the previous month and increase by 0.6% over the same period last year. In which, the processing and manufacturing industry increased by 1.6% over the same period last year; electricity production and distribution increased by 0.4%; water supply, waste and wastewater management and treatment activities increased by 9.2%. Particularly, the mining industry decreased by 10.4%.</w:t>
      </w:r>
    </w:p>
    <w:p w14:paraId="0E518A3E" w14:textId="77777777" w:rsidR="00B02EE5" w:rsidRPr="00B02EE5" w:rsidRDefault="00B02EE5" w:rsidP="00B02EE5">
      <w:pPr>
        <w:shd w:val="clear" w:color="auto" w:fill="FFFFFF"/>
        <w:tabs>
          <w:tab w:val="left" w:pos="8931"/>
        </w:tabs>
        <w:spacing w:after="120" w:line="264" w:lineRule="auto"/>
        <w:ind w:firstLine="567"/>
        <w:jc w:val="both"/>
        <w:rPr>
          <w:iCs/>
          <w:lang w:val="de-DE"/>
        </w:rPr>
      </w:pPr>
      <w:r w:rsidRPr="00B02EE5">
        <w:rPr>
          <w:iCs/>
          <w:lang w:val="de-DE"/>
        </w:rPr>
        <w:t xml:space="preserve">The rate of increase/decrease in the production index in January 2025 of some key industries at level II compared to the same period last year: Manufacture of motor vehicles; trailers and semi-trailers increased by 33.8%; Manufacture of furniture increased by 10.6%; manufacture of leather and related products increased by 10.3%; manufacture of wearing apparel increased by 6.1%; manufacture of textiles increased by 4.2%; manufacture of computer, electronic and optical products increased by 3.8%; manufacture of other non-metallic </w:t>
      </w:r>
      <w:r w:rsidRPr="00B02EE5">
        <w:rPr>
          <w:iCs/>
          <w:lang w:val="de-DE"/>
        </w:rPr>
        <w:lastRenderedPageBreak/>
        <w:t>mineral products increased by 3.5%; manufacture of food products increased by 2.1%. In the opposite direction, the IIP index of some industries decreased: Manufacture of pharmaceuticals, medicinal chemical and botanical products decreased by 29.1%; mining of coal and lignite decreased by 20.1%; manufacture of electrical equipment decreased by 11.5%; manufacture of chemicals and chemical products decreased by 8.4%; printing and reproduction of recorded media decreased by 7.9%; Extraction of crude petroleum and nutural gas fell 6.5%.</w:t>
      </w:r>
    </w:p>
    <w:p w14:paraId="69311B94" w14:textId="77777777" w:rsidR="00B02EE5" w:rsidRPr="00B02EE5" w:rsidRDefault="00B02EE5" w:rsidP="00B02EE5">
      <w:pPr>
        <w:shd w:val="clear" w:color="auto" w:fill="FFFFFF"/>
        <w:tabs>
          <w:tab w:val="left" w:pos="8931"/>
        </w:tabs>
        <w:spacing w:before="60"/>
        <w:jc w:val="center"/>
        <w:rPr>
          <w:rFonts w:ascii="Arial" w:hAnsi="Arial" w:cs="Arial"/>
          <w:b/>
          <w:spacing w:val="-2"/>
          <w:sz w:val="24"/>
          <w:szCs w:val="22"/>
          <w:lang w:val="pl-PL"/>
        </w:rPr>
      </w:pPr>
      <w:r w:rsidRPr="00B02EE5">
        <w:rPr>
          <w:rFonts w:ascii="Arial" w:hAnsi="Arial" w:cs="Arial"/>
          <w:b/>
          <w:spacing w:val="-2"/>
          <w:sz w:val="24"/>
          <w:szCs w:val="22"/>
          <w:lang w:val="pl-PL"/>
        </w:rPr>
        <w:t>Figure 1. Rate of increase/decrease of IIP index in January 2021-2025</w:t>
      </w:r>
    </w:p>
    <w:p w14:paraId="1BFBD94E" w14:textId="77777777" w:rsidR="00B02EE5" w:rsidRPr="00B02EE5" w:rsidRDefault="00B02EE5" w:rsidP="00B02EE5">
      <w:pPr>
        <w:shd w:val="clear" w:color="auto" w:fill="FFFFFF"/>
        <w:tabs>
          <w:tab w:val="left" w:pos="8931"/>
        </w:tabs>
        <w:spacing w:before="60"/>
        <w:jc w:val="center"/>
        <w:rPr>
          <w:rFonts w:ascii="Arial" w:hAnsi="Arial" w:cs="Arial"/>
          <w:spacing w:val="-2"/>
          <w:sz w:val="20"/>
          <w:szCs w:val="20"/>
          <w:lang w:val="pl-PL"/>
        </w:rPr>
      </w:pPr>
      <w:r w:rsidRPr="00B02EE5">
        <w:rPr>
          <w:rFonts w:ascii="Arial" w:hAnsi="Arial" w:cs="Arial"/>
          <w:b/>
          <w:spacing w:val="-2"/>
          <w:sz w:val="24"/>
          <w:szCs w:val="22"/>
          <w:lang w:val="pl-PL"/>
        </w:rPr>
        <w:t>compared to the same period last year of some key industries</w:t>
      </w:r>
      <w:r w:rsidRPr="00B02EE5">
        <w:rPr>
          <w:rFonts w:ascii="Arial" w:hAnsi="Arial" w:cs="Arial"/>
          <w:spacing w:val="-2"/>
          <w:sz w:val="20"/>
          <w:szCs w:val="20"/>
          <w:lang w:val="pl-PL"/>
        </w:rPr>
        <w:t xml:space="preserve">   %</w:t>
      </w:r>
    </w:p>
    <w:tbl>
      <w:tblPr>
        <w:tblW w:w="9209" w:type="dxa"/>
        <w:jc w:val="center"/>
        <w:tblLook w:val="04A0" w:firstRow="1" w:lastRow="0" w:firstColumn="1" w:lastColumn="0" w:noHBand="0" w:noVBand="1"/>
      </w:tblPr>
      <w:tblGrid>
        <w:gridCol w:w="4962"/>
        <w:gridCol w:w="851"/>
        <w:gridCol w:w="850"/>
        <w:gridCol w:w="851"/>
        <w:gridCol w:w="887"/>
        <w:gridCol w:w="808"/>
      </w:tblGrid>
      <w:tr w:rsidR="00B02EE5" w:rsidRPr="00B02EE5" w14:paraId="0B86EE5B" w14:textId="77777777" w:rsidTr="003446D4">
        <w:trPr>
          <w:trHeight w:val="438"/>
          <w:tblHeader/>
          <w:jc w:val="center"/>
        </w:trPr>
        <w:tc>
          <w:tcPr>
            <w:tcW w:w="4962" w:type="dxa"/>
            <w:tcBorders>
              <w:top w:val="single" w:sz="4" w:space="0" w:color="auto"/>
              <w:left w:val="nil"/>
              <w:bottom w:val="nil"/>
              <w:right w:val="nil"/>
            </w:tcBorders>
            <w:noWrap/>
            <w:vAlign w:val="bottom"/>
            <w:hideMark/>
          </w:tcPr>
          <w:p w14:paraId="27CC4554" w14:textId="77777777" w:rsidR="00B02EE5" w:rsidRPr="00B02EE5" w:rsidRDefault="00B02EE5" w:rsidP="00B02EE5">
            <w:pPr>
              <w:rPr>
                <w:rFonts w:ascii="Arial" w:hAnsi="Arial" w:cs="Arial"/>
                <w:spacing w:val="-2"/>
                <w:sz w:val="20"/>
                <w:szCs w:val="20"/>
                <w:lang w:val="pl-PL"/>
              </w:rPr>
            </w:pPr>
          </w:p>
        </w:tc>
        <w:tc>
          <w:tcPr>
            <w:tcW w:w="851" w:type="dxa"/>
            <w:tcBorders>
              <w:top w:val="single" w:sz="4" w:space="0" w:color="auto"/>
              <w:left w:val="nil"/>
              <w:bottom w:val="single" w:sz="4" w:space="0" w:color="auto"/>
              <w:right w:val="nil"/>
            </w:tcBorders>
            <w:noWrap/>
            <w:vAlign w:val="center"/>
            <w:hideMark/>
          </w:tcPr>
          <w:p w14:paraId="628C5FA3" w14:textId="77777777" w:rsidR="00B02EE5" w:rsidRPr="00B02EE5" w:rsidRDefault="00B02EE5" w:rsidP="00B02EE5">
            <w:pPr>
              <w:spacing w:line="256" w:lineRule="auto"/>
              <w:jc w:val="right"/>
              <w:rPr>
                <w:rFonts w:ascii="Arial" w:hAnsi="Arial" w:cs="Arial"/>
                <w:kern w:val="2"/>
                <w:sz w:val="20"/>
                <w:szCs w:val="20"/>
                <w:lang w:val="pl-PL"/>
                <w14:ligatures w14:val="standardContextual"/>
              </w:rPr>
            </w:pPr>
            <w:r w:rsidRPr="00B02EE5">
              <w:rPr>
                <w:rFonts w:ascii="Arial" w:hAnsi="Arial" w:cs="Arial"/>
                <w:kern w:val="2"/>
                <w:sz w:val="20"/>
                <w:szCs w:val="20"/>
                <w:lang w:val="pl-PL"/>
                <w14:ligatures w14:val="standardContextual"/>
              </w:rPr>
              <w:t>2021</w:t>
            </w:r>
          </w:p>
        </w:tc>
        <w:tc>
          <w:tcPr>
            <w:tcW w:w="850" w:type="dxa"/>
            <w:tcBorders>
              <w:top w:val="single" w:sz="4" w:space="0" w:color="auto"/>
              <w:left w:val="nil"/>
              <w:bottom w:val="single" w:sz="4" w:space="0" w:color="auto"/>
              <w:right w:val="nil"/>
            </w:tcBorders>
            <w:noWrap/>
            <w:vAlign w:val="center"/>
            <w:hideMark/>
          </w:tcPr>
          <w:p w14:paraId="3E3DCBED" w14:textId="77777777" w:rsidR="00B02EE5" w:rsidRPr="00B02EE5" w:rsidRDefault="00B02EE5" w:rsidP="00B02EE5">
            <w:pPr>
              <w:spacing w:line="256" w:lineRule="auto"/>
              <w:jc w:val="right"/>
              <w:rPr>
                <w:rFonts w:ascii="Arial" w:hAnsi="Arial" w:cs="Arial"/>
                <w:kern w:val="2"/>
                <w:sz w:val="20"/>
                <w:szCs w:val="20"/>
                <w:lang w:val="pl-PL"/>
                <w14:ligatures w14:val="standardContextual"/>
              </w:rPr>
            </w:pPr>
            <w:r w:rsidRPr="00B02EE5">
              <w:rPr>
                <w:rFonts w:ascii="Arial" w:hAnsi="Arial" w:cs="Arial"/>
                <w:kern w:val="2"/>
                <w:sz w:val="20"/>
                <w:szCs w:val="20"/>
                <w:lang w:val="pl-PL"/>
                <w14:ligatures w14:val="standardContextual"/>
              </w:rPr>
              <w:t>2022</w:t>
            </w:r>
          </w:p>
        </w:tc>
        <w:tc>
          <w:tcPr>
            <w:tcW w:w="851" w:type="dxa"/>
            <w:tcBorders>
              <w:top w:val="single" w:sz="4" w:space="0" w:color="auto"/>
              <w:left w:val="nil"/>
              <w:bottom w:val="single" w:sz="4" w:space="0" w:color="auto"/>
              <w:right w:val="nil"/>
            </w:tcBorders>
            <w:noWrap/>
            <w:vAlign w:val="center"/>
            <w:hideMark/>
          </w:tcPr>
          <w:p w14:paraId="63C52986" w14:textId="77777777" w:rsidR="00B02EE5" w:rsidRPr="00B02EE5" w:rsidRDefault="00B02EE5" w:rsidP="00B02EE5">
            <w:pPr>
              <w:spacing w:line="256" w:lineRule="auto"/>
              <w:jc w:val="right"/>
              <w:rPr>
                <w:rFonts w:ascii="Arial" w:hAnsi="Arial" w:cs="Arial"/>
                <w:kern w:val="2"/>
                <w:sz w:val="20"/>
                <w:szCs w:val="20"/>
                <w:lang w:val="pl-PL"/>
                <w14:ligatures w14:val="standardContextual"/>
              </w:rPr>
            </w:pPr>
            <w:r w:rsidRPr="00B02EE5">
              <w:rPr>
                <w:rFonts w:ascii="Arial" w:hAnsi="Arial" w:cs="Arial"/>
                <w:kern w:val="2"/>
                <w:sz w:val="20"/>
                <w:szCs w:val="20"/>
                <w:lang w:val="pl-PL"/>
                <w14:ligatures w14:val="standardContextual"/>
              </w:rPr>
              <w:t>2023</w:t>
            </w:r>
          </w:p>
        </w:tc>
        <w:tc>
          <w:tcPr>
            <w:tcW w:w="887" w:type="dxa"/>
            <w:tcBorders>
              <w:top w:val="single" w:sz="4" w:space="0" w:color="auto"/>
              <w:left w:val="nil"/>
              <w:bottom w:val="single" w:sz="4" w:space="0" w:color="auto"/>
              <w:right w:val="nil"/>
            </w:tcBorders>
            <w:noWrap/>
            <w:vAlign w:val="center"/>
            <w:hideMark/>
          </w:tcPr>
          <w:p w14:paraId="1DD6DF23" w14:textId="77777777" w:rsidR="00B02EE5" w:rsidRPr="00B02EE5" w:rsidRDefault="00B02EE5" w:rsidP="00B02EE5">
            <w:pPr>
              <w:spacing w:line="256" w:lineRule="auto"/>
              <w:jc w:val="right"/>
              <w:rPr>
                <w:rFonts w:ascii="Arial" w:hAnsi="Arial" w:cs="Arial"/>
                <w:kern w:val="2"/>
                <w:sz w:val="20"/>
                <w:szCs w:val="20"/>
                <w:lang w:val="pl-PL"/>
                <w14:ligatures w14:val="standardContextual"/>
              </w:rPr>
            </w:pPr>
            <w:r w:rsidRPr="00B02EE5">
              <w:rPr>
                <w:rFonts w:ascii="Arial" w:hAnsi="Arial" w:cs="Arial"/>
                <w:kern w:val="2"/>
                <w:sz w:val="20"/>
                <w:szCs w:val="20"/>
                <w:lang w:val="pl-PL"/>
                <w14:ligatures w14:val="standardContextual"/>
              </w:rPr>
              <w:t>2024</w:t>
            </w:r>
          </w:p>
        </w:tc>
        <w:tc>
          <w:tcPr>
            <w:tcW w:w="808" w:type="dxa"/>
            <w:tcBorders>
              <w:top w:val="single" w:sz="4" w:space="0" w:color="auto"/>
              <w:left w:val="nil"/>
              <w:bottom w:val="single" w:sz="4" w:space="0" w:color="auto"/>
              <w:right w:val="nil"/>
            </w:tcBorders>
            <w:noWrap/>
            <w:vAlign w:val="center"/>
            <w:hideMark/>
          </w:tcPr>
          <w:p w14:paraId="573AF2F1" w14:textId="77777777" w:rsidR="00B02EE5" w:rsidRPr="00B02EE5" w:rsidRDefault="00B02EE5" w:rsidP="00B02EE5">
            <w:pPr>
              <w:spacing w:line="256" w:lineRule="auto"/>
              <w:jc w:val="right"/>
              <w:rPr>
                <w:rFonts w:ascii="Arial" w:hAnsi="Arial" w:cs="Arial"/>
                <w:kern w:val="2"/>
                <w:sz w:val="20"/>
                <w:szCs w:val="20"/>
                <w:lang w:val="pl-PL"/>
                <w14:ligatures w14:val="standardContextual"/>
              </w:rPr>
            </w:pPr>
            <w:r w:rsidRPr="00B02EE5">
              <w:rPr>
                <w:rFonts w:ascii="Arial" w:hAnsi="Arial" w:cs="Arial"/>
                <w:kern w:val="2"/>
                <w:sz w:val="20"/>
                <w:szCs w:val="20"/>
                <w:lang w:val="pl-PL"/>
                <w14:ligatures w14:val="standardContextual"/>
              </w:rPr>
              <w:t>2025</w:t>
            </w:r>
          </w:p>
        </w:tc>
      </w:tr>
      <w:tr w:rsidR="00B02EE5" w:rsidRPr="00B02EE5" w14:paraId="5B26624E" w14:textId="77777777" w:rsidTr="003446D4">
        <w:trPr>
          <w:trHeight w:val="138"/>
          <w:jc w:val="center"/>
        </w:trPr>
        <w:tc>
          <w:tcPr>
            <w:tcW w:w="4962" w:type="dxa"/>
            <w:noWrap/>
            <w:vAlign w:val="bottom"/>
            <w:hideMark/>
          </w:tcPr>
          <w:p w14:paraId="5272D4A0" w14:textId="77777777" w:rsidR="00B02EE5" w:rsidRPr="00B02EE5" w:rsidRDefault="00B02EE5" w:rsidP="00B02EE5">
            <w:pPr>
              <w:rPr>
                <w:rFonts w:ascii="Arial" w:hAnsi="Arial" w:cs="Arial"/>
                <w:kern w:val="2"/>
                <w:sz w:val="20"/>
                <w:szCs w:val="20"/>
                <w:lang w:val="pl-PL"/>
                <w14:ligatures w14:val="standardContextual"/>
              </w:rPr>
            </w:pPr>
          </w:p>
        </w:tc>
        <w:tc>
          <w:tcPr>
            <w:tcW w:w="851" w:type="dxa"/>
            <w:tcBorders>
              <w:top w:val="single" w:sz="4" w:space="0" w:color="auto"/>
              <w:left w:val="nil"/>
              <w:bottom w:val="nil"/>
              <w:right w:val="nil"/>
            </w:tcBorders>
            <w:noWrap/>
            <w:vAlign w:val="bottom"/>
            <w:hideMark/>
          </w:tcPr>
          <w:p w14:paraId="1A53E77A" w14:textId="77777777" w:rsidR="00B02EE5" w:rsidRPr="00B02EE5" w:rsidRDefault="00B02EE5" w:rsidP="00B02EE5">
            <w:pPr>
              <w:spacing w:line="256" w:lineRule="auto"/>
              <w:rPr>
                <w:rFonts w:ascii="Calibri" w:eastAsia="Calibri" w:hAnsi="Calibri"/>
                <w:sz w:val="20"/>
                <w:szCs w:val="20"/>
                <w:lang w:val="en-US"/>
              </w:rPr>
            </w:pPr>
          </w:p>
        </w:tc>
        <w:tc>
          <w:tcPr>
            <w:tcW w:w="850" w:type="dxa"/>
            <w:tcBorders>
              <w:top w:val="single" w:sz="4" w:space="0" w:color="auto"/>
              <w:left w:val="nil"/>
              <w:bottom w:val="nil"/>
              <w:right w:val="nil"/>
            </w:tcBorders>
            <w:noWrap/>
            <w:vAlign w:val="bottom"/>
            <w:hideMark/>
          </w:tcPr>
          <w:p w14:paraId="1FE3F5A2" w14:textId="77777777" w:rsidR="00B02EE5" w:rsidRPr="00B02EE5" w:rsidRDefault="00B02EE5" w:rsidP="00B02EE5">
            <w:pPr>
              <w:spacing w:line="256" w:lineRule="auto"/>
              <w:rPr>
                <w:rFonts w:ascii="Calibri" w:eastAsia="Calibri" w:hAnsi="Calibri"/>
                <w:sz w:val="20"/>
                <w:szCs w:val="20"/>
                <w:lang w:val="en-US"/>
              </w:rPr>
            </w:pPr>
          </w:p>
        </w:tc>
        <w:tc>
          <w:tcPr>
            <w:tcW w:w="851" w:type="dxa"/>
            <w:tcBorders>
              <w:top w:val="single" w:sz="4" w:space="0" w:color="auto"/>
              <w:left w:val="nil"/>
              <w:bottom w:val="nil"/>
              <w:right w:val="nil"/>
            </w:tcBorders>
            <w:noWrap/>
            <w:vAlign w:val="bottom"/>
            <w:hideMark/>
          </w:tcPr>
          <w:p w14:paraId="0753182E" w14:textId="77777777" w:rsidR="00B02EE5" w:rsidRPr="00B02EE5" w:rsidRDefault="00B02EE5" w:rsidP="00B02EE5">
            <w:pPr>
              <w:spacing w:line="256" w:lineRule="auto"/>
              <w:rPr>
                <w:rFonts w:ascii="Calibri" w:eastAsia="Calibri" w:hAnsi="Calibri"/>
                <w:sz w:val="20"/>
                <w:szCs w:val="20"/>
                <w:lang w:val="en-US"/>
              </w:rPr>
            </w:pPr>
          </w:p>
        </w:tc>
        <w:tc>
          <w:tcPr>
            <w:tcW w:w="887" w:type="dxa"/>
            <w:tcBorders>
              <w:top w:val="single" w:sz="4" w:space="0" w:color="auto"/>
              <w:left w:val="nil"/>
              <w:bottom w:val="nil"/>
              <w:right w:val="nil"/>
            </w:tcBorders>
            <w:noWrap/>
            <w:vAlign w:val="bottom"/>
            <w:hideMark/>
          </w:tcPr>
          <w:p w14:paraId="19D34566" w14:textId="77777777" w:rsidR="00B02EE5" w:rsidRPr="00B02EE5" w:rsidRDefault="00B02EE5" w:rsidP="00B02EE5">
            <w:pPr>
              <w:spacing w:line="256" w:lineRule="auto"/>
              <w:rPr>
                <w:rFonts w:ascii="Calibri" w:eastAsia="Calibri" w:hAnsi="Calibri"/>
                <w:sz w:val="20"/>
                <w:szCs w:val="20"/>
                <w:lang w:val="en-US"/>
              </w:rPr>
            </w:pPr>
          </w:p>
        </w:tc>
        <w:tc>
          <w:tcPr>
            <w:tcW w:w="808" w:type="dxa"/>
            <w:tcBorders>
              <w:top w:val="single" w:sz="4" w:space="0" w:color="auto"/>
              <w:left w:val="nil"/>
              <w:bottom w:val="nil"/>
              <w:right w:val="nil"/>
            </w:tcBorders>
            <w:noWrap/>
            <w:vAlign w:val="bottom"/>
            <w:hideMark/>
          </w:tcPr>
          <w:p w14:paraId="591A25BB" w14:textId="77777777" w:rsidR="00B02EE5" w:rsidRPr="00B02EE5" w:rsidRDefault="00B02EE5" w:rsidP="00B02EE5">
            <w:pPr>
              <w:spacing w:line="256" w:lineRule="auto"/>
              <w:rPr>
                <w:rFonts w:ascii="Calibri" w:eastAsia="Calibri" w:hAnsi="Calibri"/>
                <w:sz w:val="20"/>
                <w:szCs w:val="20"/>
                <w:lang w:val="en-US"/>
              </w:rPr>
            </w:pPr>
          </w:p>
        </w:tc>
      </w:tr>
      <w:tr w:rsidR="00B02EE5" w:rsidRPr="00B02EE5" w14:paraId="4A9C618B" w14:textId="77777777" w:rsidTr="003446D4">
        <w:trPr>
          <w:trHeight w:val="314"/>
          <w:jc w:val="center"/>
        </w:trPr>
        <w:tc>
          <w:tcPr>
            <w:tcW w:w="4962" w:type="dxa"/>
            <w:shd w:val="clear" w:color="auto" w:fill="FFFFFF"/>
            <w:noWrap/>
            <w:hideMark/>
          </w:tcPr>
          <w:p w14:paraId="6A962F56" w14:textId="77777777" w:rsidR="00B02EE5" w:rsidRPr="00B02EE5" w:rsidRDefault="00B02EE5" w:rsidP="00B02EE5">
            <w:pPr>
              <w:spacing w:line="256" w:lineRule="auto"/>
              <w:rPr>
                <w:rFonts w:ascii="Arial" w:hAnsi="Arial" w:cs="Arial"/>
                <w:kern w:val="2"/>
                <w:sz w:val="22"/>
                <w:szCs w:val="22"/>
                <w14:ligatures w14:val="standardContextual"/>
              </w:rPr>
            </w:pPr>
            <w:r w:rsidRPr="00B02EE5">
              <w:rPr>
                <w:rFonts w:ascii="Arial" w:hAnsi="Arial" w:cs="Arial"/>
                <w:kern w:val="2"/>
                <w:sz w:val="22"/>
                <w:szCs w:val="22"/>
                <w:lang w:val="en-US"/>
                <w14:ligatures w14:val="standardContextual"/>
              </w:rPr>
              <w:t>M</w:t>
            </w:r>
            <w:r w:rsidRPr="00B02EE5">
              <w:rPr>
                <w:rFonts w:ascii="Arial" w:hAnsi="Arial" w:cs="Arial"/>
                <w:kern w:val="2"/>
                <w:sz w:val="22"/>
                <w:szCs w:val="22"/>
                <w14:ligatures w14:val="standardContextual"/>
              </w:rPr>
              <w:t>ining of coal and lignite</w:t>
            </w:r>
          </w:p>
        </w:tc>
        <w:tc>
          <w:tcPr>
            <w:tcW w:w="851" w:type="dxa"/>
            <w:shd w:val="clear" w:color="auto" w:fill="FFFFFF"/>
            <w:hideMark/>
          </w:tcPr>
          <w:p w14:paraId="1EA2F0C1" w14:textId="77777777" w:rsidR="00B02EE5" w:rsidRPr="00B02EE5" w:rsidRDefault="00B02EE5" w:rsidP="00B02EE5">
            <w:pPr>
              <w:spacing w:line="256" w:lineRule="auto"/>
              <w:jc w:val="right"/>
              <w:rPr>
                <w:rFonts w:ascii="Arial" w:hAnsi="Arial" w:cs="Arial"/>
                <w:kern w:val="2"/>
                <w:sz w:val="20"/>
                <w:szCs w:val="20"/>
                <w14:ligatures w14:val="standardContextual"/>
              </w:rPr>
            </w:pPr>
            <w:r w:rsidRPr="00B02EE5">
              <w:rPr>
                <w:rFonts w:ascii="Arial" w:hAnsi="Arial" w:cs="Arial"/>
                <w:kern w:val="2"/>
                <w:sz w:val="20"/>
                <w:szCs w:val="20"/>
                <w14:ligatures w14:val="standardContextual"/>
              </w:rPr>
              <w:t>15,6</w:t>
            </w:r>
          </w:p>
        </w:tc>
        <w:tc>
          <w:tcPr>
            <w:tcW w:w="850" w:type="dxa"/>
            <w:shd w:val="clear" w:color="auto" w:fill="FFFFFF"/>
            <w:hideMark/>
          </w:tcPr>
          <w:p w14:paraId="6BFACEEA" w14:textId="77777777" w:rsidR="00B02EE5" w:rsidRPr="00B02EE5" w:rsidRDefault="00B02EE5" w:rsidP="00B02EE5">
            <w:pPr>
              <w:spacing w:line="256" w:lineRule="auto"/>
              <w:jc w:val="right"/>
              <w:rPr>
                <w:rFonts w:ascii="Arial" w:hAnsi="Arial" w:cs="Arial"/>
                <w:kern w:val="2"/>
                <w:sz w:val="20"/>
                <w:szCs w:val="20"/>
                <w14:ligatures w14:val="standardContextual"/>
              </w:rPr>
            </w:pPr>
            <w:r w:rsidRPr="00B02EE5">
              <w:rPr>
                <w:rFonts w:ascii="Arial" w:hAnsi="Arial" w:cs="Arial"/>
                <w:kern w:val="2"/>
                <w:sz w:val="20"/>
                <w:szCs w:val="20"/>
                <w14:ligatures w14:val="standardContextual"/>
              </w:rPr>
              <w:t>0,5</w:t>
            </w:r>
          </w:p>
        </w:tc>
        <w:tc>
          <w:tcPr>
            <w:tcW w:w="851" w:type="dxa"/>
            <w:shd w:val="clear" w:color="auto" w:fill="FFFFFF"/>
            <w:hideMark/>
          </w:tcPr>
          <w:p w14:paraId="0FE0C6B2" w14:textId="77777777" w:rsidR="00B02EE5" w:rsidRPr="00B02EE5" w:rsidRDefault="00B02EE5" w:rsidP="00B02EE5">
            <w:pPr>
              <w:spacing w:line="256" w:lineRule="auto"/>
              <w:jc w:val="right"/>
              <w:rPr>
                <w:rFonts w:ascii="Arial" w:hAnsi="Arial" w:cs="Arial"/>
                <w:kern w:val="2"/>
                <w:sz w:val="20"/>
                <w:szCs w:val="20"/>
                <w14:ligatures w14:val="standardContextual"/>
              </w:rPr>
            </w:pPr>
            <w:r w:rsidRPr="00B02EE5">
              <w:rPr>
                <w:rFonts w:ascii="Arial" w:hAnsi="Arial" w:cs="Arial"/>
                <w:kern w:val="2"/>
                <w:sz w:val="20"/>
                <w:szCs w:val="20"/>
                <w14:ligatures w14:val="standardContextual"/>
              </w:rPr>
              <w:t>-15,1</w:t>
            </w:r>
          </w:p>
        </w:tc>
        <w:tc>
          <w:tcPr>
            <w:tcW w:w="887" w:type="dxa"/>
            <w:shd w:val="clear" w:color="auto" w:fill="FFFFFF"/>
            <w:hideMark/>
          </w:tcPr>
          <w:p w14:paraId="3D334C7E" w14:textId="77777777" w:rsidR="00B02EE5" w:rsidRPr="00B02EE5" w:rsidRDefault="00B02EE5" w:rsidP="00B02EE5">
            <w:pPr>
              <w:spacing w:line="256" w:lineRule="auto"/>
              <w:jc w:val="right"/>
              <w:rPr>
                <w:rFonts w:ascii="Arial" w:hAnsi="Arial" w:cs="Arial"/>
                <w:kern w:val="2"/>
                <w:sz w:val="20"/>
                <w:szCs w:val="20"/>
                <w14:ligatures w14:val="standardContextual"/>
              </w:rPr>
            </w:pPr>
            <w:r w:rsidRPr="00B02EE5">
              <w:rPr>
                <w:rFonts w:ascii="Arial" w:hAnsi="Arial" w:cs="Arial"/>
                <w:kern w:val="2"/>
                <w:sz w:val="20"/>
                <w:szCs w:val="20"/>
                <w14:ligatures w14:val="standardContextual"/>
              </w:rPr>
              <w:t>24,6</w:t>
            </w:r>
          </w:p>
        </w:tc>
        <w:tc>
          <w:tcPr>
            <w:tcW w:w="808" w:type="dxa"/>
            <w:shd w:val="clear" w:color="auto" w:fill="FFFFFF"/>
            <w:hideMark/>
          </w:tcPr>
          <w:p w14:paraId="740A4F98" w14:textId="77777777" w:rsidR="00B02EE5" w:rsidRPr="00B02EE5" w:rsidRDefault="00B02EE5" w:rsidP="00B02EE5">
            <w:pPr>
              <w:spacing w:line="256" w:lineRule="auto"/>
              <w:jc w:val="right"/>
              <w:rPr>
                <w:rFonts w:ascii="Arial" w:hAnsi="Arial" w:cs="Arial"/>
                <w:kern w:val="2"/>
                <w:sz w:val="20"/>
                <w:szCs w:val="20"/>
                <w14:ligatures w14:val="standardContextual"/>
              </w:rPr>
            </w:pPr>
            <w:r w:rsidRPr="00B02EE5">
              <w:rPr>
                <w:rFonts w:ascii="Arial" w:hAnsi="Arial" w:cs="Arial"/>
                <w:kern w:val="2"/>
                <w:sz w:val="20"/>
                <w:szCs w:val="20"/>
                <w14:ligatures w14:val="standardContextual"/>
              </w:rPr>
              <w:t>-20,1</w:t>
            </w:r>
          </w:p>
        </w:tc>
      </w:tr>
      <w:tr w:rsidR="00B02EE5" w:rsidRPr="00B02EE5" w14:paraId="748FB8AF" w14:textId="77777777" w:rsidTr="003446D4">
        <w:trPr>
          <w:trHeight w:val="518"/>
          <w:jc w:val="center"/>
        </w:trPr>
        <w:tc>
          <w:tcPr>
            <w:tcW w:w="4962" w:type="dxa"/>
            <w:shd w:val="clear" w:color="auto" w:fill="FFFFFF"/>
            <w:hideMark/>
          </w:tcPr>
          <w:p w14:paraId="6C56FDEA" w14:textId="77777777" w:rsidR="00B02EE5" w:rsidRPr="00B02EE5" w:rsidRDefault="00B02EE5" w:rsidP="00B02EE5">
            <w:pPr>
              <w:spacing w:line="256" w:lineRule="auto"/>
              <w:rPr>
                <w:rFonts w:ascii="Arial" w:hAnsi="Arial" w:cs="Arial"/>
                <w:kern w:val="2"/>
                <w:sz w:val="22"/>
                <w:szCs w:val="22"/>
                <w14:ligatures w14:val="standardContextual"/>
              </w:rPr>
            </w:pPr>
            <w:r w:rsidRPr="00B02EE5">
              <w:rPr>
                <w:rFonts w:ascii="Arial" w:hAnsi="Arial" w:cs="Arial"/>
                <w:kern w:val="2"/>
                <w:sz w:val="22"/>
                <w:szCs w:val="22"/>
                <w14:ligatures w14:val="standardContextual"/>
              </w:rPr>
              <w:t>Extraction of crude petroleum and nutural gas</w:t>
            </w:r>
          </w:p>
        </w:tc>
        <w:tc>
          <w:tcPr>
            <w:tcW w:w="851" w:type="dxa"/>
            <w:shd w:val="clear" w:color="auto" w:fill="FFFFFF"/>
            <w:hideMark/>
          </w:tcPr>
          <w:p w14:paraId="6057F3D7" w14:textId="77777777" w:rsidR="00B02EE5" w:rsidRPr="00B02EE5" w:rsidRDefault="00B02EE5" w:rsidP="00B02EE5">
            <w:pPr>
              <w:spacing w:line="256" w:lineRule="auto"/>
              <w:jc w:val="right"/>
              <w:rPr>
                <w:rFonts w:ascii="Arial" w:hAnsi="Arial" w:cs="Arial"/>
                <w:kern w:val="2"/>
                <w:sz w:val="20"/>
                <w:szCs w:val="20"/>
                <w14:ligatures w14:val="standardContextual"/>
              </w:rPr>
            </w:pPr>
            <w:r w:rsidRPr="00B02EE5">
              <w:rPr>
                <w:rFonts w:ascii="Arial" w:hAnsi="Arial" w:cs="Arial"/>
                <w:kern w:val="2"/>
                <w:sz w:val="20"/>
                <w:szCs w:val="20"/>
                <w14:ligatures w14:val="standardContextual"/>
              </w:rPr>
              <w:t>2,2</w:t>
            </w:r>
          </w:p>
        </w:tc>
        <w:tc>
          <w:tcPr>
            <w:tcW w:w="850" w:type="dxa"/>
            <w:shd w:val="clear" w:color="auto" w:fill="FFFFFF"/>
            <w:hideMark/>
          </w:tcPr>
          <w:p w14:paraId="2932666F" w14:textId="77777777" w:rsidR="00B02EE5" w:rsidRPr="00B02EE5" w:rsidRDefault="00B02EE5" w:rsidP="00B02EE5">
            <w:pPr>
              <w:spacing w:line="256" w:lineRule="auto"/>
              <w:jc w:val="right"/>
              <w:rPr>
                <w:rFonts w:ascii="Arial" w:hAnsi="Arial" w:cs="Arial"/>
                <w:kern w:val="2"/>
                <w:sz w:val="20"/>
                <w:szCs w:val="20"/>
                <w14:ligatures w14:val="standardContextual"/>
              </w:rPr>
            </w:pPr>
            <w:r w:rsidRPr="00B02EE5">
              <w:rPr>
                <w:rFonts w:ascii="Arial" w:hAnsi="Arial" w:cs="Arial"/>
                <w:kern w:val="2"/>
                <w:sz w:val="20"/>
                <w:szCs w:val="20"/>
                <w14:ligatures w14:val="standardContextual"/>
              </w:rPr>
              <w:t>-4,9</w:t>
            </w:r>
          </w:p>
        </w:tc>
        <w:tc>
          <w:tcPr>
            <w:tcW w:w="851" w:type="dxa"/>
            <w:shd w:val="clear" w:color="auto" w:fill="FFFFFF"/>
            <w:hideMark/>
          </w:tcPr>
          <w:p w14:paraId="0D907650" w14:textId="77777777" w:rsidR="00B02EE5" w:rsidRPr="00B02EE5" w:rsidRDefault="00B02EE5" w:rsidP="00B02EE5">
            <w:pPr>
              <w:spacing w:line="256" w:lineRule="auto"/>
              <w:jc w:val="right"/>
              <w:rPr>
                <w:rFonts w:ascii="Arial" w:hAnsi="Arial" w:cs="Arial"/>
                <w:kern w:val="2"/>
                <w:sz w:val="20"/>
                <w:szCs w:val="20"/>
                <w14:ligatures w14:val="standardContextual"/>
              </w:rPr>
            </w:pPr>
            <w:r w:rsidRPr="00B02EE5">
              <w:rPr>
                <w:rFonts w:ascii="Arial" w:hAnsi="Arial" w:cs="Arial"/>
                <w:kern w:val="2"/>
                <w:sz w:val="20"/>
                <w:szCs w:val="20"/>
                <w14:ligatures w14:val="standardContextual"/>
              </w:rPr>
              <w:t>-11,9</w:t>
            </w:r>
          </w:p>
        </w:tc>
        <w:tc>
          <w:tcPr>
            <w:tcW w:w="887" w:type="dxa"/>
            <w:shd w:val="clear" w:color="auto" w:fill="FFFFFF"/>
            <w:hideMark/>
          </w:tcPr>
          <w:p w14:paraId="7A178133" w14:textId="77777777" w:rsidR="00B02EE5" w:rsidRPr="00B02EE5" w:rsidRDefault="00B02EE5" w:rsidP="00B02EE5">
            <w:pPr>
              <w:spacing w:line="256" w:lineRule="auto"/>
              <w:jc w:val="right"/>
              <w:rPr>
                <w:rFonts w:ascii="Arial" w:hAnsi="Arial" w:cs="Arial"/>
                <w:kern w:val="2"/>
                <w:sz w:val="20"/>
                <w:szCs w:val="20"/>
                <w14:ligatures w14:val="standardContextual"/>
              </w:rPr>
            </w:pPr>
            <w:r w:rsidRPr="00B02EE5">
              <w:rPr>
                <w:rFonts w:ascii="Arial" w:hAnsi="Arial" w:cs="Arial"/>
                <w:kern w:val="2"/>
                <w:sz w:val="20"/>
                <w:szCs w:val="20"/>
                <w14:ligatures w14:val="standardContextual"/>
              </w:rPr>
              <w:t>-0,2</w:t>
            </w:r>
          </w:p>
        </w:tc>
        <w:tc>
          <w:tcPr>
            <w:tcW w:w="808" w:type="dxa"/>
            <w:shd w:val="clear" w:color="auto" w:fill="FFFFFF"/>
            <w:hideMark/>
          </w:tcPr>
          <w:p w14:paraId="72C46CD2" w14:textId="77777777" w:rsidR="00B02EE5" w:rsidRPr="00B02EE5" w:rsidRDefault="00B02EE5" w:rsidP="00B02EE5">
            <w:pPr>
              <w:spacing w:line="256" w:lineRule="auto"/>
              <w:jc w:val="right"/>
              <w:rPr>
                <w:rFonts w:ascii="Arial" w:hAnsi="Arial" w:cs="Arial"/>
                <w:kern w:val="2"/>
                <w:sz w:val="20"/>
                <w:szCs w:val="20"/>
                <w14:ligatures w14:val="standardContextual"/>
              </w:rPr>
            </w:pPr>
            <w:r w:rsidRPr="00B02EE5">
              <w:rPr>
                <w:rFonts w:ascii="Arial" w:hAnsi="Arial" w:cs="Arial"/>
                <w:kern w:val="2"/>
                <w:sz w:val="20"/>
                <w:szCs w:val="20"/>
                <w14:ligatures w14:val="standardContextual"/>
              </w:rPr>
              <w:t>-6,5</w:t>
            </w:r>
          </w:p>
        </w:tc>
      </w:tr>
      <w:tr w:rsidR="00B02EE5" w:rsidRPr="00B02EE5" w14:paraId="5E55B47F" w14:textId="77777777" w:rsidTr="003446D4">
        <w:trPr>
          <w:trHeight w:val="518"/>
          <w:jc w:val="center"/>
        </w:trPr>
        <w:tc>
          <w:tcPr>
            <w:tcW w:w="4962" w:type="dxa"/>
            <w:shd w:val="clear" w:color="auto" w:fill="FFFFFF"/>
            <w:hideMark/>
          </w:tcPr>
          <w:p w14:paraId="48AD1047" w14:textId="77777777" w:rsidR="00B02EE5" w:rsidRPr="00B02EE5" w:rsidRDefault="00B02EE5" w:rsidP="00B02EE5">
            <w:pPr>
              <w:spacing w:line="256" w:lineRule="auto"/>
              <w:rPr>
                <w:rFonts w:ascii="Arial" w:hAnsi="Arial" w:cs="Arial"/>
                <w:kern w:val="2"/>
                <w:sz w:val="22"/>
                <w:szCs w:val="22"/>
                <w14:ligatures w14:val="standardContextual"/>
              </w:rPr>
            </w:pPr>
            <w:r w:rsidRPr="00B02EE5">
              <w:rPr>
                <w:rFonts w:ascii="Arial" w:hAnsi="Arial" w:cs="Arial"/>
                <w:kern w:val="2"/>
                <w:sz w:val="22"/>
                <w:szCs w:val="22"/>
                <w:lang w:val="en-US"/>
                <w14:ligatures w14:val="standardContextual"/>
              </w:rPr>
              <w:t>M</w:t>
            </w:r>
            <w:r w:rsidRPr="00B02EE5">
              <w:rPr>
                <w:rFonts w:ascii="Arial" w:hAnsi="Arial" w:cs="Arial"/>
                <w:kern w:val="2"/>
                <w:sz w:val="22"/>
                <w:szCs w:val="22"/>
                <w14:ligatures w14:val="standardContextual"/>
              </w:rPr>
              <w:t>anufacture of food products</w:t>
            </w:r>
          </w:p>
        </w:tc>
        <w:tc>
          <w:tcPr>
            <w:tcW w:w="851" w:type="dxa"/>
            <w:shd w:val="clear" w:color="auto" w:fill="FFFFFF"/>
            <w:hideMark/>
          </w:tcPr>
          <w:p w14:paraId="325653A1" w14:textId="77777777" w:rsidR="00B02EE5" w:rsidRPr="00B02EE5" w:rsidRDefault="00B02EE5" w:rsidP="00B02EE5">
            <w:pPr>
              <w:spacing w:line="256" w:lineRule="auto"/>
              <w:jc w:val="right"/>
              <w:rPr>
                <w:rFonts w:ascii="Arial" w:hAnsi="Arial" w:cs="Arial"/>
                <w:kern w:val="2"/>
                <w:sz w:val="20"/>
                <w:szCs w:val="20"/>
                <w14:ligatures w14:val="standardContextual"/>
              </w:rPr>
            </w:pPr>
            <w:r w:rsidRPr="00B02EE5">
              <w:rPr>
                <w:rFonts w:ascii="Arial" w:hAnsi="Arial" w:cs="Arial"/>
                <w:kern w:val="2"/>
                <w:sz w:val="20"/>
                <w:szCs w:val="20"/>
                <w14:ligatures w14:val="standardContextual"/>
              </w:rPr>
              <w:t>13,7</w:t>
            </w:r>
          </w:p>
        </w:tc>
        <w:tc>
          <w:tcPr>
            <w:tcW w:w="850" w:type="dxa"/>
            <w:shd w:val="clear" w:color="auto" w:fill="FFFFFF"/>
            <w:hideMark/>
          </w:tcPr>
          <w:p w14:paraId="34D3072E" w14:textId="77777777" w:rsidR="00B02EE5" w:rsidRPr="00B02EE5" w:rsidRDefault="00B02EE5" w:rsidP="00B02EE5">
            <w:pPr>
              <w:spacing w:line="256" w:lineRule="auto"/>
              <w:jc w:val="right"/>
              <w:rPr>
                <w:rFonts w:ascii="Arial" w:hAnsi="Arial" w:cs="Arial"/>
                <w:kern w:val="2"/>
                <w:sz w:val="20"/>
                <w:szCs w:val="20"/>
                <w14:ligatures w14:val="standardContextual"/>
              </w:rPr>
            </w:pPr>
            <w:r w:rsidRPr="00B02EE5">
              <w:rPr>
                <w:rFonts w:ascii="Arial" w:hAnsi="Arial" w:cs="Arial"/>
                <w:kern w:val="2"/>
                <w:sz w:val="20"/>
                <w:szCs w:val="20"/>
                <w14:ligatures w14:val="standardContextual"/>
              </w:rPr>
              <w:t>7,3</w:t>
            </w:r>
          </w:p>
        </w:tc>
        <w:tc>
          <w:tcPr>
            <w:tcW w:w="851" w:type="dxa"/>
            <w:shd w:val="clear" w:color="auto" w:fill="FFFFFF"/>
            <w:hideMark/>
          </w:tcPr>
          <w:p w14:paraId="1EC73253" w14:textId="77777777" w:rsidR="00B02EE5" w:rsidRPr="00B02EE5" w:rsidRDefault="00B02EE5" w:rsidP="00B02EE5">
            <w:pPr>
              <w:spacing w:line="256" w:lineRule="auto"/>
              <w:jc w:val="right"/>
              <w:rPr>
                <w:rFonts w:ascii="Arial" w:hAnsi="Arial" w:cs="Arial"/>
                <w:kern w:val="2"/>
                <w:sz w:val="20"/>
                <w:szCs w:val="20"/>
                <w14:ligatures w14:val="standardContextual"/>
              </w:rPr>
            </w:pPr>
            <w:r w:rsidRPr="00B02EE5">
              <w:rPr>
                <w:rFonts w:ascii="Arial" w:hAnsi="Arial" w:cs="Arial"/>
                <w:kern w:val="2"/>
                <w:sz w:val="20"/>
                <w:szCs w:val="20"/>
                <w14:ligatures w14:val="standardContextual"/>
              </w:rPr>
              <w:t>-7,5</w:t>
            </w:r>
          </w:p>
        </w:tc>
        <w:tc>
          <w:tcPr>
            <w:tcW w:w="887" w:type="dxa"/>
            <w:shd w:val="clear" w:color="auto" w:fill="FFFFFF"/>
            <w:hideMark/>
          </w:tcPr>
          <w:p w14:paraId="5AE25FFC" w14:textId="77777777" w:rsidR="00B02EE5" w:rsidRPr="00B02EE5" w:rsidRDefault="00B02EE5" w:rsidP="00B02EE5">
            <w:pPr>
              <w:spacing w:line="256" w:lineRule="auto"/>
              <w:jc w:val="right"/>
              <w:rPr>
                <w:rFonts w:ascii="Arial" w:hAnsi="Arial" w:cs="Arial"/>
                <w:kern w:val="2"/>
                <w:sz w:val="20"/>
                <w:szCs w:val="20"/>
                <w14:ligatures w14:val="standardContextual"/>
              </w:rPr>
            </w:pPr>
            <w:r w:rsidRPr="00B02EE5">
              <w:rPr>
                <w:rFonts w:ascii="Arial" w:hAnsi="Arial" w:cs="Arial"/>
                <w:kern w:val="2"/>
                <w:sz w:val="20"/>
                <w:szCs w:val="20"/>
                <w14:ligatures w14:val="standardContextual"/>
              </w:rPr>
              <w:t>16,5</w:t>
            </w:r>
          </w:p>
        </w:tc>
        <w:tc>
          <w:tcPr>
            <w:tcW w:w="808" w:type="dxa"/>
            <w:shd w:val="clear" w:color="auto" w:fill="FFFFFF"/>
            <w:hideMark/>
          </w:tcPr>
          <w:p w14:paraId="39892B7A" w14:textId="77777777" w:rsidR="00B02EE5" w:rsidRPr="00B02EE5" w:rsidRDefault="00B02EE5" w:rsidP="00B02EE5">
            <w:pPr>
              <w:spacing w:line="256" w:lineRule="auto"/>
              <w:jc w:val="right"/>
              <w:rPr>
                <w:rFonts w:ascii="Arial" w:hAnsi="Arial" w:cs="Arial"/>
                <w:kern w:val="2"/>
                <w:sz w:val="20"/>
                <w:szCs w:val="20"/>
                <w14:ligatures w14:val="standardContextual"/>
              </w:rPr>
            </w:pPr>
            <w:r w:rsidRPr="00B02EE5">
              <w:rPr>
                <w:rFonts w:ascii="Arial" w:hAnsi="Arial" w:cs="Arial"/>
                <w:kern w:val="2"/>
                <w:sz w:val="20"/>
                <w:szCs w:val="20"/>
                <w14:ligatures w14:val="standardContextual"/>
              </w:rPr>
              <w:t>2,1</w:t>
            </w:r>
          </w:p>
        </w:tc>
      </w:tr>
      <w:tr w:rsidR="00B02EE5" w:rsidRPr="00B02EE5" w14:paraId="25BB84C4" w14:textId="77777777" w:rsidTr="003446D4">
        <w:trPr>
          <w:trHeight w:val="327"/>
          <w:jc w:val="center"/>
        </w:trPr>
        <w:tc>
          <w:tcPr>
            <w:tcW w:w="4962" w:type="dxa"/>
            <w:shd w:val="clear" w:color="auto" w:fill="FFFFFF"/>
            <w:hideMark/>
          </w:tcPr>
          <w:p w14:paraId="18FA496D" w14:textId="77777777" w:rsidR="00B02EE5" w:rsidRPr="00B02EE5" w:rsidRDefault="00B02EE5" w:rsidP="00B02EE5">
            <w:pPr>
              <w:spacing w:line="256" w:lineRule="auto"/>
              <w:rPr>
                <w:rFonts w:ascii="Arial" w:hAnsi="Arial" w:cs="Arial"/>
                <w:kern w:val="2"/>
                <w:sz w:val="22"/>
                <w:szCs w:val="22"/>
                <w14:ligatures w14:val="standardContextual"/>
              </w:rPr>
            </w:pPr>
            <w:r w:rsidRPr="00B02EE5">
              <w:rPr>
                <w:rFonts w:ascii="Arial" w:hAnsi="Arial" w:cs="Arial"/>
                <w:kern w:val="2"/>
                <w:sz w:val="22"/>
                <w:szCs w:val="22"/>
                <w:lang w:val="en-US"/>
                <w14:ligatures w14:val="standardContextual"/>
              </w:rPr>
              <w:t>M</w:t>
            </w:r>
            <w:r w:rsidRPr="00B02EE5">
              <w:rPr>
                <w:rFonts w:ascii="Arial" w:hAnsi="Arial" w:cs="Arial"/>
                <w:kern w:val="2"/>
                <w:sz w:val="22"/>
                <w:szCs w:val="22"/>
                <w14:ligatures w14:val="standardContextual"/>
              </w:rPr>
              <w:t>anufacture of textiles</w:t>
            </w:r>
          </w:p>
        </w:tc>
        <w:tc>
          <w:tcPr>
            <w:tcW w:w="851" w:type="dxa"/>
            <w:shd w:val="clear" w:color="auto" w:fill="FFFFFF"/>
            <w:hideMark/>
          </w:tcPr>
          <w:p w14:paraId="54DF938B" w14:textId="77777777" w:rsidR="00B02EE5" w:rsidRPr="00B02EE5" w:rsidRDefault="00B02EE5" w:rsidP="00B02EE5">
            <w:pPr>
              <w:spacing w:line="256" w:lineRule="auto"/>
              <w:jc w:val="right"/>
              <w:rPr>
                <w:rFonts w:ascii="Arial" w:hAnsi="Arial" w:cs="Arial"/>
                <w:kern w:val="2"/>
                <w:sz w:val="20"/>
                <w:szCs w:val="20"/>
                <w14:ligatures w14:val="standardContextual"/>
              </w:rPr>
            </w:pPr>
            <w:r w:rsidRPr="00B02EE5">
              <w:rPr>
                <w:rFonts w:ascii="Arial" w:hAnsi="Arial" w:cs="Arial"/>
                <w:kern w:val="2"/>
                <w:sz w:val="20"/>
                <w:szCs w:val="20"/>
                <w14:ligatures w14:val="standardContextual"/>
              </w:rPr>
              <w:t>19,1</w:t>
            </w:r>
          </w:p>
        </w:tc>
        <w:tc>
          <w:tcPr>
            <w:tcW w:w="850" w:type="dxa"/>
            <w:shd w:val="clear" w:color="auto" w:fill="FFFFFF"/>
            <w:hideMark/>
          </w:tcPr>
          <w:p w14:paraId="202C1723" w14:textId="77777777" w:rsidR="00B02EE5" w:rsidRPr="00B02EE5" w:rsidRDefault="00B02EE5" w:rsidP="00B02EE5">
            <w:pPr>
              <w:spacing w:line="256" w:lineRule="auto"/>
              <w:jc w:val="right"/>
              <w:rPr>
                <w:rFonts w:ascii="Arial" w:hAnsi="Arial" w:cs="Arial"/>
                <w:kern w:val="2"/>
                <w:sz w:val="20"/>
                <w:szCs w:val="20"/>
                <w14:ligatures w14:val="standardContextual"/>
              </w:rPr>
            </w:pPr>
            <w:r w:rsidRPr="00B02EE5">
              <w:rPr>
                <w:rFonts w:ascii="Arial" w:hAnsi="Arial" w:cs="Arial"/>
                <w:kern w:val="2"/>
                <w:sz w:val="20"/>
                <w:szCs w:val="20"/>
                <w14:ligatures w14:val="standardContextual"/>
              </w:rPr>
              <w:t>2,4</w:t>
            </w:r>
          </w:p>
        </w:tc>
        <w:tc>
          <w:tcPr>
            <w:tcW w:w="851" w:type="dxa"/>
            <w:shd w:val="clear" w:color="auto" w:fill="FFFFFF"/>
            <w:hideMark/>
          </w:tcPr>
          <w:p w14:paraId="568052CF" w14:textId="77777777" w:rsidR="00B02EE5" w:rsidRPr="00B02EE5" w:rsidRDefault="00B02EE5" w:rsidP="00B02EE5">
            <w:pPr>
              <w:spacing w:line="256" w:lineRule="auto"/>
              <w:jc w:val="right"/>
              <w:rPr>
                <w:rFonts w:ascii="Arial" w:hAnsi="Arial" w:cs="Arial"/>
                <w:kern w:val="2"/>
                <w:sz w:val="20"/>
                <w:szCs w:val="20"/>
                <w14:ligatures w14:val="standardContextual"/>
              </w:rPr>
            </w:pPr>
            <w:r w:rsidRPr="00B02EE5">
              <w:rPr>
                <w:rFonts w:ascii="Arial" w:hAnsi="Arial" w:cs="Arial"/>
                <w:kern w:val="2"/>
                <w:sz w:val="20"/>
                <w:szCs w:val="20"/>
                <w14:ligatures w14:val="standardContextual"/>
              </w:rPr>
              <w:t>-25,7</w:t>
            </w:r>
          </w:p>
        </w:tc>
        <w:tc>
          <w:tcPr>
            <w:tcW w:w="887" w:type="dxa"/>
            <w:shd w:val="clear" w:color="auto" w:fill="FFFFFF"/>
            <w:hideMark/>
          </w:tcPr>
          <w:p w14:paraId="13F5B8C7" w14:textId="77777777" w:rsidR="00B02EE5" w:rsidRPr="00B02EE5" w:rsidRDefault="00B02EE5" w:rsidP="00B02EE5">
            <w:pPr>
              <w:spacing w:line="256" w:lineRule="auto"/>
              <w:jc w:val="right"/>
              <w:rPr>
                <w:rFonts w:ascii="Arial" w:hAnsi="Arial" w:cs="Arial"/>
                <w:kern w:val="2"/>
                <w:sz w:val="20"/>
                <w:szCs w:val="20"/>
                <w14:ligatures w14:val="standardContextual"/>
              </w:rPr>
            </w:pPr>
            <w:r w:rsidRPr="00B02EE5">
              <w:rPr>
                <w:rFonts w:ascii="Arial" w:hAnsi="Arial" w:cs="Arial"/>
                <w:kern w:val="2"/>
                <w:sz w:val="20"/>
                <w:szCs w:val="20"/>
                <w14:ligatures w14:val="standardContextual"/>
              </w:rPr>
              <w:t>45,3</w:t>
            </w:r>
          </w:p>
        </w:tc>
        <w:tc>
          <w:tcPr>
            <w:tcW w:w="808" w:type="dxa"/>
            <w:shd w:val="clear" w:color="auto" w:fill="FFFFFF"/>
            <w:hideMark/>
          </w:tcPr>
          <w:p w14:paraId="54BE5B25" w14:textId="77777777" w:rsidR="00B02EE5" w:rsidRPr="00B02EE5" w:rsidRDefault="00B02EE5" w:rsidP="00B02EE5">
            <w:pPr>
              <w:spacing w:line="256" w:lineRule="auto"/>
              <w:jc w:val="right"/>
              <w:rPr>
                <w:rFonts w:ascii="Arial" w:hAnsi="Arial" w:cs="Arial"/>
                <w:kern w:val="2"/>
                <w:sz w:val="20"/>
                <w:szCs w:val="20"/>
                <w14:ligatures w14:val="standardContextual"/>
              </w:rPr>
            </w:pPr>
            <w:r w:rsidRPr="00B02EE5">
              <w:rPr>
                <w:rFonts w:ascii="Arial" w:hAnsi="Arial" w:cs="Arial"/>
                <w:kern w:val="2"/>
                <w:sz w:val="20"/>
                <w:szCs w:val="20"/>
                <w14:ligatures w14:val="standardContextual"/>
              </w:rPr>
              <w:t>4,2</w:t>
            </w:r>
          </w:p>
        </w:tc>
      </w:tr>
      <w:tr w:rsidR="00B02EE5" w:rsidRPr="00B02EE5" w14:paraId="78B14A35" w14:textId="77777777" w:rsidTr="003446D4">
        <w:trPr>
          <w:trHeight w:val="314"/>
          <w:jc w:val="center"/>
        </w:trPr>
        <w:tc>
          <w:tcPr>
            <w:tcW w:w="4962" w:type="dxa"/>
            <w:shd w:val="clear" w:color="auto" w:fill="FFFFFF"/>
            <w:noWrap/>
            <w:hideMark/>
          </w:tcPr>
          <w:p w14:paraId="25E12361" w14:textId="77777777" w:rsidR="00B02EE5" w:rsidRPr="00B02EE5" w:rsidRDefault="00B02EE5" w:rsidP="00B02EE5">
            <w:pPr>
              <w:spacing w:line="256" w:lineRule="auto"/>
              <w:rPr>
                <w:rFonts w:ascii="Arial" w:hAnsi="Arial" w:cs="Arial"/>
                <w:kern w:val="2"/>
                <w:sz w:val="22"/>
                <w:szCs w:val="22"/>
                <w14:ligatures w14:val="standardContextual"/>
              </w:rPr>
            </w:pPr>
            <w:r w:rsidRPr="00B02EE5">
              <w:rPr>
                <w:rFonts w:ascii="Arial" w:hAnsi="Arial" w:cs="Arial"/>
                <w:kern w:val="2"/>
                <w:sz w:val="22"/>
                <w:szCs w:val="22"/>
                <w:lang w:val="en-US"/>
                <w14:ligatures w14:val="standardContextual"/>
              </w:rPr>
              <w:t>M</w:t>
            </w:r>
            <w:r w:rsidRPr="00B02EE5">
              <w:rPr>
                <w:rFonts w:ascii="Arial" w:hAnsi="Arial" w:cs="Arial"/>
                <w:kern w:val="2"/>
                <w:sz w:val="22"/>
                <w:szCs w:val="22"/>
                <w14:ligatures w14:val="standardContextual"/>
              </w:rPr>
              <w:t>anufacture of wearing apparel</w:t>
            </w:r>
          </w:p>
        </w:tc>
        <w:tc>
          <w:tcPr>
            <w:tcW w:w="851" w:type="dxa"/>
            <w:shd w:val="clear" w:color="auto" w:fill="FFFFFF"/>
            <w:hideMark/>
          </w:tcPr>
          <w:p w14:paraId="4917015A" w14:textId="77777777" w:rsidR="00B02EE5" w:rsidRPr="00B02EE5" w:rsidRDefault="00B02EE5" w:rsidP="00B02EE5">
            <w:pPr>
              <w:spacing w:line="256" w:lineRule="auto"/>
              <w:jc w:val="right"/>
              <w:rPr>
                <w:rFonts w:ascii="Arial" w:hAnsi="Arial" w:cs="Arial"/>
                <w:kern w:val="2"/>
                <w:sz w:val="20"/>
                <w:szCs w:val="20"/>
                <w14:ligatures w14:val="standardContextual"/>
              </w:rPr>
            </w:pPr>
            <w:r w:rsidRPr="00B02EE5">
              <w:rPr>
                <w:rFonts w:ascii="Arial" w:hAnsi="Arial" w:cs="Arial"/>
                <w:kern w:val="2"/>
                <w:sz w:val="20"/>
                <w:szCs w:val="20"/>
                <w14:ligatures w14:val="standardContextual"/>
              </w:rPr>
              <w:t>15,8</w:t>
            </w:r>
          </w:p>
        </w:tc>
        <w:tc>
          <w:tcPr>
            <w:tcW w:w="850" w:type="dxa"/>
            <w:shd w:val="clear" w:color="auto" w:fill="FFFFFF"/>
            <w:hideMark/>
          </w:tcPr>
          <w:p w14:paraId="129BAD9E" w14:textId="77777777" w:rsidR="00B02EE5" w:rsidRPr="00B02EE5" w:rsidRDefault="00B02EE5" w:rsidP="00B02EE5">
            <w:pPr>
              <w:spacing w:line="256" w:lineRule="auto"/>
              <w:jc w:val="right"/>
              <w:rPr>
                <w:rFonts w:ascii="Arial" w:hAnsi="Arial" w:cs="Arial"/>
                <w:kern w:val="2"/>
                <w:sz w:val="20"/>
                <w:szCs w:val="20"/>
                <w14:ligatures w14:val="standardContextual"/>
              </w:rPr>
            </w:pPr>
            <w:r w:rsidRPr="00B02EE5">
              <w:rPr>
                <w:rFonts w:ascii="Arial" w:hAnsi="Arial" w:cs="Arial"/>
                <w:kern w:val="2"/>
                <w:sz w:val="20"/>
                <w:szCs w:val="20"/>
                <w14:ligatures w14:val="standardContextual"/>
              </w:rPr>
              <w:t>16,3</w:t>
            </w:r>
          </w:p>
        </w:tc>
        <w:tc>
          <w:tcPr>
            <w:tcW w:w="851" w:type="dxa"/>
            <w:shd w:val="clear" w:color="auto" w:fill="FFFFFF"/>
            <w:hideMark/>
          </w:tcPr>
          <w:p w14:paraId="79604AA8" w14:textId="77777777" w:rsidR="00B02EE5" w:rsidRPr="00B02EE5" w:rsidRDefault="00B02EE5" w:rsidP="00B02EE5">
            <w:pPr>
              <w:spacing w:line="256" w:lineRule="auto"/>
              <w:jc w:val="right"/>
              <w:rPr>
                <w:rFonts w:ascii="Arial" w:hAnsi="Arial" w:cs="Arial"/>
                <w:kern w:val="2"/>
                <w:sz w:val="20"/>
                <w:szCs w:val="20"/>
                <w14:ligatures w14:val="standardContextual"/>
              </w:rPr>
            </w:pPr>
            <w:r w:rsidRPr="00B02EE5">
              <w:rPr>
                <w:rFonts w:ascii="Arial" w:hAnsi="Arial" w:cs="Arial"/>
                <w:kern w:val="2"/>
                <w:sz w:val="20"/>
                <w:szCs w:val="20"/>
                <w14:ligatures w14:val="standardContextual"/>
              </w:rPr>
              <w:t>-26,1</w:t>
            </w:r>
          </w:p>
        </w:tc>
        <w:tc>
          <w:tcPr>
            <w:tcW w:w="887" w:type="dxa"/>
            <w:shd w:val="clear" w:color="auto" w:fill="FFFFFF"/>
            <w:hideMark/>
          </w:tcPr>
          <w:p w14:paraId="7E1CFB13" w14:textId="77777777" w:rsidR="00B02EE5" w:rsidRPr="00B02EE5" w:rsidRDefault="00B02EE5" w:rsidP="00B02EE5">
            <w:pPr>
              <w:spacing w:line="256" w:lineRule="auto"/>
              <w:jc w:val="right"/>
              <w:rPr>
                <w:rFonts w:ascii="Arial" w:hAnsi="Arial" w:cs="Arial"/>
                <w:kern w:val="2"/>
                <w:sz w:val="20"/>
                <w:szCs w:val="20"/>
                <w14:ligatures w14:val="standardContextual"/>
              </w:rPr>
            </w:pPr>
            <w:r w:rsidRPr="00B02EE5">
              <w:rPr>
                <w:rFonts w:ascii="Arial" w:hAnsi="Arial" w:cs="Arial"/>
                <w:kern w:val="2"/>
                <w:sz w:val="20"/>
                <w:szCs w:val="20"/>
                <w14:ligatures w14:val="standardContextual"/>
              </w:rPr>
              <w:t>24,4</w:t>
            </w:r>
          </w:p>
        </w:tc>
        <w:tc>
          <w:tcPr>
            <w:tcW w:w="808" w:type="dxa"/>
            <w:shd w:val="clear" w:color="auto" w:fill="FFFFFF"/>
            <w:hideMark/>
          </w:tcPr>
          <w:p w14:paraId="38D90568" w14:textId="77777777" w:rsidR="00B02EE5" w:rsidRPr="00B02EE5" w:rsidRDefault="00B02EE5" w:rsidP="00B02EE5">
            <w:pPr>
              <w:spacing w:line="256" w:lineRule="auto"/>
              <w:jc w:val="right"/>
              <w:rPr>
                <w:rFonts w:ascii="Arial" w:hAnsi="Arial" w:cs="Arial"/>
                <w:kern w:val="2"/>
                <w:sz w:val="20"/>
                <w:szCs w:val="20"/>
                <w14:ligatures w14:val="standardContextual"/>
              </w:rPr>
            </w:pPr>
            <w:r w:rsidRPr="00B02EE5">
              <w:rPr>
                <w:rFonts w:ascii="Arial" w:hAnsi="Arial" w:cs="Arial"/>
                <w:kern w:val="2"/>
                <w:sz w:val="20"/>
                <w:szCs w:val="20"/>
                <w14:ligatures w14:val="standardContextual"/>
              </w:rPr>
              <w:t>6,1</w:t>
            </w:r>
          </w:p>
        </w:tc>
      </w:tr>
      <w:tr w:rsidR="00B02EE5" w:rsidRPr="00B02EE5" w14:paraId="528E876B" w14:textId="77777777" w:rsidTr="003446D4">
        <w:trPr>
          <w:trHeight w:val="314"/>
          <w:jc w:val="center"/>
        </w:trPr>
        <w:tc>
          <w:tcPr>
            <w:tcW w:w="4962" w:type="dxa"/>
            <w:shd w:val="clear" w:color="auto" w:fill="FFFFFF"/>
            <w:noWrap/>
            <w:hideMark/>
          </w:tcPr>
          <w:p w14:paraId="4478D4E1" w14:textId="77777777" w:rsidR="00B02EE5" w:rsidRPr="00B02EE5" w:rsidRDefault="00B02EE5" w:rsidP="00B02EE5">
            <w:pPr>
              <w:spacing w:line="256" w:lineRule="auto"/>
              <w:rPr>
                <w:rFonts w:ascii="Arial" w:hAnsi="Arial" w:cs="Arial"/>
                <w:kern w:val="2"/>
                <w:sz w:val="22"/>
                <w:szCs w:val="22"/>
                <w14:ligatures w14:val="standardContextual"/>
              </w:rPr>
            </w:pPr>
            <w:r w:rsidRPr="00B02EE5">
              <w:rPr>
                <w:rFonts w:ascii="Arial" w:hAnsi="Arial" w:cs="Arial"/>
                <w:kern w:val="2"/>
                <w:sz w:val="22"/>
                <w:szCs w:val="22"/>
                <w:lang w:val="en-US"/>
                <w14:ligatures w14:val="standardContextual"/>
              </w:rPr>
              <w:t>M</w:t>
            </w:r>
            <w:r w:rsidRPr="00B02EE5">
              <w:rPr>
                <w:rFonts w:ascii="Arial" w:hAnsi="Arial" w:cs="Arial"/>
                <w:kern w:val="2"/>
                <w:sz w:val="22"/>
                <w:szCs w:val="22"/>
                <w14:ligatures w14:val="standardContextual"/>
              </w:rPr>
              <w:t>anufacture of leather and related products</w:t>
            </w:r>
          </w:p>
        </w:tc>
        <w:tc>
          <w:tcPr>
            <w:tcW w:w="851" w:type="dxa"/>
            <w:shd w:val="clear" w:color="auto" w:fill="FFFFFF"/>
            <w:hideMark/>
          </w:tcPr>
          <w:p w14:paraId="6A8B9EDE" w14:textId="77777777" w:rsidR="00B02EE5" w:rsidRPr="00B02EE5" w:rsidRDefault="00B02EE5" w:rsidP="00B02EE5">
            <w:pPr>
              <w:spacing w:line="256" w:lineRule="auto"/>
              <w:jc w:val="right"/>
              <w:rPr>
                <w:rFonts w:ascii="Arial" w:hAnsi="Arial" w:cs="Arial"/>
                <w:kern w:val="2"/>
                <w:sz w:val="20"/>
                <w:szCs w:val="20"/>
                <w14:ligatures w14:val="standardContextual"/>
              </w:rPr>
            </w:pPr>
            <w:r w:rsidRPr="00B02EE5">
              <w:rPr>
                <w:rFonts w:ascii="Arial" w:hAnsi="Arial" w:cs="Arial"/>
                <w:kern w:val="2"/>
                <w:sz w:val="20"/>
                <w:szCs w:val="20"/>
                <w14:ligatures w14:val="standardContextual"/>
              </w:rPr>
              <w:t>24,1</w:t>
            </w:r>
          </w:p>
        </w:tc>
        <w:tc>
          <w:tcPr>
            <w:tcW w:w="850" w:type="dxa"/>
            <w:shd w:val="clear" w:color="auto" w:fill="FFFFFF"/>
            <w:hideMark/>
          </w:tcPr>
          <w:p w14:paraId="095A9068" w14:textId="77777777" w:rsidR="00B02EE5" w:rsidRPr="00B02EE5" w:rsidRDefault="00B02EE5" w:rsidP="00B02EE5">
            <w:pPr>
              <w:spacing w:line="256" w:lineRule="auto"/>
              <w:jc w:val="right"/>
              <w:rPr>
                <w:rFonts w:ascii="Arial" w:hAnsi="Arial" w:cs="Arial"/>
                <w:kern w:val="2"/>
                <w:sz w:val="20"/>
                <w:szCs w:val="20"/>
                <w14:ligatures w14:val="standardContextual"/>
              </w:rPr>
            </w:pPr>
            <w:r w:rsidRPr="00B02EE5">
              <w:rPr>
                <w:rFonts w:ascii="Arial" w:hAnsi="Arial" w:cs="Arial"/>
                <w:kern w:val="2"/>
                <w:sz w:val="20"/>
                <w:szCs w:val="20"/>
                <w14:ligatures w14:val="standardContextual"/>
              </w:rPr>
              <w:t>3,4</w:t>
            </w:r>
          </w:p>
        </w:tc>
        <w:tc>
          <w:tcPr>
            <w:tcW w:w="851" w:type="dxa"/>
            <w:shd w:val="clear" w:color="auto" w:fill="FFFFFF"/>
            <w:hideMark/>
          </w:tcPr>
          <w:p w14:paraId="72628C84" w14:textId="77777777" w:rsidR="00B02EE5" w:rsidRPr="00B02EE5" w:rsidRDefault="00B02EE5" w:rsidP="00B02EE5">
            <w:pPr>
              <w:spacing w:line="256" w:lineRule="auto"/>
              <w:jc w:val="right"/>
              <w:rPr>
                <w:rFonts w:ascii="Arial" w:hAnsi="Arial" w:cs="Arial"/>
                <w:kern w:val="2"/>
                <w:sz w:val="20"/>
                <w:szCs w:val="20"/>
                <w14:ligatures w14:val="standardContextual"/>
              </w:rPr>
            </w:pPr>
            <w:r w:rsidRPr="00B02EE5">
              <w:rPr>
                <w:rFonts w:ascii="Arial" w:hAnsi="Arial" w:cs="Arial"/>
                <w:kern w:val="2"/>
                <w:sz w:val="20"/>
                <w:szCs w:val="20"/>
                <w14:ligatures w14:val="standardContextual"/>
              </w:rPr>
              <w:t>-19,3</w:t>
            </w:r>
          </w:p>
        </w:tc>
        <w:tc>
          <w:tcPr>
            <w:tcW w:w="887" w:type="dxa"/>
            <w:shd w:val="clear" w:color="auto" w:fill="FFFFFF"/>
            <w:hideMark/>
          </w:tcPr>
          <w:p w14:paraId="49B5A0A2" w14:textId="77777777" w:rsidR="00B02EE5" w:rsidRPr="00B02EE5" w:rsidRDefault="00B02EE5" w:rsidP="00B02EE5">
            <w:pPr>
              <w:spacing w:line="256" w:lineRule="auto"/>
              <w:jc w:val="right"/>
              <w:rPr>
                <w:rFonts w:ascii="Arial" w:hAnsi="Arial" w:cs="Arial"/>
                <w:kern w:val="2"/>
                <w:sz w:val="20"/>
                <w:szCs w:val="20"/>
                <w14:ligatures w14:val="standardContextual"/>
              </w:rPr>
            </w:pPr>
            <w:r w:rsidRPr="00B02EE5">
              <w:rPr>
                <w:rFonts w:ascii="Arial" w:hAnsi="Arial" w:cs="Arial"/>
                <w:kern w:val="2"/>
                <w:sz w:val="20"/>
                <w:szCs w:val="20"/>
                <w14:ligatures w14:val="standardContextual"/>
              </w:rPr>
              <w:t>28,7</w:t>
            </w:r>
          </w:p>
        </w:tc>
        <w:tc>
          <w:tcPr>
            <w:tcW w:w="808" w:type="dxa"/>
            <w:shd w:val="clear" w:color="auto" w:fill="FFFFFF"/>
            <w:hideMark/>
          </w:tcPr>
          <w:p w14:paraId="57E04A48" w14:textId="77777777" w:rsidR="00B02EE5" w:rsidRPr="00B02EE5" w:rsidRDefault="00B02EE5" w:rsidP="00B02EE5">
            <w:pPr>
              <w:spacing w:line="256" w:lineRule="auto"/>
              <w:jc w:val="right"/>
              <w:rPr>
                <w:rFonts w:ascii="Arial" w:hAnsi="Arial" w:cs="Arial"/>
                <w:kern w:val="2"/>
                <w:sz w:val="20"/>
                <w:szCs w:val="20"/>
                <w14:ligatures w14:val="standardContextual"/>
              </w:rPr>
            </w:pPr>
            <w:r w:rsidRPr="00B02EE5">
              <w:rPr>
                <w:rFonts w:ascii="Arial" w:hAnsi="Arial" w:cs="Arial"/>
                <w:kern w:val="2"/>
                <w:sz w:val="20"/>
                <w:szCs w:val="20"/>
                <w14:ligatures w14:val="standardContextual"/>
              </w:rPr>
              <w:t>10,3</w:t>
            </w:r>
          </w:p>
        </w:tc>
      </w:tr>
      <w:tr w:rsidR="00B02EE5" w:rsidRPr="00B02EE5" w14:paraId="603185A4" w14:textId="77777777" w:rsidTr="003446D4">
        <w:trPr>
          <w:trHeight w:val="314"/>
          <w:jc w:val="center"/>
        </w:trPr>
        <w:tc>
          <w:tcPr>
            <w:tcW w:w="4962" w:type="dxa"/>
            <w:shd w:val="clear" w:color="auto" w:fill="FFFFFF"/>
            <w:noWrap/>
            <w:hideMark/>
          </w:tcPr>
          <w:p w14:paraId="40EDF6DA" w14:textId="77777777" w:rsidR="00B02EE5" w:rsidRPr="00B02EE5" w:rsidRDefault="00B02EE5" w:rsidP="00B02EE5">
            <w:pPr>
              <w:spacing w:line="256" w:lineRule="auto"/>
              <w:rPr>
                <w:rFonts w:ascii="Arial" w:hAnsi="Arial" w:cs="Arial"/>
                <w:kern w:val="2"/>
                <w:sz w:val="22"/>
                <w:szCs w:val="22"/>
                <w14:ligatures w14:val="standardContextual"/>
              </w:rPr>
            </w:pPr>
            <w:r w:rsidRPr="00B02EE5">
              <w:rPr>
                <w:rFonts w:ascii="Arial" w:hAnsi="Arial" w:cs="Arial"/>
                <w:kern w:val="2"/>
                <w:sz w:val="22"/>
                <w:szCs w:val="22"/>
                <w:lang w:val="en-US"/>
                <w14:ligatures w14:val="standardContextual"/>
              </w:rPr>
              <w:t>P</w:t>
            </w:r>
            <w:r w:rsidRPr="00B02EE5">
              <w:rPr>
                <w:rFonts w:ascii="Arial" w:hAnsi="Arial" w:cs="Arial"/>
                <w:kern w:val="2"/>
                <w:sz w:val="22"/>
                <w:szCs w:val="22"/>
                <w14:ligatures w14:val="standardContextual"/>
              </w:rPr>
              <w:t>rinting and reproduction of recorded media</w:t>
            </w:r>
          </w:p>
        </w:tc>
        <w:tc>
          <w:tcPr>
            <w:tcW w:w="851" w:type="dxa"/>
            <w:shd w:val="clear" w:color="auto" w:fill="FFFFFF"/>
            <w:hideMark/>
          </w:tcPr>
          <w:p w14:paraId="0423E104" w14:textId="77777777" w:rsidR="00B02EE5" w:rsidRPr="00B02EE5" w:rsidRDefault="00B02EE5" w:rsidP="00B02EE5">
            <w:pPr>
              <w:spacing w:line="256" w:lineRule="auto"/>
              <w:jc w:val="right"/>
              <w:rPr>
                <w:rFonts w:ascii="Arial" w:hAnsi="Arial" w:cs="Arial"/>
                <w:kern w:val="2"/>
                <w:sz w:val="20"/>
                <w:szCs w:val="20"/>
                <w14:ligatures w14:val="standardContextual"/>
              </w:rPr>
            </w:pPr>
            <w:r w:rsidRPr="00B02EE5">
              <w:rPr>
                <w:rFonts w:ascii="Arial" w:hAnsi="Arial" w:cs="Arial"/>
                <w:kern w:val="2"/>
                <w:sz w:val="20"/>
                <w:szCs w:val="20"/>
                <w14:ligatures w14:val="standardContextual"/>
              </w:rPr>
              <w:t>2,0</w:t>
            </w:r>
          </w:p>
        </w:tc>
        <w:tc>
          <w:tcPr>
            <w:tcW w:w="850" w:type="dxa"/>
            <w:shd w:val="clear" w:color="auto" w:fill="FFFFFF"/>
            <w:hideMark/>
          </w:tcPr>
          <w:p w14:paraId="6F7C056E" w14:textId="77777777" w:rsidR="00B02EE5" w:rsidRPr="00B02EE5" w:rsidRDefault="00B02EE5" w:rsidP="00B02EE5">
            <w:pPr>
              <w:spacing w:line="256" w:lineRule="auto"/>
              <w:jc w:val="right"/>
              <w:rPr>
                <w:rFonts w:ascii="Arial" w:hAnsi="Arial" w:cs="Arial"/>
                <w:kern w:val="2"/>
                <w:sz w:val="20"/>
                <w:szCs w:val="20"/>
                <w14:ligatures w14:val="standardContextual"/>
              </w:rPr>
            </w:pPr>
            <w:r w:rsidRPr="00B02EE5">
              <w:rPr>
                <w:rFonts w:ascii="Arial" w:hAnsi="Arial" w:cs="Arial"/>
                <w:kern w:val="2"/>
                <w:sz w:val="20"/>
                <w:szCs w:val="20"/>
                <w14:ligatures w14:val="standardContextual"/>
              </w:rPr>
              <w:t>-6,9</w:t>
            </w:r>
          </w:p>
        </w:tc>
        <w:tc>
          <w:tcPr>
            <w:tcW w:w="851" w:type="dxa"/>
            <w:shd w:val="clear" w:color="auto" w:fill="FFFFFF"/>
            <w:hideMark/>
          </w:tcPr>
          <w:p w14:paraId="03E948E5" w14:textId="77777777" w:rsidR="00B02EE5" w:rsidRPr="00B02EE5" w:rsidRDefault="00B02EE5" w:rsidP="00B02EE5">
            <w:pPr>
              <w:spacing w:line="256" w:lineRule="auto"/>
              <w:jc w:val="right"/>
              <w:rPr>
                <w:rFonts w:ascii="Arial" w:hAnsi="Arial" w:cs="Arial"/>
                <w:kern w:val="2"/>
                <w:sz w:val="20"/>
                <w:szCs w:val="20"/>
                <w14:ligatures w14:val="standardContextual"/>
              </w:rPr>
            </w:pPr>
            <w:r w:rsidRPr="00B02EE5">
              <w:rPr>
                <w:rFonts w:ascii="Arial" w:hAnsi="Arial" w:cs="Arial"/>
                <w:kern w:val="2"/>
                <w:sz w:val="20"/>
                <w:szCs w:val="20"/>
                <w14:ligatures w14:val="standardContextual"/>
              </w:rPr>
              <w:t>-21,9</w:t>
            </w:r>
          </w:p>
        </w:tc>
        <w:tc>
          <w:tcPr>
            <w:tcW w:w="887" w:type="dxa"/>
            <w:shd w:val="clear" w:color="auto" w:fill="FFFFFF"/>
            <w:hideMark/>
          </w:tcPr>
          <w:p w14:paraId="279E3D74" w14:textId="77777777" w:rsidR="00B02EE5" w:rsidRPr="00B02EE5" w:rsidRDefault="00B02EE5" w:rsidP="00B02EE5">
            <w:pPr>
              <w:spacing w:line="256" w:lineRule="auto"/>
              <w:jc w:val="right"/>
              <w:rPr>
                <w:rFonts w:ascii="Arial" w:hAnsi="Arial" w:cs="Arial"/>
                <w:kern w:val="2"/>
                <w:sz w:val="20"/>
                <w:szCs w:val="20"/>
                <w14:ligatures w14:val="standardContextual"/>
              </w:rPr>
            </w:pPr>
            <w:r w:rsidRPr="00B02EE5">
              <w:rPr>
                <w:rFonts w:ascii="Arial" w:hAnsi="Arial" w:cs="Arial"/>
                <w:kern w:val="2"/>
                <w:sz w:val="20"/>
                <w:szCs w:val="20"/>
                <w14:ligatures w14:val="standardContextual"/>
              </w:rPr>
              <w:t>46,0</w:t>
            </w:r>
          </w:p>
        </w:tc>
        <w:tc>
          <w:tcPr>
            <w:tcW w:w="808" w:type="dxa"/>
            <w:shd w:val="clear" w:color="auto" w:fill="FFFFFF"/>
            <w:hideMark/>
          </w:tcPr>
          <w:p w14:paraId="7CA850D2" w14:textId="77777777" w:rsidR="00B02EE5" w:rsidRPr="00B02EE5" w:rsidRDefault="00B02EE5" w:rsidP="00B02EE5">
            <w:pPr>
              <w:spacing w:line="256" w:lineRule="auto"/>
              <w:jc w:val="right"/>
              <w:rPr>
                <w:rFonts w:ascii="Arial" w:hAnsi="Arial" w:cs="Arial"/>
                <w:kern w:val="2"/>
                <w:sz w:val="20"/>
                <w:szCs w:val="20"/>
                <w14:ligatures w14:val="standardContextual"/>
              </w:rPr>
            </w:pPr>
            <w:r w:rsidRPr="00B02EE5">
              <w:rPr>
                <w:rFonts w:ascii="Arial" w:hAnsi="Arial" w:cs="Arial"/>
                <w:kern w:val="2"/>
                <w:sz w:val="20"/>
                <w:szCs w:val="20"/>
                <w14:ligatures w14:val="standardContextual"/>
              </w:rPr>
              <w:t>-7,9</w:t>
            </w:r>
          </w:p>
        </w:tc>
      </w:tr>
      <w:tr w:rsidR="00B02EE5" w:rsidRPr="00B02EE5" w14:paraId="4AE056D1" w14:textId="77777777" w:rsidTr="003446D4">
        <w:trPr>
          <w:trHeight w:val="314"/>
          <w:jc w:val="center"/>
        </w:trPr>
        <w:tc>
          <w:tcPr>
            <w:tcW w:w="4962" w:type="dxa"/>
            <w:shd w:val="clear" w:color="auto" w:fill="FFFFFF"/>
            <w:noWrap/>
            <w:hideMark/>
          </w:tcPr>
          <w:p w14:paraId="66E0E06F" w14:textId="77777777" w:rsidR="00B02EE5" w:rsidRPr="00B02EE5" w:rsidRDefault="00B02EE5" w:rsidP="00B02EE5">
            <w:pPr>
              <w:spacing w:line="256" w:lineRule="auto"/>
              <w:rPr>
                <w:rFonts w:ascii="Arial" w:hAnsi="Arial" w:cs="Arial"/>
                <w:kern w:val="2"/>
                <w:sz w:val="22"/>
                <w:szCs w:val="22"/>
                <w14:ligatures w14:val="standardContextual"/>
              </w:rPr>
            </w:pPr>
            <w:r w:rsidRPr="00B02EE5">
              <w:rPr>
                <w:rFonts w:ascii="Arial" w:hAnsi="Arial" w:cs="Arial"/>
                <w:kern w:val="2"/>
                <w:sz w:val="22"/>
                <w:szCs w:val="22"/>
                <w:lang w:val="en-US"/>
                <w14:ligatures w14:val="standardContextual"/>
              </w:rPr>
              <w:t>M</w:t>
            </w:r>
            <w:r w:rsidRPr="00B02EE5">
              <w:rPr>
                <w:rFonts w:ascii="Arial" w:hAnsi="Arial" w:cs="Arial"/>
                <w:kern w:val="2"/>
                <w:sz w:val="22"/>
                <w:szCs w:val="22"/>
                <w14:ligatures w14:val="standardContextual"/>
              </w:rPr>
              <w:t>anufacture of chemicals and chemical products</w:t>
            </w:r>
          </w:p>
        </w:tc>
        <w:tc>
          <w:tcPr>
            <w:tcW w:w="851" w:type="dxa"/>
            <w:shd w:val="clear" w:color="auto" w:fill="FFFFFF"/>
            <w:hideMark/>
          </w:tcPr>
          <w:p w14:paraId="5C0EE5D4" w14:textId="77777777" w:rsidR="00B02EE5" w:rsidRPr="00B02EE5" w:rsidRDefault="00B02EE5" w:rsidP="00B02EE5">
            <w:pPr>
              <w:spacing w:line="256" w:lineRule="auto"/>
              <w:jc w:val="right"/>
              <w:rPr>
                <w:rFonts w:ascii="Arial" w:hAnsi="Arial" w:cs="Arial"/>
                <w:kern w:val="2"/>
                <w:sz w:val="20"/>
                <w:szCs w:val="20"/>
                <w14:ligatures w14:val="standardContextual"/>
              </w:rPr>
            </w:pPr>
            <w:r w:rsidRPr="00B02EE5">
              <w:rPr>
                <w:rFonts w:ascii="Arial" w:hAnsi="Arial" w:cs="Arial"/>
                <w:kern w:val="2"/>
                <w:sz w:val="20"/>
                <w:szCs w:val="20"/>
                <w14:ligatures w14:val="standardContextual"/>
              </w:rPr>
              <w:t>23,9</w:t>
            </w:r>
          </w:p>
        </w:tc>
        <w:tc>
          <w:tcPr>
            <w:tcW w:w="850" w:type="dxa"/>
            <w:shd w:val="clear" w:color="auto" w:fill="FFFFFF"/>
            <w:hideMark/>
          </w:tcPr>
          <w:p w14:paraId="4293D83F" w14:textId="77777777" w:rsidR="00B02EE5" w:rsidRPr="00B02EE5" w:rsidRDefault="00B02EE5" w:rsidP="00B02EE5">
            <w:pPr>
              <w:spacing w:line="256" w:lineRule="auto"/>
              <w:jc w:val="right"/>
              <w:rPr>
                <w:rFonts w:ascii="Arial" w:hAnsi="Arial" w:cs="Arial"/>
                <w:kern w:val="2"/>
                <w:sz w:val="20"/>
                <w:szCs w:val="20"/>
                <w14:ligatures w14:val="standardContextual"/>
              </w:rPr>
            </w:pPr>
            <w:r w:rsidRPr="00B02EE5">
              <w:rPr>
                <w:rFonts w:ascii="Arial" w:hAnsi="Arial" w:cs="Arial"/>
                <w:kern w:val="2"/>
                <w:sz w:val="20"/>
                <w:szCs w:val="20"/>
                <w14:ligatures w14:val="standardContextual"/>
              </w:rPr>
              <w:t>2,5</w:t>
            </w:r>
          </w:p>
        </w:tc>
        <w:tc>
          <w:tcPr>
            <w:tcW w:w="851" w:type="dxa"/>
            <w:shd w:val="clear" w:color="auto" w:fill="FFFFFF"/>
            <w:hideMark/>
          </w:tcPr>
          <w:p w14:paraId="3CDBC7BF" w14:textId="77777777" w:rsidR="00B02EE5" w:rsidRPr="00B02EE5" w:rsidRDefault="00B02EE5" w:rsidP="00B02EE5">
            <w:pPr>
              <w:spacing w:line="256" w:lineRule="auto"/>
              <w:jc w:val="right"/>
              <w:rPr>
                <w:rFonts w:ascii="Arial" w:hAnsi="Arial" w:cs="Arial"/>
                <w:kern w:val="2"/>
                <w:sz w:val="20"/>
                <w:szCs w:val="20"/>
                <w14:ligatures w14:val="standardContextual"/>
              </w:rPr>
            </w:pPr>
            <w:r w:rsidRPr="00B02EE5">
              <w:rPr>
                <w:rFonts w:ascii="Arial" w:hAnsi="Arial" w:cs="Arial"/>
                <w:kern w:val="2"/>
                <w:sz w:val="20"/>
                <w:szCs w:val="20"/>
                <w14:ligatures w14:val="standardContextual"/>
              </w:rPr>
              <w:t>-16,8</w:t>
            </w:r>
          </w:p>
        </w:tc>
        <w:tc>
          <w:tcPr>
            <w:tcW w:w="887" w:type="dxa"/>
            <w:shd w:val="clear" w:color="auto" w:fill="FFFFFF"/>
            <w:hideMark/>
          </w:tcPr>
          <w:p w14:paraId="568AC294" w14:textId="77777777" w:rsidR="00B02EE5" w:rsidRPr="00B02EE5" w:rsidRDefault="00B02EE5" w:rsidP="00B02EE5">
            <w:pPr>
              <w:spacing w:line="256" w:lineRule="auto"/>
              <w:jc w:val="right"/>
              <w:rPr>
                <w:rFonts w:ascii="Arial" w:hAnsi="Arial" w:cs="Arial"/>
                <w:kern w:val="2"/>
                <w:sz w:val="20"/>
                <w:szCs w:val="20"/>
                <w14:ligatures w14:val="standardContextual"/>
              </w:rPr>
            </w:pPr>
            <w:r w:rsidRPr="00B02EE5">
              <w:rPr>
                <w:rFonts w:ascii="Arial" w:hAnsi="Arial" w:cs="Arial"/>
                <w:kern w:val="2"/>
                <w:sz w:val="20"/>
                <w:szCs w:val="20"/>
                <w14:ligatures w14:val="standardContextual"/>
              </w:rPr>
              <w:t>66,6</w:t>
            </w:r>
          </w:p>
        </w:tc>
        <w:tc>
          <w:tcPr>
            <w:tcW w:w="808" w:type="dxa"/>
            <w:shd w:val="clear" w:color="auto" w:fill="FFFFFF"/>
            <w:hideMark/>
          </w:tcPr>
          <w:p w14:paraId="24577997" w14:textId="77777777" w:rsidR="00B02EE5" w:rsidRPr="00B02EE5" w:rsidRDefault="00B02EE5" w:rsidP="00B02EE5">
            <w:pPr>
              <w:spacing w:line="256" w:lineRule="auto"/>
              <w:jc w:val="right"/>
              <w:rPr>
                <w:rFonts w:ascii="Arial" w:hAnsi="Arial" w:cs="Arial"/>
                <w:kern w:val="2"/>
                <w:sz w:val="20"/>
                <w:szCs w:val="20"/>
                <w14:ligatures w14:val="standardContextual"/>
              </w:rPr>
            </w:pPr>
            <w:r w:rsidRPr="00B02EE5">
              <w:rPr>
                <w:rFonts w:ascii="Arial" w:hAnsi="Arial" w:cs="Arial"/>
                <w:kern w:val="2"/>
                <w:sz w:val="20"/>
                <w:szCs w:val="20"/>
                <w14:ligatures w14:val="standardContextual"/>
              </w:rPr>
              <w:t>-8,4</w:t>
            </w:r>
          </w:p>
        </w:tc>
      </w:tr>
      <w:tr w:rsidR="00B02EE5" w:rsidRPr="00B02EE5" w14:paraId="4382C247" w14:textId="77777777" w:rsidTr="003446D4">
        <w:trPr>
          <w:trHeight w:val="314"/>
          <w:jc w:val="center"/>
        </w:trPr>
        <w:tc>
          <w:tcPr>
            <w:tcW w:w="4962" w:type="dxa"/>
            <w:shd w:val="clear" w:color="auto" w:fill="FFFFFF"/>
            <w:noWrap/>
            <w:hideMark/>
          </w:tcPr>
          <w:p w14:paraId="1B6F7C46" w14:textId="77777777" w:rsidR="00B02EE5" w:rsidRPr="00B02EE5" w:rsidRDefault="00B02EE5" w:rsidP="00B02EE5">
            <w:pPr>
              <w:spacing w:line="256" w:lineRule="auto"/>
              <w:rPr>
                <w:rFonts w:ascii="Arial" w:hAnsi="Arial" w:cs="Arial"/>
                <w:kern w:val="2"/>
                <w:sz w:val="22"/>
                <w:szCs w:val="22"/>
                <w14:ligatures w14:val="standardContextual"/>
              </w:rPr>
            </w:pPr>
            <w:r w:rsidRPr="00B02EE5">
              <w:rPr>
                <w:rFonts w:ascii="Arial" w:hAnsi="Arial" w:cs="Arial"/>
                <w:kern w:val="2"/>
                <w:sz w:val="22"/>
                <w:szCs w:val="22"/>
                <w:lang w:val="en-US"/>
                <w14:ligatures w14:val="standardContextual"/>
              </w:rPr>
              <w:t>M</w:t>
            </w:r>
            <w:r w:rsidRPr="00B02EE5">
              <w:rPr>
                <w:rFonts w:ascii="Arial" w:hAnsi="Arial" w:cs="Arial"/>
                <w:kern w:val="2"/>
                <w:sz w:val="22"/>
                <w:szCs w:val="22"/>
                <w14:ligatures w14:val="standardContextual"/>
              </w:rPr>
              <w:t>anufacture of chemicals and chemical products</w:t>
            </w:r>
          </w:p>
        </w:tc>
        <w:tc>
          <w:tcPr>
            <w:tcW w:w="851" w:type="dxa"/>
            <w:shd w:val="clear" w:color="auto" w:fill="FFFFFF"/>
            <w:hideMark/>
          </w:tcPr>
          <w:p w14:paraId="1EFF55EF" w14:textId="77777777" w:rsidR="00B02EE5" w:rsidRPr="00B02EE5" w:rsidRDefault="00B02EE5" w:rsidP="00B02EE5">
            <w:pPr>
              <w:spacing w:line="256" w:lineRule="auto"/>
              <w:jc w:val="right"/>
              <w:rPr>
                <w:rFonts w:ascii="Arial" w:hAnsi="Arial" w:cs="Arial"/>
                <w:kern w:val="2"/>
                <w:sz w:val="20"/>
                <w:szCs w:val="20"/>
                <w14:ligatures w14:val="standardContextual"/>
              </w:rPr>
            </w:pPr>
            <w:r w:rsidRPr="00B02EE5">
              <w:rPr>
                <w:rFonts w:ascii="Arial" w:hAnsi="Arial" w:cs="Arial"/>
                <w:kern w:val="2"/>
                <w:sz w:val="20"/>
                <w:szCs w:val="20"/>
                <w14:ligatures w14:val="standardContextual"/>
              </w:rPr>
              <w:t>22,6</w:t>
            </w:r>
          </w:p>
        </w:tc>
        <w:tc>
          <w:tcPr>
            <w:tcW w:w="850" w:type="dxa"/>
            <w:shd w:val="clear" w:color="auto" w:fill="FFFFFF"/>
            <w:hideMark/>
          </w:tcPr>
          <w:p w14:paraId="449076C2" w14:textId="77777777" w:rsidR="00B02EE5" w:rsidRPr="00B02EE5" w:rsidRDefault="00B02EE5" w:rsidP="00B02EE5">
            <w:pPr>
              <w:spacing w:line="256" w:lineRule="auto"/>
              <w:jc w:val="right"/>
              <w:rPr>
                <w:rFonts w:ascii="Arial" w:hAnsi="Arial" w:cs="Arial"/>
                <w:kern w:val="2"/>
                <w:sz w:val="20"/>
                <w:szCs w:val="20"/>
                <w14:ligatures w14:val="standardContextual"/>
              </w:rPr>
            </w:pPr>
            <w:r w:rsidRPr="00B02EE5">
              <w:rPr>
                <w:rFonts w:ascii="Arial" w:hAnsi="Arial" w:cs="Arial"/>
                <w:kern w:val="2"/>
                <w:sz w:val="20"/>
                <w:szCs w:val="20"/>
                <w14:ligatures w14:val="standardContextual"/>
              </w:rPr>
              <w:t>8,8</w:t>
            </w:r>
          </w:p>
        </w:tc>
        <w:tc>
          <w:tcPr>
            <w:tcW w:w="851" w:type="dxa"/>
            <w:shd w:val="clear" w:color="auto" w:fill="FFFFFF"/>
            <w:hideMark/>
          </w:tcPr>
          <w:p w14:paraId="7528CE82" w14:textId="77777777" w:rsidR="00B02EE5" w:rsidRPr="00B02EE5" w:rsidRDefault="00B02EE5" w:rsidP="00B02EE5">
            <w:pPr>
              <w:spacing w:line="256" w:lineRule="auto"/>
              <w:jc w:val="right"/>
              <w:rPr>
                <w:rFonts w:ascii="Arial" w:hAnsi="Arial" w:cs="Arial"/>
                <w:kern w:val="2"/>
                <w:sz w:val="20"/>
                <w:szCs w:val="20"/>
                <w14:ligatures w14:val="standardContextual"/>
              </w:rPr>
            </w:pPr>
            <w:r w:rsidRPr="00B02EE5">
              <w:rPr>
                <w:rFonts w:ascii="Arial" w:hAnsi="Arial" w:cs="Arial"/>
                <w:kern w:val="2"/>
                <w:sz w:val="20"/>
                <w:szCs w:val="20"/>
                <w14:ligatures w14:val="standardContextual"/>
              </w:rPr>
              <w:t>-12,7</w:t>
            </w:r>
          </w:p>
        </w:tc>
        <w:tc>
          <w:tcPr>
            <w:tcW w:w="887" w:type="dxa"/>
            <w:shd w:val="clear" w:color="auto" w:fill="FFFFFF"/>
            <w:hideMark/>
          </w:tcPr>
          <w:p w14:paraId="39874FDB" w14:textId="77777777" w:rsidR="00B02EE5" w:rsidRPr="00B02EE5" w:rsidRDefault="00B02EE5" w:rsidP="00B02EE5">
            <w:pPr>
              <w:spacing w:line="256" w:lineRule="auto"/>
              <w:jc w:val="right"/>
              <w:rPr>
                <w:rFonts w:ascii="Arial" w:hAnsi="Arial" w:cs="Arial"/>
                <w:kern w:val="2"/>
                <w:sz w:val="20"/>
                <w:szCs w:val="20"/>
                <w14:ligatures w14:val="standardContextual"/>
              </w:rPr>
            </w:pPr>
            <w:r w:rsidRPr="00B02EE5">
              <w:rPr>
                <w:rFonts w:ascii="Arial" w:hAnsi="Arial" w:cs="Arial"/>
                <w:kern w:val="2"/>
                <w:sz w:val="20"/>
                <w:szCs w:val="20"/>
                <w14:ligatures w14:val="standardContextual"/>
              </w:rPr>
              <w:t>50,7</w:t>
            </w:r>
          </w:p>
        </w:tc>
        <w:tc>
          <w:tcPr>
            <w:tcW w:w="808" w:type="dxa"/>
            <w:shd w:val="clear" w:color="auto" w:fill="FFFFFF"/>
            <w:hideMark/>
          </w:tcPr>
          <w:p w14:paraId="170F5D80" w14:textId="77777777" w:rsidR="00B02EE5" w:rsidRPr="00B02EE5" w:rsidRDefault="00B02EE5" w:rsidP="00B02EE5">
            <w:pPr>
              <w:spacing w:line="256" w:lineRule="auto"/>
              <w:jc w:val="right"/>
              <w:rPr>
                <w:rFonts w:ascii="Arial" w:hAnsi="Arial" w:cs="Arial"/>
                <w:kern w:val="2"/>
                <w:sz w:val="20"/>
                <w:szCs w:val="20"/>
                <w14:ligatures w14:val="standardContextual"/>
              </w:rPr>
            </w:pPr>
            <w:r w:rsidRPr="00B02EE5">
              <w:rPr>
                <w:rFonts w:ascii="Arial" w:hAnsi="Arial" w:cs="Arial"/>
                <w:kern w:val="2"/>
                <w:sz w:val="20"/>
                <w:szCs w:val="20"/>
                <w14:ligatures w14:val="standardContextual"/>
              </w:rPr>
              <w:t>-29,1</w:t>
            </w:r>
          </w:p>
        </w:tc>
      </w:tr>
      <w:tr w:rsidR="00B02EE5" w:rsidRPr="00B02EE5" w14:paraId="6D766CFF" w14:textId="77777777" w:rsidTr="003446D4">
        <w:trPr>
          <w:trHeight w:val="314"/>
          <w:jc w:val="center"/>
        </w:trPr>
        <w:tc>
          <w:tcPr>
            <w:tcW w:w="4962" w:type="dxa"/>
            <w:shd w:val="clear" w:color="auto" w:fill="FFFFFF"/>
            <w:noWrap/>
            <w:hideMark/>
          </w:tcPr>
          <w:p w14:paraId="0A640247" w14:textId="77777777" w:rsidR="00B02EE5" w:rsidRPr="00B02EE5" w:rsidRDefault="00B02EE5" w:rsidP="00B02EE5">
            <w:pPr>
              <w:spacing w:line="256" w:lineRule="auto"/>
              <w:rPr>
                <w:rFonts w:ascii="Arial" w:hAnsi="Arial" w:cs="Arial"/>
                <w:kern w:val="2"/>
                <w:sz w:val="22"/>
                <w:szCs w:val="22"/>
                <w14:ligatures w14:val="standardContextual"/>
              </w:rPr>
            </w:pPr>
            <w:r w:rsidRPr="00B02EE5">
              <w:rPr>
                <w:rFonts w:ascii="Arial" w:hAnsi="Arial" w:cs="Arial"/>
                <w:kern w:val="2"/>
                <w:sz w:val="22"/>
                <w:szCs w:val="22"/>
                <w:lang w:val="en-US"/>
                <w14:ligatures w14:val="standardContextual"/>
              </w:rPr>
              <w:t>M</w:t>
            </w:r>
            <w:r w:rsidRPr="00B02EE5">
              <w:rPr>
                <w:rFonts w:ascii="Arial" w:hAnsi="Arial" w:cs="Arial"/>
                <w:kern w:val="2"/>
                <w:sz w:val="22"/>
                <w:szCs w:val="22"/>
                <w14:ligatures w14:val="standardContextual"/>
              </w:rPr>
              <w:t>anufacture of other non-metallic mineral products</w:t>
            </w:r>
          </w:p>
        </w:tc>
        <w:tc>
          <w:tcPr>
            <w:tcW w:w="851" w:type="dxa"/>
            <w:shd w:val="clear" w:color="auto" w:fill="FFFFFF"/>
            <w:hideMark/>
          </w:tcPr>
          <w:p w14:paraId="39B80129" w14:textId="77777777" w:rsidR="00B02EE5" w:rsidRPr="00B02EE5" w:rsidRDefault="00B02EE5" w:rsidP="00B02EE5">
            <w:pPr>
              <w:spacing w:line="256" w:lineRule="auto"/>
              <w:jc w:val="right"/>
              <w:rPr>
                <w:rFonts w:ascii="Arial" w:hAnsi="Arial" w:cs="Arial"/>
                <w:kern w:val="2"/>
                <w:sz w:val="20"/>
                <w:szCs w:val="20"/>
                <w14:ligatures w14:val="standardContextual"/>
              </w:rPr>
            </w:pPr>
            <w:r w:rsidRPr="00B02EE5">
              <w:rPr>
                <w:rFonts w:ascii="Arial" w:hAnsi="Arial" w:cs="Arial"/>
                <w:kern w:val="2"/>
                <w:sz w:val="20"/>
                <w:szCs w:val="20"/>
                <w14:ligatures w14:val="standardContextual"/>
              </w:rPr>
              <w:t>28,7</w:t>
            </w:r>
          </w:p>
        </w:tc>
        <w:tc>
          <w:tcPr>
            <w:tcW w:w="850" w:type="dxa"/>
            <w:shd w:val="clear" w:color="auto" w:fill="FFFFFF"/>
            <w:hideMark/>
          </w:tcPr>
          <w:p w14:paraId="6311518B" w14:textId="77777777" w:rsidR="00B02EE5" w:rsidRPr="00B02EE5" w:rsidRDefault="00B02EE5" w:rsidP="00B02EE5">
            <w:pPr>
              <w:spacing w:line="256" w:lineRule="auto"/>
              <w:jc w:val="right"/>
              <w:rPr>
                <w:rFonts w:ascii="Arial" w:hAnsi="Arial" w:cs="Arial"/>
                <w:kern w:val="2"/>
                <w:sz w:val="20"/>
                <w:szCs w:val="20"/>
                <w14:ligatures w14:val="standardContextual"/>
              </w:rPr>
            </w:pPr>
            <w:r w:rsidRPr="00B02EE5">
              <w:rPr>
                <w:rFonts w:ascii="Arial" w:hAnsi="Arial" w:cs="Arial"/>
                <w:kern w:val="2"/>
                <w:sz w:val="20"/>
                <w:szCs w:val="20"/>
                <w14:ligatures w14:val="standardContextual"/>
              </w:rPr>
              <w:t>2,3</w:t>
            </w:r>
          </w:p>
        </w:tc>
        <w:tc>
          <w:tcPr>
            <w:tcW w:w="851" w:type="dxa"/>
            <w:shd w:val="clear" w:color="auto" w:fill="FFFFFF"/>
            <w:hideMark/>
          </w:tcPr>
          <w:p w14:paraId="2A721E8F" w14:textId="77777777" w:rsidR="00B02EE5" w:rsidRPr="00B02EE5" w:rsidRDefault="00B02EE5" w:rsidP="00B02EE5">
            <w:pPr>
              <w:spacing w:line="256" w:lineRule="auto"/>
              <w:jc w:val="right"/>
              <w:rPr>
                <w:rFonts w:ascii="Arial" w:hAnsi="Arial" w:cs="Arial"/>
                <w:kern w:val="2"/>
                <w:sz w:val="20"/>
                <w:szCs w:val="20"/>
                <w14:ligatures w14:val="standardContextual"/>
              </w:rPr>
            </w:pPr>
            <w:r w:rsidRPr="00B02EE5">
              <w:rPr>
                <w:rFonts w:ascii="Arial" w:hAnsi="Arial" w:cs="Arial"/>
                <w:kern w:val="2"/>
                <w:sz w:val="20"/>
                <w:szCs w:val="20"/>
                <w14:ligatures w14:val="standardContextual"/>
              </w:rPr>
              <w:t>-19,5</w:t>
            </w:r>
          </w:p>
        </w:tc>
        <w:tc>
          <w:tcPr>
            <w:tcW w:w="887" w:type="dxa"/>
            <w:shd w:val="clear" w:color="auto" w:fill="FFFFFF"/>
            <w:hideMark/>
          </w:tcPr>
          <w:p w14:paraId="770B1E5A" w14:textId="77777777" w:rsidR="00B02EE5" w:rsidRPr="00B02EE5" w:rsidRDefault="00B02EE5" w:rsidP="00B02EE5">
            <w:pPr>
              <w:spacing w:line="256" w:lineRule="auto"/>
              <w:jc w:val="right"/>
              <w:rPr>
                <w:rFonts w:ascii="Arial" w:hAnsi="Arial" w:cs="Arial"/>
                <w:kern w:val="2"/>
                <w:sz w:val="20"/>
                <w:szCs w:val="20"/>
                <w14:ligatures w14:val="standardContextual"/>
              </w:rPr>
            </w:pPr>
            <w:r w:rsidRPr="00B02EE5">
              <w:rPr>
                <w:rFonts w:ascii="Arial" w:hAnsi="Arial" w:cs="Arial"/>
                <w:kern w:val="2"/>
                <w:sz w:val="20"/>
                <w:szCs w:val="20"/>
                <w14:ligatures w14:val="standardContextual"/>
              </w:rPr>
              <w:t>13,3</w:t>
            </w:r>
          </w:p>
        </w:tc>
        <w:tc>
          <w:tcPr>
            <w:tcW w:w="808" w:type="dxa"/>
            <w:shd w:val="clear" w:color="auto" w:fill="FFFFFF"/>
            <w:hideMark/>
          </w:tcPr>
          <w:p w14:paraId="00984AB3" w14:textId="77777777" w:rsidR="00B02EE5" w:rsidRPr="00B02EE5" w:rsidRDefault="00B02EE5" w:rsidP="00B02EE5">
            <w:pPr>
              <w:spacing w:line="256" w:lineRule="auto"/>
              <w:jc w:val="right"/>
              <w:rPr>
                <w:rFonts w:ascii="Arial" w:hAnsi="Arial" w:cs="Arial"/>
                <w:kern w:val="2"/>
                <w:sz w:val="20"/>
                <w:szCs w:val="20"/>
                <w14:ligatures w14:val="standardContextual"/>
              </w:rPr>
            </w:pPr>
            <w:r w:rsidRPr="00B02EE5">
              <w:rPr>
                <w:rFonts w:ascii="Arial" w:hAnsi="Arial" w:cs="Arial"/>
                <w:kern w:val="2"/>
                <w:sz w:val="20"/>
                <w:szCs w:val="20"/>
                <w14:ligatures w14:val="standardContextual"/>
              </w:rPr>
              <w:t>3,5</w:t>
            </w:r>
          </w:p>
        </w:tc>
      </w:tr>
      <w:tr w:rsidR="00B02EE5" w:rsidRPr="00B02EE5" w14:paraId="50C7E0FC" w14:textId="77777777" w:rsidTr="003446D4">
        <w:trPr>
          <w:trHeight w:val="314"/>
          <w:jc w:val="center"/>
        </w:trPr>
        <w:tc>
          <w:tcPr>
            <w:tcW w:w="4962" w:type="dxa"/>
            <w:shd w:val="clear" w:color="auto" w:fill="FFFFFF"/>
            <w:noWrap/>
            <w:hideMark/>
          </w:tcPr>
          <w:p w14:paraId="734066C6" w14:textId="77777777" w:rsidR="00B02EE5" w:rsidRPr="00B02EE5" w:rsidRDefault="00B02EE5" w:rsidP="00B02EE5">
            <w:pPr>
              <w:spacing w:line="256" w:lineRule="auto"/>
              <w:rPr>
                <w:rFonts w:ascii="Arial" w:hAnsi="Arial" w:cs="Arial"/>
                <w:kern w:val="2"/>
                <w:sz w:val="22"/>
                <w:szCs w:val="22"/>
                <w14:ligatures w14:val="standardContextual"/>
              </w:rPr>
            </w:pPr>
            <w:r w:rsidRPr="00B02EE5">
              <w:rPr>
                <w:rFonts w:ascii="Arial" w:hAnsi="Arial" w:cs="Arial"/>
                <w:kern w:val="2"/>
                <w:sz w:val="22"/>
                <w:szCs w:val="22"/>
                <w:lang w:val="en-US"/>
                <w14:ligatures w14:val="standardContextual"/>
              </w:rPr>
              <w:t>M</w:t>
            </w:r>
            <w:r w:rsidRPr="00B02EE5">
              <w:rPr>
                <w:rFonts w:ascii="Arial" w:hAnsi="Arial" w:cs="Arial"/>
                <w:kern w:val="2"/>
                <w:sz w:val="22"/>
                <w:szCs w:val="22"/>
                <w14:ligatures w14:val="standardContextual"/>
              </w:rPr>
              <w:t>anufacture of computer, electronic and optical products</w:t>
            </w:r>
          </w:p>
        </w:tc>
        <w:tc>
          <w:tcPr>
            <w:tcW w:w="851" w:type="dxa"/>
            <w:shd w:val="clear" w:color="auto" w:fill="FFFFFF"/>
            <w:hideMark/>
          </w:tcPr>
          <w:p w14:paraId="08B3B424" w14:textId="77777777" w:rsidR="00B02EE5" w:rsidRPr="00B02EE5" w:rsidRDefault="00B02EE5" w:rsidP="00B02EE5">
            <w:pPr>
              <w:spacing w:line="256" w:lineRule="auto"/>
              <w:jc w:val="right"/>
              <w:rPr>
                <w:rFonts w:ascii="Arial" w:hAnsi="Arial" w:cs="Arial"/>
                <w:kern w:val="2"/>
                <w:sz w:val="20"/>
                <w:szCs w:val="20"/>
                <w14:ligatures w14:val="standardContextual"/>
              </w:rPr>
            </w:pPr>
            <w:r w:rsidRPr="00B02EE5">
              <w:rPr>
                <w:rFonts w:ascii="Arial" w:hAnsi="Arial" w:cs="Arial"/>
                <w:kern w:val="2"/>
                <w:sz w:val="20"/>
                <w:szCs w:val="20"/>
                <w14:ligatures w14:val="standardContextual"/>
              </w:rPr>
              <w:t>39,7</w:t>
            </w:r>
          </w:p>
        </w:tc>
        <w:tc>
          <w:tcPr>
            <w:tcW w:w="850" w:type="dxa"/>
            <w:shd w:val="clear" w:color="auto" w:fill="FFFFFF"/>
            <w:hideMark/>
          </w:tcPr>
          <w:p w14:paraId="71128671" w14:textId="77777777" w:rsidR="00B02EE5" w:rsidRPr="00B02EE5" w:rsidRDefault="00B02EE5" w:rsidP="00B02EE5">
            <w:pPr>
              <w:spacing w:line="256" w:lineRule="auto"/>
              <w:jc w:val="right"/>
              <w:rPr>
                <w:rFonts w:ascii="Arial" w:hAnsi="Arial" w:cs="Arial"/>
                <w:kern w:val="2"/>
                <w:sz w:val="20"/>
                <w:szCs w:val="20"/>
                <w14:ligatures w14:val="standardContextual"/>
              </w:rPr>
            </w:pPr>
            <w:r w:rsidRPr="00B02EE5">
              <w:rPr>
                <w:rFonts w:ascii="Arial" w:hAnsi="Arial" w:cs="Arial"/>
                <w:kern w:val="2"/>
                <w:sz w:val="20"/>
                <w:szCs w:val="20"/>
                <w14:ligatures w14:val="standardContextual"/>
              </w:rPr>
              <w:t>1,4</w:t>
            </w:r>
          </w:p>
        </w:tc>
        <w:tc>
          <w:tcPr>
            <w:tcW w:w="851" w:type="dxa"/>
            <w:shd w:val="clear" w:color="auto" w:fill="FFFFFF"/>
            <w:hideMark/>
          </w:tcPr>
          <w:p w14:paraId="6EBC942F" w14:textId="77777777" w:rsidR="00B02EE5" w:rsidRPr="00B02EE5" w:rsidRDefault="00B02EE5" w:rsidP="00B02EE5">
            <w:pPr>
              <w:spacing w:line="256" w:lineRule="auto"/>
              <w:jc w:val="right"/>
              <w:rPr>
                <w:rFonts w:ascii="Arial" w:hAnsi="Arial" w:cs="Arial"/>
                <w:kern w:val="2"/>
                <w:sz w:val="20"/>
                <w:szCs w:val="20"/>
                <w14:ligatures w14:val="standardContextual"/>
              </w:rPr>
            </w:pPr>
            <w:r w:rsidRPr="00B02EE5">
              <w:rPr>
                <w:rFonts w:ascii="Arial" w:hAnsi="Arial" w:cs="Arial"/>
                <w:kern w:val="2"/>
                <w:sz w:val="20"/>
                <w:szCs w:val="20"/>
                <w14:ligatures w14:val="standardContextual"/>
              </w:rPr>
              <w:t>-1,1</w:t>
            </w:r>
          </w:p>
        </w:tc>
        <w:tc>
          <w:tcPr>
            <w:tcW w:w="887" w:type="dxa"/>
            <w:shd w:val="clear" w:color="auto" w:fill="FFFFFF"/>
            <w:hideMark/>
          </w:tcPr>
          <w:p w14:paraId="538DC815" w14:textId="77777777" w:rsidR="00B02EE5" w:rsidRPr="00B02EE5" w:rsidRDefault="00B02EE5" w:rsidP="00B02EE5">
            <w:pPr>
              <w:spacing w:line="256" w:lineRule="auto"/>
              <w:jc w:val="right"/>
              <w:rPr>
                <w:rFonts w:ascii="Arial" w:hAnsi="Arial" w:cs="Arial"/>
                <w:kern w:val="2"/>
                <w:sz w:val="20"/>
                <w:szCs w:val="20"/>
                <w14:ligatures w14:val="standardContextual"/>
              </w:rPr>
            </w:pPr>
            <w:r w:rsidRPr="00B02EE5">
              <w:rPr>
                <w:rFonts w:ascii="Arial" w:hAnsi="Arial" w:cs="Arial"/>
                <w:kern w:val="2"/>
                <w:sz w:val="20"/>
                <w:szCs w:val="20"/>
                <w14:ligatures w14:val="standardContextual"/>
              </w:rPr>
              <w:t>1,8</w:t>
            </w:r>
          </w:p>
        </w:tc>
        <w:tc>
          <w:tcPr>
            <w:tcW w:w="808" w:type="dxa"/>
            <w:shd w:val="clear" w:color="auto" w:fill="FFFFFF"/>
            <w:hideMark/>
          </w:tcPr>
          <w:p w14:paraId="0141B4F6" w14:textId="77777777" w:rsidR="00B02EE5" w:rsidRPr="00B02EE5" w:rsidRDefault="00B02EE5" w:rsidP="00B02EE5">
            <w:pPr>
              <w:spacing w:line="256" w:lineRule="auto"/>
              <w:jc w:val="right"/>
              <w:rPr>
                <w:rFonts w:ascii="Arial" w:hAnsi="Arial" w:cs="Arial"/>
                <w:kern w:val="2"/>
                <w:sz w:val="20"/>
                <w:szCs w:val="20"/>
                <w14:ligatures w14:val="standardContextual"/>
              </w:rPr>
            </w:pPr>
            <w:r w:rsidRPr="00B02EE5">
              <w:rPr>
                <w:rFonts w:ascii="Arial" w:hAnsi="Arial" w:cs="Arial"/>
                <w:kern w:val="2"/>
                <w:sz w:val="20"/>
                <w:szCs w:val="20"/>
                <w14:ligatures w14:val="standardContextual"/>
              </w:rPr>
              <w:t>3,8</w:t>
            </w:r>
          </w:p>
        </w:tc>
      </w:tr>
      <w:tr w:rsidR="00B02EE5" w:rsidRPr="00B02EE5" w14:paraId="44C9E730" w14:textId="77777777" w:rsidTr="003446D4">
        <w:trPr>
          <w:trHeight w:val="314"/>
          <w:jc w:val="center"/>
        </w:trPr>
        <w:tc>
          <w:tcPr>
            <w:tcW w:w="4962" w:type="dxa"/>
            <w:shd w:val="clear" w:color="auto" w:fill="FFFFFF"/>
            <w:noWrap/>
            <w:hideMark/>
          </w:tcPr>
          <w:p w14:paraId="1F0F166A" w14:textId="77777777" w:rsidR="00B02EE5" w:rsidRPr="00B02EE5" w:rsidRDefault="00B02EE5" w:rsidP="00B02EE5">
            <w:pPr>
              <w:spacing w:line="256" w:lineRule="auto"/>
              <w:rPr>
                <w:rFonts w:ascii="Arial" w:hAnsi="Arial" w:cs="Arial"/>
                <w:kern w:val="2"/>
                <w:sz w:val="22"/>
                <w:szCs w:val="22"/>
                <w14:ligatures w14:val="standardContextual"/>
              </w:rPr>
            </w:pPr>
            <w:r w:rsidRPr="00B02EE5">
              <w:rPr>
                <w:rFonts w:ascii="Arial" w:hAnsi="Arial" w:cs="Arial"/>
                <w:kern w:val="2"/>
                <w:sz w:val="22"/>
                <w:szCs w:val="22"/>
                <w:lang w:val="en-US"/>
                <w14:ligatures w14:val="standardContextual"/>
              </w:rPr>
              <w:t>M</w:t>
            </w:r>
            <w:r w:rsidRPr="00B02EE5">
              <w:rPr>
                <w:rFonts w:ascii="Arial" w:hAnsi="Arial" w:cs="Arial"/>
                <w:kern w:val="2"/>
                <w:sz w:val="22"/>
                <w:szCs w:val="22"/>
                <w14:ligatures w14:val="standardContextual"/>
              </w:rPr>
              <w:t>anufacture of electrical equipment</w:t>
            </w:r>
          </w:p>
        </w:tc>
        <w:tc>
          <w:tcPr>
            <w:tcW w:w="851" w:type="dxa"/>
            <w:shd w:val="clear" w:color="auto" w:fill="FFFFFF"/>
            <w:hideMark/>
          </w:tcPr>
          <w:p w14:paraId="20DBB0E8" w14:textId="77777777" w:rsidR="00B02EE5" w:rsidRPr="00B02EE5" w:rsidRDefault="00B02EE5" w:rsidP="00B02EE5">
            <w:pPr>
              <w:spacing w:line="256" w:lineRule="auto"/>
              <w:jc w:val="right"/>
              <w:rPr>
                <w:rFonts w:ascii="Arial" w:hAnsi="Arial" w:cs="Arial"/>
                <w:kern w:val="2"/>
                <w:sz w:val="20"/>
                <w:szCs w:val="20"/>
                <w14:ligatures w14:val="standardContextual"/>
              </w:rPr>
            </w:pPr>
            <w:r w:rsidRPr="00B02EE5">
              <w:rPr>
                <w:rFonts w:ascii="Arial" w:hAnsi="Arial" w:cs="Arial"/>
                <w:kern w:val="2"/>
                <w:sz w:val="20"/>
                <w:szCs w:val="20"/>
                <w14:ligatures w14:val="standardContextual"/>
              </w:rPr>
              <w:t>41,2</w:t>
            </w:r>
          </w:p>
        </w:tc>
        <w:tc>
          <w:tcPr>
            <w:tcW w:w="850" w:type="dxa"/>
            <w:shd w:val="clear" w:color="auto" w:fill="FFFFFF"/>
            <w:hideMark/>
          </w:tcPr>
          <w:p w14:paraId="271E8A4D" w14:textId="77777777" w:rsidR="00B02EE5" w:rsidRPr="00B02EE5" w:rsidRDefault="00B02EE5" w:rsidP="00B02EE5">
            <w:pPr>
              <w:spacing w:line="256" w:lineRule="auto"/>
              <w:jc w:val="right"/>
              <w:rPr>
                <w:rFonts w:ascii="Arial" w:hAnsi="Arial" w:cs="Arial"/>
                <w:kern w:val="2"/>
                <w:sz w:val="20"/>
                <w:szCs w:val="20"/>
                <w14:ligatures w14:val="standardContextual"/>
              </w:rPr>
            </w:pPr>
            <w:r w:rsidRPr="00B02EE5">
              <w:rPr>
                <w:rFonts w:ascii="Arial" w:hAnsi="Arial" w:cs="Arial"/>
                <w:kern w:val="2"/>
                <w:sz w:val="20"/>
                <w:szCs w:val="20"/>
                <w14:ligatures w14:val="standardContextual"/>
              </w:rPr>
              <w:t>9,7</w:t>
            </w:r>
          </w:p>
        </w:tc>
        <w:tc>
          <w:tcPr>
            <w:tcW w:w="851" w:type="dxa"/>
            <w:shd w:val="clear" w:color="auto" w:fill="FFFFFF"/>
            <w:hideMark/>
          </w:tcPr>
          <w:p w14:paraId="59AC7387" w14:textId="77777777" w:rsidR="00B02EE5" w:rsidRPr="00B02EE5" w:rsidRDefault="00B02EE5" w:rsidP="00B02EE5">
            <w:pPr>
              <w:spacing w:line="256" w:lineRule="auto"/>
              <w:jc w:val="right"/>
              <w:rPr>
                <w:rFonts w:ascii="Arial" w:hAnsi="Arial" w:cs="Arial"/>
                <w:kern w:val="2"/>
                <w:sz w:val="20"/>
                <w:szCs w:val="20"/>
                <w14:ligatures w14:val="standardContextual"/>
              </w:rPr>
            </w:pPr>
            <w:r w:rsidRPr="00B02EE5">
              <w:rPr>
                <w:rFonts w:ascii="Arial" w:hAnsi="Arial" w:cs="Arial"/>
                <w:kern w:val="2"/>
                <w:sz w:val="20"/>
                <w:szCs w:val="20"/>
                <w14:ligatures w14:val="standardContextual"/>
              </w:rPr>
              <w:t>-26,7</w:t>
            </w:r>
          </w:p>
        </w:tc>
        <w:tc>
          <w:tcPr>
            <w:tcW w:w="887" w:type="dxa"/>
            <w:shd w:val="clear" w:color="auto" w:fill="FFFFFF"/>
            <w:hideMark/>
          </w:tcPr>
          <w:p w14:paraId="47D8EDCA" w14:textId="77777777" w:rsidR="00B02EE5" w:rsidRPr="00B02EE5" w:rsidRDefault="00B02EE5" w:rsidP="00B02EE5">
            <w:pPr>
              <w:spacing w:line="256" w:lineRule="auto"/>
              <w:jc w:val="right"/>
              <w:rPr>
                <w:rFonts w:ascii="Arial" w:hAnsi="Arial" w:cs="Arial"/>
                <w:kern w:val="2"/>
                <w:sz w:val="20"/>
                <w:szCs w:val="20"/>
                <w14:ligatures w14:val="standardContextual"/>
              </w:rPr>
            </w:pPr>
            <w:r w:rsidRPr="00B02EE5">
              <w:rPr>
                <w:rFonts w:ascii="Arial" w:hAnsi="Arial" w:cs="Arial"/>
                <w:kern w:val="2"/>
                <w:sz w:val="20"/>
                <w:szCs w:val="20"/>
                <w14:ligatures w14:val="standardContextual"/>
              </w:rPr>
              <w:t>45,8</w:t>
            </w:r>
          </w:p>
        </w:tc>
        <w:tc>
          <w:tcPr>
            <w:tcW w:w="808" w:type="dxa"/>
            <w:shd w:val="clear" w:color="auto" w:fill="FFFFFF"/>
            <w:hideMark/>
          </w:tcPr>
          <w:p w14:paraId="68273FDD" w14:textId="77777777" w:rsidR="00B02EE5" w:rsidRPr="00B02EE5" w:rsidRDefault="00B02EE5" w:rsidP="00B02EE5">
            <w:pPr>
              <w:spacing w:line="256" w:lineRule="auto"/>
              <w:jc w:val="right"/>
              <w:rPr>
                <w:rFonts w:ascii="Arial" w:hAnsi="Arial" w:cs="Arial"/>
                <w:kern w:val="2"/>
                <w:sz w:val="20"/>
                <w:szCs w:val="20"/>
                <w14:ligatures w14:val="standardContextual"/>
              </w:rPr>
            </w:pPr>
            <w:r w:rsidRPr="00B02EE5">
              <w:rPr>
                <w:rFonts w:ascii="Arial" w:hAnsi="Arial" w:cs="Arial"/>
                <w:kern w:val="2"/>
                <w:sz w:val="20"/>
                <w:szCs w:val="20"/>
                <w14:ligatures w14:val="standardContextual"/>
              </w:rPr>
              <w:t>-11,5</w:t>
            </w:r>
          </w:p>
        </w:tc>
      </w:tr>
      <w:tr w:rsidR="00B02EE5" w:rsidRPr="00B02EE5" w14:paraId="2DF9C7A7" w14:textId="77777777" w:rsidTr="003446D4">
        <w:trPr>
          <w:trHeight w:val="314"/>
          <w:jc w:val="center"/>
        </w:trPr>
        <w:tc>
          <w:tcPr>
            <w:tcW w:w="4962" w:type="dxa"/>
            <w:noWrap/>
            <w:hideMark/>
          </w:tcPr>
          <w:p w14:paraId="10B6F77B" w14:textId="77777777" w:rsidR="00B02EE5" w:rsidRPr="00B02EE5" w:rsidRDefault="00B02EE5" w:rsidP="00B02EE5">
            <w:pPr>
              <w:spacing w:line="256" w:lineRule="auto"/>
              <w:rPr>
                <w:rFonts w:ascii="Arial" w:hAnsi="Arial" w:cs="Arial"/>
                <w:kern w:val="2"/>
                <w:sz w:val="22"/>
                <w:szCs w:val="22"/>
                <w14:ligatures w14:val="standardContextual"/>
              </w:rPr>
            </w:pPr>
            <w:r w:rsidRPr="00B02EE5">
              <w:rPr>
                <w:rFonts w:ascii="Arial" w:hAnsi="Arial" w:cs="Arial"/>
                <w:kern w:val="2"/>
                <w:sz w:val="22"/>
                <w:szCs w:val="22"/>
                <w14:ligatures w14:val="standardContextual"/>
              </w:rPr>
              <w:t>Manufacture of motor vehicles; trailers and semi-trailers</w:t>
            </w:r>
          </w:p>
        </w:tc>
        <w:tc>
          <w:tcPr>
            <w:tcW w:w="851" w:type="dxa"/>
            <w:shd w:val="clear" w:color="auto" w:fill="FFFFFF"/>
            <w:hideMark/>
          </w:tcPr>
          <w:p w14:paraId="5640D165" w14:textId="77777777" w:rsidR="00B02EE5" w:rsidRPr="00B02EE5" w:rsidRDefault="00B02EE5" w:rsidP="00B02EE5">
            <w:pPr>
              <w:spacing w:line="256" w:lineRule="auto"/>
              <w:jc w:val="right"/>
              <w:rPr>
                <w:rFonts w:ascii="Arial" w:hAnsi="Arial" w:cs="Arial"/>
                <w:kern w:val="2"/>
                <w:sz w:val="20"/>
                <w:szCs w:val="20"/>
                <w14:ligatures w14:val="standardContextual"/>
              </w:rPr>
            </w:pPr>
            <w:r w:rsidRPr="00B02EE5">
              <w:rPr>
                <w:rFonts w:ascii="Arial" w:hAnsi="Arial" w:cs="Arial"/>
                <w:kern w:val="2"/>
                <w:sz w:val="20"/>
                <w:szCs w:val="20"/>
                <w14:ligatures w14:val="standardContextual"/>
              </w:rPr>
              <w:t>35,2</w:t>
            </w:r>
          </w:p>
        </w:tc>
        <w:tc>
          <w:tcPr>
            <w:tcW w:w="850" w:type="dxa"/>
            <w:shd w:val="clear" w:color="auto" w:fill="FFFFFF"/>
            <w:hideMark/>
          </w:tcPr>
          <w:p w14:paraId="0FADF3E0" w14:textId="77777777" w:rsidR="00B02EE5" w:rsidRPr="00B02EE5" w:rsidRDefault="00B02EE5" w:rsidP="00B02EE5">
            <w:pPr>
              <w:spacing w:line="256" w:lineRule="auto"/>
              <w:jc w:val="right"/>
              <w:rPr>
                <w:rFonts w:ascii="Arial" w:hAnsi="Arial" w:cs="Arial"/>
                <w:kern w:val="2"/>
                <w:sz w:val="20"/>
                <w:szCs w:val="20"/>
                <w14:ligatures w14:val="standardContextual"/>
              </w:rPr>
            </w:pPr>
            <w:r w:rsidRPr="00B02EE5">
              <w:rPr>
                <w:rFonts w:ascii="Arial" w:hAnsi="Arial" w:cs="Arial"/>
                <w:kern w:val="2"/>
                <w:sz w:val="20"/>
                <w:szCs w:val="20"/>
                <w14:ligatures w14:val="standardContextual"/>
              </w:rPr>
              <w:t>3,3</w:t>
            </w:r>
          </w:p>
        </w:tc>
        <w:tc>
          <w:tcPr>
            <w:tcW w:w="851" w:type="dxa"/>
            <w:shd w:val="clear" w:color="auto" w:fill="FFFFFF"/>
            <w:hideMark/>
          </w:tcPr>
          <w:p w14:paraId="1F71863C" w14:textId="77777777" w:rsidR="00B02EE5" w:rsidRPr="00B02EE5" w:rsidRDefault="00B02EE5" w:rsidP="00B02EE5">
            <w:pPr>
              <w:spacing w:line="256" w:lineRule="auto"/>
              <w:jc w:val="right"/>
              <w:rPr>
                <w:rFonts w:ascii="Arial" w:hAnsi="Arial" w:cs="Arial"/>
                <w:kern w:val="2"/>
                <w:sz w:val="20"/>
                <w:szCs w:val="20"/>
                <w14:ligatures w14:val="standardContextual"/>
              </w:rPr>
            </w:pPr>
            <w:r w:rsidRPr="00B02EE5">
              <w:rPr>
                <w:rFonts w:ascii="Arial" w:hAnsi="Arial" w:cs="Arial"/>
                <w:kern w:val="2"/>
                <w:sz w:val="20"/>
                <w:szCs w:val="20"/>
                <w14:ligatures w14:val="standardContextual"/>
              </w:rPr>
              <w:t>-23,2</w:t>
            </w:r>
          </w:p>
        </w:tc>
        <w:tc>
          <w:tcPr>
            <w:tcW w:w="887" w:type="dxa"/>
            <w:shd w:val="clear" w:color="auto" w:fill="FFFFFF"/>
            <w:hideMark/>
          </w:tcPr>
          <w:p w14:paraId="61376591" w14:textId="77777777" w:rsidR="00B02EE5" w:rsidRPr="00B02EE5" w:rsidRDefault="00B02EE5" w:rsidP="00B02EE5">
            <w:pPr>
              <w:spacing w:line="256" w:lineRule="auto"/>
              <w:jc w:val="right"/>
              <w:rPr>
                <w:rFonts w:ascii="Arial" w:hAnsi="Arial" w:cs="Arial"/>
                <w:kern w:val="2"/>
                <w:sz w:val="20"/>
                <w:szCs w:val="20"/>
                <w14:ligatures w14:val="standardContextual"/>
              </w:rPr>
            </w:pPr>
            <w:r w:rsidRPr="00B02EE5">
              <w:rPr>
                <w:rFonts w:ascii="Arial" w:hAnsi="Arial" w:cs="Arial"/>
                <w:kern w:val="2"/>
                <w:sz w:val="20"/>
                <w:szCs w:val="20"/>
                <w14:ligatures w14:val="standardContextual"/>
              </w:rPr>
              <w:t>18,3</w:t>
            </w:r>
          </w:p>
        </w:tc>
        <w:tc>
          <w:tcPr>
            <w:tcW w:w="808" w:type="dxa"/>
            <w:shd w:val="clear" w:color="auto" w:fill="FFFFFF"/>
            <w:hideMark/>
          </w:tcPr>
          <w:p w14:paraId="2540473D" w14:textId="77777777" w:rsidR="00B02EE5" w:rsidRPr="00B02EE5" w:rsidRDefault="00B02EE5" w:rsidP="00B02EE5">
            <w:pPr>
              <w:spacing w:line="256" w:lineRule="auto"/>
              <w:jc w:val="right"/>
              <w:rPr>
                <w:rFonts w:ascii="Arial" w:hAnsi="Arial" w:cs="Arial"/>
                <w:kern w:val="2"/>
                <w:sz w:val="20"/>
                <w:szCs w:val="20"/>
                <w14:ligatures w14:val="standardContextual"/>
              </w:rPr>
            </w:pPr>
            <w:r w:rsidRPr="00B02EE5">
              <w:rPr>
                <w:rFonts w:ascii="Arial" w:hAnsi="Arial" w:cs="Arial"/>
                <w:kern w:val="2"/>
                <w:sz w:val="20"/>
                <w:szCs w:val="20"/>
                <w14:ligatures w14:val="standardContextual"/>
              </w:rPr>
              <w:t>33,8</w:t>
            </w:r>
          </w:p>
        </w:tc>
      </w:tr>
      <w:tr w:rsidR="00B02EE5" w:rsidRPr="00B02EE5" w14:paraId="6D5A81CA" w14:textId="77777777" w:rsidTr="003446D4">
        <w:trPr>
          <w:trHeight w:val="427"/>
          <w:jc w:val="center"/>
        </w:trPr>
        <w:tc>
          <w:tcPr>
            <w:tcW w:w="4962" w:type="dxa"/>
            <w:shd w:val="clear" w:color="auto" w:fill="FFFFFF"/>
            <w:hideMark/>
          </w:tcPr>
          <w:p w14:paraId="626D18FF" w14:textId="77777777" w:rsidR="00B02EE5" w:rsidRPr="00B02EE5" w:rsidRDefault="00B02EE5" w:rsidP="00B02EE5">
            <w:pPr>
              <w:spacing w:line="256" w:lineRule="auto"/>
              <w:rPr>
                <w:rFonts w:ascii="Arial" w:hAnsi="Arial" w:cs="Arial"/>
                <w:kern w:val="2"/>
                <w:sz w:val="22"/>
                <w:szCs w:val="22"/>
                <w14:ligatures w14:val="standardContextual"/>
              </w:rPr>
            </w:pPr>
            <w:r w:rsidRPr="00B02EE5">
              <w:rPr>
                <w:rFonts w:ascii="Arial" w:hAnsi="Arial" w:cs="Arial"/>
                <w:kern w:val="2"/>
                <w:sz w:val="22"/>
                <w:szCs w:val="22"/>
                <w14:ligatures w14:val="standardContextual"/>
              </w:rPr>
              <w:t>Manufacture of furniture</w:t>
            </w:r>
          </w:p>
        </w:tc>
        <w:tc>
          <w:tcPr>
            <w:tcW w:w="851" w:type="dxa"/>
            <w:shd w:val="clear" w:color="auto" w:fill="FFFFFF"/>
            <w:hideMark/>
          </w:tcPr>
          <w:p w14:paraId="0E64EBD8" w14:textId="77777777" w:rsidR="00B02EE5" w:rsidRPr="00B02EE5" w:rsidRDefault="00B02EE5" w:rsidP="00B02EE5">
            <w:pPr>
              <w:spacing w:line="256" w:lineRule="auto"/>
              <w:jc w:val="right"/>
              <w:rPr>
                <w:rFonts w:ascii="Arial" w:hAnsi="Arial" w:cs="Arial"/>
                <w:kern w:val="2"/>
                <w:sz w:val="20"/>
                <w:szCs w:val="20"/>
                <w14:ligatures w14:val="standardContextual"/>
              </w:rPr>
            </w:pPr>
            <w:r w:rsidRPr="00B02EE5">
              <w:rPr>
                <w:rFonts w:ascii="Arial" w:hAnsi="Arial" w:cs="Arial"/>
                <w:kern w:val="2"/>
                <w:sz w:val="20"/>
                <w:szCs w:val="20"/>
                <w14:ligatures w14:val="standardContextual"/>
              </w:rPr>
              <w:t>28,1</w:t>
            </w:r>
          </w:p>
        </w:tc>
        <w:tc>
          <w:tcPr>
            <w:tcW w:w="850" w:type="dxa"/>
            <w:shd w:val="clear" w:color="auto" w:fill="FFFFFF"/>
            <w:hideMark/>
          </w:tcPr>
          <w:p w14:paraId="50B884F3" w14:textId="77777777" w:rsidR="00B02EE5" w:rsidRPr="00B02EE5" w:rsidRDefault="00B02EE5" w:rsidP="00B02EE5">
            <w:pPr>
              <w:spacing w:line="256" w:lineRule="auto"/>
              <w:jc w:val="right"/>
              <w:rPr>
                <w:rFonts w:ascii="Arial" w:hAnsi="Arial" w:cs="Arial"/>
                <w:kern w:val="2"/>
                <w:sz w:val="20"/>
                <w:szCs w:val="20"/>
                <w14:ligatures w14:val="standardContextual"/>
              </w:rPr>
            </w:pPr>
            <w:r w:rsidRPr="00B02EE5">
              <w:rPr>
                <w:rFonts w:ascii="Arial" w:hAnsi="Arial" w:cs="Arial"/>
                <w:kern w:val="2"/>
                <w:sz w:val="20"/>
                <w:szCs w:val="20"/>
                <w14:ligatures w14:val="standardContextual"/>
              </w:rPr>
              <w:t>2,6</w:t>
            </w:r>
          </w:p>
        </w:tc>
        <w:tc>
          <w:tcPr>
            <w:tcW w:w="851" w:type="dxa"/>
            <w:shd w:val="clear" w:color="auto" w:fill="FFFFFF"/>
            <w:hideMark/>
          </w:tcPr>
          <w:p w14:paraId="51D1430E" w14:textId="77777777" w:rsidR="00B02EE5" w:rsidRPr="00B02EE5" w:rsidRDefault="00B02EE5" w:rsidP="00B02EE5">
            <w:pPr>
              <w:spacing w:line="256" w:lineRule="auto"/>
              <w:jc w:val="right"/>
              <w:rPr>
                <w:rFonts w:ascii="Arial" w:hAnsi="Arial" w:cs="Arial"/>
                <w:kern w:val="2"/>
                <w:sz w:val="20"/>
                <w:szCs w:val="20"/>
                <w14:ligatures w14:val="standardContextual"/>
              </w:rPr>
            </w:pPr>
            <w:r w:rsidRPr="00B02EE5">
              <w:rPr>
                <w:rFonts w:ascii="Arial" w:hAnsi="Arial" w:cs="Arial"/>
                <w:kern w:val="2"/>
                <w:sz w:val="20"/>
                <w:szCs w:val="20"/>
                <w14:ligatures w14:val="standardContextual"/>
              </w:rPr>
              <w:t>-24,0</w:t>
            </w:r>
          </w:p>
        </w:tc>
        <w:tc>
          <w:tcPr>
            <w:tcW w:w="887" w:type="dxa"/>
            <w:shd w:val="clear" w:color="auto" w:fill="FFFFFF"/>
            <w:hideMark/>
          </w:tcPr>
          <w:p w14:paraId="640655B0" w14:textId="77777777" w:rsidR="00B02EE5" w:rsidRPr="00B02EE5" w:rsidRDefault="00B02EE5" w:rsidP="00B02EE5">
            <w:pPr>
              <w:spacing w:line="256" w:lineRule="auto"/>
              <w:jc w:val="right"/>
              <w:rPr>
                <w:rFonts w:ascii="Arial" w:hAnsi="Arial" w:cs="Arial"/>
                <w:kern w:val="2"/>
                <w:sz w:val="20"/>
                <w:szCs w:val="20"/>
                <w14:ligatures w14:val="standardContextual"/>
              </w:rPr>
            </w:pPr>
            <w:r w:rsidRPr="00B02EE5">
              <w:rPr>
                <w:rFonts w:ascii="Arial" w:hAnsi="Arial" w:cs="Arial"/>
                <w:kern w:val="2"/>
                <w:sz w:val="20"/>
                <w:szCs w:val="20"/>
                <w14:ligatures w14:val="standardContextual"/>
              </w:rPr>
              <w:t>57,2</w:t>
            </w:r>
          </w:p>
        </w:tc>
        <w:tc>
          <w:tcPr>
            <w:tcW w:w="808" w:type="dxa"/>
            <w:shd w:val="clear" w:color="auto" w:fill="FFFFFF"/>
            <w:hideMark/>
          </w:tcPr>
          <w:p w14:paraId="62122677" w14:textId="77777777" w:rsidR="00B02EE5" w:rsidRPr="00B02EE5" w:rsidRDefault="00B02EE5" w:rsidP="00B02EE5">
            <w:pPr>
              <w:spacing w:line="256" w:lineRule="auto"/>
              <w:jc w:val="right"/>
              <w:rPr>
                <w:rFonts w:ascii="Arial" w:hAnsi="Arial" w:cs="Arial"/>
                <w:kern w:val="2"/>
                <w:sz w:val="20"/>
                <w:szCs w:val="20"/>
                <w14:ligatures w14:val="standardContextual"/>
              </w:rPr>
            </w:pPr>
            <w:r w:rsidRPr="00B02EE5">
              <w:rPr>
                <w:rFonts w:ascii="Arial" w:hAnsi="Arial" w:cs="Arial"/>
                <w:kern w:val="2"/>
                <w:sz w:val="20"/>
                <w:szCs w:val="20"/>
                <w14:ligatures w14:val="standardContextual"/>
              </w:rPr>
              <w:t>10,6</w:t>
            </w:r>
          </w:p>
        </w:tc>
      </w:tr>
      <w:tr w:rsidR="00B02EE5" w:rsidRPr="00B02EE5" w14:paraId="6B36CF04" w14:textId="77777777" w:rsidTr="003446D4">
        <w:trPr>
          <w:trHeight w:val="92"/>
          <w:jc w:val="center"/>
        </w:trPr>
        <w:tc>
          <w:tcPr>
            <w:tcW w:w="4962" w:type="dxa"/>
            <w:tcBorders>
              <w:top w:val="nil"/>
              <w:left w:val="nil"/>
              <w:bottom w:val="single" w:sz="4" w:space="0" w:color="auto"/>
              <w:right w:val="nil"/>
            </w:tcBorders>
            <w:shd w:val="clear" w:color="auto" w:fill="FFFFFF"/>
          </w:tcPr>
          <w:p w14:paraId="44320510" w14:textId="77777777" w:rsidR="00B02EE5" w:rsidRPr="00B02EE5" w:rsidRDefault="00B02EE5" w:rsidP="00B02EE5">
            <w:pPr>
              <w:spacing w:line="256" w:lineRule="auto"/>
              <w:jc w:val="center"/>
              <w:rPr>
                <w:rFonts w:ascii="Arial" w:hAnsi="Arial" w:cs="Arial"/>
                <w:kern w:val="2"/>
                <w:sz w:val="10"/>
                <w:szCs w:val="10"/>
                <w14:ligatures w14:val="standardContextual"/>
              </w:rPr>
            </w:pPr>
          </w:p>
        </w:tc>
        <w:tc>
          <w:tcPr>
            <w:tcW w:w="851" w:type="dxa"/>
            <w:tcBorders>
              <w:top w:val="nil"/>
              <w:left w:val="nil"/>
              <w:bottom w:val="single" w:sz="4" w:space="0" w:color="auto"/>
              <w:right w:val="nil"/>
            </w:tcBorders>
            <w:shd w:val="clear" w:color="auto" w:fill="FFFFFF"/>
          </w:tcPr>
          <w:p w14:paraId="4DF91931" w14:textId="77777777" w:rsidR="00B02EE5" w:rsidRPr="00B02EE5" w:rsidRDefault="00B02EE5" w:rsidP="00B02EE5">
            <w:pPr>
              <w:spacing w:line="256" w:lineRule="auto"/>
              <w:jc w:val="center"/>
              <w:rPr>
                <w:rFonts w:ascii="Arial" w:hAnsi="Arial" w:cs="Arial"/>
                <w:kern w:val="2"/>
                <w:sz w:val="10"/>
                <w:szCs w:val="10"/>
                <w14:ligatures w14:val="standardContextual"/>
              </w:rPr>
            </w:pPr>
          </w:p>
        </w:tc>
        <w:tc>
          <w:tcPr>
            <w:tcW w:w="850" w:type="dxa"/>
            <w:tcBorders>
              <w:top w:val="nil"/>
              <w:left w:val="nil"/>
              <w:bottom w:val="single" w:sz="4" w:space="0" w:color="auto"/>
              <w:right w:val="nil"/>
            </w:tcBorders>
            <w:shd w:val="clear" w:color="auto" w:fill="FFFFFF"/>
          </w:tcPr>
          <w:p w14:paraId="68485998" w14:textId="77777777" w:rsidR="00B02EE5" w:rsidRPr="00B02EE5" w:rsidRDefault="00B02EE5" w:rsidP="00B02EE5">
            <w:pPr>
              <w:spacing w:line="256" w:lineRule="auto"/>
              <w:jc w:val="center"/>
              <w:rPr>
                <w:rFonts w:ascii="Arial" w:hAnsi="Arial" w:cs="Arial"/>
                <w:kern w:val="2"/>
                <w:sz w:val="10"/>
                <w:szCs w:val="10"/>
                <w14:ligatures w14:val="standardContextual"/>
              </w:rPr>
            </w:pPr>
          </w:p>
        </w:tc>
        <w:tc>
          <w:tcPr>
            <w:tcW w:w="851" w:type="dxa"/>
            <w:tcBorders>
              <w:top w:val="nil"/>
              <w:left w:val="nil"/>
              <w:bottom w:val="single" w:sz="4" w:space="0" w:color="auto"/>
              <w:right w:val="nil"/>
            </w:tcBorders>
            <w:shd w:val="clear" w:color="auto" w:fill="FFFFFF"/>
          </w:tcPr>
          <w:p w14:paraId="3AA21288" w14:textId="77777777" w:rsidR="00B02EE5" w:rsidRPr="00B02EE5" w:rsidRDefault="00B02EE5" w:rsidP="00B02EE5">
            <w:pPr>
              <w:spacing w:line="256" w:lineRule="auto"/>
              <w:jc w:val="center"/>
              <w:rPr>
                <w:rFonts w:ascii="Arial" w:hAnsi="Arial" w:cs="Arial"/>
                <w:kern w:val="2"/>
                <w:sz w:val="10"/>
                <w:szCs w:val="10"/>
                <w14:ligatures w14:val="standardContextual"/>
              </w:rPr>
            </w:pPr>
          </w:p>
        </w:tc>
        <w:tc>
          <w:tcPr>
            <w:tcW w:w="887" w:type="dxa"/>
            <w:tcBorders>
              <w:top w:val="nil"/>
              <w:left w:val="nil"/>
              <w:bottom w:val="single" w:sz="4" w:space="0" w:color="auto"/>
              <w:right w:val="nil"/>
            </w:tcBorders>
            <w:shd w:val="clear" w:color="auto" w:fill="FFFFFF"/>
          </w:tcPr>
          <w:p w14:paraId="76ADBDF9" w14:textId="77777777" w:rsidR="00B02EE5" w:rsidRPr="00B02EE5" w:rsidRDefault="00B02EE5" w:rsidP="00B02EE5">
            <w:pPr>
              <w:spacing w:line="256" w:lineRule="auto"/>
              <w:jc w:val="center"/>
              <w:rPr>
                <w:rFonts w:ascii="Arial" w:hAnsi="Arial" w:cs="Arial"/>
                <w:kern w:val="2"/>
                <w:sz w:val="10"/>
                <w:szCs w:val="10"/>
                <w14:ligatures w14:val="standardContextual"/>
              </w:rPr>
            </w:pPr>
          </w:p>
        </w:tc>
        <w:tc>
          <w:tcPr>
            <w:tcW w:w="808" w:type="dxa"/>
            <w:tcBorders>
              <w:top w:val="nil"/>
              <w:left w:val="nil"/>
              <w:bottom w:val="single" w:sz="4" w:space="0" w:color="auto"/>
              <w:right w:val="nil"/>
            </w:tcBorders>
            <w:shd w:val="clear" w:color="auto" w:fill="FFFFFF"/>
          </w:tcPr>
          <w:p w14:paraId="025E001B" w14:textId="77777777" w:rsidR="00B02EE5" w:rsidRPr="00B02EE5" w:rsidRDefault="00B02EE5" w:rsidP="00B02EE5">
            <w:pPr>
              <w:spacing w:line="256" w:lineRule="auto"/>
              <w:jc w:val="center"/>
              <w:rPr>
                <w:rFonts w:ascii="Arial" w:hAnsi="Arial" w:cs="Arial"/>
                <w:kern w:val="2"/>
                <w:sz w:val="10"/>
                <w:szCs w:val="10"/>
                <w14:ligatures w14:val="standardContextual"/>
              </w:rPr>
            </w:pPr>
          </w:p>
        </w:tc>
      </w:tr>
    </w:tbl>
    <w:p w14:paraId="30B0CA09" w14:textId="77777777" w:rsidR="00B02EE5" w:rsidRPr="00B02EE5" w:rsidRDefault="00B02EE5" w:rsidP="00B02EE5">
      <w:pPr>
        <w:shd w:val="clear" w:color="auto" w:fill="FFFFFF"/>
        <w:tabs>
          <w:tab w:val="left" w:pos="8931"/>
        </w:tabs>
        <w:spacing w:before="60"/>
        <w:jc w:val="right"/>
        <w:rPr>
          <w:rFonts w:ascii="Arial" w:hAnsi="Arial" w:cs="Arial"/>
          <w:spacing w:val="-2"/>
          <w:sz w:val="10"/>
          <w:szCs w:val="10"/>
          <w:lang w:val="pl-PL"/>
        </w:rPr>
      </w:pPr>
    </w:p>
    <w:p w14:paraId="09439650" w14:textId="77777777" w:rsidR="00B02EE5" w:rsidRPr="00B02EE5" w:rsidRDefault="00B02EE5" w:rsidP="00B02EE5">
      <w:pPr>
        <w:shd w:val="clear" w:color="auto" w:fill="FFFFFF"/>
        <w:spacing w:after="120" w:line="264" w:lineRule="auto"/>
        <w:ind w:firstLine="720"/>
        <w:jc w:val="both"/>
        <w:rPr>
          <w:rFonts w:ascii="Arial" w:hAnsi="Arial" w:cs="Arial"/>
          <w:b/>
          <w:bCs/>
          <w:sz w:val="10"/>
          <w:szCs w:val="24"/>
          <w:lang w:val="pl-PL"/>
        </w:rPr>
      </w:pPr>
      <w:r w:rsidRPr="00B02EE5">
        <w:rPr>
          <w:iCs/>
          <w:lang w:val="pl-PL"/>
        </w:rPr>
        <w:t>The industrial production index in January 2025 compared to the same period last year increased in 47 localities and decreased in 16 localities across the country. Some localities have a fairly high increase in the IIP index due to the processing and manufacturing industry; Electricity production and distribution industry soars</w:t>
      </w:r>
      <w:r w:rsidRPr="00B02EE5">
        <w:rPr>
          <w:vertAlign w:val="superscript"/>
        </w:rPr>
        <w:footnoteReference w:id="5"/>
      </w:r>
      <w:r w:rsidRPr="00B02EE5">
        <w:rPr>
          <w:lang w:val="pl-PL"/>
        </w:rPr>
        <w:t xml:space="preserve">. In the opposite direction, some localities have a low increase or decrease in the IIP index due to the processing and manufacturing industry; </w:t>
      </w:r>
      <w:r w:rsidRPr="00B02EE5">
        <w:rPr>
          <w:lang w:val="pl-PL"/>
        </w:rPr>
        <w:lastRenderedPageBreak/>
        <w:t xml:space="preserve">mining industry and electricity production and distribution industry increased low or decreased </w:t>
      </w:r>
      <w:r w:rsidRPr="00B02EE5">
        <w:rPr>
          <w:spacing w:val="-4"/>
          <w:vertAlign w:val="superscript"/>
        </w:rPr>
        <w:footnoteReference w:id="6"/>
      </w:r>
      <w:r w:rsidRPr="00B02EE5">
        <w:rPr>
          <w:spacing w:val="-4"/>
          <w:lang w:val="pl-PL"/>
        </w:rPr>
        <w:t>.</w:t>
      </w:r>
    </w:p>
    <w:p w14:paraId="00EA22C7" w14:textId="77777777" w:rsidR="00B02EE5" w:rsidRPr="00B02EE5" w:rsidRDefault="00B02EE5" w:rsidP="00B02EE5">
      <w:pPr>
        <w:shd w:val="clear" w:color="auto" w:fill="FFFFFF"/>
        <w:spacing w:after="120"/>
        <w:jc w:val="center"/>
        <w:rPr>
          <w:rFonts w:ascii="Arial" w:hAnsi="Arial" w:cs="Arial"/>
          <w:b/>
          <w:bCs/>
          <w:sz w:val="24"/>
          <w:szCs w:val="24"/>
          <w:lang w:val="pl-PL"/>
        </w:rPr>
      </w:pPr>
      <w:r w:rsidRPr="00B02EE5">
        <w:rPr>
          <w:rFonts w:ascii="Arial" w:hAnsi="Arial" w:cs="Arial"/>
          <w:b/>
          <w:bCs/>
          <w:sz w:val="24"/>
          <w:szCs w:val="24"/>
          <w:lang w:val="pl-PL"/>
        </w:rPr>
        <w:t>Figure 4. Rate of increase/decrease of IIP in January 2025</w:t>
      </w:r>
    </w:p>
    <w:p w14:paraId="3144EA1C" w14:textId="77777777" w:rsidR="00B02EE5" w:rsidRPr="00B02EE5" w:rsidRDefault="00B02EE5" w:rsidP="00B02EE5">
      <w:pPr>
        <w:shd w:val="clear" w:color="auto" w:fill="FFFFFF"/>
        <w:spacing w:after="120"/>
        <w:jc w:val="center"/>
        <w:rPr>
          <w:noProof/>
        </w:rPr>
      </w:pPr>
      <w:r w:rsidRPr="00B02EE5">
        <w:rPr>
          <w:rFonts w:ascii="Arial" w:hAnsi="Arial" w:cs="Arial"/>
          <w:b/>
          <w:bCs/>
          <w:sz w:val="24"/>
          <w:szCs w:val="24"/>
          <w:lang w:val="pl-PL"/>
        </w:rPr>
        <w:t>compared to the same period last year of some localities (%)</w:t>
      </w:r>
    </w:p>
    <w:tbl>
      <w:tblPr>
        <w:tblStyle w:val="TableGrid"/>
        <w:tblW w:w="974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4"/>
        <w:gridCol w:w="4779"/>
      </w:tblGrid>
      <w:tr w:rsidR="00B02EE5" w:rsidRPr="00B02EE5" w14:paraId="0F92FA9E" w14:textId="77777777" w:rsidTr="003446D4">
        <w:trPr>
          <w:trHeight w:val="327"/>
          <w:jc w:val="center"/>
        </w:trPr>
        <w:tc>
          <w:tcPr>
            <w:tcW w:w="4964" w:type="dxa"/>
            <w:hideMark/>
          </w:tcPr>
          <w:p w14:paraId="3BD60865" w14:textId="77777777" w:rsidR="00B02EE5" w:rsidRPr="00B02EE5" w:rsidRDefault="00B02EE5" w:rsidP="00B02EE5">
            <w:pPr>
              <w:spacing w:before="40" w:after="40" w:line="261" w:lineRule="auto"/>
              <w:jc w:val="center"/>
              <w:rPr>
                <w:rFonts w:ascii="Arial" w:eastAsia="Aptos" w:hAnsi="Arial" w:cs="Arial"/>
                <w:b/>
                <w:spacing w:val="-2"/>
                <w:kern w:val="2"/>
                <w:sz w:val="19"/>
                <w:szCs w:val="19"/>
                <w:lang w:val="pl-PL"/>
                <w14:ligatures w14:val="standardContextual"/>
              </w:rPr>
            </w:pPr>
            <w:r w:rsidRPr="00B02EE5">
              <w:rPr>
                <w:rFonts w:ascii="Arial" w:eastAsia="Aptos" w:hAnsi="Arial" w:cs="Arial"/>
                <w:b/>
                <w:spacing w:val="-2"/>
                <w:kern w:val="2"/>
                <w:sz w:val="19"/>
                <w:szCs w:val="19"/>
                <w:lang w:val="pl-PL"/>
                <w14:ligatures w14:val="standardContextual"/>
              </w:rPr>
              <w:t>10 localities with the highest increase in IIP index</w:t>
            </w:r>
          </w:p>
        </w:tc>
        <w:tc>
          <w:tcPr>
            <w:tcW w:w="4779" w:type="dxa"/>
            <w:hideMark/>
          </w:tcPr>
          <w:p w14:paraId="1D0CCFF7" w14:textId="77777777" w:rsidR="00B02EE5" w:rsidRPr="00B02EE5" w:rsidRDefault="00B02EE5" w:rsidP="00B02EE5">
            <w:pPr>
              <w:spacing w:before="40" w:after="40" w:line="261" w:lineRule="auto"/>
              <w:jc w:val="center"/>
              <w:rPr>
                <w:rFonts w:eastAsia="Aptos"/>
                <w:spacing w:val="-2"/>
                <w:kern w:val="2"/>
                <w:sz w:val="19"/>
                <w:szCs w:val="19"/>
                <w:lang w:val="pl-PL"/>
                <w14:ligatures w14:val="standardContextual"/>
              </w:rPr>
            </w:pPr>
            <w:r w:rsidRPr="00B02EE5">
              <w:rPr>
                <w:rFonts w:ascii="Arial" w:eastAsia="Aptos" w:hAnsi="Arial" w:cs="Arial"/>
                <w:b/>
                <w:spacing w:val="-2"/>
                <w:kern w:val="2"/>
                <w:sz w:val="19"/>
                <w:szCs w:val="19"/>
                <w:lang w:val="pl-PL"/>
                <w14:ligatures w14:val="standardContextual"/>
              </w:rPr>
              <w:t>10 localities with the largest decrease in IIP index</w:t>
            </w:r>
          </w:p>
        </w:tc>
      </w:tr>
      <w:tr w:rsidR="00B02EE5" w:rsidRPr="00B02EE5" w14:paraId="42FCD30B" w14:textId="77777777" w:rsidTr="003446D4">
        <w:trPr>
          <w:trHeight w:val="3236"/>
          <w:jc w:val="center"/>
        </w:trPr>
        <w:tc>
          <w:tcPr>
            <w:tcW w:w="4964" w:type="dxa"/>
            <w:hideMark/>
          </w:tcPr>
          <w:p w14:paraId="14A5489B" w14:textId="77777777" w:rsidR="00B02EE5" w:rsidRPr="00B02EE5" w:rsidRDefault="00B02EE5" w:rsidP="00B02EE5">
            <w:pPr>
              <w:spacing w:before="40" w:after="40" w:line="261" w:lineRule="auto"/>
              <w:jc w:val="center"/>
              <w:rPr>
                <w:rFonts w:eastAsia="Aptos"/>
                <w:i/>
                <w:spacing w:val="-2"/>
                <w:kern w:val="2"/>
                <w:lang w:val="pl-PL"/>
                <w14:ligatures w14:val="standardContextual"/>
              </w:rPr>
            </w:pPr>
            <w:r w:rsidRPr="00B02EE5">
              <w:rPr>
                <w:rFonts w:eastAsia="Aptos"/>
                <w:i/>
                <w:noProof/>
                <w:spacing w:val="-2"/>
                <w:kern w:val="2"/>
                <w:lang w:val="pl-PL"/>
                <w14:ligatures w14:val="standardContextual"/>
              </w:rPr>
              <w:drawing>
                <wp:inline distT="0" distB="0" distL="0" distR="0" wp14:anchorId="43C05953" wp14:editId="452F8CC9">
                  <wp:extent cx="2924175" cy="1800225"/>
                  <wp:effectExtent l="0" t="0" r="9525" b="9525"/>
                  <wp:docPr id="1605668744" name="Picture 2" descr="A graph of blue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668744" name="Picture 2" descr="A graph of blue bars&#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2950907" cy="1816682"/>
                          </a:xfrm>
                          <a:prstGeom prst="rect">
                            <a:avLst/>
                          </a:prstGeom>
                        </pic:spPr>
                      </pic:pic>
                    </a:graphicData>
                  </a:graphic>
                </wp:inline>
              </w:drawing>
            </w:r>
          </w:p>
        </w:tc>
        <w:tc>
          <w:tcPr>
            <w:tcW w:w="4779" w:type="dxa"/>
            <w:hideMark/>
          </w:tcPr>
          <w:p w14:paraId="23DF278B" w14:textId="77777777" w:rsidR="00B02EE5" w:rsidRPr="00B02EE5" w:rsidRDefault="00B02EE5" w:rsidP="00B02EE5">
            <w:pPr>
              <w:spacing w:before="40" w:after="40" w:line="261" w:lineRule="auto"/>
              <w:jc w:val="both"/>
              <w:rPr>
                <w:rFonts w:eastAsia="Aptos"/>
                <w:i/>
                <w:spacing w:val="-2"/>
                <w:kern w:val="2"/>
                <w:lang w:val="pl-PL"/>
                <w14:ligatures w14:val="standardContextual"/>
              </w:rPr>
            </w:pPr>
            <w:r w:rsidRPr="00B02EE5">
              <w:rPr>
                <w:rFonts w:eastAsia="Aptos"/>
                <w:i/>
                <w:noProof/>
                <w:spacing w:val="-2"/>
                <w:kern w:val="2"/>
                <w:lang w:val="pl-PL"/>
                <w14:ligatures w14:val="standardContextual"/>
              </w:rPr>
              <w:drawing>
                <wp:inline distT="0" distB="0" distL="0" distR="0" wp14:anchorId="4C38C75F" wp14:editId="394564E0">
                  <wp:extent cx="2828925" cy="1857375"/>
                  <wp:effectExtent l="0" t="0" r="0" b="9525"/>
                  <wp:docPr id="2121363766" name="Picture 3" descr="A graph with red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363766" name="Picture 3" descr="A graph with red bars&#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2843281" cy="1866801"/>
                          </a:xfrm>
                          <a:prstGeom prst="rect">
                            <a:avLst/>
                          </a:prstGeom>
                        </pic:spPr>
                      </pic:pic>
                    </a:graphicData>
                  </a:graphic>
                </wp:inline>
              </w:drawing>
            </w:r>
          </w:p>
        </w:tc>
      </w:tr>
    </w:tbl>
    <w:p w14:paraId="783914C6" w14:textId="77777777" w:rsidR="00B02EE5" w:rsidRPr="00B02EE5" w:rsidRDefault="00B02EE5" w:rsidP="00B02EE5">
      <w:pPr>
        <w:spacing w:after="120" w:line="259" w:lineRule="auto"/>
        <w:ind w:firstLine="720"/>
        <w:jc w:val="both"/>
        <w:rPr>
          <w:iCs/>
          <w:spacing w:val="-2"/>
          <w:lang w:val="pl-PL"/>
        </w:rPr>
      </w:pPr>
      <w:r w:rsidRPr="00B02EE5">
        <w:rPr>
          <w:iCs/>
          <w:spacing w:val="-2"/>
          <w:lang w:val="pl-PL"/>
        </w:rPr>
        <w:t>Some key industrial products in January 2025 increased significantly compared to the same period last year: Automobiles increased by 60.7%; television increased by 50.1%; NPK mixed fertilizer increased by 13.7%; textiles from natural fibers increased by 9.6%; fresh milk increased by 7.3%; milk powder increased by 5.7%; casual wear increased by 5.0%. In the opposite direction, some products decreased compared to the same period last year: Clean coal decreased by 20.0%; phone components decreased by 14.1%; motorcycles decreased by 12.0%; diameter decreased by 10.7%; liquefied petroleum gas LPG decreased by 9.2%; crude oil decreased by 8.2%; chemical paints decreased by 6.8%; steel bars and angle steel decreased by 6.7%.</w:t>
      </w:r>
    </w:p>
    <w:p w14:paraId="40DEF095" w14:textId="77777777" w:rsidR="00B02EE5" w:rsidRPr="00B02EE5" w:rsidRDefault="00B02EE5" w:rsidP="00B02EE5">
      <w:pPr>
        <w:spacing w:after="160" w:line="278" w:lineRule="auto"/>
        <w:ind w:firstLine="720"/>
        <w:jc w:val="both"/>
        <w:rPr>
          <w:rFonts w:ascii="Aptos" w:eastAsia="Aptos" w:hAnsi="Aptos"/>
          <w:iCs/>
          <w:kern w:val="2"/>
          <w:sz w:val="24"/>
          <w:szCs w:val="24"/>
          <w:lang w:val="en-US"/>
          <w14:ligatures w14:val="standardContextual"/>
        </w:rPr>
      </w:pPr>
      <w:r w:rsidRPr="00B02EE5">
        <w:rPr>
          <w:iCs/>
          <w:spacing w:val="-4"/>
          <w:lang w:val="pl-PL"/>
        </w:rPr>
        <w:t xml:space="preserve">The number of employees working in industrial enterprises at the time of January 1, 2025 will increase by 0.2% over the same time last month and increase by 4.5% over the same time last year. In which: Employees in the state-owned enterprise sector increased by 0.1% and increased by 1.7%; non-state enterprises remained unchanged and increased by 3.6%; foreign-invested enterprises increased by 0.3% and increased by 4.9%. By industry, the number of employees working in mining enterprises increased by 0.3% compared to the previous month and remained unchanged compared to the same time last year; the processing and manufacturing industry increased by 0.2% and increased by 4.9%; the production and distribution of electricity, gas, hot water, steam and air conditioning increased by 0.1% and </w:t>
      </w:r>
      <w:r w:rsidRPr="00B02EE5">
        <w:rPr>
          <w:iCs/>
          <w:spacing w:val="-4"/>
          <w:lang w:val="pl-PL"/>
        </w:rPr>
        <w:lastRenderedPageBreak/>
        <w:t>increased by 0.2%; the water supply industry, waste management and treatment activities, wastewater remained unchanged and increased by 1.1%.</w:t>
      </w:r>
    </w:p>
    <w:p w14:paraId="7DD09BC5" w14:textId="39176C7C" w:rsidR="00B02EE5" w:rsidRPr="00B02EE5" w:rsidRDefault="00B02EE5" w:rsidP="00B02EE5">
      <w:pPr>
        <w:spacing w:after="40" w:line="300" w:lineRule="auto"/>
        <w:ind w:firstLine="567"/>
        <w:jc w:val="both"/>
        <w:rPr>
          <w:lang w:val="it-IT"/>
        </w:rPr>
      </w:pPr>
      <w:r>
        <w:rPr>
          <w:b/>
          <w:bCs/>
          <w:lang w:val="pl-PL"/>
        </w:rPr>
        <w:t>3</w:t>
      </w:r>
      <w:r w:rsidRPr="00B02EE5">
        <w:rPr>
          <w:b/>
          <w:bCs/>
          <w:lang w:val="pl-PL"/>
        </w:rPr>
        <w:t>. Enterprise activities</w:t>
      </w:r>
    </w:p>
    <w:p w14:paraId="46F4CA94" w14:textId="77777777" w:rsidR="00B02EE5" w:rsidRPr="00B02EE5" w:rsidRDefault="00B02EE5" w:rsidP="00B02EE5">
      <w:pPr>
        <w:spacing w:after="40" w:line="300" w:lineRule="auto"/>
        <w:ind w:firstLine="567"/>
        <w:jc w:val="both"/>
        <w:rPr>
          <w:i/>
          <w:lang w:val="it-IT"/>
        </w:rPr>
      </w:pPr>
      <w:r w:rsidRPr="00B02EE5">
        <w:rPr>
          <w:b/>
          <w:bCs/>
          <w:i/>
          <w:lang w:val="pl-PL"/>
        </w:rPr>
        <w:t>a)</w:t>
      </w:r>
      <w:r w:rsidRPr="00B02EE5">
        <w:rPr>
          <w:b/>
          <w:bCs/>
          <w:i/>
          <w:lang w:val="it-IT"/>
        </w:rPr>
        <w:t xml:space="preserve"> </w:t>
      </w:r>
      <w:r w:rsidRPr="00B02EE5">
        <w:rPr>
          <w:b/>
          <w:i/>
          <w:lang w:val="it-IT"/>
        </w:rPr>
        <w:t xml:space="preserve">Enterprise registration status </w:t>
      </w:r>
      <w:r w:rsidRPr="00B02EE5">
        <w:rPr>
          <w:bCs/>
          <w:i/>
          <w:vertAlign w:val="superscript"/>
          <w:lang w:val="en-GB"/>
        </w:rPr>
        <w:footnoteReference w:id="7"/>
      </w:r>
    </w:p>
    <w:p w14:paraId="380C6CE7" w14:textId="77777777" w:rsidR="00B02EE5" w:rsidRPr="00B02EE5" w:rsidRDefault="00B02EE5" w:rsidP="00B02EE5">
      <w:pPr>
        <w:spacing w:after="40" w:line="300" w:lineRule="auto"/>
        <w:ind w:firstLine="567"/>
        <w:jc w:val="both"/>
        <w:rPr>
          <w:lang w:val="en-US"/>
        </w:rPr>
      </w:pPr>
      <w:r w:rsidRPr="00B02EE5">
        <w:rPr>
          <w:lang w:val="en-US"/>
        </w:rPr>
        <w:t>In January, the whole country had nearly 10.7 thousand newly established enterprises with registered capital was nearly 94.1 trillion VND and a total number of registered employees of over 81.5 thousand employees, an increase of 6.6% in the number of enterprises, a decrease of 2.4% in registered capital and a decrease of 14.8% in the number of employees compared to December 2024. Compared to the same period last year, down 30.3% in the number of enterprises, down 39.3% in registered capital and down 22.3% in the number of employees. The average registered capital of a newly established enterprise in the month reached 8.8 billion VND, a decrease of 8.4% compared to the last month and down 13.0% compared to the same period of 2024. The amount of additional registered capital of acting businesses in January 2025 increased sharply, reaching more than 367.2 trillion VND, an increase of 157.9% over the same period in 2024. Besides, the whole country also had nearly 22.8 thousand businesses returning to operation (nearly 2.6 times more than it was in the last month and up 65.2% over the same period in 2024), bringing the total number of newly established businesses and re-operated in January 2025 to more than 33.4 thousand businesses, up 15.0% over the same period in 2024.</w:t>
      </w:r>
    </w:p>
    <w:p w14:paraId="4FBAAB4A" w14:textId="77777777" w:rsidR="00B02EE5" w:rsidRPr="00B02EE5" w:rsidRDefault="00B02EE5" w:rsidP="00B02EE5">
      <w:pPr>
        <w:spacing w:after="40" w:line="300" w:lineRule="auto"/>
        <w:ind w:firstLine="567"/>
        <w:jc w:val="both"/>
        <w:rPr>
          <w:lang w:val="it-IT"/>
        </w:rPr>
      </w:pPr>
      <w:r w:rsidRPr="00B02EE5">
        <w:rPr>
          <w:lang w:val="en-US"/>
        </w:rPr>
        <w:t xml:space="preserve">By economic sector, in January 2025, there were </w:t>
      </w:r>
      <w:r w:rsidRPr="00B02EE5">
        <w:rPr>
          <w:lang w:val="it-IT"/>
        </w:rPr>
        <w:t xml:space="preserve">113 </w:t>
      </w:r>
      <w:r w:rsidRPr="00B02EE5">
        <w:rPr>
          <w:lang w:val="en-US"/>
        </w:rPr>
        <w:t>newly established enterprises in the agricultural, forestry, and fishery sectors, a year-on-year decrease of</w:t>
      </w:r>
      <w:r w:rsidRPr="00B02EE5">
        <w:rPr>
          <w:lang w:val="it-IT"/>
        </w:rPr>
        <w:t xml:space="preserve"> 33.9%</w:t>
      </w:r>
      <w:r w:rsidRPr="00B02EE5">
        <w:rPr>
          <w:lang w:val="en-US"/>
        </w:rPr>
        <w:t xml:space="preserve">; </w:t>
      </w:r>
      <w:r w:rsidRPr="00B02EE5">
        <w:rPr>
          <w:lang w:val="it-IT"/>
        </w:rPr>
        <w:t>2,544</w:t>
      </w:r>
      <w:r w:rsidRPr="00B02EE5">
        <w:rPr>
          <w:lang w:val="en-US"/>
        </w:rPr>
        <w:t xml:space="preserve"> enterprises in the industrial and construction sectors, a decrease of</w:t>
      </w:r>
      <w:r w:rsidRPr="00B02EE5">
        <w:rPr>
          <w:lang w:val="it-IT"/>
        </w:rPr>
        <w:t xml:space="preserve"> 29.6%; 7,996</w:t>
      </w:r>
      <w:r w:rsidRPr="00B02EE5">
        <w:rPr>
          <w:lang w:val="en-US"/>
        </w:rPr>
        <w:t xml:space="preserve"> enterprises in the service sector, a decrease of </w:t>
      </w:r>
      <w:r w:rsidRPr="00B02EE5">
        <w:rPr>
          <w:lang w:val="it-IT"/>
        </w:rPr>
        <w:t>30.4%.</w:t>
      </w:r>
    </w:p>
    <w:p w14:paraId="474A19C3" w14:textId="77777777" w:rsidR="00B02EE5" w:rsidRPr="00B02EE5" w:rsidRDefault="00B02EE5" w:rsidP="00B02EE5">
      <w:pPr>
        <w:spacing w:before="120" w:after="40" w:line="288" w:lineRule="auto"/>
        <w:jc w:val="center"/>
        <w:rPr>
          <w:rFonts w:ascii="Calibri" w:hAnsi="Calibri" w:cs="Calibri"/>
          <w:noProof/>
          <w:sz w:val="22"/>
          <w:szCs w:val="22"/>
          <w:lang w:val="it-IT" w:eastAsia="en-GB"/>
        </w:rPr>
      </w:pPr>
      <w:r w:rsidRPr="00B02EE5">
        <w:rPr>
          <w:rFonts w:ascii="Arial" w:hAnsi="Arial" w:cs="Arial"/>
          <w:b/>
          <w:sz w:val="22"/>
          <w:szCs w:val="22"/>
          <w:lang w:val="it-IT"/>
        </w:rPr>
        <w:t>Figure</w:t>
      </w:r>
      <w:r w:rsidRPr="00B02EE5">
        <w:rPr>
          <w:rFonts w:ascii="Arial" w:hAnsi="Arial" w:cs="Arial"/>
          <w:b/>
          <w:sz w:val="24"/>
          <w:szCs w:val="24"/>
          <w:lang w:val="it-IT"/>
        </w:rPr>
        <w:t xml:space="preserve"> 6. </w:t>
      </w:r>
      <w:r w:rsidRPr="00B02EE5">
        <w:rPr>
          <w:rFonts w:ascii="Arial" w:hAnsi="Arial" w:cs="Arial"/>
          <w:b/>
          <w:sz w:val="22"/>
          <w:szCs w:val="22"/>
          <w:lang w:val="it-IT"/>
        </w:rPr>
        <w:t>Enterprise registration situation</w:t>
      </w:r>
    </w:p>
    <w:p w14:paraId="00CB2C8E" w14:textId="77777777" w:rsidR="00B02EE5" w:rsidRPr="00B02EE5" w:rsidRDefault="00B02EE5" w:rsidP="00B02EE5">
      <w:pPr>
        <w:spacing w:before="120" w:after="40" w:line="288" w:lineRule="auto"/>
        <w:jc w:val="center"/>
        <w:rPr>
          <w:rFonts w:ascii="Arial" w:hAnsi="Arial" w:cs="Arial"/>
          <w:b/>
          <w:sz w:val="24"/>
          <w:szCs w:val="24"/>
          <w:lang w:val="it-IT"/>
        </w:rPr>
      </w:pPr>
      <w:r w:rsidRPr="00B02EE5">
        <w:rPr>
          <w:rFonts w:ascii="Arial" w:hAnsi="Arial" w:cs="Arial"/>
          <w:b/>
          <w:noProof/>
          <w:sz w:val="24"/>
          <w:szCs w:val="24"/>
          <w:lang w:val="en-GB" w:eastAsia="en-GB"/>
        </w:rPr>
        <w:lastRenderedPageBreak/>
        <w:drawing>
          <wp:inline distT="0" distB="0" distL="0" distR="0" wp14:anchorId="4674BDF8" wp14:editId="07A8B375">
            <wp:extent cx="4490122" cy="2352675"/>
            <wp:effectExtent l="0" t="0" r="5715" b="0"/>
            <wp:docPr id="1058122264" name="Picture 1058122264" descr="C:\Users\dtphong\Downloads\DNt1.25.E_Doanh nghiep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tphong\Downloads\DNt1.25.E_Doanh nghiep copy.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08116" cy="2362103"/>
                    </a:xfrm>
                    <a:prstGeom prst="rect">
                      <a:avLst/>
                    </a:prstGeom>
                    <a:noFill/>
                    <a:ln>
                      <a:noFill/>
                    </a:ln>
                  </pic:spPr>
                </pic:pic>
              </a:graphicData>
            </a:graphic>
          </wp:inline>
        </w:drawing>
      </w:r>
    </w:p>
    <w:p w14:paraId="0D78E77B" w14:textId="77777777" w:rsidR="00B02EE5" w:rsidRPr="00B02EE5" w:rsidRDefault="00B02EE5" w:rsidP="00B02EE5">
      <w:pPr>
        <w:spacing w:after="40" w:line="300" w:lineRule="auto"/>
        <w:ind w:firstLine="567"/>
        <w:jc w:val="both"/>
        <w:rPr>
          <w:lang w:val="en-US"/>
        </w:rPr>
      </w:pPr>
      <w:r w:rsidRPr="00B02EE5">
        <w:rPr>
          <w:lang w:val="en-US"/>
        </w:rPr>
        <w:t>Also in January, there were more than 52.8 thousand temporarily inactive businesses, more than 12.6 times compared to the previous month and up 20.2% over the same period in 2024; nearly 3.5 thousand businesses enterprises temporarily ceased and awaited dissolution procedures, down 82.4% and down 55.2%; 2,021 enterprises completed dissolution procedures, down 13.8% and down 8.3%.</w:t>
      </w:r>
    </w:p>
    <w:p w14:paraId="72550D62" w14:textId="77777777" w:rsidR="00B02EE5" w:rsidRPr="00B02EE5" w:rsidRDefault="00B02EE5" w:rsidP="00B02EE5">
      <w:pPr>
        <w:tabs>
          <w:tab w:val="left" w:pos="6810"/>
        </w:tabs>
        <w:spacing w:before="40" w:after="40" w:line="278" w:lineRule="auto"/>
        <w:jc w:val="center"/>
        <w:rPr>
          <w:rFonts w:ascii="Arial" w:hAnsi="Arial" w:cs="Arial"/>
          <w:b/>
          <w:sz w:val="24"/>
          <w:szCs w:val="20"/>
          <w:lang w:val="it-IT"/>
        </w:rPr>
      </w:pPr>
      <w:r w:rsidRPr="00B02EE5">
        <w:rPr>
          <w:rFonts w:ascii="Arial" w:hAnsi="Arial" w:cs="Arial"/>
          <w:b/>
          <w:sz w:val="24"/>
          <w:szCs w:val="20"/>
          <w:lang w:val="it-IT"/>
        </w:rPr>
        <w:t>Table 3: Number of newly registered enterprises and completed                   dissolution procedures in January 2025  by kinds of activity</w:t>
      </w:r>
    </w:p>
    <w:p w14:paraId="43EF5AAE" w14:textId="77777777" w:rsidR="00B02EE5" w:rsidRPr="00B02EE5" w:rsidRDefault="00B02EE5" w:rsidP="00B02EE5">
      <w:pPr>
        <w:tabs>
          <w:tab w:val="left" w:pos="6810"/>
        </w:tabs>
        <w:spacing w:before="40" w:after="40" w:line="278" w:lineRule="auto"/>
        <w:ind w:firstLine="567"/>
        <w:jc w:val="center"/>
        <w:rPr>
          <w:rFonts w:ascii="Arial" w:hAnsi="Arial" w:cs="Arial"/>
          <w:b/>
          <w:sz w:val="4"/>
          <w:szCs w:val="20"/>
          <w:lang w:val="it-IT"/>
        </w:rPr>
      </w:pPr>
    </w:p>
    <w:tbl>
      <w:tblPr>
        <w:tblW w:w="9198" w:type="dxa"/>
        <w:jc w:val="center"/>
        <w:tblLayout w:type="fixed"/>
        <w:tblLook w:val="04A0" w:firstRow="1" w:lastRow="0" w:firstColumn="1" w:lastColumn="0" w:noHBand="0" w:noVBand="1"/>
      </w:tblPr>
      <w:tblGrid>
        <w:gridCol w:w="3670"/>
        <w:gridCol w:w="1566"/>
        <w:gridCol w:w="1178"/>
        <w:gridCol w:w="1655"/>
        <w:gridCol w:w="1129"/>
      </w:tblGrid>
      <w:tr w:rsidR="00B02EE5" w:rsidRPr="00B02EE5" w14:paraId="57A322C6" w14:textId="77777777" w:rsidTr="003446D4">
        <w:trPr>
          <w:cantSplit/>
          <w:trHeight w:val="576"/>
          <w:jc w:val="center"/>
        </w:trPr>
        <w:tc>
          <w:tcPr>
            <w:tcW w:w="3670" w:type="dxa"/>
            <w:vMerge w:val="restart"/>
            <w:tcBorders>
              <w:top w:val="single" w:sz="4" w:space="0" w:color="auto"/>
            </w:tcBorders>
            <w:shd w:val="clear" w:color="auto" w:fill="auto"/>
            <w:noWrap/>
            <w:vAlign w:val="bottom"/>
            <w:hideMark/>
          </w:tcPr>
          <w:p w14:paraId="5076A0FF" w14:textId="77777777" w:rsidR="00B02EE5" w:rsidRPr="00B02EE5" w:rsidRDefault="00B02EE5" w:rsidP="00B02EE5">
            <w:pPr>
              <w:spacing w:after="200" w:line="276" w:lineRule="auto"/>
              <w:jc w:val="center"/>
              <w:rPr>
                <w:rFonts w:ascii="Arial" w:hAnsi="Arial" w:cs="Arial"/>
                <w:sz w:val="20"/>
                <w:szCs w:val="20"/>
                <w:lang w:val="it-IT"/>
              </w:rPr>
            </w:pPr>
            <w:r w:rsidRPr="00B02EE5">
              <w:rPr>
                <w:rFonts w:ascii="Arial" w:hAnsi="Arial" w:cs="Arial"/>
                <w:sz w:val="20"/>
                <w:szCs w:val="20"/>
                <w:lang w:val="it-IT"/>
              </w:rPr>
              <w:t> </w:t>
            </w:r>
          </w:p>
        </w:tc>
        <w:tc>
          <w:tcPr>
            <w:tcW w:w="2744" w:type="dxa"/>
            <w:gridSpan w:val="2"/>
            <w:tcBorders>
              <w:top w:val="single" w:sz="4" w:space="0" w:color="auto"/>
              <w:bottom w:val="single" w:sz="4" w:space="0" w:color="auto"/>
            </w:tcBorders>
            <w:shd w:val="clear" w:color="auto" w:fill="auto"/>
            <w:vAlign w:val="center"/>
            <w:hideMark/>
          </w:tcPr>
          <w:p w14:paraId="720B4407" w14:textId="77777777" w:rsidR="00B02EE5" w:rsidRPr="00B02EE5" w:rsidRDefault="00B02EE5" w:rsidP="00B02EE5">
            <w:pPr>
              <w:spacing w:before="40" w:after="40" w:line="276" w:lineRule="auto"/>
              <w:jc w:val="center"/>
              <w:rPr>
                <w:rFonts w:ascii="Arial" w:hAnsi="Arial" w:cs="Arial"/>
                <w:bCs/>
                <w:sz w:val="18"/>
                <w:szCs w:val="18"/>
                <w:lang w:val="it-IT"/>
              </w:rPr>
            </w:pPr>
            <w:r w:rsidRPr="00B02EE5">
              <w:rPr>
                <w:rFonts w:ascii="Arial" w:hAnsi="Arial" w:cs="Arial"/>
                <w:bCs/>
                <w:color w:val="000000"/>
                <w:sz w:val="18"/>
                <w:szCs w:val="18"/>
                <w:lang w:val="en-US"/>
              </w:rPr>
              <w:t>Number of enterprises (Enterprise)</w:t>
            </w:r>
          </w:p>
        </w:tc>
        <w:tc>
          <w:tcPr>
            <w:tcW w:w="2784" w:type="dxa"/>
            <w:gridSpan w:val="2"/>
            <w:tcBorders>
              <w:top w:val="single" w:sz="4" w:space="0" w:color="auto"/>
              <w:bottom w:val="single" w:sz="4" w:space="0" w:color="auto"/>
            </w:tcBorders>
            <w:shd w:val="clear" w:color="auto" w:fill="auto"/>
            <w:vAlign w:val="center"/>
            <w:hideMark/>
          </w:tcPr>
          <w:p w14:paraId="353DC83D" w14:textId="77777777" w:rsidR="00B02EE5" w:rsidRPr="00B02EE5" w:rsidRDefault="00B02EE5" w:rsidP="00B02EE5">
            <w:pPr>
              <w:spacing w:before="40" w:after="40"/>
              <w:jc w:val="center"/>
              <w:rPr>
                <w:rFonts w:ascii="Arial" w:hAnsi="Arial" w:cs="Arial"/>
                <w:bCs/>
                <w:color w:val="000000"/>
                <w:sz w:val="18"/>
                <w:szCs w:val="18"/>
                <w:lang w:val="en-US"/>
              </w:rPr>
            </w:pPr>
            <w:r w:rsidRPr="00B02EE5">
              <w:rPr>
                <w:rFonts w:ascii="Arial" w:hAnsi="Arial" w:cs="Arial"/>
                <w:bCs/>
                <w:color w:val="000000"/>
                <w:sz w:val="18"/>
                <w:szCs w:val="18"/>
                <w:lang w:val="en-GB"/>
              </w:rPr>
              <w:t xml:space="preserve">Growth rate </w:t>
            </w:r>
            <w:r w:rsidRPr="00B02EE5">
              <w:rPr>
                <w:rFonts w:ascii="Arial" w:hAnsi="Arial" w:cs="Arial"/>
                <w:bCs/>
                <w:color w:val="000000"/>
                <w:sz w:val="18"/>
                <w:szCs w:val="18"/>
                <w:lang w:val="en-US"/>
              </w:rPr>
              <w:t>over</w:t>
            </w:r>
          </w:p>
          <w:p w14:paraId="1E37A434" w14:textId="77777777" w:rsidR="00B02EE5" w:rsidRPr="00B02EE5" w:rsidRDefault="00B02EE5" w:rsidP="00B02EE5">
            <w:pPr>
              <w:spacing w:before="40" w:after="40"/>
              <w:jc w:val="center"/>
              <w:rPr>
                <w:rFonts w:ascii="Arial" w:hAnsi="Arial" w:cs="Arial"/>
                <w:bCs/>
                <w:sz w:val="18"/>
                <w:szCs w:val="18"/>
                <w:lang w:val="it-IT"/>
              </w:rPr>
            </w:pPr>
            <w:r w:rsidRPr="00B02EE5">
              <w:rPr>
                <w:rFonts w:ascii="Arial" w:hAnsi="Arial" w:cs="Arial"/>
                <w:bCs/>
                <w:color w:val="000000"/>
                <w:sz w:val="18"/>
                <w:szCs w:val="18"/>
                <w:lang w:val="en-US"/>
              </w:rPr>
              <w:t>the same period last year (%)</w:t>
            </w:r>
          </w:p>
        </w:tc>
      </w:tr>
      <w:tr w:rsidR="00B02EE5" w:rsidRPr="00B02EE5" w14:paraId="77429540" w14:textId="77777777" w:rsidTr="003446D4">
        <w:trPr>
          <w:cantSplit/>
          <w:trHeight w:val="570"/>
          <w:jc w:val="center"/>
        </w:trPr>
        <w:tc>
          <w:tcPr>
            <w:tcW w:w="3670" w:type="dxa"/>
            <w:vMerge/>
            <w:vAlign w:val="center"/>
            <w:hideMark/>
          </w:tcPr>
          <w:p w14:paraId="2879F580" w14:textId="77777777" w:rsidR="00B02EE5" w:rsidRPr="00B02EE5" w:rsidRDefault="00B02EE5" w:rsidP="00B02EE5">
            <w:pPr>
              <w:spacing w:after="200" w:line="276" w:lineRule="auto"/>
              <w:rPr>
                <w:rFonts w:ascii="Arial" w:hAnsi="Arial" w:cs="Arial"/>
                <w:sz w:val="20"/>
                <w:szCs w:val="20"/>
                <w:lang w:val="it-IT"/>
              </w:rPr>
            </w:pPr>
          </w:p>
        </w:tc>
        <w:tc>
          <w:tcPr>
            <w:tcW w:w="1566" w:type="dxa"/>
            <w:tcBorders>
              <w:top w:val="single" w:sz="4" w:space="0" w:color="auto"/>
              <w:bottom w:val="single" w:sz="4" w:space="0" w:color="auto"/>
            </w:tcBorders>
            <w:shd w:val="clear" w:color="auto" w:fill="auto"/>
            <w:vAlign w:val="center"/>
            <w:hideMark/>
          </w:tcPr>
          <w:p w14:paraId="69CBF4BB" w14:textId="77777777" w:rsidR="00B02EE5" w:rsidRPr="00B02EE5" w:rsidRDefault="00B02EE5" w:rsidP="00B02EE5">
            <w:pPr>
              <w:spacing w:before="60" w:after="60" w:line="276" w:lineRule="auto"/>
              <w:jc w:val="center"/>
              <w:rPr>
                <w:rFonts w:ascii="Arial" w:hAnsi="Arial" w:cs="Arial"/>
                <w:bCs/>
                <w:sz w:val="18"/>
                <w:szCs w:val="18"/>
                <w:lang w:val="en-GB"/>
              </w:rPr>
            </w:pPr>
            <w:r w:rsidRPr="00B02EE5">
              <w:rPr>
                <w:rFonts w:ascii="Arial" w:hAnsi="Arial" w:cs="Arial"/>
                <w:bCs/>
                <w:color w:val="000000"/>
                <w:sz w:val="18"/>
                <w:szCs w:val="18"/>
                <w:lang w:val="en-US"/>
              </w:rPr>
              <w:t>Newly registered</w:t>
            </w:r>
          </w:p>
        </w:tc>
        <w:tc>
          <w:tcPr>
            <w:tcW w:w="1178" w:type="dxa"/>
            <w:tcBorders>
              <w:top w:val="single" w:sz="4" w:space="0" w:color="auto"/>
              <w:bottom w:val="single" w:sz="4" w:space="0" w:color="auto"/>
            </w:tcBorders>
            <w:shd w:val="clear" w:color="auto" w:fill="auto"/>
            <w:vAlign w:val="center"/>
            <w:hideMark/>
          </w:tcPr>
          <w:p w14:paraId="5078A3D7" w14:textId="77777777" w:rsidR="00B02EE5" w:rsidRPr="00B02EE5" w:rsidRDefault="00B02EE5" w:rsidP="00B02EE5">
            <w:pPr>
              <w:spacing w:before="60" w:after="60" w:line="276" w:lineRule="auto"/>
              <w:jc w:val="center"/>
              <w:rPr>
                <w:rFonts w:ascii="Arial" w:hAnsi="Arial" w:cs="Arial"/>
                <w:bCs/>
                <w:color w:val="000000"/>
                <w:sz w:val="18"/>
                <w:szCs w:val="18"/>
                <w:lang w:val="en-US"/>
              </w:rPr>
            </w:pPr>
            <w:r w:rsidRPr="00B02EE5">
              <w:rPr>
                <w:rFonts w:ascii="Arial" w:hAnsi="Arial" w:cs="Arial"/>
                <w:bCs/>
                <w:color w:val="000000"/>
                <w:sz w:val="18"/>
                <w:szCs w:val="18"/>
                <w:lang w:val="en-US"/>
              </w:rPr>
              <w:t>Dissolution</w:t>
            </w:r>
          </w:p>
        </w:tc>
        <w:tc>
          <w:tcPr>
            <w:tcW w:w="1655" w:type="dxa"/>
            <w:tcBorders>
              <w:top w:val="single" w:sz="4" w:space="0" w:color="auto"/>
              <w:bottom w:val="single" w:sz="4" w:space="0" w:color="auto"/>
            </w:tcBorders>
            <w:shd w:val="clear" w:color="auto" w:fill="auto"/>
            <w:vAlign w:val="center"/>
            <w:hideMark/>
          </w:tcPr>
          <w:p w14:paraId="3F325D40" w14:textId="77777777" w:rsidR="00B02EE5" w:rsidRPr="00B02EE5" w:rsidRDefault="00B02EE5" w:rsidP="00B02EE5">
            <w:pPr>
              <w:spacing w:before="60" w:after="60" w:line="276" w:lineRule="auto"/>
              <w:jc w:val="center"/>
              <w:rPr>
                <w:rFonts w:ascii="Arial" w:hAnsi="Arial" w:cs="Arial"/>
                <w:bCs/>
                <w:sz w:val="18"/>
                <w:szCs w:val="18"/>
                <w:lang w:val="en-GB"/>
              </w:rPr>
            </w:pPr>
            <w:r w:rsidRPr="00B02EE5">
              <w:rPr>
                <w:rFonts w:ascii="Arial" w:hAnsi="Arial" w:cs="Arial"/>
                <w:bCs/>
                <w:color w:val="000000"/>
                <w:sz w:val="18"/>
                <w:szCs w:val="18"/>
                <w:lang w:val="en-US"/>
              </w:rPr>
              <w:t>Newly registered</w:t>
            </w:r>
          </w:p>
        </w:tc>
        <w:tc>
          <w:tcPr>
            <w:tcW w:w="1129" w:type="dxa"/>
            <w:tcBorders>
              <w:top w:val="single" w:sz="4" w:space="0" w:color="auto"/>
              <w:bottom w:val="single" w:sz="4" w:space="0" w:color="auto"/>
            </w:tcBorders>
            <w:shd w:val="clear" w:color="auto" w:fill="auto"/>
            <w:vAlign w:val="center"/>
            <w:hideMark/>
          </w:tcPr>
          <w:p w14:paraId="0A303A8B" w14:textId="77777777" w:rsidR="00B02EE5" w:rsidRPr="00B02EE5" w:rsidRDefault="00B02EE5" w:rsidP="00B02EE5">
            <w:pPr>
              <w:spacing w:before="60" w:after="60" w:line="276" w:lineRule="auto"/>
              <w:jc w:val="center"/>
              <w:rPr>
                <w:rFonts w:ascii="Arial" w:hAnsi="Arial" w:cs="Arial"/>
                <w:bCs/>
                <w:color w:val="000000"/>
                <w:sz w:val="18"/>
                <w:szCs w:val="18"/>
                <w:lang w:val="en-US"/>
              </w:rPr>
            </w:pPr>
            <w:r w:rsidRPr="00B02EE5">
              <w:rPr>
                <w:rFonts w:ascii="Arial" w:hAnsi="Arial" w:cs="Arial"/>
                <w:bCs/>
                <w:color w:val="000000"/>
                <w:sz w:val="18"/>
                <w:szCs w:val="18"/>
                <w:lang w:val="en-US"/>
              </w:rPr>
              <w:t>Dissolution</w:t>
            </w:r>
          </w:p>
        </w:tc>
      </w:tr>
      <w:tr w:rsidR="00B02EE5" w:rsidRPr="00B02EE5" w14:paraId="1553CF13" w14:textId="77777777" w:rsidTr="003446D4">
        <w:trPr>
          <w:cantSplit/>
          <w:jc w:val="center"/>
        </w:trPr>
        <w:tc>
          <w:tcPr>
            <w:tcW w:w="3670" w:type="dxa"/>
            <w:shd w:val="clear" w:color="auto" w:fill="auto"/>
            <w:noWrap/>
            <w:vAlign w:val="bottom"/>
            <w:hideMark/>
          </w:tcPr>
          <w:p w14:paraId="50649F47" w14:textId="77777777" w:rsidR="00B02EE5" w:rsidRPr="00B02EE5" w:rsidRDefault="00B02EE5" w:rsidP="00B02EE5">
            <w:pPr>
              <w:spacing w:before="120" w:after="40"/>
              <w:rPr>
                <w:rFonts w:ascii="Arial" w:hAnsi="Arial" w:cs="Arial"/>
                <w:sz w:val="20"/>
                <w:szCs w:val="20"/>
                <w:lang w:val="en-GB"/>
              </w:rPr>
            </w:pPr>
            <w:r w:rsidRPr="00B02EE5">
              <w:rPr>
                <w:rFonts w:ascii="Arial" w:hAnsi="Arial" w:cs="Arial"/>
                <w:color w:val="000000"/>
                <w:sz w:val="20"/>
                <w:szCs w:val="20"/>
                <w:lang w:val="en-US"/>
              </w:rPr>
              <w:t>Wholesale and retail trade; repair of motor vehicles and motorcycles</w:t>
            </w:r>
          </w:p>
        </w:tc>
        <w:tc>
          <w:tcPr>
            <w:tcW w:w="1566" w:type="dxa"/>
            <w:tcBorders>
              <w:top w:val="single" w:sz="4" w:space="0" w:color="auto"/>
            </w:tcBorders>
            <w:shd w:val="clear" w:color="auto" w:fill="auto"/>
            <w:noWrap/>
            <w:vAlign w:val="bottom"/>
          </w:tcPr>
          <w:p w14:paraId="3F3F3757" w14:textId="77777777" w:rsidR="00B02EE5" w:rsidRPr="00B02EE5" w:rsidRDefault="00B02EE5" w:rsidP="00B02EE5">
            <w:pPr>
              <w:spacing w:before="120" w:after="40"/>
              <w:ind w:right="176"/>
              <w:jc w:val="right"/>
              <w:rPr>
                <w:rFonts w:ascii="Arial" w:hAnsi="Arial" w:cs="Arial"/>
                <w:sz w:val="20"/>
                <w:szCs w:val="20"/>
                <w:lang w:val="en-GB"/>
              </w:rPr>
            </w:pPr>
            <w:r w:rsidRPr="00B02EE5">
              <w:rPr>
                <w:rFonts w:ascii="Arial" w:hAnsi="Arial" w:cs="Arial"/>
                <w:sz w:val="20"/>
                <w:szCs w:val="20"/>
                <w:lang w:val="en-GB"/>
              </w:rPr>
              <w:t>3,948</w:t>
            </w:r>
          </w:p>
        </w:tc>
        <w:tc>
          <w:tcPr>
            <w:tcW w:w="1178" w:type="dxa"/>
            <w:tcBorders>
              <w:top w:val="single" w:sz="4" w:space="0" w:color="auto"/>
            </w:tcBorders>
            <w:shd w:val="clear" w:color="auto" w:fill="auto"/>
            <w:noWrap/>
            <w:vAlign w:val="bottom"/>
          </w:tcPr>
          <w:p w14:paraId="773AE88F" w14:textId="77777777" w:rsidR="00B02EE5" w:rsidRPr="00B02EE5" w:rsidRDefault="00B02EE5" w:rsidP="00B02EE5">
            <w:pPr>
              <w:spacing w:before="120" w:after="40"/>
              <w:ind w:right="176"/>
              <w:jc w:val="right"/>
              <w:rPr>
                <w:rFonts w:ascii="Arial" w:hAnsi="Arial" w:cs="Arial"/>
                <w:sz w:val="20"/>
                <w:szCs w:val="20"/>
                <w:lang w:val="en-GB"/>
              </w:rPr>
            </w:pPr>
            <w:r w:rsidRPr="00B02EE5">
              <w:rPr>
                <w:rFonts w:ascii="Arial" w:hAnsi="Arial" w:cs="Arial"/>
                <w:sz w:val="20"/>
                <w:szCs w:val="20"/>
                <w:lang w:val="en-GB"/>
              </w:rPr>
              <w:t>748</w:t>
            </w:r>
          </w:p>
        </w:tc>
        <w:tc>
          <w:tcPr>
            <w:tcW w:w="1655" w:type="dxa"/>
            <w:tcBorders>
              <w:top w:val="single" w:sz="4" w:space="0" w:color="auto"/>
            </w:tcBorders>
            <w:shd w:val="clear" w:color="auto" w:fill="auto"/>
            <w:noWrap/>
            <w:vAlign w:val="bottom"/>
          </w:tcPr>
          <w:p w14:paraId="29F89BA1" w14:textId="77777777" w:rsidR="00B02EE5" w:rsidRPr="00B02EE5" w:rsidRDefault="00B02EE5" w:rsidP="00B02EE5">
            <w:pPr>
              <w:spacing w:before="120" w:after="40"/>
              <w:ind w:right="316"/>
              <w:jc w:val="right"/>
              <w:rPr>
                <w:rFonts w:ascii="Arial" w:hAnsi="Arial" w:cs="Arial"/>
                <w:sz w:val="20"/>
                <w:szCs w:val="20"/>
                <w:lang w:val="en-GB"/>
              </w:rPr>
            </w:pPr>
            <w:r w:rsidRPr="00B02EE5">
              <w:rPr>
                <w:rFonts w:ascii="Arial" w:hAnsi="Arial" w:cs="Arial"/>
                <w:sz w:val="20"/>
                <w:szCs w:val="20"/>
                <w:lang w:val="en-GB"/>
              </w:rPr>
              <w:t>-36.3</w:t>
            </w:r>
          </w:p>
        </w:tc>
        <w:tc>
          <w:tcPr>
            <w:tcW w:w="1129" w:type="dxa"/>
            <w:tcBorders>
              <w:top w:val="single" w:sz="4" w:space="0" w:color="auto"/>
            </w:tcBorders>
            <w:shd w:val="clear" w:color="auto" w:fill="auto"/>
            <w:noWrap/>
            <w:vAlign w:val="bottom"/>
          </w:tcPr>
          <w:p w14:paraId="417735B2" w14:textId="77777777" w:rsidR="00B02EE5" w:rsidRPr="00B02EE5" w:rsidRDefault="00B02EE5" w:rsidP="00B02EE5">
            <w:pPr>
              <w:spacing w:before="120" w:after="40"/>
              <w:ind w:right="176"/>
              <w:jc w:val="right"/>
              <w:rPr>
                <w:rFonts w:ascii="Arial" w:hAnsi="Arial" w:cs="Arial"/>
                <w:sz w:val="20"/>
                <w:szCs w:val="20"/>
                <w:lang w:val="en-GB"/>
              </w:rPr>
            </w:pPr>
            <w:r w:rsidRPr="00B02EE5">
              <w:rPr>
                <w:rFonts w:ascii="Arial" w:hAnsi="Arial" w:cs="Arial"/>
                <w:sz w:val="20"/>
                <w:szCs w:val="20"/>
                <w:lang w:val="en-GB"/>
              </w:rPr>
              <w:t>-7.9</w:t>
            </w:r>
          </w:p>
        </w:tc>
      </w:tr>
      <w:tr w:rsidR="00B02EE5" w:rsidRPr="00B02EE5" w14:paraId="544F2371" w14:textId="77777777" w:rsidTr="003446D4">
        <w:trPr>
          <w:cantSplit/>
          <w:jc w:val="center"/>
        </w:trPr>
        <w:tc>
          <w:tcPr>
            <w:tcW w:w="3670" w:type="dxa"/>
            <w:shd w:val="clear" w:color="auto" w:fill="auto"/>
            <w:noWrap/>
            <w:vAlign w:val="bottom"/>
            <w:hideMark/>
          </w:tcPr>
          <w:p w14:paraId="4B3BC479" w14:textId="77777777" w:rsidR="00B02EE5" w:rsidRPr="00B02EE5" w:rsidRDefault="00B02EE5" w:rsidP="00B02EE5">
            <w:pPr>
              <w:spacing w:before="120" w:after="40"/>
              <w:rPr>
                <w:rFonts w:ascii="Arial" w:hAnsi="Arial" w:cs="Arial"/>
                <w:sz w:val="20"/>
                <w:szCs w:val="20"/>
                <w:lang w:val="en-GB"/>
              </w:rPr>
            </w:pPr>
            <w:r w:rsidRPr="00B02EE5">
              <w:rPr>
                <w:rFonts w:ascii="Arial" w:hAnsi="Arial" w:cs="Arial"/>
                <w:color w:val="000000"/>
                <w:sz w:val="20"/>
                <w:szCs w:val="20"/>
                <w:lang w:val="en-US"/>
              </w:rPr>
              <w:t>Manufacturing</w:t>
            </w:r>
          </w:p>
        </w:tc>
        <w:tc>
          <w:tcPr>
            <w:tcW w:w="1566" w:type="dxa"/>
            <w:shd w:val="clear" w:color="auto" w:fill="auto"/>
            <w:noWrap/>
            <w:vAlign w:val="bottom"/>
          </w:tcPr>
          <w:p w14:paraId="4EED351E" w14:textId="77777777" w:rsidR="00B02EE5" w:rsidRPr="00B02EE5" w:rsidRDefault="00B02EE5" w:rsidP="00B02EE5">
            <w:pPr>
              <w:spacing w:before="120" w:after="40"/>
              <w:ind w:right="176"/>
              <w:jc w:val="right"/>
              <w:rPr>
                <w:rFonts w:ascii="Arial" w:hAnsi="Arial" w:cs="Arial"/>
                <w:sz w:val="20"/>
                <w:szCs w:val="20"/>
                <w:lang w:val="en-GB"/>
              </w:rPr>
            </w:pPr>
            <w:r w:rsidRPr="00B02EE5">
              <w:rPr>
                <w:rFonts w:ascii="Arial" w:hAnsi="Arial" w:cs="Arial"/>
                <w:sz w:val="20"/>
                <w:szCs w:val="20"/>
                <w:lang w:val="en-GB"/>
              </w:rPr>
              <w:t>1,442</w:t>
            </w:r>
          </w:p>
        </w:tc>
        <w:tc>
          <w:tcPr>
            <w:tcW w:w="1178" w:type="dxa"/>
            <w:shd w:val="clear" w:color="auto" w:fill="auto"/>
            <w:noWrap/>
            <w:vAlign w:val="bottom"/>
          </w:tcPr>
          <w:p w14:paraId="7D1B8D98" w14:textId="77777777" w:rsidR="00B02EE5" w:rsidRPr="00B02EE5" w:rsidRDefault="00B02EE5" w:rsidP="00B02EE5">
            <w:pPr>
              <w:spacing w:before="120" w:after="40"/>
              <w:ind w:right="176"/>
              <w:jc w:val="right"/>
              <w:rPr>
                <w:rFonts w:ascii="Arial" w:hAnsi="Arial" w:cs="Arial"/>
                <w:sz w:val="20"/>
                <w:szCs w:val="20"/>
                <w:lang w:val="en-GB"/>
              </w:rPr>
            </w:pPr>
            <w:r w:rsidRPr="00B02EE5">
              <w:rPr>
                <w:rFonts w:ascii="Arial" w:hAnsi="Arial" w:cs="Arial"/>
                <w:sz w:val="20"/>
                <w:szCs w:val="20"/>
                <w:lang w:val="en-GB"/>
              </w:rPr>
              <w:t>257</w:t>
            </w:r>
          </w:p>
        </w:tc>
        <w:tc>
          <w:tcPr>
            <w:tcW w:w="1655" w:type="dxa"/>
            <w:shd w:val="clear" w:color="auto" w:fill="auto"/>
            <w:noWrap/>
            <w:vAlign w:val="bottom"/>
          </w:tcPr>
          <w:p w14:paraId="25140E49" w14:textId="77777777" w:rsidR="00B02EE5" w:rsidRPr="00B02EE5" w:rsidRDefault="00B02EE5" w:rsidP="00B02EE5">
            <w:pPr>
              <w:spacing w:before="120" w:after="40"/>
              <w:ind w:right="316"/>
              <w:jc w:val="right"/>
              <w:rPr>
                <w:rFonts w:ascii="Arial" w:hAnsi="Arial" w:cs="Arial"/>
                <w:sz w:val="20"/>
                <w:szCs w:val="20"/>
                <w:lang w:val="en-GB"/>
              </w:rPr>
            </w:pPr>
            <w:r w:rsidRPr="00B02EE5">
              <w:rPr>
                <w:rFonts w:ascii="Arial" w:hAnsi="Arial" w:cs="Arial"/>
                <w:sz w:val="20"/>
                <w:szCs w:val="20"/>
                <w:lang w:val="en-GB"/>
              </w:rPr>
              <w:t>-22.3</w:t>
            </w:r>
          </w:p>
        </w:tc>
        <w:tc>
          <w:tcPr>
            <w:tcW w:w="1129" w:type="dxa"/>
            <w:shd w:val="clear" w:color="auto" w:fill="auto"/>
            <w:noWrap/>
            <w:vAlign w:val="bottom"/>
          </w:tcPr>
          <w:p w14:paraId="0D74C8FC" w14:textId="77777777" w:rsidR="00B02EE5" w:rsidRPr="00B02EE5" w:rsidRDefault="00B02EE5" w:rsidP="00B02EE5">
            <w:pPr>
              <w:spacing w:before="120" w:after="40"/>
              <w:ind w:right="176"/>
              <w:jc w:val="right"/>
              <w:rPr>
                <w:rFonts w:ascii="Arial" w:hAnsi="Arial" w:cs="Arial"/>
                <w:sz w:val="20"/>
                <w:szCs w:val="20"/>
                <w:lang w:val="en-GB"/>
              </w:rPr>
            </w:pPr>
            <w:r w:rsidRPr="00B02EE5">
              <w:rPr>
                <w:rFonts w:ascii="Arial" w:hAnsi="Arial" w:cs="Arial"/>
                <w:sz w:val="20"/>
                <w:szCs w:val="20"/>
                <w:lang w:val="en-GB"/>
              </w:rPr>
              <w:t>8.4</w:t>
            </w:r>
          </w:p>
        </w:tc>
      </w:tr>
      <w:tr w:rsidR="00B02EE5" w:rsidRPr="00B02EE5" w14:paraId="74A838F1" w14:textId="77777777" w:rsidTr="003446D4">
        <w:trPr>
          <w:cantSplit/>
          <w:jc w:val="center"/>
        </w:trPr>
        <w:tc>
          <w:tcPr>
            <w:tcW w:w="3670" w:type="dxa"/>
            <w:shd w:val="clear" w:color="auto" w:fill="auto"/>
            <w:noWrap/>
            <w:vAlign w:val="bottom"/>
            <w:hideMark/>
          </w:tcPr>
          <w:p w14:paraId="7B0F9338" w14:textId="77777777" w:rsidR="00B02EE5" w:rsidRPr="00B02EE5" w:rsidRDefault="00B02EE5" w:rsidP="00B02EE5">
            <w:pPr>
              <w:spacing w:before="120" w:after="40"/>
              <w:rPr>
                <w:rFonts w:ascii="Arial" w:hAnsi="Arial" w:cs="Arial"/>
                <w:sz w:val="20"/>
                <w:szCs w:val="20"/>
                <w:lang w:val="en-GB"/>
              </w:rPr>
            </w:pPr>
            <w:r w:rsidRPr="00B02EE5">
              <w:rPr>
                <w:rFonts w:ascii="Arial" w:hAnsi="Arial" w:cs="Arial"/>
                <w:color w:val="000000"/>
                <w:sz w:val="20"/>
                <w:szCs w:val="20"/>
                <w:lang w:val="en-US"/>
              </w:rPr>
              <w:t>Construction</w:t>
            </w:r>
          </w:p>
        </w:tc>
        <w:tc>
          <w:tcPr>
            <w:tcW w:w="1566" w:type="dxa"/>
            <w:shd w:val="clear" w:color="auto" w:fill="auto"/>
            <w:noWrap/>
            <w:vAlign w:val="bottom"/>
          </w:tcPr>
          <w:p w14:paraId="1F8FBE23" w14:textId="77777777" w:rsidR="00B02EE5" w:rsidRPr="00B02EE5" w:rsidRDefault="00B02EE5" w:rsidP="00B02EE5">
            <w:pPr>
              <w:spacing w:before="120" w:after="40"/>
              <w:ind w:right="176"/>
              <w:jc w:val="right"/>
              <w:rPr>
                <w:rFonts w:ascii="Arial" w:hAnsi="Arial" w:cs="Arial"/>
                <w:sz w:val="20"/>
                <w:szCs w:val="20"/>
                <w:lang w:val="en-GB"/>
              </w:rPr>
            </w:pPr>
            <w:r w:rsidRPr="00B02EE5">
              <w:rPr>
                <w:rFonts w:ascii="Arial" w:hAnsi="Arial" w:cs="Arial"/>
                <w:sz w:val="20"/>
                <w:szCs w:val="20"/>
                <w:lang w:val="en-GB"/>
              </w:rPr>
              <w:t>971</w:t>
            </w:r>
          </w:p>
        </w:tc>
        <w:tc>
          <w:tcPr>
            <w:tcW w:w="1178" w:type="dxa"/>
            <w:shd w:val="clear" w:color="auto" w:fill="auto"/>
            <w:noWrap/>
            <w:vAlign w:val="bottom"/>
          </w:tcPr>
          <w:p w14:paraId="687E02AE" w14:textId="77777777" w:rsidR="00B02EE5" w:rsidRPr="00B02EE5" w:rsidRDefault="00B02EE5" w:rsidP="00B02EE5">
            <w:pPr>
              <w:spacing w:before="120" w:after="40"/>
              <w:ind w:right="176"/>
              <w:jc w:val="right"/>
              <w:rPr>
                <w:rFonts w:ascii="Arial" w:hAnsi="Arial" w:cs="Arial"/>
                <w:sz w:val="20"/>
                <w:szCs w:val="20"/>
                <w:lang w:val="en-GB"/>
              </w:rPr>
            </w:pPr>
            <w:r w:rsidRPr="00B02EE5">
              <w:rPr>
                <w:rFonts w:ascii="Arial" w:hAnsi="Arial" w:cs="Arial"/>
                <w:sz w:val="20"/>
                <w:szCs w:val="20"/>
                <w:lang w:val="en-GB"/>
              </w:rPr>
              <w:t>142</w:t>
            </w:r>
          </w:p>
        </w:tc>
        <w:tc>
          <w:tcPr>
            <w:tcW w:w="1655" w:type="dxa"/>
            <w:shd w:val="clear" w:color="auto" w:fill="auto"/>
            <w:noWrap/>
            <w:vAlign w:val="bottom"/>
          </w:tcPr>
          <w:p w14:paraId="4539AF5E" w14:textId="77777777" w:rsidR="00B02EE5" w:rsidRPr="00B02EE5" w:rsidRDefault="00B02EE5" w:rsidP="00B02EE5">
            <w:pPr>
              <w:spacing w:before="120" w:after="40"/>
              <w:ind w:right="316"/>
              <w:jc w:val="right"/>
              <w:rPr>
                <w:rFonts w:ascii="Arial" w:hAnsi="Arial" w:cs="Arial"/>
                <w:sz w:val="20"/>
                <w:szCs w:val="20"/>
                <w:lang w:val="en-GB"/>
              </w:rPr>
            </w:pPr>
            <w:r w:rsidRPr="00B02EE5">
              <w:rPr>
                <w:rFonts w:ascii="Arial" w:hAnsi="Arial" w:cs="Arial"/>
                <w:sz w:val="20"/>
                <w:szCs w:val="20"/>
                <w:lang w:val="en-GB"/>
              </w:rPr>
              <w:t>-39.0</w:t>
            </w:r>
          </w:p>
        </w:tc>
        <w:tc>
          <w:tcPr>
            <w:tcW w:w="1129" w:type="dxa"/>
            <w:shd w:val="clear" w:color="auto" w:fill="auto"/>
            <w:noWrap/>
            <w:vAlign w:val="bottom"/>
          </w:tcPr>
          <w:p w14:paraId="5109810A" w14:textId="77777777" w:rsidR="00B02EE5" w:rsidRPr="00B02EE5" w:rsidRDefault="00B02EE5" w:rsidP="00B02EE5">
            <w:pPr>
              <w:spacing w:before="120" w:after="40"/>
              <w:ind w:right="176"/>
              <w:jc w:val="right"/>
              <w:rPr>
                <w:rFonts w:ascii="Arial" w:hAnsi="Arial" w:cs="Arial"/>
                <w:sz w:val="20"/>
                <w:szCs w:val="20"/>
                <w:lang w:val="en-GB"/>
              </w:rPr>
            </w:pPr>
            <w:r w:rsidRPr="00B02EE5">
              <w:rPr>
                <w:rFonts w:ascii="Arial" w:hAnsi="Arial" w:cs="Arial"/>
                <w:sz w:val="20"/>
                <w:szCs w:val="20"/>
                <w:lang w:val="en-GB"/>
              </w:rPr>
              <w:t>-13.9</w:t>
            </w:r>
          </w:p>
        </w:tc>
      </w:tr>
      <w:tr w:rsidR="00B02EE5" w:rsidRPr="00B02EE5" w14:paraId="5CF996BB" w14:textId="77777777" w:rsidTr="003446D4">
        <w:trPr>
          <w:cantSplit/>
          <w:jc w:val="center"/>
        </w:trPr>
        <w:tc>
          <w:tcPr>
            <w:tcW w:w="3670" w:type="dxa"/>
            <w:shd w:val="clear" w:color="auto" w:fill="auto"/>
            <w:noWrap/>
            <w:vAlign w:val="bottom"/>
            <w:hideMark/>
          </w:tcPr>
          <w:p w14:paraId="749D6D5C" w14:textId="77777777" w:rsidR="00B02EE5" w:rsidRPr="00B02EE5" w:rsidRDefault="00B02EE5" w:rsidP="00B02EE5">
            <w:pPr>
              <w:spacing w:before="120" w:after="40"/>
              <w:rPr>
                <w:rFonts w:ascii="Arial" w:hAnsi="Arial" w:cs="Arial"/>
                <w:sz w:val="20"/>
                <w:szCs w:val="20"/>
                <w:lang w:val="en-GB"/>
              </w:rPr>
            </w:pPr>
            <w:r w:rsidRPr="00B02EE5">
              <w:rPr>
                <w:rFonts w:ascii="Arial" w:hAnsi="Arial" w:cs="Arial"/>
                <w:color w:val="000000"/>
                <w:sz w:val="20"/>
                <w:szCs w:val="20"/>
                <w:lang w:val="en-US"/>
              </w:rPr>
              <w:t>Real estate business</w:t>
            </w:r>
          </w:p>
        </w:tc>
        <w:tc>
          <w:tcPr>
            <w:tcW w:w="1566" w:type="dxa"/>
            <w:shd w:val="clear" w:color="auto" w:fill="auto"/>
            <w:noWrap/>
            <w:vAlign w:val="bottom"/>
          </w:tcPr>
          <w:p w14:paraId="56794D58" w14:textId="77777777" w:rsidR="00B02EE5" w:rsidRPr="00B02EE5" w:rsidRDefault="00B02EE5" w:rsidP="00B02EE5">
            <w:pPr>
              <w:spacing w:before="120" w:after="40"/>
              <w:ind w:right="176"/>
              <w:jc w:val="right"/>
              <w:rPr>
                <w:rFonts w:ascii="Arial" w:hAnsi="Arial" w:cs="Arial"/>
                <w:sz w:val="20"/>
                <w:szCs w:val="20"/>
                <w:lang w:val="en-GB"/>
              </w:rPr>
            </w:pPr>
            <w:r w:rsidRPr="00B02EE5">
              <w:rPr>
                <w:rFonts w:ascii="Arial" w:hAnsi="Arial" w:cs="Arial"/>
                <w:sz w:val="20"/>
                <w:szCs w:val="20"/>
                <w:lang w:val="en-GB"/>
              </w:rPr>
              <w:t>273</w:t>
            </w:r>
          </w:p>
        </w:tc>
        <w:tc>
          <w:tcPr>
            <w:tcW w:w="1178" w:type="dxa"/>
            <w:shd w:val="clear" w:color="auto" w:fill="auto"/>
            <w:noWrap/>
            <w:vAlign w:val="bottom"/>
          </w:tcPr>
          <w:p w14:paraId="06990A9B" w14:textId="77777777" w:rsidR="00B02EE5" w:rsidRPr="00B02EE5" w:rsidRDefault="00B02EE5" w:rsidP="00B02EE5">
            <w:pPr>
              <w:spacing w:before="120" w:after="40"/>
              <w:ind w:right="176"/>
              <w:jc w:val="right"/>
              <w:rPr>
                <w:rFonts w:ascii="Arial" w:hAnsi="Arial" w:cs="Arial"/>
                <w:sz w:val="20"/>
                <w:szCs w:val="20"/>
                <w:lang w:val="en-GB"/>
              </w:rPr>
            </w:pPr>
            <w:r w:rsidRPr="00B02EE5">
              <w:rPr>
                <w:rFonts w:ascii="Arial" w:hAnsi="Arial" w:cs="Arial"/>
                <w:sz w:val="20"/>
                <w:szCs w:val="20"/>
                <w:lang w:val="en-GB"/>
              </w:rPr>
              <w:t>122</w:t>
            </w:r>
          </w:p>
        </w:tc>
        <w:tc>
          <w:tcPr>
            <w:tcW w:w="1655" w:type="dxa"/>
            <w:shd w:val="clear" w:color="auto" w:fill="auto"/>
            <w:noWrap/>
            <w:vAlign w:val="bottom"/>
          </w:tcPr>
          <w:p w14:paraId="3838836C" w14:textId="77777777" w:rsidR="00B02EE5" w:rsidRPr="00B02EE5" w:rsidRDefault="00B02EE5" w:rsidP="00B02EE5">
            <w:pPr>
              <w:spacing w:before="120" w:after="40"/>
              <w:ind w:right="316"/>
              <w:jc w:val="right"/>
              <w:rPr>
                <w:rFonts w:ascii="Arial" w:hAnsi="Arial" w:cs="Arial"/>
                <w:sz w:val="20"/>
                <w:szCs w:val="20"/>
                <w:lang w:val="en-GB"/>
              </w:rPr>
            </w:pPr>
            <w:r w:rsidRPr="00B02EE5">
              <w:rPr>
                <w:rFonts w:ascii="Arial" w:hAnsi="Arial" w:cs="Arial"/>
                <w:sz w:val="20"/>
                <w:szCs w:val="20"/>
                <w:lang w:val="en-GB"/>
              </w:rPr>
              <w:t>-23.1</w:t>
            </w:r>
          </w:p>
        </w:tc>
        <w:tc>
          <w:tcPr>
            <w:tcW w:w="1129" w:type="dxa"/>
            <w:shd w:val="clear" w:color="auto" w:fill="auto"/>
            <w:noWrap/>
            <w:vAlign w:val="bottom"/>
          </w:tcPr>
          <w:p w14:paraId="6B169907" w14:textId="77777777" w:rsidR="00B02EE5" w:rsidRPr="00B02EE5" w:rsidRDefault="00B02EE5" w:rsidP="00B02EE5">
            <w:pPr>
              <w:spacing w:before="120" w:after="40"/>
              <w:ind w:right="176"/>
              <w:jc w:val="right"/>
              <w:rPr>
                <w:rFonts w:ascii="Arial" w:hAnsi="Arial" w:cs="Arial"/>
                <w:sz w:val="20"/>
                <w:szCs w:val="20"/>
                <w:lang w:val="en-GB"/>
              </w:rPr>
            </w:pPr>
            <w:r w:rsidRPr="00B02EE5">
              <w:rPr>
                <w:rFonts w:ascii="Arial" w:hAnsi="Arial" w:cs="Arial"/>
                <w:sz w:val="20"/>
                <w:szCs w:val="20"/>
                <w:lang w:val="en-GB"/>
              </w:rPr>
              <w:t>-18.1</w:t>
            </w:r>
          </w:p>
        </w:tc>
      </w:tr>
      <w:tr w:rsidR="00B02EE5" w:rsidRPr="00B02EE5" w14:paraId="29884D9A" w14:textId="77777777" w:rsidTr="003446D4">
        <w:trPr>
          <w:cantSplit/>
          <w:jc w:val="center"/>
        </w:trPr>
        <w:tc>
          <w:tcPr>
            <w:tcW w:w="3670" w:type="dxa"/>
            <w:shd w:val="clear" w:color="auto" w:fill="auto"/>
            <w:noWrap/>
            <w:vAlign w:val="bottom"/>
            <w:hideMark/>
          </w:tcPr>
          <w:p w14:paraId="6E186111" w14:textId="77777777" w:rsidR="00B02EE5" w:rsidRPr="00B02EE5" w:rsidRDefault="00B02EE5" w:rsidP="00B02EE5">
            <w:pPr>
              <w:spacing w:before="120" w:after="40"/>
              <w:rPr>
                <w:rFonts w:ascii="Arial" w:hAnsi="Arial" w:cs="Arial"/>
                <w:sz w:val="20"/>
                <w:szCs w:val="20"/>
                <w:lang w:val="en-GB"/>
              </w:rPr>
            </w:pPr>
            <w:r w:rsidRPr="00B02EE5">
              <w:rPr>
                <w:rFonts w:ascii="Arial" w:hAnsi="Arial" w:cs="Arial"/>
                <w:color w:val="000000"/>
                <w:sz w:val="20"/>
                <w:szCs w:val="20"/>
                <w:lang w:val="en-US"/>
              </w:rPr>
              <w:t>Transportation and storage</w:t>
            </w:r>
          </w:p>
        </w:tc>
        <w:tc>
          <w:tcPr>
            <w:tcW w:w="1566" w:type="dxa"/>
            <w:shd w:val="clear" w:color="auto" w:fill="auto"/>
            <w:noWrap/>
            <w:vAlign w:val="bottom"/>
          </w:tcPr>
          <w:p w14:paraId="3850C0E9" w14:textId="77777777" w:rsidR="00B02EE5" w:rsidRPr="00B02EE5" w:rsidRDefault="00B02EE5" w:rsidP="00B02EE5">
            <w:pPr>
              <w:spacing w:before="120" w:after="40"/>
              <w:ind w:right="176"/>
              <w:jc w:val="right"/>
              <w:rPr>
                <w:rFonts w:ascii="Arial" w:hAnsi="Arial" w:cs="Arial"/>
                <w:sz w:val="20"/>
                <w:szCs w:val="20"/>
                <w:lang w:val="en-GB"/>
              </w:rPr>
            </w:pPr>
            <w:r w:rsidRPr="00B02EE5">
              <w:rPr>
                <w:rFonts w:ascii="Arial" w:hAnsi="Arial" w:cs="Arial"/>
                <w:sz w:val="20"/>
                <w:szCs w:val="20"/>
                <w:lang w:val="en-GB"/>
              </w:rPr>
              <w:t>592</w:t>
            </w:r>
          </w:p>
        </w:tc>
        <w:tc>
          <w:tcPr>
            <w:tcW w:w="1178" w:type="dxa"/>
            <w:shd w:val="clear" w:color="auto" w:fill="auto"/>
            <w:noWrap/>
            <w:vAlign w:val="bottom"/>
          </w:tcPr>
          <w:p w14:paraId="0D058EAD" w14:textId="77777777" w:rsidR="00B02EE5" w:rsidRPr="00B02EE5" w:rsidRDefault="00B02EE5" w:rsidP="00B02EE5">
            <w:pPr>
              <w:spacing w:before="120" w:after="40"/>
              <w:ind w:right="176"/>
              <w:jc w:val="right"/>
              <w:rPr>
                <w:rFonts w:ascii="Arial" w:hAnsi="Arial" w:cs="Arial"/>
                <w:sz w:val="20"/>
                <w:szCs w:val="20"/>
                <w:lang w:val="en-GB"/>
              </w:rPr>
            </w:pPr>
            <w:r w:rsidRPr="00B02EE5">
              <w:rPr>
                <w:rFonts w:ascii="Arial" w:hAnsi="Arial" w:cs="Arial"/>
                <w:sz w:val="20"/>
                <w:szCs w:val="20"/>
                <w:lang w:val="en-GB"/>
              </w:rPr>
              <w:t>81</w:t>
            </w:r>
          </w:p>
        </w:tc>
        <w:tc>
          <w:tcPr>
            <w:tcW w:w="1655" w:type="dxa"/>
            <w:shd w:val="clear" w:color="auto" w:fill="auto"/>
            <w:noWrap/>
            <w:vAlign w:val="bottom"/>
          </w:tcPr>
          <w:p w14:paraId="293F4922" w14:textId="77777777" w:rsidR="00B02EE5" w:rsidRPr="00B02EE5" w:rsidRDefault="00B02EE5" w:rsidP="00B02EE5">
            <w:pPr>
              <w:spacing w:before="120" w:after="40"/>
              <w:ind w:right="316"/>
              <w:jc w:val="right"/>
              <w:rPr>
                <w:rFonts w:ascii="Arial" w:hAnsi="Arial" w:cs="Arial"/>
                <w:sz w:val="20"/>
                <w:szCs w:val="20"/>
                <w:lang w:val="en-GB"/>
              </w:rPr>
            </w:pPr>
            <w:r w:rsidRPr="00B02EE5">
              <w:rPr>
                <w:rFonts w:ascii="Arial" w:hAnsi="Arial" w:cs="Arial"/>
                <w:sz w:val="20"/>
                <w:szCs w:val="20"/>
                <w:lang w:val="en-GB"/>
              </w:rPr>
              <w:t>-26.1</w:t>
            </w:r>
          </w:p>
        </w:tc>
        <w:tc>
          <w:tcPr>
            <w:tcW w:w="1129" w:type="dxa"/>
            <w:shd w:val="clear" w:color="auto" w:fill="auto"/>
            <w:noWrap/>
            <w:vAlign w:val="bottom"/>
          </w:tcPr>
          <w:p w14:paraId="7BE55F5C" w14:textId="77777777" w:rsidR="00B02EE5" w:rsidRPr="00B02EE5" w:rsidRDefault="00B02EE5" w:rsidP="00B02EE5">
            <w:pPr>
              <w:spacing w:before="120" w:after="40"/>
              <w:ind w:right="176"/>
              <w:jc w:val="right"/>
              <w:rPr>
                <w:rFonts w:ascii="Arial" w:hAnsi="Arial" w:cs="Arial"/>
                <w:sz w:val="20"/>
                <w:szCs w:val="20"/>
                <w:lang w:val="en-GB"/>
              </w:rPr>
            </w:pPr>
            <w:r w:rsidRPr="00B02EE5">
              <w:rPr>
                <w:rFonts w:ascii="Arial" w:hAnsi="Arial" w:cs="Arial"/>
                <w:sz w:val="20"/>
                <w:szCs w:val="20"/>
                <w:lang w:val="en-GB"/>
              </w:rPr>
              <w:t>-9.0</w:t>
            </w:r>
          </w:p>
        </w:tc>
      </w:tr>
      <w:tr w:rsidR="00B02EE5" w:rsidRPr="00B02EE5" w14:paraId="7C74300B" w14:textId="77777777" w:rsidTr="003446D4">
        <w:trPr>
          <w:cantSplit/>
          <w:jc w:val="center"/>
        </w:trPr>
        <w:tc>
          <w:tcPr>
            <w:tcW w:w="3670" w:type="dxa"/>
            <w:shd w:val="clear" w:color="auto" w:fill="auto"/>
            <w:noWrap/>
            <w:vAlign w:val="bottom"/>
            <w:hideMark/>
          </w:tcPr>
          <w:p w14:paraId="6D15C61D" w14:textId="77777777" w:rsidR="00B02EE5" w:rsidRPr="00B02EE5" w:rsidRDefault="00B02EE5" w:rsidP="00B02EE5">
            <w:pPr>
              <w:spacing w:before="120" w:after="40"/>
              <w:rPr>
                <w:rFonts w:ascii="Arial" w:hAnsi="Arial" w:cs="Arial"/>
                <w:sz w:val="20"/>
                <w:szCs w:val="20"/>
                <w:lang w:val="en-GB"/>
              </w:rPr>
            </w:pPr>
            <w:r w:rsidRPr="00B02EE5">
              <w:rPr>
                <w:rFonts w:ascii="Arial" w:hAnsi="Arial" w:cs="Arial"/>
                <w:color w:val="000000"/>
                <w:sz w:val="20"/>
                <w:szCs w:val="20"/>
                <w:lang w:val="en-US"/>
              </w:rPr>
              <w:t>Accommodation and catering service</w:t>
            </w:r>
          </w:p>
        </w:tc>
        <w:tc>
          <w:tcPr>
            <w:tcW w:w="1566" w:type="dxa"/>
            <w:shd w:val="clear" w:color="auto" w:fill="auto"/>
            <w:noWrap/>
            <w:vAlign w:val="bottom"/>
          </w:tcPr>
          <w:p w14:paraId="775E3713" w14:textId="77777777" w:rsidR="00B02EE5" w:rsidRPr="00B02EE5" w:rsidRDefault="00B02EE5" w:rsidP="00B02EE5">
            <w:pPr>
              <w:spacing w:before="120" w:after="40"/>
              <w:ind w:right="176"/>
              <w:jc w:val="right"/>
              <w:rPr>
                <w:rFonts w:ascii="Arial" w:hAnsi="Arial" w:cs="Arial"/>
                <w:sz w:val="20"/>
                <w:szCs w:val="20"/>
                <w:lang w:val="en-GB"/>
              </w:rPr>
            </w:pPr>
            <w:r w:rsidRPr="00B02EE5">
              <w:rPr>
                <w:rFonts w:ascii="Arial" w:hAnsi="Arial" w:cs="Arial"/>
                <w:sz w:val="20"/>
                <w:szCs w:val="20"/>
                <w:lang w:val="en-GB"/>
              </w:rPr>
              <w:t>341</w:t>
            </w:r>
          </w:p>
        </w:tc>
        <w:tc>
          <w:tcPr>
            <w:tcW w:w="1178" w:type="dxa"/>
            <w:shd w:val="clear" w:color="auto" w:fill="auto"/>
            <w:noWrap/>
            <w:vAlign w:val="bottom"/>
          </w:tcPr>
          <w:p w14:paraId="7473CD82" w14:textId="77777777" w:rsidR="00B02EE5" w:rsidRPr="00B02EE5" w:rsidRDefault="00B02EE5" w:rsidP="00B02EE5">
            <w:pPr>
              <w:spacing w:before="120" w:after="40"/>
              <w:ind w:right="176"/>
              <w:jc w:val="right"/>
              <w:rPr>
                <w:rFonts w:ascii="Arial" w:hAnsi="Arial" w:cs="Arial"/>
                <w:sz w:val="20"/>
                <w:szCs w:val="20"/>
                <w:lang w:val="en-GB"/>
              </w:rPr>
            </w:pPr>
            <w:r w:rsidRPr="00B02EE5">
              <w:rPr>
                <w:rFonts w:ascii="Arial" w:hAnsi="Arial" w:cs="Arial"/>
                <w:sz w:val="20"/>
                <w:szCs w:val="20"/>
                <w:lang w:val="en-GB"/>
              </w:rPr>
              <w:t>91</w:t>
            </w:r>
          </w:p>
        </w:tc>
        <w:tc>
          <w:tcPr>
            <w:tcW w:w="1655" w:type="dxa"/>
            <w:shd w:val="clear" w:color="auto" w:fill="auto"/>
            <w:noWrap/>
            <w:vAlign w:val="bottom"/>
          </w:tcPr>
          <w:p w14:paraId="199FECF0" w14:textId="77777777" w:rsidR="00B02EE5" w:rsidRPr="00B02EE5" w:rsidRDefault="00B02EE5" w:rsidP="00B02EE5">
            <w:pPr>
              <w:spacing w:before="120" w:after="40"/>
              <w:ind w:right="316"/>
              <w:jc w:val="right"/>
              <w:rPr>
                <w:rFonts w:ascii="Arial" w:hAnsi="Arial" w:cs="Arial"/>
                <w:sz w:val="20"/>
                <w:szCs w:val="20"/>
                <w:lang w:val="en-GB"/>
              </w:rPr>
            </w:pPr>
            <w:r w:rsidRPr="00B02EE5">
              <w:rPr>
                <w:rFonts w:ascii="Arial" w:hAnsi="Arial" w:cs="Arial"/>
                <w:sz w:val="20"/>
                <w:szCs w:val="20"/>
                <w:lang w:val="en-GB"/>
              </w:rPr>
              <w:t>-45.4</w:t>
            </w:r>
          </w:p>
        </w:tc>
        <w:tc>
          <w:tcPr>
            <w:tcW w:w="1129" w:type="dxa"/>
            <w:shd w:val="clear" w:color="auto" w:fill="auto"/>
            <w:noWrap/>
            <w:vAlign w:val="bottom"/>
          </w:tcPr>
          <w:p w14:paraId="27517EA4" w14:textId="77777777" w:rsidR="00B02EE5" w:rsidRPr="00B02EE5" w:rsidRDefault="00B02EE5" w:rsidP="00B02EE5">
            <w:pPr>
              <w:spacing w:before="120" w:after="40"/>
              <w:ind w:right="176"/>
              <w:jc w:val="right"/>
              <w:rPr>
                <w:rFonts w:ascii="Arial" w:hAnsi="Arial" w:cs="Arial"/>
                <w:sz w:val="20"/>
                <w:szCs w:val="20"/>
                <w:lang w:val="en-GB"/>
              </w:rPr>
            </w:pPr>
            <w:r w:rsidRPr="00B02EE5">
              <w:rPr>
                <w:rFonts w:ascii="Arial" w:hAnsi="Arial" w:cs="Arial"/>
                <w:sz w:val="20"/>
                <w:szCs w:val="20"/>
                <w:lang w:val="en-GB"/>
              </w:rPr>
              <w:t>4.6</w:t>
            </w:r>
          </w:p>
        </w:tc>
      </w:tr>
      <w:tr w:rsidR="00B02EE5" w:rsidRPr="00B02EE5" w14:paraId="1B850E1E" w14:textId="77777777" w:rsidTr="003446D4">
        <w:trPr>
          <w:cantSplit/>
          <w:jc w:val="center"/>
        </w:trPr>
        <w:tc>
          <w:tcPr>
            <w:tcW w:w="3670" w:type="dxa"/>
            <w:tcBorders>
              <w:bottom w:val="single" w:sz="4" w:space="0" w:color="auto"/>
            </w:tcBorders>
            <w:shd w:val="clear" w:color="auto" w:fill="auto"/>
            <w:noWrap/>
            <w:vAlign w:val="bottom"/>
          </w:tcPr>
          <w:p w14:paraId="1064075E" w14:textId="77777777" w:rsidR="00B02EE5" w:rsidRPr="00B02EE5" w:rsidRDefault="00B02EE5" w:rsidP="00B02EE5">
            <w:pPr>
              <w:spacing w:before="120" w:after="40"/>
              <w:rPr>
                <w:rFonts w:ascii="Arial" w:hAnsi="Arial" w:cs="Arial"/>
                <w:sz w:val="20"/>
                <w:szCs w:val="20"/>
                <w:lang w:val="en-GB"/>
              </w:rPr>
            </w:pPr>
            <w:r w:rsidRPr="00B02EE5">
              <w:rPr>
                <w:rFonts w:ascii="Arial" w:hAnsi="Arial" w:cs="Arial"/>
                <w:color w:val="000000"/>
                <w:sz w:val="20"/>
                <w:szCs w:val="20"/>
                <w:lang w:val="en-US"/>
              </w:rPr>
              <w:t>Production and distribution of electricity, water, gas</w:t>
            </w:r>
          </w:p>
        </w:tc>
        <w:tc>
          <w:tcPr>
            <w:tcW w:w="1566" w:type="dxa"/>
            <w:tcBorders>
              <w:bottom w:val="single" w:sz="4" w:space="0" w:color="auto"/>
            </w:tcBorders>
            <w:shd w:val="clear" w:color="auto" w:fill="auto"/>
            <w:noWrap/>
            <w:vAlign w:val="bottom"/>
          </w:tcPr>
          <w:p w14:paraId="687B4DE1" w14:textId="77777777" w:rsidR="00B02EE5" w:rsidRPr="00B02EE5" w:rsidRDefault="00B02EE5" w:rsidP="00B02EE5">
            <w:pPr>
              <w:spacing w:before="120" w:after="40"/>
              <w:ind w:right="176"/>
              <w:jc w:val="right"/>
              <w:rPr>
                <w:rFonts w:ascii="Arial" w:hAnsi="Arial" w:cs="Arial"/>
                <w:sz w:val="20"/>
                <w:szCs w:val="20"/>
                <w:lang w:val="en-GB"/>
              </w:rPr>
            </w:pPr>
            <w:r w:rsidRPr="00B02EE5">
              <w:rPr>
                <w:rFonts w:ascii="Arial" w:hAnsi="Arial" w:cs="Arial"/>
                <w:sz w:val="20"/>
                <w:szCs w:val="20"/>
                <w:lang w:val="en-GB"/>
              </w:rPr>
              <w:t>85</w:t>
            </w:r>
          </w:p>
        </w:tc>
        <w:tc>
          <w:tcPr>
            <w:tcW w:w="1178" w:type="dxa"/>
            <w:tcBorders>
              <w:bottom w:val="single" w:sz="4" w:space="0" w:color="auto"/>
            </w:tcBorders>
            <w:shd w:val="clear" w:color="auto" w:fill="auto"/>
            <w:noWrap/>
            <w:vAlign w:val="bottom"/>
          </w:tcPr>
          <w:p w14:paraId="5D679B6F" w14:textId="77777777" w:rsidR="00B02EE5" w:rsidRPr="00B02EE5" w:rsidRDefault="00B02EE5" w:rsidP="00B02EE5">
            <w:pPr>
              <w:spacing w:before="120" w:after="40"/>
              <w:ind w:right="176"/>
              <w:jc w:val="right"/>
              <w:rPr>
                <w:rFonts w:ascii="Arial" w:hAnsi="Arial" w:cs="Arial"/>
                <w:sz w:val="20"/>
                <w:szCs w:val="20"/>
                <w:lang w:val="en-GB"/>
              </w:rPr>
            </w:pPr>
            <w:r w:rsidRPr="00B02EE5">
              <w:rPr>
                <w:rFonts w:ascii="Arial" w:hAnsi="Arial" w:cs="Arial"/>
                <w:sz w:val="20"/>
                <w:szCs w:val="20"/>
                <w:lang w:val="en-GB"/>
              </w:rPr>
              <w:t>20</w:t>
            </w:r>
          </w:p>
        </w:tc>
        <w:tc>
          <w:tcPr>
            <w:tcW w:w="1655" w:type="dxa"/>
            <w:tcBorders>
              <w:bottom w:val="single" w:sz="4" w:space="0" w:color="auto"/>
            </w:tcBorders>
            <w:shd w:val="clear" w:color="auto" w:fill="auto"/>
            <w:noWrap/>
            <w:vAlign w:val="bottom"/>
          </w:tcPr>
          <w:p w14:paraId="6AC2E456" w14:textId="77777777" w:rsidR="00B02EE5" w:rsidRPr="00B02EE5" w:rsidRDefault="00B02EE5" w:rsidP="00B02EE5">
            <w:pPr>
              <w:spacing w:before="120" w:after="40"/>
              <w:ind w:right="316"/>
              <w:jc w:val="right"/>
              <w:rPr>
                <w:rFonts w:ascii="Arial" w:hAnsi="Arial" w:cs="Arial"/>
                <w:sz w:val="20"/>
                <w:szCs w:val="20"/>
                <w:lang w:val="en-GB"/>
              </w:rPr>
            </w:pPr>
            <w:r w:rsidRPr="00B02EE5">
              <w:rPr>
                <w:rFonts w:ascii="Arial" w:hAnsi="Arial" w:cs="Arial"/>
                <w:sz w:val="20"/>
                <w:szCs w:val="20"/>
                <w:lang w:val="en-GB"/>
              </w:rPr>
              <w:t>-15.0</w:t>
            </w:r>
          </w:p>
        </w:tc>
        <w:tc>
          <w:tcPr>
            <w:tcW w:w="1129" w:type="dxa"/>
            <w:tcBorders>
              <w:bottom w:val="single" w:sz="4" w:space="0" w:color="auto"/>
            </w:tcBorders>
            <w:shd w:val="clear" w:color="auto" w:fill="auto"/>
            <w:noWrap/>
            <w:vAlign w:val="bottom"/>
          </w:tcPr>
          <w:p w14:paraId="51BEB07A" w14:textId="77777777" w:rsidR="00B02EE5" w:rsidRPr="00B02EE5" w:rsidRDefault="00B02EE5" w:rsidP="00B02EE5">
            <w:pPr>
              <w:spacing w:before="120" w:after="40"/>
              <w:ind w:right="176"/>
              <w:jc w:val="right"/>
              <w:rPr>
                <w:rFonts w:ascii="Arial" w:hAnsi="Arial" w:cs="Arial"/>
                <w:sz w:val="20"/>
                <w:szCs w:val="20"/>
                <w:lang w:val="en-GB"/>
              </w:rPr>
            </w:pPr>
            <w:r w:rsidRPr="00B02EE5">
              <w:rPr>
                <w:rFonts w:ascii="Arial" w:hAnsi="Arial" w:cs="Arial"/>
                <w:sz w:val="20"/>
                <w:szCs w:val="20"/>
                <w:lang w:val="en-GB"/>
              </w:rPr>
              <w:t>-13.0</w:t>
            </w:r>
          </w:p>
        </w:tc>
      </w:tr>
    </w:tbl>
    <w:p w14:paraId="1DEC1115" w14:textId="77777777" w:rsidR="007E3EAD" w:rsidRPr="00B02EE5" w:rsidRDefault="007E3EAD" w:rsidP="007E3EAD">
      <w:pPr>
        <w:spacing w:line="276" w:lineRule="auto"/>
        <w:rPr>
          <w:sz w:val="22"/>
          <w:lang w:val="en-US"/>
        </w:rPr>
      </w:pPr>
    </w:p>
    <w:p w14:paraId="7D73AE2C" w14:textId="77777777" w:rsidR="00B02EE5" w:rsidRPr="00B02EE5" w:rsidRDefault="00B02EE5" w:rsidP="00B02EE5">
      <w:pPr>
        <w:spacing w:before="120" w:after="120" w:line="264" w:lineRule="auto"/>
        <w:ind w:firstLine="720"/>
        <w:jc w:val="both"/>
        <w:rPr>
          <w:b/>
          <w:bCs/>
          <w:lang w:val="af-ZA"/>
        </w:rPr>
      </w:pPr>
      <w:r w:rsidRPr="00B02EE5">
        <w:rPr>
          <w:b/>
          <w:bCs/>
          <w:lang w:val="af-ZA"/>
        </w:rPr>
        <w:t>4. Investment</w:t>
      </w:r>
    </w:p>
    <w:p w14:paraId="59EDB66F" w14:textId="77777777" w:rsidR="00B02EE5" w:rsidRPr="00B02EE5" w:rsidRDefault="00B02EE5" w:rsidP="00B02EE5">
      <w:pPr>
        <w:spacing w:after="120" w:line="264" w:lineRule="auto"/>
        <w:ind w:firstLine="720"/>
        <w:jc w:val="both"/>
        <w:rPr>
          <w:i/>
          <w:lang w:val="en-US"/>
        </w:rPr>
      </w:pPr>
      <w:r w:rsidRPr="00B02EE5">
        <w:rPr>
          <w:i/>
          <w:spacing w:val="-4"/>
          <w:shd w:val="clear" w:color="auto" w:fill="FFFFFF"/>
          <w:lang w:val="it-IT"/>
        </w:rPr>
        <w:t xml:space="preserve">Investment </w:t>
      </w:r>
      <w:r w:rsidRPr="00B02EE5">
        <w:rPr>
          <w:i/>
          <w:lang w:val="it-IT"/>
        </w:rPr>
        <w:t xml:space="preserve">activities in January focused mainly on the allocation of capital plans for 2025. New projects with allocated capital </w:t>
      </w:r>
      <w:r w:rsidRPr="00B02EE5">
        <w:rPr>
          <w:i/>
          <w:lang w:val="en"/>
        </w:rPr>
        <w:t xml:space="preserve">are </w:t>
      </w:r>
      <w:r w:rsidRPr="00B02EE5">
        <w:rPr>
          <w:i/>
          <w:lang w:val="it-IT"/>
        </w:rPr>
        <w:t xml:space="preserve">in the process of completing procedures and investment preparation documents, so the implementation volume is mainly </w:t>
      </w:r>
      <w:r w:rsidRPr="00B02EE5">
        <w:rPr>
          <w:i/>
          <w:lang w:val="en"/>
        </w:rPr>
        <w:t xml:space="preserve">at </w:t>
      </w:r>
      <w:r w:rsidRPr="00B02EE5">
        <w:rPr>
          <w:i/>
          <w:lang w:val="it-IT"/>
        </w:rPr>
        <w:t xml:space="preserve">transitional projects. The proportion of investment capital implemented </w:t>
      </w:r>
      <w:r w:rsidRPr="00B02EE5">
        <w:rPr>
          <w:rFonts w:hint="eastAsia"/>
          <w:i/>
          <w:spacing w:val="-4"/>
          <w:lang w:val="it-IT"/>
        </w:rPr>
        <w:t xml:space="preserve">from </w:t>
      </w:r>
      <w:r w:rsidRPr="00B02EE5">
        <w:rPr>
          <w:i/>
          <w:spacing w:val="-4"/>
          <w:lang w:val="it-IT"/>
        </w:rPr>
        <w:t xml:space="preserve">the State </w:t>
      </w:r>
      <w:r w:rsidRPr="00B02EE5">
        <w:rPr>
          <w:rFonts w:hint="eastAsia"/>
          <w:i/>
          <w:spacing w:val="-4"/>
          <w:lang w:val="it-IT"/>
        </w:rPr>
        <w:t xml:space="preserve">budget reached 4.1 % compared </w:t>
      </w:r>
      <w:r w:rsidRPr="00B02EE5">
        <w:rPr>
          <w:rFonts w:hint="eastAsia"/>
          <w:i/>
          <w:spacing w:val="-4"/>
          <w:shd w:val="clear" w:color="auto" w:fill="FFFFFF"/>
          <w:lang w:val="en"/>
        </w:rPr>
        <w:t xml:space="preserve">to </w:t>
      </w:r>
      <w:r w:rsidRPr="00B02EE5">
        <w:rPr>
          <w:i/>
          <w:spacing w:val="-4"/>
          <w:lang w:val="it-IT"/>
        </w:rPr>
        <w:t xml:space="preserve">the </w:t>
      </w:r>
      <w:r w:rsidRPr="00B02EE5">
        <w:rPr>
          <w:rFonts w:hint="eastAsia"/>
          <w:i/>
          <w:spacing w:val="-4"/>
          <w:lang w:val="it-IT"/>
        </w:rPr>
        <w:t xml:space="preserve">annual </w:t>
      </w:r>
      <w:r w:rsidRPr="00B02EE5">
        <w:rPr>
          <w:i/>
          <w:spacing w:val="-4"/>
          <w:lang w:val="it-IT"/>
        </w:rPr>
        <w:t xml:space="preserve">plan and </w:t>
      </w:r>
      <w:r w:rsidRPr="00B02EE5">
        <w:rPr>
          <w:rFonts w:hint="eastAsia"/>
          <w:i/>
          <w:spacing w:val="-4"/>
          <w:lang w:val="it-IT"/>
        </w:rPr>
        <w:t xml:space="preserve">increased </w:t>
      </w:r>
      <w:r w:rsidRPr="00B02EE5">
        <w:rPr>
          <w:i/>
          <w:spacing w:val="-4"/>
          <w:lang w:val="it-IT"/>
        </w:rPr>
        <w:t xml:space="preserve">by 9.6 % </w:t>
      </w:r>
      <w:r w:rsidRPr="00B02EE5">
        <w:rPr>
          <w:rFonts w:hint="eastAsia"/>
          <w:i/>
          <w:spacing w:val="-4"/>
          <w:lang w:val="it-IT"/>
        </w:rPr>
        <w:t xml:space="preserve">compared </w:t>
      </w:r>
      <w:r w:rsidRPr="00B02EE5">
        <w:rPr>
          <w:i/>
          <w:spacing w:val="-4"/>
          <w:lang w:val="it-IT"/>
        </w:rPr>
        <w:t xml:space="preserve">to </w:t>
      </w:r>
      <w:r w:rsidRPr="00B02EE5">
        <w:rPr>
          <w:i/>
          <w:spacing w:val="-4"/>
          <w:shd w:val="clear" w:color="auto" w:fill="FFFFFF"/>
          <w:lang w:val="en"/>
        </w:rPr>
        <w:t xml:space="preserve">the </w:t>
      </w:r>
      <w:r w:rsidRPr="00B02EE5">
        <w:rPr>
          <w:i/>
          <w:spacing w:val="-4"/>
          <w:lang w:val="it-IT"/>
        </w:rPr>
        <w:t xml:space="preserve">same </w:t>
      </w:r>
      <w:r w:rsidRPr="00B02EE5">
        <w:rPr>
          <w:rFonts w:hint="eastAsia"/>
          <w:i/>
          <w:spacing w:val="-4"/>
          <w:lang w:val="it-IT"/>
        </w:rPr>
        <w:t xml:space="preserve">period in </w:t>
      </w:r>
      <w:r w:rsidRPr="00B02EE5">
        <w:rPr>
          <w:i/>
          <w:spacing w:val="-4"/>
          <w:lang w:val="it-IT"/>
        </w:rPr>
        <w:t xml:space="preserve">2024. </w:t>
      </w:r>
      <w:r w:rsidRPr="00B02EE5">
        <w:rPr>
          <w:i/>
          <w:spacing w:val="-4"/>
          <w:shd w:val="clear" w:color="auto" w:fill="FFFFFF"/>
          <w:lang w:val="en"/>
        </w:rPr>
        <w:lastRenderedPageBreak/>
        <w:t xml:space="preserve">Foreign direct </w:t>
      </w:r>
      <w:r w:rsidRPr="00B02EE5">
        <w:rPr>
          <w:rFonts w:hint="eastAsia"/>
          <w:i/>
          <w:spacing w:val="-4"/>
          <w:shd w:val="clear" w:color="auto" w:fill="FFFFFF"/>
          <w:lang w:val="en"/>
        </w:rPr>
        <w:t xml:space="preserve">investment implemented </w:t>
      </w:r>
      <w:r w:rsidRPr="00B02EE5">
        <w:rPr>
          <w:i/>
          <w:spacing w:val="-4"/>
          <w:shd w:val="clear" w:color="auto" w:fill="FFFFFF"/>
          <w:lang w:val="en"/>
        </w:rPr>
        <w:t xml:space="preserve">in </w:t>
      </w:r>
      <w:r w:rsidRPr="00B02EE5">
        <w:rPr>
          <w:rFonts w:hint="eastAsia"/>
          <w:i/>
          <w:spacing w:val="-4"/>
          <w:shd w:val="clear" w:color="auto" w:fill="FFFFFF"/>
          <w:lang w:val="en"/>
        </w:rPr>
        <w:t xml:space="preserve">Vietnam </w:t>
      </w:r>
      <w:r w:rsidRPr="00B02EE5">
        <w:rPr>
          <w:i/>
          <w:spacing w:val="-4"/>
          <w:shd w:val="clear" w:color="auto" w:fill="FFFFFF"/>
          <w:lang w:val="en"/>
        </w:rPr>
        <w:t xml:space="preserve">in January </w:t>
      </w:r>
      <w:r w:rsidRPr="00B02EE5">
        <w:rPr>
          <w:rFonts w:hint="eastAsia"/>
          <w:i/>
          <w:spacing w:val="-4"/>
          <w:shd w:val="clear" w:color="auto" w:fill="FFFFFF"/>
          <w:lang w:val="en"/>
        </w:rPr>
        <w:t>2025</w:t>
      </w:r>
      <w:r w:rsidRPr="00B02EE5">
        <w:rPr>
          <w:i/>
          <w:spacing w:val="-4"/>
          <w:shd w:val="clear" w:color="auto" w:fill="FFFFFF"/>
          <w:lang w:val="en"/>
        </w:rPr>
        <w:t xml:space="preserve"> </w:t>
      </w:r>
      <w:r w:rsidRPr="00B02EE5">
        <w:rPr>
          <w:rFonts w:hint="eastAsia"/>
          <w:i/>
          <w:spacing w:val="-4"/>
          <w:shd w:val="clear" w:color="auto" w:fill="FFFFFF"/>
          <w:lang w:val="en"/>
        </w:rPr>
        <w:t xml:space="preserve">achieved quite </w:t>
      </w:r>
      <w:r w:rsidRPr="00B02EE5">
        <w:rPr>
          <w:i/>
          <w:spacing w:val="-4"/>
          <w:shd w:val="clear" w:color="auto" w:fill="FFFFFF"/>
          <w:lang w:val="en"/>
        </w:rPr>
        <w:t xml:space="preserve">well ( </w:t>
      </w:r>
      <w:r w:rsidRPr="00B02EE5">
        <w:rPr>
          <w:i/>
          <w:spacing w:val="-4"/>
          <w:shd w:val="clear" w:color="auto" w:fill="FFFFFF"/>
          <w:lang w:val="en-US"/>
        </w:rPr>
        <w:t xml:space="preserve">1.51 </w:t>
      </w:r>
      <w:r w:rsidRPr="00B02EE5">
        <w:rPr>
          <w:i/>
          <w:spacing w:val="-4"/>
          <w:shd w:val="clear" w:color="auto" w:fill="FFFFFF"/>
          <w:lang w:val="en"/>
        </w:rPr>
        <w:t xml:space="preserve">billion USD), up </w:t>
      </w:r>
      <w:r w:rsidRPr="00B02EE5">
        <w:rPr>
          <w:rFonts w:hint="eastAsia"/>
          <w:i/>
          <w:spacing w:val="-4"/>
          <w:shd w:val="clear" w:color="auto" w:fill="FFFFFF"/>
          <w:lang w:val="en"/>
        </w:rPr>
        <w:t xml:space="preserve">2.0 </w:t>
      </w:r>
      <w:r w:rsidRPr="00B02EE5">
        <w:rPr>
          <w:i/>
          <w:spacing w:val="-4"/>
          <w:shd w:val="clear" w:color="auto" w:fill="FFFFFF"/>
          <w:lang w:val="en-US"/>
        </w:rPr>
        <w:t xml:space="preserve">% </w:t>
      </w:r>
      <w:r w:rsidRPr="00B02EE5">
        <w:rPr>
          <w:i/>
          <w:spacing w:val="-4"/>
          <w:shd w:val="clear" w:color="auto" w:fill="FFFFFF"/>
          <w:lang w:val="en"/>
        </w:rPr>
        <w:t xml:space="preserve">over the </w:t>
      </w:r>
      <w:r w:rsidRPr="00B02EE5">
        <w:rPr>
          <w:rFonts w:hint="eastAsia"/>
          <w:i/>
          <w:spacing w:val="-4"/>
          <w:shd w:val="clear" w:color="auto" w:fill="FFFFFF"/>
          <w:lang w:val="en"/>
        </w:rPr>
        <w:t xml:space="preserve">same period last </w:t>
      </w:r>
      <w:r w:rsidRPr="00B02EE5">
        <w:rPr>
          <w:i/>
          <w:spacing w:val="-4"/>
          <w:shd w:val="clear" w:color="auto" w:fill="FFFFFF"/>
          <w:lang w:val="en"/>
        </w:rPr>
        <w:t>year .</w:t>
      </w:r>
    </w:p>
    <w:p w14:paraId="0F7CA242" w14:textId="77777777" w:rsidR="00B02EE5" w:rsidRPr="00B02EE5" w:rsidRDefault="00B02EE5" w:rsidP="00B02EE5">
      <w:pPr>
        <w:spacing w:after="120" w:line="264" w:lineRule="auto"/>
        <w:ind w:firstLine="720"/>
        <w:jc w:val="both"/>
        <w:rPr>
          <w:bCs/>
          <w:iCs/>
          <w:lang w:val="af-ZA"/>
        </w:rPr>
      </w:pPr>
      <w:r w:rsidRPr="00B02EE5">
        <w:rPr>
          <w:bCs/>
          <w:i/>
          <w:iCs/>
          <w:lang w:val="af-ZA"/>
        </w:rPr>
        <w:t xml:space="preserve">Investment capital implemented from the State budget </w:t>
      </w:r>
      <w:r w:rsidRPr="00B02EE5">
        <w:rPr>
          <w:bCs/>
          <w:iCs/>
          <w:lang w:val="af-ZA"/>
        </w:rPr>
        <w:t>in January 2025 is estimated at 35.4 trillion VND, equal to 4.1% of the annual plan and an increase of 9.6% over the same period last year (the same period in 2024 was equal to 4.1% and an increase of 16.9%), including:</w:t>
      </w:r>
    </w:p>
    <w:p w14:paraId="3B6980F7" w14:textId="77777777" w:rsidR="00B02EE5" w:rsidRPr="00B02EE5" w:rsidRDefault="00B02EE5" w:rsidP="00B02EE5">
      <w:pPr>
        <w:spacing w:after="120" w:line="252" w:lineRule="auto"/>
        <w:ind w:firstLine="720"/>
        <w:jc w:val="both"/>
        <w:rPr>
          <w:lang w:val="af-ZA"/>
        </w:rPr>
      </w:pPr>
      <w:r w:rsidRPr="00B02EE5">
        <w:rPr>
          <w:bCs/>
          <w:iCs/>
          <w:spacing w:val="-2"/>
          <w:lang w:val="af-ZA"/>
        </w:rPr>
        <w:t xml:space="preserve">- The implemented investment capital managed by the Central Government reached 4.9 trillion VND, equal to 3.7% of the annual plan and increased by 1.3% over the same period last year. </w:t>
      </w:r>
      <w:r w:rsidRPr="00B02EE5">
        <w:rPr>
          <w:lang w:val="af-ZA"/>
        </w:rPr>
        <w:t>Of which, the Ministry of Transport reached 3.0 trillion VND, down 2.9%; the Ministry of Agriculture and Rural Development reached 591.3 billion VND, up 88.6%; the Ministry of Health reached 107.6 billion VND, up 186.9%; the Ministry of Education and Training reached 60.4 billion VND, up 39.8%; the Ministry of Culture, Sports and Tourism reached 45.1 billion VND, up 20.3%; the Ministry of Natural Resources and Environment reached 30.1 billion VND, up 6.4%; the Ministry of Information and Communications reached 19.3 billion VND, up 35.6%.</w:t>
      </w:r>
    </w:p>
    <w:p w14:paraId="5985460A" w14:textId="77777777" w:rsidR="00B02EE5" w:rsidRPr="00B02EE5" w:rsidRDefault="00B02EE5" w:rsidP="00B02EE5">
      <w:pPr>
        <w:spacing w:after="120" w:line="252" w:lineRule="auto"/>
        <w:ind w:firstLine="720"/>
        <w:jc w:val="both"/>
        <w:rPr>
          <w:bCs/>
          <w:iCs/>
          <w:lang w:val="af-ZA"/>
        </w:rPr>
      </w:pPr>
      <w:r w:rsidRPr="00B02EE5">
        <w:rPr>
          <w:bCs/>
          <w:iCs/>
          <w:lang w:val="af-ZA"/>
        </w:rPr>
        <w:t xml:space="preserve">- </w:t>
      </w:r>
      <w:r w:rsidRPr="00B02EE5">
        <w:rPr>
          <w:bCs/>
          <w:iCs/>
          <w:spacing w:val="-2"/>
          <w:lang w:val="af-ZA"/>
        </w:rPr>
        <w:t xml:space="preserve">Realized investment capital </w:t>
      </w:r>
      <w:r w:rsidRPr="00B02EE5">
        <w:rPr>
          <w:bCs/>
          <w:iCs/>
          <w:lang w:val="af-ZA"/>
        </w:rPr>
        <w:t>managed by localities reached 30.5 trillion VND, equal to 4.2% of the annual plan and increased by 11.0% over the same period in 2024, of which:</w:t>
      </w:r>
    </w:p>
    <w:p w14:paraId="68DCE451" w14:textId="77777777" w:rsidR="00B02EE5" w:rsidRPr="00B02EE5" w:rsidRDefault="00B02EE5" w:rsidP="00B02EE5">
      <w:pPr>
        <w:spacing w:after="120" w:line="252" w:lineRule="auto"/>
        <w:ind w:firstLine="720"/>
        <w:jc w:val="both"/>
        <w:rPr>
          <w:bCs/>
          <w:iCs/>
          <w:lang w:val="af-ZA"/>
        </w:rPr>
      </w:pPr>
      <w:r w:rsidRPr="00B02EE5">
        <w:rPr>
          <w:bCs/>
          <w:iCs/>
          <w:lang w:val="af-ZA"/>
        </w:rPr>
        <w:t>Provincial State budget capital reached 20.1 trillion VND, equal to 3.8% of the annual plan and increased by 11.8% over the same period last year;</w:t>
      </w:r>
    </w:p>
    <w:p w14:paraId="7D2FECD6" w14:textId="77777777" w:rsidR="00B02EE5" w:rsidRPr="00B02EE5" w:rsidRDefault="00B02EE5" w:rsidP="00B02EE5">
      <w:pPr>
        <w:spacing w:after="120" w:line="252" w:lineRule="auto"/>
        <w:ind w:firstLine="720"/>
        <w:jc w:val="both"/>
        <w:rPr>
          <w:rFonts w:eastAsia="Calibri"/>
          <w:bCs/>
          <w:iCs/>
          <w:lang w:val="af-ZA"/>
        </w:rPr>
      </w:pPr>
      <w:r w:rsidRPr="00B02EE5">
        <w:rPr>
          <w:rFonts w:eastAsia="Calibri"/>
          <w:bCs/>
          <w:iCs/>
          <w:lang w:val="af-ZA"/>
        </w:rPr>
        <w:t>District-level State budget capital reached 9.1 trillion VND, equal to 5.2% and increased by 9.6%;</w:t>
      </w:r>
    </w:p>
    <w:p w14:paraId="329DBFC9" w14:textId="77777777" w:rsidR="00B02EE5" w:rsidRPr="00B02EE5" w:rsidRDefault="00B02EE5" w:rsidP="00B02EE5">
      <w:pPr>
        <w:spacing w:after="120" w:line="252" w:lineRule="auto"/>
        <w:ind w:firstLine="720"/>
        <w:jc w:val="both"/>
        <w:rPr>
          <w:rFonts w:eastAsia="Calibri"/>
          <w:bCs/>
          <w:iCs/>
          <w:spacing w:val="-10"/>
          <w:lang w:val="af-ZA"/>
        </w:rPr>
      </w:pPr>
      <w:r w:rsidRPr="00B02EE5">
        <w:rPr>
          <w:rFonts w:eastAsia="Calibri"/>
          <w:bCs/>
          <w:iCs/>
          <w:spacing w:val="-10"/>
          <w:lang w:val="af-ZA"/>
        </w:rPr>
        <w:t>State budget capital at commune level reached 1.3 trillion VND, equal to 5.3% and increased by 9.0%.</w:t>
      </w:r>
    </w:p>
    <w:p w14:paraId="68D3472D" w14:textId="77777777" w:rsidR="00B02EE5" w:rsidRPr="00B02EE5" w:rsidRDefault="00B02EE5" w:rsidP="00B02EE5">
      <w:pPr>
        <w:spacing w:before="40" w:after="40" w:line="264" w:lineRule="auto"/>
        <w:jc w:val="center"/>
        <w:rPr>
          <w:rFonts w:ascii="Arial" w:hAnsi="Arial" w:cs="Arial"/>
          <w:b/>
          <w:bCs/>
          <w:sz w:val="2"/>
          <w:szCs w:val="24"/>
          <w:lang w:val="af-ZA"/>
        </w:rPr>
      </w:pPr>
    </w:p>
    <w:p w14:paraId="0C5E7C4B" w14:textId="77777777" w:rsidR="00B02EE5" w:rsidRPr="00B02EE5" w:rsidRDefault="00B02EE5" w:rsidP="00B02EE5">
      <w:pPr>
        <w:spacing w:before="40" w:after="40"/>
        <w:jc w:val="center"/>
        <w:rPr>
          <w:rFonts w:ascii="Arial" w:hAnsi="Arial" w:cs="Arial"/>
          <w:b/>
          <w:bCs/>
          <w:sz w:val="24"/>
          <w:szCs w:val="24"/>
          <w:lang w:val="af-ZA"/>
        </w:rPr>
      </w:pPr>
      <w:r w:rsidRPr="00B02EE5">
        <w:rPr>
          <w:rFonts w:ascii="Arial" w:hAnsi="Arial" w:cs="Arial"/>
          <w:b/>
          <w:bCs/>
          <w:sz w:val="24"/>
          <w:szCs w:val="24"/>
          <w:lang w:val="af-ZA"/>
        </w:rPr>
        <w:t>Figure 6. Investment capital implemented from the State budget</w:t>
      </w:r>
    </w:p>
    <w:p w14:paraId="1FD2EECA" w14:textId="77777777" w:rsidR="00B02EE5" w:rsidRPr="00B02EE5" w:rsidRDefault="00B02EE5" w:rsidP="00B02EE5">
      <w:pPr>
        <w:spacing w:before="40" w:after="40"/>
        <w:jc w:val="center"/>
        <w:rPr>
          <w:rFonts w:ascii="Arial" w:hAnsi="Arial" w:cs="Arial"/>
          <w:b/>
          <w:bCs/>
          <w:sz w:val="24"/>
          <w:szCs w:val="24"/>
          <w:lang w:val="af-ZA"/>
        </w:rPr>
      </w:pPr>
      <w:r w:rsidRPr="00B02EE5">
        <w:rPr>
          <w:rFonts w:ascii="Arial" w:hAnsi="Arial" w:cs="Arial"/>
          <w:b/>
          <w:bCs/>
          <w:sz w:val="24"/>
          <w:szCs w:val="24"/>
          <w:lang w:val="af-ZA"/>
        </w:rPr>
        <w:t>January 2025 by locality</w:t>
      </w:r>
    </w:p>
    <w:p w14:paraId="7A1F6EEE" w14:textId="77777777" w:rsidR="00B02EE5" w:rsidRPr="00B02EE5" w:rsidRDefault="00B02EE5" w:rsidP="00B02EE5">
      <w:pPr>
        <w:spacing w:before="40" w:after="40"/>
        <w:jc w:val="center"/>
        <w:rPr>
          <w:rFonts w:ascii="Arial" w:hAnsi="Arial" w:cs="Arial"/>
          <w:b/>
          <w:bCs/>
          <w:sz w:val="24"/>
          <w:szCs w:val="24"/>
          <w:lang w:val="af-ZA"/>
        </w:rPr>
      </w:pPr>
      <w:r w:rsidRPr="00B02EE5">
        <w:rPr>
          <w:noProof/>
          <w:lang w:val="en-US"/>
        </w:rPr>
        <w:lastRenderedPageBreak/>
        <w:drawing>
          <wp:inline distT="0" distB="0" distL="0" distR="0" wp14:anchorId="67D1982A" wp14:editId="6EC78149">
            <wp:extent cx="5943600" cy="3609975"/>
            <wp:effectExtent l="0" t="0" r="0" b="9525"/>
            <wp:docPr id="2" name="Chart 2">
              <a:extLst xmlns:a="http://schemas.openxmlformats.org/drawingml/2006/main">
                <a:ext uri="{FF2B5EF4-FFF2-40B4-BE49-F238E27FC236}">
                  <a16:creationId xmlns:a16="http://schemas.microsoft.com/office/drawing/2014/main" id="{C09D9296-ED92-4D31-9968-20E0BE1732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2EF9F77" w14:textId="77777777" w:rsidR="00B02EE5" w:rsidRPr="00B02EE5" w:rsidRDefault="00B02EE5" w:rsidP="00B02EE5">
      <w:pPr>
        <w:spacing w:before="40" w:after="40"/>
        <w:jc w:val="center"/>
        <w:rPr>
          <w:rFonts w:ascii="Arial" w:hAnsi="Arial" w:cs="Arial"/>
          <w:b/>
          <w:bCs/>
          <w:sz w:val="24"/>
          <w:szCs w:val="24"/>
          <w:lang w:val="af-ZA"/>
        </w:rPr>
      </w:pPr>
    </w:p>
    <w:p w14:paraId="5DC56D93" w14:textId="77777777" w:rsidR="00B02EE5" w:rsidRPr="00B02EE5" w:rsidRDefault="00B02EE5" w:rsidP="00B02EE5">
      <w:pPr>
        <w:spacing w:after="120" w:line="264" w:lineRule="auto"/>
        <w:ind w:firstLine="720"/>
        <w:jc w:val="both"/>
        <w:rPr>
          <w:iCs/>
          <w:spacing w:val="-8"/>
          <w:lang w:val="de-DE"/>
        </w:rPr>
      </w:pPr>
      <w:r w:rsidRPr="00B02EE5">
        <w:rPr>
          <w:i/>
          <w:iCs/>
          <w:spacing w:val="-6"/>
          <w:lang w:val="de-DE"/>
        </w:rPr>
        <w:t>Total foreign investment capital registered in Vietnam</w:t>
      </w:r>
      <w:r w:rsidRPr="00B02EE5">
        <w:rPr>
          <w:i/>
          <w:iCs/>
          <w:spacing w:val="-6"/>
          <w:vertAlign w:val="superscript"/>
          <w:lang w:val="de-DE"/>
        </w:rPr>
        <w:footnoteReference w:id="8"/>
      </w:r>
      <w:r w:rsidRPr="00B02EE5">
        <w:rPr>
          <w:i/>
          <w:iCs/>
          <w:spacing w:val="-6"/>
          <w:lang w:val="de-DE"/>
        </w:rPr>
        <w:t xml:space="preserve"> </w:t>
      </w:r>
      <w:r w:rsidRPr="00B02EE5">
        <w:rPr>
          <w:iCs/>
          <w:spacing w:val="-6"/>
          <w:lang w:val="de-DE"/>
        </w:rPr>
        <w:t xml:space="preserve">As of January 31, 2025, </w:t>
      </w:r>
      <w:r w:rsidRPr="00B02EE5">
        <w:rPr>
          <w:iCs/>
          <w:spacing w:val="-8"/>
          <w:lang w:val="de-DE"/>
        </w:rPr>
        <w:t>including newly registered capital, adjusted registered capital and capital contribution and share purchase value of foreign investors, reached 4.33 billion USD, an increase of 48.6% over the same period last year.</w:t>
      </w:r>
    </w:p>
    <w:p w14:paraId="7A0975F8" w14:textId="77777777" w:rsidR="00B02EE5" w:rsidRPr="00B02EE5" w:rsidRDefault="00B02EE5" w:rsidP="00B02EE5">
      <w:pPr>
        <w:jc w:val="center"/>
        <w:rPr>
          <w:rFonts w:ascii="Arial" w:hAnsi="Arial" w:cs="Arial"/>
          <w:b/>
          <w:bCs/>
          <w:sz w:val="2"/>
          <w:lang w:val="de-DE"/>
        </w:rPr>
      </w:pPr>
    </w:p>
    <w:p w14:paraId="57FF9591" w14:textId="77777777" w:rsidR="00B02EE5" w:rsidRPr="00B02EE5" w:rsidRDefault="00B02EE5" w:rsidP="00B02EE5">
      <w:pPr>
        <w:jc w:val="center"/>
        <w:rPr>
          <w:rFonts w:ascii="Arial" w:hAnsi="Arial" w:cs="Arial"/>
          <w:b/>
          <w:bCs/>
          <w:sz w:val="2"/>
          <w:lang w:val="de-DE"/>
        </w:rPr>
      </w:pPr>
    </w:p>
    <w:p w14:paraId="0319B9DD" w14:textId="77777777" w:rsidR="00B02EE5" w:rsidRPr="00B02EE5" w:rsidRDefault="00B02EE5" w:rsidP="00B02EE5">
      <w:pPr>
        <w:jc w:val="center"/>
        <w:rPr>
          <w:rFonts w:ascii="Arial" w:hAnsi="Arial" w:cs="Arial"/>
          <w:b/>
          <w:bCs/>
          <w:sz w:val="24"/>
          <w:lang w:val="de-DE"/>
        </w:rPr>
      </w:pPr>
      <w:r w:rsidRPr="00B02EE5">
        <w:rPr>
          <w:rFonts w:ascii="Arial" w:hAnsi="Arial" w:cs="Arial"/>
          <w:b/>
          <w:bCs/>
          <w:sz w:val="24"/>
          <w:lang w:val="de-DE"/>
        </w:rPr>
        <w:t>Figure 7. Foreign investment capital registered in Vietnam</w:t>
      </w:r>
    </w:p>
    <w:p w14:paraId="0CFC1321" w14:textId="77777777" w:rsidR="00B02EE5" w:rsidRPr="00B02EE5" w:rsidRDefault="00B02EE5" w:rsidP="00B02EE5">
      <w:pPr>
        <w:jc w:val="center"/>
        <w:rPr>
          <w:rFonts w:ascii="Arial" w:hAnsi="Arial" w:cs="Arial"/>
          <w:b/>
          <w:bCs/>
          <w:sz w:val="24"/>
          <w:lang w:val="de-DE"/>
        </w:rPr>
      </w:pPr>
      <w:r w:rsidRPr="00B02EE5">
        <w:rPr>
          <w:rFonts w:ascii="Arial" w:hAnsi="Arial" w:cs="Arial"/>
          <w:b/>
          <w:bCs/>
          <w:sz w:val="24"/>
          <w:lang w:val="de-DE"/>
        </w:rPr>
        <w:t>as of January 31, 2021-2025 (Billion USD)</w:t>
      </w:r>
    </w:p>
    <w:p w14:paraId="3D76832D" w14:textId="77777777" w:rsidR="00B02EE5" w:rsidRPr="00B02EE5" w:rsidRDefault="00B02EE5" w:rsidP="00B02EE5">
      <w:pPr>
        <w:jc w:val="center"/>
        <w:rPr>
          <w:rFonts w:ascii="Arial" w:hAnsi="Arial" w:cs="Arial"/>
          <w:b/>
          <w:bCs/>
          <w:sz w:val="24"/>
          <w:lang w:val="de-DE"/>
        </w:rPr>
      </w:pPr>
      <w:r w:rsidRPr="00B02EE5">
        <w:rPr>
          <w:noProof/>
          <w:lang w:val="en-US"/>
        </w:rPr>
        <w:drawing>
          <wp:inline distT="0" distB="0" distL="0" distR="0" wp14:anchorId="76B7BB49" wp14:editId="0198E3C6">
            <wp:extent cx="5286376" cy="3524250"/>
            <wp:effectExtent l="0" t="0" r="9525" b="0"/>
            <wp:docPr id="488247269" name="Chart 488247269">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69329F0" w14:textId="77777777" w:rsidR="00B02EE5" w:rsidRPr="00B02EE5" w:rsidRDefault="00B02EE5" w:rsidP="00B02EE5">
      <w:pPr>
        <w:jc w:val="center"/>
        <w:rPr>
          <w:rFonts w:ascii="Arial" w:hAnsi="Arial" w:cs="Arial"/>
          <w:b/>
          <w:bCs/>
          <w:sz w:val="24"/>
          <w:lang w:val="de-DE"/>
        </w:rPr>
      </w:pPr>
    </w:p>
    <w:p w14:paraId="56BC8326" w14:textId="77777777" w:rsidR="00B02EE5" w:rsidRPr="00B02EE5" w:rsidRDefault="00B02EE5" w:rsidP="00B02EE5">
      <w:pPr>
        <w:spacing w:after="120" w:line="276" w:lineRule="auto"/>
        <w:ind w:firstLine="720"/>
        <w:jc w:val="both"/>
        <w:rPr>
          <w:iCs/>
          <w:spacing w:val="-6"/>
          <w:lang w:val="de-DE"/>
        </w:rPr>
      </w:pPr>
      <w:r w:rsidRPr="00B02EE5">
        <w:rPr>
          <w:iCs/>
          <w:spacing w:val="-6"/>
          <w:lang w:val="de-DE"/>
        </w:rPr>
        <w:t>- Newly registered capital has 282 licensed projects with registered capital reaching 1.29 billion USD, down 6.6% in number of projects and down 43.6% in registered capital compared to the same period last year; in which, the processing and manufacturing industry was newly licensed with the largest foreign direct investment with registered capital reaching 869.7 million USD, accounting for 67.6% of total newly registered capital; real estate business activities reached 248.5 million USD, accounting for 19.3%; the remaining industries reached 168.7 million USD, accounting for 13.1%.</w:t>
      </w:r>
    </w:p>
    <w:p w14:paraId="19003408" w14:textId="77777777" w:rsidR="00B02EE5" w:rsidRPr="00B02EE5" w:rsidRDefault="00B02EE5" w:rsidP="00B02EE5">
      <w:pPr>
        <w:spacing w:after="120" w:line="276" w:lineRule="auto"/>
        <w:ind w:firstLine="720"/>
        <w:jc w:val="both"/>
        <w:rPr>
          <w:iCs/>
          <w:spacing w:val="-2"/>
          <w:lang w:val="de-DE"/>
        </w:rPr>
      </w:pPr>
      <w:r w:rsidRPr="00B02EE5">
        <w:rPr>
          <w:iCs/>
          <w:spacing w:val="-2"/>
          <w:lang w:val="de-DE"/>
        </w:rPr>
        <w:t>Among the 33 countries and territories with newly licensed investment projects in Vietnam in January 2025, China was the largest investor with 380.3 million USD, accounting for 29.5% of the total newly registered capital; followed by Singapore with 372.3 million USD, accounting for 28.9%; Hong Kong Special Administrative Region (China) with 103.6 million USD, accounting for 8.1%; the United States with 98.4 million USD, accounting for 7.6%; and Japan with 52.1 million USD, accounting for 4.1%.</w:t>
      </w:r>
    </w:p>
    <w:p w14:paraId="37D8C79C" w14:textId="77777777" w:rsidR="00B02EE5" w:rsidRPr="00B02EE5" w:rsidRDefault="00B02EE5" w:rsidP="00B02EE5">
      <w:pPr>
        <w:spacing w:after="120" w:line="276" w:lineRule="auto"/>
        <w:ind w:firstLine="720"/>
        <w:jc w:val="both"/>
        <w:rPr>
          <w:iCs/>
          <w:lang w:val="de-DE"/>
        </w:rPr>
      </w:pPr>
      <w:r w:rsidRPr="00B02EE5">
        <w:rPr>
          <w:iCs/>
          <w:lang w:val="de-DE"/>
        </w:rPr>
        <w:t>- Adjusted registered capital: 137 licensed projects from previous years registered to adjust investment capital by an additional 2.73 billion USD, 6.1 times higher than the same period last year.</w:t>
      </w:r>
    </w:p>
    <w:p w14:paraId="126E8810" w14:textId="77777777" w:rsidR="00B02EE5" w:rsidRPr="00B02EE5" w:rsidRDefault="00B02EE5" w:rsidP="00B02EE5">
      <w:pPr>
        <w:spacing w:after="120" w:line="276" w:lineRule="auto"/>
        <w:ind w:firstLine="720"/>
        <w:jc w:val="both"/>
        <w:rPr>
          <w:iCs/>
          <w:lang w:val="de-DE"/>
        </w:rPr>
      </w:pPr>
      <w:r w:rsidRPr="00B02EE5">
        <w:rPr>
          <w:iCs/>
          <w:lang w:val="de-DE"/>
        </w:rPr>
        <w:t>If including newly registered capital and adjusted registered capital of licensed projects from previous years, foreign direct investment capital in the processing and manufacturing industry reached 2.96 billion USD, accounting for 73.7% of the total newly registered and increased capital; real estate business activities reached 1.0 billion USD, accounting for 25.1%; the remaining industries reached 47.5 million USD, accounting for 1.2%.</w:t>
      </w:r>
    </w:p>
    <w:p w14:paraId="35667FDE" w14:textId="77777777" w:rsidR="00B02EE5" w:rsidRPr="00B02EE5" w:rsidRDefault="00B02EE5" w:rsidP="00B02EE5">
      <w:pPr>
        <w:spacing w:after="120" w:line="276" w:lineRule="auto"/>
        <w:ind w:firstLine="720"/>
        <w:jc w:val="both"/>
        <w:rPr>
          <w:iCs/>
          <w:spacing w:val="-4"/>
          <w:lang w:val="de-DE"/>
        </w:rPr>
      </w:pPr>
      <w:r w:rsidRPr="00B02EE5">
        <w:rPr>
          <w:iCs/>
          <w:spacing w:val="-4"/>
          <w:lang w:val="de-DE"/>
        </w:rPr>
        <w:t xml:space="preserve">- There were 260 registered capital contributions and share purchases by foreign investors with a total capital contribution value of 322.9 million USD, an increase of 70.4% over the same period last year </w:t>
      </w:r>
      <w:r w:rsidRPr="00B02EE5">
        <w:rPr>
          <w:iCs/>
          <w:spacing w:val="-4"/>
          <w:lang w:val="en"/>
        </w:rPr>
        <w:t xml:space="preserve">. </w:t>
      </w:r>
      <w:r w:rsidRPr="00B02EE5">
        <w:rPr>
          <w:iCs/>
          <w:spacing w:val="-4"/>
          <w:lang w:val="de-DE"/>
        </w:rPr>
        <w:t>Of which, 92 capital contributions and share purchases increased the charter capital of enterprises with a capital contribution value of 176.8 million USD and 168 foreign investors bought back domestic shares without increasing the charter capital with a value of 146.1 million USD. Regarding the form of capital contributions and share purchases by foreign investors, the investment capital in professional activities, science and technology reached 136.8 million USD, accounting for 42.4% of the capital contribution value; processing and manufacturing industry reached 132.9 million USD, accounting for 41.1%; the remaining industries 53.2 million USD, accounting for 16.5%.</w:t>
      </w:r>
    </w:p>
    <w:p w14:paraId="38442803" w14:textId="77777777" w:rsidR="00B02EE5" w:rsidRPr="00B02EE5" w:rsidRDefault="00B02EE5" w:rsidP="00B02EE5">
      <w:pPr>
        <w:spacing w:after="120" w:line="276" w:lineRule="auto"/>
        <w:ind w:firstLine="720"/>
        <w:jc w:val="both"/>
        <w:rPr>
          <w:rFonts w:ascii="Arial" w:hAnsi="Arial" w:cs="Arial"/>
          <w:iCs/>
          <w:sz w:val="24"/>
          <w:lang w:val="de-DE"/>
        </w:rPr>
      </w:pPr>
      <w:r w:rsidRPr="00B02EE5">
        <w:rPr>
          <w:i/>
          <w:iCs/>
          <w:lang w:val="de-DE"/>
        </w:rPr>
        <w:t xml:space="preserve">Foreign direct investment realized in Vietnam </w:t>
      </w:r>
      <w:r w:rsidRPr="00B02EE5">
        <w:rPr>
          <w:iCs/>
          <w:lang w:val="de-DE"/>
        </w:rPr>
        <w:t xml:space="preserve">in January 2025 was estimated at 1.51 billion USD, </w:t>
      </w:r>
      <w:r w:rsidRPr="00B02EE5">
        <w:rPr>
          <w:iCs/>
          <w:lang w:val="en"/>
        </w:rPr>
        <w:t xml:space="preserve">up 2.0 </w:t>
      </w:r>
      <w:r w:rsidRPr="00B02EE5">
        <w:rPr>
          <w:iCs/>
          <w:lang w:val="de-DE"/>
        </w:rPr>
        <w:t xml:space="preserve">% over the same period last year. Of which: </w:t>
      </w:r>
      <w:r w:rsidRPr="00B02EE5">
        <w:rPr>
          <w:iCs/>
          <w:lang w:val="de-DE"/>
        </w:rPr>
        <w:lastRenderedPageBreak/>
        <w:t xml:space="preserve">Processing and manufacturing industry reached 1.26 </w:t>
      </w:r>
      <w:r w:rsidRPr="00B02EE5">
        <w:rPr>
          <w:iCs/>
          <w:lang w:val="en"/>
        </w:rPr>
        <w:t xml:space="preserve">billion </w:t>
      </w:r>
      <w:r w:rsidRPr="00B02EE5">
        <w:rPr>
          <w:iCs/>
          <w:lang w:val="de-DE"/>
        </w:rPr>
        <w:t xml:space="preserve">USD, accounting for 83.2% of total realized foreign direct investment; production and distribution of electricity, gas, hot water, steam and air conditioning reached </w:t>
      </w:r>
      <w:r w:rsidRPr="00B02EE5">
        <w:rPr>
          <w:iCs/>
          <w:lang w:val="en"/>
        </w:rPr>
        <w:t xml:space="preserve">72.6 </w:t>
      </w:r>
      <w:r w:rsidRPr="00B02EE5">
        <w:rPr>
          <w:iCs/>
          <w:lang w:val="de-DE"/>
        </w:rPr>
        <w:t xml:space="preserve">million USD, accounting for </w:t>
      </w:r>
      <w:r w:rsidRPr="00B02EE5">
        <w:rPr>
          <w:iCs/>
          <w:lang w:val="en"/>
        </w:rPr>
        <w:t xml:space="preserve">4.8 </w:t>
      </w:r>
      <w:r w:rsidRPr="00B02EE5">
        <w:rPr>
          <w:iCs/>
          <w:lang w:val="de-DE"/>
        </w:rPr>
        <w:t>%; real estate business activities reached 72.5 million USD, accounting for 4.7%.</w:t>
      </w:r>
      <w:r w:rsidRPr="00B02EE5">
        <w:rPr>
          <w:rFonts w:ascii="Arial" w:hAnsi="Arial" w:cs="Arial"/>
          <w:iCs/>
          <w:sz w:val="24"/>
          <w:lang w:val="de-DE"/>
        </w:rPr>
        <w:t xml:space="preserve"> </w:t>
      </w:r>
    </w:p>
    <w:p w14:paraId="29BFD60E" w14:textId="77777777" w:rsidR="00B02EE5" w:rsidRPr="00B02EE5" w:rsidRDefault="00B02EE5" w:rsidP="00B02EE5">
      <w:pPr>
        <w:spacing w:after="40" w:line="252" w:lineRule="auto"/>
        <w:jc w:val="center"/>
        <w:rPr>
          <w:rFonts w:ascii="Arial" w:hAnsi="Arial" w:cs="Arial"/>
          <w:b/>
          <w:bCs/>
          <w:sz w:val="24"/>
          <w:lang w:val="de-DE"/>
        </w:rPr>
      </w:pPr>
    </w:p>
    <w:p w14:paraId="3F839E31" w14:textId="77777777" w:rsidR="00B02EE5" w:rsidRPr="00B02EE5" w:rsidRDefault="00B02EE5" w:rsidP="00B02EE5">
      <w:pPr>
        <w:spacing w:after="40" w:line="252" w:lineRule="auto"/>
        <w:jc w:val="center"/>
        <w:rPr>
          <w:rFonts w:ascii="Arial" w:hAnsi="Arial" w:cs="Arial"/>
          <w:b/>
          <w:bCs/>
          <w:sz w:val="24"/>
          <w:lang w:val="de-DE"/>
        </w:rPr>
      </w:pPr>
    </w:p>
    <w:p w14:paraId="3758A61A" w14:textId="77777777" w:rsidR="00B02EE5" w:rsidRPr="00B02EE5" w:rsidRDefault="00B02EE5" w:rsidP="00B02EE5">
      <w:pPr>
        <w:spacing w:after="40" w:line="252" w:lineRule="auto"/>
        <w:jc w:val="center"/>
        <w:rPr>
          <w:rFonts w:ascii="Arial" w:hAnsi="Arial" w:cs="Arial"/>
          <w:iCs/>
          <w:sz w:val="24"/>
          <w:lang w:val="de-DE"/>
        </w:rPr>
      </w:pPr>
      <w:r w:rsidRPr="00B02EE5">
        <w:rPr>
          <w:rFonts w:ascii="Arial" w:hAnsi="Arial" w:cs="Arial"/>
          <w:b/>
          <w:bCs/>
          <w:sz w:val="24"/>
          <w:lang w:val="de-DE"/>
        </w:rPr>
        <w:t xml:space="preserve">Figure 8. Realized foreign direct investment </w:t>
      </w:r>
      <w:r w:rsidRPr="00B02EE5">
        <w:rPr>
          <w:rFonts w:ascii="Arial" w:hAnsi="Arial" w:cs="Arial"/>
          <w:b/>
          <w:bCs/>
          <w:sz w:val="24"/>
          <w:lang w:val="en"/>
        </w:rPr>
        <w:t>in January</w:t>
      </w:r>
    </w:p>
    <w:p w14:paraId="5EE9074A" w14:textId="77777777" w:rsidR="00B02EE5" w:rsidRPr="00B02EE5" w:rsidRDefault="00B02EE5" w:rsidP="00B02EE5">
      <w:pPr>
        <w:jc w:val="center"/>
        <w:rPr>
          <w:rFonts w:ascii="Arial" w:hAnsi="Arial" w:cs="Arial"/>
          <w:b/>
          <w:bCs/>
          <w:sz w:val="24"/>
          <w:lang w:val="de-DE"/>
        </w:rPr>
      </w:pPr>
      <w:r w:rsidRPr="00B02EE5">
        <w:rPr>
          <w:rFonts w:ascii="Arial" w:hAnsi="Arial" w:cs="Arial"/>
          <w:b/>
          <w:bCs/>
          <w:sz w:val="24"/>
          <w:lang w:val="de-DE"/>
        </w:rPr>
        <w:t xml:space="preserve">years </w:t>
      </w:r>
      <w:r w:rsidRPr="00B02EE5">
        <w:rPr>
          <w:rFonts w:ascii="Arial" w:hAnsi="Arial" w:cs="Arial"/>
          <w:b/>
          <w:bCs/>
          <w:sz w:val="24"/>
          <w:lang w:val="en"/>
        </w:rPr>
        <w:t xml:space="preserve">2021 </w:t>
      </w:r>
      <w:r w:rsidRPr="00B02EE5">
        <w:rPr>
          <w:rFonts w:ascii="Arial" w:hAnsi="Arial" w:cs="Arial"/>
          <w:b/>
          <w:bCs/>
          <w:sz w:val="24"/>
          <w:lang w:val="de-DE"/>
        </w:rPr>
        <w:t>-2025 (Billion USD)</w:t>
      </w:r>
    </w:p>
    <w:p w14:paraId="2CC9858A" w14:textId="77777777" w:rsidR="00B02EE5" w:rsidRPr="00B02EE5" w:rsidRDefault="00B02EE5" w:rsidP="00B02EE5">
      <w:pPr>
        <w:jc w:val="center"/>
        <w:rPr>
          <w:rFonts w:ascii="Arial" w:hAnsi="Arial" w:cs="Arial"/>
          <w:b/>
          <w:bCs/>
          <w:sz w:val="24"/>
          <w:lang w:val="de-DE"/>
        </w:rPr>
      </w:pPr>
    </w:p>
    <w:p w14:paraId="4A14C8F0" w14:textId="77777777" w:rsidR="00B02EE5" w:rsidRPr="00B02EE5" w:rsidRDefault="00B02EE5" w:rsidP="00B02EE5">
      <w:pPr>
        <w:jc w:val="center"/>
        <w:rPr>
          <w:rFonts w:ascii="Arial" w:hAnsi="Arial" w:cs="Arial"/>
          <w:b/>
          <w:bCs/>
          <w:sz w:val="24"/>
          <w:lang w:val="de-DE"/>
        </w:rPr>
      </w:pPr>
      <w:r w:rsidRPr="00B02EE5">
        <w:rPr>
          <w:noProof/>
          <w:lang w:val="en-US"/>
        </w:rPr>
        <w:drawing>
          <wp:inline distT="0" distB="0" distL="0" distR="0" wp14:anchorId="6166C6F8" wp14:editId="3EEC0019">
            <wp:extent cx="4882550" cy="1880235"/>
            <wp:effectExtent l="0" t="0" r="13335" b="571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A6D75CF" w14:textId="77777777" w:rsidR="00B02EE5" w:rsidRPr="00B02EE5" w:rsidRDefault="00B02EE5" w:rsidP="00B02EE5">
      <w:pPr>
        <w:spacing w:after="120" w:line="264" w:lineRule="auto"/>
        <w:ind w:firstLine="720"/>
        <w:jc w:val="both"/>
        <w:rPr>
          <w:iCs/>
          <w:spacing w:val="-2"/>
          <w:lang w:val="de-DE"/>
        </w:rPr>
      </w:pPr>
      <w:r w:rsidRPr="00B02EE5">
        <w:rPr>
          <w:i/>
          <w:iCs/>
          <w:spacing w:val="-2"/>
          <w:lang w:val="de-DE"/>
        </w:rPr>
        <w:t xml:space="preserve">Vietnam's overseas investment </w:t>
      </w:r>
      <w:r w:rsidRPr="00B02EE5">
        <w:rPr>
          <w:iCs/>
          <w:spacing w:val="-2"/>
          <w:lang w:val="de-DE"/>
        </w:rPr>
        <w:t xml:space="preserve">in January 2025 had </w:t>
      </w:r>
      <w:r w:rsidRPr="00B02EE5">
        <w:rPr>
          <w:iCs/>
          <w:spacing w:val="-2"/>
          <w:lang w:val="en"/>
        </w:rPr>
        <w:t xml:space="preserve">10 </w:t>
      </w:r>
      <w:r w:rsidRPr="00B02EE5">
        <w:rPr>
          <w:iCs/>
          <w:spacing w:val="-2"/>
          <w:lang w:val="de-DE"/>
        </w:rPr>
        <w:t xml:space="preserve">projects newly granted investment certificates with a total capital of Vietnam's side of 83.0 million USD, 5.1 times higher than the same period last year </w:t>
      </w:r>
      <w:r w:rsidRPr="00B02EE5">
        <w:rPr>
          <w:iCs/>
          <w:spacing w:val="-2"/>
          <w:vertAlign w:val="superscript"/>
          <w:lang w:val="de-DE"/>
        </w:rPr>
        <w:footnoteReference w:id="9"/>
      </w:r>
      <w:r w:rsidRPr="00B02EE5">
        <w:rPr>
          <w:iCs/>
          <w:spacing w:val="-2"/>
          <w:lang w:val="de-DE"/>
        </w:rPr>
        <w:t>, including: Processing and manufacturing industry</w:t>
      </w:r>
      <w:r w:rsidRPr="00B02EE5">
        <w:rPr>
          <w:iCs/>
          <w:spacing w:val="-2"/>
          <w:lang w:val="en"/>
        </w:rPr>
        <w:t xml:space="preserve"> </w:t>
      </w:r>
      <w:r w:rsidRPr="00B02EE5">
        <w:rPr>
          <w:iCs/>
          <w:spacing w:val="-2"/>
          <w:lang w:val="de-DE"/>
        </w:rPr>
        <w:t xml:space="preserve">reached </w:t>
      </w:r>
      <w:r w:rsidRPr="00B02EE5">
        <w:rPr>
          <w:iCs/>
          <w:spacing w:val="-2"/>
          <w:lang w:val="en"/>
        </w:rPr>
        <w:t xml:space="preserve">61.6 </w:t>
      </w:r>
      <w:r w:rsidRPr="00B02EE5">
        <w:rPr>
          <w:iCs/>
          <w:spacing w:val="-2"/>
          <w:lang w:val="de-DE"/>
        </w:rPr>
        <w:t xml:space="preserve">million USD, accounting for 74.2 </w:t>
      </w:r>
      <w:r w:rsidRPr="00B02EE5">
        <w:rPr>
          <w:iCs/>
          <w:spacing w:val="-2"/>
          <w:lang w:val="en"/>
        </w:rPr>
        <w:t xml:space="preserve">% </w:t>
      </w:r>
      <w:r w:rsidRPr="00B02EE5">
        <w:rPr>
          <w:iCs/>
          <w:spacing w:val="-2"/>
          <w:lang w:val="de-DE"/>
        </w:rPr>
        <w:t xml:space="preserve">of total investment capital </w:t>
      </w:r>
      <w:r w:rsidRPr="00B02EE5">
        <w:rPr>
          <w:iCs/>
          <w:spacing w:val="-2"/>
          <w:lang w:val="en"/>
        </w:rPr>
        <w:t xml:space="preserve">; mining </w:t>
      </w:r>
      <w:r w:rsidRPr="00B02EE5">
        <w:rPr>
          <w:iCs/>
          <w:spacing w:val="-2"/>
          <w:lang w:val="de-DE"/>
        </w:rPr>
        <w:t xml:space="preserve">reached 18.7 million USD, accounting for </w:t>
      </w:r>
      <w:r w:rsidRPr="00B02EE5">
        <w:rPr>
          <w:iCs/>
          <w:spacing w:val="-2"/>
          <w:lang w:val="en"/>
        </w:rPr>
        <w:t xml:space="preserve">22.5 </w:t>
      </w:r>
      <w:r w:rsidRPr="00B02EE5">
        <w:rPr>
          <w:iCs/>
          <w:spacing w:val="-2"/>
          <w:lang w:val="de-DE"/>
        </w:rPr>
        <w:t xml:space="preserve">%; construction reached 2.4 </w:t>
      </w:r>
      <w:r w:rsidRPr="00B02EE5">
        <w:rPr>
          <w:iCs/>
          <w:spacing w:val="-2"/>
          <w:lang w:val="en"/>
        </w:rPr>
        <w:t xml:space="preserve">million </w:t>
      </w:r>
      <w:r w:rsidRPr="00B02EE5">
        <w:rPr>
          <w:iCs/>
          <w:spacing w:val="-2"/>
          <w:lang w:val="de-DE"/>
        </w:rPr>
        <w:t xml:space="preserve">USD, accounting for </w:t>
      </w:r>
      <w:r w:rsidRPr="00B02EE5">
        <w:rPr>
          <w:iCs/>
          <w:spacing w:val="-2"/>
          <w:lang w:val="en"/>
        </w:rPr>
        <w:t xml:space="preserve">2.9 </w:t>
      </w:r>
      <w:r w:rsidRPr="00B02EE5">
        <w:rPr>
          <w:iCs/>
          <w:spacing w:val="-2"/>
          <w:lang w:val="de-DE"/>
        </w:rPr>
        <w:t>%.</w:t>
      </w:r>
    </w:p>
    <w:p w14:paraId="5187F512" w14:textId="533E891C" w:rsidR="00B02EE5" w:rsidRPr="00B02EE5" w:rsidRDefault="00B02EE5" w:rsidP="00B02EE5">
      <w:pPr>
        <w:spacing w:after="120" w:line="264" w:lineRule="auto"/>
        <w:ind w:firstLine="720"/>
        <w:jc w:val="both"/>
        <w:rPr>
          <w:b/>
          <w:bCs/>
          <w:lang w:val="de-DE"/>
        </w:rPr>
      </w:pPr>
      <w:r w:rsidRPr="00B02EE5">
        <w:rPr>
          <w:iCs/>
          <w:lang w:val="de-DE"/>
        </w:rPr>
        <w:t xml:space="preserve">In January 2025, there were 08 countries receiving investment from Vietnam, of which: Philippines was the leading country with 32.7 million USD, accounting for </w:t>
      </w:r>
      <w:r w:rsidRPr="00B02EE5">
        <w:rPr>
          <w:iCs/>
          <w:lang w:val="en"/>
        </w:rPr>
        <w:t xml:space="preserve">39.4 </w:t>
      </w:r>
      <w:r w:rsidRPr="00B02EE5">
        <w:rPr>
          <w:iCs/>
          <w:lang w:val="de-DE"/>
        </w:rPr>
        <w:t xml:space="preserve">% of total investment capital; Indonesia 31.1 million USD, accounting for </w:t>
      </w:r>
      <w:r w:rsidRPr="00B02EE5">
        <w:rPr>
          <w:iCs/>
          <w:lang w:val="en"/>
        </w:rPr>
        <w:t xml:space="preserve">37.4 % </w:t>
      </w:r>
      <w:r w:rsidRPr="00B02EE5">
        <w:rPr>
          <w:iCs/>
          <w:lang w:val="de-DE"/>
        </w:rPr>
        <w:t xml:space="preserve">; Laos 18.6 </w:t>
      </w:r>
      <w:r w:rsidRPr="00B02EE5">
        <w:rPr>
          <w:iCs/>
          <w:lang w:val="en"/>
        </w:rPr>
        <w:t xml:space="preserve">million </w:t>
      </w:r>
      <w:r w:rsidRPr="00B02EE5">
        <w:rPr>
          <w:iCs/>
          <w:lang w:val="de-DE"/>
        </w:rPr>
        <w:t xml:space="preserve">USD, accounting for </w:t>
      </w:r>
      <w:r w:rsidRPr="00B02EE5">
        <w:rPr>
          <w:iCs/>
          <w:lang w:val="en"/>
        </w:rPr>
        <w:t xml:space="preserve">22.3 </w:t>
      </w:r>
      <w:r w:rsidRPr="00B02EE5">
        <w:rPr>
          <w:iCs/>
          <w:lang w:val="de-DE"/>
        </w:rPr>
        <w:t>%.</w:t>
      </w:r>
    </w:p>
    <w:p w14:paraId="58170AF4" w14:textId="77777777" w:rsidR="00B02EE5" w:rsidRPr="00862108" w:rsidRDefault="00B02EE5" w:rsidP="00B02EE5">
      <w:pPr>
        <w:spacing w:before="40" w:after="40" w:line="264" w:lineRule="auto"/>
        <w:ind w:firstLine="567"/>
        <w:jc w:val="both"/>
        <w:rPr>
          <w:b/>
          <w:bCs/>
        </w:rPr>
      </w:pPr>
      <w:r>
        <w:rPr>
          <w:b/>
          <w:bCs/>
          <w:lang w:val="en-US"/>
        </w:rPr>
        <w:t xml:space="preserve">5. </w:t>
      </w:r>
      <w:r w:rsidRPr="00862108">
        <w:rPr>
          <w:b/>
          <w:bCs/>
        </w:rPr>
        <w:t>State budget revenue and expenditure</w:t>
      </w:r>
      <w:r w:rsidRPr="004C32C4">
        <w:rPr>
          <w:rStyle w:val="FootnoteReference"/>
          <w:bCs/>
        </w:rPr>
        <w:footnoteReference w:id="10"/>
      </w:r>
    </w:p>
    <w:p w14:paraId="070C2236" w14:textId="77777777" w:rsidR="00B02EE5" w:rsidRDefault="00B02EE5" w:rsidP="00B02EE5">
      <w:pPr>
        <w:spacing w:before="40" w:after="40" w:line="276" w:lineRule="auto"/>
        <w:ind w:firstLine="567"/>
        <w:jc w:val="both"/>
        <w:rPr>
          <w:i/>
          <w:spacing w:val="-2"/>
          <w:sz w:val="30"/>
          <w:lang w:val="nl-NL"/>
        </w:rPr>
      </w:pPr>
      <w:r w:rsidRPr="00FD5716">
        <w:rPr>
          <w:rFonts w:ascii="Times New Roman Italic" w:hAnsi="Times New Roman Italic"/>
          <w:i/>
          <w:spacing w:val="-2"/>
          <w:lang w:val="nl-NL"/>
        </w:rPr>
        <w:t xml:space="preserve">State budget revenue in January 2025 </w:t>
      </w:r>
      <w:r>
        <w:rPr>
          <w:rFonts w:ascii="Times New Roman Italic" w:hAnsi="Times New Roman Italic"/>
          <w:i/>
          <w:spacing w:val="-2"/>
          <w:lang w:val="nl-NL"/>
        </w:rPr>
        <w:t>wa</w:t>
      </w:r>
      <w:r w:rsidRPr="00FD5716">
        <w:rPr>
          <w:rFonts w:ascii="Times New Roman Italic" w:hAnsi="Times New Roman Italic"/>
          <w:i/>
          <w:spacing w:val="-2"/>
          <w:lang w:val="nl-NL"/>
        </w:rPr>
        <w:t xml:space="preserve">s estimated to increase by 3.5% over the same period last year. State budget expenditure </w:t>
      </w:r>
      <w:r>
        <w:rPr>
          <w:rFonts w:ascii="Times New Roman Italic" w:hAnsi="Times New Roman Italic"/>
          <w:i/>
          <w:spacing w:val="-2"/>
          <w:lang w:val="nl-NL"/>
        </w:rPr>
        <w:t>wa</w:t>
      </w:r>
      <w:r w:rsidRPr="00FD5716">
        <w:rPr>
          <w:rFonts w:ascii="Times New Roman Italic" w:hAnsi="Times New Roman Italic"/>
          <w:i/>
          <w:spacing w:val="-2"/>
          <w:lang w:val="nl-NL"/>
        </w:rPr>
        <w:t xml:space="preserve">s estimated to increase by 4.8% over the same period in 2024, </w:t>
      </w:r>
      <w:r w:rsidRPr="00C136B2">
        <w:rPr>
          <w:i/>
          <w:spacing w:val="-2"/>
          <w:lang w:val="nl-NL"/>
        </w:rPr>
        <w:t>promptly meeting the spending needs for the operation of the State apparatus, timely paying salaries and pensions, and effectively implementing social security policies.</w:t>
      </w:r>
    </w:p>
    <w:p w14:paraId="778936D9" w14:textId="77777777" w:rsidR="00B02EE5" w:rsidRPr="008207E0" w:rsidRDefault="00B02EE5" w:rsidP="00B02EE5">
      <w:pPr>
        <w:spacing w:before="40" w:after="40" w:line="276" w:lineRule="auto"/>
        <w:ind w:firstLine="567"/>
        <w:jc w:val="both"/>
        <w:rPr>
          <w:rFonts w:ascii="Times New Roman Italic" w:hAnsi="Times New Roman Italic" w:cs="Arial"/>
          <w:b/>
          <w:spacing w:val="-2"/>
          <w:sz w:val="6"/>
          <w:szCs w:val="10"/>
          <w:lang w:val="nl-NL"/>
        </w:rPr>
      </w:pPr>
    </w:p>
    <w:p w14:paraId="660A1CBD" w14:textId="77777777" w:rsidR="00B02EE5" w:rsidRDefault="00B02EE5" w:rsidP="00B02EE5">
      <w:pPr>
        <w:spacing w:before="40" w:after="160" w:line="264" w:lineRule="auto"/>
        <w:jc w:val="center"/>
        <w:rPr>
          <w:rFonts w:ascii="Arial" w:hAnsi="Arial" w:cs="Arial"/>
          <w:b/>
          <w:sz w:val="24"/>
          <w:szCs w:val="24"/>
          <w:lang w:val="nl-NL"/>
        </w:rPr>
      </w:pPr>
      <w:r>
        <w:rPr>
          <w:rFonts w:ascii="Arial" w:hAnsi="Arial" w:cs="Arial"/>
          <w:b/>
          <w:sz w:val="24"/>
          <w:szCs w:val="24"/>
          <w:lang w:val="nl-NL"/>
        </w:rPr>
        <w:t>Figure 10. State budget revenue and expenditure in January 2025</w:t>
      </w:r>
    </w:p>
    <w:p w14:paraId="2CFD6CE2" w14:textId="77777777" w:rsidR="00B02EE5" w:rsidRDefault="00B02EE5" w:rsidP="00B02EE5">
      <w:pPr>
        <w:spacing w:before="40" w:after="160" w:line="264" w:lineRule="auto"/>
        <w:jc w:val="center"/>
        <w:rPr>
          <w:rFonts w:ascii="Arial" w:hAnsi="Arial" w:cs="Arial"/>
          <w:b/>
          <w:sz w:val="24"/>
          <w:szCs w:val="24"/>
          <w:lang w:val="nl-NL"/>
        </w:rPr>
      </w:pPr>
      <w:r>
        <w:rPr>
          <w:rFonts w:ascii="Arial" w:hAnsi="Arial" w:cs="Arial"/>
          <w:b/>
          <w:noProof/>
          <w:sz w:val="24"/>
          <w:szCs w:val="24"/>
          <w:lang w:val="en-US"/>
        </w:rPr>
        <w:lastRenderedPageBreak/>
        <w:drawing>
          <wp:inline distT="0" distB="0" distL="0" distR="0" wp14:anchorId="5967CC7C" wp14:editId="6F42A195">
            <wp:extent cx="5760720" cy="2403475"/>
            <wp:effectExtent l="0" t="0" r="0" b="0"/>
            <wp:docPr id="373719741" name="Picture 373719741" descr="A diagram of a balance with money and piggy ban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719741" name="Picture 373719741" descr="A diagram of a balance with money and piggy bank&#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5760720" cy="2403475"/>
                    </a:xfrm>
                    <a:prstGeom prst="rect">
                      <a:avLst/>
                    </a:prstGeom>
                  </pic:spPr>
                </pic:pic>
              </a:graphicData>
            </a:graphic>
          </wp:inline>
        </w:drawing>
      </w:r>
    </w:p>
    <w:p w14:paraId="1146D500" w14:textId="77777777" w:rsidR="00B02EE5" w:rsidRPr="00441C87" w:rsidRDefault="00B02EE5" w:rsidP="00B02EE5">
      <w:pPr>
        <w:spacing w:before="40" w:after="40" w:line="276" w:lineRule="auto"/>
        <w:ind w:firstLine="567"/>
        <w:jc w:val="both"/>
        <w:rPr>
          <w:b/>
          <w:i/>
          <w:lang w:val="it-IT"/>
        </w:rPr>
      </w:pPr>
      <w:r w:rsidRPr="00441C87">
        <w:rPr>
          <w:b/>
          <w:i/>
          <w:lang w:val="it-IT"/>
        </w:rPr>
        <w:t>State budget revenue</w:t>
      </w:r>
    </w:p>
    <w:p w14:paraId="65660BA2" w14:textId="77777777" w:rsidR="00B02EE5" w:rsidRDefault="00B02EE5" w:rsidP="00B02EE5">
      <w:pPr>
        <w:spacing w:before="40" w:after="40" w:line="276" w:lineRule="auto"/>
        <w:ind w:firstLine="567"/>
        <w:jc w:val="both"/>
        <w:rPr>
          <w:lang w:val="nl-NL"/>
        </w:rPr>
      </w:pPr>
      <w:r w:rsidRPr="00862382">
        <w:rPr>
          <w:lang w:val="it-IT"/>
        </w:rPr>
        <w:t xml:space="preserve">Total state budget revenue in January 2025 </w:t>
      </w:r>
      <w:r>
        <w:rPr>
          <w:lang w:val="it-IT"/>
        </w:rPr>
        <w:t>wa</w:t>
      </w:r>
      <w:r w:rsidRPr="00862382">
        <w:rPr>
          <w:lang w:val="it-IT"/>
        </w:rPr>
        <w:t xml:space="preserve">s estimated at VND 275.9 </w:t>
      </w:r>
      <w:r>
        <w:rPr>
          <w:lang w:val="nl-NL"/>
        </w:rPr>
        <w:t>trillion</w:t>
      </w:r>
      <w:r w:rsidRPr="00862382">
        <w:rPr>
          <w:lang w:val="it-IT"/>
        </w:rPr>
        <w:t>, equal to 14.0% of the annual estimate and up 3.5%</w:t>
      </w:r>
      <w:r>
        <w:rPr>
          <w:lang w:val="it-IT"/>
        </w:rPr>
        <w:t xml:space="preserve"> over the same period last year</w:t>
      </w:r>
      <w:r w:rsidRPr="00862382">
        <w:rPr>
          <w:lang w:val="nl-NL"/>
        </w:rPr>
        <w:t>. In particular, some main revenue items are as follows:</w:t>
      </w:r>
    </w:p>
    <w:p w14:paraId="16D92D41" w14:textId="77777777" w:rsidR="00B02EE5" w:rsidRDefault="00B02EE5" w:rsidP="00B02EE5">
      <w:pPr>
        <w:spacing w:before="40" w:after="40" w:line="264" w:lineRule="auto"/>
        <w:ind w:firstLine="567"/>
        <w:jc w:val="both"/>
        <w:rPr>
          <w:lang w:val="nl-NL"/>
        </w:rPr>
      </w:pPr>
      <w:r w:rsidRPr="00441C87">
        <w:rPr>
          <w:i/>
          <w:lang w:val="nl-NL"/>
        </w:rPr>
        <w:t xml:space="preserve">- Domestic revenue </w:t>
      </w:r>
      <w:r w:rsidRPr="00862108">
        <w:rPr>
          <w:lang w:val="nl-NL"/>
        </w:rPr>
        <w:t xml:space="preserve">in January 2025 </w:t>
      </w:r>
      <w:r>
        <w:rPr>
          <w:lang w:val="nl-NL"/>
        </w:rPr>
        <w:t>wa</w:t>
      </w:r>
      <w:r w:rsidRPr="00862108">
        <w:rPr>
          <w:lang w:val="nl-NL"/>
        </w:rPr>
        <w:t xml:space="preserve">s estimated at VND 255.4 trillion, equal to 15.3% of the annual estimate and up 5.4% </w:t>
      </w:r>
      <w:r>
        <w:rPr>
          <w:lang w:val="it-IT"/>
        </w:rPr>
        <w:t>over the same period last year</w:t>
      </w:r>
      <w:r>
        <w:rPr>
          <w:lang w:val="nl-NL"/>
        </w:rPr>
        <w:t>.</w:t>
      </w:r>
    </w:p>
    <w:p w14:paraId="24A9E391" w14:textId="77777777" w:rsidR="00B02EE5" w:rsidRPr="008816F9" w:rsidRDefault="00B02EE5" w:rsidP="00B02EE5">
      <w:pPr>
        <w:spacing w:before="40" w:after="40" w:line="288" w:lineRule="auto"/>
        <w:ind w:firstLine="567"/>
        <w:jc w:val="both"/>
        <w:rPr>
          <w:lang w:val="nl-NL"/>
        </w:rPr>
      </w:pPr>
      <w:r w:rsidRPr="00441C87">
        <w:rPr>
          <w:i/>
          <w:lang w:val="nl-NL"/>
        </w:rPr>
        <w:t xml:space="preserve">- Revenue from crude oil </w:t>
      </w:r>
      <w:r>
        <w:rPr>
          <w:lang w:val="nl-NL"/>
        </w:rPr>
        <w:t>in January 2025 wa</w:t>
      </w:r>
      <w:r w:rsidRPr="00862108">
        <w:rPr>
          <w:lang w:val="nl-NL"/>
        </w:rPr>
        <w:t>s</w:t>
      </w:r>
      <w:r>
        <w:rPr>
          <w:lang w:val="nl-NL"/>
        </w:rPr>
        <w:t xml:space="preserve"> estimated at 4.0 trillion VND, equal to 7.5% of the annual estimate and down 19% </w:t>
      </w:r>
      <w:r>
        <w:rPr>
          <w:lang w:val="it-IT"/>
        </w:rPr>
        <w:t>over the same period last year</w:t>
      </w:r>
      <w:r>
        <w:rPr>
          <w:lang w:val="nl-NL"/>
        </w:rPr>
        <w:t>.</w:t>
      </w:r>
    </w:p>
    <w:p w14:paraId="248BFA0F" w14:textId="77777777" w:rsidR="00B02EE5" w:rsidRPr="0003264C" w:rsidRDefault="00B02EE5" w:rsidP="00B02EE5">
      <w:pPr>
        <w:spacing w:before="40" w:after="40" w:line="283" w:lineRule="auto"/>
        <w:ind w:firstLine="567"/>
        <w:jc w:val="both"/>
        <w:rPr>
          <w:spacing w:val="-4"/>
          <w:lang w:val="nl-NL"/>
        </w:rPr>
      </w:pPr>
      <w:r w:rsidRPr="0003264C">
        <w:rPr>
          <w:i/>
          <w:spacing w:val="-4"/>
          <w:lang w:val="nl-NL"/>
        </w:rPr>
        <w:t xml:space="preserve">- Budget revenue from import and export activities </w:t>
      </w:r>
      <w:r w:rsidRPr="0003264C">
        <w:rPr>
          <w:spacing w:val="-4"/>
          <w:lang w:val="nl-NL"/>
        </w:rPr>
        <w:t xml:space="preserve">in January 2025 </w:t>
      </w:r>
      <w:r>
        <w:rPr>
          <w:lang w:val="nl-NL"/>
        </w:rPr>
        <w:t>wa</w:t>
      </w:r>
      <w:r w:rsidRPr="00862108">
        <w:rPr>
          <w:lang w:val="nl-NL"/>
        </w:rPr>
        <w:t>s</w:t>
      </w:r>
      <w:r w:rsidRPr="0003264C">
        <w:rPr>
          <w:spacing w:val="-4"/>
          <w:lang w:val="nl-NL"/>
        </w:rPr>
        <w:t xml:space="preserve"> estimated at 16.5 trillion VND, equal to 7.0% of the annual estimate and down 15.3% </w:t>
      </w:r>
      <w:r w:rsidRPr="0003264C">
        <w:rPr>
          <w:spacing w:val="-4"/>
          <w:lang w:val="it-IT"/>
        </w:rPr>
        <w:t>over the same period last year</w:t>
      </w:r>
      <w:r w:rsidRPr="0003264C">
        <w:rPr>
          <w:spacing w:val="-4"/>
          <w:lang w:val="nl-NL"/>
        </w:rPr>
        <w:t>.</w:t>
      </w:r>
    </w:p>
    <w:p w14:paraId="2904D6C2" w14:textId="77777777" w:rsidR="00B02EE5" w:rsidRPr="00441C87" w:rsidRDefault="00B02EE5" w:rsidP="00B02EE5">
      <w:pPr>
        <w:spacing w:before="40" w:after="40" w:line="283" w:lineRule="auto"/>
        <w:ind w:firstLine="567"/>
        <w:jc w:val="both"/>
        <w:rPr>
          <w:b/>
          <w:i/>
          <w:lang w:val="nl-NL"/>
        </w:rPr>
      </w:pPr>
      <w:r>
        <w:rPr>
          <w:b/>
          <w:i/>
          <w:lang w:val="nl-NL"/>
        </w:rPr>
        <w:t>State budget expenditure</w:t>
      </w:r>
    </w:p>
    <w:p w14:paraId="39AFAAFE" w14:textId="77777777" w:rsidR="00B02EE5" w:rsidRPr="0003264C" w:rsidRDefault="00B02EE5" w:rsidP="00B02EE5">
      <w:pPr>
        <w:spacing w:before="40" w:after="40" w:line="283" w:lineRule="auto"/>
        <w:ind w:firstLine="567"/>
        <w:jc w:val="both"/>
        <w:rPr>
          <w:spacing w:val="-2"/>
          <w:lang w:val="nl-NL"/>
        </w:rPr>
      </w:pPr>
      <w:r w:rsidRPr="0003264C">
        <w:rPr>
          <w:spacing w:val="-2"/>
          <w:lang w:val="nl-NL"/>
        </w:rPr>
        <w:t xml:space="preserve">Total state budget expenditure in January 2025 </w:t>
      </w:r>
      <w:r>
        <w:rPr>
          <w:lang w:val="nl-NL"/>
        </w:rPr>
        <w:t>wa</w:t>
      </w:r>
      <w:r w:rsidRPr="00862108">
        <w:rPr>
          <w:lang w:val="nl-NL"/>
        </w:rPr>
        <w:t>s</w:t>
      </w:r>
      <w:r w:rsidRPr="0003264C">
        <w:rPr>
          <w:spacing w:val="-2"/>
          <w:lang w:val="nl-NL"/>
        </w:rPr>
        <w:t xml:space="preserve"> estimated at VND 134.4 trillion, equal to 5.3% of the </w:t>
      </w:r>
      <w:r>
        <w:rPr>
          <w:spacing w:val="-2"/>
          <w:lang w:val="nl-NL"/>
        </w:rPr>
        <w:t>yearly</w:t>
      </w:r>
      <w:r w:rsidRPr="0003264C">
        <w:rPr>
          <w:spacing w:val="-2"/>
          <w:lang w:val="nl-NL"/>
        </w:rPr>
        <w:t xml:space="preserve"> estimate and up 4.8% over the same period last year </w:t>
      </w:r>
      <w:r w:rsidRPr="0003264C">
        <w:rPr>
          <w:spacing w:val="-2"/>
        </w:rPr>
        <w:t xml:space="preserve">. </w:t>
      </w:r>
      <w:r w:rsidRPr="0003264C">
        <w:rPr>
          <w:spacing w:val="-2"/>
          <w:lang w:val="nl-NL"/>
        </w:rPr>
        <w:t>Of which</w:t>
      </w:r>
      <w:r w:rsidRPr="0003264C">
        <w:rPr>
          <w:spacing w:val="-2"/>
        </w:rPr>
        <w:t xml:space="preserve">, </w:t>
      </w:r>
      <w:r>
        <w:rPr>
          <w:spacing w:val="-2"/>
          <w:lang w:val="nl-NL"/>
        </w:rPr>
        <w:t>recurrent</w:t>
      </w:r>
      <w:r w:rsidRPr="0003264C">
        <w:rPr>
          <w:spacing w:val="-2"/>
          <w:lang w:val="nl-NL"/>
        </w:rPr>
        <w:t xml:space="preserve"> expenditure in January 2025 reached VND 105.0 trillion, equal to 6.7% of </w:t>
      </w:r>
      <w:r>
        <w:rPr>
          <w:spacing w:val="-2"/>
          <w:lang w:val="nl-NL"/>
        </w:rPr>
        <w:t xml:space="preserve"> </w:t>
      </w:r>
      <w:r w:rsidRPr="0003264C">
        <w:rPr>
          <w:spacing w:val="-2"/>
          <w:lang w:val="nl-NL"/>
        </w:rPr>
        <w:t xml:space="preserve">the </w:t>
      </w:r>
      <w:r>
        <w:rPr>
          <w:spacing w:val="-2"/>
          <w:lang w:val="nl-NL"/>
        </w:rPr>
        <w:t>yearly</w:t>
      </w:r>
      <w:r w:rsidRPr="0003264C">
        <w:rPr>
          <w:spacing w:val="-2"/>
          <w:lang w:val="nl-NL"/>
        </w:rPr>
        <w:t xml:space="preserve"> estimate and up 12.9% over the same period last year; development investment expenditure reached VND 10.4 trillion, equal to 1.3% and down 38.7%; debt interest payment was nearly VND 19 trillion, equal to 17.2% and up 3.6%.</w:t>
      </w:r>
    </w:p>
    <w:p w14:paraId="233F95F0" w14:textId="77777777" w:rsidR="00B02EE5" w:rsidRPr="002F276E" w:rsidRDefault="00B02EE5" w:rsidP="00B02EE5">
      <w:pPr>
        <w:pStyle w:val="Normal10"/>
        <w:spacing w:before="40" w:beforeAutospacing="0" w:after="40" w:afterAutospacing="0" w:line="264" w:lineRule="auto"/>
        <w:jc w:val="both"/>
        <w:rPr>
          <w:b/>
          <w:bCs/>
          <w:color w:val="FF0000"/>
          <w:sz w:val="8"/>
          <w:lang w:val="en-GB"/>
        </w:rPr>
      </w:pPr>
    </w:p>
    <w:p w14:paraId="75FEC075" w14:textId="77777777" w:rsidR="00B02EE5" w:rsidRPr="00B02EE5" w:rsidRDefault="00B02EE5" w:rsidP="00B02EE5">
      <w:pPr>
        <w:spacing w:after="60" w:line="276" w:lineRule="auto"/>
        <w:ind w:firstLine="567"/>
        <w:jc w:val="both"/>
        <w:rPr>
          <w:b/>
          <w:bCs/>
        </w:rPr>
      </w:pPr>
      <w:r w:rsidRPr="00B02EE5">
        <w:rPr>
          <w:b/>
          <w:bCs/>
        </w:rPr>
        <w:t>6. Trade</w:t>
      </w:r>
      <w:r w:rsidRPr="00B02EE5">
        <w:rPr>
          <w:b/>
          <w:bCs/>
          <w:lang w:val="en-US"/>
        </w:rPr>
        <w:t>,</w:t>
      </w:r>
      <w:r w:rsidRPr="00B02EE5">
        <w:rPr>
          <w:b/>
          <w:bCs/>
        </w:rPr>
        <w:t xml:space="preserve"> prices</w:t>
      </w:r>
      <w:r w:rsidRPr="00B02EE5">
        <w:rPr>
          <w:b/>
          <w:bCs/>
          <w:lang w:val="en-US"/>
        </w:rPr>
        <w:t>,</w:t>
      </w:r>
      <w:r w:rsidRPr="00B02EE5">
        <w:rPr>
          <w:b/>
          <w:bCs/>
        </w:rPr>
        <w:t xml:space="preserve"> transport</w:t>
      </w:r>
      <w:r w:rsidRPr="00B02EE5">
        <w:rPr>
          <w:b/>
          <w:bCs/>
          <w:lang w:val="en-US"/>
        </w:rPr>
        <w:t>,</w:t>
      </w:r>
      <w:r w:rsidRPr="00B02EE5">
        <w:rPr>
          <w:b/>
          <w:bCs/>
        </w:rPr>
        <w:t xml:space="preserve"> and tourism</w:t>
      </w:r>
    </w:p>
    <w:p w14:paraId="492A463C" w14:textId="77777777" w:rsidR="00B02EE5" w:rsidRPr="00B02EE5" w:rsidRDefault="00B02EE5" w:rsidP="00B02EE5">
      <w:pPr>
        <w:spacing w:after="60" w:line="276" w:lineRule="auto"/>
        <w:ind w:firstLine="567"/>
        <w:jc w:val="both"/>
        <w:rPr>
          <w:bCs/>
          <w:i/>
          <w:spacing w:val="-2"/>
          <w:lang w:val="en-US"/>
        </w:rPr>
      </w:pPr>
      <w:r w:rsidRPr="00B02EE5">
        <w:rPr>
          <w:b/>
          <w:i/>
          <w:lang w:val="en-US"/>
        </w:rPr>
        <w:t xml:space="preserve">a) </w:t>
      </w:r>
      <w:r w:rsidRPr="00B02EE5">
        <w:rPr>
          <w:b/>
          <w:bCs/>
          <w:i/>
          <w:iCs/>
        </w:rPr>
        <w:t>Retail sales of goods and services</w:t>
      </w:r>
      <w:r w:rsidRPr="00B02EE5">
        <w:rPr>
          <w:bCs/>
          <w:i/>
          <w:spacing w:val="-2"/>
          <w:lang w:val="en-US"/>
        </w:rPr>
        <w:t xml:space="preserve"> </w:t>
      </w:r>
    </w:p>
    <w:p w14:paraId="75D53DD7" w14:textId="77777777" w:rsidR="00B02EE5" w:rsidRPr="00B02EE5" w:rsidRDefault="00B02EE5" w:rsidP="00B02EE5">
      <w:pPr>
        <w:spacing w:after="60" w:line="276" w:lineRule="auto"/>
        <w:ind w:firstLine="567"/>
        <w:jc w:val="both"/>
        <w:rPr>
          <w:bCs/>
          <w:i/>
          <w:spacing w:val="-2"/>
          <w:lang w:val="en-US"/>
        </w:rPr>
      </w:pPr>
      <w:r w:rsidRPr="00B02EE5">
        <w:rPr>
          <w:bCs/>
          <w:i/>
          <w:spacing w:val="-2"/>
        </w:rPr>
        <w:t>January is the month close to the Lunar New Year, so commercial and service activities are quite vibrant to serve people's consumption needs.</w:t>
      </w:r>
      <w:r w:rsidRPr="00B02EE5">
        <w:rPr>
          <w:bCs/>
          <w:i/>
          <w:spacing w:val="-2"/>
          <w:lang w:val="en-US"/>
        </w:rPr>
        <w:t xml:space="preserve"> Gross</w:t>
      </w:r>
      <w:r w:rsidRPr="00B02EE5">
        <w:rPr>
          <w:bCs/>
          <w:i/>
          <w:spacing w:val="-2"/>
        </w:rPr>
        <w:t xml:space="preserve"> retail sales of goods and services in January 202</w:t>
      </w:r>
      <w:r w:rsidRPr="00B02EE5">
        <w:rPr>
          <w:bCs/>
          <w:i/>
          <w:spacing w:val="-2"/>
          <w:lang w:val="en-US"/>
        </w:rPr>
        <w:t>5 was estimated to increase by 9.5% over the same period last year.</w:t>
      </w:r>
    </w:p>
    <w:p w14:paraId="10B25D57" w14:textId="77777777" w:rsidR="00B02EE5" w:rsidRPr="00B02EE5" w:rsidRDefault="00B02EE5" w:rsidP="00B02EE5">
      <w:pPr>
        <w:spacing w:after="60" w:line="276" w:lineRule="auto"/>
        <w:ind w:firstLine="567"/>
        <w:jc w:val="both"/>
        <w:rPr>
          <w:rFonts w:ascii="Arial" w:hAnsi="Arial" w:cs="Arial"/>
          <w:b/>
          <w:spacing w:val="-2"/>
          <w:sz w:val="24"/>
          <w:szCs w:val="20"/>
          <w:lang w:val="pl-PL"/>
        </w:rPr>
      </w:pPr>
      <w:r w:rsidRPr="00B02EE5">
        <w:rPr>
          <w:bCs/>
          <w:lang w:val="en-US"/>
        </w:rPr>
        <w:lastRenderedPageBreak/>
        <w:t>Gross retail sales of goods and services in January 2025 was estimated at 573.3 trillion VND, up 2.7% over the previous month and up 9.5% over the same period last year</w:t>
      </w:r>
      <w:r w:rsidRPr="00B02EE5">
        <w:rPr>
          <w:bCs/>
          <w:vertAlign w:val="superscript"/>
          <w:lang w:val="it-IT"/>
        </w:rPr>
        <w:footnoteReference w:id="11"/>
      </w:r>
      <w:r w:rsidRPr="00B02EE5">
        <w:rPr>
          <w:bCs/>
          <w:lang w:val="en-US"/>
        </w:rPr>
        <w:t xml:space="preserve"> (in the same period in 2024, it increased by 8.0%), if excluding the price factor, it increased by 6.6% (in the same period in 2024, it increased by 5.6%).</w:t>
      </w:r>
    </w:p>
    <w:p w14:paraId="25B38C61" w14:textId="77777777" w:rsidR="00B02EE5" w:rsidRPr="00B02EE5" w:rsidRDefault="00B02EE5" w:rsidP="00B02EE5">
      <w:pPr>
        <w:tabs>
          <w:tab w:val="left" w:pos="2835"/>
        </w:tabs>
        <w:spacing w:before="120" w:after="60" w:line="276" w:lineRule="auto"/>
        <w:jc w:val="center"/>
        <w:rPr>
          <w:rFonts w:ascii="Arial" w:hAnsi="Arial" w:cs="Arial"/>
          <w:b/>
          <w:bCs/>
          <w:spacing w:val="-6"/>
          <w:sz w:val="24"/>
          <w:szCs w:val="20"/>
          <w:lang w:val="en-US"/>
        </w:rPr>
      </w:pPr>
      <w:r w:rsidRPr="00B02EE5">
        <w:rPr>
          <w:rFonts w:ascii="Arial" w:hAnsi="Arial" w:cs="Arial"/>
          <w:b/>
          <w:spacing w:val="-2"/>
          <w:sz w:val="24"/>
          <w:szCs w:val="20"/>
          <w:lang w:val="pl-PL"/>
        </w:rPr>
        <w:t>Table 3. Gross retail sales of goods and services in January 2025</w:t>
      </w:r>
    </w:p>
    <w:p w14:paraId="741D1A6F" w14:textId="77777777" w:rsidR="00B02EE5" w:rsidRPr="00B02EE5" w:rsidRDefault="00B02EE5" w:rsidP="00B02EE5">
      <w:pPr>
        <w:tabs>
          <w:tab w:val="left" w:pos="2835"/>
        </w:tabs>
        <w:spacing w:line="276" w:lineRule="auto"/>
        <w:ind w:right="140" w:firstLine="567"/>
        <w:jc w:val="right"/>
        <w:rPr>
          <w:rFonts w:ascii="Arial" w:hAnsi="Arial" w:cs="Arial"/>
          <w:b/>
          <w:bCs/>
          <w:i/>
          <w:spacing w:val="-6"/>
          <w:sz w:val="2"/>
          <w:szCs w:val="20"/>
          <w:lang w:val="en-US"/>
        </w:rPr>
      </w:pPr>
    </w:p>
    <w:p w14:paraId="1B8C132E" w14:textId="77777777" w:rsidR="00B02EE5" w:rsidRPr="00B02EE5" w:rsidRDefault="00B02EE5" w:rsidP="00B02EE5">
      <w:pPr>
        <w:tabs>
          <w:tab w:val="left" w:pos="2835"/>
        </w:tabs>
        <w:spacing w:line="276" w:lineRule="auto"/>
        <w:ind w:right="45" w:firstLine="567"/>
        <w:jc w:val="right"/>
        <w:rPr>
          <w:rFonts w:ascii="Arial" w:hAnsi="Arial" w:cs="Arial"/>
          <w:b/>
          <w:bCs/>
          <w:i/>
          <w:spacing w:val="-6"/>
          <w:sz w:val="20"/>
          <w:szCs w:val="20"/>
          <w:lang w:val="en-US"/>
        </w:rPr>
      </w:pPr>
      <w:r w:rsidRPr="00B02EE5">
        <w:rPr>
          <w:rFonts w:ascii="Arial" w:hAnsi="Arial" w:cs="Arial"/>
          <w:b/>
          <w:bCs/>
          <w:i/>
          <w:spacing w:val="-6"/>
          <w:sz w:val="20"/>
          <w:szCs w:val="20"/>
        </w:rPr>
        <w:t>Trill</w:t>
      </w:r>
      <w:r w:rsidRPr="00B02EE5">
        <w:rPr>
          <w:rFonts w:ascii="Arial" w:hAnsi="Arial" w:cs="Arial"/>
          <w:b/>
          <w:bCs/>
          <w:i/>
          <w:spacing w:val="-6"/>
          <w:sz w:val="20"/>
          <w:szCs w:val="20"/>
          <w:lang w:val="en-US"/>
        </w:rPr>
        <w:t>. VND</w:t>
      </w:r>
    </w:p>
    <w:tbl>
      <w:tblPr>
        <w:tblW w:w="9072" w:type="dxa"/>
        <w:jc w:val="center"/>
        <w:tblLook w:val="04A0" w:firstRow="1" w:lastRow="0" w:firstColumn="1" w:lastColumn="0" w:noHBand="0" w:noVBand="1"/>
      </w:tblPr>
      <w:tblGrid>
        <w:gridCol w:w="3402"/>
        <w:gridCol w:w="1276"/>
        <w:gridCol w:w="2395"/>
        <w:gridCol w:w="1999"/>
      </w:tblGrid>
      <w:tr w:rsidR="00B02EE5" w:rsidRPr="00B02EE5" w14:paraId="6D3E3405" w14:textId="77777777" w:rsidTr="003446D4">
        <w:trPr>
          <w:cantSplit/>
          <w:trHeight w:val="298"/>
          <w:jc w:val="center"/>
        </w:trPr>
        <w:tc>
          <w:tcPr>
            <w:tcW w:w="3402" w:type="dxa"/>
            <w:tcBorders>
              <w:top w:val="single" w:sz="4" w:space="0" w:color="auto"/>
              <w:left w:val="nil"/>
              <w:bottom w:val="nil"/>
              <w:right w:val="nil"/>
            </w:tcBorders>
            <w:hideMark/>
          </w:tcPr>
          <w:p w14:paraId="67C8931E" w14:textId="77777777" w:rsidR="00B02EE5" w:rsidRPr="00B02EE5" w:rsidRDefault="00B02EE5" w:rsidP="00B02EE5">
            <w:pPr>
              <w:spacing w:before="20" w:after="20" w:line="276" w:lineRule="auto"/>
              <w:jc w:val="both"/>
              <w:rPr>
                <w:rFonts w:ascii="Arial" w:hAnsi="Arial" w:cs="Arial"/>
                <w:color w:val="000000"/>
                <w:sz w:val="18"/>
                <w:szCs w:val="18"/>
                <w:lang w:val="en-GB" w:eastAsia="en-GB"/>
              </w:rPr>
            </w:pPr>
            <w:r w:rsidRPr="00B02EE5">
              <w:rPr>
                <w:rFonts w:ascii="Arial" w:hAnsi="Arial" w:cs="Arial"/>
                <w:bCs/>
                <w:color w:val="000000"/>
                <w:sz w:val="18"/>
                <w:szCs w:val="18"/>
                <w:lang w:val="en-GB" w:eastAsia="en-GB"/>
              </w:rPr>
              <w:t> </w:t>
            </w:r>
          </w:p>
        </w:tc>
        <w:tc>
          <w:tcPr>
            <w:tcW w:w="1276" w:type="dxa"/>
            <w:vMerge w:val="restart"/>
            <w:tcBorders>
              <w:top w:val="single" w:sz="4" w:space="0" w:color="auto"/>
              <w:left w:val="nil"/>
              <w:bottom w:val="single" w:sz="4" w:space="0" w:color="auto"/>
              <w:right w:val="nil"/>
            </w:tcBorders>
            <w:hideMark/>
          </w:tcPr>
          <w:p w14:paraId="14C0C3B6" w14:textId="77777777" w:rsidR="00B02EE5" w:rsidRPr="00B02EE5" w:rsidRDefault="00B02EE5" w:rsidP="00B02EE5">
            <w:pPr>
              <w:spacing w:before="20" w:after="20" w:line="276" w:lineRule="auto"/>
              <w:jc w:val="center"/>
              <w:rPr>
                <w:rFonts w:ascii="Arial" w:hAnsi="Arial" w:cs="Arial"/>
                <w:color w:val="000000"/>
                <w:sz w:val="18"/>
                <w:szCs w:val="18"/>
                <w:lang w:val="en-GB" w:eastAsia="en-GB"/>
              </w:rPr>
            </w:pPr>
            <w:r w:rsidRPr="00B02EE5">
              <w:rPr>
                <w:rFonts w:ascii="Arial" w:hAnsi="Arial" w:cs="Arial"/>
                <w:color w:val="000000"/>
                <w:sz w:val="18"/>
                <w:szCs w:val="18"/>
                <w:lang w:val="en-GB" w:eastAsia="en-GB"/>
              </w:rPr>
              <w:t>Estimate</w:t>
            </w:r>
          </w:p>
          <w:p w14:paraId="4220E07A" w14:textId="77777777" w:rsidR="00B02EE5" w:rsidRPr="00B02EE5" w:rsidRDefault="00B02EE5" w:rsidP="00B02EE5">
            <w:pPr>
              <w:spacing w:before="20" w:after="20" w:line="276" w:lineRule="auto"/>
              <w:jc w:val="center"/>
              <w:rPr>
                <w:rFonts w:ascii="Arial" w:hAnsi="Arial" w:cs="Arial"/>
                <w:color w:val="000000"/>
                <w:sz w:val="18"/>
                <w:szCs w:val="18"/>
                <w:lang w:val="en-GB" w:eastAsia="en-GB"/>
              </w:rPr>
            </w:pPr>
            <w:r w:rsidRPr="00B02EE5">
              <w:rPr>
                <w:rFonts w:ascii="Arial" w:hAnsi="Arial" w:cs="Arial"/>
                <w:color w:val="000000"/>
                <w:sz w:val="18"/>
                <w:szCs w:val="18"/>
                <w:lang w:val="en-GB" w:eastAsia="en-GB"/>
              </w:rPr>
              <w:t>January</w:t>
            </w:r>
          </w:p>
          <w:p w14:paraId="02508D7A" w14:textId="77777777" w:rsidR="00B02EE5" w:rsidRPr="00B02EE5" w:rsidRDefault="00B02EE5" w:rsidP="00B02EE5">
            <w:pPr>
              <w:spacing w:before="20" w:after="20" w:line="276" w:lineRule="auto"/>
              <w:jc w:val="center"/>
              <w:rPr>
                <w:rFonts w:ascii="Arial" w:hAnsi="Arial" w:cs="Arial"/>
                <w:color w:val="000000"/>
                <w:sz w:val="18"/>
                <w:szCs w:val="18"/>
                <w:lang w:val="en-GB" w:eastAsia="en-GB"/>
              </w:rPr>
            </w:pPr>
            <w:r w:rsidRPr="00B02EE5">
              <w:rPr>
                <w:rFonts w:ascii="Arial" w:hAnsi="Arial" w:cs="Arial"/>
                <w:color w:val="000000"/>
                <w:sz w:val="18"/>
                <w:szCs w:val="18"/>
                <w:lang w:val="en-GB" w:eastAsia="en-GB"/>
              </w:rPr>
              <w:t>2025</w:t>
            </w:r>
          </w:p>
        </w:tc>
        <w:tc>
          <w:tcPr>
            <w:tcW w:w="2395" w:type="dxa"/>
            <w:vMerge w:val="restart"/>
            <w:tcBorders>
              <w:top w:val="single" w:sz="4" w:space="0" w:color="auto"/>
              <w:left w:val="nil"/>
              <w:bottom w:val="single" w:sz="4" w:space="0" w:color="auto"/>
              <w:right w:val="nil"/>
            </w:tcBorders>
            <w:hideMark/>
          </w:tcPr>
          <w:p w14:paraId="67503D09" w14:textId="77777777" w:rsidR="00B02EE5" w:rsidRPr="00B02EE5" w:rsidRDefault="00B02EE5" w:rsidP="00B02EE5">
            <w:pPr>
              <w:spacing w:before="40" w:after="40" w:line="276" w:lineRule="auto"/>
              <w:jc w:val="center"/>
              <w:rPr>
                <w:rFonts w:ascii="Arial" w:hAnsi="Arial" w:cs="Arial"/>
                <w:color w:val="000000"/>
                <w:sz w:val="18"/>
                <w:szCs w:val="18"/>
                <w:lang w:val="en-GB" w:eastAsia="en-GB"/>
              </w:rPr>
            </w:pPr>
            <w:r w:rsidRPr="00B02EE5">
              <w:rPr>
                <w:rFonts w:ascii="Arial" w:hAnsi="Arial" w:cs="Arial"/>
                <w:color w:val="000000"/>
                <w:sz w:val="18"/>
                <w:szCs w:val="18"/>
              </w:rPr>
              <w:t>Growth rate</w:t>
            </w:r>
            <w:r w:rsidRPr="00B02EE5">
              <w:rPr>
                <w:rFonts w:ascii="Arial" w:hAnsi="Arial" w:cs="Arial"/>
                <w:color w:val="000000"/>
                <w:sz w:val="18"/>
                <w:szCs w:val="18"/>
                <w:lang w:val="en-US"/>
              </w:rPr>
              <w:t xml:space="preserve"> </w:t>
            </w:r>
            <w:r w:rsidRPr="00B02EE5">
              <w:rPr>
                <w:rFonts w:ascii="Arial" w:hAnsi="Arial" w:cs="Arial"/>
                <w:color w:val="000000"/>
                <w:sz w:val="18"/>
                <w:szCs w:val="18"/>
              </w:rPr>
              <w:t xml:space="preserve">01/2025 compared to the previous month </w:t>
            </w:r>
            <w:r w:rsidRPr="00B02EE5">
              <w:rPr>
                <w:rFonts w:ascii="Arial" w:hAnsi="Arial" w:cs="Arial"/>
                <w:color w:val="000000"/>
                <w:spacing w:val="-6"/>
                <w:sz w:val="18"/>
                <w:szCs w:val="18"/>
                <w:lang w:val="en-GB" w:eastAsia="en-GB"/>
              </w:rPr>
              <w:t>(%)</w:t>
            </w:r>
          </w:p>
        </w:tc>
        <w:tc>
          <w:tcPr>
            <w:tcW w:w="1999" w:type="dxa"/>
            <w:vMerge w:val="restart"/>
            <w:tcBorders>
              <w:top w:val="single" w:sz="4" w:space="0" w:color="auto"/>
              <w:left w:val="nil"/>
              <w:bottom w:val="single" w:sz="4" w:space="0" w:color="auto"/>
              <w:right w:val="nil"/>
            </w:tcBorders>
            <w:hideMark/>
          </w:tcPr>
          <w:p w14:paraId="0C427990" w14:textId="77777777" w:rsidR="00B02EE5" w:rsidRPr="00B02EE5" w:rsidRDefault="00B02EE5" w:rsidP="00B02EE5">
            <w:pPr>
              <w:spacing w:before="40" w:after="40" w:line="276" w:lineRule="auto"/>
              <w:jc w:val="center"/>
              <w:rPr>
                <w:rFonts w:ascii="Arial" w:hAnsi="Arial" w:cs="Arial"/>
                <w:color w:val="000000"/>
                <w:sz w:val="18"/>
                <w:szCs w:val="18"/>
                <w:lang w:val="en-GB" w:eastAsia="en-GB"/>
              </w:rPr>
            </w:pPr>
            <w:r w:rsidRPr="00B02EE5">
              <w:rPr>
                <w:rFonts w:ascii="Arial" w:hAnsi="Arial" w:cs="Arial"/>
                <w:color w:val="000000"/>
                <w:sz w:val="18"/>
                <w:szCs w:val="18"/>
              </w:rPr>
              <w:t>Growth rate</w:t>
            </w:r>
            <w:r w:rsidRPr="00B02EE5">
              <w:rPr>
                <w:rFonts w:ascii="Arial" w:hAnsi="Arial" w:cs="Arial"/>
                <w:color w:val="000000"/>
                <w:sz w:val="18"/>
                <w:szCs w:val="18"/>
                <w:lang w:val="en-US"/>
              </w:rPr>
              <w:t xml:space="preserve"> </w:t>
            </w:r>
            <w:r w:rsidRPr="00B02EE5">
              <w:rPr>
                <w:rFonts w:ascii="Arial" w:hAnsi="Arial" w:cs="Arial"/>
                <w:color w:val="000000"/>
                <w:sz w:val="18"/>
                <w:szCs w:val="18"/>
              </w:rPr>
              <w:t>01/2025 compare to</w:t>
            </w:r>
            <w:r w:rsidRPr="00B02EE5">
              <w:rPr>
                <w:rFonts w:ascii="Arial" w:hAnsi="Arial" w:cs="Arial"/>
                <w:color w:val="000000"/>
                <w:sz w:val="18"/>
                <w:szCs w:val="18"/>
                <w:lang w:val="en-US"/>
              </w:rPr>
              <w:t xml:space="preserve"> </w:t>
            </w:r>
            <w:r w:rsidRPr="00B02EE5">
              <w:rPr>
                <w:rFonts w:ascii="Arial" w:hAnsi="Arial" w:cs="Arial"/>
                <w:color w:val="000000"/>
                <w:sz w:val="18"/>
                <w:szCs w:val="18"/>
              </w:rPr>
              <w:t xml:space="preserve">the same period last year </w:t>
            </w:r>
            <w:r w:rsidRPr="00B02EE5">
              <w:rPr>
                <w:rFonts w:ascii="Arial" w:hAnsi="Arial" w:cs="Arial"/>
                <w:color w:val="000000"/>
                <w:sz w:val="18"/>
                <w:szCs w:val="18"/>
                <w:lang w:val="en-GB" w:eastAsia="en-GB"/>
              </w:rPr>
              <w:t>(%)</w:t>
            </w:r>
          </w:p>
        </w:tc>
      </w:tr>
      <w:tr w:rsidR="00B02EE5" w:rsidRPr="00B02EE5" w14:paraId="3C7A502A" w14:textId="77777777" w:rsidTr="003446D4">
        <w:trPr>
          <w:cantSplit/>
          <w:trHeight w:val="141"/>
          <w:jc w:val="center"/>
        </w:trPr>
        <w:tc>
          <w:tcPr>
            <w:tcW w:w="3402" w:type="dxa"/>
            <w:hideMark/>
          </w:tcPr>
          <w:p w14:paraId="065E9231" w14:textId="77777777" w:rsidR="00B02EE5" w:rsidRPr="00B02EE5" w:rsidRDefault="00B02EE5" w:rsidP="00B02EE5">
            <w:pPr>
              <w:spacing w:before="20" w:after="20" w:line="276" w:lineRule="auto"/>
              <w:rPr>
                <w:rFonts w:ascii="Arial" w:hAnsi="Arial" w:cs="Arial"/>
                <w:color w:val="000000"/>
                <w:sz w:val="18"/>
                <w:szCs w:val="18"/>
                <w:lang w:val="en-GB" w:eastAsia="en-GB"/>
              </w:rPr>
            </w:pPr>
          </w:p>
        </w:tc>
        <w:tc>
          <w:tcPr>
            <w:tcW w:w="1276" w:type="dxa"/>
            <w:vMerge/>
            <w:tcBorders>
              <w:top w:val="single" w:sz="4" w:space="0" w:color="auto"/>
              <w:left w:val="nil"/>
              <w:bottom w:val="single" w:sz="4" w:space="0" w:color="auto"/>
              <w:right w:val="nil"/>
            </w:tcBorders>
            <w:vAlign w:val="center"/>
            <w:hideMark/>
          </w:tcPr>
          <w:p w14:paraId="751B0457" w14:textId="77777777" w:rsidR="00B02EE5" w:rsidRPr="00B02EE5" w:rsidRDefault="00B02EE5" w:rsidP="00B02EE5">
            <w:pPr>
              <w:spacing w:before="20" w:after="20" w:line="276" w:lineRule="auto"/>
              <w:rPr>
                <w:rFonts w:ascii="Arial" w:hAnsi="Arial" w:cs="Arial"/>
                <w:color w:val="000000"/>
                <w:sz w:val="18"/>
                <w:szCs w:val="18"/>
                <w:lang w:val="en-GB" w:eastAsia="en-GB"/>
              </w:rPr>
            </w:pPr>
          </w:p>
        </w:tc>
        <w:tc>
          <w:tcPr>
            <w:tcW w:w="2395" w:type="dxa"/>
            <w:vMerge/>
            <w:tcBorders>
              <w:top w:val="single" w:sz="4" w:space="0" w:color="auto"/>
              <w:left w:val="nil"/>
              <w:bottom w:val="single" w:sz="4" w:space="0" w:color="auto"/>
              <w:right w:val="nil"/>
            </w:tcBorders>
            <w:vAlign w:val="center"/>
            <w:hideMark/>
          </w:tcPr>
          <w:p w14:paraId="288273B2" w14:textId="77777777" w:rsidR="00B02EE5" w:rsidRPr="00B02EE5" w:rsidRDefault="00B02EE5" w:rsidP="00B02EE5">
            <w:pPr>
              <w:spacing w:before="20" w:after="20" w:line="276" w:lineRule="auto"/>
              <w:rPr>
                <w:rFonts w:ascii="Arial" w:hAnsi="Arial" w:cs="Arial"/>
                <w:color w:val="000000"/>
                <w:sz w:val="18"/>
                <w:szCs w:val="18"/>
                <w:lang w:val="en-GB" w:eastAsia="en-GB"/>
              </w:rPr>
            </w:pPr>
          </w:p>
        </w:tc>
        <w:tc>
          <w:tcPr>
            <w:tcW w:w="1999" w:type="dxa"/>
            <w:vMerge/>
            <w:tcBorders>
              <w:top w:val="single" w:sz="4" w:space="0" w:color="auto"/>
              <w:left w:val="nil"/>
              <w:bottom w:val="single" w:sz="4" w:space="0" w:color="auto"/>
              <w:right w:val="nil"/>
            </w:tcBorders>
            <w:vAlign w:val="center"/>
            <w:hideMark/>
          </w:tcPr>
          <w:p w14:paraId="2F9D3155" w14:textId="77777777" w:rsidR="00B02EE5" w:rsidRPr="00B02EE5" w:rsidRDefault="00B02EE5" w:rsidP="00B02EE5">
            <w:pPr>
              <w:spacing w:before="20" w:after="20" w:line="276" w:lineRule="auto"/>
              <w:rPr>
                <w:rFonts w:ascii="Arial" w:hAnsi="Arial" w:cs="Arial"/>
                <w:color w:val="000000"/>
                <w:sz w:val="18"/>
                <w:szCs w:val="18"/>
                <w:lang w:val="en-GB" w:eastAsia="en-GB"/>
              </w:rPr>
            </w:pPr>
          </w:p>
        </w:tc>
      </w:tr>
      <w:tr w:rsidR="00B02EE5" w:rsidRPr="00B02EE5" w14:paraId="6AB32FC4" w14:textId="77777777" w:rsidTr="003446D4">
        <w:trPr>
          <w:cantSplit/>
          <w:trHeight w:val="141"/>
          <w:jc w:val="center"/>
        </w:trPr>
        <w:tc>
          <w:tcPr>
            <w:tcW w:w="3402" w:type="dxa"/>
            <w:hideMark/>
          </w:tcPr>
          <w:p w14:paraId="3B621D45" w14:textId="77777777" w:rsidR="00B02EE5" w:rsidRPr="00B02EE5" w:rsidRDefault="00B02EE5" w:rsidP="00B02EE5">
            <w:pPr>
              <w:spacing w:before="20" w:after="20" w:line="276" w:lineRule="auto"/>
              <w:rPr>
                <w:rFonts w:ascii="Arial" w:eastAsia="Calibri" w:hAnsi="Arial" w:cs="Arial"/>
                <w:sz w:val="18"/>
                <w:szCs w:val="18"/>
              </w:rPr>
            </w:pPr>
          </w:p>
        </w:tc>
        <w:tc>
          <w:tcPr>
            <w:tcW w:w="1276" w:type="dxa"/>
            <w:vMerge/>
            <w:tcBorders>
              <w:top w:val="single" w:sz="4" w:space="0" w:color="auto"/>
              <w:left w:val="nil"/>
              <w:bottom w:val="single" w:sz="4" w:space="0" w:color="auto"/>
              <w:right w:val="nil"/>
            </w:tcBorders>
            <w:vAlign w:val="center"/>
            <w:hideMark/>
          </w:tcPr>
          <w:p w14:paraId="3E09BAE1" w14:textId="77777777" w:rsidR="00B02EE5" w:rsidRPr="00B02EE5" w:rsidRDefault="00B02EE5" w:rsidP="00B02EE5">
            <w:pPr>
              <w:spacing w:before="20" w:after="20" w:line="276" w:lineRule="auto"/>
              <w:rPr>
                <w:rFonts w:ascii="Arial" w:hAnsi="Arial" w:cs="Arial"/>
                <w:color w:val="000000"/>
                <w:sz w:val="18"/>
                <w:szCs w:val="18"/>
                <w:lang w:val="en-GB" w:eastAsia="en-GB"/>
              </w:rPr>
            </w:pPr>
          </w:p>
        </w:tc>
        <w:tc>
          <w:tcPr>
            <w:tcW w:w="2395" w:type="dxa"/>
            <w:vMerge/>
            <w:tcBorders>
              <w:top w:val="single" w:sz="4" w:space="0" w:color="auto"/>
              <w:left w:val="nil"/>
              <w:bottom w:val="single" w:sz="4" w:space="0" w:color="auto"/>
              <w:right w:val="nil"/>
            </w:tcBorders>
            <w:vAlign w:val="center"/>
            <w:hideMark/>
          </w:tcPr>
          <w:p w14:paraId="16532946" w14:textId="77777777" w:rsidR="00B02EE5" w:rsidRPr="00B02EE5" w:rsidRDefault="00B02EE5" w:rsidP="00B02EE5">
            <w:pPr>
              <w:spacing w:before="20" w:after="20" w:line="276" w:lineRule="auto"/>
              <w:rPr>
                <w:rFonts w:ascii="Arial" w:hAnsi="Arial" w:cs="Arial"/>
                <w:color w:val="000000"/>
                <w:sz w:val="18"/>
                <w:szCs w:val="18"/>
                <w:lang w:val="en-GB" w:eastAsia="en-GB"/>
              </w:rPr>
            </w:pPr>
          </w:p>
        </w:tc>
        <w:tc>
          <w:tcPr>
            <w:tcW w:w="1999" w:type="dxa"/>
            <w:vMerge/>
            <w:tcBorders>
              <w:top w:val="single" w:sz="4" w:space="0" w:color="auto"/>
              <w:left w:val="nil"/>
              <w:bottom w:val="single" w:sz="4" w:space="0" w:color="auto"/>
              <w:right w:val="nil"/>
            </w:tcBorders>
            <w:vAlign w:val="center"/>
            <w:hideMark/>
          </w:tcPr>
          <w:p w14:paraId="0F632C9D" w14:textId="77777777" w:rsidR="00B02EE5" w:rsidRPr="00B02EE5" w:rsidRDefault="00B02EE5" w:rsidP="00B02EE5">
            <w:pPr>
              <w:spacing w:before="20" w:after="20" w:line="276" w:lineRule="auto"/>
              <w:rPr>
                <w:rFonts w:ascii="Arial" w:hAnsi="Arial" w:cs="Arial"/>
                <w:color w:val="000000"/>
                <w:sz w:val="18"/>
                <w:szCs w:val="18"/>
                <w:lang w:val="en-GB" w:eastAsia="en-GB"/>
              </w:rPr>
            </w:pPr>
          </w:p>
        </w:tc>
      </w:tr>
      <w:tr w:rsidR="00B02EE5" w:rsidRPr="00B02EE5" w14:paraId="0BAA8499" w14:textId="77777777" w:rsidTr="003446D4">
        <w:trPr>
          <w:cantSplit/>
          <w:trHeight w:val="298"/>
          <w:jc w:val="center"/>
        </w:trPr>
        <w:tc>
          <w:tcPr>
            <w:tcW w:w="3402" w:type="dxa"/>
            <w:vAlign w:val="center"/>
            <w:hideMark/>
          </w:tcPr>
          <w:p w14:paraId="773C5CE6" w14:textId="77777777" w:rsidR="00B02EE5" w:rsidRPr="00B02EE5" w:rsidRDefault="00B02EE5" w:rsidP="00B02EE5">
            <w:pPr>
              <w:spacing w:before="120" w:after="60" w:line="276" w:lineRule="auto"/>
              <w:rPr>
                <w:rFonts w:ascii="Arial" w:hAnsi="Arial" w:cs="Arial"/>
                <w:b/>
                <w:bCs/>
                <w:color w:val="000000"/>
                <w:sz w:val="18"/>
                <w:szCs w:val="18"/>
                <w:lang w:val="en-GB" w:eastAsia="en-GB"/>
              </w:rPr>
            </w:pPr>
            <w:r w:rsidRPr="00B02EE5">
              <w:rPr>
                <w:rFonts w:ascii="Arial" w:hAnsi="Arial" w:cs="Arial"/>
                <w:b/>
                <w:bCs/>
                <w:sz w:val="18"/>
                <w:szCs w:val="18"/>
              </w:rPr>
              <w:t>Total</w:t>
            </w:r>
          </w:p>
        </w:tc>
        <w:tc>
          <w:tcPr>
            <w:tcW w:w="1276" w:type="dxa"/>
            <w:tcBorders>
              <w:top w:val="single" w:sz="4" w:space="0" w:color="auto"/>
              <w:left w:val="nil"/>
              <w:bottom w:val="nil"/>
              <w:right w:val="nil"/>
            </w:tcBorders>
            <w:vAlign w:val="bottom"/>
            <w:hideMark/>
          </w:tcPr>
          <w:p w14:paraId="61C4D691" w14:textId="77777777" w:rsidR="00B02EE5" w:rsidRPr="00B02EE5" w:rsidRDefault="00B02EE5" w:rsidP="00B02EE5">
            <w:pPr>
              <w:spacing w:before="120" w:after="60" w:line="276" w:lineRule="auto"/>
              <w:ind w:right="240"/>
              <w:jc w:val="right"/>
              <w:rPr>
                <w:rFonts w:ascii="Arial" w:hAnsi="Arial" w:cs="Arial"/>
                <w:b/>
                <w:bCs/>
                <w:color w:val="000000"/>
                <w:sz w:val="18"/>
                <w:szCs w:val="18"/>
                <w:lang w:eastAsia="en-GB"/>
              </w:rPr>
            </w:pPr>
            <w:r w:rsidRPr="00B02EE5">
              <w:rPr>
                <w:rFonts w:ascii="Arial" w:hAnsi="Arial" w:cs="Arial"/>
                <w:b/>
                <w:bCs/>
                <w:sz w:val="20"/>
                <w:szCs w:val="20"/>
                <w:lang w:val="en-GB" w:eastAsia="en-GB"/>
              </w:rPr>
              <w:t>573.3</w:t>
            </w:r>
          </w:p>
        </w:tc>
        <w:tc>
          <w:tcPr>
            <w:tcW w:w="2395" w:type="dxa"/>
            <w:tcBorders>
              <w:top w:val="single" w:sz="4" w:space="0" w:color="auto"/>
              <w:left w:val="nil"/>
              <w:bottom w:val="nil"/>
              <w:right w:val="nil"/>
            </w:tcBorders>
            <w:vAlign w:val="center"/>
            <w:hideMark/>
          </w:tcPr>
          <w:p w14:paraId="576871FC" w14:textId="77777777" w:rsidR="00B02EE5" w:rsidRPr="00B02EE5" w:rsidRDefault="00B02EE5" w:rsidP="00B02EE5">
            <w:pPr>
              <w:spacing w:before="120" w:after="60" w:line="276" w:lineRule="auto"/>
              <w:ind w:right="884"/>
              <w:jc w:val="right"/>
              <w:rPr>
                <w:rFonts w:ascii="Arial" w:hAnsi="Arial" w:cs="Arial"/>
                <w:b/>
                <w:bCs/>
                <w:color w:val="000000"/>
                <w:sz w:val="18"/>
                <w:szCs w:val="18"/>
                <w:lang w:eastAsia="en-GB"/>
              </w:rPr>
            </w:pPr>
            <w:r w:rsidRPr="00B02EE5">
              <w:rPr>
                <w:rFonts w:ascii="Arial" w:hAnsi="Arial" w:cs="Arial"/>
                <w:b/>
                <w:bCs/>
                <w:sz w:val="20"/>
                <w:szCs w:val="20"/>
                <w:lang w:val="en-GB" w:eastAsia="en-GB"/>
              </w:rPr>
              <w:t>2.7</w:t>
            </w:r>
          </w:p>
        </w:tc>
        <w:tc>
          <w:tcPr>
            <w:tcW w:w="1999" w:type="dxa"/>
            <w:tcBorders>
              <w:top w:val="single" w:sz="4" w:space="0" w:color="auto"/>
              <w:left w:val="nil"/>
              <w:bottom w:val="nil"/>
              <w:right w:val="nil"/>
            </w:tcBorders>
            <w:vAlign w:val="center"/>
            <w:hideMark/>
          </w:tcPr>
          <w:p w14:paraId="5CE9AD4F" w14:textId="77777777" w:rsidR="00B02EE5" w:rsidRPr="00B02EE5" w:rsidRDefault="00B02EE5" w:rsidP="00B02EE5">
            <w:pPr>
              <w:spacing w:before="120" w:after="60" w:line="276" w:lineRule="auto"/>
              <w:ind w:right="600"/>
              <w:jc w:val="right"/>
              <w:rPr>
                <w:rFonts w:ascii="Arial" w:hAnsi="Arial" w:cs="Arial"/>
                <w:b/>
                <w:bCs/>
                <w:color w:val="000000"/>
                <w:sz w:val="18"/>
                <w:szCs w:val="18"/>
                <w:lang w:eastAsia="en-GB"/>
              </w:rPr>
            </w:pPr>
            <w:r w:rsidRPr="00B02EE5">
              <w:rPr>
                <w:rFonts w:ascii="Arial" w:hAnsi="Arial" w:cs="Arial"/>
                <w:b/>
                <w:bCs/>
                <w:sz w:val="20"/>
                <w:szCs w:val="20"/>
                <w:lang w:val="en-GB" w:eastAsia="en-GB"/>
              </w:rPr>
              <w:t>9.5</w:t>
            </w:r>
          </w:p>
        </w:tc>
      </w:tr>
      <w:tr w:rsidR="00B02EE5" w:rsidRPr="00B02EE5" w14:paraId="42AD61F0" w14:textId="77777777" w:rsidTr="003446D4">
        <w:trPr>
          <w:cantSplit/>
          <w:trHeight w:val="298"/>
          <w:jc w:val="center"/>
        </w:trPr>
        <w:tc>
          <w:tcPr>
            <w:tcW w:w="3402" w:type="dxa"/>
            <w:vAlign w:val="center"/>
            <w:hideMark/>
          </w:tcPr>
          <w:p w14:paraId="27AD8D58" w14:textId="77777777" w:rsidR="00B02EE5" w:rsidRPr="00B02EE5" w:rsidRDefault="00B02EE5" w:rsidP="00B02EE5">
            <w:pPr>
              <w:spacing w:before="20" w:after="20" w:line="276" w:lineRule="auto"/>
              <w:ind w:firstLine="176"/>
              <w:rPr>
                <w:rFonts w:ascii="Arial" w:hAnsi="Arial" w:cs="Arial"/>
                <w:color w:val="000000"/>
                <w:sz w:val="18"/>
                <w:szCs w:val="18"/>
                <w:lang w:val="en-US" w:eastAsia="en-GB"/>
              </w:rPr>
            </w:pPr>
            <w:r w:rsidRPr="00B02EE5">
              <w:rPr>
                <w:rFonts w:ascii="Arial" w:hAnsi="Arial" w:cs="Arial"/>
                <w:bCs/>
                <w:sz w:val="18"/>
                <w:szCs w:val="18"/>
              </w:rPr>
              <w:t>Retail sale</w:t>
            </w:r>
            <w:r w:rsidRPr="00B02EE5">
              <w:rPr>
                <w:rFonts w:ascii="Arial" w:hAnsi="Arial" w:cs="Arial"/>
                <w:bCs/>
                <w:sz w:val="18"/>
                <w:szCs w:val="18"/>
                <w:lang w:val="en-US"/>
              </w:rPr>
              <w:t xml:space="preserve"> of good</w:t>
            </w:r>
          </w:p>
        </w:tc>
        <w:tc>
          <w:tcPr>
            <w:tcW w:w="1276" w:type="dxa"/>
            <w:vAlign w:val="center"/>
            <w:hideMark/>
          </w:tcPr>
          <w:p w14:paraId="48141F71" w14:textId="77777777" w:rsidR="00B02EE5" w:rsidRPr="00B02EE5" w:rsidRDefault="00B02EE5" w:rsidP="00B02EE5">
            <w:pPr>
              <w:spacing w:before="20" w:after="20" w:line="276" w:lineRule="auto"/>
              <w:ind w:right="240"/>
              <w:jc w:val="right"/>
              <w:rPr>
                <w:rFonts w:ascii="Arial" w:hAnsi="Arial" w:cs="Arial"/>
                <w:color w:val="000000"/>
                <w:sz w:val="18"/>
                <w:szCs w:val="18"/>
                <w:lang w:eastAsia="en-GB"/>
              </w:rPr>
            </w:pPr>
            <w:r w:rsidRPr="00B02EE5">
              <w:rPr>
                <w:rFonts w:ascii="Arial" w:hAnsi="Arial" w:cs="Arial"/>
                <w:sz w:val="20"/>
                <w:szCs w:val="20"/>
                <w:lang w:val="en-GB" w:eastAsia="en-GB"/>
              </w:rPr>
              <w:t>441.4</w:t>
            </w:r>
          </w:p>
        </w:tc>
        <w:tc>
          <w:tcPr>
            <w:tcW w:w="2395" w:type="dxa"/>
            <w:vAlign w:val="center"/>
            <w:hideMark/>
          </w:tcPr>
          <w:p w14:paraId="47070DEA" w14:textId="77777777" w:rsidR="00B02EE5" w:rsidRPr="00B02EE5" w:rsidRDefault="00B02EE5" w:rsidP="00B02EE5">
            <w:pPr>
              <w:spacing w:before="20" w:after="20" w:line="276" w:lineRule="auto"/>
              <w:ind w:right="884"/>
              <w:jc w:val="right"/>
              <w:rPr>
                <w:rFonts w:ascii="Arial" w:hAnsi="Arial" w:cs="Arial"/>
                <w:color w:val="000000"/>
                <w:sz w:val="18"/>
                <w:szCs w:val="18"/>
                <w:lang w:eastAsia="en-GB"/>
              </w:rPr>
            </w:pPr>
            <w:r w:rsidRPr="00B02EE5">
              <w:rPr>
                <w:rFonts w:ascii="Arial" w:hAnsi="Arial" w:cs="Arial"/>
                <w:sz w:val="20"/>
                <w:szCs w:val="20"/>
                <w:lang w:val="en-GB" w:eastAsia="en-GB"/>
              </w:rPr>
              <w:t>4.1</w:t>
            </w:r>
          </w:p>
        </w:tc>
        <w:tc>
          <w:tcPr>
            <w:tcW w:w="1999" w:type="dxa"/>
            <w:vAlign w:val="center"/>
            <w:hideMark/>
          </w:tcPr>
          <w:p w14:paraId="74AD9801" w14:textId="77777777" w:rsidR="00B02EE5" w:rsidRPr="00B02EE5" w:rsidRDefault="00B02EE5" w:rsidP="00B02EE5">
            <w:pPr>
              <w:spacing w:before="20" w:after="20" w:line="276" w:lineRule="auto"/>
              <w:ind w:right="600"/>
              <w:jc w:val="right"/>
              <w:rPr>
                <w:rFonts w:ascii="Arial" w:hAnsi="Arial" w:cs="Arial"/>
                <w:color w:val="000000"/>
                <w:sz w:val="18"/>
                <w:szCs w:val="18"/>
                <w:lang w:eastAsia="en-GB"/>
              </w:rPr>
            </w:pPr>
            <w:r w:rsidRPr="00B02EE5">
              <w:rPr>
                <w:rFonts w:ascii="Arial" w:hAnsi="Arial" w:cs="Arial"/>
                <w:sz w:val="20"/>
                <w:szCs w:val="20"/>
                <w:lang w:val="en-GB" w:eastAsia="en-GB"/>
              </w:rPr>
              <w:t>8.6</w:t>
            </w:r>
          </w:p>
        </w:tc>
      </w:tr>
      <w:tr w:rsidR="00B02EE5" w:rsidRPr="00B02EE5" w14:paraId="3AD99FE7" w14:textId="77777777" w:rsidTr="003446D4">
        <w:trPr>
          <w:cantSplit/>
          <w:trHeight w:val="298"/>
          <w:jc w:val="center"/>
        </w:trPr>
        <w:tc>
          <w:tcPr>
            <w:tcW w:w="3402" w:type="dxa"/>
            <w:vAlign w:val="center"/>
            <w:hideMark/>
          </w:tcPr>
          <w:p w14:paraId="10930C88" w14:textId="77777777" w:rsidR="00B02EE5" w:rsidRPr="00B02EE5" w:rsidRDefault="00B02EE5" w:rsidP="00B02EE5">
            <w:pPr>
              <w:spacing w:before="20" w:after="20" w:line="276" w:lineRule="auto"/>
              <w:ind w:left="176"/>
              <w:rPr>
                <w:rFonts w:ascii="Arial" w:hAnsi="Arial" w:cs="Arial"/>
                <w:color w:val="000000"/>
                <w:sz w:val="18"/>
                <w:szCs w:val="18"/>
                <w:lang w:eastAsia="en-GB"/>
              </w:rPr>
            </w:pPr>
            <w:r w:rsidRPr="00B02EE5">
              <w:rPr>
                <w:rFonts w:ascii="Arial" w:hAnsi="Arial" w:cs="Arial"/>
                <w:bCs/>
                <w:sz w:val="18"/>
                <w:szCs w:val="18"/>
              </w:rPr>
              <w:t>Accommodation and catering service</w:t>
            </w:r>
          </w:p>
        </w:tc>
        <w:tc>
          <w:tcPr>
            <w:tcW w:w="1276" w:type="dxa"/>
            <w:vAlign w:val="center"/>
            <w:hideMark/>
          </w:tcPr>
          <w:p w14:paraId="745476CC" w14:textId="77777777" w:rsidR="00B02EE5" w:rsidRPr="00B02EE5" w:rsidRDefault="00B02EE5" w:rsidP="00B02EE5">
            <w:pPr>
              <w:spacing w:before="20" w:after="20" w:line="276" w:lineRule="auto"/>
              <w:ind w:right="240"/>
              <w:jc w:val="right"/>
              <w:rPr>
                <w:rFonts w:ascii="Arial" w:hAnsi="Arial" w:cs="Arial"/>
                <w:color w:val="000000"/>
                <w:sz w:val="18"/>
                <w:szCs w:val="18"/>
                <w:lang w:eastAsia="en-GB"/>
              </w:rPr>
            </w:pPr>
            <w:r w:rsidRPr="00B02EE5">
              <w:rPr>
                <w:rFonts w:ascii="Arial" w:hAnsi="Arial" w:cs="Arial"/>
                <w:sz w:val="20"/>
                <w:szCs w:val="20"/>
                <w:lang w:val="en-GB" w:eastAsia="en-GB"/>
              </w:rPr>
              <w:t>67.3</w:t>
            </w:r>
          </w:p>
        </w:tc>
        <w:tc>
          <w:tcPr>
            <w:tcW w:w="2395" w:type="dxa"/>
            <w:vAlign w:val="center"/>
            <w:hideMark/>
          </w:tcPr>
          <w:p w14:paraId="675E758E" w14:textId="77777777" w:rsidR="00B02EE5" w:rsidRPr="00B02EE5" w:rsidRDefault="00B02EE5" w:rsidP="00B02EE5">
            <w:pPr>
              <w:spacing w:before="20" w:after="20" w:line="276" w:lineRule="auto"/>
              <w:ind w:right="884"/>
              <w:jc w:val="right"/>
              <w:rPr>
                <w:rFonts w:ascii="Arial" w:hAnsi="Arial" w:cs="Arial"/>
                <w:color w:val="000000"/>
                <w:sz w:val="18"/>
                <w:szCs w:val="18"/>
                <w:lang w:eastAsia="en-GB"/>
              </w:rPr>
            </w:pPr>
            <w:r w:rsidRPr="00B02EE5">
              <w:rPr>
                <w:rFonts w:ascii="Arial" w:hAnsi="Arial" w:cs="Arial"/>
                <w:sz w:val="20"/>
                <w:szCs w:val="20"/>
                <w:lang w:val="en-GB" w:eastAsia="en-GB"/>
              </w:rPr>
              <w:t>3.0</w:t>
            </w:r>
          </w:p>
        </w:tc>
        <w:tc>
          <w:tcPr>
            <w:tcW w:w="1999" w:type="dxa"/>
            <w:vAlign w:val="center"/>
            <w:hideMark/>
          </w:tcPr>
          <w:p w14:paraId="2DD0B5C2" w14:textId="77777777" w:rsidR="00B02EE5" w:rsidRPr="00B02EE5" w:rsidRDefault="00B02EE5" w:rsidP="00B02EE5">
            <w:pPr>
              <w:spacing w:before="20" w:after="20" w:line="276" w:lineRule="auto"/>
              <w:ind w:right="600"/>
              <w:jc w:val="right"/>
              <w:rPr>
                <w:rFonts w:ascii="Arial" w:hAnsi="Arial" w:cs="Arial"/>
                <w:color w:val="000000"/>
                <w:sz w:val="18"/>
                <w:szCs w:val="18"/>
                <w:lang w:eastAsia="en-GB"/>
              </w:rPr>
            </w:pPr>
            <w:r w:rsidRPr="00B02EE5">
              <w:rPr>
                <w:rFonts w:ascii="Arial" w:hAnsi="Arial" w:cs="Arial"/>
                <w:sz w:val="20"/>
                <w:szCs w:val="20"/>
                <w:lang w:eastAsia="en-GB"/>
              </w:rPr>
              <w:t>14.8</w:t>
            </w:r>
          </w:p>
        </w:tc>
      </w:tr>
      <w:tr w:rsidR="00B02EE5" w:rsidRPr="00B02EE5" w14:paraId="72B61CBD" w14:textId="77777777" w:rsidTr="003446D4">
        <w:trPr>
          <w:cantSplit/>
          <w:trHeight w:val="298"/>
          <w:jc w:val="center"/>
        </w:trPr>
        <w:tc>
          <w:tcPr>
            <w:tcW w:w="3402" w:type="dxa"/>
            <w:vAlign w:val="center"/>
            <w:hideMark/>
          </w:tcPr>
          <w:p w14:paraId="49D8453F" w14:textId="77777777" w:rsidR="00B02EE5" w:rsidRPr="00B02EE5" w:rsidRDefault="00B02EE5" w:rsidP="00B02EE5">
            <w:pPr>
              <w:spacing w:before="20" w:after="20" w:line="276" w:lineRule="auto"/>
              <w:ind w:firstLine="176"/>
              <w:rPr>
                <w:rFonts w:ascii="Arial" w:hAnsi="Arial" w:cs="Arial"/>
                <w:color w:val="000000"/>
                <w:sz w:val="18"/>
                <w:szCs w:val="18"/>
                <w:lang w:val="en-GB" w:eastAsia="en-GB"/>
              </w:rPr>
            </w:pPr>
            <w:r w:rsidRPr="00B02EE5">
              <w:rPr>
                <w:rFonts w:ascii="Arial" w:hAnsi="Arial" w:cs="Arial"/>
                <w:bCs/>
                <w:sz w:val="18"/>
                <w:szCs w:val="18"/>
              </w:rPr>
              <w:t>Traveling service</w:t>
            </w:r>
          </w:p>
        </w:tc>
        <w:tc>
          <w:tcPr>
            <w:tcW w:w="1276" w:type="dxa"/>
            <w:vAlign w:val="center"/>
            <w:hideMark/>
          </w:tcPr>
          <w:p w14:paraId="08E5640C" w14:textId="77777777" w:rsidR="00B02EE5" w:rsidRPr="00B02EE5" w:rsidRDefault="00B02EE5" w:rsidP="00B02EE5">
            <w:pPr>
              <w:spacing w:before="20" w:after="20" w:line="276" w:lineRule="auto"/>
              <w:ind w:right="240"/>
              <w:jc w:val="right"/>
              <w:rPr>
                <w:rFonts w:ascii="Arial" w:hAnsi="Arial" w:cs="Arial"/>
                <w:color w:val="000000"/>
                <w:sz w:val="18"/>
                <w:szCs w:val="18"/>
                <w:lang w:eastAsia="en-GB"/>
              </w:rPr>
            </w:pPr>
            <w:r w:rsidRPr="00B02EE5">
              <w:rPr>
                <w:rFonts w:ascii="Arial" w:hAnsi="Arial" w:cs="Arial"/>
                <w:sz w:val="20"/>
                <w:szCs w:val="20"/>
                <w:lang w:val="en-GB" w:eastAsia="en-GB"/>
              </w:rPr>
              <w:t>5.1</w:t>
            </w:r>
          </w:p>
        </w:tc>
        <w:tc>
          <w:tcPr>
            <w:tcW w:w="2395" w:type="dxa"/>
            <w:vAlign w:val="center"/>
            <w:hideMark/>
          </w:tcPr>
          <w:p w14:paraId="633BD1E3" w14:textId="77777777" w:rsidR="00B02EE5" w:rsidRPr="00B02EE5" w:rsidRDefault="00B02EE5" w:rsidP="00B02EE5">
            <w:pPr>
              <w:spacing w:before="20" w:after="20" w:line="276" w:lineRule="auto"/>
              <w:ind w:right="884"/>
              <w:jc w:val="right"/>
              <w:rPr>
                <w:rFonts w:ascii="Arial" w:hAnsi="Arial" w:cs="Arial"/>
                <w:color w:val="000000"/>
                <w:sz w:val="18"/>
                <w:szCs w:val="18"/>
                <w:lang w:val="en-GB" w:eastAsia="en-GB"/>
              </w:rPr>
            </w:pPr>
            <w:r w:rsidRPr="00B02EE5">
              <w:rPr>
                <w:rFonts w:ascii="Arial" w:hAnsi="Arial" w:cs="Arial"/>
                <w:sz w:val="20"/>
                <w:szCs w:val="20"/>
                <w:lang w:val="en-GB" w:eastAsia="en-GB"/>
              </w:rPr>
              <w:t>-5.3</w:t>
            </w:r>
          </w:p>
        </w:tc>
        <w:tc>
          <w:tcPr>
            <w:tcW w:w="1999" w:type="dxa"/>
            <w:vAlign w:val="center"/>
            <w:hideMark/>
          </w:tcPr>
          <w:p w14:paraId="08EFCDC8" w14:textId="77777777" w:rsidR="00B02EE5" w:rsidRPr="00B02EE5" w:rsidRDefault="00B02EE5" w:rsidP="00B02EE5">
            <w:pPr>
              <w:spacing w:before="20" w:after="20" w:line="276" w:lineRule="auto"/>
              <w:ind w:right="600"/>
              <w:jc w:val="right"/>
              <w:rPr>
                <w:rFonts w:ascii="Arial" w:hAnsi="Arial" w:cs="Arial"/>
                <w:color w:val="000000"/>
                <w:sz w:val="18"/>
                <w:szCs w:val="18"/>
                <w:lang w:eastAsia="en-GB"/>
              </w:rPr>
            </w:pPr>
            <w:r w:rsidRPr="00B02EE5">
              <w:rPr>
                <w:rFonts w:ascii="Arial" w:hAnsi="Arial" w:cs="Arial"/>
                <w:sz w:val="20"/>
                <w:szCs w:val="20"/>
                <w:lang w:val="en-GB" w:eastAsia="en-GB"/>
              </w:rPr>
              <w:t>17.3</w:t>
            </w:r>
          </w:p>
        </w:tc>
      </w:tr>
      <w:tr w:rsidR="00B02EE5" w:rsidRPr="00B02EE5" w14:paraId="0C3E681C" w14:textId="77777777" w:rsidTr="003446D4">
        <w:trPr>
          <w:cantSplit/>
          <w:trHeight w:val="298"/>
          <w:jc w:val="center"/>
        </w:trPr>
        <w:tc>
          <w:tcPr>
            <w:tcW w:w="3402" w:type="dxa"/>
            <w:tcBorders>
              <w:top w:val="nil"/>
              <w:left w:val="nil"/>
              <w:bottom w:val="single" w:sz="4" w:space="0" w:color="auto"/>
              <w:right w:val="nil"/>
            </w:tcBorders>
            <w:vAlign w:val="center"/>
            <w:hideMark/>
          </w:tcPr>
          <w:p w14:paraId="4F796982" w14:textId="77777777" w:rsidR="00B02EE5" w:rsidRPr="00B02EE5" w:rsidRDefault="00B02EE5" w:rsidP="00B02EE5">
            <w:pPr>
              <w:spacing w:before="20" w:after="20" w:line="276" w:lineRule="auto"/>
              <w:ind w:firstLine="176"/>
              <w:rPr>
                <w:rFonts w:ascii="Arial" w:hAnsi="Arial" w:cs="Arial"/>
                <w:color w:val="000000"/>
                <w:sz w:val="18"/>
                <w:szCs w:val="18"/>
                <w:lang w:val="en-GB" w:eastAsia="en-GB"/>
              </w:rPr>
            </w:pPr>
            <w:r w:rsidRPr="00B02EE5">
              <w:rPr>
                <w:rFonts w:ascii="Arial" w:hAnsi="Arial" w:cs="Arial"/>
                <w:bCs/>
                <w:sz w:val="18"/>
                <w:szCs w:val="18"/>
              </w:rPr>
              <w:t>Other services</w:t>
            </w:r>
          </w:p>
        </w:tc>
        <w:tc>
          <w:tcPr>
            <w:tcW w:w="1276" w:type="dxa"/>
            <w:tcBorders>
              <w:top w:val="nil"/>
              <w:left w:val="nil"/>
              <w:bottom w:val="single" w:sz="4" w:space="0" w:color="auto"/>
              <w:right w:val="nil"/>
            </w:tcBorders>
            <w:vAlign w:val="center"/>
            <w:hideMark/>
          </w:tcPr>
          <w:p w14:paraId="7FD17AF6" w14:textId="77777777" w:rsidR="00B02EE5" w:rsidRPr="00B02EE5" w:rsidRDefault="00B02EE5" w:rsidP="00B02EE5">
            <w:pPr>
              <w:spacing w:before="20" w:after="20" w:line="276" w:lineRule="auto"/>
              <w:ind w:right="240"/>
              <w:jc w:val="right"/>
              <w:rPr>
                <w:rFonts w:ascii="Arial" w:hAnsi="Arial" w:cs="Arial"/>
                <w:color w:val="000000"/>
                <w:sz w:val="18"/>
                <w:szCs w:val="18"/>
                <w:lang w:eastAsia="en-GB"/>
              </w:rPr>
            </w:pPr>
            <w:r w:rsidRPr="00B02EE5">
              <w:rPr>
                <w:rFonts w:ascii="Arial" w:hAnsi="Arial" w:cs="Arial"/>
                <w:sz w:val="20"/>
                <w:szCs w:val="20"/>
                <w:lang w:val="en-GB" w:eastAsia="en-GB"/>
              </w:rPr>
              <w:t>59.5</w:t>
            </w:r>
          </w:p>
        </w:tc>
        <w:tc>
          <w:tcPr>
            <w:tcW w:w="2395" w:type="dxa"/>
            <w:tcBorders>
              <w:top w:val="nil"/>
              <w:left w:val="nil"/>
              <w:bottom w:val="single" w:sz="4" w:space="0" w:color="auto"/>
              <w:right w:val="nil"/>
            </w:tcBorders>
            <w:vAlign w:val="center"/>
            <w:hideMark/>
          </w:tcPr>
          <w:p w14:paraId="22672E4C" w14:textId="77777777" w:rsidR="00B02EE5" w:rsidRPr="00B02EE5" w:rsidRDefault="00B02EE5" w:rsidP="00B02EE5">
            <w:pPr>
              <w:spacing w:before="20" w:after="20" w:line="276" w:lineRule="auto"/>
              <w:ind w:right="884"/>
              <w:jc w:val="right"/>
              <w:rPr>
                <w:rFonts w:ascii="Arial" w:hAnsi="Arial" w:cs="Arial"/>
                <w:color w:val="000000"/>
                <w:sz w:val="18"/>
                <w:szCs w:val="18"/>
                <w:lang w:val="en-GB" w:eastAsia="en-GB"/>
              </w:rPr>
            </w:pPr>
            <w:r w:rsidRPr="00B02EE5">
              <w:rPr>
                <w:rFonts w:ascii="Arial" w:hAnsi="Arial" w:cs="Arial"/>
                <w:sz w:val="20"/>
                <w:szCs w:val="20"/>
                <w:lang w:eastAsia="en-GB"/>
              </w:rPr>
              <w:t>-</w:t>
            </w:r>
            <w:r w:rsidRPr="00B02EE5">
              <w:rPr>
                <w:rFonts w:ascii="Arial" w:hAnsi="Arial" w:cs="Arial"/>
                <w:sz w:val="20"/>
                <w:szCs w:val="20"/>
                <w:lang w:val="en-US" w:eastAsia="en-GB"/>
              </w:rPr>
              <w:t>6.3</w:t>
            </w:r>
          </w:p>
        </w:tc>
        <w:tc>
          <w:tcPr>
            <w:tcW w:w="1999" w:type="dxa"/>
            <w:tcBorders>
              <w:top w:val="nil"/>
              <w:left w:val="nil"/>
              <w:bottom w:val="single" w:sz="4" w:space="0" w:color="auto"/>
              <w:right w:val="nil"/>
            </w:tcBorders>
            <w:vAlign w:val="center"/>
            <w:hideMark/>
          </w:tcPr>
          <w:p w14:paraId="6B67E80F" w14:textId="77777777" w:rsidR="00B02EE5" w:rsidRPr="00B02EE5" w:rsidRDefault="00B02EE5" w:rsidP="00B02EE5">
            <w:pPr>
              <w:spacing w:before="20" w:after="20" w:line="276" w:lineRule="auto"/>
              <w:ind w:right="600"/>
              <w:jc w:val="right"/>
              <w:rPr>
                <w:rFonts w:ascii="Arial" w:hAnsi="Arial" w:cs="Arial"/>
                <w:color w:val="000000"/>
                <w:sz w:val="18"/>
                <w:szCs w:val="18"/>
                <w:lang w:eastAsia="en-GB"/>
              </w:rPr>
            </w:pPr>
            <w:r w:rsidRPr="00B02EE5">
              <w:rPr>
                <w:rFonts w:ascii="Arial" w:hAnsi="Arial" w:cs="Arial"/>
                <w:sz w:val="20"/>
                <w:szCs w:val="20"/>
                <w:lang w:val="en-GB" w:eastAsia="en-GB"/>
              </w:rPr>
              <w:t>9.8</w:t>
            </w:r>
          </w:p>
        </w:tc>
      </w:tr>
    </w:tbl>
    <w:p w14:paraId="512CB9EF" w14:textId="77777777" w:rsidR="00B02EE5" w:rsidRPr="00B02EE5" w:rsidRDefault="00B02EE5" w:rsidP="00B02EE5">
      <w:pPr>
        <w:tabs>
          <w:tab w:val="left" w:pos="2552"/>
          <w:tab w:val="left" w:pos="2835"/>
          <w:tab w:val="left" w:pos="3402"/>
        </w:tabs>
        <w:spacing w:before="40" w:after="40" w:line="276" w:lineRule="auto"/>
        <w:ind w:firstLine="567"/>
        <w:jc w:val="both"/>
        <w:rPr>
          <w:bCs/>
          <w:sz w:val="2"/>
        </w:rPr>
      </w:pPr>
    </w:p>
    <w:p w14:paraId="3BE5F5C5" w14:textId="77777777" w:rsidR="00B02EE5" w:rsidRPr="00B02EE5" w:rsidRDefault="00B02EE5" w:rsidP="00B02EE5">
      <w:pPr>
        <w:spacing w:before="40" w:after="120" w:line="276" w:lineRule="auto"/>
        <w:ind w:firstLine="567"/>
        <w:jc w:val="both"/>
        <w:rPr>
          <w:bCs/>
          <w:lang w:val="en-US"/>
        </w:rPr>
      </w:pPr>
      <w:r w:rsidRPr="00B02EE5">
        <w:rPr>
          <w:bCs/>
          <w:lang w:val="en-US"/>
        </w:rPr>
        <w:t xml:space="preserve">Gross retail sales of goods and services </w:t>
      </w:r>
      <w:r w:rsidRPr="00B02EE5">
        <w:rPr>
          <w:bCs/>
          <w:iCs/>
          <w:spacing w:val="-2"/>
          <w:lang w:val="en-US"/>
        </w:rPr>
        <w:t xml:space="preserve">at current prices </w:t>
      </w:r>
      <w:r w:rsidRPr="00B02EE5">
        <w:rPr>
          <w:bCs/>
          <w:lang w:val="en-US"/>
        </w:rPr>
        <w:t>at current prices in January 2025 increased sharply compared to the same period last year thanks to the positive contribution of the accommodation, food and beverage, and travel and tourism services industries.</w:t>
      </w:r>
    </w:p>
    <w:p w14:paraId="00124848" w14:textId="77777777" w:rsidR="00B02EE5" w:rsidRPr="00B02EE5" w:rsidRDefault="00B02EE5" w:rsidP="00B02EE5">
      <w:pPr>
        <w:spacing w:line="276" w:lineRule="auto"/>
        <w:jc w:val="center"/>
        <w:rPr>
          <w:rFonts w:ascii="Arial" w:hAnsi="Arial" w:cs="Arial"/>
          <w:b/>
          <w:bCs/>
          <w:sz w:val="24"/>
          <w:szCs w:val="24"/>
          <w:lang w:val="en-US"/>
        </w:rPr>
      </w:pPr>
      <w:r w:rsidRPr="00B02EE5">
        <w:rPr>
          <w:rFonts w:ascii="Arial" w:hAnsi="Arial" w:cs="Arial"/>
          <w:b/>
          <w:bCs/>
          <w:sz w:val="24"/>
          <w:szCs w:val="24"/>
          <w:lang w:val="en-US"/>
        </w:rPr>
        <w:t xml:space="preserve">Figure 11. Gross retail sales of goods and services </w:t>
      </w:r>
    </w:p>
    <w:p w14:paraId="586BB118" w14:textId="77777777" w:rsidR="00B02EE5" w:rsidRPr="00B02EE5" w:rsidRDefault="00B02EE5" w:rsidP="00B02EE5">
      <w:pPr>
        <w:spacing w:after="120" w:line="276" w:lineRule="auto"/>
        <w:jc w:val="center"/>
        <w:rPr>
          <w:rFonts w:ascii="Arial" w:hAnsi="Arial" w:cs="Arial"/>
          <w:b/>
          <w:bCs/>
          <w:sz w:val="24"/>
          <w:szCs w:val="24"/>
          <w:lang w:val="it-IT"/>
        </w:rPr>
      </w:pPr>
      <w:r w:rsidRPr="00B02EE5">
        <w:rPr>
          <w:rFonts w:ascii="Arial" w:hAnsi="Arial" w:cs="Arial"/>
          <w:b/>
          <w:bCs/>
          <w:sz w:val="24"/>
          <w:szCs w:val="24"/>
          <w:lang w:val="it-IT"/>
        </w:rPr>
        <w:t>in January from 2021-2025</w:t>
      </w:r>
    </w:p>
    <w:p w14:paraId="3675D5BD" w14:textId="77777777" w:rsidR="00B02EE5" w:rsidRPr="00B02EE5" w:rsidRDefault="00B02EE5" w:rsidP="00B02EE5">
      <w:pPr>
        <w:spacing w:before="40" w:after="40" w:line="276" w:lineRule="auto"/>
        <w:jc w:val="center"/>
        <w:rPr>
          <w:rFonts w:ascii="Arial" w:hAnsi="Arial" w:cs="Arial"/>
          <w:b/>
          <w:bCs/>
          <w:sz w:val="24"/>
          <w:szCs w:val="24"/>
          <w:lang w:val="it-IT"/>
        </w:rPr>
      </w:pPr>
      <w:r w:rsidRPr="00B02EE5">
        <w:rPr>
          <w:noProof/>
        </w:rPr>
        <w:drawing>
          <wp:inline distT="0" distB="0" distL="0" distR="0" wp14:anchorId="2FD3C9DB" wp14:editId="6AF3ABE6">
            <wp:extent cx="4572000" cy="2743200"/>
            <wp:effectExtent l="0" t="0" r="0" b="0"/>
            <wp:docPr id="1244440878" name="Chart 1">
              <a:extLst xmlns:a="http://schemas.openxmlformats.org/drawingml/2006/main">
                <a:ext uri="{FF2B5EF4-FFF2-40B4-BE49-F238E27FC236}">
                  <a16:creationId xmlns:a16="http://schemas.microsoft.com/office/drawing/2014/main" id="{00000000-0008-0000-02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19589FA" w14:textId="77777777" w:rsidR="00B02EE5" w:rsidRPr="00B02EE5" w:rsidRDefault="00B02EE5" w:rsidP="00B02EE5">
      <w:pPr>
        <w:tabs>
          <w:tab w:val="left" w:pos="2552"/>
          <w:tab w:val="left" w:pos="2835"/>
          <w:tab w:val="left" w:pos="3402"/>
        </w:tabs>
        <w:spacing w:before="120" w:after="120" w:line="276" w:lineRule="auto"/>
        <w:ind w:firstLine="567"/>
        <w:jc w:val="both"/>
      </w:pPr>
      <w:r w:rsidRPr="00B02EE5">
        <w:rPr>
          <w:i/>
          <w:lang w:val="en-US"/>
        </w:rPr>
        <w:t>R</w:t>
      </w:r>
      <w:r w:rsidRPr="00B02EE5">
        <w:rPr>
          <w:i/>
        </w:rPr>
        <w:t>etail sales of goods</w:t>
      </w:r>
      <w:r w:rsidRPr="00B02EE5">
        <w:t xml:space="preserve"> in January 2025 w</w:t>
      </w:r>
      <w:r w:rsidRPr="00B02EE5">
        <w:rPr>
          <w:lang w:val="en-US"/>
        </w:rPr>
        <w:t>ere</w:t>
      </w:r>
      <w:r w:rsidRPr="00B02EE5">
        <w:t xml:space="preserve"> estimated at </w:t>
      </w:r>
      <w:r w:rsidRPr="00B02EE5">
        <w:rPr>
          <w:lang w:val="en-US"/>
        </w:rPr>
        <w:t>441.4</w:t>
      </w:r>
      <w:r w:rsidRPr="00B02EE5">
        <w:t xml:space="preserve"> trillion VND, up </w:t>
      </w:r>
      <w:r w:rsidRPr="00B02EE5">
        <w:rPr>
          <w:lang w:val="en-US"/>
        </w:rPr>
        <w:t>8.6</w:t>
      </w:r>
      <w:r w:rsidRPr="00B02EE5">
        <w:t xml:space="preserve">% over the same period last year, of which: </w:t>
      </w:r>
      <w:r w:rsidRPr="00B02EE5">
        <w:rPr>
          <w:lang w:val="en-US"/>
        </w:rPr>
        <w:t xml:space="preserve">Other fuels (excluding gasoline) increased by 31.1%; precious stones, precious metals and products increased by 15.5%; automobiles of all kinds increased by 11.6%; cultural and educational items increased by 8.9%; garments increased by 8.3%; food and foodstuffs </w:t>
      </w:r>
      <w:r w:rsidRPr="00B02EE5">
        <w:rPr>
          <w:lang w:val="en-US"/>
        </w:rPr>
        <w:lastRenderedPageBreak/>
        <w:t>increased by 7.8%; household appliances, tools and equipment increased by 1.5%. Retail sales of goods in January 2025 compared to the same period last year in some localities were as follows: Hai Phong increased by 9.2%; Ha Noi increased by 9.0%; Quang Ninh increased by 8.5%; Ho Chi Minh City increased by 8.4%; Da Nang increased by 7.9%.</w:t>
      </w:r>
    </w:p>
    <w:p w14:paraId="40DB1F40" w14:textId="77777777" w:rsidR="00B02EE5" w:rsidRPr="00B02EE5" w:rsidRDefault="00B02EE5" w:rsidP="00B02EE5">
      <w:pPr>
        <w:tabs>
          <w:tab w:val="left" w:pos="2552"/>
          <w:tab w:val="left" w:pos="2835"/>
          <w:tab w:val="left" w:pos="3402"/>
        </w:tabs>
        <w:spacing w:after="120" w:line="276" w:lineRule="auto"/>
        <w:ind w:firstLine="567"/>
        <w:jc w:val="both"/>
        <w:rPr>
          <w:bCs/>
          <w:lang w:val="en-US"/>
        </w:rPr>
      </w:pPr>
      <w:r w:rsidRPr="00B02EE5">
        <w:rPr>
          <w:bCs/>
          <w:i/>
        </w:rPr>
        <w:t>Revenue from accommodation and catering services</w:t>
      </w:r>
      <w:r w:rsidRPr="00B02EE5">
        <w:rPr>
          <w:bCs/>
        </w:rPr>
        <w:t xml:space="preserve"> in January 2025 was estimated at </w:t>
      </w:r>
      <w:r w:rsidRPr="00B02EE5">
        <w:rPr>
          <w:bCs/>
          <w:lang w:val="en-US"/>
        </w:rPr>
        <w:t>67.3</w:t>
      </w:r>
      <w:r w:rsidRPr="00B02EE5">
        <w:rPr>
          <w:bCs/>
        </w:rPr>
        <w:t xml:space="preserve"> trillion</w:t>
      </w:r>
      <w:r w:rsidRPr="00B02EE5">
        <w:rPr>
          <w:bCs/>
          <w:lang w:val="en-US"/>
        </w:rPr>
        <w:t xml:space="preserve"> </w:t>
      </w:r>
      <w:r w:rsidRPr="00B02EE5">
        <w:rPr>
          <w:bCs/>
        </w:rPr>
        <w:t xml:space="preserve">VND, up </w:t>
      </w:r>
      <w:r w:rsidRPr="00B02EE5">
        <w:rPr>
          <w:bCs/>
          <w:lang w:val="en-US"/>
        </w:rPr>
        <w:t>14.8</w:t>
      </w:r>
      <w:r w:rsidRPr="00B02EE5">
        <w:rPr>
          <w:bCs/>
        </w:rPr>
        <w:t>% over the same period last year</w:t>
      </w:r>
      <w:r w:rsidRPr="00B02EE5">
        <w:rPr>
          <w:bCs/>
          <w:lang w:val="en-US"/>
        </w:rPr>
        <w:t>. Revenue in January 2025 compared to the same period last year of some localities was as follows: Da Nang increased by 17.7%; Hue increased by 17.6%; Hanoi increased by 16.8%; Ho Chi Minh City and Binh Duong both increased by 15.6%; Dong Nai increased by 12.7%; Can Tho increased by 10.7%, Ba Ria - Vung Tau increased by 8.6%.</w:t>
      </w:r>
    </w:p>
    <w:p w14:paraId="314AB584" w14:textId="77777777" w:rsidR="00B02EE5" w:rsidRPr="00B02EE5" w:rsidRDefault="00B02EE5" w:rsidP="00B02EE5">
      <w:pPr>
        <w:tabs>
          <w:tab w:val="left" w:pos="720"/>
          <w:tab w:val="left" w:pos="2552"/>
          <w:tab w:val="left" w:pos="3402"/>
        </w:tabs>
        <w:spacing w:after="120" w:line="276" w:lineRule="auto"/>
        <w:ind w:firstLine="567"/>
        <w:jc w:val="both"/>
        <w:rPr>
          <w:bCs/>
        </w:rPr>
      </w:pPr>
      <w:r w:rsidRPr="00B02EE5">
        <w:rPr>
          <w:bCs/>
        </w:rPr>
        <w:tab/>
      </w:r>
      <w:r w:rsidRPr="00B02EE5">
        <w:rPr>
          <w:bCs/>
          <w:i/>
        </w:rPr>
        <w:t xml:space="preserve">Revenue from tourism and travel services </w:t>
      </w:r>
      <w:r w:rsidRPr="00B02EE5">
        <w:rPr>
          <w:bCs/>
          <w:iCs/>
        </w:rPr>
        <w:t xml:space="preserve">in January 2025 was estimated at </w:t>
      </w:r>
      <w:r w:rsidRPr="00B02EE5">
        <w:rPr>
          <w:bCs/>
          <w:iCs/>
          <w:lang w:val="en-US"/>
        </w:rPr>
        <w:t>5.1</w:t>
      </w:r>
      <w:r w:rsidRPr="00B02EE5">
        <w:rPr>
          <w:bCs/>
          <w:iCs/>
        </w:rPr>
        <w:t xml:space="preserve"> trillion VND, up </w:t>
      </w:r>
      <w:r w:rsidRPr="00B02EE5">
        <w:rPr>
          <w:bCs/>
          <w:iCs/>
          <w:lang w:val="en-US"/>
        </w:rPr>
        <w:t>17.3</w:t>
      </w:r>
      <w:r w:rsidRPr="00B02EE5">
        <w:rPr>
          <w:bCs/>
          <w:iCs/>
        </w:rPr>
        <w:t>% percent over the same period last year</w:t>
      </w:r>
      <w:r w:rsidRPr="00B02EE5">
        <w:rPr>
          <w:bCs/>
          <w:iCs/>
          <w:lang w:val="en-US"/>
        </w:rPr>
        <w:t xml:space="preserve">. </w:t>
      </w:r>
      <w:r w:rsidRPr="00B02EE5">
        <w:rPr>
          <w:bCs/>
          <w:lang w:val="en-US"/>
        </w:rPr>
        <w:t>Revenue in January 2025 compared to the same period last year of some localities was as follows</w:t>
      </w:r>
      <w:r w:rsidRPr="00B02EE5">
        <w:rPr>
          <w:bCs/>
          <w:iCs/>
        </w:rPr>
        <w:t>: Khanh Hoa increased by 36.6%; Da Nang increased by 21.0%; Ho Chi Minh City increased by 17.0%; Can Tho increased by 16.0%; Ha</w:t>
      </w:r>
      <w:r w:rsidRPr="00B02EE5">
        <w:rPr>
          <w:bCs/>
          <w:iCs/>
          <w:lang w:val="en-US"/>
        </w:rPr>
        <w:t xml:space="preserve"> N</w:t>
      </w:r>
      <w:r w:rsidRPr="00B02EE5">
        <w:rPr>
          <w:bCs/>
          <w:iCs/>
        </w:rPr>
        <w:t>oi increased by 14.8%; Quang Ninh increased by 14.7%.</w:t>
      </w:r>
    </w:p>
    <w:p w14:paraId="1A224593" w14:textId="568177C3" w:rsidR="00B02EE5" w:rsidRPr="00B02EE5" w:rsidRDefault="00B02EE5" w:rsidP="00B02EE5">
      <w:pPr>
        <w:tabs>
          <w:tab w:val="left" w:pos="900"/>
          <w:tab w:val="left" w:pos="9475"/>
        </w:tabs>
        <w:spacing w:after="120" w:line="276" w:lineRule="auto"/>
        <w:ind w:firstLine="567"/>
        <w:jc w:val="both"/>
        <w:rPr>
          <w:bCs/>
          <w:lang w:val="en-US"/>
        </w:rPr>
      </w:pPr>
      <w:r w:rsidRPr="00B02EE5">
        <w:rPr>
          <w:bCs/>
          <w:i/>
        </w:rPr>
        <w:t>Other service revenue</w:t>
      </w:r>
      <w:r w:rsidRPr="00B02EE5">
        <w:rPr>
          <w:bCs/>
        </w:rPr>
        <w:t xml:space="preserve"> in January 2025 was estimated at </w:t>
      </w:r>
      <w:r w:rsidRPr="00B02EE5">
        <w:rPr>
          <w:bCs/>
          <w:lang w:val="en-US"/>
        </w:rPr>
        <w:t>59.5</w:t>
      </w:r>
      <w:r w:rsidRPr="00B02EE5">
        <w:rPr>
          <w:bCs/>
        </w:rPr>
        <w:t xml:space="preserve"> trillion VND</w:t>
      </w:r>
      <w:r w:rsidRPr="00B02EE5">
        <w:rPr>
          <w:bCs/>
          <w:lang w:val="en-US"/>
        </w:rPr>
        <w:t>,</w:t>
      </w:r>
      <w:r w:rsidRPr="00B02EE5">
        <w:rPr>
          <w:bCs/>
        </w:rPr>
        <w:t xml:space="preserve"> up </w:t>
      </w:r>
      <w:r w:rsidRPr="00B02EE5">
        <w:rPr>
          <w:bCs/>
          <w:lang w:val="en-US"/>
        </w:rPr>
        <w:t>9.8</w:t>
      </w:r>
      <w:r w:rsidRPr="00B02EE5">
        <w:rPr>
          <w:bCs/>
        </w:rPr>
        <w:t>% over the same period last year</w:t>
      </w:r>
      <w:r w:rsidRPr="00B02EE5">
        <w:rPr>
          <w:bCs/>
          <w:lang w:val="en-US"/>
        </w:rPr>
        <w:t xml:space="preserve">. The increase in January 2025 compared to the same period last year of some localities are as follows: </w:t>
      </w:r>
      <w:r w:rsidRPr="00B02EE5">
        <w:rPr>
          <w:bCs/>
        </w:rPr>
        <w:t>Can Tho increased by 25.5%; Nam Dinh increased by 15.7%; Thanh Hoa increased by 12.1%; Hai Phong increased by 4.7%; Kien Giang decreased by 0.8%; Ca Mau decreased by 4.8%.</w:t>
      </w:r>
    </w:p>
    <w:p w14:paraId="668CDDA1" w14:textId="77777777" w:rsidR="00B02EE5" w:rsidRPr="00B02EE5" w:rsidRDefault="00B02EE5" w:rsidP="00B02EE5">
      <w:pPr>
        <w:spacing w:before="120" w:after="40"/>
        <w:jc w:val="center"/>
        <w:rPr>
          <w:rFonts w:ascii=".VnArialH" w:hAnsi=".VnArialH" w:cs=".VnArialH"/>
          <w:b/>
          <w:bCs/>
          <w:sz w:val="10"/>
          <w:szCs w:val="18"/>
          <w:lang w:val="en-GB"/>
        </w:rPr>
      </w:pPr>
    </w:p>
    <w:p w14:paraId="451F578F" w14:textId="77777777" w:rsidR="00B02EE5" w:rsidRPr="00B02EE5" w:rsidRDefault="00B02EE5" w:rsidP="00B02EE5">
      <w:pPr>
        <w:tabs>
          <w:tab w:val="left" w:pos="900"/>
        </w:tabs>
        <w:spacing w:before="40" w:after="40" w:line="288" w:lineRule="auto"/>
        <w:ind w:firstLine="562"/>
        <w:jc w:val="both"/>
        <w:rPr>
          <w:b/>
          <w:bCs/>
          <w:i/>
          <w:iCs/>
          <w:lang w:val="en-US"/>
        </w:rPr>
      </w:pPr>
      <w:bookmarkStart w:id="0" w:name="_Hlk89176061"/>
      <w:bookmarkStart w:id="1" w:name="_Hlk54593811"/>
      <w:r w:rsidRPr="00B02EE5">
        <w:rPr>
          <w:b/>
          <w:bCs/>
          <w:i/>
          <w:iCs/>
          <w:color w:val="000000"/>
          <w:lang w:val="de-DE"/>
        </w:rPr>
        <w:t xml:space="preserve">b) </w:t>
      </w:r>
      <w:r w:rsidRPr="00B02EE5">
        <w:rPr>
          <w:b/>
          <w:bCs/>
          <w:i/>
          <w:iCs/>
          <w:lang w:val="en-US"/>
        </w:rPr>
        <w:t>Export and import of goods</w:t>
      </w:r>
      <w:r w:rsidRPr="00B02EE5">
        <w:rPr>
          <w:b/>
          <w:bCs/>
          <w:i/>
          <w:iCs/>
          <w:vertAlign w:val="superscript"/>
          <w:lang w:val="en-US"/>
        </w:rPr>
        <w:footnoteReference w:id="12"/>
      </w:r>
    </w:p>
    <w:p w14:paraId="5E6EDC45" w14:textId="77777777" w:rsidR="00B02EE5" w:rsidRPr="00B02EE5" w:rsidRDefault="00B02EE5" w:rsidP="00B02EE5">
      <w:pPr>
        <w:tabs>
          <w:tab w:val="left" w:pos="900"/>
          <w:tab w:val="left" w:pos="9475"/>
        </w:tabs>
        <w:spacing w:before="120" w:after="120" w:line="288" w:lineRule="auto"/>
        <w:ind w:right="119" w:firstLine="567"/>
        <w:jc w:val="both"/>
        <w:rPr>
          <w:rFonts w:ascii="Times New Roman Italic" w:hAnsi="Times New Roman Italic"/>
          <w:i/>
          <w:lang w:val="es-NI"/>
        </w:rPr>
      </w:pPr>
      <w:r w:rsidRPr="00B02EE5">
        <w:rPr>
          <w:rFonts w:ascii="Times New Roman Italic" w:hAnsi="Times New Roman Italic"/>
          <w:i/>
          <w:lang w:val="de-DE"/>
        </w:rPr>
        <w:t>Total  export and import turnover of goods</w:t>
      </w:r>
      <w:r w:rsidRPr="00B02EE5">
        <w:rPr>
          <w:rFonts w:ascii="Times New Roman Italic" w:hAnsi="Times New Roman Italic"/>
          <w:i/>
          <w:iCs/>
          <w:vertAlign w:val="superscript"/>
          <w:lang w:val="en-US"/>
        </w:rPr>
        <w:footnoteReference w:id="13"/>
      </w:r>
      <w:r w:rsidRPr="00B02EE5">
        <w:rPr>
          <w:rFonts w:ascii="Times New Roman Italic" w:hAnsi="Times New Roman Italic"/>
          <w:i/>
          <w:lang w:val="de-DE"/>
        </w:rPr>
        <w:t xml:space="preserve"> in 01/2025 reached 63.15 billion USD, down 10.5% over the previous month and down 3.5% over the same period last year</w:t>
      </w:r>
      <w:r w:rsidRPr="00B02EE5">
        <w:rPr>
          <w:rFonts w:ascii="Times New Roman Italic" w:hAnsi="Times New Roman Italic"/>
          <w:i/>
          <w:vertAlign w:val="superscript"/>
          <w:lang w:val="de-DE"/>
        </w:rPr>
        <w:footnoteReference w:id="14"/>
      </w:r>
      <w:r w:rsidRPr="00B02EE5">
        <w:rPr>
          <w:rFonts w:ascii="Times New Roman Italic" w:hAnsi="Times New Roman Italic"/>
          <w:i/>
          <w:lang w:val="de-DE"/>
        </w:rPr>
        <w:t>. Of which exports decreased by 4.3%; imports decreased by 2.6%</w:t>
      </w:r>
      <w:r w:rsidRPr="00B02EE5">
        <w:rPr>
          <w:rFonts w:ascii="Times New Roman Italic" w:hAnsi="Times New Roman Italic"/>
          <w:i/>
          <w:vertAlign w:val="superscript"/>
          <w:lang w:val="de-DE"/>
        </w:rPr>
        <w:footnoteReference w:id="15"/>
      </w:r>
      <w:r w:rsidRPr="00B02EE5">
        <w:rPr>
          <w:rFonts w:ascii="Times New Roman Italic" w:hAnsi="Times New Roman Italic"/>
          <w:i/>
          <w:lang w:val="de-DE"/>
        </w:rPr>
        <w:t>. The trade balance of goods had a surplus of 3.03 billion USD.</w:t>
      </w:r>
      <w:r w:rsidRPr="00B02EE5">
        <w:rPr>
          <w:rFonts w:ascii="Times New Roman Italic" w:hAnsi="Times New Roman Italic"/>
          <w:i/>
          <w:lang w:val="es-NI"/>
        </w:rPr>
        <w:t xml:space="preserve"> </w:t>
      </w:r>
    </w:p>
    <w:p w14:paraId="5E051C4E" w14:textId="77777777" w:rsidR="00B02EE5" w:rsidRPr="00B02EE5" w:rsidRDefault="00B02EE5" w:rsidP="00B02EE5">
      <w:pPr>
        <w:tabs>
          <w:tab w:val="left" w:pos="900"/>
          <w:tab w:val="left" w:pos="9475"/>
        </w:tabs>
        <w:spacing w:before="120" w:after="120" w:line="288" w:lineRule="auto"/>
        <w:jc w:val="center"/>
        <w:rPr>
          <w:rFonts w:ascii="Arial" w:hAnsi="Arial" w:cs="Arial"/>
          <w:b/>
          <w:bCs/>
          <w:sz w:val="24"/>
          <w:szCs w:val="24"/>
          <w:lang w:val="es-NI"/>
        </w:rPr>
      </w:pPr>
      <w:r w:rsidRPr="00B02EE5">
        <w:rPr>
          <w:rFonts w:ascii="Arial" w:hAnsi="Arial" w:cs="Arial"/>
          <w:b/>
          <w:bCs/>
          <w:sz w:val="24"/>
          <w:szCs w:val="24"/>
          <w:lang w:val="es-NI"/>
        </w:rPr>
        <w:t>Figure 16. Import and export of goods in 01/2025</w:t>
      </w:r>
    </w:p>
    <w:p w14:paraId="051BC2FE" w14:textId="77777777" w:rsidR="00B02EE5" w:rsidRPr="00B02EE5" w:rsidRDefault="00B02EE5" w:rsidP="00B02EE5">
      <w:pPr>
        <w:tabs>
          <w:tab w:val="left" w:pos="900"/>
          <w:tab w:val="left" w:pos="9475"/>
        </w:tabs>
        <w:spacing w:before="240" w:after="240" w:line="288" w:lineRule="auto"/>
        <w:jc w:val="center"/>
        <w:rPr>
          <w:rFonts w:ascii="Calibri" w:hAnsi="Calibri" w:cs="Calibri"/>
          <w:iCs/>
          <w:spacing w:val="2"/>
          <w:sz w:val="22"/>
          <w:szCs w:val="22"/>
          <w:lang w:val="es-NI"/>
        </w:rPr>
      </w:pPr>
      <w:r w:rsidRPr="00B02EE5">
        <w:rPr>
          <w:rFonts w:ascii="Calibri" w:hAnsi="Calibri" w:cs="Calibri"/>
          <w:noProof/>
          <w:sz w:val="22"/>
          <w:szCs w:val="22"/>
          <w:lang w:val="en-GB"/>
        </w:rPr>
        <w:lastRenderedPageBreak/>
        <w:drawing>
          <wp:inline distT="0" distB="0" distL="0" distR="0" wp14:anchorId="00F2E98B" wp14:editId="01F62C87">
            <wp:extent cx="5209256" cy="1698171"/>
            <wp:effectExtent l="0" t="0" r="0" b="0"/>
            <wp:docPr id="46651489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514893" name=""/>
                    <pic:cNvPicPr/>
                  </pic:nvPicPr>
                  <pic:blipFill>
                    <a:blip r:embed="rId19">
                      <a:extLst>
                        <a:ext uri="{96DAC541-7B7A-43D3-8B79-37D633B846F1}">
                          <asvg:svgBlip xmlns:asvg="http://schemas.microsoft.com/office/drawing/2016/SVG/main" r:embed="rId20"/>
                        </a:ext>
                      </a:extLst>
                    </a:blip>
                    <a:stretch>
                      <a:fillRect/>
                    </a:stretch>
                  </pic:blipFill>
                  <pic:spPr>
                    <a:xfrm>
                      <a:off x="0" y="0"/>
                      <a:ext cx="5234667" cy="1706455"/>
                    </a:xfrm>
                    <a:prstGeom prst="rect">
                      <a:avLst/>
                    </a:prstGeom>
                  </pic:spPr>
                </pic:pic>
              </a:graphicData>
            </a:graphic>
          </wp:inline>
        </w:drawing>
      </w:r>
    </w:p>
    <w:p w14:paraId="151437E8" w14:textId="77777777" w:rsidR="00B02EE5" w:rsidRPr="00B02EE5" w:rsidRDefault="00B02EE5" w:rsidP="00B02EE5">
      <w:pPr>
        <w:tabs>
          <w:tab w:val="left" w:pos="900"/>
          <w:tab w:val="left" w:pos="9475"/>
        </w:tabs>
        <w:spacing w:before="40" w:after="40" w:line="278" w:lineRule="auto"/>
        <w:ind w:right="119" w:firstLine="567"/>
        <w:jc w:val="both"/>
        <w:rPr>
          <w:rFonts w:ascii="Calibri" w:hAnsi="Calibri"/>
          <w:b/>
          <w:bCs/>
          <w:i/>
          <w:iCs/>
          <w:color w:val="000000"/>
          <w:sz w:val="2"/>
          <w:szCs w:val="4"/>
          <w:lang w:val="de-DE"/>
        </w:rPr>
      </w:pPr>
    </w:p>
    <w:p w14:paraId="43B18A82" w14:textId="77777777" w:rsidR="00B02EE5" w:rsidRPr="00B02EE5" w:rsidRDefault="00B02EE5" w:rsidP="00B02EE5">
      <w:pPr>
        <w:tabs>
          <w:tab w:val="left" w:pos="900"/>
        </w:tabs>
        <w:spacing w:before="40" w:after="40" w:line="276" w:lineRule="auto"/>
        <w:ind w:firstLine="561"/>
        <w:jc w:val="both"/>
        <w:rPr>
          <w:b/>
          <w:bCs/>
          <w:i/>
          <w:iCs/>
          <w:lang w:val="en-US"/>
        </w:rPr>
      </w:pPr>
      <w:r w:rsidRPr="00B02EE5">
        <w:rPr>
          <w:b/>
          <w:bCs/>
          <w:i/>
          <w:iCs/>
          <w:lang w:val="en-US"/>
        </w:rPr>
        <w:t>Export of goods</w:t>
      </w:r>
    </w:p>
    <w:p w14:paraId="0D1B8528" w14:textId="77777777" w:rsidR="00B02EE5" w:rsidRPr="00B02EE5" w:rsidRDefault="00B02EE5" w:rsidP="00B02EE5">
      <w:pPr>
        <w:tabs>
          <w:tab w:val="num" w:pos="0"/>
          <w:tab w:val="left" w:pos="9475"/>
        </w:tabs>
        <w:spacing w:beforeLines="40" w:before="96" w:afterLines="40" w:after="96" w:line="276" w:lineRule="auto"/>
        <w:ind w:right="6" w:firstLine="567"/>
        <w:jc w:val="both"/>
        <w:rPr>
          <w:bCs/>
          <w:spacing w:val="-2"/>
          <w:lang w:val="de-DE"/>
        </w:rPr>
      </w:pPr>
      <w:r w:rsidRPr="00B02EE5">
        <w:rPr>
          <w:bCs/>
          <w:spacing w:val="-2"/>
          <w:lang w:val="en-US"/>
        </w:rPr>
        <w:t>Export turnover of goods in</w:t>
      </w:r>
      <w:r w:rsidRPr="00B02EE5">
        <w:rPr>
          <w:bCs/>
          <w:spacing w:val="-2"/>
          <w:lang w:val="de-DE"/>
        </w:rPr>
        <w:t xml:space="preserve"> 12/2024 reached USD 35.53 billion</w:t>
      </w:r>
      <w:r w:rsidRPr="00B02EE5">
        <w:rPr>
          <w:bCs/>
          <w:spacing w:val="-2"/>
          <w:vertAlign w:val="superscript"/>
          <w:lang w:val="de-DE"/>
        </w:rPr>
        <w:footnoteReference w:id="16"/>
      </w:r>
      <w:r w:rsidRPr="00B02EE5">
        <w:rPr>
          <w:bCs/>
          <w:spacing w:val="-2"/>
          <w:lang w:val="de-DE"/>
        </w:rPr>
        <w:t>.</w:t>
      </w:r>
    </w:p>
    <w:p w14:paraId="73D00088" w14:textId="77777777" w:rsidR="00B02EE5" w:rsidRPr="00B02EE5" w:rsidRDefault="00B02EE5" w:rsidP="00B02EE5">
      <w:pPr>
        <w:tabs>
          <w:tab w:val="num" w:pos="0"/>
          <w:tab w:val="left" w:pos="9475"/>
        </w:tabs>
        <w:spacing w:beforeLines="40" w:before="96" w:afterLines="40" w:after="96" w:line="276" w:lineRule="auto"/>
        <w:ind w:right="6" w:firstLine="567"/>
        <w:jc w:val="both"/>
        <w:rPr>
          <w:bCs/>
          <w:lang w:val="en-US"/>
        </w:rPr>
      </w:pPr>
      <w:r w:rsidRPr="00B02EE5">
        <w:rPr>
          <w:bCs/>
          <w:lang w:val="en-US"/>
        </w:rPr>
        <w:t xml:space="preserve">Export turnover of goods in 01/2025 reached 35.09 billion USD, down 6.9% over the previous month. Of which, the domestic economic sector reached 9.49 billion USD, down 11.2%; the FDI sector (including crude oil) reached 23.6 billion USD, down 5.0%. Compared to the same period last year, export turnover of goods in January decreased by 4.3%, of which the domestic economic sector decreased by 0.9%, </w:t>
      </w:r>
      <w:r w:rsidRPr="00B02EE5">
        <w:rPr>
          <w:lang w:val="en-US"/>
        </w:rPr>
        <w:t xml:space="preserve">accounting for 28.7% of total export turnover; </w:t>
      </w:r>
      <w:r w:rsidRPr="00B02EE5">
        <w:rPr>
          <w:bCs/>
          <w:lang w:val="en-US"/>
        </w:rPr>
        <w:t>the FDI sector (including crude oil) decreased by 5.5%,</w:t>
      </w:r>
      <w:r w:rsidRPr="00B02EE5">
        <w:rPr>
          <w:lang w:val="en-US"/>
        </w:rPr>
        <w:t xml:space="preserve"> accounting for 71.3%</w:t>
      </w:r>
      <w:r w:rsidRPr="00B02EE5">
        <w:rPr>
          <w:bCs/>
          <w:lang w:val="en-US"/>
        </w:rPr>
        <w:t>.</w:t>
      </w:r>
    </w:p>
    <w:p w14:paraId="0DB159AB" w14:textId="77777777" w:rsidR="00B02EE5" w:rsidRPr="00B02EE5" w:rsidRDefault="00B02EE5" w:rsidP="00B02EE5">
      <w:pPr>
        <w:tabs>
          <w:tab w:val="num" w:pos="0"/>
        </w:tabs>
        <w:spacing w:beforeLines="40" w:before="96" w:afterLines="40" w:after="96" w:line="276" w:lineRule="auto"/>
        <w:ind w:right="6" w:firstLine="567"/>
        <w:jc w:val="both"/>
        <w:rPr>
          <w:b/>
          <w:bCs/>
          <w:lang w:val="es-NI"/>
        </w:rPr>
      </w:pPr>
      <w:r w:rsidRPr="00B02EE5">
        <w:rPr>
          <w:lang w:val="de-DE"/>
        </w:rPr>
        <w:t xml:space="preserve">In Januar, </w:t>
      </w:r>
      <w:r w:rsidRPr="00B02EE5">
        <w:rPr>
          <w:lang w:val="en-US"/>
        </w:rPr>
        <w:t>there were 7 products with export turnover of over 1 billion USD, contributing 67.9% to the total export turnover.</w:t>
      </w:r>
    </w:p>
    <w:p w14:paraId="67C9BD20" w14:textId="77777777" w:rsidR="00B02EE5" w:rsidRPr="00B02EE5" w:rsidRDefault="00B02EE5" w:rsidP="00B02EE5">
      <w:pPr>
        <w:tabs>
          <w:tab w:val="num" w:pos="0"/>
          <w:tab w:val="left" w:pos="9475"/>
        </w:tabs>
        <w:spacing w:beforeLines="40" w:before="96" w:afterLines="40" w:after="96" w:line="264" w:lineRule="auto"/>
        <w:ind w:right="119" w:firstLine="567"/>
        <w:jc w:val="center"/>
        <w:rPr>
          <w:rFonts w:ascii="Arial" w:hAnsi="Arial" w:cs="Arial"/>
          <w:b/>
          <w:sz w:val="24"/>
          <w:szCs w:val="20"/>
          <w:lang w:val="pl-PL"/>
        </w:rPr>
      </w:pPr>
      <w:r w:rsidRPr="00B02EE5">
        <w:rPr>
          <w:rFonts w:ascii="Arial" w:hAnsi="Arial" w:cs="Arial"/>
          <w:b/>
          <w:sz w:val="24"/>
          <w:szCs w:val="20"/>
          <w:lang w:val="pl-PL"/>
        </w:rPr>
        <w:t>Table 4. Value of some export products in 01/2025</w:t>
      </w:r>
    </w:p>
    <w:tbl>
      <w:tblPr>
        <w:tblStyle w:val="TableGrid11"/>
        <w:tblW w:w="9711" w:type="dxa"/>
        <w:tblInd w:w="108" w:type="dxa"/>
        <w:tblBorders>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92"/>
        <w:gridCol w:w="1657"/>
        <w:gridCol w:w="3162"/>
      </w:tblGrid>
      <w:tr w:rsidR="00B02EE5" w:rsidRPr="00B02EE5" w14:paraId="6AA5F1CE" w14:textId="77777777" w:rsidTr="003446D4">
        <w:trPr>
          <w:trHeight w:val="556"/>
        </w:trPr>
        <w:tc>
          <w:tcPr>
            <w:tcW w:w="4892" w:type="dxa"/>
            <w:vAlign w:val="bottom"/>
          </w:tcPr>
          <w:p w14:paraId="416963D2" w14:textId="77777777" w:rsidR="00B02EE5" w:rsidRPr="00B02EE5" w:rsidRDefault="00B02EE5" w:rsidP="00B02EE5">
            <w:pPr>
              <w:tabs>
                <w:tab w:val="num" w:pos="0"/>
                <w:tab w:val="left" w:pos="9475"/>
              </w:tabs>
              <w:spacing w:before="40" w:after="40"/>
              <w:ind w:right="119"/>
              <w:jc w:val="right"/>
              <w:rPr>
                <w:rFonts w:ascii="Arial" w:eastAsia="Calibri" w:hAnsi="Arial" w:cs="Arial"/>
                <w:b/>
                <w:bCs/>
                <w:i/>
                <w:iCs/>
                <w:sz w:val="20"/>
                <w:szCs w:val="20"/>
                <w:lang w:val="en"/>
              </w:rPr>
            </w:pPr>
          </w:p>
        </w:tc>
        <w:tc>
          <w:tcPr>
            <w:tcW w:w="1657" w:type="dxa"/>
            <w:tcBorders>
              <w:top w:val="single" w:sz="4" w:space="0" w:color="auto"/>
              <w:bottom w:val="single" w:sz="4" w:space="0" w:color="auto"/>
            </w:tcBorders>
            <w:vAlign w:val="bottom"/>
          </w:tcPr>
          <w:p w14:paraId="0327380C" w14:textId="77777777" w:rsidR="00B02EE5" w:rsidRPr="00B02EE5" w:rsidRDefault="00B02EE5" w:rsidP="00B02EE5">
            <w:pPr>
              <w:spacing w:before="40" w:after="40"/>
              <w:jc w:val="center"/>
              <w:rPr>
                <w:rFonts w:ascii="Arial" w:eastAsia="Calibri" w:hAnsi="Arial" w:cs="Arial"/>
                <w:color w:val="000000"/>
                <w:sz w:val="20"/>
                <w:szCs w:val="20"/>
                <w:lang w:val="en"/>
              </w:rPr>
            </w:pPr>
            <w:r w:rsidRPr="00B02EE5">
              <w:rPr>
                <w:rFonts w:ascii="Arial" w:eastAsia="Calibri" w:hAnsi="Arial" w:cs="Arial"/>
                <w:color w:val="000000"/>
                <w:sz w:val="20"/>
                <w:szCs w:val="20"/>
                <w:lang w:val="en"/>
              </w:rPr>
              <w:t>Value</w:t>
            </w:r>
          </w:p>
          <w:p w14:paraId="129DE626" w14:textId="77777777" w:rsidR="00B02EE5" w:rsidRPr="00B02EE5" w:rsidRDefault="00B02EE5" w:rsidP="00B02EE5">
            <w:pPr>
              <w:spacing w:before="40" w:after="40"/>
              <w:jc w:val="center"/>
              <w:rPr>
                <w:rFonts w:ascii="Arial" w:eastAsia="Calibri" w:hAnsi="Arial" w:cs="Arial"/>
                <w:b/>
                <w:bCs/>
                <w:i/>
                <w:iCs/>
                <w:sz w:val="20"/>
                <w:szCs w:val="20"/>
                <w:lang w:val="en"/>
              </w:rPr>
            </w:pPr>
            <w:r w:rsidRPr="00B02EE5">
              <w:rPr>
                <w:rFonts w:ascii="Arial" w:eastAsia="Calibri" w:hAnsi="Arial" w:cs="Arial"/>
                <w:i/>
                <w:iCs/>
                <w:color w:val="000000"/>
                <w:sz w:val="20"/>
                <w:szCs w:val="20"/>
                <w:lang w:val="en-US"/>
              </w:rPr>
              <w:t>(Mill. USD)</w:t>
            </w:r>
          </w:p>
        </w:tc>
        <w:tc>
          <w:tcPr>
            <w:tcW w:w="3162" w:type="dxa"/>
            <w:tcBorders>
              <w:top w:val="single" w:sz="4" w:space="0" w:color="auto"/>
              <w:bottom w:val="single" w:sz="4" w:space="0" w:color="auto"/>
            </w:tcBorders>
            <w:vAlign w:val="bottom"/>
          </w:tcPr>
          <w:p w14:paraId="4E9305B7" w14:textId="77777777" w:rsidR="00B02EE5" w:rsidRPr="00B02EE5" w:rsidRDefault="00B02EE5" w:rsidP="00B02EE5">
            <w:pPr>
              <w:spacing w:before="40" w:after="40"/>
              <w:jc w:val="center"/>
              <w:rPr>
                <w:rFonts w:ascii="Arial" w:eastAsia="Calibri" w:hAnsi="Arial" w:cs="Arial"/>
                <w:sz w:val="20"/>
                <w:szCs w:val="20"/>
                <w:lang w:val="en"/>
              </w:rPr>
            </w:pPr>
            <w:r w:rsidRPr="00B02EE5">
              <w:rPr>
                <w:rFonts w:ascii="Arial" w:eastAsia="Calibri" w:hAnsi="Arial" w:cs="Arial"/>
                <w:sz w:val="20"/>
                <w:szCs w:val="20"/>
                <w:lang w:val="en"/>
              </w:rPr>
              <w:t xml:space="preserve">Growth rate </w:t>
            </w:r>
          </w:p>
          <w:p w14:paraId="794F1A04" w14:textId="77777777" w:rsidR="00B02EE5" w:rsidRPr="00B02EE5" w:rsidRDefault="00B02EE5" w:rsidP="00B02EE5">
            <w:pPr>
              <w:spacing w:before="40" w:after="40"/>
              <w:jc w:val="center"/>
              <w:rPr>
                <w:rFonts w:ascii="Arial" w:eastAsia="Calibri" w:hAnsi="Arial" w:cs="Arial"/>
                <w:sz w:val="20"/>
                <w:szCs w:val="20"/>
                <w:lang w:val="en"/>
              </w:rPr>
            </w:pPr>
            <w:r w:rsidRPr="00B02EE5">
              <w:rPr>
                <w:rFonts w:ascii="Arial" w:eastAsia="Calibri" w:hAnsi="Arial" w:cs="Arial"/>
                <w:sz w:val="20"/>
                <w:szCs w:val="20"/>
                <w:lang w:val="en-US"/>
              </w:rPr>
              <w:t xml:space="preserve">compare to last year </w:t>
            </w:r>
            <w:r w:rsidRPr="00B02EE5">
              <w:rPr>
                <w:rFonts w:ascii="Arial" w:eastAsia="Calibri" w:hAnsi="Arial" w:cs="Arial"/>
                <w:i/>
                <w:iCs/>
                <w:sz w:val="20"/>
                <w:szCs w:val="20"/>
                <w:lang w:val="en-US"/>
              </w:rPr>
              <w:t>(%)</w:t>
            </w:r>
          </w:p>
        </w:tc>
      </w:tr>
      <w:tr w:rsidR="00B02EE5" w:rsidRPr="00B02EE5" w14:paraId="21708CB3" w14:textId="77777777" w:rsidTr="003446D4">
        <w:trPr>
          <w:trHeight w:val="426"/>
        </w:trPr>
        <w:tc>
          <w:tcPr>
            <w:tcW w:w="4892" w:type="dxa"/>
            <w:vAlign w:val="bottom"/>
          </w:tcPr>
          <w:p w14:paraId="7B3A4A78" w14:textId="77777777" w:rsidR="00B02EE5" w:rsidRPr="00B02EE5" w:rsidRDefault="00B02EE5" w:rsidP="00B02EE5">
            <w:pPr>
              <w:spacing w:before="40" w:after="40"/>
              <w:rPr>
                <w:rFonts w:ascii="Arial" w:eastAsia="Calibri" w:hAnsi="Arial" w:cs="Arial"/>
                <w:b/>
                <w:bCs/>
                <w:color w:val="000000"/>
                <w:sz w:val="20"/>
                <w:szCs w:val="20"/>
                <w:lang w:val="en"/>
              </w:rPr>
            </w:pPr>
            <w:r w:rsidRPr="00B02EE5">
              <w:rPr>
                <w:rFonts w:ascii="Arial" w:eastAsia="Calibri" w:hAnsi="Arial" w:cs="Arial"/>
                <w:b/>
                <w:bCs/>
                <w:sz w:val="20"/>
                <w:szCs w:val="20"/>
                <w:lang w:val="en"/>
              </w:rPr>
              <w:t>Items with a value of over 1 billion USD</w:t>
            </w:r>
          </w:p>
        </w:tc>
        <w:tc>
          <w:tcPr>
            <w:tcW w:w="1657" w:type="dxa"/>
            <w:tcBorders>
              <w:top w:val="single" w:sz="4" w:space="0" w:color="auto"/>
            </w:tcBorders>
            <w:vAlign w:val="bottom"/>
          </w:tcPr>
          <w:p w14:paraId="0647C73F" w14:textId="77777777" w:rsidR="00B02EE5" w:rsidRPr="00B02EE5" w:rsidRDefault="00B02EE5" w:rsidP="00B02EE5">
            <w:pPr>
              <w:tabs>
                <w:tab w:val="num" w:pos="0"/>
                <w:tab w:val="left" w:pos="9475"/>
              </w:tabs>
              <w:spacing w:before="40" w:after="40"/>
              <w:ind w:right="119"/>
              <w:jc w:val="right"/>
              <w:rPr>
                <w:rFonts w:ascii="Arial" w:eastAsia="Calibri" w:hAnsi="Arial" w:cs="Arial"/>
                <w:b/>
                <w:bCs/>
                <w:i/>
                <w:iCs/>
                <w:sz w:val="20"/>
                <w:szCs w:val="20"/>
                <w:lang w:val="en"/>
              </w:rPr>
            </w:pPr>
          </w:p>
        </w:tc>
        <w:tc>
          <w:tcPr>
            <w:tcW w:w="3162" w:type="dxa"/>
            <w:tcBorders>
              <w:top w:val="single" w:sz="4" w:space="0" w:color="auto"/>
            </w:tcBorders>
            <w:vAlign w:val="bottom"/>
          </w:tcPr>
          <w:p w14:paraId="0AB373DD" w14:textId="77777777" w:rsidR="00B02EE5" w:rsidRPr="00B02EE5" w:rsidRDefault="00B02EE5" w:rsidP="00B02EE5">
            <w:pPr>
              <w:tabs>
                <w:tab w:val="num" w:pos="0"/>
                <w:tab w:val="left" w:pos="9475"/>
              </w:tabs>
              <w:spacing w:before="40" w:after="40"/>
              <w:ind w:right="119"/>
              <w:jc w:val="right"/>
              <w:rPr>
                <w:rFonts w:ascii="Arial" w:eastAsia="Calibri" w:hAnsi="Arial" w:cs="Arial"/>
                <w:b/>
                <w:bCs/>
                <w:i/>
                <w:iCs/>
                <w:sz w:val="20"/>
                <w:szCs w:val="20"/>
                <w:lang w:val="en"/>
              </w:rPr>
            </w:pPr>
          </w:p>
        </w:tc>
      </w:tr>
      <w:tr w:rsidR="00B02EE5" w:rsidRPr="00B02EE5" w14:paraId="5170087D" w14:textId="77777777" w:rsidTr="003446D4">
        <w:trPr>
          <w:trHeight w:val="408"/>
        </w:trPr>
        <w:tc>
          <w:tcPr>
            <w:tcW w:w="4892" w:type="dxa"/>
            <w:vAlign w:val="bottom"/>
          </w:tcPr>
          <w:p w14:paraId="75D27755" w14:textId="77777777" w:rsidR="00B02EE5" w:rsidRPr="00B02EE5" w:rsidRDefault="00B02EE5" w:rsidP="00B02EE5">
            <w:pPr>
              <w:spacing w:before="40" w:after="40"/>
              <w:ind w:firstLine="171"/>
              <w:rPr>
                <w:rFonts w:ascii="Arial" w:eastAsia="Calibri" w:hAnsi="Arial" w:cs="Arial"/>
                <w:sz w:val="20"/>
                <w:szCs w:val="20"/>
                <w:lang w:val="en"/>
              </w:rPr>
            </w:pPr>
            <w:r w:rsidRPr="00B02EE5">
              <w:rPr>
                <w:rFonts w:ascii="Arial" w:eastAsia="Calibri" w:hAnsi="Arial" w:cs="Arial"/>
                <w:sz w:val="20"/>
                <w:szCs w:val="20"/>
                <w:lang w:val="en"/>
              </w:rPr>
              <w:t>Electronic goods, computers and their parts</w:t>
            </w:r>
          </w:p>
        </w:tc>
        <w:tc>
          <w:tcPr>
            <w:tcW w:w="1657" w:type="dxa"/>
            <w:vAlign w:val="bottom"/>
          </w:tcPr>
          <w:p w14:paraId="2638DC96" w14:textId="77777777" w:rsidR="00B02EE5" w:rsidRPr="00B02EE5" w:rsidRDefault="00B02EE5" w:rsidP="00B02EE5">
            <w:pPr>
              <w:spacing w:before="40" w:after="40"/>
              <w:ind w:right="317"/>
              <w:jc w:val="right"/>
              <w:rPr>
                <w:rFonts w:ascii="Arial" w:eastAsia="Calibri" w:hAnsi="Arial" w:cs="Arial"/>
                <w:sz w:val="20"/>
                <w:szCs w:val="20"/>
                <w:lang w:val="en"/>
              </w:rPr>
            </w:pPr>
            <w:r w:rsidRPr="00B02EE5">
              <w:rPr>
                <w:rFonts w:ascii="Arial" w:eastAsia="Calibri" w:hAnsi="Arial" w:cs="Arial"/>
                <w:sz w:val="20"/>
                <w:szCs w:val="20"/>
                <w:lang w:val="en-GB"/>
              </w:rPr>
              <w:t>6</w:t>
            </w:r>
            <w:r w:rsidRPr="00B02EE5">
              <w:rPr>
                <w:rFonts w:ascii="Arial" w:eastAsia="Calibri" w:hAnsi="Arial" w:cs="Arial"/>
                <w:sz w:val="20"/>
                <w:szCs w:val="20"/>
                <w:lang w:val="en-US"/>
              </w:rPr>
              <w:t>,</w:t>
            </w:r>
            <w:r w:rsidRPr="00B02EE5">
              <w:rPr>
                <w:rFonts w:ascii="Arial" w:eastAsia="Calibri" w:hAnsi="Arial" w:cs="Arial"/>
                <w:sz w:val="20"/>
                <w:szCs w:val="20"/>
                <w:lang w:val="en-GB"/>
              </w:rPr>
              <w:t>054</w:t>
            </w:r>
          </w:p>
        </w:tc>
        <w:tc>
          <w:tcPr>
            <w:tcW w:w="3162" w:type="dxa"/>
            <w:vAlign w:val="bottom"/>
          </w:tcPr>
          <w:p w14:paraId="6E731EC3" w14:textId="77777777" w:rsidR="00B02EE5" w:rsidRPr="00B02EE5" w:rsidRDefault="00B02EE5" w:rsidP="00B02EE5">
            <w:pPr>
              <w:tabs>
                <w:tab w:val="left" w:pos="1735"/>
              </w:tabs>
              <w:spacing w:before="40" w:after="40"/>
              <w:ind w:right="1063"/>
              <w:jc w:val="right"/>
              <w:rPr>
                <w:rFonts w:ascii="Arial" w:eastAsia="Calibri" w:hAnsi="Arial" w:cs="Arial"/>
                <w:sz w:val="20"/>
                <w:szCs w:val="20"/>
                <w:lang w:val="en"/>
              </w:rPr>
            </w:pPr>
            <w:r w:rsidRPr="00B02EE5">
              <w:rPr>
                <w:rFonts w:ascii="Arial" w:eastAsia="Calibri" w:hAnsi="Arial" w:cs="Arial"/>
                <w:sz w:val="20"/>
                <w:szCs w:val="20"/>
                <w:lang w:val="en-GB"/>
              </w:rPr>
              <w:t>13.3</w:t>
            </w:r>
          </w:p>
        </w:tc>
      </w:tr>
      <w:tr w:rsidR="00B02EE5" w:rsidRPr="00B02EE5" w14:paraId="63B67A04" w14:textId="77777777" w:rsidTr="003446D4">
        <w:trPr>
          <w:trHeight w:val="426"/>
        </w:trPr>
        <w:tc>
          <w:tcPr>
            <w:tcW w:w="4892" w:type="dxa"/>
            <w:vAlign w:val="bottom"/>
          </w:tcPr>
          <w:p w14:paraId="520281BE" w14:textId="77777777" w:rsidR="00B02EE5" w:rsidRPr="00B02EE5" w:rsidRDefault="00B02EE5" w:rsidP="00B02EE5">
            <w:pPr>
              <w:spacing w:before="40" w:after="40"/>
              <w:ind w:firstLine="171"/>
              <w:rPr>
                <w:rFonts w:ascii="Arial" w:eastAsia="Calibri" w:hAnsi="Arial" w:cs="Arial"/>
                <w:sz w:val="20"/>
                <w:szCs w:val="20"/>
                <w:lang w:val="en"/>
              </w:rPr>
            </w:pPr>
            <w:r w:rsidRPr="00B02EE5">
              <w:rPr>
                <w:rFonts w:ascii="Arial" w:eastAsia="Calibri" w:hAnsi="Arial" w:cs="Arial"/>
                <w:sz w:val="20"/>
                <w:szCs w:val="20"/>
                <w:lang w:val="en"/>
              </w:rPr>
              <w:t xml:space="preserve">Phones all of kinds and their parts </w:t>
            </w:r>
          </w:p>
        </w:tc>
        <w:tc>
          <w:tcPr>
            <w:tcW w:w="1657" w:type="dxa"/>
            <w:vAlign w:val="bottom"/>
          </w:tcPr>
          <w:p w14:paraId="45384A2A" w14:textId="77777777" w:rsidR="00B02EE5" w:rsidRPr="00B02EE5" w:rsidRDefault="00B02EE5" w:rsidP="00B02EE5">
            <w:pPr>
              <w:spacing w:before="40" w:after="40"/>
              <w:ind w:right="317"/>
              <w:jc w:val="right"/>
              <w:rPr>
                <w:rFonts w:ascii="Arial" w:eastAsia="Calibri" w:hAnsi="Arial" w:cs="Arial"/>
                <w:sz w:val="20"/>
                <w:szCs w:val="20"/>
                <w:lang w:val="en"/>
              </w:rPr>
            </w:pPr>
            <w:r w:rsidRPr="00B02EE5">
              <w:rPr>
                <w:rFonts w:ascii="Arial" w:eastAsia="Calibri" w:hAnsi="Arial" w:cs="Arial"/>
                <w:sz w:val="20"/>
                <w:szCs w:val="20"/>
                <w:lang w:val="en-GB"/>
              </w:rPr>
              <w:t>4</w:t>
            </w:r>
            <w:r w:rsidRPr="00B02EE5">
              <w:rPr>
                <w:rFonts w:ascii="Arial" w:eastAsia="Calibri" w:hAnsi="Arial" w:cs="Arial"/>
                <w:sz w:val="20"/>
                <w:szCs w:val="20"/>
                <w:lang w:val="en-US"/>
              </w:rPr>
              <w:t>,</w:t>
            </w:r>
            <w:r w:rsidRPr="00B02EE5">
              <w:rPr>
                <w:rFonts w:ascii="Arial" w:eastAsia="Calibri" w:hAnsi="Arial" w:cs="Arial"/>
                <w:sz w:val="20"/>
                <w:szCs w:val="20"/>
                <w:lang w:val="en-GB"/>
              </w:rPr>
              <w:t>833</w:t>
            </w:r>
          </w:p>
        </w:tc>
        <w:tc>
          <w:tcPr>
            <w:tcW w:w="3162" w:type="dxa"/>
            <w:vAlign w:val="bottom"/>
          </w:tcPr>
          <w:p w14:paraId="1B81F591" w14:textId="77777777" w:rsidR="00B02EE5" w:rsidRPr="00B02EE5" w:rsidRDefault="00B02EE5" w:rsidP="00B02EE5">
            <w:pPr>
              <w:tabs>
                <w:tab w:val="left" w:pos="1735"/>
              </w:tabs>
              <w:spacing w:before="40" w:after="40"/>
              <w:ind w:right="1063"/>
              <w:jc w:val="right"/>
              <w:rPr>
                <w:rFonts w:ascii="Arial" w:eastAsia="Calibri" w:hAnsi="Arial" w:cs="Arial"/>
                <w:sz w:val="20"/>
                <w:szCs w:val="20"/>
                <w:lang w:val="en"/>
              </w:rPr>
            </w:pPr>
            <w:r w:rsidRPr="00B02EE5">
              <w:rPr>
                <w:rFonts w:ascii="Arial" w:eastAsia="Calibri" w:hAnsi="Arial" w:cs="Arial"/>
                <w:sz w:val="20"/>
                <w:szCs w:val="20"/>
                <w:lang w:val="en-GB"/>
              </w:rPr>
              <w:t>-13.2</w:t>
            </w:r>
          </w:p>
        </w:tc>
      </w:tr>
      <w:tr w:rsidR="00B02EE5" w:rsidRPr="00B02EE5" w14:paraId="5077BB1E" w14:textId="77777777" w:rsidTr="003446D4">
        <w:trPr>
          <w:trHeight w:val="408"/>
        </w:trPr>
        <w:tc>
          <w:tcPr>
            <w:tcW w:w="4892" w:type="dxa"/>
            <w:tcBorders>
              <w:bottom w:val="nil"/>
            </w:tcBorders>
            <w:vAlign w:val="bottom"/>
          </w:tcPr>
          <w:p w14:paraId="6A73CA16" w14:textId="77777777" w:rsidR="00B02EE5" w:rsidRPr="00B02EE5" w:rsidRDefault="00B02EE5" w:rsidP="00B02EE5">
            <w:pPr>
              <w:spacing w:before="40" w:after="40"/>
              <w:ind w:firstLine="171"/>
              <w:rPr>
                <w:rFonts w:ascii="Arial" w:eastAsia="Calibri" w:hAnsi="Arial" w:cs="Arial"/>
                <w:sz w:val="20"/>
                <w:szCs w:val="20"/>
                <w:lang w:val="en"/>
              </w:rPr>
            </w:pPr>
            <w:r w:rsidRPr="00B02EE5">
              <w:rPr>
                <w:rFonts w:ascii="Arial" w:eastAsia="Calibri" w:hAnsi="Arial" w:cs="Arial"/>
                <w:sz w:val="20"/>
                <w:szCs w:val="20"/>
                <w:lang w:val="en"/>
              </w:rPr>
              <w:t>Machinery, instrument, accessory</w:t>
            </w:r>
          </w:p>
        </w:tc>
        <w:tc>
          <w:tcPr>
            <w:tcW w:w="1657" w:type="dxa"/>
            <w:tcBorders>
              <w:bottom w:val="nil"/>
            </w:tcBorders>
            <w:vAlign w:val="bottom"/>
          </w:tcPr>
          <w:p w14:paraId="771C97A3" w14:textId="77777777" w:rsidR="00B02EE5" w:rsidRPr="00B02EE5" w:rsidRDefault="00B02EE5" w:rsidP="00B02EE5">
            <w:pPr>
              <w:spacing w:before="40" w:after="40"/>
              <w:ind w:right="320" w:firstLine="171"/>
              <w:jc w:val="right"/>
              <w:rPr>
                <w:rFonts w:ascii="Arial" w:eastAsia="Calibri" w:hAnsi="Arial" w:cs="Arial"/>
                <w:sz w:val="20"/>
                <w:szCs w:val="20"/>
                <w:lang w:val="en"/>
              </w:rPr>
            </w:pPr>
            <w:r w:rsidRPr="00B02EE5">
              <w:rPr>
                <w:rFonts w:ascii="Arial" w:eastAsia="Calibri" w:hAnsi="Arial" w:cs="Arial"/>
                <w:sz w:val="20"/>
                <w:szCs w:val="20"/>
                <w:lang w:val="en-GB"/>
              </w:rPr>
              <w:t>3</w:t>
            </w:r>
            <w:r w:rsidRPr="00B02EE5">
              <w:rPr>
                <w:rFonts w:ascii="Arial" w:eastAsia="Calibri" w:hAnsi="Arial" w:cs="Arial"/>
                <w:sz w:val="20"/>
                <w:szCs w:val="20"/>
                <w:lang w:val="en-US"/>
              </w:rPr>
              <w:t>,</w:t>
            </w:r>
            <w:r w:rsidRPr="00B02EE5">
              <w:rPr>
                <w:rFonts w:ascii="Arial" w:eastAsia="Calibri" w:hAnsi="Arial" w:cs="Arial"/>
                <w:sz w:val="20"/>
                <w:szCs w:val="20"/>
                <w:lang w:val="en-GB"/>
              </w:rPr>
              <w:t>863</w:t>
            </w:r>
          </w:p>
        </w:tc>
        <w:tc>
          <w:tcPr>
            <w:tcW w:w="3162" w:type="dxa"/>
            <w:tcBorders>
              <w:bottom w:val="nil"/>
            </w:tcBorders>
            <w:vAlign w:val="bottom"/>
          </w:tcPr>
          <w:p w14:paraId="1EF24CC4" w14:textId="77777777" w:rsidR="00B02EE5" w:rsidRPr="00B02EE5" w:rsidRDefault="00B02EE5" w:rsidP="00B02EE5">
            <w:pPr>
              <w:tabs>
                <w:tab w:val="left" w:pos="1735"/>
              </w:tabs>
              <w:spacing w:before="40" w:after="40"/>
              <w:ind w:right="1063"/>
              <w:jc w:val="right"/>
              <w:rPr>
                <w:rFonts w:ascii="Arial" w:eastAsia="Calibri" w:hAnsi="Arial" w:cs="Arial"/>
                <w:sz w:val="20"/>
                <w:szCs w:val="20"/>
                <w:lang w:val="en"/>
              </w:rPr>
            </w:pPr>
            <w:r w:rsidRPr="00B02EE5">
              <w:rPr>
                <w:rFonts w:ascii="Arial" w:eastAsia="Calibri" w:hAnsi="Arial" w:cs="Arial"/>
                <w:sz w:val="20"/>
                <w:szCs w:val="20"/>
                <w:lang w:val="en-GB"/>
              </w:rPr>
              <w:t>-4.0</w:t>
            </w:r>
          </w:p>
        </w:tc>
      </w:tr>
      <w:tr w:rsidR="00B02EE5" w:rsidRPr="00B02EE5" w14:paraId="425D9402" w14:textId="77777777" w:rsidTr="003446D4">
        <w:trPr>
          <w:trHeight w:val="408"/>
        </w:trPr>
        <w:tc>
          <w:tcPr>
            <w:tcW w:w="4892" w:type="dxa"/>
            <w:tcBorders>
              <w:top w:val="nil"/>
              <w:bottom w:val="nil"/>
            </w:tcBorders>
            <w:vAlign w:val="bottom"/>
          </w:tcPr>
          <w:p w14:paraId="1C52456B" w14:textId="77777777" w:rsidR="00B02EE5" w:rsidRPr="00B02EE5" w:rsidRDefault="00B02EE5" w:rsidP="00B02EE5">
            <w:pPr>
              <w:spacing w:before="40" w:after="40"/>
              <w:ind w:firstLine="171"/>
              <w:rPr>
                <w:rFonts w:ascii="Arial" w:eastAsia="Calibri" w:hAnsi="Arial" w:cs="Arial"/>
                <w:sz w:val="20"/>
                <w:szCs w:val="20"/>
                <w:lang w:val="en"/>
              </w:rPr>
            </w:pPr>
            <w:r w:rsidRPr="00B02EE5">
              <w:rPr>
                <w:rFonts w:ascii="Arial" w:eastAsia="Calibri" w:hAnsi="Arial" w:cs="Arial"/>
                <w:sz w:val="20"/>
                <w:szCs w:val="20"/>
                <w:lang w:val="en"/>
              </w:rPr>
              <w:t>Textiles and garments</w:t>
            </w:r>
          </w:p>
        </w:tc>
        <w:tc>
          <w:tcPr>
            <w:tcW w:w="1657" w:type="dxa"/>
            <w:tcBorders>
              <w:top w:val="nil"/>
              <w:bottom w:val="nil"/>
            </w:tcBorders>
            <w:vAlign w:val="bottom"/>
          </w:tcPr>
          <w:p w14:paraId="1B3DD358" w14:textId="77777777" w:rsidR="00B02EE5" w:rsidRPr="00B02EE5" w:rsidRDefault="00B02EE5" w:rsidP="00B02EE5">
            <w:pPr>
              <w:spacing w:before="40" w:after="40"/>
              <w:ind w:right="317"/>
              <w:jc w:val="right"/>
              <w:rPr>
                <w:rFonts w:ascii="Arial" w:eastAsia="Calibri" w:hAnsi="Arial" w:cs="Arial"/>
                <w:sz w:val="20"/>
                <w:szCs w:val="20"/>
                <w:lang w:val="en"/>
              </w:rPr>
            </w:pPr>
            <w:r w:rsidRPr="00B02EE5">
              <w:rPr>
                <w:rFonts w:ascii="Arial" w:eastAsia="Calibri" w:hAnsi="Arial" w:cs="Arial"/>
                <w:sz w:val="20"/>
                <w:szCs w:val="20"/>
                <w:lang w:val="en-GB"/>
              </w:rPr>
              <w:t>3</w:t>
            </w:r>
            <w:r w:rsidRPr="00B02EE5">
              <w:rPr>
                <w:rFonts w:ascii="Arial" w:eastAsia="Calibri" w:hAnsi="Arial" w:cs="Arial"/>
                <w:sz w:val="20"/>
                <w:szCs w:val="20"/>
                <w:lang w:val="en-US"/>
              </w:rPr>
              <w:t>,</w:t>
            </w:r>
            <w:r w:rsidRPr="00B02EE5">
              <w:rPr>
                <w:rFonts w:ascii="Arial" w:eastAsia="Calibri" w:hAnsi="Arial" w:cs="Arial"/>
                <w:sz w:val="20"/>
                <w:szCs w:val="20"/>
                <w:lang w:val="en-GB"/>
              </w:rPr>
              <w:t>189</w:t>
            </w:r>
          </w:p>
        </w:tc>
        <w:tc>
          <w:tcPr>
            <w:tcW w:w="3162" w:type="dxa"/>
            <w:tcBorders>
              <w:top w:val="nil"/>
              <w:bottom w:val="nil"/>
            </w:tcBorders>
            <w:vAlign w:val="bottom"/>
          </w:tcPr>
          <w:p w14:paraId="2DE196A9" w14:textId="77777777" w:rsidR="00B02EE5" w:rsidRPr="00B02EE5" w:rsidRDefault="00B02EE5" w:rsidP="00B02EE5">
            <w:pPr>
              <w:tabs>
                <w:tab w:val="left" w:pos="1735"/>
              </w:tabs>
              <w:spacing w:before="40" w:after="40"/>
              <w:ind w:right="1063"/>
              <w:jc w:val="right"/>
              <w:rPr>
                <w:rFonts w:ascii="Arial" w:eastAsia="Calibri" w:hAnsi="Arial" w:cs="Arial"/>
                <w:sz w:val="20"/>
                <w:szCs w:val="20"/>
                <w:lang w:val="en"/>
              </w:rPr>
            </w:pPr>
            <w:r w:rsidRPr="00B02EE5">
              <w:rPr>
                <w:rFonts w:ascii="Arial" w:eastAsia="Calibri" w:hAnsi="Arial" w:cs="Arial"/>
                <w:sz w:val="20"/>
                <w:szCs w:val="20"/>
                <w:lang w:val="en-GB"/>
              </w:rPr>
              <w:t>1.8</w:t>
            </w:r>
          </w:p>
        </w:tc>
      </w:tr>
      <w:tr w:rsidR="00B02EE5" w:rsidRPr="00B02EE5" w14:paraId="1D6D7272" w14:textId="77777777" w:rsidTr="003446D4">
        <w:trPr>
          <w:trHeight w:val="408"/>
        </w:trPr>
        <w:tc>
          <w:tcPr>
            <w:tcW w:w="4892" w:type="dxa"/>
            <w:tcBorders>
              <w:top w:val="nil"/>
              <w:bottom w:val="nil"/>
            </w:tcBorders>
            <w:vAlign w:val="bottom"/>
          </w:tcPr>
          <w:p w14:paraId="1B03D690" w14:textId="77777777" w:rsidR="00B02EE5" w:rsidRPr="00B02EE5" w:rsidRDefault="00B02EE5" w:rsidP="00B02EE5">
            <w:pPr>
              <w:spacing w:before="40" w:after="40"/>
              <w:ind w:firstLine="171"/>
              <w:rPr>
                <w:rFonts w:ascii="Arial" w:eastAsia="Calibri" w:hAnsi="Arial" w:cs="Arial"/>
                <w:sz w:val="20"/>
                <w:szCs w:val="20"/>
                <w:lang w:val="en"/>
              </w:rPr>
            </w:pPr>
            <w:r w:rsidRPr="00B02EE5">
              <w:rPr>
                <w:rFonts w:ascii="Arial" w:eastAsia="Calibri" w:hAnsi="Arial" w:cs="Arial"/>
                <w:sz w:val="20"/>
                <w:szCs w:val="20"/>
                <w:lang w:val="en"/>
              </w:rPr>
              <w:t>Footwear</w:t>
            </w:r>
          </w:p>
        </w:tc>
        <w:tc>
          <w:tcPr>
            <w:tcW w:w="1657" w:type="dxa"/>
            <w:tcBorders>
              <w:top w:val="nil"/>
              <w:bottom w:val="nil"/>
            </w:tcBorders>
            <w:vAlign w:val="bottom"/>
          </w:tcPr>
          <w:p w14:paraId="7D4B10E0" w14:textId="77777777" w:rsidR="00B02EE5" w:rsidRPr="00B02EE5" w:rsidRDefault="00B02EE5" w:rsidP="00B02EE5">
            <w:pPr>
              <w:spacing w:before="40" w:after="40"/>
              <w:ind w:right="317"/>
              <w:jc w:val="right"/>
              <w:rPr>
                <w:rFonts w:ascii="Arial" w:eastAsia="Calibri" w:hAnsi="Arial" w:cs="Arial"/>
                <w:sz w:val="20"/>
                <w:szCs w:val="20"/>
                <w:lang w:val="en"/>
              </w:rPr>
            </w:pPr>
            <w:r w:rsidRPr="00B02EE5">
              <w:rPr>
                <w:rFonts w:ascii="Arial" w:eastAsia="Calibri" w:hAnsi="Arial" w:cs="Arial"/>
                <w:sz w:val="20"/>
                <w:szCs w:val="20"/>
                <w:lang w:val="en-GB"/>
              </w:rPr>
              <w:t>1</w:t>
            </w:r>
            <w:r w:rsidRPr="00B02EE5">
              <w:rPr>
                <w:rFonts w:ascii="Arial" w:eastAsia="Calibri" w:hAnsi="Arial" w:cs="Arial"/>
                <w:sz w:val="20"/>
                <w:szCs w:val="20"/>
                <w:lang w:val="en-US"/>
              </w:rPr>
              <w:t>,</w:t>
            </w:r>
            <w:r w:rsidRPr="00B02EE5">
              <w:rPr>
                <w:rFonts w:ascii="Arial" w:eastAsia="Calibri" w:hAnsi="Arial" w:cs="Arial"/>
                <w:sz w:val="20"/>
                <w:szCs w:val="20"/>
                <w:lang w:val="en-GB"/>
              </w:rPr>
              <w:t>898</w:t>
            </w:r>
          </w:p>
        </w:tc>
        <w:tc>
          <w:tcPr>
            <w:tcW w:w="3162" w:type="dxa"/>
            <w:tcBorders>
              <w:top w:val="nil"/>
              <w:bottom w:val="nil"/>
            </w:tcBorders>
            <w:vAlign w:val="bottom"/>
          </w:tcPr>
          <w:p w14:paraId="43D354EA" w14:textId="77777777" w:rsidR="00B02EE5" w:rsidRPr="00B02EE5" w:rsidRDefault="00B02EE5" w:rsidP="00B02EE5">
            <w:pPr>
              <w:tabs>
                <w:tab w:val="left" w:pos="1735"/>
              </w:tabs>
              <w:spacing w:before="40" w:after="40"/>
              <w:ind w:right="1063"/>
              <w:jc w:val="right"/>
              <w:rPr>
                <w:rFonts w:ascii="Arial" w:eastAsia="Calibri" w:hAnsi="Arial" w:cs="Arial"/>
                <w:sz w:val="20"/>
                <w:szCs w:val="20"/>
                <w:lang w:val="en"/>
              </w:rPr>
            </w:pPr>
            <w:r w:rsidRPr="00B02EE5">
              <w:rPr>
                <w:rFonts w:ascii="Arial" w:eastAsia="Calibri" w:hAnsi="Arial" w:cs="Arial"/>
                <w:sz w:val="20"/>
                <w:szCs w:val="20"/>
                <w:lang w:val="en-GB"/>
              </w:rPr>
              <w:t>-3.7</w:t>
            </w:r>
          </w:p>
        </w:tc>
      </w:tr>
      <w:tr w:rsidR="00B02EE5" w:rsidRPr="00B02EE5" w14:paraId="0C0D7E93" w14:textId="77777777" w:rsidTr="003446D4">
        <w:trPr>
          <w:trHeight w:val="408"/>
        </w:trPr>
        <w:tc>
          <w:tcPr>
            <w:tcW w:w="4892" w:type="dxa"/>
            <w:tcBorders>
              <w:top w:val="nil"/>
              <w:bottom w:val="nil"/>
            </w:tcBorders>
            <w:vAlign w:val="bottom"/>
          </w:tcPr>
          <w:p w14:paraId="0ACC464D" w14:textId="77777777" w:rsidR="00B02EE5" w:rsidRPr="00B02EE5" w:rsidRDefault="00B02EE5" w:rsidP="00B02EE5">
            <w:pPr>
              <w:spacing w:before="40" w:after="40"/>
              <w:ind w:firstLine="171"/>
              <w:rPr>
                <w:rFonts w:ascii="Arial" w:eastAsia="Calibri" w:hAnsi="Arial" w:cs="Arial"/>
                <w:sz w:val="20"/>
                <w:szCs w:val="20"/>
                <w:lang w:val="en"/>
              </w:rPr>
            </w:pPr>
            <w:r w:rsidRPr="00B02EE5">
              <w:rPr>
                <w:rFonts w:ascii="Arial" w:eastAsia="Calibri" w:hAnsi="Arial" w:cs="Arial"/>
                <w:sz w:val="20"/>
                <w:szCs w:val="20"/>
                <w:lang w:val="en"/>
              </w:rPr>
              <w:t>Wood and products</w:t>
            </w:r>
          </w:p>
        </w:tc>
        <w:tc>
          <w:tcPr>
            <w:tcW w:w="1657" w:type="dxa"/>
            <w:tcBorders>
              <w:top w:val="nil"/>
              <w:bottom w:val="nil"/>
            </w:tcBorders>
            <w:vAlign w:val="bottom"/>
          </w:tcPr>
          <w:p w14:paraId="59B1A501" w14:textId="77777777" w:rsidR="00B02EE5" w:rsidRPr="00B02EE5" w:rsidRDefault="00B02EE5" w:rsidP="00B02EE5">
            <w:pPr>
              <w:spacing w:before="40" w:after="40"/>
              <w:ind w:right="317"/>
              <w:jc w:val="right"/>
              <w:rPr>
                <w:rFonts w:ascii="Arial" w:eastAsia="Calibri" w:hAnsi="Arial" w:cs="Arial"/>
                <w:sz w:val="20"/>
                <w:szCs w:val="20"/>
                <w:lang w:val="en"/>
              </w:rPr>
            </w:pPr>
            <w:r w:rsidRPr="00B02EE5">
              <w:rPr>
                <w:rFonts w:ascii="Arial" w:eastAsia="Calibri" w:hAnsi="Arial" w:cs="Arial"/>
                <w:sz w:val="20"/>
                <w:szCs w:val="20"/>
                <w:lang w:val="en-GB"/>
              </w:rPr>
              <w:t>1</w:t>
            </w:r>
            <w:r w:rsidRPr="00B02EE5">
              <w:rPr>
                <w:rFonts w:ascii="Arial" w:eastAsia="Calibri" w:hAnsi="Arial" w:cs="Arial"/>
                <w:sz w:val="20"/>
                <w:szCs w:val="20"/>
                <w:lang w:val="en-US"/>
              </w:rPr>
              <w:t>,</w:t>
            </w:r>
            <w:r w:rsidRPr="00B02EE5">
              <w:rPr>
                <w:rFonts w:ascii="Arial" w:eastAsia="Calibri" w:hAnsi="Arial" w:cs="Arial"/>
                <w:sz w:val="20"/>
                <w:szCs w:val="20"/>
                <w:lang w:val="en-GB"/>
              </w:rPr>
              <w:t>419</w:t>
            </w:r>
          </w:p>
        </w:tc>
        <w:tc>
          <w:tcPr>
            <w:tcW w:w="3162" w:type="dxa"/>
            <w:tcBorders>
              <w:top w:val="nil"/>
              <w:bottom w:val="nil"/>
            </w:tcBorders>
            <w:vAlign w:val="bottom"/>
          </w:tcPr>
          <w:p w14:paraId="0F13F793" w14:textId="77777777" w:rsidR="00B02EE5" w:rsidRPr="00B02EE5" w:rsidRDefault="00B02EE5" w:rsidP="00B02EE5">
            <w:pPr>
              <w:tabs>
                <w:tab w:val="left" w:pos="1735"/>
              </w:tabs>
              <w:spacing w:before="40" w:after="40"/>
              <w:ind w:right="1063"/>
              <w:jc w:val="right"/>
              <w:rPr>
                <w:rFonts w:ascii="Arial" w:eastAsia="Calibri" w:hAnsi="Arial" w:cs="Arial"/>
                <w:sz w:val="20"/>
                <w:szCs w:val="20"/>
                <w:lang w:val="en"/>
              </w:rPr>
            </w:pPr>
            <w:r w:rsidRPr="00B02EE5">
              <w:rPr>
                <w:rFonts w:ascii="Arial" w:eastAsia="Calibri" w:hAnsi="Arial" w:cs="Arial"/>
                <w:sz w:val="20"/>
                <w:szCs w:val="20"/>
                <w:lang w:val="en-GB"/>
              </w:rPr>
              <w:t>-3.7</w:t>
            </w:r>
          </w:p>
        </w:tc>
      </w:tr>
      <w:tr w:rsidR="00B02EE5" w:rsidRPr="00B02EE5" w14:paraId="27438911" w14:textId="77777777" w:rsidTr="003446D4">
        <w:trPr>
          <w:trHeight w:val="408"/>
        </w:trPr>
        <w:tc>
          <w:tcPr>
            <w:tcW w:w="4892" w:type="dxa"/>
            <w:tcBorders>
              <w:top w:val="nil"/>
              <w:bottom w:val="single" w:sz="4" w:space="0" w:color="auto"/>
            </w:tcBorders>
            <w:vAlign w:val="bottom"/>
          </w:tcPr>
          <w:p w14:paraId="7CBD7B68" w14:textId="77777777" w:rsidR="00B02EE5" w:rsidRPr="00B02EE5" w:rsidRDefault="00B02EE5" w:rsidP="00B02EE5">
            <w:pPr>
              <w:spacing w:before="40" w:after="40"/>
              <w:ind w:firstLine="171"/>
              <w:rPr>
                <w:rFonts w:ascii="Arial" w:eastAsia="Calibri" w:hAnsi="Arial" w:cs="Arial"/>
                <w:sz w:val="20"/>
                <w:szCs w:val="20"/>
                <w:lang w:val="en"/>
              </w:rPr>
            </w:pPr>
            <w:r w:rsidRPr="00B02EE5">
              <w:rPr>
                <w:rFonts w:ascii="Arial" w:eastAsia="Calibri" w:hAnsi="Arial" w:cs="Arial"/>
                <w:sz w:val="20"/>
                <w:szCs w:val="20"/>
                <w:lang w:val="en"/>
              </w:rPr>
              <w:t>Means of transport and components</w:t>
            </w:r>
          </w:p>
        </w:tc>
        <w:tc>
          <w:tcPr>
            <w:tcW w:w="1657" w:type="dxa"/>
            <w:tcBorders>
              <w:top w:val="nil"/>
              <w:bottom w:val="single" w:sz="4" w:space="0" w:color="auto"/>
            </w:tcBorders>
            <w:vAlign w:val="bottom"/>
          </w:tcPr>
          <w:p w14:paraId="0C3432DB" w14:textId="77777777" w:rsidR="00B02EE5" w:rsidRPr="00B02EE5" w:rsidRDefault="00B02EE5" w:rsidP="00B02EE5">
            <w:pPr>
              <w:spacing w:before="40" w:after="40"/>
              <w:ind w:right="317"/>
              <w:jc w:val="right"/>
              <w:rPr>
                <w:rFonts w:ascii="Arial" w:eastAsia="Calibri" w:hAnsi="Arial" w:cs="Arial"/>
                <w:sz w:val="20"/>
                <w:szCs w:val="20"/>
                <w:lang w:val="en"/>
              </w:rPr>
            </w:pPr>
            <w:r w:rsidRPr="00B02EE5">
              <w:rPr>
                <w:rFonts w:ascii="Arial" w:eastAsia="Calibri" w:hAnsi="Arial" w:cs="Arial"/>
                <w:sz w:val="20"/>
                <w:szCs w:val="20"/>
                <w:lang w:val="en-GB"/>
              </w:rPr>
              <w:t>1</w:t>
            </w:r>
            <w:r w:rsidRPr="00B02EE5">
              <w:rPr>
                <w:rFonts w:ascii="Arial" w:eastAsia="Calibri" w:hAnsi="Arial" w:cs="Arial"/>
                <w:sz w:val="20"/>
                <w:szCs w:val="20"/>
                <w:lang w:val="en-US"/>
              </w:rPr>
              <w:t>,</w:t>
            </w:r>
            <w:r w:rsidRPr="00B02EE5">
              <w:rPr>
                <w:rFonts w:ascii="Arial" w:eastAsia="Calibri" w:hAnsi="Arial" w:cs="Arial"/>
                <w:sz w:val="20"/>
                <w:szCs w:val="20"/>
                <w:lang w:val="en-GB"/>
              </w:rPr>
              <w:t>195</w:t>
            </w:r>
          </w:p>
        </w:tc>
        <w:tc>
          <w:tcPr>
            <w:tcW w:w="3162" w:type="dxa"/>
            <w:tcBorders>
              <w:top w:val="nil"/>
              <w:bottom w:val="single" w:sz="4" w:space="0" w:color="auto"/>
            </w:tcBorders>
            <w:vAlign w:val="bottom"/>
          </w:tcPr>
          <w:p w14:paraId="498FA897" w14:textId="77777777" w:rsidR="00B02EE5" w:rsidRPr="00B02EE5" w:rsidRDefault="00B02EE5" w:rsidP="00B02EE5">
            <w:pPr>
              <w:tabs>
                <w:tab w:val="left" w:pos="1735"/>
              </w:tabs>
              <w:spacing w:before="40" w:after="40"/>
              <w:ind w:right="1063"/>
              <w:jc w:val="right"/>
              <w:rPr>
                <w:rFonts w:ascii="Arial" w:eastAsia="Calibri" w:hAnsi="Arial" w:cs="Arial"/>
                <w:sz w:val="20"/>
                <w:szCs w:val="20"/>
                <w:lang w:val="en"/>
              </w:rPr>
            </w:pPr>
            <w:r w:rsidRPr="00B02EE5">
              <w:rPr>
                <w:rFonts w:ascii="Arial" w:eastAsia="Calibri" w:hAnsi="Arial" w:cs="Arial"/>
                <w:sz w:val="20"/>
                <w:szCs w:val="20"/>
                <w:lang w:val="en-GB"/>
              </w:rPr>
              <w:t>-10.2</w:t>
            </w:r>
          </w:p>
        </w:tc>
      </w:tr>
    </w:tbl>
    <w:p w14:paraId="64EE0D57" w14:textId="77777777" w:rsidR="00B02EE5" w:rsidRPr="00B02EE5" w:rsidRDefault="00B02EE5" w:rsidP="00B02EE5">
      <w:pPr>
        <w:tabs>
          <w:tab w:val="num" w:pos="0"/>
          <w:tab w:val="left" w:pos="9475"/>
        </w:tabs>
        <w:spacing w:beforeLines="40" w:before="96" w:afterLines="40" w:after="96" w:line="264" w:lineRule="auto"/>
        <w:ind w:right="119" w:firstLine="567"/>
        <w:jc w:val="right"/>
        <w:rPr>
          <w:rFonts w:ascii="Arial" w:hAnsi="Arial" w:cs="Arial"/>
          <w:b/>
          <w:bCs/>
          <w:i/>
          <w:iCs/>
          <w:sz w:val="2"/>
          <w:szCs w:val="20"/>
          <w:lang w:val="es-NI"/>
        </w:rPr>
      </w:pPr>
    </w:p>
    <w:p w14:paraId="1B82BD57" w14:textId="77777777" w:rsidR="00B02EE5" w:rsidRPr="00B02EE5" w:rsidRDefault="00B02EE5" w:rsidP="00B02EE5">
      <w:pPr>
        <w:spacing w:beforeLines="40" w:before="96" w:afterLines="40" w:after="96" w:line="264" w:lineRule="auto"/>
        <w:jc w:val="both"/>
        <w:rPr>
          <w:rFonts w:eastAsia="Batang"/>
          <w:bCs/>
          <w:iCs/>
          <w:lang w:val="en-GB"/>
        </w:rPr>
      </w:pPr>
      <w:r w:rsidRPr="00B02EE5">
        <w:rPr>
          <w:bCs/>
          <w:noProof/>
          <w:spacing w:val="-2"/>
          <w:lang w:val="en-US"/>
        </w:rPr>
        <w:lastRenderedPageBreak/>
        <mc:AlternateContent>
          <mc:Choice Requires="wps">
            <w:drawing>
              <wp:anchor distT="0" distB="0" distL="114300" distR="114300" simplePos="0" relativeHeight="251671040" behindDoc="0" locked="0" layoutInCell="1" allowOverlap="1" wp14:anchorId="5C16DEE8" wp14:editId="74724188">
                <wp:simplePos x="0" y="0"/>
                <wp:positionH relativeFrom="column">
                  <wp:posOffset>24130</wp:posOffset>
                </wp:positionH>
                <wp:positionV relativeFrom="paragraph">
                  <wp:posOffset>63500</wp:posOffset>
                </wp:positionV>
                <wp:extent cx="3476625" cy="2386330"/>
                <wp:effectExtent l="0" t="0" r="9525" b="0"/>
                <wp:wrapSquare wrapText="bothSides"/>
                <wp:docPr id="3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6625" cy="2386330"/>
                        </a:xfrm>
                        <a:prstGeom prst="rect">
                          <a:avLst/>
                        </a:prstGeom>
                        <a:solidFill>
                          <a:srgbClr val="FFFFFF"/>
                        </a:solidFill>
                        <a:ln w="9525">
                          <a:noFill/>
                          <a:miter lim="800000"/>
                          <a:headEnd/>
                          <a:tailEnd/>
                        </a:ln>
                      </wps:spPr>
                      <wps:txbx>
                        <w:txbxContent>
                          <w:p w14:paraId="0291A381" w14:textId="77777777" w:rsidR="00B02EE5" w:rsidRPr="004B4D22" w:rsidRDefault="00B02EE5" w:rsidP="00B02EE5">
                            <w:pPr>
                              <w:spacing w:line="264" w:lineRule="auto"/>
                              <w:jc w:val="center"/>
                              <w:rPr>
                                <w:rFonts w:ascii="Arial" w:hAnsi="Arial" w:cs="Arial"/>
                                <w:b/>
                                <w:bCs/>
                                <w:sz w:val="24"/>
                                <w:szCs w:val="24"/>
                              </w:rPr>
                            </w:pPr>
                            <w:r w:rsidRPr="004B4D22">
                              <w:rPr>
                                <w:rFonts w:ascii="Arial" w:hAnsi="Arial" w:cs="Arial"/>
                                <w:b/>
                                <w:bCs/>
                                <w:sz w:val="24"/>
                                <w:szCs w:val="24"/>
                              </w:rPr>
                              <w:t>Figure 1</w:t>
                            </w:r>
                            <w:r>
                              <w:rPr>
                                <w:rFonts w:ascii="Arial" w:hAnsi="Arial" w:cs="Arial"/>
                                <w:b/>
                                <w:bCs/>
                                <w:sz w:val="24"/>
                                <w:szCs w:val="24"/>
                              </w:rPr>
                              <w:t>7</w:t>
                            </w:r>
                            <w:r w:rsidRPr="004B4D22">
                              <w:rPr>
                                <w:rFonts w:ascii="Arial" w:hAnsi="Arial" w:cs="Arial"/>
                                <w:b/>
                                <w:bCs/>
                                <w:sz w:val="24"/>
                                <w:szCs w:val="24"/>
                              </w:rPr>
                              <w:t>. Structure of exported groups</w:t>
                            </w:r>
                          </w:p>
                          <w:p w14:paraId="283A409D" w14:textId="77777777" w:rsidR="00B02EE5" w:rsidRPr="004B4D22" w:rsidRDefault="00B02EE5" w:rsidP="00B02EE5">
                            <w:pPr>
                              <w:spacing w:line="264" w:lineRule="auto"/>
                              <w:jc w:val="center"/>
                              <w:rPr>
                                <w:rFonts w:ascii="Arial" w:hAnsi="Arial" w:cs="Arial"/>
                                <w:b/>
                                <w:bCs/>
                                <w:sz w:val="24"/>
                                <w:szCs w:val="24"/>
                              </w:rPr>
                            </w:pPr>
                            <w:r w:rsidRPr="004B4D22">
                              <w:rPr>
                                <w:rFonts w:ascii="Arial" w:hAnsi="Arial" w:cs="Arial"/>
                                <w:b/>
                                <w:bCs/>
                                <w:sz w:val="24"/>
                                <w:szCs w:val="24"/>
                              </w:rPr>
                              <w:t xml:space="preserve">in </w:t>
                            </w:r>
                            <w:r>
                              <w:rPr>
                                <w:rFonts w:ascii="Arial" w:hAnsi="Arial" w:cs="Arial"/>
                                <w:b/>
                                <w:bCs/>
                                <w:sz w:val="24"/>
                                <w:szCs w:val="24"/>
                              </w:rPr>
                              <w:t>01/</w:t>
                            </w:r>
                            <w:r w:rsidRPr="004B4D22">
                              <w:rPr>
                                <w:rFonts w:ascii="Arial" w:hAnsi="Arial" w:cs="Arial"/>
                                <w:b/>
                                <w:bCs/>
                                <w:sz w:val="24"/>
                                <w:szCs w:val="24"/>
                              </w:rPr>
                              <w:t>202</w:t>
                            </w:r>
                            <w:r>
                              <w:rPr>
                                <w:rFonts w:ascii="Arial" w:hAnsi="Arial" w:cs="Arial"/>
                                <w:b/>
                                <w:bCs/>
                                <w:sz w:val="24"/>
                                <w:szCs w:val="24"/>
                              </w:rPr>
                              <w:t>5</w:t>
                            </w:r>
                          </w:p>
                          <w:p w14:paraId="5DCD9C14" w14:textId="77777777" w:rsidR="00B02EE5" w:rsidRDefault="00B02EE5" w:rsidP="00B02EE5">
                            <w:pPr>
                              <w:ind w:left="-142"/>
                              <w:jc w:val="center"/>
                              <w:rPr>
                                <w:rFonts w:ascii="Arial" w:hAnsi="Arial" w:cs="Arial"/>
                                <w:sz w:val="24"/>
                                <w:szCs w:val="24"/>
                              </w:rPr>
                            </w:pPr>
                            <w:r w:rsidRPr="007C2ABF">
                              <w:rPr>
                                <w:noProof/>
                              </w:rPr>
                              <w:drawing>
                                <wp:inline distT="0" distB="0" distL="0" distR="0" wp14:anchorId="33E9A254" wp14:editId="25053C0C">
                                  <wp:extent cx="3395345" cy="1712595"/>
                                  <wp:effectExtent l="0" t="0" r="0" b="1905"/>
                                  <wp:docPr id="8096711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95345" cy="1712595"/>
                                          </a:xfrm>
                                          <a:prstGeom prst="rect">
                                            <a:avLst/>
                                          </a:prstGeom>
                                          <a:noFill/>
                                          <a:ln>
                                            <a:noFill/>
                                          </a:ln>
                                        </pic:spPr>
                                      </pic:pic>
                                    </a:graphicData>
                                  </a:graphic>
                                </wp:inline>
                              </w:drawing>
                            </w:r>
                          </w:p>
                        </w:txbxContent>
                      </wps:txbx>
                      <wps:bodyPr rot="0" vertOverflow="clip" horzOverflow="clip" vert="horz" wrap="square" lIns="36000" tIns="36000" rIns="36000" bIns="36000" anchor="t" anchorCtr="0">
                        <a:noAutofit/>
                      </wps:bodyPr>
                    </wps:wsp>
                  </a:graphicData>
                </a:graphic>
                <wp14:sizeRelH relativeFrom="page">
                  <wp14:pctWidth>0</wp14:pctWidth>
                </wp14:sizeRelH>
                <wp14:sizeRelV relativeFrom="margin">
                  <wp14:pctHeight>0</wp14:pctHeight>
                </wp14:sizeRelV>
              </wp:anchor>
            </w:drawing>
          </mc:Choice>
          <mc:Fallback>
            <w:pict>
              <v:shapetype w14:anchorId="5C16DEE8" id="_x0000_t202" coordsize="21600,21600" o:spt="202" path="m,l,21600r21600,l21600,xe">
                <v:stroke joinstyle="miter"/>
                <v:path gradientshapeok="t" o:connecttype="rect"/>
              </v:shapetype>
              <v:shape id="Text Box 11" o:spid="_x0000_s1026" type="#_x0000_t202" style="position:absolute;left:0;text-align:left;margin-left:1.9pt;margin-top:5pt;width:273.75pt;height:187.9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" stroked="f">
                <v:textbox inset="1mm,1mm,1mm,1mm">
                  <w:txbxContent>
                    <w:p w14:paraId="0291A381" w14:textId="77777777" w:rsidR="00B02EE5" w:rsidRPr="004B4D22" w:rsidRDefault="00B02EE5" w:rsidP="00B02EE5">
                      <w:pPr>
                        <w:spacing w:line="264" w:lineRule="auto"/>
                        <w:jc w:val="center"/>
                        <w:rPr>
                          <w:rFonts w:ascii="Arial" w:hAnsi="Arial" w:cs="Arial"/>
                          <w:b/>
                          <w:bCs/>
                          <w:sz w:val="24"/>
                          <w:szCs w:val="24"/>
                        </w:rPr>
                      </w:pPr>
                      <w:r w:rsidRPr="004B4D22">
                        <w:rPr>
                          <w:rFonts w:ascii="Arial" w:hAnsi="Arial" w:cs="Arial"/>
                          <w:b/>
                          <w:bCs/>
                          <w:sz w:val="24"/>
                          <w:szCs w:val="24"/>
                        </w:rPr>
                        <w:t>Figure 1</w:t>
                      </w:r>
                      <w:r>
                        <w:rPr>
                          <w:rFonts w:ascii="Arial" w:hAnsi="Arial" w:cs="Arial"/>
                          <w:b/>
                          <w:bCs/>
                          <w:sz w:val="24"/>
                          <w:szCs w:val="24"/>
                        </w:rPr>
                        <w:t>7</w:t>
                      </w:r>
                      <w:r w:rsidRPr="004B4D22">
                        <w:rPr>
                          <w:rFonts w:ascii="Arial" w:hAnsi="Arial" w:cs="Arial"/>
                          <w:b/>
                          <w:bCs/>
                          <w:sz w:val="24"/>
                          <w:szCs w:val="24"/>
                        </w:rPr>
                        <w:t>. Structure of exported groups</w:t>
                      </w:r>
                    </w:p>
                    <w:p w14:paraId="283A409D" w14:textId="77777777" w:rsidR="00B02EE5" w:rsidRPr="004B4D22" w:rsidRDefault="00B02EE5" w:rsidP="00B02EE5">
                      <w:pPr>
                        <w:spacing w:line="264" w:lineRule="auto"/>
                        <w:jc w:val="center"/>
                        <w:rPr>
                          <w:rFonts w:ascii="Arial" w:hAnsi="Arial" w:cs="Arial"/>
                          <w:b/>
                          <w:bCs/>
                          <w:sz w:val="24"/>
                          <w:szCs w:val="24"/>
                        </w:rPr>
                      </w:pPr>
                      <w:r w:rsidRPr="004B4D22">
                        <w:rPr>
                          <w:rFonts w:ascii="Arial" w:hAnsi="Arial" w:cs="Arial"/>
                          <w:b/>
                          <w:bCs/>
                          <w:sz w:val="24"/>
                          <w:szCs w:val="24"/>
                        </w:rPr>
                        <w:t xml:space="preserve">in </w:t>
                      </w:r>
                      <w:r>
                        <w:rPr>
                          <w:rFonts w:ascii="Arial" w:hAnsi="Arial" w:cs="Arial"/>
                          <w:b/>
                          <w:bCs/>
                          <w:sz w:val="24"/>
                          <w:szCs w:val="24"/>
                        </w:rPr>
                        <w:t>01/</w:t>
                      </w:r>
                      <w:r w:rsidRPr="004B4D22">
                        <w:rPr>
                          <w:rFonts w:ascii="Arial" w:hAnsi="Arial" w:cs="Arial"/>
                          <w:b/>
                          <w:bCs/>
                          <w:sz w:val="24"/>
                          <w:szCs w:val="24"/>
                        </w:rPr>
                        <w:t>202</w:t>
                      </w:r>
                      <w:r>
                        <w:rPr>
                          <w:rFonts w:ascii="Arial" w:hAnsi="Arial" w:cs="Arial"/>
                          <w:b/>
                          <w:bCs/>
                          <w:sz w:val="24"/>
                          <w:szCs w:val="24"/>
                        </w:rPr>
                        <w:t>5</w:t>
                      </w:r>
                    </w:p>
                    <w:p w14:paraId="5DCD9C14" w14:textId="77777777" w:rsidR="00B02EE5" w:rsidRDefault="00B02EE5" w:rsidP="00B02EE5">
                      <w:pPr>
                        <w:ind w:left="-142"/>
                        <w:jc w:val="center"/>
                        <w:rPr>
                          <w:rFonts w:ascii="Arial" w:hAnsi="Arial" w:cs="Arial"/>
                          <w:sz w:val="24"/>
                          <w:szCs w:val="24"/>
                        </w:rPr>
                      </w:pPr>
                      <w:r w:rsidRPr="007C2ABF">
                        <w:rPr>
                          <w:noProof/>
                        </w:rPr>
                        <w:drawing>
                          <wp:inline distT="0" distB="0" distL="0" distR="0" wp14:anchorId="33E9A254" wp14:editId="25053C0C">
                            <wp:extent cx="3395345" cy="1712595"/>
                            <wp:effectExtent l="0" t="0" r="0" b="1905"/>
                            <wp:docPr id="8096711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95345" cy="1712595"/>
                                    </a:xfrm>
                                    <a:prstGeom prst="rect">
                                      <a:avLst/>
                                    </a:prstGeom>
                                    <a:noFill/>
                                    <a:ln>
                                      <a:noFill/>
                                    </a:ln>
                                  </pic:spPr>
                                </pic:pic>
                              </a:graphicData>
                            </a:graphic>
                          </wp:inline>
                        </w:drawing>
                      </w:r>
                    </w:p>
                  </w:txbxContent>
                </v:textbox>
                <w10:wrap type="square"/>
              </v:shape>
            </w:pict>
          </mc:Fallback>
        </mc:AlternateContent>
      </w:r>
      <w:r w:rsidRPr="00B02EE5">
        <w:rPr>
          <w:bCs/>
          <w:spacing w:val="-2"/>
          <w:lang w:val="en-US"/>
        </w:rPr>
        <w:t>Regarding the structure of exported groups in 01/2025, the group of fuels and minerals reached 0.22 billion USD, accounting for 0.7%; the group of processing industry reached 29.43 billion USD, accounting for 89.0%; agricultural and forestry products reached 2.65 billion USD, accounting for 8.0%; the group of aquatic products reached 0.77 billion USD, accounting for 2</w:t>
      </w:r>
      <w:r w:rsidRPr="00B02EE5">
        <w:rPr>
          <w:rFonts w:eastAsia="Batang"/>
          <w:bCs/>
          <w:iCs/>
          <w:noProof/>
          <w:lang w:val="en"/>
        </w:rPr>
        <w:t>.3%.</w:t>
      </w:r>
    </w:p>
    <w:p w14:paraId="01A67A51" w14:textId="77777777" w:rsidR="00B02EE5" w:rsidRPr="00B02EE5" w:rsidRDefault="00B02EE5" w:rsidP="00B02EE5">
      <w:pPr>
        <w:tabs>
          <w:tab w:val="left" w:pos="900"/>
          <w:tab w:val="left" w:pos="9475"/>
        </w:tabs>
        <w:spacing w:beforeLines="40" w:before="96" w:afterLines="40" w:after="96" w:line="264" w:lineRule="auto"/>
        <w:ind w:right="6" w:firstLine="567"/>
        <w:jc w:val="both"/>
        <w:rPr>
          <w:b/>
          <w:bCs/>
          <w:i/>
          <w:sz w:val="2"/>
          <w:lang w:val="de-DE"/>
        </w:rPr>
      </w:pPr>
    </w:p>
    <w:p w14:paraId="6AAF2261" w14:textId="77777777" w:rsidR="00B02EE5" w:rsidRPr="00B02EE5" w:rsidRDefault="00B02EE5" w:rsidP="00B02EE5">
      <w:pPr>
        <w:tabs>
          <w:tab w:val="num" w:pos="0"/>
          <w:tab w:val="left" w:pos="9475"/>
        </w:tabs>
        <w:spacing w:before="40" w:after="40" w:line="276" w:lineRule="auto"/>
        <w:ind w:right="6" w:firstLine="567"/>
        <w:jc w:val="both"/>
        <w:rPr>
          <w:b/>
          <w:bCs/>
          <w:i/>
          <w:iCs/>
          <w:lang w:val="de-DE"/>
        </w:rPr>
      </w:pPr>
      <w:r w:rsidRPr="00B02EE5">
        <w:rPr>
          <w:b/>
          <w:bCs/>
          <w:i/>
          <w:iCs/>
          <w:lang w:val="de-DE"/>
        </w:rPr>
        <w:t>Import of goods</w:t>
      </w:r>
    </w:p>
    <w:p w14:paraId="5BC6E2D7" w14:textId="77777777" w:rsidR="00B02EE5" w:rsidRPr="00B02EE5" w:rsidRDefault="00B02EE5" w:rsidP="00B02EE5">
      <w:pPr>
        <w:tabs>
          <w:tab w:val="num" w:pos="0"/>
          <w:tab w:val="left" w:pos="9475"/>
        </w:tabs>
        <w:spacing w:before="40" w:after="40" w:line="276" w:lineRule="auto"/>
        <w:ind w:right="6" w:firstLine="567"/>
        <w:jc w:val="both"/>
        <w:rPr>
          <w:spacing w:val="-2"/>
          <w:lang w:val="en"/>
        </w:rPr>
      </w:pPr>
      <w:r w:rsidRPr="00B02EE5">
        <w:rPr>
          <w:bCs/>
          <w:spacing w:val="-2"/>
          <w:lang w:val="en-US"/>
        </w:rPr>
        <w:t xml:space="preserve">Import turnover of goods </w:t>
      </w:r>
      <w:r w:rsidRPr="00B02EE5">
        <w:rPr>
          <w:bCs/>
          <w:spacing w:val="-2"/>
          <w:lang w:val="de-DE"/>
        </w:rPr>
        <w:t>in 12/2024 reached 35.01 billion USD</w:t>
      </w:r>
      <w:r w:rsidRPr="00B02EE5">
        <w:rPr>
          <w:bCs/>
          <w:spacing w:val="-2"/>
          <w:vertAlign w:val="superscript"/>
          <w:lang w:val="de-DE"/>
        </w:rPr>
        <w:footnoteReference w:id="17"/>
      </w:r>
      <w:r w:rsidRPr="00B02EE5">
        <w:rPr>
          <w:bCs/>
          <w:spacing w:val="-2"/>
          <w:lang w:val="de-DE"/>
        </w:rPr>
        <w:t>.</w:t>
      </w:r>
    </w:p>
    <w:p w14:paraId="77F94438" w14:textId="77777777" w:rsidR="00B02EE5" w:rsidRPr="00B02EE5" w:rsidRDefault="00B02EE5" w:rsidP="00B02EE5">
      <w:pPr>
        <w:tabs>
          <w:tab w:val="num" w:pos="0"/>
          <w:tab w:val="left" w:pos="9475"/>
        </w:tabs>
        <w:spacing w:before="40" w:after="40" w:line="276" w:lineRule="auto"/>
        <w:ind w:right="6" w:firstLine="567"/>
        <w:jc w:val="both"/>
        <w:rPr>
          <w:bCs/>
          <w:spacing w:val="-2"/>
          <w:lang w:val="en-US"/>
        </w:rPr>
      </w:pPr>
      <w:r w:rsidRPr="00B02EE5">
        <w:rPr>
          <w:bCs/>
          <w:spacing w:val="-2"/>
          <w:lang w:val="de-DE"/>
        </w:rPr>
        <w:t xml:space="preserve">Import turnover of goods in 01/2025 </w:t>
      </w:r>
      <w:r w:rsidRPr="00B02EE5">
        <w:rPr>
          <w:bCs/>
          <w:spacing w:val="-2"/>
          <w:lang w:val="en-US"/>
        </w:rPr>
        <w:t>reached 30.06 billion USD, decreased by 14.1% over the previous month. Of which the domestic economic sector gained 10.89 billion USD, decreased by 22.2%; the FDI sector reached 19.17 billion USD, decreased by 8.7%. Compared to the same period last year, the import turnover of goods in January decreased by 2.6%, of which the domestic economic sector decreased by 3.3%; the FDI sector decreased by 2.2%.</w:t>
      </w:r>
      <w:r w:rsidRPr="00B02EE5">
        <w:rPr>
          <w:spacing w:val="-2"/>
          <w:lang w:val="de-DE"/>
        </w:rPr>
        <w:t xml:space="preserve"> </w:t>
      </w:r>
    </w:p>
    <w:bookmarkEnd w:id="0"/>
    <w:bookmarkEnd w:id="1"/>
    <w:p w14:paraId="30BB0AB0" w14:textId="77777777" w:rsidR="00B02EE5" w:rsidRPr="00B02EE5" w:rsidRDefault="00B02EE5" w:rsidP="00B02EE5">
      <w:pPr>
        <w:tabs>
          <w:tab w:val="left" w:pos="9475"/>
        </w:tabs>
        <w:spacing w:before="40" w:after="40" w:line="276" w:lineRule="auto"/>
        <w:ind w:right="6" w:firstLine="567"/>
        <w:jc w:val="both"/>
        <w:rPr>
          <w:spacing w:val="-2"/>
          <w:lang w:val="en-US"/>
        </w:rPr>
      </w:pPr>
      <w:r w:rsidRPr="00B02EE5">
        <w:rPr>
          <w:spacing w:val="-2"/>
          <w:lang w:val="en"/>
        </w:rPr>
        <w:t xml:space="preserve">In January, there are 3 </w:t>
      </w:r>
      <w:r w:rsidRPr="00B02EE5">
        <w:rPr>
          <w:spacing w:val="-2"/>
          <w:lang w:val="en-US"/>
        </w:rPr>
        <w:t xml:space="preserve">imported products with a turnover of over 1 billion USD, accounting for 49.3% of total import turnover. </w:t>
      </w:r>
    </w:p>
    <w:p w14:paraId="1295BC9C" w14:textId="77777777" w:rsidR="00B02EE5" w:rsidRPr="00B02EE5" w:rsidRDefault="00B02EE5" w:rsidP="00B02EE5">
      <w:pPr>
        <w:tabs>
          <w:tab w:val="left" w:pos="9475"/>
        </w:tabs>
        <w:spacing w:before="240" w:after="240" w:line="264" w:lineRule="auto"/>
        <w:ind w:right="6" w:firstLine="567"/>
        <w:jc w:val="center"/>
        <w:rPr>
          <w:rFonts w:ascii="Arial" w:hAnsi="Arial" w:cs="Arial"/>
          <w:b/>
          <w:sz w:val="24"/>
          <w:szCs w:val="20"/>
          <w:lang w:val="pl-PL"/>
        </w:rPr>
      </w:pPr>
      <w:r w:rsidRPr="00B02EE5">
        <w:rPr>
          <w:rFonts w:ascii="Arial" w:hAnsi="Arial" w:cs="Arial"/>
          <w:b/>
          <w:sz w:val="24"/>
          <w:szCs w:val="20"/>
          <w:lang w:val="pl-PL"/>
        </w:rPr>
        <w:t>Table 8. Value of some imported goods in 01/2025</w:t>
      </w:r>
    </w:p>
    <w:tbl>
      <w:tblPr>
        <w:tblW w:w="9393" w:type="dxa"/>
        <w:tblLook w:val="04A0" w:firstRow="1" w:lastRow="0" w:firstColumn="1" w:lastColumn="0" w:noHBand="0" w:noVBand="1"/>
      </w:tblPr>
      <w:tblGrid>
        <w:gridCol w:w="276"/>
        <w:gridCol w:w="4209"/>
        <w:gridCol w:w="1963"/>
        <w:gridCol w:w="2945"/>
      </w:tblGrid>
      <w:tr w:rsidR="00B02EE5" w:rsidRPr="00B02EE5" w14:paraId="6193D727" w14:textId="77777777" w:rsidTr="003446D4">
        <w:trPr>
          <w:trHeight w:val="317"/>
        </w:trPr>
        <w:tc>
          <w:tcPr>
            <w:tcW w:w="276" w:type="dxa"/>
            <w:tcBorders>
              <w:top w:val="single" w:sz="4" w:space="0" w:color="auto"/>
              <w:left w:val="nil"/>
              <w:bottom w:val="nil"/>
              <w:right w:val="nil"/>
            </w:tcBorders>
            <w:shd w:val="clear" w:color="auto" w:fill="auto"/>
            <w:noWrap/>
            <w:vAlign w:val="center"/>
            <w:hideMark/>
          </w:tcPr>
          <w:p w14:paraId="157168C4" w14:textId="77777777" w:rsidR="00B02EE5" w:rsidRPr="00B02EE5" w:rsidRDefault="00B02EE5" w:rsidP="00B02EE5">
            <w:pPr>
              <w:spacing w:before="40" w:after="40" w:line="288" w:lineRule="auto"/>
              <w:rPr>
                <w:rFonts w:ascii="Arial" w:hAnsi="Arial" w:cs="Arial"/>
                <w:sz w:val="20"/>
                <w:szCs w:val="20"/>
                <w:lang w:val="en"/>
              </w:rPr>
            </w:pPr>
            <w:r w:rsidRPr="00B02EE5">
              <w:rPr>
                <w:rFonts w:ascii="Arial" w:hAnsi="Arial" w:cs="Arial"/>
                <w:sz w:val="20"/>
                <w:szCs w:val="20"/>
                <w:lang w:val="en"/>
              </w:rPr>
              <w:t> </w:t>
            </w:r>
          </w:p>
        </w:tc>
        <w:tc>
          <w:tcPr>
            <w:tcW w:w="4209" w:type="dxa"/>
            <w:tcBorders>
              <w:top w:val="single" w:sz="4" w:space="0" w:color="auto"/>
              <w:left w:val="nil"/>
              <w:bottom w:val="nil"/>
              <w:right w:val="nil"/>
            </w:tcBorders>
            <w:shd w:val="clear" w:color="auto" w:fill="auto"/>
            <w:noWrap/>
            <w:vAlign w:val="center"/>
            <w:hideMark/>
          </w:tcPr>
          <w:p w14:paraId="3ACCF49B" w14:textId="77777777" w:rsidR="00B02EE5" w:rsidRPr="00B02EE5" w:rsidRDefault="00B02EE5" w:rsidP="00B02EE5">
            <w:pPr>
              <w:spacing w:before="40" w:after="40" w:line="288" w:lineRule="auto"/>
              <w:jc w:val="center"/>
              <w:rPr>
                <w:rFonts w:ascii="Arial" w:hAnsi="Arial" w:cs="Arial"/>
                <w:sz w:val="20"/>
                <w:szCs w:val="20"/>
                <w:lang w:val="en"/>
              </w:rPr>
            </w:pPr>
            <w:r w:rsidRPr="00B02EE5">
              <w:rPr>
                <w:rFonts w:ascii="Arial" w:hAnsi="Arial" w:cs="Arial"/>
                <w:sz w:val="20"/>
                <w:szCs w:val="20"/>
                <w:lang w:val="en"/>
              </w:rPr>
              <w:t> </w:t>
            </w:r>
          </w:p>
        </w:tc>
        <w:tc>
          <w:tcPr>
            <w:tcW w:w="1963" w:type="dxa"/>
            <w:tcBorders>
              <w:top w:val="single" w:sz="4" w:space="0" w:color="auto"/>
              <w:left w:val="nil"/>
            </w:tcBorders>
            <w:shd w:val="clear" w:color="auto" w:fill="auto"/>
            <w:vAlign w:val="center"/>
            <w:hideMark/>
          </w:tcPr>
          <w:p w14:paraId="63D0AA22" w14:textId="77777777" w:rsidR="00B02EE5" w:rsidRPr="00B02EE5" w:rsidRDefault="00B02EE5" w:rsidP="00B02EE5">
            <w:pPr>
              <w:spacing w:before="40" w:after="40" w:line="288" w:lineRule="auto"/>
              <w:jc w:val="center"/>
              <w:rPr>
                <w:rFonts w:ascii="Arial" w:hAnsi="Arial" w:cs="Arial"/>
                <w:sz w:val="20"/>
                <w:szCs w:val="20"/>
                <w:lang w:val="en"/>
              </w:rPr>
            </w:pPr>
            <w:r w:rsidRPr="00B02EE5">
              <w:rPr>
                <w:rFonts w:ascii="Arial" w:hAnsi="Arial" w:cs="Arial"/>
                <w:sz w:val="20"/>
                <w:szCs w:val="20"/>
                <w:lang w:val="en"/>
              </w:rPr>
              <w:t>Value</w:t>
            </w:r>
          </w:p>
        </w:tc>
        <w:tc>
          <w:tcPr>
            <w:tcW w:w="2945" w:type="dxa"/>
            <w:tcBorders>
              <w:top w:val="single" w:sz="4" w:space="0" w:color="auto"/>
            </w:tcBorders>
            <w:shd w:val="clear" w:color="auto" w:fill="auto"/>
            <w:vAlign w:val="center"/>
            <w:hideMark/>
          </w:tcPr>
          <w:p w14:paraId="571BD3A9" w14:textId="77777777" w:rsidR="00B02EE5" w:rsidRPr="00B02EE5" w:rsidRDefault="00B02EE5" w:rsidP="00B02EE5">
            <w:pPr>
              <w:spacing w:before="40" w:after="40" w:line="288" w:lineRule="auto"/>
              <w:jc w:val="center"/>
              <w:rPr>
                <w:rFonts w:ascii="Arial" w:hAnsi="Arial" w:cs="Arial"/>
                <w:sz w:val="20"/>
                <w:szCs w:val="20"/>
                <w:lang w:val="en"/>
              </w:rPr>
            </w:pPr>
            <w:r w:rsidRPr="00B02EE5">
              <w:rPr>
                <w:rFonts w:ascii="Arial" w:hAnsi="Arial" w:cs="Arial"/>
                <w:sz w:val="20"/>
                <w:szCs w:val="20"/>
                <w:lang w:val="en"/>
              </w:rPr>
              <w:t>Growth rate compare to</w:t>
            </w:r>
          </w:p>
        </w:tc>
      </w:tr>
      <w:tr w:rsidR="00B02EE5" w:rsidRPr="00B02EE5" w14:paraId="476FB20D" w14:textId="77777777" w:rsidTr="003446D4">
        <w:trPr>
          <w:trHeight w:val="152"/>
        </w:trPr>
        <w:tc>
          <w:tcPr>
            <w:tcW w:w="276" w:type="dxa"/>
            <w:tcBorders>
              <w:top w:val="nil"/>
              <w:left w:val="nil"/>
              <w:bottom w:val="nil"/>
              <w:right w:val="nil"/>
            </w:tcBorders>
            <w:shd w:val="clear" w:color="auto" w:fill="auto"/>
            <w:noWrap/>
            <w:vAlign w:val="center"/>
            <w:hideMark/>
          </w:tcPr>
          <w:p w14:paraId="7FB1EE6C" w14:textId="77777777" w:rsidR="00B02EE5" w:rsidRPr="00B02EE5" w:rsidRDefault="00B02EE5" w:rsidP="00B02EE5">
            <w:pPr>
              <w:spacing w:before="40" w:after="40" w:line="288" w:lineRule="auto"/>
              <w:jc w:val="center"/>
              <w:rPr>
                <w:rFonts w:ascii="Arial" w:hAnsi="Arial" w:cs="Arial"/>
                <w:color w:val="000000"/>
                <w:sz w:val="20"/>
                <w:szCs w:val="20"/>
                <w:lang w:val="en"/>
              </w:rPr>
            </w:pPr>
          </w:p>
        </w:tc>
        <w:tc>
          <w:tcPr>
            <w:tcW w:w="4209" w:type="dxa"/>
            <w:tcBorders>
              <w:top w:val="nil"/>
              <w:left w:val="nil"/>
              <w:bottom w:val="nil"/>
              <w:right w:val="nil"/>
            </w:tcBorders>
            <w:shd w:val="clear" w:color="auto" w:fill="auto"/>
            <w:noWrap/>
            <w:vAlign w:val="center"/>
            <w:hideMark/>
          </w:tcPr>
          <w:p w14:paraId="68149DB8" w14:textId="77777777" w:rsidR="00B02EE5" w:rsidRPr="00B02EE5" w:rsidRDefault="00B02EE5" w:rsidP="00B02EE5">
            <w:pPr>
              <w:spacing w:before="40" w:after="40" w:line="288" w:lineRule="auto"/>
              <w:rPr>
                <w:rFonts w:ascii="Arial" w:hAnsi="Arial" w:cs="Arial"/>
                <w:sz w:val="20"/>
                <w:szCs w:val="20"/>
                <w:lang w:val="en"/>
              </w:rPr>
            </w:pPr>
          </w:p>
        </w:tc>
        <w:tc>
          <w:tcPr>
            <w:tcW w:w="1963" w:type="dxa"/>
            <w:tcBorders>
              <w:top w:val="nil"/>
              <w:left w:val="nil"/>
              <w:bottom w:val="single" w:sz="4" w:space="0" w:color="auto"/>
            </w:tcBorders>
            <w:shd w:val="clear" w:color="auto" w:fill="auto"/>
            <w:vAlign w:val="center"/>
            <w:hideMark/>
          </w:tcPr>
          <w:p w14:paraId="79F378AD" w14:textId="77777777" w:rsidR="00B02EE5" w:rsidRPr="00B02EE5" w:rsidRDefault="00B02EE5" w:rsidP="00B02EE5">
            <w:pPr>
              <w:spacing w:before="40" w:after="40" w:line="288" w:lineRule="auto"/>
              <w:jc w:val="center"/>
              <w:rPr>
                <w:rFonts w:ascii="Arial" w:hAnsi="Arial" w:cs="Arial"/>
                <w:sz w:val="20"/>
                <w:szCs w:val="20"/>
                <w:lang w:val="en"/>
              </w:rPr>
            </w:pPr>
            <w:r w:rsidRPr="00B02EE5">
              <w:rPr>
                <w:rFonts w:ascii="Arial" w:hAnsi="Arial" w:cs="Arial"/>
                <w:i/>
                <w:iCs/>
                <w:sz w:val="20"/>
                <w:szCs w:val="20"/>
                <w:lang w:val="en"/>
              </w:rPr>
              <w:t>(Mill. USD)</w:t>
            </w:r>
          </w:p>
        </w:tc>
        <w:tc>
          <w:tcPr>
            <w:tcW w:w="2945" w:type="dxa"/>
            <w:tcBorders>
              <w:top w:val="nil"/>
              <w:bottom w:val="single" w:sz="4" w:space="0" w:color="auto"/>
            </w:tcBorders>
            <w:shd w:val="clear" w:color="auto" w:fill="auto"/>
            <w:vAlign w:val="center"/>
            <w:hideMark/>
          </w:tcPr>
          <w:p w14:paraId="0C698714" w14:textId="77777777" w:rsidR="00B02EE5" w:rsidRPr="00B02EE5" w:rsidRDefault="00B02EE5" w:rsidP="00B02EE5">
            <w:pPr>
              <w:spacing w:before="40" w:after="40" w:line="288" w:lineRule="auto"/>
              <w:jc w:val="center"/>
              <w:rPr>
                <w:rFonts w:ascii="Arial" w:hAnsi="Arial" w:cs="Arial"/>
                <w:sz w:val="20"/>
                <w:szCs w:val="20"/>
                <w:lang w:val="en"/>
              </w:rPr>
            </w:pPr>
            <w:r w:rsidRPr="00B02EE5">
              <w:rPr>
                <w:rFonts w:ascii="Arial" w:hAnsi="Arial" w:cs="Arial"/>
                <w:sz w:val="20"/>
                <w:szCs w:val="20"/>
                <w:lang w:val="en"/>
              </w:rPr>
              <w:t xml:space="preserve">last year </w:t>
            </w:r>
            <w:r w:rsidRPr="00B02EE5">
              <w:rPr>
                <w:rFonts w:ascii="Arial" w:hAnsi="Arial" w:cs="Arial"/>
                <w:i/>
                <w:iCs/>
                <w:sz w:val="20"/>
                <w:szCs w:val="20"/>
                <w:lang w:val="en"/>
              </w:rPr>
              <w:t>(%)</w:t>
            </w:r>
          </w:p>
        </w:tc>
      </w:tr>
      <w:tr w:rsidR="00B02EE5" w:rsidRPr="00B02EE5" w14:paraId="44A26B40" w14:textId="77777777" w:rsidTr="003446D4">
        <w:trPr>
          <w:trHeight w:val="317"/>
        </w:trPr>
        <w:tc>
          <w:tcPr>
            <w:tcW w:w="4485" w:type="dxa"/>
            <w:gridSpan w:val="2"/>
            <w:tcBorders>
              <w:top w:val="nil"/>
              <w:left w:val="nil"/>
              <w:bottom w:val="nil"/>
              <w:right w:val="nil"/>
            </w:tcBorders>
            <w:shd w:val="clear" w:color="auto" w:fill="auto"/>
            <w:noWrap/>
            <w:vAlign w:val="center"/>
            <w:hideMark/>
          </w:tcPr>
          <w:p w14:paraId="230E87DF" w14:textId="77777777" w:rsidR="00B02EE5" w:rsidRPr="00B02EE5" w:rsidRDefault="00B02EE5" w:rsidP="00B02EE5">
            <w:pPr>
              <w:spacing w:before="40" w:after="40" w:line="288" w:lineRule="auto"/>
              <w:rPr>
                <w:rFonts w:ascii="Arial" w:hAnsi="Arial" w:cs="Arial"/>
                <w:b/>
                <w:bCs/>
                <w:color w:val="000000"/>
                <w:sz w:val="20"/>
                <w:szCs w:val="20"/>
                <w:lang w:val="en"/>
              </w:rPr>
            </w:pPr>
            <w:r w:rsidRPr="00B02EE5">
              <w:rPr>
                <w:rFonts w:ascii="Arial" w:hAnsi="Arial" w:cs="Arial"/>
                <w:b/>
                <w:bCs/>
                <w:sz w:val="20"/>
                <w:szCs w:val="20"/>
                <w:lang w:val="en"/>
              </w:rPr>
              <w:t>Items with a value of over 1 billion USD</w:t>
            </w:r>
          </w:p>
        </w:tc>
        <w:tc>
          <w:tcPr>
            <w:tcW w:w="1963" w:type="dxa"/>
            <w:tcBorders>
              <w:top w:val="nil"/>
              <w:left w:val="nil"/>
              <w:bottom w:val="nil"/>
              <w:right w:val="nil"/>
            </w:tcBorders>
            <w:shd w:val="clear" w:color="auto" w:fill="auto"/>
            <w:noWrap/>
            <w:vAlign w:val="center"/>
            <w:hideMark/>
          </w:tcPr>
          <w:p w14:paraId="7F7F461B" w14:textId="77777777" w:rsidR="00B02EE5" w:rsidRPr="00B02EE5" w:rsidRDefault="00B02EE5" w:rsidP="00B02EE5">
            <w:pPr>
              <w:spacing w:before="40" w:after="40" w:line="288" w:lineRule="auto"/>
              <w:rPr>
                <w:rFonts w:ascii="Arial" w:hAnsi="Arial" w:cs="Arial"/>
                <w:sz w:val="20"/>
                <w:szCs w:val="20"/>
                <w:lang w:val="en"/>
              </w:rPr>
            </w:pPr>
          </w:p>
        </w:tc>
        <w:tc>
          <w:tcPr>
            <w:tcW w:w="2945" w:type="dxa"/>
            <w:tcBorders>
              <w:top w:val="nil"/>
              <w:left w:val="nil"/>
              <w:bottom w:val="nil"/>
              <w:right w:val="nil"/>
            </w:tcBorders>
            <w:shd w:val="clear" w:color="auto" w:fill="auto"/>
            <w:noWrap/>
            <w:vAlign w:val="center"/>
            <w:hideMark/>
          </w:tcPr>
          <w:p w14:paraId="50B180AE" w14:textId="77777777" w:rsidR="00B02EE5" w:rsidRPr="00B02EE5" w:rsidRDefault="00B02EE5" w:rsidP="00B02EE5">
            <w:pPr>
              <w:spacing w:before="40" w:after="40" w:line="288" w:lineRule="auto"/>
              <w:rPr>
                <w:rFonts w:ascii="Arial" w:hAnsi="Arial" w:cs="Arial"/>
                <w:sz w:val="20"/>
                <w:szCs w:val="20"/>
                <w:lang w:val="en"/>
              </w:rPr>
            </w:pPr>
          </w:p>
        </w:tc>
      </w:tr>
      <w:tr w:rsidR="00B02EE5" w:rsidRPr="00B02EE5" w14:paraId="52103049" w14:textId="77777777" w:rsidTr="003446D4">
        <w:trPr>
          <w:trHeight w:val="317"/>
        </w:trPr>
        <w:tc>
          <w:tcPr>
            <w:tcW w:w="276" w:type="dxa"/>
            <w:tcBorders>
              <w:top w:val="nil"/>
              <w:left w:val="nil"/>
              <w:right w:val="nil"/>
            </w:tcBorders>
            <w:shd w:val="clear" w:color="auto" w:fill="auto"/>
            <w:noWrap/>
            <w:vAlign w:val="center"/>
            <w:hideMark/>
          </w:tcPr>
          <w:p w14:paraId="25F96080" w14:textId="77777777" w:rsidR="00B02EE5" w:rsidRPr="00B02EE5" w:rsidRDefault="00B02EE5" w:rsidP="00B02EE5">
            <w:pPr>
              <w:spacing w:before="40" w:after="40" w:line="288" w:lineRule="auto"/>
              <w:jc w:val="right"/>
              <w:rPr>
                <w:rFonts w:ascii="Arial" w:hAnsi="Arial" w:cs="Arial"/>
                <w:sz w:val="20"/>
                <w:szCs w:val="20"/>
                <w:lang w:val="en"/>
              </w:rPr>
            </w:pPr>
          </w:p>
        </w:tc>
        <w:tc>
          <w:tcPr>
            <w:tcW w:w="4209" w:type="dxa"/>
            <w:tcBorders>
              <w:top w:val="nil"/>
              <w:left w:val="nil"/>
              <w:right w:val="nil"/>
            </w:tcBorders>
            <w:shd w:val="clear" w:color="auto" w:fill="auto"/>
            <w:noWrap/>
            <w:vAlign w:val="bottom"/>
            <w:hideMark/>
          </w:tcPr>
          <w:p w14:paraId="6AF7D7B4" w14:textId="77777777" w:rsidR="00B02EE5" w:rsidRPr="00B02EE5" w:rsidRDefault="00B02EE5" w:rsidP="00B02EE5">
            <w:pPr>
              <w:spacing w:before="40" w:after="40" w:line="288" w:lineRule="auto"/>
              <w:rPr>
                <w:rFonts w:ascii="Arial" w:hAnsi="Arial" w:cs="Arial"/>
                <w:sz w:val="20"/>
                <w:szCs w:val="20"/>
                <w:lang w:val="en"/>
              </w:rPr>
            </w:pPr>
            <w:r w:rsidRPr="00B02EE5">
              <w:rPr>
                <w:rFonts w:ascii="Arial" w:hAnsi="Arial" w:cs="Arial"/>
                <w:sz w:val="20"/>
                <w:szCs w:val="20"/>
                <w:lang w:val="en"/>
              </w:rPr>
              <w:t>Electronic devices, computers and their parts</w:t>
            </w:r>
          </w:p>
        </w:tc>
        <w:tc>
          <w:tcPr>
            <w:tcW w:w="1963" w:type="dxa"/>
            <w:tcBorders>
              <w:top w:val="nil"/>
              <w:left w:val="nil"/>
              <w:right w:val="nil"/>
            </w:tcBorders>
            <w:shd w:val="clear" w:color="auto" w:fill="auto"/>
            <w:noWrap/>
            <w:vAlign w:val="bottom"/>
            <w:hideMark/>
          </w:tcPr>
          <w:p w14:paraId="411AFFFD" w14:textId="77777777" w:rsidR="00B02EE5" w:rsidRPr="00B02EE5" w:rsidRDefault="00B02EE5" w:rsidP="00B02EE5">
            <w:pPr>
              <w:spacing w:before="40" w:after="40" w:line="288" w:lineRule="auto"/>
              <w:ind w:right="458"/>
              <w:jc w:val="right"/>
              <w:rPr>
                <w:rFonts w:ascii="Arial" w:hAnsi="Arial" w:cs="Arial"/>
                <w:sz w:val="20"/>
                <w:szCs w:val="20"/>
                <w:lang w:val="en"/>
              </w:rPr>
            </w:pPr>
            <w:r w:rsidRPr="00B02EE5">
              <w:rPr>
                <w:rFonts w:ascii="Arial" w:hAnsi="Arial" w:cs="Arial"/>
                <w:sz w:val="20"/>
                <w:szCs w:val="20"/>
                <w:lang w:val="en-GB"/>
              </w:rPr>
              <w:t>9,734</w:t>
            </w:r>
          </w:p>
        </w:tc>
        <w:tc>
          <w:tcPr>
            <w:tcW w:w="2945" w:type="dxa"/>
            <w:tcBorders>
              <w:top w:val="nil"/>
              <w:left w:val="nil"/>
              <w:right w:val="nil"/>
            </w:tcBorders>
            <w:shd w:val="clear" w:color="auto" w:fill="auto"/>
            <w:noWrap/>
            <w:vAlign w:val="bottom"/>
          </w:tcPr>
          <w:p w14:paraId="43DB6075" w14:textId="77777777" w:rsidR="00B02EE5" w:rsidRPr="00B02EE5" w:rsidRDefault="00B02EE5" w:rsidP="00B02EE5">
            <w:pPr>
              <w:spacing w:before="40" w:after="40" w:line="288" w:lineRule="auto"/>
              <w:ind w:right="1068"/>
              <w:jc w:val="right"/>
              <w:rPr>
                <w:rFonts w:ascii="Arial" w:hAnsi="Arial" w:cs="Arial"/>
                <w:sz w:val="20"/>
                <w:szCs w:val="20"/>
                <w:lang w:val="en"/>
              </w:rPr>
            </w:pPr>
            <w:r w:rsidRPr="00B02EE5">
              <w:rPr>
                <w:rFonts w:ascii="Arial" w:hAnsi="Arial" w:cs="Arial"/>
                <w:sz w:val="20"/>
                <w:szCs w:val="20"/>
                <w:lang w:val="en-GB"/>
              </w:rPr>
              <w:t>13.8</w:t>
            </w:r>
          </w:p>
        </w:tc>
      </w:tr>
      <w:tr w:rsidR="00B02EE5" w:rsidRPr="00B02EE5" w14:paraId="0EAD0406" w14:textId="77777777" w:rsidTr="003446D4">
        <w:trPr>
          <w:trHeight w:val="317"/>
        </w:trPr>
        <w:tc>
          <w:tcPr>
            <w:tcW w:w="276" w:type="dxa"/>
            <w:tcBorders>
              <w:top w:val="nil"/>
              <w:left w:val="nil"/>
              <w:right w:val="nil"/>
            </w:tcBorders>
            <w:shd w:val="clear" w:color="auto" w:fill="auto"/>
            <w:noWrap/>
            <w:vAlign w:val="center"/>
            <w:hideMark/>
          </w:tcPr>
          <w:p w14:paraId="52193ACF" w14:textId="77777777" w:rsidR="00B02EE5" w:rsidRPr="00B02EE5" w:rsidRDefault="00B02EE5" w:rsidP="00B02EE5">
            <w:pPr>
              <w:spacing w:before="40" w:after="40" w:line="288" w:lineRule="auto"/>
              <w:rPr>
                <w:rFonts w:ascii="Arial" w:hAnsi="Arial" w:cs="Arial"/>
                <w:sz w:val="20"/>
                <w:szCs w:val="20"/>
                <w:lang w:val="en"/>
              </w:rPr>
            </w:pPr>
          </w:p>
        </w:tc>
        <w:tc>
          <w:tcPr>
            <w:tcW w:w="4209" w:type="dxa"/>
            <w:tcBorders>
              <w:top w:val="nil"/>
              <w:left w:val="nil"/>
              <w:right w:val="nil"/>
            </w:tcBorders>
            <w:shd w:val="clear" w:color="auto" w:fill="auto"/>
            <w:noWrap/>
            <w:vAlign w:val="bottom"/>
            <w:hideMark/>
          </w:tcPr>
          <w:p w14:paraId="2CF1EC52" w14:textId="77777777" w:rsidR="00B02EE5" w:rsidRPr="00B02EE5" w:rsidRDefault="00B02EE5" w:rsidP="00B02EE5">
            <w:pPr>
              <w:spacing w:before="40" w:after="40" w:line="288" w:lineRule="auto"/>
              <w:rPr>
                <w:rFonts w:ascii="Arial" w:hAnsi="Arial" w:cs="Arial"/>
                <w:sz w:val="20"/>
                <w:szCs w:val="20"/>
                <w:lang w:val="en"/>
              </w:rPr>
            </w:pPr>
            <w:r w:rsidRPr="00B02EE5">
              <w:rPr>
                <w:rFonts w:ascii="Arial" w:hAnsi="Arial" w:cs="Arial"/>
                <w:sz w:val="20"/>
                <w:szCs w:val="20"/>
                <w:lang w:val="en"/>
              </w:rPr>
              <w:t>Machinery, instrument, accessory</w:t>
            </w:r>
          </w:p>
        </w:tc>
        <w:tc>
          <w:tcPr>
            <w:tcW w:w="1963" w:type="dxa"/>
            <w:tcBorders>
              <w:top w:val="nil"/>
              <w:left w:val="nil"/>
              <w:right w:val="nil"/>
            </w:tcBorders>
            <w:shd w:val="clear" w:color="auto" w:fill="auto"/>
            <w:noWrap/>
            <w:vAlign w:val="bottom"/>
            <w:hideMark/>
          </w:tcPr>
          <w:p w14:paraId="5803C673" w14:textId="77777777" w:rsidR="00B02EE5" w:rsidRPr="00B02EE5" w:rsidRDefault="00B02EE5" w:rsidP="00B02EE5">
            <w:pPr>
              <w:spacing w:before="40" w:after="40" w:line="288" w:lineRule="auto"/>
              <w:ind w:right="458" w:firstLine="28"/>
              <w:jc w:val="right"/>
              <w:rPr>
                <w:rFonts w:ascii="Arial" w:hAnsi="Arial" w:cs="Arial"/>
                <w:sz w:val="20"/>
                <w:szCs w:val="20"/>
                <w:lang w:val="en"/>
              </w:rPr>
            </w:pPr>
            <w:r w:rsidRPr="00B02EE5">
              <w:rPr>
                <w:rFonts w:ascii="Arial" w:hAnsi="Arial" w:cs="Arial"/>
                <w:sz w:val="20"/>
                <w:szCs w:val="20"/>
                <w:lang w:val="en-GB"/>
              </w:rPr>
              <w:t>3,993</w:t>
            </w:r>
          </w:p>
        </w:tc>
        <w:tc>
          <w:tcPr>
            <w:tcW w:w="2945" w:type="dxa"/>
            <w:tcBorders>
              <w:top w:val="nil"/>
              <w:left w:val="nil"/>
              <w:right w:val="nil"/>
            </w:tcBorders>
            <w:shd w:val="clear" w:color="auto" w:fill="auto"/>
            <w:noWrap/>
            <w:vAlign w:val="bottom"/>
          </w:tcPr>
          <w:p w14:paraId="23E1209E" w14:textId="77777777" w:rsidR="00B02EE5" w:rsidRPr="00B02EE5" w:rsidRDefault="00B02EE5" w:rsidP="00B02EE5">
            <w:pPr>
              <w:spacing w:before="40" w:after="40" w:line="288" w:lineRule="auto"/>
              <w:ind w:right="1068"/>
              <w:jc w:val="right"/>
              <w:rPr>
                <w:rFonts w:ascii="Arial" w:hAnsi="Arial" w:cs="Arial"/>
                <w:sz w:val="20"/>
                <w:szCs w:val="20"/>
                <w:lang w:val="en"/>
              </w:rPr>
            </w:pPr>
            <w:r w:rsidRPr="00B02EE5">
              <w:rPr>
                <w:rFonts w:ascii="Arial" w:hAnsi="Arial" w:cs="Arial"/>
                <w:sz w:val="20"/>
                <w:szCs w:val="20"/>
                <w:lang w:val="en-GB"/>
              </w:rPr>
              <w:t>0.1</w:t>
            </w:r>
          </w:p>
        </w:tc>
      </w:tr>
      <w:tr w:rsidR="00B02EE5" w:rsidRPr="00B02EE5" w14:paraId="59313E73" w14:textId="77777777" w:rsidTr="003446D4">
        <w:trPr>
          <w:trHeight w:val="317"/>
        </w:trPr>
        <w:tc>
          <w:tcPr>
            <w:tcW w:w="276" w:type="dxa"/>
            <w:tcBorders>
              <w:top w:val="nil"/>
              <w:left w:val="nil"/>
              <w:bottom w:val="single" w:sz="4" w:space="0" w:color="auto"/>
              <w:right w:val="nil"/>
            </w:tcBorders>
            <w:shd w:val="clear" w:color="auto" w:fill="auto"/>
            <w:noWrap/>
            <w:vAlign w:val="center"/>
          </w:tcPr>
          <w:p w14:paraId="1E801D9E" w14:textId="77777777" w:rsidR="00B02EE5" w:rsidRPr="00B02EE5" w:rsidRDefault="00B02EE5" w:rsidP="00B02EE5">
            <w:pPr>
              <w:spacing w:before="40" w:after="40" w:line="288" w:lineRule="auto"/>
              <w:rPr>
                <w:rFonts w:ascii="Arial" w:hAnsi="Arial" w:cs="Arial"/>
                <w:sz w:val="20"/>
                <w:szCs w:val="20"/>
                <w:lang w:val="en"/>
              </w:rPr>
            </w:pPr>
          </w:p>
        </w:tc>
        <w:tc>
          <w:tcPr>
            <w:tcW w:w="4209" w:type="dxa"/>
            <w:tcBorders>
              <w:top w:val="nil"/>
              <w:left w:val="nil"/>
              <w:bottom w:val="single" w:sz="4" w:space="0" w:color="auto"/>
              <w:right w:val="nil"/>
            </w:tcBorders>
            <w:shd w:val="clear" w:color="auto" w:fill="auto"/>
            <w:noWrap/>
            <w:vAlign w:val="bottom"/>
          </w:tcPr>
          <w:p w14:paraId="33FCFC28" w14:textId="77777777" w:rsidR="00B02EE5" w:rsidRPr="00B02EE5" w:rsidRDefault="00B02EE5" w:rsidP="00B02EE5">
            <w:pPr>
              <w:spacing w:before="40" w:after="40" w:line="288" w:lineRule="auto"/>
              <w:rPr>
                <w:rFonts w:ascii="Arial" w:hAnsi="Arial" w:cs="Arial"/>
                <w:sz w:val="20"/>
                <w:szCs w:val="20"/>
                <w:lang w:val="en"/>
              </w:rPr>
            </w:pPr>
            <w:r w:rsidRPr="00B02EE5">
              <w:rPr>
                <w:rFonts w:ascii="Arial" w:hAnsi="Arial" w:cs="Arial"/>
                <w:sz w:val="20"/>
                <w:szCs w:val="20"/>
                <w:lang w:val="en"/>
              </w:rPr>
              <w:t>Fabrics</w:t>
            </w:r>
          </w:p>
        </w:tc>
        <w:tc>
          <w:tcPr>
            <w:tcW w:w="1963" w:type="dxa"/>
            <w:tcBorders>
              <w:top w:val="nil"/>
              <w:left w:val="nil"/>
              <w:bottom w:val="single" w:sz="4" w:space="0" w:color="auto"/>
              <w:right w:val="nil"/>
            </w:tcBorders>
            <w:shd w:val="clear" w:color="auto" w:fill="auto"/>
            <w:noWrap/>
            <w:vAlign w:val="bottom"/>
          </w:tcPr>
          <w:p w14:paraId="0B62687F" w14:textId="77777777" w:rsidR="00B02EE5" w:rsidRPr="00B02EE5" w:rsidRDefault="00B02EE5" w:rsidP="00B02EE5">
            <w:pPr>
              <w:spacing w:before="40" w:after="40" w:line="288" w:lineRule="auto"/>
              <w:ind w:right="458" w:firstLine="28"/>
              <w:jc w:val="right"/>
              <w:rPr>
                <w:rFonts w:ascii="Arial" w:hAnsi="Arial" w:cs="Arial"/>
                <w:sz w:val="20"/>
                <w:szCs w:val="20"/>
                <w:lang w:val="en"/>
              </w:rPr>
            </w:pPr>
            <w:r w:rsidRPr="00B02EE5">
              <w:rPr>
                <w:rFonts w:ascii="Arial" w:hAnsi="Arial" w:cs="Arial"/>
                <w:sz w:val="20"/>
                <w:szCs w:val="20"/>
                <w:lang w:val="en-GB"/>
              </w:rPr>
              <w:t>1,081</w:t>
            </w:r>
          </w:p>
        </w:tc>
        <w:tc>
          <w:tcPr>
            <w:tcW w:w="2945" w:type="dxa"/>
            <w:tcBorders>
              <w:top w:val="nil"/>
              <w:left w:val="nil"/>
              <w:bottom w:val="single" w:sz="4" w:space="0" w:color="auto"/>
              <w:right w:val="nil"/>
            </w:tcBorders>
            <w:shd w:val="clear" w:color="auto" w:fill="auto"/>
            <w:noWrap/>
            <w:vAlign w:val="bottom"/>
          </w:tcPr>
          <w:p w14:paraId="594F7B12" w14:textId="77777777" w:rsidR="00B02EE5" w:rsidRPr="00B02EE5" w:rsidRDefault="00B02EE5" w:rsidP="00B02EE5">
            <w:pPr>
              <w:spacing w:before="40" w:after="40" w:line="288" w:lineRule="auto"/>
              <w:ind w:right="1068"/>
              <w:jc w:val="right"/>
              <w:rPr>
                <w:rFonts w:ascii="Arial" w:hAnsi="Arial" w:cs="Arial"/>
                <w:sz w:val="20"/>
                <w:szCs w:val="20"/>
                <w:lang w:val="en"/>
              </w:rPr>
            </w:pPr>
            <w:r w:rsidRPr="00B02EE5">
              <w:rPr>
                <w:rFonts w:ascii="Arial" w:hAnsi="Arial" w:cs="Arial"/>
                <w:sz w:val="20"/>
                <w:szCs w:val="20"/>
                <w:lang w:val="en-GB"/>
              </w:rPr>
              <w:t>-7.9</w:t>
            </w:r>
          </w:p>
        </w:tc>
      </w:tr>
    </w:tbl>
    <w:p w14:paraId="5135A49B" w14:textId="77777777" w:rsidR="00B02EE5" w:rsidRPr="00B02EE5" w:rsidRDefault="00B02EE5" w:rsidP="00B02EE5">
      <w:pPr>
        <w:tabs>
          <w:tab w:val="num" w:pos="0"/>
          <w:tab w:val="left" w:pos="3450"/>
          <w:tab w:val="right" w:pos="8884"/>
          <w:tab w:val="left" w:pos="9475"/>
        </w:tabs>
        <w:spacing w:beforeLines="40" w:before="96" w:afterLines="40" w:after="96" w:line="264" w:lineRule="auto"/>
        <w:ind w:right="187"/>
        <w:jc w:val="both"/>
        <w:rPr>
          <w:rFonts w:eastAsia="Batang"/>
          <w:bCs/>
          <w:lang w:val="en-US"/>
        </w:rPr>
      </w:pPr>
      <w:r w:rsidRPr="00B02EE5">
        <w:rPr>
          <w:rFonts w:ascii="Calibri" w:hAnsi="Calibri" w:cs="Calibri"/>
          <w:i/>
          <w:iCs/>
          <w:noProof/>
          <w:sz w:val="22"/>
          <w:szCs w:val="22"/>
          <w:lang w:val="en-US"/>
        </w:rPr>
        <w:lastRenderedPageBreak/>
        <mc:AlternateContent>
          <mc:Choice Requires="wps">
            <w:drawing>
              <wp:anchor distT="0" distB="0" distL="114300" distR="114300" simplePos="0" relativeHeight="251674112" behindDoc="0" locked="0" layoutInCell="1" allowOverlap="1" wp14:anchorId="5E48E86E" wp14:editId="2E099EB3">
                <wp:simplePos x="0" y="0"/>
                <wp:positionH relativeFrom="column">
                  <wp:posOffset>81915</wp:posOffset>
                </wp:positionH>
                <wp:positionV relativeFrom="paragraph">
                  <wp:posOffset>170815</wp:posOffset>
                </wp:positionV>
                <wp:extent cx="3248025" cy="2725420"/>
                <wp:effectExtent l="0" t="0" r="9525" b="0"/>
                <wp:wrapSquare wrapText="bothSides"/>
                <wp:docPr id="3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8025" cy="2725420"/>
                        </a:xfrm>
                        <a:prstGeom prst="rect">
                          <a:avLst/>
                        </a:prstGeom>
                        <a:solidFill>
                          <a:srgbClr val="FFFFFF"/>
                        </a:solidFill>
                        <a:ln w="9525">
                          <a:noFill/>
                          <a:miter lim="800000"/>
                          <a:headEnd/>
                          <a:tailEnd/>
                        </a:ln>
                      </wps:spPr>
                      <wps:txbx>
                        <w:txbxContent>
                          <w:p w14:paraId="54DD4F6E" w14:textId="77777777" w:rsidR="00B02EE5" w:rsidRPr="004B4D22" w:rsidRDefault="00B02EE5" w:rsidP="00B02EE5">
                            <w:pPr>
                              <w:spacing w:before="40" w:after="40" w:line="288" w:lineRule="auto"/>
                              <w:ind w:left="-284"/>
                              <w:jc w:val="center"/>
                              <w:rPr>
                                <w:rFonts w:ascii="Arial" w:hAnsi="Arial" w:cs="Arial"/>
                                <w:b/>
                                <w:bCs/>
                                <w:sz w:val="24"/>
                                <w:szCs w:val="24"/>
                              </w:rPr>
                            </w:pPr>
                            <w:r w:rsidRPr="004B4D22">
                              <w:rPr>
                                <w:rFonts w:ascii="Arial" w:hAnsi="Arial" w:cs="Arial"/>
                                <w:b/>
                                <w:bCs/>
                                <w:sz w:val="24"/>
                                <w:szCs w:val="24"/>
                              </w:rPr>
                              <w:t>Figure 1</w:t>
                            </w:r>
                            <w:r>
                              <w:rPr>
                                <w:rFonts w:ascii="Arial" w:hAnsi="Arial" w:cs="Arial"/>
                                <w:b/>
                                <w:bCs/>
                                <w:sz w:val="24"/>
                                <w:szCs w:val="24"/>
                              </w:rPr>
                              <w:t>8</w:t>
                            </w:r>
                            <w:r w:rsidRPr="004B4D22">
                              <w:rPr>
                                <w:rFonts w:ascii="Arial" w:hAnsi="Arial" w:cs="Arial"/>
                                <w:b/>
                                <w:bCs/>
                                <w:sz w:val="24"/>
                                <w:szCs w:val="24"/>
                              </w:rPr>
                              <w:t>. Structure of imported groups</w:t>
                            </w:r>
                          </w:p>
                          <w:p w14:paraId="493D1C35" w14:textId="77777777" w:rsidR="00B02EE5" w:rsidRPr="004B4D22" w:rsidRDefault="00B02EE5" w:rsidP="00B02EE5">
                            <w:pPr>
                              <w:spacing w:before="40" w:after="40" w:line="288" w:lineRule="auto"/>
                              <w:ind w:left="-284"/>
                              <w:jc w:val="center"/>
                              <w:rPr>
                                <w:rFonts w:ascii="Arial" w:hAnsi="Arial" w:cs="Arial"/>
                                <w:b/>
                                <w:bCs/>
                                <w:sz w:val="24"/>
                                <w:szCs w:val="24"/>
                              </w:rPr>
                            </w:pPr>
                            <w:r w:rsidRPr="004B4D22">
                              <w:rPr>
                                <w:rFonts w:ascii="Arial" w:hAnsi="Arial" w:cs="Arial"/>
                                <w:b/>
                                <w:bCs/>
                                <w:sz w:val="24"/>
                                <w:szCs w:val="24"/>
                              </w:rPr>
                              <w:t>In</w:t>
                            </w:r>
                            <w:r>
                              <w:rPr>
                                <w:rFonts w:ascii="Arial" w:hAnsi="Arial" w:cs="Arial"/>
                                <w:b/>
                                <w:bCs/>
                                <w:sz w:val="24"/>
                                <w:szCs w:val="24"/>
                              </w:rPr>
                              <w:t xml:space="preserve"> 01/</w:t>
                            </w:r>
                            <w:r w:rsidRPr="004B4D22">
                              <w:rPr>
                                <w:rFonts w:ascii="Arial" w:hAnsi="Arial" w:cs="Arial"/>
                                <w:b/>
                                <w:bCs/>
                                <w:sz w:val="24"/>
                                <w:szCs w:val="24"/>
                              </w:rPr>
                              <w:t>202</w:t>
                            </w:r>
                            <w:r>
                              <w:rPr>
                                <w:rFonts w:ascii="Arial" w:hAnsi="Arial" w:cs="Arial"/>
                                <w:b/>
                                <w:bCs/>
                                <w:sz w:val="24"/>
                                <w:szCs w:val="24"/>
                              </w:rPr>
                              <w:t>5</w:t>
                            </w:r>
                          </w:p>
                          <w:p w14:paraId="486FF0A6" w14:textId="77777777" w:rsidR="00B02EE5" w:rsidRDefault="00B02EE5" w:rsidP="00B02EE5">
                            <w:pPr>
                              <w:ind w:left="-142"/>
                              <w:jc w:val="right"/>
                              <w:rPr>
                                <w:rFonts w:ascii="Arial" w:hAnsi="Arial" w:cs="Arial"/>
                                <w:sz w:val="24"/>
                                <w:szCs w:val="24"/>
                              </w:rPr>
                            </w:pPr>
                            <w:r w:rsidRPr="00CD7114">
                              <w:rPr>
                                <w:noProof/>
                              </w:rPr>
                              <w:drawing>
                                <wp:inline distT="0" distB="0" distL="0" distR="0" wp14:anchorId="096FF084" wp14:editId="266AB41F">
                                  <wp:extent cx="3056255" cy="2017395"/>
                                  <wp:effectExtent l="0" t="0" r="0" b="1905"/>
                                  <wp:docPr id="28003006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56255" cy="2017395"/>
                                          </a:xfrm>
                                          <a:prstGeom prst="rect">
                                            <a:avLst/>
                                          </a:prstGeom>
                                          <a:noFill/>
                                          <a:ln>
                                            <a:noFill/>
                                          </a:ln>
                                        </pic:spPr>
                                      </pic:pic>
                                    </a:graphicData>
                                  </a:graphic>
                                </wp:inline>
                              </w:drawing>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48E86E" id="Text Box 9" o:spid="_x0000_s1027" type="#_x0000_t202" style="position:absolute;left:0;text-align:left;margin-left:6.45pt;margin-top:13.45pt;width:255.75pt;height:214.6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" stroked="f">
                <v:textbox>
                  <w:txbxContent>
                    <w:p w14:paraId="54DD4F6E" w14:textId="77777777" w:rsidR="00B02EE5" w:rsidRPr="004B4D22" w:rsidRDefault="00B02EE5" w:rsidP="00B02EE5">
                      <w:pPr>
                        <w:spacing w:before="40" w:after="40" w:line="288" w:lineRule="auto"/>
                        <w:ind w:left="-284"/>
                        <w:jc w:val="center"/>
                        <w:rPr>
                          <w:rFonts w:ascii="Arial" w:hAnsi="Arial" w:cs="Arial"/>
                          <w:b/>
                          <w:bCs/>
                          <w:sz w:val="24"/>
                          <w:szCs w:val="24"/>
                        </w:rPr>
                      </w:pPr>
                      <w:r w:rsidRPr="004B4D22">
                        <w:rPr>
                          <w:rFonts w:ascii="Arial" w:hAnsi="Arial" w:cs="Arial"/>
                          <w:b/>
                          <w:bCs/>
                          <w:sz w:val="24"/>
                          <w:szCs w:val="24"/>
                        </w:rPr>
                        <w:t>Figure 1</w:t>
                      </w:r>
                      <w:r>
                        <w:rPr>
                          <w:rFonts w:ascii="Arial" w:hAnsi="Arial" w:cs="Arial"/>
                          <w:b/>
                          <w:bCs/>
                          <w:sz w:val="24"/>
                          <w:szCs w:val="24"/>
                        </w:rPr>
                        <w:t>8</w:t>
                      </w:r>
                      <w:r w:rsidRPr="004B4D22">
                        <w:rPr>
                          <w:rFonts w:ascii="Arial" w:hAnsi="Arial" w:cs="Arial"/>
                          <w:b/>
                          <w:bCs/>
                          <w:sz w:val="24"/>
                          <w:szCs w:val="24"/>
                        </w:rPr>
                        <w:t>. Structure of imported groups</w:t>
                      </w:r>
                    </w:p>
                    <w:p w14:paraId="493D1C35" w14:textId="77777777" w:rsidR="00B02EE5" w:rsidRPr="004B4D22" w:rsidRDefault="00B02EE5" w:rsidP="00B02EE5">
                      <w:pPr>
                        <w:spacing w:before="40" w:after="40" w:line="288" w:lineRule="auto"/>
                        <w:ind w:left="-284"/>
                        <w:jc w:val="center"/>
                        <w:rPr>
                          <w:rFonts w:ascii="Arial" w:hAnsi="Arial" w:cs="Arial"/>
                          <w:b/>
                          <w:bCs/>
                          <w:sz w:val="24"/>
                          <w:szCs w:val="24"/>
                        </w:rPr>
                      </w:pPr>
                      <w:r w:rsidRPr="004B4D22">
                        <w:rPr>
                          <w:rFonts w:ascii="Arial" w:hAnsi="Arial" w:cs="Arial"/>
                          <w:b/>
                          <w:bCs/>
                          <w:sz w:val="24"/>
                          <w:szCs w:val="24"/>
                        </w:rPr>
                        <w:t>In</w:t>
                      </w:r>
                      <w:r>
                        <w:rPr>
                          <w:rFonts w:ascii="Arial" w:hAnsi="Arial" w:cs="Arial"/>
                          <w:b/>
                          <w:bCs/>
                          <w:sz w:val="24"/>
                          <w:szCs w:val="24"/>
                        </w:rPr>
                        <w:t xml:space="preserve"> 01/</w:t>
                      </w:r>
                      <w:r w:rsidRPr="004B4D22">
                        <w:rPr>
                          <w:rFonts w:ascii="Arial" w:hAnsi="Arial" w:cs="Arial"/>
                          <w:b/>
                          <w:bCs/>
                          <w:sz w:val="24"/>
                          <w:szCs w:val="24"/>
                        </w:rPr>
                        <w:t>202</w:t>
                      </w:r>
                      <w:r>
                        <w:rPr>
                          <w:rFonts w:ascii="Arial" w:hAnsi="Arial" w:cs="Arial"/>
                          <w:b/>
                          <w:bCs/>
                          <w:sz w:val="24"/>
                          <w:szCs w:val="24"/>
                        </w:rPr>
                        <w:t>5</w:t>
                      </w:r>
                    </w:p>
                    <w:p w14:paraId="486FF0A6" w14:textId="77777777" w:rsidR="00B02EE5" w:rsidRDefault="00B02EE5" w:rsidP="00B02EE5">
                      <w:pPr>
                        <w:ind w:left="-142"/>
                        <w:jc w:val="right"/>
                        <w:rPr>
                          <w:rFonts w:ascii="Arial" w:hAnsi="Arial" w:cs="Arial"/>
                          <w:sz w:val="24"/>
                          <w:szCs w:val="24"/>
                        </w:rPr>
                      </w:pPr>
                      <w:r w:rsidRPr="00CD7114">
                        <w:rPr>
                          <w:noProof/>
                        </w:rPr>
                        <w:drawing>
                          <wp:inline distT="0" distB="0" distL="0" distR="0" wp14:anchorId="096FF084" wp14:editId="266AB41F">
                            <wp:extent cx="3056255" cy="2017395"/>
                            <wp:effectExtent l="0" t="0" r="0" b="1905"/>
                            <wp:docPr id="28003006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56255" cy="2017395"/>
                                    </a:xfrm>
                                    <a:prstGeom prst="rect">
                                      <a:avLst/>
                                    </a:prstGeom>
                                    <a:noFill/>
                                    <a:ln>
                                      <a:noFill/>
                                    </a:ln>
                                  </pic:spPr>
                                </pic:pic>
                              </a:graphicData>
                            </a:graphic>
                          </wp:inline>
                        </w:drawing>
                      </w:r>
                    </w:p>
                  </w:txbxContent>
                </v:textbox>
                <w10:wrap type="square"/>
              </v:shape>
            </w:pict>
          </mc:Fallback>
        </mc:AlternateContent>
      </w:r>
      <w:r w:rsidRPr="00B02EE5">
        <w:rPr>
          <w:rFonts w:eastAsia="Batang"/>
          <w:i/>
          <w:iCs/>
          <w:noProof/>
          <w:spacing w:val="-6"/>
          <w:lang w:val="en-US"/>
        </w:rPr>
        <w:t xml:space="preserve">Regarding the structure of imported groups </w:t>
      </w:r>
      <w:r w:rsidRPr="00B02EE5">
        <w:rPr>
          <w:rFonts w:eastAsia="Batang"/>
          <w:bCs/>
          <w:i/>
          <w:iCs/>
          <w:spacing w:val="-6"/>
          <w:lang w:val="en-US"/>
        </w:rPr>
        <w:t xml:space="preserve">in 01/2025, </w:t>
      </w:r>
      <w:r w:rsidRPr="00B02EE5">
        <w:rPr>
          <w:rFonts w:eastAsia="Batang"/>
          <w:bCs/>
          <w:lang w:val="en-US"/>
        </w:rPr>
        <w:t>the group of production materials reached 28.26 billion USD, accounted for 94.0%, in which the group of machinery, equipment, tools spare parts accounted for 52.0%; raw materials, fuel and materials accounted for 42.0%. The group of consumer products reached 1.8 billion USD, accounted for 6.0%</w:t>
      </w:r>
      <w:r w:rsidRPr="00B02EE5">
        <w:rPr>
          <w:rFonts w:eastAsia="Batang"/>
          <w:bCs/>
          <w:i/>
          <w:iCs/>
          <w:lang w:val="en-US"/>
        </w:rPr>
        <w:t>.</w:t>
      </w:r>
    </w:p>
    <w:p w14:paraId="11F8BE8E" w14:textId="77777777" w:rsidR="00B02EE5" w:rsidRPr="00B02EE5" w:rsidRDefault="00B02EE5" w:rsidP="00B02EE5">
      <w:pPr>
        <w:tabs>
          <w:tab w:val="left" w:pos="9475"/>
        </w:tabs>
        <w:spacing w:beforeLines="40" w:before="96" w:afterLines="40" w:after="96" w:line="259" w:lineRule="auto"/>
        <w:ind w:right="6"/>
        <w:jc w:val="both"/>
        <w:rPr>
          <w:rFonts w:eastAsia="Batang"/>
          <w:b/>
          <w:bCs/>
          <w:spacing w:val="-6"/>
          <w:lang w:val="en-GB"/>
        </w:rPr>
      </w:pPr>
    </w:p>
    <w:p w14:paraId="0EB304D0" w14:textId="77777777" w:rsidR="00B02EE5" w:rsidRPr="00B02EE5" w:rsidRDefault="00B02EE5" w:rsidP="00B02EE5">
      <w:pPr>
        <w:tabs>
          <w:tab w:val="num" w:pos="0"/>
          <w:tab w:val="left" w:pos="9475"/>
        </w:tabs>
        <w:spacing w:beforeLines="40" w:before="96" w:afterLines="40" w:after="96" w:line="264" w:lineRule="auto"/>
        <w:ind w:right="6" w:firstLine="567"/>
        <w:jc w:val="both"/>
        <w:rPr>
          <w:i/>
          <w:lang w:val="en-US"/>
        </w:rPr>
      </w:pPr>
      <w:r w:rsidRPr="00B02EE5">
        <w:rPr>
          <w:bCs/>
          <w:i/>
          <w:lang w:val="en"/>
        </w:rPr>
        <w:t xml:space="preserve">Regarding the export and import market of goods in 01/2025, </w:t>
      </w:r>
      <w:r w:rsidRPr="00B02EE5">
        <w:rPr>
          <w:bCs/>
          <w:iCs/>
          <w:lang w:val="en"/>
        </w:rPr>
        <w:t>the United States was the Viet Nam's largest export market with a turnover of 9.8 billion USD.</w:t>
      </w:r>
      <w:r w:rsidRPr="00B02EE5">
        <w:rPr>
          <w:bCs/>
          <w:iCs/>
          <w:lang w:val="en-US"/>
        </w:rPr>
        <w:t xml:space="preserve"> China remained the largest import market of Viet Nam with a turnover of 11.6 billion USD. </w:t>
      </w:r>
      <w:r w:rsidRPr="00B02EE5">
        <w:rPr>
          <w:bCs/>
          <w:iCs/>
          <w:lang w:val="en"/>
        </w:rPr>
        <w:t>In 01/2025, the trade surplus to the United States reached 8.5 billion USD, down 3.5% over the same period last year; the trade surplus to the EU reached 2.7 billion USD, down 17.9%; the trade surplus to Japan was 0.3 billion USD, up 16.4%; the trade deficit from China was 5.8 billion USD, went down 19.6%; the trade deficit from Korea was 1.9 billion USD, went up 2.8%; the trade deficit from ASEAN was 1.2 billion USD, increased by 241.3%.</w:t>
      </w:r>
    </w:p>
    <w:p w14:paraId="04CC4E06" w14:textId="77777777" w:rsidR="00B02EE5" w:rsidRPr="00B02EE5" w:rsidRDefault="00B02EE5" w:rsidP="00B02EE5">
      <w:pPr>
        <w:tabs>
          <w:tab w:val="num" w:pos="0"/>
          <w:tab w:val="left" w:pos="9475"/>
        </w:tabs>
        <w:spacing w:beforeLines="40" w:before="96" w:afterLines="40" w:after="96" w:line="264" w:lineRule="auto"/>
        <w:ind w:right="6" w:firstLine="567"/>
        <w:jc w:val="center"/>
        <w:rPr>
          <w:rFonts w:ascii="Arial" w:hAnsi="Arial" w:cs="Arial"/>
          <w:b/>
          <w:iCs/>
          <w:sz w:val="24"/>
          <w:szCs w:val="24"/>
          <w:lang w:val="en-GB"/>
        </w:rPr>
      </w:pPr>
      <w:r w:rsidRPr="00B02EE5">
        <w:rPr>
          <w:rFonts w:ascii="Arial" w:hAnsi="Arial" w:cs="Arial"/>
          <w:b/>
          <w:iCs/>
          <w:sz w:val="24"/>
          <w:szCs w:val="24"/>
          <w:lang w:val="en"/>
        </w:rPr>
        <w:t>Figure 19. Major commodity import and export markets in 01/2025</w:t>
      </w:r>
    </w:p>
    <w:tbl>
      <w:tblPr>
        <w:tblStyle w:val="TableGrid2"/>
        <w:tblW w:w="927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48"/>
        <w:gridCol w:w="604"/>
        <w:gridCol w:w="2212"/>
        <w:gridCol w:w="2770"/>
        <w:gridCol w:w="1413"/>
        <w:gridCol w:w="523"/>
      </w:tblGrid>
      <w:tr w:rsidR="00B02EE5" w:rsidRPr="00B02EE5" w14:paraId="1B4FAD36" w14:textId="77777777" w:rsidTr="003446D4">
        <w:trPr>
          <w:trHeight w:val="3989"/>
          <w:jc w:val="center"/>
        </w:trPr>
        <w:tc>
          <w:tcPr>
            <w:tcW w:w="4564" w:type="dxa"/>
            <w:gridSpan w:val="3"/>
            <w:hideMark/>
          </w:tcPr>
          <w:p w14:paraId="2CD9E0F9" w14:textId="77777777" w:rsidR="00B02EE5" w:rsidRPr="00B02EE5" w:rsidRDefault="00B02EE5" w:rsidP="00B02EE5">
            <w:pPr>
              <w:tabs>
                <w:tab w:val="num" w:pos="0"/>
                <w:tab w:val="left" w:pos="9475"/>
              </w:tabs>
              <w:spacing w:beforeLines="40" w:before="96" w:afterLines="40" w:after="96" w:line="264" w:lineRule="auto"/>
              <w:ind w:right="-118"/>
              <w:jc w:val="both"/>
              <w:rPr>
                <w:rFonts w:ascii="Calibri" w:eastAsia="Calibri" w:hAnsi="Calibri"/>
                <w:iCs/>
                <w:lang w:val="en"/>
              </w:rPr>
            </w:pPr>
            <w:r w:rsidRPr="00B02EE5">
              <w:rPr>
                <w:rFonts w:ascii="Calibri" w:eastAsia="Calibri" w:hAnsi="Calibri"/>
                <w:noProof/>
                <w:sz w:val="22"/>
                <w:szCs w:val="22"/>
                <w:lang w:val="en-GB"/>
              </w:rPr>
              <w:drawing>
                <wp:inline distT="0" distB="0" distL="0" distR="0" wp14:anchorId="421A1198" wp14:editId="7D21C284">
                  <wp:extent cx="2808514" cy="2299335"/>
                  <wp:effectExtent l="0" t="0" r="11430" b="5715"/>
                  <wp:docPr id="1512461112" name="Chart 1">
                    <a:extLst xmlns:a="http://schemas.openxmlformats.org/drawingml/2006/main">
                      <a:ext uri="{FF2B5EF4-FFF2-40B4-BE49-F238E27FC236}">
                        <a16:creationId xmlns:a16="http://schemas.microsoft.com/office/drawing/2014/main" id="{44D50716-56FF-4985-B386-1B9125899A1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c>
          <w:tcPr>
            <w:tcW w:w="4706" w:type="dxa"/>
            <w:gridSpan w:val="3"/>
            <w:hideMark/>
          </w:tcPr>
          <w:p w14:paraId="3D986B0D" w14:textId="77777777" w:rsidR="00B02EE5" w:rsidRPr="00B02EE5" w:rsidRDefault="00B02EE5" w:rsidP="00B02EE5">
            <w:pPr>
              <w:tabs>
                <w:tab w:val="num" w:pos="-134"/>
                <w:tab w:val="left" w:pos="9475"/>
              </w:tabs>
              <w:spacing w:beforeLines="40" w:before="96" w:afterLines="40" w:after="96" w:line="264" w:lineRule="auto"/>
              <w:ind w:right="6" w:hanging="134"/>
              <w:jc w:val="both"/>
              <w:rPr>
                <w:rFonts w:eastAsia="Calibri"/>
                <w:iCs/>
                <w:lang w:val="en"/>
              </w:rPr>
            </w:pPr>
            <w:r w:rsidRPr="00B02EE5">
              <w:rPr>
                <w:rFonts w:ascii="Calibri" w:eastAsia="Calibri" w:hAnsi="Calibri"/>
                <w:noProof/>
                <w:sz w:val="22"/>
                <w:szCs w:val="22"/>
                <w:lang w:val="en-GB"/>
              </w:rPr>
              <w:drawing>
                <wp:inline distT="0" distB="0" distL="0" distR="0" wp14:anchorId="13303B0A" wp14:editId="3C55B67D">
                  <wp:extent cx="2851150" cy="2299335"/>
                  <wp:effectExtent l="0" t="0" r="6350" b="5715"/>
                  <wp:docPr id="1218937345" name="Chart 1">
                    <a:extLst xmlns:a="http://schemas.openxmlformats.org/drawingml/2006/main">
                      <a:ext uri="{FF2B5EF4-FFF2-40B4-BE49-F238E27FC236}">
                        <a16:creationId xmlns:a16="http://schemas.microsoft.com/office/drawing/2014/main" id="{6679D1D4-83B8-4932-992B-50028A3F58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r>
      <w:tr w:rsidR="00B02EE5" w:rsidRPr="00B02EE5" w14:paraId="07984CB6" w14:textId="77777777" w:rsidTr="003446D4">
        <w:trPr>
          <w:gridAfter w:val="1"/>
          <w:wAfter w:w="523" w:type="dxa"/>
          <w:trHeight w:val="160"/>
          <w:jc w:val="center"/>
        </w:trPr>
        <w:tc>
          <w:tcPr>
            <w:tcW w:w="1748" w:type="dxa"/>
          </w:tcPr>
          <w:p w14:paraId="5AB4C223" w14:textId="77777777" w:rsidR="00B02EE5" w:rsidRPr="00B02EE5" w:rsidRDefault="00B02EE5" w:rsidP="00B02EE5">
            <w:pPr>
              <w:spacing w:beforeLines="40" w:before="96" w:afterLines="40" w:after="96" w:line="264" w:lineRule="auto"/>
              <w:ind w:firstLine="567"/>
              <w:jc w:val="both"/>
              <w:rPr>
                <w:rFonts w:eastAsia="Calibri"/>
                <w:b/>
                <w:bCs/>
                <w:i/>
                <w:iCs/>
                <w:lang w:val="en"/>
              </w:rPr>
            </w:pPr>
          </w:p>
        </w:tc>
        <w:tc>
          <w:tcPr>
            <w:tcW w:w="604" w:type="dxa"/>
          </w:tcPr>
          <w:p w14:paraId="6388AA87" w14:textId="77777777" w:rsidR="00B02EE5" w:rsidRPr="00B02EE5" w:rsidRDefault="00B02EE5" w:rsidP="00B02EE5">
            <w:pPr>
              <w:spacing w:beforeLines="40" w:before="96" w:afterLines="40" w:after="96" w:line="264" w:lineRule="auto"/>
              <w:ind w:firstLine="567"/>
              <w:jc w:val="both"/>
              <w:rPr>
                <w:rFonts w:eastAsia="Calibri"/>
                <w:b/>
                <w:bCs/>
                <w:i/>
                <w:iCs/>
                <w:color w:val="FF0000"/>
                <w:lang w:val="en"/>
              </w:rPr>
            </w:pPr>
          </w:p>
        </w:tc>
        <w:tc>
          <w:tcPr>
            <w:tcW w:w="2212" w:type="dxa"/>
            <w:hideMark/>
          </w:tcPr>
          <w:p w14:paraId="0D02F9E0" w14:textId="77777777" w:rsidR="00B02EE5" w:rsidRPr="00B02EE5" w:rsidRDefault="00B02EE5" w:rsidP="00B02EE5">
            <w:pPr>
              <w:spacing w:beforeLines="40" w:before="96" w:afterLines="40" w:after="96" w:line="264" w:lineRule="auto"/>
              <w:ind w:firstLine="567"/>
              <w:jc w:val="both"/>
              <w:rPr>
                <w:rFonts w:eastAsia="Calibri"/>
                <w:b/>
                <w:bCs/>
                <w:i/>
                <w:iCs/>
                <w:lang w:val="en"/>
              </w:rPr>
            </w:pPr>
            <w:r w:rsidRPr="00B02EE5">
              <w:rPr>
                <w:rFonts w:eastAsia="Calibri"/>
                <w:noProof/>
                <w:lang w:val="en-US"/>
              </w:rPr>
              <mc:AlternateContent>
                <mc:Choice Requires="wps">
                  <w:drawing>
                    <wp:anchor distT="0" distB="0" distL="114300" distR="114300" simplePos="0" relativeHeight="251672064" behindDoc="0" locked="0" layoutInCell="1" allowOverlap="1" wp14:anchorId="3F46BAAB" wp14:editId="1774031F">
                      <wp:simplePos x="0" y="0"/>
                      <wp:positionH relativeFrom="column">
                        <wp:posOffset>98425</wp:posOffset>
                      </wp:positionH>
                      <wp:positionV relativeFrom="paragraph">
                        <wp:posOffset>36195</wp:posOffset>
                      </wp:positionV>
                      <wp:extent cx="125730" cy="90170"/>
                      <wp:effectExtent l="0" t="0" r="0" b="0"/>
                      <wp:wrapNone/>
                      <wp:docPr id="3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 cy="90170"/>
                              </a:xfrm>
                              <a:prstGeom prst="rect">
                                <a:avLst/>
                              </a:prstGeom>
                              <a:solidFill>
                                <a:srgbClr val="C00000"/>
                              </a:solidFill>
                              <a:ln w="12700" cap="flat" cmpd="sng" algn="ctr">
                                <a:no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F8CEE1" id="Rectangle 7" o:spid="_x0000_s1026" style="position:absolute;margin-left:7.75pt;margin-top:2.85pt;width:9.9pt;height:7.1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" fillcolor="#c00000" stroked="f" strokeweight="1pt"/>
                  </w:pict>
                </mc:Fallback>
              </mc:AlternateContent>
            </w:r>
            <w:r w:rsidRPr="00B02EE5">
              <w:rPr>
                <w:rFonts w:ascii="Arial" w:eastAsia="Calibri" w:hAnsi="Arial" w:cs="Arial"/>
                <w:b/>
                <w:bCs/>
                <w:iCs/>
                <w:sz w:val="16"/>
                <w:szCs w:val="16"/>
                <w:lang w:val="en"/>
              </w:rPr>
              <w:t>Export of goods</w:t>
            </w:r>
          </w:p>
        </w:tc>
        <w:tc>
          <w:tcPr>
            <w:tcW w:w="2770" w:type="dxa"/>
            <w:hideMark/>
          </w:tcPr>
          <w:p w14:paraId="4638D161" w14:textId="77777777" w:rsidR="00B02EE5" w:rsidRPr="00B02EE5" w:rsidRDefault="00B02EE5" w:rsidP="00B02EE5">
            <w:pPr>
              <w:spacing w:beforeLines="40" w:before="96" w:afterLines="40" w:after="96" w:line="264" w:lineRule="auto"/>
              <w:ind w:firstLine="567"/>
              <w:jc w:val="both"/>
              <w:rPr>
                <w:rFonts w:eastAsia="Calibri"/>
                <w:b/>
                <w:bCs/>
                <w:i/>
                <w:iCs/>
                <w:lang w:val="en"/>
              </w:rPr>
            </w:pPr>
            <w:r w:rsidRPr="00B02EE5">
              <w:rPr>
                <w:rFonts w:eastAsia="Calibri"/>
                <w:noProof/>
                <w:lang w:val="en-US"/>
              </w:rPr>
              <mc:AlternateContent>
                <mc:Choice Requires="wps">
                  <w:drawing>
                    <wp:anchor distT="0" distB="0" distL="114300" distR="114300" simplePos="0" relativeHeight="251673088" behindDoc="0" locked="0" layoutInCell="1" allowOverlap="1" wp14:anchorId="58A87D4C" wp14:editId="52DBBFEC">
                      <wp:simplePos x="0" y="0"/>
                      <wp:positionH relativeFrom="column">
                        <wp:posOffset>109855</wp:posOffset>
                      </wp:positionH>
                      <wp:positionV relativeFrom="paragraph">
                        <wp:posOffset>36195</wp:posOffset>
                      </wp:positionV>
                      <wp:extent cx="125730" cy="90170"/>
                      <wp:effectExtent l="0" t="0" r="26670" b="24130"/>
                      <wp:wrapNone/>
                      <wp:docPr id="29"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 cy="90170"/>
                              </a:xfrm>
                              <a:prstGeom prst="rect">
                                <a:avLst/>
                              </a:prstGeom>
                              <a:solidFill>
                                <a:srgbClr val="FFFF00"/>
                              </a:solidFill>
                              <a:ln w="6350" cap="flat" cmpd="sng" algn="ctr">
                                <a:solidFill>
                                  <a:srgbClr val="E7E6E6">
                                    <a:lumMod val="25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0F8C15" id="Rectangle 6" o:spid="_x0000_s1026" style="position:absolute;margin-left:8.65pt;margin-top:2.85pt;width:9.9pt;height:7.1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" fillcolor="yellow" strokecolor="#3b3838" strokeweight=".5pt">
                      <v:path arrowok="t"/>
                    </v:rect>
                  </w:pict>
                </mc:Fallback>
              </mc:AlternateContent>
            </w:r>
            <w:r w:rsidRPr="00B02EE5">
              <w:rPr>
                <w:rFonts w:ascii="Arial" w:eastAsia="Calibri" w:hAnsi="Arial" w:cs="Arial"/>
                <w:b/>
                <w:bCs/>
                <w:iCs/>
                <w:sz w:val="16"/>
                <w:szCs w:val="16"/>
                <w:lang w:val="en"/>
              </w:rPr>
              <w:t>Import of goods</w:t>
            </w:r>
          </w:p>
        </w:tc>
        <w:tc>
          <w:tcPr>
            <w:tcW w:w="1413" w:type="dxa"/>
          </w:tcPr>
          <w:p w14:paraId="0CC54943" w14:textId="77777777" w:rsidR="00B02EE5" w:rsidRPr="00B02EE5" w:rsidRDefault="00B02EE5" w:rsidP="00B02EE5">
            <w:pPr>
              <w:spacing w:beforeLines="40" w:before="96" w:afterLines="40" w:after="96" w:line="264" w:lineRule="auto"/>
              <w:ind w:firstLine="567"/>
              <w:jc w:val="both"/>
              <w:rPr>
                <w:rFonts w:eastAsia="Calibri"/>
                <w:b/>
                <w:bCs/>
                <w:i/>
                <w:iCs/>
                <w:lang w:val="en"/>
              </w:rPr>
            </w:pPr>
          </w:p>
        </w:tc>
      </w:tr>
    </w:tbl>
    <w:p w14:paraId="78C38C86" w14:textId="77777777" w:rsidR="00B02EE5" w:rsidRPr="00B02EE5" w:rsidRDefault="00B02EE5" w:rsidP="00B02EE5">
      <w:pPr>
        <w:spacing w:beforeLines="40" w:before="96" w:afterLines="40" w:after="96" w:line="264" w:lineRule="auto"/>
        <w:ind w:firstLine="567"/>
        <w:jc w:val="both"/>
        <w:rPr>
          <w:iCs/>
          <w:lang w:val="en-GB"/>
        </w:rPr>
      </w:pPr>
      <w:r w:rsidRPr="00B02EE5">
        <w:rPr>
          <w:iCs/>
          <w:lang w:val="en-US"/>
        </w:rPr>
        <w:lastRenderedPageBreak/>
        <w:t>According to preliminary data, the trade balance of goods in December</w:t>
      </w:r>
      <w:r w:rsidRPr="00B02EE5">
        <w:rPr>
          <w:iCs/>
          <w:lang w:val="en"/>
        </w:rPr>
        <w:t xml:space="preserve"> had a trade surplus of 0.52 billion USD</w:t>
      </w:r>
      <w:r w:rsidRPr="00B02EE5">
        <w:rPr>
          <w:vertAlign w:val="superscript"/>
          <w:lang w:val="en"/>
        </w:rPr>
        <w:footnoteReference w:id="18"/>
      </w:r>
      <w:r w:rsidRPr="00B02EE5">
        <w:rPr>
          <w:iCs/>
          <w:lang w:val="en"/>
        </w:rPr>
        <w:t>; the year 2024 had a trade surplus of 24.77 billion USD; 01/2025 had a trade surplus of 3.03 billion USD. (last year's trade surplus was 3.7 billion USD). Of which, the domestic economic sector had a trade deficit of 1.4 billion USD; the FDI sector (including crude oil) had a trade surplus of 4.43 billion USD.</w:t>
      </w:r>
    </w:p>
    <w:p w14:paraId="44E67ADB" w14:textId="77777777" w:rsidR="00B02EE5" w:rsidRPr="00B02EE5" w:rsidRDefault="00B02EE5" w:rsidP="00B02EE5">
      <w:pPr>
        <w:spacing w:before="120" w:after="120" w:line="288" w:lineRule="auto"/>
        <w:jc w:val="both"/>
        <w:rPr>
          <w:b/>
          <w:bCs/>
          <w:i/>
          <w:lang w:val="en-US"/>
        </w:rPr>
      </w:pPr>
      <w:r w:rsidRPr="00B02EE5">
        <w:rPr>
          <w:b/>
          <w:bCs/>
          <w:i/>
          <w:lang w:val="en-US"/>
        </w:rPr>
        <w:t>c) Consumer price index, gold price index and US dollar price index</w:t>
      </w:r>
    </w:p>
    <w:p w14:paraId="59040ABC" w14:textId="77777777" w:rsidR="00B02EE5" w:rsidRPr="00B02EE5" w:rsidRDefault="00B02EE5" w:rsidP="00B02EE5">
      <w:pPr>
        <w:spacing w:before="120" w:after="120" w:line="288" w:lineRule="auto"/>
        <w:jc w:val="both"/>
        <w:rPr>
          <w:i/>
          <w:lang w:val="en-US"/>
        </w:rPr>
      </w:pPr>
      <w:r w:rsidRPr="00B02EE5">
        <w:rPr>
          <w:i/>
          <w:lang w:val="en-US"/>
        </w:rPr>
        <w:tab/>
        <w:t>Some localities have adjusted medical service prices according to Circular No. 21/2024/TT-BYT, transportation service prices and food prices have increased due to increased travel and shopping needs of people during the Lunar New Year of At Ty, which are the main reasons for the consumer price index (CPI) in January 2025 to increase by 0.98% compared to the previous month. Compared to the same period in 2024, the CPI in January increased by 3.63%; core inflation in January 2025 increased by 3.07%.</w:t>
      </w:r>
    </w:p>
    <w:p w14:paraId="0B1CACB6" w14:textId="77777777" w:rsidR="00B02EE5" w:rsidRPr="00B02EE5" w:rsidRDefault="00B02EE5" w:rsidP="00B02EE5">
      <w:pPr>
        <w:spacing w:after="120" w:line="264" w:lineRule="auto"/>
        <w:ind w:firstLine="720"/>
        <w:jc w:val="both"/>
        <w:rPr>
          <w:rFonts w:ascii="Arial" w:eastAsia="Calibri" w:hAnsi="Arial" w:cs="Arial"/>
          <w:b/>
          <w:bCs/>
          <w:iCs/>
          <w:sz w:val="24"/>
          <w:szCs w:val="24"/>
          <w:lang w:val="en-US" w:eastAsia="x-none"/>
        </w:rPr>
      </w:pPr>
      <w:r w:rsidRPr="00B02EE5">
        <w:rPr>
          <w:rFonts w:ascii="Arial" w:eastAsia="Calibri" w:hAnsi="Arial" w:cs="Arial"/>
          <w:b/>
          <w:sz w:val="24"/>
          <w:szCs w:val="24"/>
          <w:lang w:val="nl-NL"/>
        </w:rPr>
        <w:t xml:space="preserve">Figure 16. </w:t>
      </w:r>
      <w:r w:rsidRPr="00B02EE5">
        <w:rPr>
          <w:rFonts w:ascii="Arial" w:eastAsia="Calibri" w:hAnsi="Arial" w:cs="Arial"/>
          <w:b/>
          <w:bCs/>
          <w:iCs/>
          <w:sz w:val="24"/>
          <w:szCs w:val="24"/>
          <w:lang w:eastAsia="x-none"/>
        </w:rPr>
        <w:t xml:space="preserve">CPI growth rate in </w:t>
      </w:r>
      <w:r w:rsidRPr="00B02EE5">
        <w:rPr>
          <w:rFonts w:ascii="Arial" w:eastAsia="Calibri" w:hAnsi="Arial" w:cs="Arial"/>
          <w:b/>
          <w:bCs/>
          <w:iCs/>
          <w:sz w:val="24"/>
          <w:szCs w:val="24"/>
          <w:lang w:val="en-US" w:eastAsia="x-none"/>
        </w:rPr>
        <w:t>01/2025</w:t>
      </w:r>
      <w:r w:rsidRPr="00B02EE5">
        <w:rPr>
          <w:rFonts w:ascii="Arial" w:eastAsia="Calibri" w:hAnsi="Arial" w:cs="Arial"/>
          <w:b/>
          <w:bCs/>
          <w:iCs/>
          <w:sz w:val="24"/>
          <w:szCs w:val="24"/>
          <w:lang w:eastAsia="x-none"/>
        </w:rPr>
        <w:t xml:space="preserve"> compared to the previous month</w:t>
      </w:r>
    </w:p>
    <w:p w14:paraId="661A707F" w14:textId="77777777" w:rsidR="00B02EE5" w:rsidRPr="00B02EE5" w:rsidRDefault="00B02EE5" w:rsidP="00B02EE5">
      <w:pPr>
        <w:spacing w:after="120" w:line="264" w:lineRule="auto"/>
        <w:jc w:val="center"/>
        <w:rPr>
          <w:rFonts w:ascii="Arial" w:eastAsia="Calibri" w:hAnsi="Arial" w:cs="Arial"/>
          <w:b/>
          <w:bCs/>
          <w:iCs/>
          <w:sz w:val="24"/>
          <w:szCs w:val="24"/>
          <w:lang w:val="en-US" w:eastAsia="x-none"/>
        </w:rPr>
      </w:pPr>
      <w:r w:rsidRPr="00B02EE5">
        <w:rPr>
          <w:noProof/>
        </w:rPr>
        <w:drawing>
          <wp:inline distT="0" distB="0" distL="0" distR="0" wp14:anchorId="3716D430" wp14:editId="01D705B1">
            <wp:extent cx="5943600" cy="4578985"/>
            <wp:effectExtent l="0" t="0" r="0" b="12065"/>
            <wp:docPr id="715111791" name="Chart 1">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F5AA2B0" w14:textId="77777777" w:rsidR="00B02EE5" w:rsidRPr="00B02EE5" w:rsidRDefault="00B02EE5" w:rsidP="00B02EE5">
      <w:pPr>
        <w:jc w:val="center"/>
        <w:rPr>
          <w:rFonts w:ascii="Arial" w:eastAsia="Calibri" w:hAnsi="Arial" w:cs="Arial"/>
          <w:b/>
          <w:sz w:val="24"/>
          <w:szCs w:val="24"/>
          <w:lang w:val="nl-NL"/>
        </w:rPr>
      </w:pPr>
      <w:r w:rsidRPr="00B02EE5">
        <w:rPr>
          <w:noProof/>
          <w:lang w:val="en-US"/>
        </w:rPr>
        <w:t xml:space="preserve"> </w:t>
      </w:r>
    </w:p>
    <w:p w14:paraId="731FF8A6" w14:textId="77777777" w:rsidR="00B02EE5" w:rsidRPr="00B02EE5" w:rsidRDefault="00B02EE5" w:rsidP="00B02EE5">
      <w:pPr>
        <w:tabs>
          <w:tab w:val="left" w:pos="720"/>
        </w:tabs>
        <w:ind w:right="142"/>
        <w:jc w:val="center"/>
        <w:rPr>
          <w:rFonts w:ascii="Arial" w:hAnsi="Arial" w:cs="Arial"/>
          <w:b/>
          <w:sz w:val="24"/>
          <w:szCs w:val="24"/>
          <w:lang w:val="nl-NL"/>
        </w:rPr>
      </w:pPr>
    </w:p>
    <w:p w14:paraId="2C92F9C8" w14:textId="77777777" w:rsidR="00B02EE5" w:rsidRPr="00B02EE5" w:rsidRDefault="00B02EE5" w:rsidP="00B02EE5">
      <w:pPr>
        <w:tabs>
          <w:tab w:val="left" w:pos="993"/>
        </w:tabs>
        <w:spacing w:before="120" w:after="120" w:line="288" w:lineRule="auto"/>
        <w:ind w:firstLine="567"/>
        <w:jc w:val="both"/>
        <w:rPr>
          <w:rFonts w:eastAsia="Calibri"/>
          <w:lang w:val="nl-NL"/>
        </w:rPr>
      </w:pPr>
      <w:r w:rsidRPr="00B02EE5">
        <w:rPr>
          <w:rFonts w:eastAsia="Calibri"/>
          <w:lang w:val="nl-NL"/>
        </w:rPr>
        <w:lastRenderedPageBreak/>
        <w:t xml:space="preserve">In the 0.98% increase in CPI in January 2025 compared to the previous month, there were 09 groups of goods and services with increased price indexes and 02 groups of goods with decreased price indexes. </w:t>
      </w:r>
    </w:p>
    <w:p w14:paraId="1D8542B4" w14:textId="77777777" w:rsidR="00B02EE5" w:rsidRPr="00B02EE5" w:rsidRDefault="00B02EE5" w:rsidP="00B02EE5">
      <w:pPr>
        <w:tabs>
          <w:tab w:val="left" w:pos="993"/>
        </w:tabs>
        <w:spacing w:before="120" w:after="120" w:line="288" w:lineRule="auto"/>
        <w:ind w:firstLine="567"/>
        <w:jc w:val="both"/>
        <w:rPr>
          <w:rFonts w:eastAsia="Calibri"/>
          <w:lang w:val="nl-NL"/>
        </w:rPr>
      </w:pPr>
      <w:r w:rsidRPr="00B02EE5">
        <w:rPr>
          <w:rFonts w:eastAsia="Calibri"/>
          <w:lang w:val="nl-NL"/>
        </w:rPr>
        <w:t>(1) The nine groups of goods and services with increased price indexes include:</w:t>
      </w:r>
    </w:p>
    <w:p w14:paraId="1C5CAD17" w14:textId="77777777" w:rsidR="00B02EE5" w:rsidRPr="00B02EE5" w:rsidRDefault="00B02EE5" w:rsidP="00B02EE5">
      <w:pPr>
        <w:spacing w:before="120" w:after="120" w:line="288" w:lineRule="auto"/>
        <w:ind w:firstLine="567"/>
        <w:jc w:val="both"/>
        <w:rPr>
          <w:color w:val="000000"/>
          <w:lang w:val="en-US"/>
        </w:rPr>
      </w:pPr>
      <w:r w:rsidRPr="00B02EE5">
        <w:rPr>
          <w:i/>
          <w:iCs/>
          <w:color w:val="000000"/>
          <w:lang w:val="en-US"/>
        </w:rPr>
        <w:t>- The group of medicines and health care services</w:t>
      </w:r>
      <w:r w:rsidRPr="00B02EE5">
        <w:rPr>
          <w:color w:val="000000"/>
          <w:lang w:val="en-US"/>
        </w:rPr>
        <w:t xml:space="preserve"> increased the highest with an increase of 9.47% compared to the previous month, causing the general CPI to increase by 0.51 percentage points. In particular, the price index of the medical services group increased by 12.57% due to some localities implementing the application of new medical service prices according to Circular No. 21/2024/TT-BYT dated 17/10/2024 of the Ministry of Health stipulating the method of pricing medical examination and treatment services. In addition, the weather is changing to winter, the temperature difference between day and night is large, so the flu and respiratory diseases increase, the demand for pain relievers, antipyretics, respiratory drugs, vitamins and minerals of the people increases. Specifically, the price of vitamin and mineral drugs increased by 0.34%; digestive drugs increased by 0.16%; drugs affecting the respiratory tract increased by 0.12%.</w:t>
      </w:r>
    </w:p>
    <w:p w14:paraId="2A68F996" w14:textId="77777777" w:rsidR="00B02EE5" w:rsidRPr="00B02EE5" w:rsidRDefault="00B02EE5" w:rsidP="00B02EE5">
      <w:pPr>
        <w:widowControl w:val="0"/>
        <w:spacing w:before="120" w:after="120" w:line="288" w:lineRule="auto"/>
        <w:ind w:firstLine="567"/>
        <w:jc w:val="both"/>
        <w:rPr>
          <w:color w:val="000000"/>
          <w:lang w:val="en-US"/>
        </w:rPr>
      </w:pPr>
      <w:r w:rsidRPr="00B02EE5">
        <w:rPr>
          <w:i/>
          <w:iCs/>
          <w:color w:val="000000"/>
          <w:lang w:val="en-US"/>
        </w:rPr>
        <w:t>- The transportation group</w:t>
      </w:r>
      <w:r w:rsidRPr="00B02EE5">
        <w:rPr>
          <w:color w:val="000000"/>
          <w:lang w:val="en-US"/>
        </w:rPr>
        <w:t xml:space="preserve"> increased by 0.95% (making the general CPI increase by 0.09 percentage points), of which: People's travel demand increased at the end of the year, causing the price of passenger transport by air to increase by 11.08%; passenger transport by road and passenger transport by waterway both increased by 1.73%; passenger transport by rail increased by 1.71%; passenger transport by bus increased by 0.24%. The gasoline price index increased by 2.02%, the diesel price index increased by 4.99% due to the impact of domestic gasoline and oil price adjustments. The price of auto spare parts increased by 0.66%; motorcycle tires and tubes increased by 0.28%; other motorcycle spare parts increased by 0.4%. Car and self-driving motorcycle rental services increased by 0.68%; vehicle maintenance services increased by 0.56%, car wash and tire pumping services increased by 0.48% due to increased labor costs and demand at the end of the year; driving tuition fees increased by 0.13%. On the contrary, new car prices decreased by 0.26% compared to the previous month due to car manufacturers applying promotional programs to stimulate consumer demand.</w:t>
      </w:r>
    </w:p>
    <w:p w14:paraId="183BCC1B" w14:textId="77777777" w:rsidR="00B02EE5" w:rsidRPr="00B02EE5" w:rsidRDefault="00B02EE5" w:rsidP="00B02EE5">
      <w:pPr>
        <w:widowControl w:val="0"/>
        <w:spacing w:before="120" w:after="120" w:line="288" w:lineRule="auto"/>
        <w:ind w:firstLine="567"/>
        <w:jc w:val="both"/>
        <w:rPr>
          <w:color w:val="000000"/>
          <w:lang w:val="en-US"/>
        </w:rPr>
      </w:pPr>
      <w:r w:rsidRPr="00B02EE5">
        <w:rPr>
          <w:i/>
          <w:iCs/>
          <w:color w:val="000000"/>
          <w:lang w:val="en-US"/>
        </w:rPr>
        <w:t>- The food and foodstuff group</w:t>
      </w:r>
      <w:r w:rsidRPr="00B02EE5">
        <w:rPr>
          <w:color w:val="000000"/>
          <w:lang w:val="en-US"/>
        </w:rPr>
        <w:t xml:space="preserve"> increased by 0.74% (causing the general CPI to increase by 0.25 percentage points), of which: Food increased by 0.3%</w:t>
      </w:r>
      <w:r w:rsidRPr="00B02EE5">
        <w:rPr>
          <w:rFonts w:eastAsia="Calibri"/>
          <w:vertAlign w:val="superscript"/>
          <w:lang w:val="nl-NL"/>
        </w:rPr>
        <w:footnoteReference w:id="19"/>
      </w:r>
      <w:r w:rsidRPr="00B02EE5">
        <w:rPr>
          <w:color w:val="000000"/>
          <w:lang w:val="en-US"/>
        </w:rPr>
        <w:t xml:space="preserve">; </w:t>
      </w:r>
      <w:r w:rsidRPr="00B02EE5">
        <w:rPr>
          <w:color w:val="000000"/>
          <w:lang w:val="en-US"/>
        </w:rPr>
        <w:lastRenderedPageBreak/>
        <w:t>foodstuff increased by 0.97%</w:t>
      </w:r>
      <w:r w:rsidRPr="00B02EE5">
        <w:rPr>
          <w:rFonts w:eastAsia="Calibri"/>
          <w:vertAlign w:val="superscript"/>
          <w:lang w:val="nl-NL"/>
        </w:rPr>
        <w:footnoteReference w:id="20"/>
      </w:r>
      <w:r w:rsidRPr="00B02EE5">
        <w:rPr>
          <w:color w:val="000000"/>
          <w:lang w:val="en-US"/>
        </w:rPr>
        <w:t xml:space="preserve"> (causing the general CPI to increase by 0.21 percentage points); eating out increased by 0.33%</w:t>
      </w:r>
      <w:r w:rsidRPr="00B02EE5">
        <w:rPr>
          <w:rFonts w:eastAsia="Calibri"/>
          <w:vertAlign w:val="superscript"/>
          <w:lang w:val="nl-NL"/>
        </w:rPr>
        <w:footnoteReference w:id="21"/>
      </w:r>
      <w:r w:rsidRPr="00B02EE5">
        <w:rPr>
          <w:color w:val="000000"/>
          <w:lang w:val="en-US"/>
        </w:rPr>
        <w:t>.</w:t>
      </w:r>
    </w:p>
    <w:p w14:paraId="4911EEC4" w14:textId="77777777" w:rsidR="00B02EE5" w:rsidRPr="00B02EE5" w:rsidRDefault="00B02EE5" w:rsidP="00B02EE5">
      <w:pPr>
        <w:spacing w:before="120" w:after="120" w:line="288" w:lineRule="auto"/>
        <w:ind w:firstLine="567"/>
        <w:jc w:val="both"/>
        <w:rPr>
          <w:rFonts w:eastAsia="Calibri"/>
          <w:lang w:val="nl-NL"/>
        </w:rPr>
      </w:pPr>
      <w:r w:rsidRPr="00B02EE5">
        <w:rPr>
          <w:rFonts w:eastAsia="Calibri"/>
          <w:i/>
          <w:iCs/>
          <w:lang w:val="nl-NL"/>
        </w:rPr>
        <w:t>- Beverages and cigarette group</w:t>
      </w:r>
      <w:r w:rsidRPr="00B02EE5">
        <w:rPr>
          <w:rFonts w:eastAsia="Calibri"/>
          <w:lang w:val="nl-NL"/>
        </w:rPr>
        <w:t xml:space="preserve"> increased by 0.69% due to increased demand for consumption and use as gifts during the Lunar New Year, causing alcohol prices to increase by 0.8%; cigarettes increased by 0.7%; non-alcoholic beverages increased by 0.36%.</w:t>
      </w:r>
    </w:p>
    <w:p w14:paraId="5001AF91" w14:textId="77777777" w:rsidR="00B02EE5" w:rsidRPr="00B02EE5" w:rsidRDefault="00B02EE5" w:rsidP="00B02EE5">
      <w:pPr>
        <w:spacing w:before="120" w:after="120" w:line="288" w:lineRule="auto"/>
        <w:ind w:firstLine="567"/>
        <w:jc w:val="both"/>
        <w:rPr>
          <w:rFonts w:eastAsia="Calibri"/>
          <w:lang w:val="nl-NL"/>
        </w:rPr>
      </w:pPr>
      <w:r w:rsidRPr="00B02EE5">
        <w:rPr>
          <w:rFonts w:eastAsia="Calibri"/>
          <w:i/>
          <w:iCs/>
          <w:lang w:val="nl-NL"/>
        </w:rPr>
        <w:t>- The group of other goods and services</w:t>
      </w:r>
      <w:r w:rsidRPr="00B02EE5">
        <w:rPr>
          <w:rFonts w:eastAsia="Calibri"/>
          <w:lang w:val="nl-NL"/>
        </w:rPr>
        <w:t xml:space="preserve"> increased by 0.51%, mainly increasing prices in some items: Hair cutting and shampooing services increased by 1.91%; jewelry group increased by 0.95%; wedding services increased by 0.56%; worship items increased by 0.42%; watches increased by 0.3%; personal care services increased by 0.11%.</w:t>
      </w:r>
    </w:p>
    <w:p w14:paraId="6BB929C3" w14:textId="77777777" w:rsidR="00B02EE5" w:rsidRPr="00B02EE5" w:rsidRDefault="00B02EE5" w:rsidP="00B02EE5">
      <w:pPr>
        <w:spacing w:before="120" w:after="120" w:line="288" w:lineRule="auto"/>
        <w:ind w:left="57" w:firstLine="510"/>
        <w:jc w:val="both"/>
        <w:rPr>
          <w:color w:val="000000"/>
          <w:lang w:val="en-US"/>
        </w:rPr>
      </w:pPr>
      <w:r w:rsidRPr="00B02EE5">
        <w:rPr>
          <w:i/>
          <w:iCs/>
          <w:color w:val="000000"/>
          <w:lang w:val="en-US"/>
        </w:rPr>
        <w:t>- The garment, hat and footwear group</w:t>
      </w:r>
      <w:r w:rsidRPr="00B02EE5">
        <w:rPr>
          <w:color w:val="000000"/>
          <w:lang w:val="en-US"/>
        </w:rPr>
        <w:t xml:space="preserve"> increased by 0.38% due to increased labor costs, material costs, demand for winter clothing and preparation for the Lunar New Year. Of which, other garments increased by 0.65% compared to the previous month; garment services increased by 0.63%; ready-made clothes increased by 0.4%; footwear services increased by 0.37%; fabrics of all kinds increased by 0.3%; footwear increased by 0.24%; hats increased by 0.17%.</w:t>
      </w:r>
    </w:p>
    <w:p w14:paraId="398400BF" w14:textId="77777777" w:rsidR="00B02EE5" w:rsidRPr="00B02EE5" w:rsidRDefault="00B02EE5" w:rsidP="00B02EE5">
      <w:pPr>
        <w:spacing w:before="120" w:after="120" w:line="288" w:lineRule="auto"/>
        <w:ind w:firstLine="567"/>
        <w:jc w:val="both"/>
        <w:rPr>
          <w:color w:val="000000"/>
        </w:rPr>
      </w:pPr>
      <w:r w:rsidRPr="00B02EE5">
        <w:rPr>
          <w:i/>
          <w:iCs/>
          <w:color w:val="000000"/>
        </w:rPr>
        <w:t>- The housing, electricity, water, fuel and construction materials group</w:t>
      </w:r>
      <w:r w:rsidRPr="00B02EE5">
        <w:rPr>
          <w:color w:val="000000"/>
        </w:rPr>
        <w:t xml:space="preserve"> increased by 0.35% (increasing the overall CPI by 0.07 percentage points), mainly due to price increases in the following items: House rental prices increased by 0.84% ​​due to increased demand for renting apartments and boarding houses. In addition, the recent high real estate prices have caused rental businesses to increase prices to match investment costs; housing repair service prices increased by 0.74%; prices of other housing-related services increased by 0.27% due to increased demand at the end of the year; prices of housing maintenance materials increased by 0.17% due to increased cement and steel prices according to consumer demand. On the contrary, household electricity prices decreased by 0.51% compared to the previous month; household water prices decreased by </w:t>
      </w:r>
      <w:r w:rsidRPr="00B02EE5">
        <w:rPr>
          <w:color w:val="000000"/>
        </w:rPr>
        <w:lastRenderedPageBreak/>
        <w:t>0.29%</w:t>
      </w:r>
      <w:r w:rsidRPr="00B02EE5">
        <w:rPr>
          <w:iCs/>
          <w:color w:val="000000"/>
          <w:spacing w:val="-2"/>
          <w:vertAlign w:val="superscript"/>
          <w:lang w:val="en-US"/>
        </w:rPr>
        <w:footnoteReference w:id="22"/>
      </w:r>
      <w:r w:rsidRPr="00B02EE5">
        <w:rPr>
          <w:color w:val="000000"/>
        </w:rPr>
        <w:t xml:space="preserve"> due to reduced consumer demand in the winter. Gas price decreased by 1.26% because from January 1, 2025, domestic gas price was adjusted down by 7,200 VND/12 kg cylinder after world gas price decreased by 12.5 USD/ton to only 620 USD/ton.</w:t>
      </w:r>
    </w:p>
    <w:p w14:paraId="181D703D" w14:textId="77777777" w:rsidR="00B02EE5" w:rsidRPr="00B02EE5" w:rsidRDefault="00B02EE5" w:rsidP="00B02EE5">
      <w:pPr>
        <w:shd w:val="clear" w:color="auto" w:fill="FFFFFF"/>
        <w:spacing w:before="120" w:after="120" w:line="288" w:lineRule="auto"/>
        <w:ind w:firstLine="562"/>
        <w:jc w:val="both"/>
        <w:rPr>
          <w:color w:val="000000"/>
          <w:lang w:val="en-US"/>
        </w:rPr>
      </w:pPr>
      <w:r w:rsidRPr="00B02EE5">
        <w:rPr>
          <w:i/>
          <w:iCs/>
          <w:color w:val="000000"/>
          <w:lang w:val="en-US"/>
        </w:rPr>
        <w:t>- The group of household appliances and equipment</w:t>
      </w:r>
      <w:r w:rsidRPr="00B02EE5">
        <w:rPr>
          <w:color w:val="000000"/>
          <w:lang w:val="en-US"/>
        </w:rPr>
        <w:t xml:space="preserve"> increased by 0.31% due to increased consumer demand during the wedding season and the Lunar New Year. Of which, prices of household services increased by 1.73%; prices of blenders and fruit juicers increased by 0.8%; glass, ceramic and porcelain products increased by 0.66%; plastic and rubber products increased by 0.62%; electric lighting increased by 0.35%; beds, wardrobes, tables and chairs increased by 0.29%; non-electric and gas stoves and air conditioners increased by 0.24%; metal products increased by 0.17%; electrical appliances increased by 0.14%.</w:t>
      </w:r>
    </w:p>
    <w:p w14:paraId="3C678743" w14:textId="77777777" w:rsidR="00B02EE5" w:rsidRPr="00B02EE5" w:rsidRDefault="00B02EE5" w:rsidP="00B02EE5">
      <w:pPr>
        <w:spacing w:before="120" w:after="120" w:line="288" w:lineRule="auto"/>
        <w:ind w:firstLine="567"/>
        <w:jc w:val="both"/>
        <w:rPr>
          <w:color w:val="000000"/>
          <w:lang w:val="en-US"/>
        </w:rPr>
      </w:pPr>
      <w:r w:rsidRPr="00B02EE5">
        <w:rPr>
          <w:i/>
          <w:iCs/>
          <w:color w:val="000000"/>
          <w:lang w:val="en-US"/>
        </w:rPr>
        <w:t>- The culture, entertainment and tourism group</w:t>
      </w:r>
      <w:r w:rsidRPr="00B02EE5">
        <w:rPr>
          <w:color w:val="000000"/>
          <w:lang w:val="en-US"/>
        </w:rPr>
        <w:t xml:space="preserve"> increased by 0.27%, mainly focusing on the following items: Prices of flowers, ornamental plants and ornamental objects increased by 1.59% due to increased demand during the Lunar New Year 2025; package tours increased by 0.64% (domestic tourism increased by 0.52%; international tourism increased by 0.99%) due to increased travel demand of people and service costs; hotels and guesthouses increased by 0.43%; books, newspapers and magazines of all kinds increased by 0.12%.</w:t>
      </w:r>
    </w:p>
    <w:p w14:paraId="6ABCEA88" w14:textId="77777777" w:rsidR="00B02EE5" w:rsidRPr="00B02EE5" w:rsidRDefault="00B02EE5" w:rsidP="00B02EE5">
      <w:pPr>
        <w:spacing w:before="120" w:after="120" w:line="288" w:lineRule="auto"/>
        <w:ind w:firstLine="567"/>
        <w:jc w:val="both"/>
        <w:rPr>
          <w:color w:val="000000"/>
          <w:lang w:val="en-US"/>
        </w:rPr>
      </w:pPr>
      <w:r w:rsidRPr="00B02EE5">
        <w:rPr>
          <w:color w:val="000000"/>
          <w:lang w:val="en-US"/>
        </w:rPr>
        <w:t>(2) Two groups of goods and services with decreasing price indexes include:</w:t>
      </w:r>
    </w:p>
    <w:p w14:paraId="6C7E5166" w14:textId="77777777" w:rsidR="00B02EE5" w:rsidRPr="00B02EE5" w:rsidRDefault="00B02EE5" w:rsidP="00B02EE5">
      <w:pPr>
        <w:spacing w:before="120" w:after="120" w:line="288" w:lineRule="auto"/>
        <w:ind w:firstLine="567"/>
        <w:jc w:val="both"/>
        <w:rPr>
          <w:bCs/>
          <w:lang w:val="en-US"/>
        </w:rPr>
      </w:pPr>
      <w:bookmarkStart w:id="2" w:name="_Hlk67815215"/>
      <w:r w:rsidRPr="00B02EE5">
        <w:rPr>
          <w:bCs/>
          <w:i/>
          <w:iCs/>
          <w:lang w:val="en-US"/>
        </w:rPr>
        <w:t>- The education group</w:t>
      </w:r>
      <w:r w:rsidRPr="00B02EE5">
        <w:rPr>
          <w:bCs/>
          <w:lang w:val="en-US"/>
        </w:rPr>
        <w:t xml:space="preserve"> decreased slightly by 0.04%, of which educational services decreased by 0.05% mainly due to Ho Chi Minh City implementing the Resolution of the People's Council on special policies to support tuition fees for public and non-public junior high school students and continuing education students in junior high school in the 2024-2025 school year.</w:t>
      </w:r>
    </w:p>
    <w:p w14:paraId="4505A8C5" w14:textId="77777777" w:rsidR="00B02EE5" w:rsidRPr="00B02EE5" w:rsidRDefault="00B02EE5" w:rsidP="00B02EE5">
      <w:pPr>
        <w:spacing w:before="120" w:after="120" w:line="288" w:lineRule="auto"/>
        <w:ind w:firstLine="567"/>
        <w:jc w:val="both"/>
        <w:rPr>
          <w:color w:val="000000"/>
          <w:lang w:val="en-US"/>
        </w:rPr>
      </w:pPr>
      <w:r w:rsidRPr="00B02EE5">
        <w:rPr>
          <w:i/>
          <w:iCs/>
          <w:color w:val="000000"/>
          <w:lang w:val="en-US"/>
        </w:rPr>
        <w:t>- The post and telecommunications group</w:t>
      </w:r>
      <w:r w:rsidRPr="00B02EE5">
        <w:rPr>
          <w:color w:val="000000"/>
          <w:lang w:val="en-US"/>
        </w:rPr>
        <w:t xml:space="preserve"> decreased by 0.12%, of which the price of smart mobile phones and tablets decreased by 0.74%; accessories for smart mobile phones and tablets decreased by 0.72%; regular mobile phones decreased by 0.35%; landline phones decreased by 0.02%; and the price of phone repair increased by 0.27%.</w:t>
      </w:r>
    </w:p>
    <w:bookmarkEnd w:id="2"/>
    <w:p w14:paraId="05286B02" w14:textId="77777777" w:rsidR="00B02EE5" w:rsidRPr="00B02EE5" w:rsidRDefault="00B02EE5" w:rsidP="00B02EE5">
      <w:pPr>
        <w:spacing w:before="120" w:after="120" w:line="288" w:lineRule="auto"/>
        <w:ind w:firstLine="567"/>
        <w:jc w:val="both"/>
        <w:rPr>
          <w:color w:val="000000"/>
          <w:spacing w:val="-2"/>
          <w:lang w:val="en-US"/>
        </w:rPr>
      </w:pPr>
      <w:r w:rsidRPr="00B02EE5">
        <w:rPr>
          <w:color w:val="000000"/>
          <w:spacing w:val="-2"/>
          <w:lang w:val="en-US"/>
        </w:rPr>
        <w:t>Core inflation</w:t>
      </w:r>
      <w:r w:rsidRPr="00B02EE5">
        <w:rPr>
          <w:rFonts w:eastAsia="Calibri"/>
          <w:sz w:val="24"/>
          <w:szCs w:val="24"/>
          <w:vertAlign w:val="superscript"/>
          <w:lang w:val="x-none" w:eastAsia="x-none"/>
        </w:rPr>
        <w:footnoteReference w:id="23"/>
      </w:r>
      <w:r w:rsidRPr="00B02EE5">
        <w:rPr>
          <w:rFonts w:eastAsia="Calibri"/>
          <w:color w:val="000000"/>
          <w:lang w:val="en-US"/>
        </w:rPr>
        <w:t xml:space="preserve"> </w:t>
      </w:r>
      <w:r w:rsidRPr="00B02EE5">
        <w:rPr>
          <w:color w:val="000000"/>
          <w:spacing w:val="-2"/>
          <w:lang w:val="en-US"/>
        </w:rPr>
        <w:t xml:space="preserve">in January 2025 increased by 0.42% compared to the previous month and by 3.07% compared to the same period last year. Core inflation increased by 3.07% compared to the same period last year, lower than the average </w:t>
      </w:r>
      <w:r w:rsidRPr="00B02EE5">
        <w:rPr>
          <w:color w:val="000000"/>
          <w:spacing w:val="-2"/>
          <w:lang w:val="en-US"/>
        </w:rPr>
        <w:lastRenderedPageBreak/>
        <w:t>CPI (up 3.63%), mainly due to the prices of food, foodstuffs, electricity and medical services, which are factors that increase the CPI but are excluded from the list of core inflation calculations.</w:t>
      </w:r>
    </w:p>
    <w:p w14:paraId="7A9DCC3E" w14:textId="77777777" w:rsidR="00B02EE5" w:rsidRPr="00B02EE5" w:rsidRDefault="00B02EE5" w:rsidP="00B02EE5">
      <w:pPr>
        <w:spacing w:before="120" w:after="120" w:line="288" w:lineRule="auto"/>
        <w:ind w:firstLine="567"/>
        <w:jc w:val="both"/>
        <w:rPr>
          <w:spacing w:val="-2"/>
          <w:lang w:val="en-US"/>
        </w:rPr>
      </w:pPr>
      <w:r w:rsidRPr="00B02EE5">
        <w:rPr>
          <w:spacing w:val="-2"/>
          <w:lang w:val="en-US"/>
        </w:rPr>
        <w:t>Domestic gold prices fluctuate in the same direction as world gold prices. As of January 27, 2025, the average world gold price was at 2,719.63 USD/ounce, up 2.26% compared to December 2024 due to investors' concerns about rising global inflation as some policies of US President Donald Trump, including imposing high tariffs on imports from China, Mexico and Canada, have increased the attractiveness of gold. Domestic demand for gold purchases before the Lunar New Year increased, causing the gold price index in January 2025 to increase by 1.03% compared to the previous month; up 29.13% compared to the same period last year.</w:t>
      </w:r>
    </w:p>
    <w:p w14:paraId="39C78A71" w14:textId="6C851F03" w:rsidR="00B02EE5" w:rsidRPr="00B02EE5" w:rsidRDefault="00B02EE5" w:rsidP="00B02EE5">
      <w:pPr>
        <w:spacing w:before="120" w:after="120" w:line="288" w:lineRule="auto"/>
        <w:ind w:firstLine="567"/>
        <w:jc w:val="both"/>
        <w:rPr>
          <w:spacing w:val="-2"/>
          <w:lang w:val="en-US"/>
        </w:rPr>
      </w:pPr>
      <w:r w:rsidRPr="00B02EE5">
        <w:rPr>
          <w:spacing w:val="-2"/>
          <w:lang w:val="en-US"/>
        </w:rPr>
        <w:t>As of 27/01/2025, the US dollar price index in the international market reached 108.57 points, up 1.49% over the previous month due to the increase in US government bond yields. Domestically, the average US dollar price in the free market was around 25,518 VND/USD. The US dollar price index in January 2025 increased by 0.21% over the previous month; up 3.98% over the same period last year.</w:t>
      </w:r>
    </w:p>
    <w:p w14:paraId="52D04ED4" w14:textId="77777777" w:rsidR="00CE02B0" w:rsidRPr="00D11296" w:rsidRDefault="00CE02B0" w:rsidP="00CE02B0">
      <w:pPr>
        <w:spacing w:after="40" w:line="276" w:lineRule="auto"/>
        <w:ind w:firstLine="567"/>
        <w:jc w:val="both"/>
        <w:rPr>
          <w:b/>
          <w:bCs/>
          <w:i/>
          <w:iCs/>
          <w:lang w:val="fr-FR"/>
        </w:rPr>
      </w:pPr>
      <w:r w:rsidRPr="00D11296">
        <w:rPr>
          <w:b/>
          <w:bCs/>
          <w:i/>
          <w:iCs/>
          <w:lang w:val="fr-FR"/>
        </w:rPr>
        <w:t xml:space="preserve">d) </w:t>
      </w:r>
      <w:r w:rsidRPr="002C53C8">
        <w:rPr>
          <w:b/>
          <w:bCs/>
          <w:i/>
          <w:iCs/>
        </w:rPr>
        <w:t>Transport</w:t>
      </w:r>
    </w:p>
    <w:p w14:paraId="1C6CFA54" w14:textId="77777777" w:rsidR="00CE02B0" w:rsidRDefault="00CE02B0" w:rsidP="00CE02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76" w:lineRule="auto"/>
        <w:ind w:firstLine="567"/>
        <w:jc w:val="both"/>
        <w:rPr>
          <w:rStyle w:val="y2iqfc"/>
          <w:i/>
          <w:color w:val="202124"/>
        </w:rPr>
      </w:pPr>
      <w:r w:rsidRPr="004D4F86">
        <w:rPr>
          <w:rStyle w:val="y2iqfc"/>
          <w:i/>
          <w:color w:val="202124"/>
        </w:rPr>
        <w:t>Transportation activities in January 2024 are quite exciting to meet the travel needs of passengers and transport goods for the upcoming Lunar New Year</w:t>
      </w:r>
      <w:r>
        <w:rPr>
          <w:rStyle w:val="y2iqfc"/>
          <w:i/>
          <w:color w:val="202124"/>
          <w:lang w:val="en-US"/>
        </w:rPr>
        <w:t xml:space="preserve">. </w:t>
      </w:r>
      <w:r w:rsidRPr="00A17AEF">
        <w:rPr>
          <w:rStyle w:val="y2iqfc"/>
          <w:i/>
          <w:color w:val="202124"/>
        </w:rPr>
        <w:t>Compared to the same period last year</w:t>
      </w:r>
      <w:r>
        <w:rPr>
          <w:rStyle w:val="y2iqfc"/>
          <w:i/>
          <w:color w:val="202124"/>
        </w:rPr>
        <w:t>,</w:t>
      </w:r>
      <w:r w:rsidRPr="00A17AEF">
        <w:rPr>
          <w:rStyle w:val="y2iqfc"/>
          <w:i/>
          <w:color w:val="202124"/>
        </w:rPr>
        <w:t xml:space="preserve"> passenger transport increased </w:t>
      </w:r>
      <w:r>
        <w:rPr>
          <w:rStyle w:val="y2iqfc"/>
          <w:i/>
          <w:color w:val="202124"/>
        </w:rPr>
        <w:t xml:space="preserve">by </w:t>
      </w:r>
      <w:r w:rsidRPr="004D4F86">
        <w:rPr>
          <w:rStyle w:val="y2iqfc"/>
          <w:i/>
          <w:color w:val="202124"/>
        </w:rPr>
        <w:t>5</w:t>
      </w:r>
      <w:r>
        <w:rPr>
          <w:rStyle w:val="y2iqfc"/>
          <w:i/>
          <w:color w:val="202124"/>
          <w:lang w:val="en-US"/>
        </w:rPr>
        <w:t>.</w:t>
      </w:r>
      <w:r w:rsidRPr="004D4F86">
        <w:rPr>
          <w:rStyle w:val="y2iqfc"/>
          <w:i/>
          <w:color w:val="202124"/>
        </w:rPr>
        <w:t xml:space="preserve">5% </w:t>
      </w:r>
      <w:r w:rsidRPr="00A17AEF">
        <w:rPr>
          <w:rStyle w:val="y2iqfc"/>
          <w:i/>
          <w:color w:val="202124"/>
        </w:rPr>
        <w:t xml:space="preserve">in </w:t>
      </w:r>
      <w:r w:rsidRPr="00E34057">
        <w:rPr>
          <w:i/>
          <w:iCs/>
        </w:rPr>
        <w:t>passengers carried</w:t>
      </w:r>
      <w:r w:rsidRPr="00A17AEF">
        <w:rPr>
          <w:rStyle w:val="y2iqfc"/>
          <w:i/>
          <w:color w:val="202124"/>
        </w:rPr>
        <w:t xml:space="preserve"> and </w:t>
      </w:r>
      <w:r w:rsidRPr="004D4F86">
        <w:rPr>
          <w:rStyle w:val="y2iqfc"/>
          <w:i/>
          <w:color w:val="202124"/>
        </w:rPr>
        <w:t>7</w:t>
      </w:r>
      <w:r>
        <w:rPr>
          <w:rStyle w:val="y2iqfc"/>
          <w:i/>
          <w:color w:val="202124"/>
          <w:lang w:val="en-US"/>
        </w:rPr>
        <w:t>.</w:t>
      </w:r>
      <w:r w:rsidRPr="004D4F86">
        <w:rPr>
          <w:rStyle w:val="y2iqfc"/>
          <w:i/>
          <w:color w:val="202124"/>
        </w:rPr>
        <w:t xml:space="preserve">4% </w:t>
      </w:r>
      <w:r w:rsidRPr="00A17AEF">
        <w:rPr>
          <w:rStyle w:val="y2iqfc"/>
          <w:i/>
          <w:color w:val="202124"/>
        </w:rPr>
        <w:t xml:space="preserve">in </w:t>
      </w:r>
      <w:r w:rsidRPr="00E34057">
        <w:rPr>
          <w:i/>
          <w:iCs/>
        </w:rPr>
        <w:t xml:space="preserve">passengers </w:t>
      </w:r>
      <w:r>
        <w:rPr>
          <w:i/>
          <w:iCs/>
        </w:rPr>
        <w:t>traffic</w:t>
      </w:r>
      <w:r w:rsidRPr="00A17AEF">
        <w:rPr>
          <w:rStyle w:val="y2iqfc"/>
          <w:i/>
          <w:color w:val="202124"/>
        </w:rPr>
        <w:t>; freight transport</w:t>
      </w:r>
      <w:r>
        <w:rPr>
          <w:rStyle w:val="y2iqfc"/>
          <w:i/>
          <w:color w:val="202124"/>
        </w:rPr>
        <w:t xml:space="preserve"> </w:t>
      </w:r>
      <w:r w:rsidRPr="00A17AEF">
        <w:rPr>
          <w:rStyle w:val="y2iqfc"/>
          <w:i/>
          <w:color w:val="202124"/>
        </w:rPr>
        <w:t xml:space="preserve">increased by </w:t>
      </w:r>
      <w:r w:rsidRPr="004D4F86">
        <w:rPr>
          <w:rStyle w:val="y2iqfc"/>
          <w:i/>
          <w:color w:val="202124"/>
        </w:rPr>
        <w:t>11</w:t>
      </w:r>
      <w:r>
        <w:rPr>
          <w:rStyle w:val="y2iqfc"/>
          <w:i/>
          <w:color w:val="202124"/>
          <w:lang w:val="en-US"/>
        </w:rPr>
        <w:t>.</w:t>
      </w:r>
      <w:r w:rsidRPr="004D4F86">
        <w:rPr>
          <w:rStyle w:val="y2iqfc"/>
          <w:i/>
          <w:color w:val="202124"/>
        </w:rPr>
        <w:t xml:space="preserve">5% </w:t>
      </w:r>
      <w:r w:rsidRPr="00A17AEF">
        <w:rPr>
          <w:rStyle w:val="y2iqfc"/>
          <w:i/>
          <w:color w:val="202124"/>
        </w:rPr>
        <w:t xml:space="preserve">in </w:t>
      </w:r>
      <w:r w:rsidRPr="00E34057">
        <w:rPr>
          <w:i/>
          <w:iCs/>
        </w:rPr>
        <w:t>freight carried</w:t>
      </w:r>
      <w:r w:rsidRPr="00A17AEF">
        <w:rPr>
          <w:rStyle w:val="y2iqfc"/>
          <w:i/>
          <w:color w:val="202124"/>
        </w:rPr>
        <w:t xml:space="preserve"> and </w:t>
      </w:r>
      <w:r w:rsidRPr="004D4F86">
        <w:rPr>
          <w:rStyle w:val="y2iqfc"/>
          <w:i/>
          <w:color w:val="202124"/>
        </w:rPr>
        <w:t>13</w:t>
      </w:r>
      <w:r>
        <w:rPr>
          <w:rStyle w:val="y2iqfc"/>
          <w:i/>
          <w:color w:val="202124"/>
          <w:lang w:val="en-US"/>
        </w:rPr>
        <w:t>.</w:t>
      </w:r>
      <w:r w:rsidRPr="004D4F86">
        <w:rPr>
          <w:rStyle w:val="y2iqfc"/>
          <w:i/>
          <w:color w:val="202124"/>
        </w:rPr>
        <w:t xml:space="preserve">8% </w:t>
      </w:r>
      <w:r w:rsidRPr="00A17AEF">
        <w:rPr>
          <w:rStyle w:val="y2iqfc"/>
          <w:i/>
          <w:color w:val="202124"/>
        </w:rPr>
        <w:t xml:space="preserve">in </w:t>
      </w:r>
      <w:r w:rsidRPr="00E34057">
        <w:rPr>
          <w:i/>
          <w:iCs/>
        </w:rPr>
        <w:t xml:space="preserve">freight </w:t>
      </w:r>
      <w:r>
        <w:rPr>
          <w:i/>
          <w:iCs/>
        </w:rPr>
        <w:t>traffic</w:t>
      </w:r>
      <w:r w:rsidRPr="00A17AEF">
        <w:rPr>
          <w:rStyle w:val="y2iqfc"/>
          <w:i/>
          <w:color w:val="202124"/>
        </w:rPr>
        <w:t>.</w:t>
      </w:r>
    </w:p>
    <w:p w14:paraId="1BCC1DCB" w14:textId="77777777" w:rsidR="00CE02B0" w:rsidRPr="00D11296" w:rsidRDefault="00CE02B0" w:rsidP="00CE02B0">
      <w:pPr>
        <w:spacing w:after="40" w:line="276" w:lineRule="auto"/>
        <w:ind w:firstLine="567"/>
        <w:jc w:val="both"/>
        <w:rPr>
          <w:lang w:val="fr-FR"/>
        </w:rPr>
      </w:pPr>
      <w:bookmarkStart w:id="3" w:name="_Hlk86823183"/>
      <w:r w:rsidRPr="001471CC">
        <w:rPr>
          <w:i/>
          <w:iCs/>
          <w:spacing w:val="-2"/>
          <w:lang w:val="fr-FR"/>
        </w:rPr>
        <w:t>Passengers carried</w:t>
      </w:r>
      <w:r w:rsidRPr="00E34057">
        <w:rPr>
          <w:spacing w:val="-2"/>
          <w:lang w:val="fr-FR"/>
        </w:rPr>
        <w:t xml:space="preserve"> in </w:t>
      </w:r>
      <w:r>
        <w:rPr>
          <w:lang w:val="pt-BR"/>
        </w:rPr>
        <w:t>January 2024</w:t>
      </w:r>
      <w:r w:rsidRPr="00E34057">
        <w:rPr>
          <w:spacing w:val="-2"/>
          <w:lang w:val="fr-FR"/>
        </w:rPr>
        <w:t xml:space="preserve"> were estimated at </w:t>
      </w:r>
      <w:r w:rsidRPr="004D4F86">
        <w:rPr>
          <w:spacing w:val="-2"/>
          <w:lang w:val="fr-FR"/>
        </w:rPr>
        <w:t>392</w:t>
      </w:r>
      <w:r>
        <w:rPr>
          <w:spacing w:val="-2"/>
          <w:lang w:val="fr-FR"/>
        </w:rPr>
        <w:t>.</w:t>
      </w:r>
      <w:r w:rsidRPr="004D4F86">
        <w:rPr>
          <w:spacing w:val="-2"/>
          <w:lang w:val="fr-FR"/>
        </w:rPr>
        <w:t xml:space="preserve">7 </w:t>
      </w:r>
      <w:r w:rsidRPr="00E34057">
        <w:rPr>
          <w:spacing w:val="-2"/>
          <w:lang w:val="fr-FR"/>
        </w:rPr>
        <w:t>million persons</w:t>
      </w:r>
      <w:r>
        <w:rPr>
          <w:spacing w:val="-2"/>
          <w:lang w:val="fr-FR"/>
        </w:rPr>
        <w:t>,</w:t>
      </w:r>
      <w:r w:rsidRPr="00E34057">
        <w:rPr>
          <w:spacing w:val="-2"/>
          <w:lang w:val="fr-FR"/>
        </w:rPr>
        <w:t xml:space="preserve"> increased by </w:t>
      </w:r>
      <w:r w:rsidRPr="004D4F86">
        <w:rPr>
          <w:spacing w:val="-2"/>
          <w:lang w:val="fr-FR"/>
        </w:rPr>
        <w:t>3%</w:t>
      </w:r>
      <w:r>
        <w:rPr>
          <w:spacing w:val="-2"/>
          <w:lang w:val="fr-FR"/>
        </w:rPr>
        <w:t xml:space="preserve"> </w:t>
      </w:r>
      <w:r w:rsidRPr="00E34057">
        <w:rPr>
          <w:spacing w:val="-2"/>
          <w:lang w:val="fr-FR"/>
        </w:rPr>
        <w:t xml:space="preserve">compared to the </w:t>
      </w:r>
      <w:r w:rsidRPr="00E34057">
        <w:rPr>
          <w:lang w:val="pt-BR"/>
        </w:rPr>
        <w:t>previous month</w:t>
      </w:r>
      <w:r>
        <w:rPr>
          <w:spacing w:val="-2"/>
          <w:lang w:val="fr-FR"/>
        </w:rPr>
        <w:t>,</w:t>
      </w:r>
      <w:r w:rsidRPr="00E34057">
        <w:rPr>
          <w:spacing w:val="-2"/>
          <w:lang w:val="fr-FR"/>
        </w:rPr>
        <w:t xml:space="preserve"> and a</w:t>
      </w:r>
      <w:r>
        <w:rPr>
          <w:spacing w:val="-2"/>
          <w:lang w:val="fr-FR"/>
        </w:rPr>
        <w:t>n</w:t>
      </w:r>
      <w:r w:rsidRPr="00E34057">
        <w:rPr>
          <w:spacing w:val="-2"/>
          <w:lang w:val="fr-FR"/>
        </w:rPr>
        <w:t xml:space="preserve"> </w:t>
      </w:r>
      <w:r>
        <w:rPr>
          <w:spacing w:val="-2"/>
          <w:lang w:val="fr-FR"/>
        </w:rPr>
        <w:t>in</w:t>
      </w:r>
      <w:r w:rsidRPr="00E34057">
        <w:rPr>
          <w:spacing w:val="-2"/>
          <w:lang w:val="fr-FR"/>
        </w:rPr>
        <w:t xml:space="preserve">crease of </w:t>
      </w:r>
      <w:r w:rsidRPr="004D4F86">
        <w:rPr>
          <w:spacing w:val="-2"/>
          <w:lang w:val="fr-FR"/>
        </w:rPr>
        <w:t>5</w:t>
      </w:r>
      <w:r>
        <w:rPr>
          <w:spacing w:val="-2"/>
          <w:lang w:val="fr-FR"/>
        </w:rPr>
        <w:t>.</w:t>
      </w:r>
      <w:r w:rsidRPr="004D4F86">
        <w:rPr>
          <w:spacing w:val="-2"/>
          <w:lang w:val="fr-FR"/>
        </w:rPr>
        <w:t xml:space="preserve">5% </w:t>
      </w:r>
      <w:r w:rsidRPr="00E34057">
        <w:rPr>
          <w:spacing w:val="-2"/>
          <w:lang w:val="fr-FR"/>
        </w:rPr>
        <w:t>over the same period last year</w:t>
      </w:r>
      <w:r>
        <w:rPr>
          <w:spacing w:val="-2"/>
          <w:lang w:val="fr-FR"/>
        </w:rPr>
        <w:t xml:space="preserve">; </w:t>
      </w:r>
      <w:r w:rsidRPr="00E34057">
        <w:rPr>
          <w:spacing w:val="-2"/>
          <w:lang w:val="fr-FR"/>
        </w:rPr>
        <w:t xml:space="preserve">passenger traffic gained </w:t>
      </w:r>
      <w:r w:rsidRPr="00AC04B0">
        <w:rPr>
          <w:spacing w:val="-2"/>
          <w:lang w:val="fr-FR"/>
        </w:rPr>
        <w:t>22</w:t>
      </w:r>
      <w:r>
        <w:rPr>
          <w:spacing w:val="-2"/>
          <w:lang w:val="fr-FR"/>
        </w:rPr>
        <w:t>.</w:t>
      </w:r>
      <w:r w:rsidRPr="00AC04B0">
        <w:rPr>
          <w:spacing w:val="-2"/>
          <w:lang w:val="fr-FR"/>
        </w:rPr>
        <w:t xml:space="preserve">7 </w:t>
      </w:r>
      <w:r w:rsidRPr="00E34057">
        <w:rPr>
          <w:spacing w:val="-2"/>
          <w:lang w:val="fr-FR"/>
        </w:rPr>
        <w:t>billion passengers-km</w:t>
      </w:r>
      <w:r>
        <w:rPr>
          <w:spacing w:val="-2"/>
          <w:lang w:val="fr-FR"/>
        </w:rPr>
        <w:t>,</w:t>
      </w:r>
      <w:r w:rsidRPr="00E34057">
        <w:rPr>
          <w:spacing w:val="-2"/>
          <w:lang w:val="fr-FR"/>
        </w:rPr>
        <w:t xml:space="preserve"> increased by </w:t>
      </w:r>
      <w:r w:rsidRPr="00AC04B0">
        <w:rPr>
          <w:spacing w:val="-2"/>
          <w:lang w:val="fr-FR"/>
        </w:rPr>
        <w:t>3</w:t>
      </w:r>
      <w:r>
        <w:rPr>
          <w:spacing w:val="-2"/>
          <w:lang w:val="fr-FR"/>
        </w:rPr>
        <w:t>.</w:t>
      </w:r>
      <w:r w:rsidRPr="00AC04B0">
        <w:rPr>
          <w:spacing w:val="-2"/>
          <w:lang w:val="fr-FR"/>
        </w:rPr>
        <w:t xml:space="preserve">6% </w:t>
      </w:r>
      <w:r>
        <w:rPr>
          <w:spacing w:val="-2"/>
          <w:lang w:val="fr-FR"/>
        </w:rPr>
        <w:t>and</w:t>
      </w:r>
      <w:r w:rsidRPr="00E34057">
        <w:rPr>
          <w:spacing w:val="-2"/>
          <w:lang w:val="fr-FR"/>
        </w:rPr>
        <w:t xml:space="preserve"> </w:t>
      </w:r>
      <w:r>
        <w:rPr>
          <w:spacing w:val="-2"/>
          <w:lang w:val="fr-FR"/>
        </w:rPr>
        <w:t>up</w:t>
      </w:r>
      <w:r w:rsidRPr="00E34057">
        <w:rPr>
          <w:spacing w:val="-2"/>
          <w:lang w:val="fr-FR"/>
        </w:rPr>
        <w:t xml:space="preserve"> </w:t>
      </w:r>
      <w:r w:rsidRPr="00AC04B0">
        <w:rPr>
          <w:spacing w:val="-2"/>
          <w:lang w:val="fr-FR"/>
        </w:rPr>
        <w:t>7</w:t>
      </w:r>
      <w:r>
        <w:rPr>
          <w:spacing w:val="-2"/>
          <w:lang w:val="fr-FR"/>
        </w:rPr>
        <w:t>.</w:t>
      </w:r>
      <w:r w:rsidRPr="00AC04B0">
        <w:rPr>
          <w:spacing w:val="-2"/>
          <w:lang w:val="fr-FR"/>
        </w:rPr>
        <w:t xml:space="preserve">4%. </w:t>
      </w:r>
      <w:bookmarkEnd w:id="3"/>
      <w:r w:rsidRPr="00971A79">
        <w:rPr>
          <w:spacing w:val="-2"/>
          <w:lang w:val="fr-FR"/>
        </w:rPr>
        <w:t>In which</w:t>
      </w:r>
      <w:r>
        <w:rPr>
          <w:spacing w:val="-2"/>
          <w:lang w:val="fr-FR"/>
        </w:rPr>
        <w:t>,</w:t>
      </w:r>
      <w:r w:rsidRPr="00971A79">
        <w:rPr>
          <w:spacing w:val="-2"/>
          <w:lang w:val="fr-FR"/>
        </w:rPr>
        <w:t xml:space="preserve"> domestic </w:t>
      </w:r>
      <w:r w:rsidRPr="00971A79">
        <w:rPr>
          <w:iCs/>
          <w:spacing w:val="-2"/>
          <w:lang w:val="fr-FR"/>
        </w:rPr>
        <w:t>passengers carried</w:t>
      </w:r>
      <w:r w:rsidRPr="00971A79">
        <w:rPr>
          <w:spacing w:val="-2"/>
          <w:lang w:val="fr-FR"/>
        </w:rPr>
        <w:t xml:space="preserve"> was estimated at </w:t>
      </w:r>
      <w:r w:rsidRPr="00AC04B0">
        <w:rPr>
          <w:spacing w:val="-2"/>
          <w:lang w:val="fr-FR"/>
        </w:rPr>
        <w:t>391</w:t>
      </w:r>
      <w:r>
        <w:rPr>
          <w:spacing w:val="-2"/>
          <w:lang w:val="fr-FR"/>
        </w:rPr>
        <w:t xml:space="preserve"> </w:t>
      </w:r>
      <w:r w:rsidRPr="00971A79">
        <w:rPr>
          <w:spacing w:val="-2"/>
          <w:lang w:val="fr-FR"/>
        </w:rPr>
        <w:t>million passengers</w:t>
      </w:r>
      <w:r>
        <w:rPr>
          <w:spacing w:val="-2"/>
          <w:lang w:val="fr-FR"/>
        </w:rPr>
        <w:t>,</w:t>
      </w:r>
      <w:r w:rsidRPr="00971A79">
        <w:rPr>
          <w:spacing w:val="-2"/>
          <w:lang w:val="fr-FR"/>
        </w:rPr>
        <w:t xml:space="preserve"> up </w:t>
      </w:r>
      <w:r w:rsidRPr="00AC04B0">
        <w:rPr>
          <w:spacing w:val="-2"/>
          <w:lang w:val="fr-FR"/>
        </w:rPr>
        <w:t xml:space="preserve">5,4% </w:t>
      </w:r>
      <w:r w:rsidRPr="00971A79">
        <w:rPr>
          <w:spacing w:val="-2"/>
          <w:lang w:val="fr-FR"/>
        </w:rPr>
        <w:t>over the same period last year and domestic</w:t>
      </w:r>
      <w:r w:rsidRPr="001471CC">
        <w:rPr>
          <w:i/>
          <w:iCs/>
          <w:spacing w:val="-2"/>
          <w:lang w:val="fr-FR"/>
        </w:rPr>
        <w:t xml:space="preserve"> </w:t>
      </w:r>
      <w:r w:rsidRPr="00971A79">
        <w:rPr>
          <w:iCs/>
          <w:spacing w:val="-2"/>
          <w:lang w:val="fr-FR"/>
        </w:rPr>
        <w:t>passengers traffic</w:t>
      </w:r>
      <w:r w:rsidRPr="00971A79">
        <w:rPr>
          <w:spacing w:val="-2"/>
          <w:lang w:val="fr-FR"/>
        </w:rPr>
        <w:t xml:space="preserve"> </w:t>
      </w:r>
      <w:r>
        <w:rPr>
          <w:spacing w:val="-2"/>
          <w:lang w:val="fr-FR"/>
        </w:rPr>
        <w:t xml:space="preserve">gained </w:t>
      </w:r>
      <w:r w:rsidRPr="00AC04B0">
        <w:rPr>
          <w:spacing w:val="-2"/>
          <w:lang w:val="fr-FR"/>
        </w:rPr>
        <w:t>17</w:t>
      </w:r>
      <w:r>
        <w:rPr>
          <w:spacing w:val="-2"/>
          <w:lang w:val="fr-FR"/>
        </w:rPr>
        <w:t>.</w:t>
      </w:r>
      <w:r w:rsidRPr="00AC04B0">
        <w:rPr>
          <w:spacing w:val="-2"/>
          <w:lang w:val="fr-FR"/>
        </w:rPr>
        <w:t xml:space="preserve">3 </w:t>
      </w:r>
      <w:r w:rsidRPr="00971A79">
        <w:rPr>
          <w:spacing w:val="-2"/>
          <w:lang w:val="fr-FR"/>
        </w:rPr>
        <w:t>billion passengers-kilometers</w:t>
      </w:r>
      <w:r>
        <w:rPr>
          <w:spacing w:val="-2"/>
          <w:lang w:val="fr-FR"/>
        </w:rPr>
        <w:t>,</w:t>
      </w:r>
      <w:r w:rsidRPr="00971A79">
        <w:rPr>
          <w:spacing w:val="-2"/>
          <w:lang w:val="fr-FR"/>
        </w:rPr>
        <w:t xml:space="preserve"> </w:t>
      </w:r>
      <w:r>
        <w:rPr>
          <w:spacing w:val="-2"/>
          <w:lang w:val="fr-FR"/>
        </w:rPr>
        <w:t>down 0.8%; o</w:t>
      </w:r>
      <w:r w:rsidRPr="00971A79">
        <w:rPr>
          <w:spacing w:val="-2"/>
          <w:lang w:val="fr-FR"/>
        </w:rPr>
        <w:t xml:space="preserve">verseas </w:t>
      </w:r>
      <w:r w:rsidRPr="00971A79">
        <w:rPr>
          <w:iCs/>
          <w:spacing w:val="-2"/>
          <w:lang w:val="fr-FR"/>
        </w:rPr>
        <w:t>passengers carried</w:t>
      </w:r>
      <w:r w:rsidRPr="00971A79">
        <w:rPr>
          <w:spacing w:val="-2"/>
          <w:lang w:val="fr-FR"/>
        </w:rPr>
        <w:t xml:space="preserve"> </w:t>
      </w:r>
      <w:r>
        <w:rPr>
          <w:spacing w:val="-2"/>
          <w:lang w:val="fr-FR"/>
        </w:rPr>
        <w:t>was</w:t>
      </w:r>
      <w:r w:rsidRPr="00971A79">
        <w:rPr>
          <w:spacing w:val="-2"/>
          <w:lang w:val="fr-FR"/>
        </w:rPr>
        <w:t xml:space="preserve"> estimated at </w:t>
      </w:r>
      <w:r w:rsidRPr="00AC04B0">
        <w:rPr>
          <w:spacing w:val="-2"/>
          <w:lang w:val="fr-FR"/>
        </w:rPr>
        <w:t>1</w:t>
      </w:r>
      <w:r>
        <w:rPr>
          <w:spacing w:val="-2"/>
          <w:lang w:val="fr-FR"/>
        </w:rPr>
        <w:t>.</w:t>
      </w:r>
      <w:r w:rsidRPr="00AC04B0">
        <w:rPr>
          <w:spacing w:val="-2"/>
          <w:lang w:val="fr-FR"/>
        </w:rPr>
        <w:t xml:space="preserve">7 </w:t>
      </w:r>
      <w:r w:rsidRPr="00971A79">
        <w:rPr>
          <w:spacing w:val="-2"/>
          <w:lang w:val="fr-FR"/>
        </w:rPr>
        <w:t>million passengers</w:t>
      </w:r>
      <w:r>
        <w:rPr>
          <w:spacing w:val="-2"/>
          <w:lang w:val="fr-FR"/>
        </w:rPr>
        <w:t>,</w:t>
      </w:r>
      <w:r w:rsidRPr="00971A79">
        <w:rPr>
          <w:spacing w:val="-2"/>
          <w:lang w:val="fr-FR"/>
        </w:rPr>
        <w:t xml:space="preserve"> </w:t>
      </w:r>
      <w:r>
        <w:rPr>
          <w:spacing w:val="-2"/>
          <w:lang w:val="fr-FR"/>
        </w:rPr>
        <w:t xml:space="preserve">increased by </w:t>
      </w:r>
      <w:r>
        <w:rPr>
          <w:lang w:val="es-NI"/>
        </w:rPr>
        <w:t xml:space="preserve">41.9% </w:t>
      </w:r>
      <w:r w:rsidRPr="00971A79">
        <w:rPr>
          <w:spacing w:val="-2"/>
          <w:lang w:val="fr-FR"/>
        </w:rPr>
        <w:t xml:space="preserve">and </w:t>
      </w:r>
      <w:r w:rsidRPr="00971A79">
        <w:rPr>
          <w:iCs/>
          <w:spacing w:val="-2"/>
          <w:lang w:val="fr-FR"/>
        </w:rPr>
        <w:t>passengers traffic</w:t>
      </w:r>
      <w:r w:rsidRPr="00971A79">
        <w:rPr>
          <w:spacing w:val="-2"/>
          <w:lang w:val="fr-FR"/>
        </w:rPr>
        <w:t xml:space="preserve"> </w:t>
      </w:r>
      <w:r>
        <w:rPr>
          <w:spacing w:val="-2"/>
          <w:lang w:val="fr-FR"/>
        </w:rPr>
        <w:t xml:space="preserve">was </w:t>
      </w:r>
      <w:r w:rsidRPr="00AC04B0">
        <w:rPr>
          <w:spacing w:val="-2"/>
          <w:lang w:val="fr-FR"/>
        </w:rPr>
        <w:t>5</w:t>
      </w:r>
      <w:r>
        <w:rPr>
          <w:spacing w:val="-2"/>
          <w:lang w:val="fr-FR"/>
        </w:rPr>
        <w:t>.</w:t>
      </w:r>
      <w:r w:rsidRPr="00AC04B0">
        <w:rPr>
          <w:spacing w:val="-2"/>
          <w:lang w:val="fr-FR"/>
        </w:rPr>
        <w:t xml:space="preserve">4 </w:t>
      </w:r>
      <w:r w:rsidRPr="00971A79">
        <w:rPr>
          <w:spacing w:val="-2"/>
          <w:lang w:val="fr-FR"/>
        </w:rPr>
        <w:t>billion passengers-kilometers</w:t>
      </w:r>
      <w:r>
        <w:rPr>
          <w:spacing w:val="-2"/>
          <w:lang w:val="fr-FR"/>
        </w:rPr>
        <w:t>,</w:t>
      </w:r>
      <w:r w:rsidRPr="00AC04B0">
        <w:rPr>
          <w:spacing w:val="-2"/>
          <w:lang w:val="fr-FR"/>
        </w:rPr>
        <w:t xml:space="preserve"> </w:t>
      </w:r>
      <w:r>
        <w:rPr>
          <w:spacing w:val="-2"/>
          <w:lang w:val="fr-FR"/>
        </w:rPr>
        <w:t xml:space="preserve">increased by </w:t>
      </w:r>
      <w:r>
        <w:rPr>
          <w:lang w:val="es-NI"/>
        </w:rPr>
        <w:t>46.2%</w:t>
      </w:r>
      <w:r w:rsidRPr="00971A79">
        <w:rPr>
          <w:spacing w:val="-2"/>
          <w:lang w:val="fr-FR"/>
        </w:rPr>
        <w:t xml:space="preserve"> </w:t>
      </w:r>
      <w:r>
        <w:rPr>
          <w:spacing w:val="-2"/>
          <w:lang w:val="fr-FR"/>
        </w:rPr>
        <w:t>compared to</w:t>
      </w:r>
      <w:r w:rsidRPr="00971A79">
        <w:rPr>
          <w:spacing w:val="-2"/>
          <w:lang w:val="fr-FR"/>
        </w:rPr>
        <w:t xml:space="preserve"> the same period last year.</w:t>
      </w:r>
      <w:r>
        <w:rPr>
          <w:spacing w:val="-2"/>
          <w:lang w:val="fr-FR"/>
        </w:rPr>
        <w:tab/>
      </w:r>
    </w:p>
    <w:p w14:paraId="009FADD8" w14:textId="77777777" w:rsidR="00CE02B0" w:rsidRDefault="00CE02B0" w:rsidP="00CE02B0">
      <w:pPr>
        <w:spacing w:before="120" w:after="120" w:line="276" w:lineRule="auto"/>
        <w:jc w:val="center"/>
        <w:rPr>
          <w:rFonts w:ascii="Arial" w:hAnsi="Arial" w:cs="Arial"/>
          <w:b/>
          <w:bCs/>
          <w:sz w:val="24"/>
          <w:szCs w:val="24"/>
          <w:lang w:val="fr-FR"/>
        </w:rPr>
      </w:pPr>
      <w:r w:rsidRPr="00952A02">
        <w:rPr>
          <w:rFonts w:ascii="Arial" w:hAnsi="Arial" w:cs="Arial"/>
          <w:b/>
          <w:bCs/>
          <w:iCs/>
          <w:sz w:val="24"/>
          <w:szCs w:val="24"/>
        </w:rPr>
        <w:t xml:space="preserve">Table 6. </w:t>
      </w:r>
      <w:r w:rsidRPr="00952A02">
        <w:rPr>
          <w:rFonts w:ascii="Arial" w:hAnsi="Arial" w:cs="Arial"/>
          <w:b/>
          <w:bCs/>
          <w:iCs/>
          <w:sz w:val="24"/>
          <w:szCs w:val="24"/>
          <w:lang w:val="fr-FR"/>
        </w:rPr>
        <w:t>Carriage of passengers in January 202</w:t>
      </w:r>
      <w:r>
        <w:rPr>
          <w:rFonts w:ascii="Arial" w:hAnsi="Arial" w:cs="Arial"/>
          <w:b/>
          <w:bCs/>
          <w:iCs/>
          <w:sz w:val="24"/>
          <w:szCs w:val="24"/>
          <w:lang w:val="fr-FR"/>
        </w:rPr>
        <w:t>4</w:t>
      </w:r>
      <w:r w:rsidRPr="00952A02">
        <w:rPr>
          <w:rFonts w:ascii="Arial" w:hAnsi="Arial" w:cs="Arial"/>
          <w:b/>
          <w:bCs/>
          <w:iCs/>
          <w:sz w:val="24"/>
          <w:szCs w:val="24"/>
          <w:lang w:val="fr-FR"/>
        </w:rPr>
        <w:t xml:space="preserve"> </w:t>
      </w:r>
      <w:r w:rsidRPr="00952A02">
        <w:rPr>
          <w:rFonts w:ascii="Arial" w:hAnsi="Arial" w:cs="Arial"/>
          <w:b/>
          <w:bCs/>
          <w:sz w:val="24"/>
          <w:szCs w:val="24"/>
          <w:lang w:val="fr-FR"/>
        </w:rPr>
        <w:t>by types of transport</w:t>
      </w:r>
    </w:p>
    <w:tbl>
      <w:tblPr>
        <w:tblW w:w="8926" w:type="dxa"/>
        <w:jc w:val="center"/>
        <w:tblLook w:val="04A0" w:firstRow="1" w:lastRow="0" w:firstColumn="1" w:lastColumn="0" w:noHBand="0" w:noVBand="1"/>
      </w:tblPr>
      <w:tblGrid>
        <w:gridCol w:w="1696"/>
        <w:gridCol w:w="1985"/>
        <w:gridCol w:w="2126"/>
        <w:gridCol w:w="1559"/>
        <w:gridCol w:w="1560"/>
      </w:tblGrid>
      <w:tr w:rsidR="00CE02B0" w:rsidRPr="00052095" w14:paraId="4DD3E90E" w14:textId="77777777" w:rsidTr="008278F8">
        <w:trPr>
          <w:trHeight w:val="499"/>
          <w:jc w:val="center"/>
        </w:trPr>
        <w:tc>
          <w:tcPr>
            <w:tcW w:w="1696" w:type="dxa"/>
            <w:tcBorders>
              <w:top w:val="single" w:sz="4" w:space="0" w:color="auto"/>
            </w:tcBorders>
            <w:shd w:val="clear" w:color="auto" w:fill="auto"/>
            <w:noWrap/>
            <w:vAlign w:val="center"/>
            <w:hideMark/>
          </w:tcPr>
          <w:p w14:paraId="08DCFAAF" w14:textId="77777777" w:rsidR="00CE02B0" w:rsidRPr="00894C78" w:rsidRDefault="00CE02B0" w:rsidP="008278F8">
            <w:pPr>
              <w:rPr>
                <w:rFonts w:ascii="Arial" w:hAnsi="Arial" w:cs="Arial"/>
                <w:b/>
                <w:bCs/>
                <w:sz w:val="20"/>
                <w:szCs w:val="20"/>
                <w:lang w:eastAsia="vi-VN"/>
              </w:rPr>
            </w:pPr>
          </w:p>
        </w:tc>
        <w:tc>
          <w:tcPr>
            <w:tcW w:w="4111" w:type="dxa"/>
            <w:gridSpan w:val="2"/>
            <w:tcBorders>
              <w:top w:val="single" w:sz="4" w:space="0" w:color="auto"/>
              <w:bottom w:val="single" w:sz="4" w:space="0" w:color="auto"/>
            </w:tcBorders>
            <w:shd w:val="clear" w:color="auto" w:fill="auto"/>
            <w:noWrap/>
            <w:vAlign w:val="center"/>
            <w:hideMark/>
          </w:tcPr>
          <w:p w14:paraId="2089BC6E" w14:textId="77777777" w:rsidR="00CE02B0" w:rsidRPr="00894C78" w:rsidRDefault="00CE02B0" w:rsidP="008278F8">
            <w:pPr>
              <w:jc w:val="center"/>
              <w:rPr>
                <w:rFonts w:ascii="Arial" w:hAnsi="Arial" w:cs="Arial"/>
                <w:b/>
                <w:bCs/>
                <w:sz w:val="20"/>
                <w:szCs w:val="20"/>
              </w:rPr>
            </w:pPr>
            <w:r w:rsidRPr="00894C78">
              <w:rPr>
                <w:rFonts w:ascii="Arial" w:hAnsi="Arial" w:cs="Arial"/>
                <w:iCs/>
                <w:sz w:val="20"/>
                <w:szCs w:val="20"/>
                <w:lang w:eastAsia="vi-VN"/>
              </w:rPr>
              <w:t>Number of passengers</w:t>
            </w:r>
          </w:p>
        </w:tc>
        <w:tc>
          <w:tcPr>
            <w:tcW w:w="3119" w:type="dxa"/>
            <w:gridSpan w:val="2"/>
            <w:tcBorders>
              <w:top w:val="single" w:sz="4" w:space="0" w:color="auto"/>
              <w:bottom w:val="single" w:sz="4" w:space="0" w:color="auto"/>
            </w:tcBorders>
            <w:shd w:val="clear" w:color="auto" w:fill="auto"/>
            <w:noWrap/>
            <w:vAlign w:val="center"/>
            <w:hideMark/>
          </w:tcPr>
          <w:p w14:paraId="5F0E976C" w14:textId="77777777" w:rsidR="00CE02B0" w:rsidRPr="00894C78" w:rsidRDefault="00CE02B0" w:rsidP="008278F8">
            <w:pPr>
              <w:ind w:right="-45"/>
              <w:jc w:val="center"/>
              <w:rPr>
                <w:rFonts w:ascii="Arial" w:hAnsi="Arial" w:cs="Arial"/>
                <w:b/>
                <w:bCs/>
                <w:sz w:val="20"/>
                <w:szCs w:val="20"/>
              </w:rPr>
            </w:pPr>
            <w:r w:rsidRPr="00894C78">
              <w:rPr>
                <w:rFonts w:ascii="Arial" w:hAnsi="Arial" w:cs="Arial"/>
                <w:color w:val="000000"/>
                <w:sz w:val="20"/>
                <w:szCs w:val="20"/>
                <w:lang w:eastAsia="vi-VN"/>
              </w:rPr>
              <w:t>The growth rate</w:t>
            </w:r>
            <w:r w:rsidRPr="00894C78">
              <w:rPr>
                <w:rFonts w:ascii="Arial" w:hAnsi="Arial" w:cs="Arial"/>
                <w:color w:val="000000"/>
                <w:sz w:val="20"/>
                <w:szCs w:val="20"/>
                <w:lang w:val="en-US" w:eastAsia="vi-VN"/>
              </w:rPr>
              <w:t xml:space="preserve"> </w:t>
            </w:r>
            <w:r w:rsidRPr="00894C78">
              <w:rPr>
                <w:rFonts w:ascii="Arial" w:hAnsi="Arial" w:cs="Arial"/>
                <w:color w:val="000000"/>
                <w:sz w:val="20"/>
                <w:szCs w:val="20"/>
                <w:lang w:eastAsia="vi-VN"/>
              </w:rPr>
              <w:t>compared to the same period last year (%)</w:t>
            </w:r>
          </w:p>
        </w:tc>
      </w:tr>
      <w:tr w:rsidR="00CE02B0" w:rsidRPr="009A67D2" w14:paraId="656386EB" w14:textId="77777777" w:rsidTr="008278F8">
        <w:trPr>
          <w:trHeight w:val="515"/>
          <w:jc w:val="center"/>
        </w:trPr>
        <w:tc>
          <w:tcPr>
            <w:tcW w:w="1696" w:type="dxa"/>
            <w:shd w:val="clear" w:color="auto" w:fill="auto"/>
            <w:noWrap/>
            <w:vAlign w:val="center"/>
            <w:hideMark/>
          </w:tcPr>
          <w:p w14:paraId="55A0A5F0" w14:textId="77777777" w:rsidR="00CE02B0" w:rsidRPr="00894C78" w:rsidRDefault="00CE02B0" w:rsidP="008278F8">
            <w:pPr>
              <w:rPr>
                <w:rFonts w:ascii="Arial" w:hAnsi="Arial" w:cs="Arial"/>
                <w:b/>
                <w:bCs/>
                <w:sz w:val="20"/>
                <w:szCs w:val="20"/>
                <w:lang w:eastAsia="vi-VN"/>
              </w:rPr>
            </w:pPr>
          </w:p>
        </w:tc>
        <w:tc>
          <w:tcPr>
            <w:tcW w:w="1985" w:type="dxa"/>
            <w:tcBorders>
              <w:top w:val="single" w:sz="4" w:space="0" w:color="auto"/>
              <w:bottom w:val="single" w:sz="4" w:space="0" w:color="auto"/>
            </w:tcBorders>
            <w:shd w:val="clear" w:color="auto" w:fill="auto"/>
            <w:noWrap/>
            <w:vAlign w:val="center"/>
            <w:hideMark/>
          </w:tcPr>
          <w:p w14:paraId="0F0AB897" w14:textId="77777777" w:rsidR="00CE02B0" w:rsidRPr="00894C78" w:rsidRDefault="00CE02B0" w:rsidP="008278F8">
            <w:pPr>
              <w:jc w:val="center"/>
              <w:rPr>
                <w:rFonts w:ascii="Arial" w:hAnsi="Arial" w:cs="Arial"/>
                <w:b/>
                <w:bCs/>
                <w:sz w:val="20"/>
                <w:szCs w:val="20"/>
              </w:rPr>
            </w:pPr>
            <w:r w:rsidRPr="00894C78">
              <w:rPr>
                <w:rFonts w:ascii="Arial" w:hAnsi="Arial" w:cs="Arial"/>
                <w:sz w:val="20"/>
                <w:szCs w:val="20"/>
                <w:lang w:eastAsia="vi-VN"/>
              </w:rPr>
              <w:t>Carried</w:t>
            </w:r>
            <w:r w:rsidRPr="00894C78">
              <w:rPr>
                <w:rFonts w:ascii="Arial" w:hAnsi="Arial" w:cs="Arial"/>
                <w:sz w:val="20"/>
                <w:szCs w:val="20"/>
                <w:lang w:eastAsia="vi-VN"/>
              </w:rPr>
              <w:br/>
              <w:t>(Mill. passengers)</w:t>
            </w:r>
          </w:p>
        </w:tc>
        <w:tc>
          <w:tcPr>
            <w:tcW w:w="2126" w:type="dxa"/>
            <w:tcBorders>
              <w:top w:val="single" w:sz="4" w:space="0" w:color="auto"/>
              <w:bottom w:val="single" w:sz="4" w:space="0" w:color="auto"/>
            </w:tcBorders>
            <w:shd w:val="clear" w:color="auto" w:fill="auto"/>
            <w:noWrap/>
            <w:vAlign w:val="center"/>
            <w:hideMark/>
          </w:tcPr>
          <w:p w14:paraId="29582883" w14:textId="77777777" w:rsidR="00CE02B0" w:rsidRPr="00894C78" w:rsidRDefault="00CE02B0" w:rsidP="008278F8">
            <w:pPr>
              <w:jc w:val="center"/>
              <w:rPr>
                <w:rFonts w:ascii="Arial" w:hAnsi="Arial" w:cs="Arial"/>
                <w:b/>
                <w:bCs/>
                <w:sz w:val="20"/>
                <w:szCs w:val="20"/>
              </w:rPr>
            </w:pPr>
            <w:r w:rsidRPr="00894C78">
              <w:rPr>
                <w:rFonts w:ascii="Arial" w:hAnsi="Arial" w:cs="Arial"/>
                <w:sz w:val="20"/>
                <w:szCs w:val="20"/>
                <w:lang w:eastAsia="vi-VN"/>
              </w:rPr>
              <w:t>Traffic</w:t>
            </w:r>
            <w:r w:rsidRPr="00894C78">
              <w:rPr>
                <w:rFonts w:ascii="Arial" w:hAnsi="Arial" w:cs="Arial"/>
                <w:sz w:val="20"/>
                <w:szCs w:val="20"/>
                <w:lang w:eastAsia="vi-VN"/>
              </w:rPr>
              <w:br/>
              <w:t>(Bill. passengers-km)</w:t>
            </w:r>
          </w:p>
        </w:tc>
        <w:tc>
          <w:tcPr>
            <w:tcW w:w="1559" w:type="dxa"/>
            <w:tcBorders>
              <w:top w:val="single" w:sz="4" w:space="0" w:color="auto"/>
              <w:bottom w:val="single" w:sz="4" w:space="0" w:color="auto"/>
            </w:tcBorders>
            <w:shd w:val="clear" w:color="auto" w:fill="auto"/>
            <w:noWrap/>
            <w:vAlign w:val="center"/>
            <w:hideMark/>
          </w:tcPr>
          <w:p w14:paraId="3616F126" w14:textId="77777777" w:rsidR="00CE02B0" w:rsidRPr="00894C78" w:rsidRDefault="00CE02B0" w:rsidP="008278F8">
            <w:pPr>
              <w:jc w:val="center"/>
              <w:rPr>
                <w:rFonts w:ascii="Arial" w:hAnsi="Arial" w:cs="Arial"/>
                <w:b/>
                <w:bCs/>
                <w:sz w:val="20"/>
                <w:szCs w:val="20"/>
              </w:rPr>
            </w:pPr>
            <w:r w:rsidRPr="00894C78">
              <w:rPr>
                <w:rFonts w:ascii="Arial" w:hAnsi="Arial" w:cs="Arial"/>
                <w:sz w:val="20"/>
                <w:szCs w:val="20"/>
                <w:lang w:eastAsia="vi-VN"/>
              </w:rPr>
              <w:t>Carried</w:t>
            </w:r>
          </w:p>
        </w:tc>
        <w:tc>
          <w:tcPr>
            <w:tcW w:w="1560" w:type="dxa"/>
            <w:tcBorders>
              <w:top w:val="single" w:sz="4" w:space="0" w:color="auto"/>
              <w:bottom w:val="single" w:sz="4" w:space="0" w:color="auto"/>
            </w:tcBorders>
            <w:shd w:val="clear" w:color="auto" w:fill="auto"/>
            <w:noWrap/>
            <w:vAlign w:val="center"/>
            <w:hideMark/>
          </w:tcPr>
          <w:p w14:paraId="292E0431" w14:textId="77777777" w:rsidR="00CE02B0" w:rsidRPr="00894C78" w:rsidRDefault="00CE02B0" w:rsidP="008278F8">
            <w:pPr>
              <w:jc w:val="center"/>
              <w:rPr>
                <w:rFonts w:ascii="Arial" w:hAnsi="Arial" w:cs="Arial"/>
                <w:b/>
                <w:bCs/>
                <w:sz w:val="20"/>
                <w:szCs w:val="20"/>
              </w:rPr>
            </w:pPr>
            <w:r w:rsidRPr="00894C78">
              <w:rPr>
                <w:rFonts w:ascii="Arial" w:hAnsi="Arial" w:cs="Arial"/>
                <w:sz w:val="20"/>
                <w:szCs w:val="20"/>
                <w:lang w:eastAsia="vi-VN"/>
              </w:rPr>
              <w:t>Traffic</w:t>
            </w:r>
          </w:p>
        </w:tc>
      </w:tr>
      <w:tr w:rsidR="00CE02B0" w:rsidRPr="00894C78" w14:paraId="281BB5F0" w14:textId="77777777" w:rsidTr="008278F8">
        <w:trPr>
          <w:trHeight w:val="408"/>
          <w:jc w:val="center"/>
        </w:trPr>
        <w:tc>
          <w:tcPr>
            <w:tcW w:w="1696" w:type="dxa"/>
            <w:shd w:val="clear" w:color="auto" w:fill="auto"/>
            <w:noWrap/>
            <w:vAlign w:val="center"/>
            <w:hideMark/>
          </w:tcPr>
          <w:p w14:paraId="363BCB46" w14:textId="77777777" w:rsidR="00CE02B0" w:rsidRPr="00894C78" w:rsidRDefault="00CE02B0" w:rsidP="008278F8">
            <w:pPr>
              <w:ind w:right="289"/>
              <w:rPr>
                <w:rFonts w:ascii="Arial" w:hAnsi="Arial" w:cs="Arial"/>
                <w:b/>
                <w:bCs/>
                <w:sz w:val="20"/>
                <w:szCs w:val="20"/>
              </w:rPr>
            </w:pPr>
            <w:r w:rsidRPr="00894C78">
              <w:rPr>
                <w:rFonts w:ascii="Arial" w:hAnsi="Arial" w:cs="Arial"/>
                <w:b/>
                <w:bCs/>
                <w:sz w:val="20"/>
                <w:szCs w:val="20"/>
              </w:rPr>
              <w:lastRenderedPageBreak/>
              <w:t>Total</w:t>
            </w:r>
          </w:p>
        </w:tc>
        <w:tc>
          <w:tcPr>
            <w:tcW w:w="1985" w:type="dxa"/>
            <w:tcBorders>
              <w:top w:val="single" w:sz="4" w:space="0" w:color="auto"/>
            </w:tcBorders>
            <w:shd w:val="clear" w:color="auto" w:fill="auto"/>
            <w:noWrap/>
            <w:vAlign w:val="center"/>
            <w:hideMark/>
          </w:tcPr>
          <w:p w14:paraId="2EF21778" w14:textId="77777777" w:rsidR="00CE02B0" w:rsidRPr="00894C78" w:rsidRDefault="00CE02B0" w:rsidP="008278F8">
            <w:pPr>
              <w:ind w:right="596"/>
              <w:jc w:val="right"/>
              <w:rPr>
                <w:rFonts w:ascii="Arial" w:hAnsi="Arial" w:cs="Arial"/>
                <w:b/>
                <w:bCs/>
                <w:color w:val="000000"/>
                <w:sz w:val="20"/>
                <w:szCs w:val="20"/>
              </w:rPr>
            </w:pPr>
            <w:r w:rsidRPr="00894C78">
              <w:rPr>
                <w:rFonts w:ascii="Arial" w:hAnsi="Arial" w:cs="Arial"/>
                <w:b/>
                <w:bCs/>
                <w:sz w:val="20"/>
                <w:szCs w:val="20"/>
              </w:rPr>
              <w:t xml:space="preserve">     392</w:t>
            </w:r>
            <w:r w:rsidRPr="00894C78">
              <w:rPr>
                <w:rFonts w:ascii="Arial" w:hAnsi="Arial" w:cs="Arial"/>
                <w:b/>
                <w:bCs/>
                <w:sz w:val="20"/>
                <w:szCs w:val="20"/>
                <w:lang w:val="en-US"/>
              </w:rPr>
              <w:t>.</w:t>
            </w:r>
            <w:r w:rsidRPr="00894C78">
              <w:rPr>
                <w:rFonts w:ascii="Arial" w:hAnsi="Arial" w:cs="Arial"/>
                <w:b/>
                <w:bCs/>
                <w:sz w:val="20"/>
                <w:szCs w:val="20"/>
              </w:rPr>
              <w:t xml:space="preserve">7 </w:t>
            </w:r>
          </w:p>
        </w:tc>
        <w:tc>
          <w:tcPr>
            <w:tcW w:w="2126" w:type="dxa"/>
            <w:tcBorders>
              <w:top w:val="single" w:sz="4" w:space="0" w:color="auto"/>
            </w:tcBorders>
            <w:shd w:val="clear" w:color="auto" w:fill="auto"/>
            <w:noWrap/>
            <w:vAlign w:val="center"/>
            <w:hideMark/>
          </w:tcPr>
          <w:p w14:paraId="187B24AC" w14:textId="77777777" w:rsidR="00CE02B0" w:rsidRPr="00894C78" w:rsidRDefault="00CE02B0" w:rsidP="008278F8">
            <w:pPr>
              <w:ind w:right="737"/>
              <w:jc w:val="right"/>
              <w:rPr>
                <w:rFonts w:ascii="Arial" w:hAnsi="Arial" w:cs="Arial"/>
                <w:b/>
                <w:bCs/>
                <w:color w:val="000000"/>
                <w:sz w:val="20"/>
                <w:szCs w:val="20"/>
              </w:rPr>
            </w:pPr>
            <w:r w:rsidRPr="00894C78">
              <w:rPr>
                <w:rFonts w:ascii="Arial" w:hAnsi="Arial" w:cs="Arial"/>
                <w:b/>
                <w:bCs/>
                <w:sz w:val="20"/>
                <w:szCs w:val="20"/>
              </w:rPr>
              <w:t xml:space="preserve">       22</w:t>
            </w:r>
            <w:r w:rsidRPr="00894C78">
              <w:rPr>
                <w:rFonts w:ascii="Arial" w:hAnsi="Arial" w:cs="Arial"/>
                <w:b/>
                <w:bCs/>
                <w:sz w:val="20"/>
                <w:szCs w:val="20"/>
                <w:lang w:val="en-US"/>
              </w:rPr>
              <w:t>.</w:t>
            </w:r>
            <w:r w:rsidRPr="00894C78">
              <w:rPr>
                <w:rFonts w:ascii="Arial" w:hAnsi="Arial" w:cs="Arial"/>
                <w:b/>
                <w:bCs/>
                <w:sz w:val="20"/>
                <w:szCs w:val="20"/>
              </w:rPr>
              <w:t xml:space="preserve">7 </w:t>
            </w:r>
          </w:p>
        </w:tc>
        <w:tc>
          <w:tcPr>
            <w:tcW w:w="1559" w:type="dxa"/>
            <w:tcBorders>
              <w:top w:val="single" w:sz="4" w:space="0" w:color="auto"/>
            </w:tcBorders>
            <w:shd w:val="clear" w:color="auto" w:fill="auto"/>
            <w:noWrap/>
            <w:vAlign w:val="center"/>
            <w:hideMark/>
          </w:tcPr>
          <w:p w14:paraId="473A984D" w14:textId="77777777" w:rsidR="00CE02B0" w:rsidRPr="00894C78" w:rsidRDefault="00CE02B0" w:rsidP="008278F8">
            <w:pPr>
              <w:ind w:right="312"/>
              <w:jc w:val="right"/>
              <w:rPr>
                <w:rFonts w:ascii="Arial" w:hAnsi="Arial" w:cs="Arial"/>
                <w:b/>
                <w:bCs/>
                <w:color w:val="000000"/>
                <w:sz w:val="20"/>
                <w:szCs w:val="20"/>
              </w:rPr>
            </w:pPr>
            <w:r w:rsidRPr="00894C78">
              <w:rPr>
                <w:rFonts w:ascii="Arial" w:hAnsi="Arial" w:cs="Arial"/>
                <w:b/>
                <w:bCs/>
                <w:color w:val="000000"/>
                <w:sz w:val="20"/>
                <w:szCs w:val="20"/>
              </w:rPr>
              <w:t xml:space="preserve">             5</w:t>
            </w:r>
            <w:r w:rsidRPr="00894C78">
              <w:rPr>
                <w:rFonts w:ascii="Arial" w:hAnsi="Arial" w:cs="Arial"/>
                <w:b/>
                <w:bCs/>
                <w:color w:val="000000"/>
                <w:sz w:val="20"/>
                <w:szCs w:val="20"/>
                <w:lang w:val="en-US"/>
              </w:rPr>
              <w:t>.</w:t>
            </w:r>
            <w:r w:rsidRPr="00894C78">
              <w:rPr>
                <w:rFonts w:ascii="Arial" w:hAnsi="Arial" w:cs="Arial"/>
                <w:b/>
                <w:bCs/>
                <w:color w:val="000000"/>
                <w:sz w:val="20"/>
                <w:szCs w:val="20"/>
              </w:rPr>
              <w:t xml:space="preserve">5 </w:t>
            </w:r>
          </w:p>
        </w:tc>
        <w:tc>
          <w:tcPr>
            <w:tcW w:w="1560" w:type="dxa"/>
            <w:tcBorders>
              <w:top w:val="single" w:sz="4" w:space="0" w:color="auto"/>
            </w:tcBorders>
            <w:shd w:val="clear" w:color="auto" w:fill="auto"/>
            <w:noWrap/>
            <w:vAlign w:val="center"/>
            <w:hideMark/>
          </w:tcPr>
          <w:p w14:paraId="2DF19632" w14:textId="77777777" w:rsidR="00CE02B0" w:rsidRPr="00894C78" w:rsidRDefault="00CE02B0" w:rsidP="008278F8">
            <w:pPr>
              <w:ind w:right="397"/>
              <w:jc w:val="right"/>
              <w:rPr>
                <w:rFonts w:ascii="Arial" w:hAnsi="Arial" w:cs="Arial"/>
                <w:b/>
                <w:bCs/>
                <w:color w:val="000000"/>
                <w:sz w:val="20"/>
                <w:szCs w:val="20"/>
              </w:rPr>
            </w:pPr>
            <w:r w:rsidRPr="00894C78">
              <w:rPr>
                <w:rFonts w:ascii="Arial" w:hAnsi="Arial" w:cs="Arial"/>
                <w:b/>
                <w:bCs/>
                <w:color w:val="000000"/>
                <w:sz w:val="20"/>
                <w:szCs w:val="20"/>
              </w:rPr>
              <w:t xml:space="preserve">         7</w:t>
            </w:r>
            <w:r w:rsidRPr="00894C78">
              <w:rPr>
                <w:rFonts w:ascii="Arial" w:hAnsi="Arial" w:cs="Arial"/>
                <w:b/>
                <w:bCs/>
                <w:color w:val="000000"/>
                <w:sz w:val="20"/>
                <w:szCs w:val="20"/>
                <w:lang w:val="en-US"/>
              </w:rPr>
              <w:t>.</w:t>
            </w:r>
            <w:r w:rsidRPr="00894C78">
              <w:rPr>
                <w:rFonts w:ascii="Arial" w:hAnsi="Arial" w:cs="Arial"/>
                <w:b/>
                <w:bCs/>
                <w:color w:val="000000"/>
                <w:sz w:val="20"/>
                <w:szCs w:val="20"/>
              </w:rPr>
              <w:t xml:space="preserve">4 </w:t>
            </w:r>
          </w:p>
        </w:tc>
      </w:tr>
      <w:tr w:rsidR="00CE02B0" w:rsidRPr="00F1379D" w14:paraId="683F7C3C" w14:textId="77777777" w:rsidTr="008278F8">
        <w:trPr>
          <w:trHeight w:val="353"/>
          <w:jc w:val="center"/>
        </w:trPr>
        <w:tc>
          <w:tcPr>
            <w:tcW w:w="1696" w:type="dxa"/>
            <w:shd w:val="clear" w:color="auto" w:fill="auto"/>
            <w:noWrap/>
            <w:vAlign w:val="center"/>
            <w:hideMark/>
          </w:tcPr>
          <w:p w14:paraId="4A1F6D63" w14:textId="77777777" w:rsidR="00CE02B0" w:rsidRPr="00894C78" w:rsidRDefault="00CE02B0" w:rsidP="008278F8">
            <w:pPr>
              <w:ind w:right="289"/>
              <w:rPr>
                <w:rFonts w:ascii="Arial" w:hAnsi="Arial" w:cs="Arial"/>
                <w:bCs/>
                <w:sz w:val="20"/>
                <w:szCs w:val="20"/>
              </w:rPr>
            </w:pPr>
            <w:r w:rsidRPr="00894C78">
              <w:rPr>
                <w:rFonts w:ascii="Arial" w:hAnsi="Arial" w:cs="Arial"/>
                <w:bCs/>
                <w:sz w:val="20"/>
                <w:szCs w:val="20"/>
              </w:rPr>
              <w:t>Railway</w:t>
            </w:r>
          </w:p>
        </w:tc>
        <w:tc>
          <w:tcPr>
            <w:tcW w:w="1985" w:type="dxa"/>
            <w:shd w:val="clear" w:color="auto" w:fill="auto"/>
            <w:noWrap/>
            <w:vAlign w:val="center"/>
            <w:hideMark/>
          </w:tcPr>
          <w:p w14:paraId="32B44775" w14:textId="77777777" w:rsidR="00CE02B0" w:rsidRPr="000F6283" w:rsidRDefault="00CE02B0" w:rsidP="008278F8">
            <w:pPr>
              <w:ind w:right="596"/>
              <w:jc w:val="right"/>
              <w:rPr>
                <w:rFonts w:ascii="Arial" w:hAnsi="Arial" w:cs="Arial"/>
                <w:color w:val="000000"/>
                <w:sz w:val="20"/>
                <w:szCs w:val="20"/>
              </w:rPr>
            </w:pPr>
            <w:r w:rsidRPr="000F6283">
              <w:rPr>
                <w:rFonts w:ascii="Arial" w:hAnsi="Arial" w:cs="Arial"/>
                <w:sz w:val="20"/>
                <w:szCs w:val="20"/>
              </w:rPr>
              <w:t xml:space="preserve">         0</w:t>
            </w:r>
            <w:r>
              <w:rPr>
                <w:rFonts w:ascii="Arial" w:hAnsi="Arial" w:cs="Arial"/>
                <w:sz w:val="20"/>
                <w:szCs w:val="20"/>
                <w:lang w:val="en-US"/>
              </w:rPr>
              <w:t>.</w:t>
            </w:r>
            <w:r w:rsidRPr="000F6283">
              <w:rPr>
                <w:rFonts w:ascii="Arial" w:hAnsi="Arial" w:cs="Arial"/>
                <w:sz w:val="20"/>
                <w:szCs w:val="20"/>
              </w:rPr>
              <w:t xml:space="preserve">4 </w:t>
            </w:r>
          </w:p>
        </w:tc>
        <w:tc>
          <w:tcPr>
            <w:tcW w:w="2126" w:type="dxa"/>
            <w:shd w:val="clear" w:color="auto" w:fill="auto"/>
            <w:noWrap/>
            <w:vAlign w:val="center"/>
            <w:hideMark/>
          </w:tcPr>
          <w:p w14:paraId="49261AD6" w14:textId="77777777" w:rsidR="00CE02B0" w:rsidRPr="000F6283" w:rsidRDefault="00CE02B0" w:rsidP="008278F8">
            <w:pPr>
              <w:ind w:right="737"/>
              <w:jc w:val="right"/>
              <w:rPr>
                <w:rFonts w:ascii="Arial" w:hAnsi="Arial" w:cs="Arial"/>
                <w:color w:val="000000"/>
                <w:sz w:val="20"/>
                <w:szCs w:val="20"/>
              </w:rPr>
            </w:pPr>
            <w:r w:rsidRPr="000F6283">
              <w:rPr>
                <w:rFonts w:ascii="Arial" w:hAnsi="Arial" w:cs="Arial"/>
                <w:sz w:val="20"/>
                <w:szCs w:val="20"/>
              </w:rPr>
              <w:t xml:space="preserve">         0</w:t>
            </w:r>
            <w:r>
              <w:rPr>
                <w:rFonts w:ascii="Arial" w:hAnsi="Arial" w:cs="Arial"/>
                <w:sz w:val="20"/>
                <w:szCs w:val="20"/>
                <w:lang w:val="en-US"/>
              </w:rPr>
              <w:t>.</w:t>
            </w:r>
            <w:r w:rsidRPr="000F6283">
              <w:rPr>
                <w:rFonts w:ascii="Arial" w:hAnsi="Arial" w:cs="Arial"/>
                <w:sz w:val="20"/>
                <w:szCs w:val="20"/>
              </w:rPr>
              <w:t xml:space="preserve">1 </w:t>
            </w:r>
          </w:p>
        </w:tc>
        <w:tc>
          <w:tcPr>
            <w:tcW w:w="1559" w:type="dxa"/>
            <w:shd w:val="clear" w:color="auto" w:fill="auto"/>
            <w:noWrap/>
            <w:vAlign w:val="center"/>
            <w:hideMark/>
          </w:tcPr>
          <w:p w14:paraId="55E05A95" w14:textId="77777777" w:rsidR="00CE02B0" w:rsidRDefault="00CE02B0" w:rsidP="008278F8">
            <w:pPr>
              <w:ind w:right="312"/>
              <w:jc w:val="right"/>
              <w:rPr>
                <w:rFonts w:ascii="Arial" w:hAnsi="Arial" w:cs="Arial"/>
                <w:color w:val="000000"/>
                <w:sz w:val="20"/>
                <w:szCs w:val="20"/>
              </w:rPr>
            </w:pPr>
            <w:r>
              <w:rPr>
                <w:rFonts w:ascii="Arial" w:hAnsi="Arial" w:cs="Arial"/>
                <w:color w:val="000000"/>
                <w:sz w:val="20"/>
                <w:szCs w:val="20"/>
              </w:rPr>
              <w:t xml:space="preserve">        </w:t>
            </w:r>
            <w:r>
              <w:rPr>
                <w:rFonts w:ascii="Arial" w:hAnsi="Arial" w:cs="Arial"/>
                <w:color w:val="000000"/>
                <w:sz w:val="20"/>
                <w:szCs w:val="20"/>
                <w:lang w:val="en-US"/>
              </w:rPr>
              <w:t>-31.7</w:t>
            </w:r>
            <w:r>
              <w:rPr>
                <w:rFonts w:ascii="Arial" w:hAnsi="Arial" w:cs="Arial"/>
                <w:color w:val="000000"/>
                <w:sz w:val="20"/>
                <w:szCs w:val="20"/>
              </w:rPr>
              <w:t xml:space="preserve"> </w:t>
            </w:r>
          </w:p>
        </w:tc>
        <w:tc>
          <w:tcPr>
            <w:tcW w:w="1560" w:type="dxa"/>
            <w:shd w:val="clear" w:color="auto" w:fill="auto"/>
            <w:noWrap/>
            <w:vAlign w:val="center"/>
            <w:hideMark/>
          </w:tcPr>
          <w:p w14:paraId="1AFFF3FA" w14:textId="77777777" w:rsidR="00CE02B0" w:rsidRDefault="00CE02B0" w:rsidP="008278F8">
            <w:pPr>
              <w:ind w:right="397"/>
              <w:jc w:val="right"/>
              <w:rPr>
                <w:rFonts w:ascii="Arial" w:hAnsi="Arial" w:cs="Arial"/>
                <w:color w:val="000000"/>
                <w:sz w:val="20"/>
                <w:szCs w:val="20"/>
              </w:rPr>
            </w:pPr>
            <w:r>
              <w:rPr>
                <w:rFonts w:ascii="Arial" w:hAnsi="Arial" w:cs="Arial"/>
                <w:color w:val="000000"/>
                <w:sz w:val="20"/>
                <w:szCs w:val="20"/>
                <w:lang w:val="en-US"/>
              </w:rPr>
              <w:t>-55.1</w:t>
            </w:r>
            <w:r>
              <w:rPr>
                <w:rFonts w:ascii="Arial" w:hAnsi="Arial" w:cs="Arial"/>
                <w:color w:val="000000"/>
                <w:sz w:val="20"/>
                <w:szCs w:val="20"/>
              </w:rPr>
              <w:t xml:space="preserve">         </w:t>
            </w:r>
          </w:p>
        </w:tc>
      </w:tr>
      <w:tr w:rsidR="00CE02B0" w:rsidRPr="00F1379D" w14:paraId="60F14326" w14:textId="77777777" w:rsidTr="008278F8">
        <w:trPr>
          <w:trHeight w:val="353"/>
          <w:jc w:val="center"/>
        </w:trPr>
        <w:tc>
          <w:tcPr>
            <w:tcW w:w="1696" w:type="dxa"/>
            <w:shd w:val="clear" w:color="auto" w:fill="auto"/>
            <w:noWrap/>
            <w:vAlign w:val="center"/>
            <w:hideMark/>
          </w:tcPr>
          <w:p w14:paraId="668DEF66" w14:textId="77777777" w:rsidR="00CE02B0" w:rsidRPr="00894C78" w:rsidRDefault="00CE02B0" w:rsidP="008278F8">
            <w:pPr>
              <w:ind w:right="289"/>
              <w:rPr>
                <w:rFonts w:ascii="Arial" w:hAnsi="Arial" w:cs="Arial"/>
                <w:bCs/>
                <w:sz w:val="20"/>
                <w:szCs w:val="20"/>
              </w:rPr>
            </w:pPr>
            <w:r w:rsidRPr="00894C78">
              <w:rPr>
                <w:rFonts w:ascii="Arial" w:hAnsi="Arial" w:cs="Arial"/>
                <w:bCs/>
                <w:sz w:val="20"/>
                <w:szCs w:val="20"/>
              </w:rPr>
              <w:t>Seaway</w:t>
            </w:r>
          </w:p>
        </w:tc>
        <w:tc>
          <w:tcPr>
            <w:tcW w:w="1985" w:type="dxa"/>
            <w:shd w:val="clear" w:color="auto" w:fill="auto"/>
            <w:noWrap/>
            <w:vAlign w:val="center"/>
            <w:hideMark/>
          </w:tcPr>
          <w:p w14:paraId="6E260194" w14:textId="77777777" w:rsidR="00CE02B0" w:rsidRPr="000F6283" w:rsidRDefault="00CE02B0" w:rsidP="008278F8">
            <w:pPr>
              <w:ind w:right="596"/>
              <w:jc w:val="right"/>
              <w:rPr>
                <w:rFonts w:ascii="Arial" w:hAnsi="Arial" w:cs="Arial"/>
                <w:color w:val="000000"/>
                <w:sz w:val="20"/>
                <w:szCs w:val="20"/>
              </w:rPr>
            </w:pPr>
            <w:r w:rsidRPr="000F6283">
              <w:rPr>
                <w:rFonts w:ascii="Arial" w:hAnsi="Arial" w:cs="Arial"/>
                <w:sz w:val="20"/>
                <w:szCs w:val="20"/>
              </w:rPr>
              <w:t xml:space="preserve">         2</w:t>
            </w:r>
            <w:r>
              <w:rPr>
                <w:rFonts w:ascii="Arial" w:hAnsi="Arial" w:cs="Arial"/>
                <w:sz w:val="20"/>
                <w:szCs w:val="20"/>
                <w:lang w:val="en-US"/>
              </w:rPr>
              <w:t>.</w:t>
            </w:r>
            <w:r w:rsidRPr="000F6283">
              <w:rPr>
                <w:rFonts w:ascii="Arial" w:hAnsi="Arial" w:cs="Arial"/>
                <w:sz w:val="20"/>
                <w:szCs w:val="20"/>
              </w:rPr>
              <w:t xml:space="preserve">2 </w:t>
            </w:r>
          </w:p>
        </w:tc>
        <w:tc>
          <w:tcPr>
            <w:tcW w:w="2126" w:type="dxa"/>
            <w:shd w:val="clear" w:color="auto" w:fill="auto"/>
            <w:noWrap/>
            <w:vAlign w:val="center"/>
            <w:hideMark/>
          </w:tcPr>
          <w:p w14:paraId="43178FB0" w14:textId="77777777" w:rsidR="00CE02B0" w:rsidRPr="000F6283" w:rsidRDefault="00CE02B0" w:rsidP="008278F8">
            <w:pPr>
              <w:ind w:right="737"/>
              <w:jc w:val="right"/>
              <w:rPr>
                <w:rFonts w:ascii="Arial" w:hAnsi="Arial" w:cs="Arial"/>
                <w:color w:val="000000"/>
                <w:sz w:val="20"/>
                <w:szCs w:val="20"/>
              </w:rPr>
            </w:pPr>
            <w:r w:rsidRPr="000F6283">
              <w:rPr>
                <w:rFonts w:ascii="Arial" w:hAnsi="Arial" w:cs="Arial"/>
                <w:sz w:val="20"/>
                <w:szCs w:val="20"/>
              </w:rPr>
              <w:t xml:space="preserve">         0</w:t>
            </w:r>
            <w:r>
              <w:rPr>
                <w:rFonts w:ascii="Arial" w:hAnsi="Arial" w:cs="Arial"/>
                <w:sz w:val="20"/>
                <w:szCs w:val="20"/>
                <w:lang w:val="en-US"/>
              </w:rPr>
              <w:t>.09</w:t>
            </w:r>
            <w:r w:rsidRPr="000F6283">
              <w:rPr>
                <w:rFonts w:ascii="Arial" w:hAnsi="Arial" w:cs="Arial"/>
                <w:sz w:val="20"/>
                <w:szCs w:val="20"/>
              </w:rPr>
              <w:t xml:space="preserve"> </w:t>
            </w:r>
          </w:p>
        </w:tc>
        <w:tc>
          <w:tcPr>
            <w:tcW w:w="1559" w:type="dxa"/>
            <w:shd w:val="clear" w:color="auto" w:fill="auto"/>
            <w:noWrap/>
            <w:vAlign w:val="center"/>
            <w:hideMark/>
          </w:tcPr>
          <w:p w14:paraId="79F035C4" w14:textId="77777777" w:rsidR="00CE02B0" w:rsidRPr="00B949A2" w:rsidRDefault="00CE02B0" w:rsidP="008278F8">
            <w:pPr>
              <w:ind w:right="312"/>
              <w:jc w:val="right"/>
              <w:rPr>
                <w:rFonts w:ascii="Arial" w:hAnsi="Arial" w:cs="Arial"/>
                <w:color w:val="000000"/>
                <w:sz w:val="22"/>
                <w:szCs w:val="22"/>
              </w:rPr>
            </w:pPr>
            <w:r>
              <w:rPr>
                <w:rFonts w:ascii="Arial" w:hAnsi="Arial" w:cs="Arial"/>
                <w:color w:val="000000"/>
                <w:sz w:val="20"/>
                <w:szCs w:val="20"/>
              </w:rPr>
              <w:t xml:space="preserve">           16</w:t>
            </w:r>
            <w:r>
              <w:rPr>
                <w:rFonts w:ascii="Arial" w:hAnsi="Arial" w:cs="Arial"/>
                <w:color w:val="000000"/>
                <w:sz w:val="20"/>
                <w:szCs w:val="20"/>
                <w:lang w:val="en-US"/>
              </w:rPr>
              <w:t>.</w:t>
            </w:r>
            <w:r>
              <w:rPr>
                <w:rFonts w:ascii="Arial" w:hAnsi="Arial" w:cs="Arial"/>
                <w:color w:val="000000"/>
                <w:sz w:val="20"/>
                <w:szCs w:val="20"/>
              </w:rPr>
              <w:t xml:space="preserve">9 </w:t>
            </w:r>
          </w:p>
        </w:tc>
        <w:tc>
          <w:tcPr>
            <w:tcW w:w="1560" w:type="dxa"/>
            <w:shd w:val="clear" w:color="auto" w:fill="auto"/>
            <w:noWrap/>
            <w:vAlign w:val="center"/>
            <w:hideMark/>
          </w:tcPr>
          <w:p w14:paraId="0F4B9073" w14:textId="77777777" w:rsidR="00CE02B0" w:rsidRPr="00B949A2" w:rsidRDefault="00CE02B0" w:rsidP="008278F8">
            <w:pPr>
              <w:ind w:right="397"/>
              <w:jc w:val="right"/>
              <w:rPr>
                <w:rFonts w:ascii="Arial" w:hAnsi="Arial" w:cs="Arial"/>
                <w:color w:val="000000"/>
                <w:sz w:val="22"/>
                <w:szCs w:val="22"/>
              </w:rPr>
            </w:pPr>
            <w:r>
              <w:rPr>
                <w:rFonts w:ascii="Arial" w:hAnsi="Arial" w:cs="Arial"/>
                <w:color w:val="000000"/>
                <w:sz w:val="20"/>
                <w:szCs w:val="20"/>
              </w:rPr>
              <w:t xml:space="preserve">       18</w:t>
            </w:r>
            <w:r>
              <w:rPr>
                <w:rFonts w:ascii="Arial" w:hAnsi="Arial" w:cs="Arial"/>
                <w:color w:val="000000"/>
                <w:sz w:val="20"/>
                <w:szCs w:val="20"/>
                <w:lang w:val="en-US"/>
              </w:rPr>
              <w:t>.</w:t>
            </w:r>
            <w:r>
              <w:rPr>
                <w:rFonts w:ascii="Arial" w:hAnsi="Arial" w:cs="Arial"/>
                <w:color w:val="000000"/>
                <w:sz w:val="20"/>
                <w:szCs w:val="20"/>
              </w:rPr>
              <w:t xml:space="preserve">0 </w:t>
            </w:r>
          </w:p>
        </w:tc>
      </w:tr>
      <w:tr w:rsidR="00CE02B0" w:rsidRPr="00F1379D" w14:paraId="4FC30DA0" w14:textId="77777777" w:rsidTr="008278F8">
        <w:trPr>
          <w:trHeight w:val="353"/>
          <w:jc w:val="center"/>
        </w:trPr>
        <w:tc>
          <w:tcPr>
            <w:tcW w:w="1696" w:type="dxa"/>
            <w:shd w:val="clear" w:color="auto" w:fill="auto"/>
            <w:noWrap/>
            <w:vAlign w:val="center"/>
            <w:hideMark/>
          </w:tcPr>
          <w:p w14:paraId="22A9EB90" w14:textId="77777777" w:rsidR="00CE02B0" w:rsidRPr="00894C78" w:rsidRDefault="00CE02B0" w:rsidP="008278F8">
            <w:pPr>
              <w:ind w:right="-5"/>
              <w:rPr>
                <w:rFonts w:ascii="Arial" w:hAnsi="Arial" w:cs="Arial"/>
                <w:bCs/>
                <w:sz w:val="20"/>
                <w:szCs w:val="20"/>
              </w:rPr>
            </w:pPr>
            <w:r>
              <w:rPr>
                <w:rFonts w:ascii="Arial" w:hAnsi="Arial" w:cs="Arial"/>
                <w:bCs/>
                <w:sz w:val="20"/>
                <w:szCs w:val="20"/>
              </w:rPr>
              <w:t>Inland w</w:t>
            </w:r>
            <w:r w:rsidRPr="00894C78">
              <w:rPr>
                <w:rFonts w:ascii="Arial" w:hAnsi="Arial" w:cs="Arial"/>
                <w:bCs/>
                <w:sz w:val="20"/>
                <w:szCs w:val="20"/>
              </w:rPr>
              <w:t>aterway</w:t>
            </w:r>
          </w:p>
        </w:tc>
        <w:tc>
          <w:tcPr>
            <w:tcW w:w="1985" w:type="dxa"/>
            <w:shd w:val="clear" w:color="auto" w:fill="auto"/>
            <w:noWrap/>
            <w:vAlign w:val="center"/>
            <w:hideMark/>
          </w:tcPr>
          <w:p w14:paraId="6BBEB639" w14:textId="77777777" w:rsidR="00CE02B0" w:rsidRPr="000F6283" w:rsidRDefault="00CE02B0" w:rsidP="008278F8">
            <w:pPr>
              <w:ind w:right="596"/>
              <w:jc w:val="right"/>
              <w:rPr>
                <w:rFonts w:ascii="Arial" w:hAnsi="Arial" w:cs="Arial"/>
                <w:color w:val="000000"/>
                <w:sz w:val="20"/>
                <w:szCs w:val="20"/>
              </w:rPr>
            </w:pPr>
            <w:r w:rsidRPr="000F6283">
              <w:rPr>
                <w:rFonts w:ascii="Arial" w:hAnsi="Arial" w:cs="Arial"/>
                <w:sz w:val="20"/>
                <w:szCs w:val="20"/>
              </w:rPr>
              <w:t xml:space="preserve">       31</w:t>
            </w:r>
            <w:r>
              <w:rPr>
                <w:rFonts w:ascii="Arial" w:hAnsi="Arial" w:cs="Arial"/>
                <w:sz w:val="20"/>
                <w:szCs w:val="20"/>
                <w:lang w:val="en-US"/>
              </w:rPr>
              <w:t>.</w:t>
            </w:r>
            <w:r w:rsidRPr="000F6283">
              <w:rPr>
                <w:rFonts w:ascii="Arial" w:hAnsi="Arial" w:cs="Arial"/>
                <w:sz w:val="20"/>
                <w:szCs w:val="20"/>
              </w:rPr>
              <w:t xml:space="preserve">3 </w:t>
            </w:r>
          </w:p>
        </w:tc>
        <w:tc>
          <w:tcPr>
            <w:tcW w:w="2126" w:type="dxa"/>
            <w:shd w:val="clear" w:color="auto" w:fill="auto"/>
            <w:noWrap/>
            <w:vAlign w:val="center"/>
            <w:hideMark/>
          </w:tcPr>
          <w:p w14:paraId="0E618A6B" w14:textId="77777777" w:rsidR="00CE02B0" w:rsidRPr="000F6283" w:rsidRDefault="00CE02B0" w:rsidP="008278F8">
            <w:pPr>
              <w:ind w:right="737"/>
              <w:jc w:val="right"/>
              <w:rPr>
                <w:rFonts w:ascii="Arial" w:hAnsi="Arial" w:cs="Arial"/>
                <w:color w:val="000000"/>
                <w:sz w:val="20"/>
                <w:szCs w:val="20"/>
              </w:rPr>
            </w:pPr>
            <w:r w:rsidRPr="000F6283">
              <w:rPr>
                <w:rFonts w:ascii="Arial" w:hAnsi="Arial" w:cs="Arial"/>
                <w:sz w:val="20"/>
                <w:szCs w:val="20"/>
              </w:rPr>
              <w:t xml:space="preserve">         0</w:t>
            </w:r>
            <w:r>
              <w:rPr>
                <w:rFonts w:ascii="Arial" w:hAnsi="Arial" w:cs="Arial"/>
                <w:sz w:val="20"/>
                <w:szCs w:val="20"/>
                <w:lang w:val="en-US"/>
              </w:rPr>
              <w:t>.</w:t>
            </w:r>
            <w:r w:rsidRPr="000F6283">
              <w:rPr>
                <w:rFonts w:ascii="Arial" w:hAnsi="Arial" w:cs="Arial"/>
                <w:sz w:val="20"/>
                <w:szCs w:val="20"/>
              </w:rPr>
              <w:t xml:space="preserve">4 </w:t>
            </w:r>
          </w:p>
        </w:tc>
        <w:tc>
          <w:tcPr>
            <w:tcW w:w="1559" w:type="dxa"/>
            <w:shd w:val="clear" w:color="auto" w:fill="auto"/>
            <w:noWrap/>
            <w:vAlign w:val="center"/>
            <w:hideMark/>
          </w:tcPr>
          <w:p w14:paraId="4F07D8F4" w14:textId="77777777" w:rsidR="00CE02B0" w:rsidRPr="00B949A2" w:rsidRDefault="00CE02B0" w:rsidP="008278F8">
            <w:pPr>
              <w:ind w:right="312"/>
              <w:jc w:val="right"/>
              <w:rPr>
                <w:rFonts w:ascii="Arial" w:hAnsi="Arial" w:cs="Arial"/>
                <w:color w:val="000000"/>
                <w:sz w:val="22"/>
                <w:szCs w:val="22"/>
              </w:rPr>
            </w:pPr>
            <w:r>
              <w:rPr>
                <w:rFonts w:ascii="Arial" w:hAnsi="Arial" w:cs="Arial"/>
                <w:color w:val="000000"/>
                <w:sz w:val="20"/>
                <w:szCs w:val="20"/>
              </w:rPr>
              <w:t xml:space="preserve">             7</w:t>
            </w:r>
            <w:r>
              <w:rPr>
                <w:rFonts w:ascii="Arial" w:hAnsi="Arial" w:cs="Arial"/>
                <w:color w:val="000000"/>
                <w:sz w:val="20"/>
                <w:szCs w:val="20"/>
                <w:lang w:val="en-US"/>
              </w:rPr>
              <w:t>.</w:t>
            </w:r>
            <w:r>
              <w:rPr>
                <w:rFonts w:ascii="Arial" w:hAnsi="Arial" w:cs="Arial"/>
                <w:color w:val="000000"/>
                <w:sz w:val="20"/>
                <w:szCs w:val="20"/>
              </w:rPr>
              <w:t xml:space="preserve">2 </w:t>
            </w:r>
          </w:p>
        </w:tc>
        <w:tc>
          <w:tcPr>
            <w:tcW w:w="1560" w:type="dxa"/>
            <w:shd w:val="clear" w:color="auto" w:fill="auto"/>
            <w:noWrap/>
            <w:vAlign w:val="center"/>
            <w:hideMark/>
          </w:tcPr>
          <w:p w14:paraId="7B1AD750" w14:textId="77777777" w:rsidR="00CE02B0" w:rsidRPr="00B949A2" w:rsidRDefault="00CE02B0" w:rsidP="008278F8">
            <w:pPr>
              <w:ind w:right="397"/>
              <w:jc w:val="right"/>
              <w:rPr>
                <w:rFonts w:ascii="Arial" w:hAnsi="Arial" w:cs="Arial"/>
                <w:color w:val="000000"/>
                <w:sz w:val="22"/>
                <w:szCs w:val="22"/>
              </w:rPr>
            </w:pPr>
            <w:r>
              <w:rPr>
                <w:rFonts w:ascii="Arial" w:hAnsi="Arial" w:cs="Arial"/>
                <w:color w:val="000000"/>
                <w:sz w:val="20"/>
                <w:szCs w:val="20"/>
              </w:rPr>
              <w:t xml:space="preserve">        </w:t>
            </w:r>
            <w:r>
              <w:rPr>
                <w:rFonts w:ascii="Arial" w:hAnsi="Arial" w:cs="Arial"/>
                <w:color w:val="000000"/>
                <w:sz w:val="20"/>
                <w:szCs w:val="20"/>
                <w:lang w:val="en-US"/>
              </w:rPr>
              <w:t>-</w:t>
            </w:r>
            <w:r>
              <w:rPr>
                <w:rFonts w:ascii="Arial" w:hAnsi="Arial" w:cs="Arial"/>
                <w:color w:val="000000"/>
                <w:sz w:val="20"/>
                <w:szCs w:val="20"/>
              </w:rPr>
              <w:t>8</w:t>
            </w:r>
            <w:r>
              <w:rPr>
                <w:rFonts w:ascii="Arial" w:hAnsi="Arial" w:cs="Arial"/>
                <w:color w:val="000000"/>
                <w:sz w:val="20"/>
                <w:szCs w:val="20"/>
                <w:lang w:val="en-US"/>
              </w:rPr>
              <w:t>.</w:t>
            </w:r>
            <w:r>
              <w:rPr>
                <w:rFonts w:ascii="Arial" w:hAnsi="Arial" w:cs="Arial"/>
                <w:color w:val="000000"/>
                <w:sz w:val="20"/>
                <w:szCs w:val="20"/>
              </w:rPr>
              <w:t>1</w:t>
            </w:r>
          </w:p>
        </w:tc>
      </w:tr>
      <w:tr w:rsidR="00CE02B0" w:rsidRPr="00F1379D" w14:paraId="47CF53DC" w14:textId="77777777" w:rsidTr="008278F8">
        <w:trPr>
          <w:trHeight w:val="353"/>
          <w:jc w:val="center"/>
        </w:trPr>
        <w:tc>
          <w:tcPr>
            <w:tcW w:w="1696" w:type="dxa"/>
            <w:shd w:val="clear" w:color="auto" w:fill="auto"/>
            <w:noWrap/>
            <w:vAlign w:val="center"/>
            <w:hideMark/>
          </w:tcPr>
          <w:p w14:paraId="08EE8CD1" w14:textId="77777777" w:rsidR="00CE02B0" w:rsidRPr="00894C78" w:rsidRDefault="00CE02B0" w:rsidP="008278F8">
            <w:pPr>
              <w:ind w:right="289"/>
              <w:rPr>
                <w:rFonts w:ascii="Arial" w:hAnsi="Arial" w:cs="Arial"/>
                <w:bCs/>
                <w:sz w:val="20"/>
                <w:szCs w:val="20"/>
              </w:rPr>
            </w:pPr>
            <w:r w:rsidRPr="00894C78">
              <w:rPr>
                <w:rFonts w:ascii="Arial" w:hAnsi="Arial" w:cs="Arial"/>
                <w:bCs/>
                <w:sz w:val="20"/>
                <w:szCs w:val="20"/>
              </w:rPr>
              <w:t>Road</w:t>
            </w:r>
          </w:p>
        </w:tc>
        <w:tc>
          <w:tcPr>
            <w:tcW w:w="1985" w:type="dxa"/>
            <w:shd w:val="clear" w:color="auto" w:fill="auto"/>
            <w:noWrap/>
            <w:vAlign w:val="center"/>
            <w:hideMark/>
          </w:tcPr>
          <w:p w14:paraId="429CF1A9" w14:textId="77777777" w:rsidR="00CE02B0" w:rsidRPr="000F6283" w:rsidRDefault="00CE02B0" w:rsidP="008278F8">
            <w:pPr>
              <w:ind w:right="596"/>
              <w:jc w:val="right"/>
              <w:rPr>
                <w:rFonts w:ascii="Arial" w:hAnsi="Arial" w:cs="Arial"/>
                <w:color w:val="000000"/>
                <w:sz w:val="20"/>
                <w:szCs w:val="20"/>
              </w:rPr>
            </w:pPr>
            <w:r w:rsidRPr="000F6283">
              <w:rPr>
                <w:rFonts w:ascii="Arial" w:hAnsi="Arial" w:cs="Arial"/>
                <w:sz w:val="20"/>
                <w:szCs w:val="20"/>
              </w:rPr>
              <w:t xml:space="preserve">     353</w:t>
            </w:r>
            <w:r>
              <w:rPr>
                <w:rFonts w:ascii="Arial" w:hAnsi="Arial" w:cs="Arial"/>
                <w:sz w:val="20"/>
                <w:szCs w:val="20"/>
                <w:lang w:val="en-US"/>
              </w:rPr>
              <w:t>.</w:t>
            </w:r>
            <w:r w:rsidRPr="000F6283">
              <w:rPr>
                <w:rFonts w:ascii="Arial" w:hAnsi="Arial" w:cs="Arial"/>
                <w:sz w:val="20"/>
                <w:szCs w:val="20"/>
              </w:rPr>
              <w:t xml:space="preserve">7 </w:t>
            </w:r>
          </w:p>
        </w:tc>
        <w:tc>
          <w:tcPr>
            <w:tcW w:w="2126" w:type="dxa"/>
            <w:shd w:val="clear" w:color="auto" w:fill="auto"/>
            <w:noWrap/>
            <w:vAlign w:val="center"/>
            <w:hideMark/>
          </w:tcPr>
          <w:p w14:paraId="19EFC207" w14:textId="77777777" w:rsidR="00CE02B0" w:rsidRPr="000F6283" w:rsidRDefault="00CE02B0" w:rsidP="008278F8">
            <w:pPr>
              <w:ind w:right="737"/>
              <w:jc w:val="right"/>
              <w:rPr>
                <w:rFonts w:ascii="Arial" w:hAnsi="Arial" w:cs="Arial"/>
                <w:color w:val="000000"/>
                <w:sz w:val="20"/>
                <w:szCs w:val="20"/>
              </w:rPr>
            </w:pPr>
            <w:r w:rsidRPr="000F6283">
              <w:rPr>
                <w:rFonts w:ascii="Arial" w:hAnsi="Arial" w:cs="Arial"/>
                <w:sz w:val="20"/>
                <w:szCs w:val="20"/>
              </w:rPr>
              <w:t xml:space="preserve">       14</w:t>
            </w:r>
            <w:r>
              <w:rPr>
                <w:rFonts w:ascii="Arial" w:hAnsi="Arial" w:cs="Arial"/>
                <w:sz w:val="20"/>
                <w:szCs w:val="20"/>
                <w:lang w:val="en-US"/>
              </w:rPr>
              <w:t>.</w:t>
            </w:r>
            <w:r w:rsidRPr="000F6283">
              <w:rPr>
                <w:rFonts w:ascii="Arial" w:hAnsi="Arial" w:cs="Arial"/>
                <w:sz w:val="20"/>
                <w:szCs w:val="20"/>
              </w:rPr>
              <w:t xml:space="preserve">4 </w:t>
            </w:r>
          </w:p>
        </w:tc>
        <w:tc>
          <w:tcPr>
            <w:tcW w:w="1559" w:type="dxa"/>
            <w:shd w:val="clear" w:color="auto" w:fill="auto"/>
            <w:noWrap/>
            <w:vAlign w:val="center"/>
            <w:hideMark/>
          </w:tcPr>
          <w:p w14:paraId="1DF35405" w14:textId="77777777" w:rsidR="00CE02B0" w:rsidRPr="00B949A2" w:rsidRDefault="00CE02B0" w:rsidP="008278F8">
            <w:pPr>
              <w:ind w:right="312"/>
              <w:jc w:val="right"/>
              <w:rPr>
                <w:rFonts w:ascii="Arial" w:hAnsi="Arial" w:cs="Arial"/>
                <w:color w:val="000000"/>
                <w:sz w:val="22"/>
                <w:szCs w:val="22"/>
              </w:rPr>
            </w:pPr>
            <w:r>
              <w:rPr>
                <w:rFonts w:ascii="Arial" w:hAnsi="Arial" w:cs="Arial"/>
                <w:color w:val="000000"/>
                <w:sz w:val="20"/>
                <w:szCs w:val="20"/>
              </w:rPr>
              <w:t xml:space="preserve">             5</w:t>
            </w:r>
            <w:r>
              <w:rPr>
                <w:rFonts w:ascii="Arial" w:hAnsi="Arial" w:cs="Arial"/>
                <w:color w:val="000000"/>
                <w:sz w:val="20"/>
                <w:szCs w:val="20"/>
                <w:lang w:val="en-US"/>
              </w:rPr>
              <w:t>.</w:t>
            </w:r>
            <w:r>
              <w:rPr>
                <w:rFonts w:ascii="Arial" w:hAnsi="Arial" w:cs="Arial"/>
                <w:color w:val="000000"/>
                <w:sz w:val="20"/>
                <w:szCs w:val="20"/>
              </w:rPr>
              <w:t xml:space="preserve">4 </w:t>
            </w:r>
          </w:p>
        </w:tc>
        <w:tc>
          <w:tcPr>
            <w:tcW w:w="1560" w:type="dxa"/>
            <w:shd w:val="clear" w:color="auto" w:fill="auto"/>
            <w:noWrap/>
            <w:vAlign w:val="center"/>
            <w:hideMark/>
          </w:tcPr>
          <w:p w14:paraId="1AEB169D" w14:textId="77777777" w:rsidR="00CE02B0" w:rsidRPr="00B949A2" w:rsidRDefault="00CE02B0" w:rsidP="008278F8">
            <w:pPr>
              <w:ind w:right="397"/>
              <w:jc w:val="right"/>
              <w:rPr>
                <w:rFonts w:ascii="Arial" w:hAnsi="Arial" w:cs="Arial"/>
                <w:color w:val="000000"/>
                <w:sz w:val="22"/>
                <w:szCs w:val="22"/>
              </w:rPr>
            </w:pPr>
            <w:r>
              <w:rPr>
                <w:rFonts w:ascii="Arial" w:hAnsi="Arial" w:cs="Arial"/>
                <w:color w:val="000000"/>
                <w:sz w:val="20"/>
                <w:szCs w:val="20"/>
              </w:rPr>
              <w:t xml:space="preserve">         9</w:t>
            </w:r>
            <w:r>
              <w:rPr>
                <w:rFonts w:ascii="Arial" w:hAnsi="Arial" w:cs="Arial"/>
                <w:color w:val="000000"/>
                <w:sz w:val="20"/>
                <w:szCs w:val="20"/>
                <w:lang w:val="en-US"/>
              </w:rPr>
              <w:t>.</w:t>
            </w:r>
            <w:r>
              <w:rPr>
                <w:rFonts w:ascii="Arial" w:hAnsi="Arial" w:cs="Arial"/>
                <w:color w:val="000000"/>
                <w:sz w:val="20"/>
                <w:szCs w:val="20"/>
              </w:rPr>
              <w:t xml:space="preserve">0 </w:t>
            </w:r>
          </w:p>
        </w:tc>
      </w:tr>
      <w:tr w:rsidR="00CE02B0" w:rsidRPr="00F1379D" w14:paraId="503795D2" w14:textId="77777777" w:rsidTr="008278F8">
        <w:trPr>
          <w:trHeight w:val="353"/>
          <w:jc w:val="center"/>
        </w:trPr>
        <w:tc>
          <w:tcPr>
            <w:tcW w:w="1696" w:type="dxa"/>
            <w:tcBorders>
              <w:bottom w:val="single" w:sz="4" w:space="0" w:color="auto"/>
            </w:tcBorders>
            <w:shd w:val="clear" w:color="auto" w:fill="auto"/>
            <w:noWrap/>
            <w:vAlign w:val="center"/>
            <w:hideMark/>
          </w:tcPr>
          <w:p w14:paraId="77D0FC0E" w14:textId="77777777" w:rsidR="00CE02B0" w:rsidRPr="00894C78" w:rsidRDefault="00CE02B0" w:rsidP="008278F8">
            <w:pPr>
              <w:ind w:right="289"/>
              <w:rPr>
                <w:rFonts w:ascii="Arial" w:hAnsi="Arial" w:cs="Arial"/>
                <w:bCs/>
                <w:sz w:val="20"/>
                <w:szCs w:val="20"/>
              </w:rPr>
            </w:pPr>
            <w:r w:rsidRPr="00894C78">
              <w:rPr>
                <w:rFonts w:ascii="Arial" w:hAnsi="Arial" w:cs="Arial"/>
                <w:bCs/>
                <w:sz w:val="20"/>
                <w:szCs w:val="20"/>
              </w:rPr>
              <w:t>Airway</w:t>
            </w:r>
          </w:p>
        </w:tc>
        <w:tc>
          <w:tcPr>
            <w:tcW w:w="1985" w:type="dxa"/>
            <w:tcBorders>
              <w:bottom w:val="single" w:sz="4" w:space="0" w:color="auto"/>
            </w:tcBorders>
            <w:shd w:val="clear" w:color="auto" w:fill="auto"/>
            <w:noWrap/>
            <w:vAlign w:val="center"/>
            <w:hideMark/>
          </w:tcPr>
          <w:p w14:paraId="27629CD3" w14:textId="77777777" w:rsidR="00CE02B0" w:rsidRPr="000F6283" w:rsidRDefault="00CE02B0" w:rsidP="008278F8">
            <w:pPr>
              <w:ind w:right="596"/>
              <w:jc w:val="right"/>
              <w:rPr>
                <w:rFonts w:ascii="Arial" w:hAnsi="Arial" w:cs="Arial"/>
                <w:color w:val="000000"/>
                <w:sz w:val="20"/>
                <w:szCs w:val="20"/>
              </w:rPr>
            </w:pPr>
            <w:r w:rsidRPr="000F6283">
              <w:rPr>
                <w:rFonts w:ascii="Arial" w:hAnsi="Arial" w:cs="Arial"/>
                <w:sz w:val="20"/>
                <w:szCs w:val="20"/>
              </w:rPr>
              <w:t xml:space="preserve">         5</w:t>
            </w:r>
            <w:r>
              <w:rPr>
                <w:rFonts w:ascii="Arial" w:hAnsi="Arial" w:cs="Arial"/>
                <w:sz w:val="20"/>
                <w:szCs w:val="20"/>
                <w:lang w:val="en-US"/>
              </w:rPr>
              <w:t>.</w:t>
            </w:r>
            <w:r w:rsidRPr="000F6283">
              <w:rPr>
                <w:rFonts w:ascii="Arial" w:hAnsi="Arial" w:cs="Arial"/>
                <w:sz w:val="20"/>
                <w:szCs w:val="20"/>
              </w:rPr>
              <w:t xml:space="preserve">1 </w:t>
            </w:r>
          </w:p>
        </w:tc>
        <w:tc>
          <w:tcPr>
            <w:tcW w:w="2126" w:type="dxa"/>
            <w:tcBorders>
              <w:bottom w:val="single" w:sz="4" w:space="0" w:color="auto"/>
            </w:tcBorders>
            <w:shd w:val="clear" w:color="auto" w:fill="auto"/>
            <w:noWrap/>
            <w:vAlign w:val="center"/>
            <w:hideMark/>
          </w:tcPr>
          <w:p w14:paraId="0D270852" w14:textId="77777777" w:rsidR="00CE02B0" w:rsidRPr="000F6283" w:rsidRDefault="00CE02B0" w:rsidP="008278F8">
            <w:pPr>
              <w:ind w:right="737"/>
              <w:jc w:val="right"/>
              <w:rPr>
                <w:rFonts w:ascii="Arial" w:hAnsi="Arial" w:cs="Arial"/>
                <w:color w:val="000000"/>
                <w:sz w:val="20"/>
                <w:szCs w:val="20"/>
              </w:rPr>
            </w:pPr>
            <w:r w:rsidRPr="000F6283">
              <w:rPr>
                <w:rFonts w:ascii="Arial" w:hAnsi="Arial" w:cs="Arial"/>
                <w:sz w:val="20"/>
                <w:szCs w:val="20"/>
              </w:rPr>
              <w:t xml:space="preserve">         7</w:t>
            </w:r>
            <w:r>
              <w:rPr>
                <w:rFonts w:ascii="Arial" w:hAnsi="Arial" w:cs="Arial"/>
                <w:sz w:val="20"/>
                <w:szCs w:val="20"/>
                <w:lang w:val="en-US"/>
              </w:rPr>
              <w:t>.</w:t>
            </w:r>
            <w:r>
              <w:rPr>
                <w:rFonts w:ascii="Arial" w:hAnsi="Arial" w:cs="Arial"/>
                <w:sz w:val="20"/>
                <w:szCs w:val="20"/>
              </w:rPr>
              <w:t>7</w:t>
            </w:r>
          </w:p>
        </w:tc>
        <w:tc>
          <w:tcPr>
            <w:tcW w:w="1559" w:type="dxa"/>
            <w:tcBorders>
              <w:bottom w:val="single" w:sz="4" w:space="0" w:color="auto"/>
            </w:tcBorders>
            <w:shd w:val="clear" w:color="auto" w:fill="auto"/>
            <w:noWrap/>
            <w:vAlign w:val="center"/>
            <w:hideMark/>
          </w:tcPr>
          <w:p w14:paraId="2D76F813" w14:textId="77777777" w:rsidR="00CE02B0" w:rsidRPr="00B949A2" w:rsidRDefault="00CE02B0" w:rsidP="008278F8">
            <w:pPr>
              <w:ind w:right="312"/>
              <w:jc w:val="right"/>
              <w:rPr>
                <w:rFonts w:ascii="Arial" w:hAnsi="Arial" w:cs="Arial"/>
                <w:color w:val="000000"/>
                <w:sz w:val="22"/>
                <w:szCs w:val="22"/>
              </w:rPr>
            </w:pPr>
            <w:r>
              <w:rPr>
                <w:rFonts w:ascii="Arial" w:hAnsi="Arial" w:cs="Arial"/>
                <w:color w:val="000000"/>
                <w:sz w:val="20"/>
                <w:szCs w:val="20"/>
              </w:rPr>
              <w:t xml:space="preserve">             1</w:t>
            </w:r>
            <w:r>
              <w:rPr>
                <w:rFonts w:ascii="Arial" w:hAnsi="Arial" w:cs="Arial"/>
                <w:color w:val="000000"/>
                <w:sz w:val="20"/>
                <w:szCs w:val="20"/>
                <w:lang w:val="en-US"/>
              </w:rPr>
              <w:t>.</w:t>
            </w:r>
            <w:r>
              <w:rPr>
                <w:rFonts w:ascii="Arial" w:hAnsi="Arial" w:cs="Arial"/>
                <w:color w:val="000000"/>
                <w:sz w:val="20"/>
                <w:szCs w:val="20"/>
              </w:rPr>
              <w:t xml:space="preserve">4 </w:t>
            </w:r>
          </w:p>
        </w:tc>
        <w:tc>
          <w:tcPr>
            <w:tcW w:w="1560" w:type="dxa"/>
            <w:tcBorders>
              <w:bottom w:val="single" w:sz="4" w:space="0" w:color="auto"/>
            </w:tcBorders>
            <w:shd w:val="clear" w:color="auto" w:fill="auto"/>
            <w:noWrap/>
            <w:vAlign w:val="center"/>
            <w:hideMark/>
          </w:tcPr>
          <w:p w14:paraId="4817B2EA" w14:textId="77777777" w:rsidR="00CE02B0" w:rsidRPr="00B949A2" w:rsidRDefault="00CE02B0" w:rsidP="008278F8">
            <w:pPr>
              <w:ind w:right="397"/>
              <w:jc w:val="right"/>
              <w:rPr>
                <w:rFonts w:ascii="Arial" w:hAnsi="Arial" w:cs="Arial"/>
                <w:color w:val="000000"/>
                <w:sz w:val="22"/>
                <w:szCs w:val="22"/>
              </w:rPr>
            </w:pPr>
            <w:r>
              <w:rPr>
                <w:rFonts w:ascii="Arial" w:hAnsi="Arial" w:cs="Arial"/>
                <w:color w:val="000000"/>
                <w:sz w:val="20"/>
                <w:szCs w:val="20"/>
              </w:rPr>
              <w:t xml:space="preserve">         8</w:t>
            </w:r>
            <w:r>
              <w:rPr>
                <w:rFonts w:ascii="Arial" w:hAnsi="Arial" w:cs="Arial"/>
                <w:color w:val="000000"/>
                <w:sz w:val="20"/>
                <w:szCs w:val="20"/>
                <w:lang w:val="en-US"/>
              </w:rPr>
              <w:t>.</w:t>
            </w:r>
            <w:r>
              <w:rPr>
                <w:rFonts w:ascii="Arial" w:hAnsi="Arial" w:cs="Arial"/>
                <w:color w:val="000000"/>
                <w:sz w:val="20"/>
                <w:szCs w:val="20"/>
              </w:rPr>
              <w:t xml:space="preserve">0 </w:t>
            </w:r>
          </w:p>
        </w:tc>
      </w:tr>
    </w:tbl>
    <w:p w14:paraId="7F7B78D2" w14:textId="77777777" w:rsidR="00CE02B0" w:rsidRDefault="00CE02B0" w:rsidP="00CE02B0">
      <w:pPr>
        <w:spacing w:before="120" w:after="120" w:line="276" w:lineRule="auto"/>
        <w:ind w:firstLine="720"/>
        <w:jc w:val="both"/>
        <w:rPr>
          <w:bCs/>
          <w:iCs/>
          <w:spacing w:val="4"/>
        </w:rPr>
      </w:pPr>
      <w:r w:rsidRPr="001471CC">
        <w:rPr>
          <w:bCs/>
          <w:i/>
          <w:spacing w:val="-4"/>
          <w:lang w:val="fr-FR"/>
        </w:rPr>
        <w:t>Freight carried</w:t>
      </w:r>
      <w:r w:rsidRPr="00CF7B18">
        <w:rPr>
          <w:bCs/>
          <w:iCs/>
          <w:spacing w:val="-4"/>
          <w:lang w:val="fr-FR"/>
        </w:rPr>
        <w:t xml:space="preserve"> </w:t>
      </w:r>
      <w:r w:rsidRPr="00E34057">
        <w:rPr>
          <w:spacing w:val="-2"/>
          <w:lang w:val="fr-FR"/>
        </w:rPr>
        <w:t xml:space="preserve">in </w:t>
      </w:r>
      <w:r>
        <w:rPr>
          <w:lang w:val="pt-BR"/>
        </w:rPr>
        <w:t>January 2024</w:t>
      </w:r>
      <w:r w:rsidRPr="00E34057">
        <w:rPr>
          <w:spacing w:val="-2"/>
          <w:lang w:val="fr-FR"/>
        </w:rPr>
        <w:t xml:space="preserve"> </w:t>
      </w:r>
      <w:r w:rsidRPr="00CF7B18">
        <w:rPr>
          <w:bCs/>
          <w:iCs/>
          <w:spacing w:val="-4"/>
          <w:lang w:val="fr-FR"/>
        </w:rPr>
        <w:t xml:space="preserve">was estimated at </w:t>
      </w:r>
      <w:r w:rsidRPr="00AC04B0">
        <w:rPr>
          <w:bCs/>
          <w:iCs/>
          <w:spacing w:val="-4"/>
          <w:lang w:val="fr-FR"/>
        </w:rPr>
        <w:t>205</w:t>
      </w:r>
      <w:r>
        <w:rPr>
          <w:bCs/>
          <w:iCs/>
          <w:spacing w:val="-4"/>
          <w:lang w:val="fr-FR"/>
        </w:rPr>
        <w:t xml:space="preserve"> </w:t>
      </w:r>
      <w:r w:rsidRPr="00CF7B18">
        <w:rPr>
          <w:bCs/>
          <w:iCs/>
          <w:spacing w:val="-4"/>
          <w:lang w:val="fr-FR"/>
        </w:rPr>
        <w:t>million tons</w:t>
      </w:r>
      <w:r>
        <w:rPr>
          <w:bCs/>
          <w:iCs/>
          <w:spacing w:val="-4"/>
          <w:lang w:val="fr-FR"/>
        </w:rPr>
        <w:t>,</w:t>
      </w:r>
      <w:r w:rsidRPr="00CF7B18">
        <w:rPr>
          <w:bCs/>
          <w:iCs/>
          <w:spacing w:val="-4"/>
          <w:lang w:val="fr-FR"/>
        </w:rPr>
        <w:t xml:space="preserve"> increased by </w:t>
      </w:r>
      <w:r w:rsidRPr="00AC04B0">
        <w:rPr>
          <w:bCs/>
          <w:iCs/>
          <w:spacing w:val="-4"/>
          <w:lang w:val="fr-FR"/>
        </w:rPr>
        <w:t>1</w:t>
      </w:r>
      <w:r>
        <w:rPr>
          <w:bCs/>
          <w:iCs/>
          <w:spacing w:val="-4"/>
          <w:lang w:val="fr-FR"/>
        </w:rPr>
        <w:t>.</w:t>
      </w:r>
      <w:r w:rsidRPr="00AC04B0">
        <w:rPr>
          <w:bCs/>
          <w:iCs/>
          <w:spacing w:val="-4"/>
          <w:lang w:val="fr-FR"/>
        </w:rPr>
        <w:t>8</w:t>
      </w:r>
      <w:r w:rsidRPr="00CF7B18">
        <w:rPr>
          <w:bCs/>
          <w:iCs/>
          <w:spacing w:val="-4"/>
          <w:lang w:val="fr-FR"/>
        </w:rPr>
        <w:t>% compared to the previous month</w:t>
      </w:r>
      <w:r>
        <w:rPr>
          <w:bCs/>
          <w:iCs/>
          <w:spacing w:val="-4"/>
          <w:lang w:val="fr-FR"/>
        </w:rPr>
        <w:t>,</w:t>
      </w:r>
      <w:r w:rsidRPr="00CF7B18">
        <w:rPr>
          <w:bCs/>
          <w:iCs/>
          <w:spacing w:val="-4"/>
          <w:lang w:val="fr-FR"/>
        </w:rPr>
        <w:t xml:space="preserve"> and </w:t>
      </w:r>
      <w:r>
        <w:rPr>
          <w:bCs/>
          <w:iCs/>
          <w:spacing w:val="-4"/>
          <w:lang w:val="fr-FR"/>
        </w:rPr>
        <w:t>up</w:t>
      </w:r>
      <w:r w:rsidRPr="00CF7B18">
        <w:rPr>
          <w:bCs/>
          <w:iCs/>
          <w:spacing w:val="-4"/>
          <w:lang w:val="fr-FR"/>
        </w:rPr>
        <w:t xml:space="preserve"> </w:t>
      </w:r>
      <w:r w:rsidRPr="00AC04B0">
        <w:rPr>
          <w:bCs/>
          <w:iCs/>
          <w:spacing w:val="-4"/>
          <w:lang w:val="fr-FR"/>
        </w:rPr>
        <w:t>11</w:t>
      </w:r>
      <w:r>
        <w:rPr>
          <w:bCs/>
          <w:iCs/>
          <w:spacing w:val="-4"/>
          <w:lang w:val="fr-FR"/>
        </w:rPr>
        <w:t>.</w:t>
      </w:r>
      <w:r w:rsidRPr="00AC04B0">
        <w:rPr>
          <w:bCs/>
          <w:iCs/>
          <w:spacing w:val="-4"/>
          <w:lang w:val="fr-FR"/>
        </w:rPr>
        <w:t>5</w:t>
      </w:r>
      <w:r w:rsidRPr="00CF7B18">
        <w:rPr>
          <w:bCs/>
          <w:iCs/>
          <w:spacing w:val="-4"/>
          <w:lang w:val="fr-FR"/>
        </w:rPr>
        <w:t>% against the similar period last year</w:t>
      </w:r>
      <w:r>
        <w:rPr>
          <w:bCs/>
          <w:iCs/>
          <w:spacing w:val="-4"/>
          <w:lang w:val="fr-FR"/>
        </w:rPr>
        <w:t xml:space="preserve">, </w:t>
      </w:r>
      <w:r w:rsidRPr="00CF7B18">
        <w:rPr>
          <w:bCs/>
          <w:iCs/>
          <w:spacing w:val="-4"/>
          <w:lang w:val="fr-FR"/>
        </w:rPr>
        <w:t xml:space="preserve">freight traffic gained </w:t>
      </w:r>
      <w:r>
        <w:rPr>
          <w:bCs/>
          <w:iCs/>
          <w:spacing w:val="4"/>
          <w:lang w:val="en-US"/>
        </w:rPr>
        <w:t>43</w:t>
      </w:r>
      <w:r w:rsidRPr="00CF7B18">
        <w:rPr>
          <w:bCs/>
          <w:iCs/>
          <w:spacing w:val="-4"/>
          <w:lang w:val="fr-FR"/>
        </w:rPr>
        <w:t xml:space="preserve"> billion tons-km</w:t>
      </w:r>
      <w:r>
        <w:rPr>
          <w:bCs/>
          <w:iCs/>
          <w:spacing w:val="-4"/>
          <w:lang w:val="fr-FR"/>
        </w:rPr>
        <w:t>,</w:t>
      </w:r>
      <w:r w:rsidRPr="00CF7B18">
        <w:rPr>
          <w:bCs/>
          <w:iCs/>
          <w:spacing w:val="-4"/>
          <w:lang w:val="fr-FR"/>
        </w:rPr>
        <w:t xml:space="preserve"> </w:t>
      </w:r>
      <w:r>
        <w:rPr>
          <w:bCs/>
          <w:iCs/>
          <w:spacing w:val="-4"/>
          <w:lang w:val="fr-FR"/>
        </w:rPr>
        <w:t>down by</w:t>
      </w:r>
      <w:r w:rsidRPr="00CF7B18">
        <w:rPr>
          <w:bCs/>
          <w:iCs/>
          <w:spacing w:val="-4"/>
          <w:lang w:val="fr-FR"/>
        </w:rPr>
        <w:t xml:space="preserve"> </w:t>
      </w:r>
      <w:r>
        <w:rPr>
          <w:bCs/>
          <w:iCs/>
          <w:spacing w:val="4"/>
          <w:lang w:val="en-US"/>
        </w:rPr>
        <w:t>0.2</w:t>
      </w:r>
      <w:r w:rsidRPr="00AC3D49">
        <w:rPr>
          <w:bCs/>
          <w:iCs/>
          <w:spacing w:val="4"/>
        </w:rPr>
        <w:t xml:space="preserve">% </w:t>
      </w:r>
      <w:r>
        <w:rPr>
          <w:bCs/>
          <w:iCs/>
          <w:spacing w:val="-4"/>
          <w:lang w:val="fr-FR"/>
        </w:rPr>
        <w:t xml:space="preserve">and </w:t>
      </w:r>
      <w:r w:rsidRPr="00CF7B18">
        <w:rPr>
          <w:bCs/>
          <w:iCs/>
          <w:spacing w:val="-4"/>
          <w:lang w:val="fr-FR"/>
        </w:rPr>
        <w:t>increased</w:t>
      </w:r>
      <w:r>
        <w:rPr>
          <w:bCs/>
          <w:iCs/>
          <w:spacing w:val="-4"/>
          <w:lang w:val="fr-FR"/>
        </w:rPr>
        <w:t xml:space="preserve"> by </w:t>
      </w:r>
      <w:r>
        <w:rPr>
          <w:spacing w:val="4"/>
          <w:lang w:val="en-US"/>
        </w:rPr>
        <w:t>13.8</w:t>
      </w:r>
      <w:r w:rsidRPr="00851384">
        <w:rPr>
          <w:spacing w:val="4"/>
        </w:rPr>
        <w:t>%</w:t>
      </w:r>
      <w:r w:rsidRPr="00CF7B18">
        <w:rPr>
          <w:bCs/>
          <w:iCs/>
          <w:spacing w:val="-4"/>
          <w:lang w:val="fr-FR"/>
        </w:rPr>
        <w:t>.</w:t>
      </w:r>
      <w:r>
        <w:rPr>
          <w:bCs/>
          <w:iCs/>
          <w:spacing w:val="-4"/>
          <w:lang w:val="fr-FR"/>
        </w:rPr>
        <w:t xml:space="preserve"> </w:t>
      </w:r>
      <w:r w:rsidRPr="007A574F">
        <w:rPr>
          <w:spacing w:val="-4"/>
          <w:lang w:val="fr-FR"/>
        </w:rPr>
        <w:t>Of which</w:t>
      </w:r>
      <w:r>
        <w:rPr>
          <w:spacing w:val="-4"/>
          <w:lang w:val="fr-FR"/>
        </w:rPr>
        <w:t>,</w:t>
      </w:r>
      <w:r w:rsidRPr="007A574F">
        <w:rPr>
          <w:spacing w:val="-4"/>
          <w:lang w:val="fr-FR"/>
        </w:rPr>
        <w:t xml:space="preserve"> domestic freight carried recorded </w:t>
      </w:r>
      <w:r w:rsidRPr="00EA7744">
        <w:rPr>
          <w:spacing w:val="-4"/>
          <w:lang w:val="fr-FR"/>
        </w:rPr>
        <w:t>201</w:t>
      </w:r>
      <w:r>
        <w:rPr>
          <w:spacing w:val="-4"/>
          <w:lang w:val="fr-FR"/>
        </w:rPr>
        <w:t>.</w:t>
      </w:r>
      <w:r w:rsidRPr="00EA7744">
        <w:rPr>
          <w:spacing w:val="-4"/>
          <w:lang w:val="fr-FR"/>
        </w:rPr>
        <w:t xml:space="preserve">3 </w:t>
      </w:r>
      <w:r w:rsidRPr="007A574F">
        <w:rPr>
          <w:spacing w:val="-4"/>
          <w:lang w:val="fr-FR"/>
        </w:rPr>
        <w:t>million tons</w:t>
      </w:r>
      <w:r>
        <w:rPr>
          <w:spacing w:val="-4"/>
          <w:lang w:val="fr-FR"/>
        </w:rPr>
        <w:t>,</w:t>
      </w:r>
      <w:r w:rsidRPr="007A574F">
        <w:rPr>
          <w:spacing w:val="-4"/>
          <w:lang w:val="fr-FR"/>
        </w:rPr>
        <w:t xml:space="preserve"> a</w:t>
      </w:r>
      <w:r>
        <w:rPr>
          <w:spacing w:val="-4"/>
          <w:lang w:val="fr-FR"/>
        </w:rPr>
        <w:t>n</w:t>
      </w:r>
      <w:r w:rsidRPr="007A574F">
        <w:rPr>
          <w:spacing w:val="-4"/>
          <w:lang w:val="fr-FR"/>
        </w:rPr>
        <w:t xml:space="preserve"> </w:t>
      </w:r>
      <w:r>
        <w:rPr>
          <w:spacing w:val="-4"/>
          <w:lang w:val="fr-FR"/>
        </w:rPr>
        <w:t>in</w:t>
      </w:r>
      <w:r w:rsidRPr="007A574F">
        <w:rPr>
          <w:spacing w:val="-4"/>
          <w:lang w:val="fr-FR"/>
        </w:rPr>
        <w:t xml:space="preserve">crease of </w:t>
      </w:r>
      <w:r w:rsidRPr="00EA7744">
        <w:rPr>
          <w:spacing w:val="-4"/>
          <w:lang w:val="fr-FR"/>
        </w:rPr>
        <w:t>11</w:t>
      </w:r>
      <w:r>
        <w:rPr>
          <w:spacing w:val="-4"/>
          <w:lang w:val="fr-FR"/>
        </w:rPr>
        <w:t>.</w:t>
      </w:r>
      <w:r w:rsidRPr="00EA7744">
        <w:rPr>
          <w:spacing w:val="-4"/>
          <w:lang w:val="fr-FR"/>
        </w:rPr>
        <w:t xml:space="preserve">8% </w:t>
      </w:r>
      <w:r w:rsidRPr="007A574F">
        <w:rPr>
          <w:spacing w:val="-4"/>
          <w:lang w:val="fr-FR"/>
        </w:rPr>
        <w:t xml:space="preserve">and </w:t>
      </w:r>
      <w:r w:rsidRPr="00EA7744">
        <w:rPr>
          <w:spacing w:val="-4"/>
          <w:lang w:val="fr-FR"/>
        </w:rPr>
        <w:t>27</w:t>
      </w:r>
      <w:r>
        <w:rPr>
          <w:spacing w:val="-4"/>
          <w:lang w:val="fr-FR"/>
        </w:rPr>
        <w:t>.</w:t>
      </w:r>
      <w:r w:rsidRPr="00EA7744">
        <w:rPr>
          <w:spacing w:val="-4"/>
          <w:lang w:val="fr-FR"/>
        </w:rPr>
        <w:t xml:space="preserve">5 </w:t>
      </w:r>
      <w:r w:rsidRPr="007A574F">
        <w:rPr>
          <w:spacing w:val="-4"/>
          <w:lang w:val="fr-FR"/>
        </w:rPr>
        <w:t>billion tons-km</w:t>
      </w:r>
      <w:r>
        <w:rPr>
          <w:spacing w:val="-4"/>
          <w:lang w:val="fr-FR"/>
        </w:rPr>
        <w:t>,</w:t>
      </w:r>
      <w:r w:rsidRPr="007A574F">
        <w:rPr>
          <w:spacing w:val="-4"/>
          <w:lang w:val="fr-FR"/>
        </w:rPr>
        <w:t xml:space="preserve"> up </w:t>
      </w:r>
      <w:r w:rsidRPr="00EA7744">
        <w:rPr>
          <w:spacing w:val="-4"/>
          <w:lang w:val="fr-FR"/>
        </w:rPr>
        <w:t>16</w:t>
      </w:r>
      <w:r>
        <w:rPr>
          <w:spacing w:val="-4"/>
          <w:lang w:val="fr-FR"/>
        </w:rPr>
        <w:t>.</w:t>
      </w:r>
      <w:r w:rsidRPr="00EA7744">
        <w:rPr>
          <w:spacing w:val="-4"/>
          <w:lang w:val="fr-FR"/>
        </w:rPr>
        <w:t>8%</w:t>
      </w:r>
      <w:r w:rsidRPr="007A574F">
        <w:rPr>
          <w:spacing w:val="-4"/>
          <w:lang w:val="fr-FR"/>
        </w:rPr>
        <w:t xml:space="preserve">; oversea freight reached </w:t>
      </w:r>
      <w:r w:rsidRPr="00EA7744">
        <w:rPr>
          <w:spacing w:val="-4"/>
          <w:lang w:val="fr-FR"/>
        </w:rPr>
        <w:t>3</w:t>
      </w:r>
      <w:r>
        <w:rPr>
          <w:spacing w:val="-4"/>
          <w:lang w:val="fr-FR"/>
        </w:rPr>
        <w:t>.</w:t>
      </w:r>
      <w:r w:rsidRPr="00EA7744">
        <w:rPr>
          <w:spacing w:val="-4"/>
          <w:lang w:val="fr-FR"/>
        </w:rPr>
        <w:t xml:space="preserve">7 </w:t>
      </w:r>
      <w:r w:rsidRPr="007A574F">
        <w:rPr>
          <w:spacing w:val="-4"/>
          <w:lang w:val="fr-FR"/>
        </w:rPr>
        <w:t>million tons</w:t>
      </w:r>
      <w:r>
        <w:rPr>
          <w:spacing w:val="-4"/>
          <w:lang w:val="fr-FR"/>
        </w:rPr>
        <w:t>,</w:t>
      </w:r>
      <w:r w:rsidRPr="007A574F">
        <w:rPr>
          <w:spacing w:val="-4"/>
          <w:lang w:val="fr-FR"/>
        </w:rPr>
        <w:t xml:space="preserve"> </w:t>
      </w:r>
      <w:r>
        <w:rPr>
          <w:spacing w:val="-4"/>
          <w:lang w:val="fr-FR"/>
        </w:rPr>
        <w:t>in</w:t>
      </w:r>
      <w:r w:rsidRPr="007A574F">
        <w:rPr>
          <w:spacing w:val="-4"/>
          <w:lang w:val="fr-FR"/>
        </w:rPr>
        <w:t xml:space="preserve">creasing by </w:t>
      </w:r>
      <w:r w:rsidRPr="00EA7744">
        <w:rPr>
          <w:spacing w:val="-4"/>
          <w:lang w:val="fr-FR"/>
        </w:rPr>
        <w:t>0</w:t>
      </w:r>
      <w:r>
        <w:rPr>
          <w:spacing w:val="-4"/>
          <w:lang w:val="fr-FR"/>
        </w:rPr>
        <w:t>.</w:t>
      </w:r>
      <w:r w:rsidRPr="00EA7744">
        <w:rPr>
          <w:spacing w:val="-4"/>
          <w:lang w:val="fr-FR"/>
        </w:rPr>
        <w:t>1</w:t>
      </w:r>
      <w:r w:rsidRPr="007A574F">
        <w:rPr>
          <w:spacing w:val="-4"/>
          <w:lang w:val="fr-FR"/>
        </w:rPr>
        <w:t xml:space="preserve">% and </w:t>
      </w:r>
      <w:r w:rsidRPr="00EA7744">
        <w:rPr>
          <w:spacing w:val="-4"/>
          <w:lang w:val="fr-FR"/>
        </w:rPr>
        <w:t>15</w:t>
      </w:r>
      <w:r>
        <w:rPr>
          <w:spacing w:val="-4"/>
          <w:lang w:val="fr-FR"/>
        </w:rPr>
        <w:t>.</w:t>
      </w:r>
      <w:r w:rsidRPr="00EA7744">
        <w:rPr>
          <w:spacing w:val="-4"/>
          <w:lang w:val="fr-FR"/>
        </w:rPr>
        <w:t xml:space="preserve">5 </w:t>
      </w:r>
      <w:r w:rsidRPr="007A574F">
        <w:rPr>
          <w:spacing w:val="-4"/>
          <w:lang w:val="fr-FR"/>
        </w:rPr>
        <w:t>billion tons-km</w:t>
      </w:r>
      <w:r>
        <w:rPr>
          <w:spacing w:val="-4"/>
          <w:lang w:val="fr-FR"/>
        </w:rPr>
        <w:t>,</w:t>
      </w:r>
      <w:r w:rsidRPr="007A574F">
        <w:rPr>
          <w:spacing w:val="-4"/>
          <w:lang w:val="fr-FR"/>
        </w:rPr>
        <w:t xml:space="preserve"> </w:t>
      </w:r>
      <w:r>
        <w:rPr>
          <w:bCs/>
          <w:iCs/>
          <w:spacing w:val="-4"/>
          <w:lang w:val="fr-FR"/>
        </w:rPr>
        <w:t>de</w:t>
      </w:r>
      <w:r w:rsidRPr="00CF7B18">
        <w:rPr>
          <w:bCs/>
          <w:iCs/>
          <w:spacing w:val="-4"/>
          <w:lang w:val="fr-FR"/>
        </w:rPr>
        <w:t>creased</w:t>
      </w:r>
      <w:r>
        <w:rPr>
          <w:bCs/>
          <w:iCs/>
          <w:spacing w:val="-4"/>
          <w:lang w:val="fr-FR"/>
        </w:rPr>
        <w:t xml:space="preserve"> by</w:t>
      </w:r>
      <w:r w:rsidRPr="007A574F">
        <w:rPr>
          <w:spacing w:val="-4"/>
          <w:lang w:val="fr-FR"/>
        </w:rPr>
        <w:t xml:space="preserve"> </w:t>
      </w:r>
      <w:r>
        <w:rPr>
          <w:bCs/>
          <w:iCs/>
          <w:spacing w:val="4"/>
          <w:lang w:val="en-US"/>
        </w:rPr>
        <w:t>8.8%</w:t>
      </w:r>
      <w:r w:rsidRPr="00AC3D49">
        <w:rPr>
          <w:bCs/>
          <w:iCs/>
          <w:spacing w:val="4"/>
        </w:rPr>
        <w:t>.</w:t>
      </w:r>
    </w:p>
    <w:p w14:paraId="3ED700D5" w14:textId="77777777" w:rsidR="00CE02B0" w:rsidRPr="00CF7B18" w:rsidRDefault="00CE02B0" w:rsidP="00CE02B0">
      <w:pPr>
        <w:spacing w:before="120" w:after="120" w:line="276" w:lineRule="auto"/>
        <w:ind w:firstLine="720"/>
        <w:jc w:val="both"/>
        <w:rPr>
          <w:bCs/>
          <w:iCs/>
          <w:lang w:val="fr-FR"/>
        </w:rPr>
      </w:pPr>
      <w:r w:rsidRPr="00EA7744">
        <w:rPr>
          <w:bCs/>
          <w:iCs/>
          <w:lang w:val="fr-FR"/>
        </w:rPr>
        <w:t xml:space="preserve">In terms of transportation industry, all </w:t>
      </w:r>
      <w:r>
        <w:rPr>
          <w:bCs/>
          <w:iCs/>
          <w:lang w:val="fr-FR"/>
        </w:rPr>
        <w:t>types of tranport</w:t>
      </w:r>
      <w:r w:rsidRPr="00EA7744">
        <w:rPr>
          <w:bCs/>
          <w:iCs/>
          <w:lang w:val="fr-FR"/>
        </w:rPr>
        <w:t xml:space="preserve"> in January 2024 had a positive growth rate compared to the same period last year due to increased transportation of goods to serve domestic production and consumption needs.</w:t>
      </w:r>
    </w:p>
    <w:p w14:paraId="5947BE9F" w14:textId="77777777" w:rsidR="00CE02B0" w:rsidRPr="00952A02" w:rsidRDefault="00CE02B0" w:rsidP="00CE02B0">
      <w:pPr>
        <w:spacing w:before="120" w:line="276" w:lineRule="auto"/>
        <w:jc w:val="center"/>
        <w:rPr>
          <w:rFonts w:ascii="Arial" w:hAnsi="Arial" w:cs="Arial"/>
          <w:b/>
          <w:bCs/>
          <w:sz w:val="24"/>
          <w:szCs w:val="24"/>
          <w:lang w:val="fr-FR"/>
        </w:rPr>
      </w:pPr>
      <w:r w:rsidRPr="00952A02">
        <w:rPr>
          <w:rFonts w:ascii="Arial" w:hAnsi="Arial" w:cs="Arial"/>
          <w:b/>
          <w:bCs/>
          <w:sz w:val="24"/>
          <w:szCs w:val="24"/>
        </w:rPr>
        <w:t xml:space="preserve">Table 7. </w:t>
      </w:r>
      <w:r w:rsidRPr="00952A02">
        <w:rPr>
          <w:rFonts w:ascii="Arial" w:hAnsi="Arial" w:cs="Arial"/>
          <w:b/>
          <w:bCs/>
          <w:sz w:val="24"/>
          <w:szCs w:val="24"/>
          <w:lang w:val="fr-FR"/>
        </w:rPr>
        <w:t xml:space="preserve">Carriage of freight in </w:t>
      </w:r>
      <w:r w:rsidRPr="00952A02">
        <w:rPr>
          <w:rFonts w:ascii="Arial" w:hAnsi="Arial" w:cs="Arial"/>
          <w:b/>
          <w:bCs/>
          <w:iCs/>
          <w:sz w:val="24"/>
          <w:szCs w:val="24"/>
          <w:lang w:val="fr-FR"/>
        </w:rPr>
        <w:t>January 202</w:t>
      </w:r>
      <w:r>
        <w:rPr>
          <w:rFonts w:ascii="Arial" w:hAnsi="Arial" w:cs="Arial"/>
          <w:b/>
          <w:bCs/>
          <w:iCs/>
          <w:sz w:val="24"/>
          <w:szCs w:val="24"/>
          <w:lang w:val="fr-FR"/>
        </w:rPr>
        <w:t>4</w:t>
      </w:r>
      <w:r w:rsidRPr="00952A02">
        <w:rPr>
          <w:rFonts w:ascii="Arial" w:hAnsi="Arial" w:cs="Arial"/>
          <w:b/>
          <w:bCs/>
          <w:iCs/>
          <w:sz w:val="24"/>
          <w:szCs w:val="24"/>
          <w:lang w:val="fr-FR"/>
        </w:rPr>
        <w:t xml:space="preserve"> </w:t>
      </w:r>
      <w:r w:rsidRPr="00952A02">
        <w:rPr>
          <w:rFonts w:ascii="Arial" w:hAnsi="Arial" w:cs="Arial"/>
          <w:b/>
          <w:bCs/>
          <w:sz w:val="24"/>
          <w:szCs w:val="24"/>
          <w:lang w:val="fr-FR"/>
        </w:rPr>
        <w:t>by types of transport</w:t>
      </w:r>
    </w:p>
    <w:p w14:paraId="3068D266" w14:textId="77777777" w:rsidR="00CE02B0" w:rsidRPr="004268AF" w:rsidRDefault="00CE02B0" w:rsidP="00CE02B0">
      <w:pPr>
        <w:spacing w:line="276" w:lineRule="auto"/>
        <w:jc w:val="center"/>
        <w:rPr>
          <w:rFonts w:ascii="Arial" w:hAnsi="Arial" w:cs="Arial"/>
          <w:b/>
          <w:bCs/>
          <w:sz w:val="12"/>
          <w:szCs w:val="24"/>
          <w:lang w:val="fr-FR"/>
        </w:rPr>
      </w:pPr>
    </w:p>
    <w:p w14:paraId="405C5777" w14:textId="77777777" w:rsidR="00CE02B0" w:rsidRPr="00E64F1F" w:rsidRDefault="00CE02B0" w:rsidP="00CE02B0">
      <w:pPr>
        <w:spacing w:before="120" w:line="276" w:lineRule="auto"/>
        <w:jc w:val="center"/>
        <w:rPr>
          <w:rFonts w:ascii="Arial" w:hAnsi="Arial" w:cs="Arial"/>
          <w:b/>
          <w:bCs/>
          <w:sz w:val="2"/>
          <w:szCs w:val="24"/>
          <w:lang w:val="fr-FR"/>
        </w:rPr>
      </w:pPr>
    </w:p>
    <w:tbl>
      <w:tblPr>
        <w:tblW w:w="8770" w:type="dxa"/>
        <w:jc w:val="center"/>
        <w:tblLook w:val="04A0" w:firstRow="1" w:lastRow="0" w:firstColumn="1" w:lastColumn="0" w:noHBand="0" w:noVBand="1"/>
      </w:tblPr>
      <w:tblGrid>
        <w:gridCol w:w="2387"/>
        <w:gridCol w:w="1571"/>
        <w:gridCol w:w="1406"/>
        <w:gridCol w:w="318"/>
        <w:gridCol w:w="1542"/>
        <w:gridCol w:w="1546"/>
      </w:tblGrid>
      <w:tr w:rsidR="00CE02B0" w:rsidRPr="00BF0F45" w14:paraId="194C31C5" w14:textId="77777777" w:rsidTr="008278F8">
        <w:trPr>
          <w:cantSplit/>
          <w:trHeight w:val="495"/>
          <w:jc w:val="center"/>
        </w:trPr>
        <w:tc>
          <w:tcPr>
            <w:tcW w:w="2387" w:type="dxa"/>
            <w:tcBorders>
              <w:top w:val="single" w:sz="4" w:space="0" w:color="auto"/>
            </w:tcBorders>
            <w:shd w:val="clear" w:color="auto" w:fill="auto"/>
            <w:noWrap/>
            <w:vAlign w:val="center"/>
            <w:hideMark/>
          </w:tcPr>
          <w:p w14:paraId="319443DA" w14:textId="77777777" w:rsidR="00CE02B0" w:rsidRPr="00BF0F45" w:rsidRDefault="00CE02B0" w:rsidP="008278F8">
            <w:pPr>
              <w:contextualSpacing/>
              <w:jc w:val="center"/>
              <w:rPr>
                <w:rFonts w:ascii="Arial" w:hAnsi="Arial" w:cs="Arial"/>
                <w:b/>
                <w:bCs/>
                <w:sz w:val="18"/>
                <w:szCs w:val="18"/>
                <w:lang w:eastAsia="vi-VN"/>
              </w:rPr>
            </w:pPr>
          </w:p>
        </w:tc>
        <w:tc>
          <w:tcPr>
            <w:tcW w:w="2977" w:type="dxa"/>
            <w:gridSpan w:val="2"/>
            <w:tcBorders>
              <w:top w:val="single" w:sz="4" w:space="0" w:color="auto"/>
              <w:bottom w:val="single" w:sz="4" w:space="0" w:color="auto"/>
            </w:tcBorders>
            <w:shd w:val="clear" w:color="auto" w:fill="auto"/>
            <w:noWrap/>
            <w:vAlign w:val="center"/>
            <w:hideMark/>
          </w:tcPr>
          <w:p w14:paraId="1FFBD0F2" w14:textId="77777777" w:rsidR="00CE02B0" w:rsidRPr="00BF0F45" w:rsidRDefault="00CE02B0" w:rsidP="008278F8">
            <w:pPr>
              <w:ind w:right="97"/>
              <w:contextualSpacing/>
              <w:jc w:val="center"/>
              <w:rPr>
                <w:rFonts w:ascii="Arial" w:hAnsi="Arial" w:cs="Arial"/>
                <w:b/>
                <w:bCs/>
                <w:sz w:val="18"/>
                <w:szCs w:val="18"/>
              </w:rPr>
            </w:pPr>
            <w:r w:rsidRPr="00BF0F45">
              <w:rPr>
                <w:rFonts w:ascii="Arial" w:hAnsi="Arial" w:cs="Arial"/>
                <w:color w:val="000000"/>
                <w:sz w:val="18"/>
                <w:szCs w:val="18"/>
                <w:lang w:eastAsia="vi-VN"/>
              </w:rPr>
              <w:t>Quantity of goods</w:t>
            </w:r>
          </w:p>
        </w:tc>
        <w:tc>
          <w:tcPr>
            <w:tcW w:w="318" w:type="dxa"/>
            <w:tcBorders>
              <w:top w:val="single" w:sz="4" w:space="0" w:color="auto"/>
            </w:tcBorders>
            <w:shd w:val="clear" w:color="auto" w:fill="auto"/>
            <w:noWrap/>
            <w:vAlign w:val="center"/>
            <w:hideMark/>
          </w:tcPr>
          <w:p w14:paraId="1A8BAA16" w14:textId="77777777" w:rsidR="00CE02B0" w:rsidRPr="00BF0F45" w:rsidRDefault="00CE02B0" w:rsidP="008278F8">
            <w:pPr>
              <w:contextualSpacing/>
              <w:jc w:val="center"/>
              <w:rPr>
                <w:rFonts w:ascii="Arial" w:hAnsi="Arial" w:cs="Arial"/>
                <w:b/>
                <w:bCs/>
                <w:sz w:val="18"/>
                <w:szCs w:val="18"/>
              </w:rPr>
            </w:pPr>
            <w:r w:rsidRPr="00BF0F45">
              <w:rPr>
                <w:rFonts w:ascii="Arial" w:hAnsi="Arial" w:cs="Arial"/>
                <w:color w:val="000000"/>
                <w:sz w:val="18"/>
                <w:szCs w:val="18"/>
                <w:lang w:eastAsia="vi-VN"/>
              </w:rPr>
              <w:t> </w:t>
            </w:r>
          </w:p>
        </w:tc>
        <w:tc>
          <w:tcPr>
            <w:tcW w:w="3088" w:type="dxa"/>
            <w:gridSpan w:val="2"/>
            <w:tcBorders>
              <w:top w:val="single" w:sz="4" w:space="0" w:color="auto"/>
              <w:bottom w:val="single" w:sz="4" w:space="0" w:color="auto"/>
            </w:tcBorders>
            <w:shd w:val="clear" w:color="auto" w:fill="auto"/>
            <w:noWrap/>
            <w:vAlign w:val="center"/>
            <w:hideMark/>
          </w:tcPr>
          <w:p w14:paraId="7B08BD1E" w14:textId="77777777" w:rsidR="00CE02B0" w:rsidRPr="00BF0F45" w:rsidRDefault="00CE02B0" w:rsidP="008278F8">
            <w:pPr>
              <w:ind w:right="381"/>
              <w:contextualSpacing/>
              <w:jc w:val="center"/>
              <w:rPr>
                <w:rFonts w:ascii="Arial" w:hAnsi="Arial" w:cs="Arial"/>
                <w:b/>
                <w:bCs/>
                <w:sz w:val="18"/>
                <w:szCs w:val="18"/>
              </w:rPr>
            </w:pPr>
            <w:r w:rsidRPr="00BF0F45">
              <w:rPr>
                <w:rFonts w:ascii="Arial" w:hAnsi="Arial" w:cs="Arial"/>
                <w:color w:val="000000"/>
                <w:sz w:val="18"/>
                <w:szCs w:val="18"/>
                <w:lang w:eastAsia="vi-VN"/>
              </w:rPr>
              <w:t>The growth rate</w:t>
            </w:r>
            <w:r>
              <w:rPr>
                <w:rFonts w:ascii="Arial" w:hAnsi="Arial" w:cs="Arial"/>
                <w:color w:val="000000"/>
                <w:sz w:val="18"/>
                <w:szCs w:val="18"/>
                <w:lang w:val="en-US" w:eastAsia="vi-VN"/>
              </w:rPr>
              <w:t xml:space="preserve"> </w:t>
            </w:r>
            <w:r w:rsidRPr="00BF0F45">
              <w:rPr>
                <w:rFonts w:ascii="Arial" w:hAnsi="Arial" w:cs="Arial"/>
                <w:color w:val="000000"/>
                <w:sz w:val="18"/>
                <w:szCs w:val="18"/>
                <w:lang w:eastAsia="vi-VN"/>
              </w:rPr>
              <w:t>compared to the same period last year (%)</w:t>
            </w:r>
          </w:p>
        </w:tc>
      </w:tr>
      <w:tr w:rsidR="00CE02B0" w:rsidRPr="00BF0F45" w14:paraId="7AC1F0D2" w14:textId="77777777" w:rsidTr="008278F8">
        <w:trPr>
          <w:cantSplit/>
          <w:trHeight w:val="460"/>
          <w:jc w:val="center"/>
        </w:trPr>
        <w:tc>
          <w:tcPr>
            <w:tcW w:w="2387" w:type="dxa"/>
            <w:shd w:val="clear" w:color="auto" w:fill="auto"/>
            <w:noWrap/>
            <w:vAlign w:val="center"/>
            <w:hideMark/>
          </w:tcPr>
          <w:p w14:paraId="1B1E0E70" w14:textId="77777777" w:rsidR="00CE02B0" w:rsidRPr="00BF0F45" w:rsidRDefault="00CE02B0" w:rsidP="008278F8">
            <w:pPr>
              <w:contextualSpacing/>
              <w:jc w:val="center"/>
              <w:rPr>
                <w:rFonts w:ascii="Arial" w:hAnsi="Arial" w:cs="Arial"/>
                <w:b/>
                <w:bCs/>
                <w:sz w:val="18"/>
                <w:szCs w:val="18"/>
                <w:lang w:eastAsia="vi-VN"/>
              </w:rPr>
            </w:pPr>
          </w:p>
        </w:tc>
        <w:tc>
          <w:tcPr>
            <w:tcW w:w="1571" w:type="dxa"/>
            <w:tcBorders>
              <w:top w:val="single" w:sz="4" w:space="0" w:color="auto"/>
              <w:bottom w:val="single" w:sz="4" w:space="0" w:color="auto"/>
            </w:tcBorders>
            <w:shd w:val="clear" w:color="auto" w:fill="auto"/>
            <w:noWrap/>
            <w:vAlign w:val="center"/>
            <w:hideMark/>
          </w:tcPr>
          <w:p w14:paraId="6B1C972E" w14:textId="77777777" w:rsidR="00CE02B0" w:rsidRPr="00BF0F45" w:rsidRDefault="00CE02B0" w:rsidP="008278F8">
            <w:pPr>
              <w:contextualSpacing/>
              <w:jc w:val="center"/>
              <w:rPr>
                <w:rFonts w:ascii="Arial" w:hAnsi="Arial" w:cs="Arial"/>
                <w:sz w:val="18"/>
                <w:szCs w:val="18"/>
                <w:lang w:eastAsia="vi-VN"/>
              </w:rPr>
            </w:pPr>
            <w:r w:rsidRPr="00BF0F45">
              <w:rPr>
                <w:rFonts w:ascii="Arial" w:hAnsi="Arial" w:cs="Arial"/>
                <w:sz w:val="18"/>
                <w:szCs w:val="18"/>
                <w:lang w:eastAsia="vi-VN"/>
              </w:rPr>
              <w:t>Carried</w:t>
            </w:r>
            <w:r w:rsidRPr="00BF0F45">
              <w:rPr>
                <w:rFonts w:ascii="Arial" w:hAnsi="Arial" w:cs="Arial"/>
                <w:sz w:val="18"/>
                <w:szCs w:val="18"/>
                <w:lang w:eastAsia="vi-VN"/>
              </w:rPr>
              <w:br/>
              <w:t>(Mill. tons)</w:t>
            </w:r>
          </w:p>
        </w:tc>
        <w:tc>
          <w:tcPr>
            <w:tcW w:w="1406" w:type="dxa"/>
            <w:tcBorders>
              <w:top w:val="single" w:sz="4" w:space="0" w:color="auto"/>
              <w:bottom w:val="single" w:sz="4" w:space="0" w:color="auto"/>
            </w:tcBorders>
            <w:shd w:val="clear" w:color="auto" w:fill="auto"/>
            <w:noWrap/>
            <w:vAlign w:val="center"/>
            <w:hideMark/>
          </w:tcPr>
          <w:p w14:paraId="42E0BE44" w14:textId="77777777" w:rsidR="00CE02B0" w:rsidRPr="00BF0F45" w:rsidRDefault="00CE02B0" w:rsidP="008278F8">
            <w:pPr>
              <w:contextualSpacing/>
              <w:jc w:val="center"/>
              <w:rPr>
                <w:rFonts w:ascii="Arial" w:hAnsi="Arial" w:cs="Arial"/>
                <w:sz w:val="18"/>
                <w:szCs w:val="18"/>
                <w:lang w:eastAsia="vi-VN"/>
              </w:rPr>
            </w:pPr>
            <w:r w:rsidRPr="00BF0F45">
              <w:rPr>
                <w:rFonts w:ascii="Arial" w:hAnsi="Arial" w:cs="Arial"/>
                <w:sz w:val="18"/>
                <w:szCs w:val="18"/>
                <w:lang w:eastAsia="vi-VN"/>
              </w:rPr>
              <w:t>Traffic</w:t>
            </w:r>
            <w:r w:rsidRPr="00BF0F45">
              <w:rPr>
                <w:rFonts w:ascii="Arial" w:hAnsi="Arial" w:cs="Arial"/>
                <w:sz w:val="18"/>
                <w:szCs w:val="18"/>
                <w:lang w:eastAsia="vi-VN"/>
              </w:rPr>
              <w:br/>
              <w:t>(Bill. tons-km)</w:t>
            </w:r>
          </w:p>
        </w:tc>
        <w:tc>
          <w:tcPr>
            <w:tcW w:w="318" w:type="dxa"/>
            <w:tcBorders>
              <w:bottom w:val="single" w:sz="4" w:space="0" w:color="auto"/>
            </w:tcBorders>
            <w:shd w:val="clear" w:color="auto" w:fill="auto"/>
            <w:noWrap/>
            <w:vAlign w:val="center"/>
            <w:hideMark/>
          </w:tcPr>
          <w:p w14:paraId="42F0089A" w14:textId="77777777" w:rsidR="00CE02B0" w:rsidRPr="00BF0F45" w:rsidRDefault="00CE02B0" w:rsidP="008278F8">
            <w:pPr>
              <w:contextualSpacing/>
              <w:jc w:val="center"/>
              <w:rPr>
                <w:rFonts w:ascii="Arial" w:hAnsi="Arial" w:cs="Arial"/>
                <w:b/>
                <w:bCs/>
                <w:sz w:val="18"/>
                <w:szCs w:val="18"/>
              </w:rPr>
            </w:pPr>
          </w:p>
        </w:tc>
        <w:tc>
          <w:tcPr>
            <w:tcW w:w="1542" w:type="dxa"/>
            <w:tcBorders>
              <w:top w:val="single" w:sz="4" w:space="0" w:color="auto"/>
              <w:bottom w:val="single" w:sz="4" w:space="0" w:color="auto"/>
            </w:tcBorders>
            <w:shd w:val="clear" w:color="auto" w:fill="auto"/>
            <w:noWrap/>
            <w:vAlign w:val="center"/>
            <w:hideMark/>
          </w:tcPr>
          <w:p w14:paraId="0D86C3E1" w14:textId="77777777" w:rsidR="00CE02B0" w:rsidRPr="00BF0F45" w:rsidRDefault="00CE02B0" w:rsidP="008278F8">
            <w:pPr>
              <w:contextualSpacing/>
              <w:jc w:val="center"/>
              <w:rPr>
                <w:rFonts w:ascii="Arial" w:hAnsi="Arial" w:cs="Arial"/>
                <w:sz w:val="18"/>
                <w:szCs w:val="18"/>
                <w:lang w:eastAsia="vi-VN"/>
              </w:rPr>
            </w:pPr>
            <w:r w:rsidRPr="00BF0F45">
              <w:rPr>
                <w:rFonts w:ascii="Arial" w:hAnsi="Arial" w:cs="Arial"/>
                <w:sz w:val="18"/>
                <w:szCs w:val="18"/>
                <w:lang w:eastAsia="vi-VN"/>
              </w:rPr>
              <w:t>Carried</w:t>
            </w:r>
          </w:p>
        </w:tc>
        <w:tc>
          <w:tcPr>
            <w:tcW w:w="1546" w:type="dxa"/>
            <w:tcBorders>
              <w:top w:val="single" w:sz="4" w:space="0" w:color="auto"/>
              <w:bottom w:val="single" w:sz="4" w:space="0" w:color="auto"/>
            </w:tcBorders>
            <w:shd w:val="clear" w:color="auto" w:fill="auto"/>
            <w:noWrap/>
            <w:vAlign w:val="center"/>
            <w:hideMark/>
          </w:tcPr>
          <w:p w14:paraId="0615509B" w14:textId="77777777" w:rsidR="00CE02B0" w:rsidRPr="00BF0F45" w:rsidRDefault="00CE02B0" w:rsidP="008278F8">
            <w:pPr>
              <w:contextualSpacing/>
              <w:jc w:val="center"/>
              <w:rPr>
                <w:rFonts w:ascii="Arial" w:hAnsi="Arial" w:cs="Arial"/>
                <w:sz w:val="18"/>
                <w:szCs w:val="18"/>
                <w:lang w:eastAsia="vi-VN"/>
              </w:rPr>
            </w:pPr>
            <w:r w:rsidRPr="00BF0F45">
              <w:rPr>
                <w:rFonts w:ascii="Arial" w:hAnsi="Arial" w:cs="Arial"/>
                <w:sz w:val="18"/>
                <w:szCs w:val="18"/>
                <w:lang w:eastAsia="vi-VN"/>
              </w:rPr>
              <w:t>Traffic</w:t>
            </w:r>
          </w:p>
        </w:tc>
      </w:tr>
      <w:tr w:rsidR="00CE02B0" w:rsidRPr="00BF0F45" w14:paraId="741A4478" w14:textId="77777777" w:rsidTr="008278F8">
        <w:trPr>
          <w:cantSplit/>
          <w:trHeight w:val="383"/>
          <w:jc w:val="center"/>
        </w:trPr>
        <w:tc>
          <w:tcPr>
            <w:tcW w:w="2387" w:type="dxa"/>
            <w:shd w:val="clear" w:color="auto" w:fill="auto"/>
            <w:noWrap/>
            <w:vAlign w:val="center"/>
            <w:hideMark/>
          </w:tcPr>
          <w:p w14:paraId="7D409010" w14:textId="77777777" w:rsidR="00CE02B0" w:rsidRPr="00BF0F45" w:rsidRDefault="00CE02B0" w:rsidP="008278F8">
            <w:pPr>
              <w:contextualSpacing/>
              <w:rPr>
                <w:rFonts w:ascii="Arial" w:hAnsi="Arial" w:cs="Arial"/>
                <w:b/>
                <w:bCs/>
                <w:sz w:val="18"/>
                <w:szCs w:val="18"/>
                <w:lang w:eastAsia="vi-VN"/>
              </w:rPr>
            </w:pPr>
            <w:r w:rsidRPr="00BF0F45">
              <w:rPr>
                <w:rFonts w:ascii="Arial" w:hAnsi="Arial" w:cs="Arial"/>
                <w:b/>
                <w:bCs/>
                <w:sz w:val="18"/>
                <w:szCs w:val="18"/>
                <w:lang w:eastAsia="vi-VN"/>
              </w:rPr>
              <w:t>Total</w:t>
            </w:r>
          </w:p>
        </w:tc>
        <w:tc>
          <w:tcPr>
            <w:tcW w:w="1571" w:type="dxa"/>
            <w:tcBorders>
              <w:top w:val="single" w:sz="4" w:space="0" w:color="auto"/>
            </w:tcBorders>
            <w:shd w:val="clear" w:color="auto" w:fill="auto"/>
            <w:noWrap/>
            <w:vAlign w:val="bottom"/>
            <w:hideMark/>
          </w:tcPr>
          <w:p w14:paraId="30E3A5AF" w14:textId="77777777" w:rsidR="00CE02B0" w:rsidRPr="00BF0F45" w:rsidRDefault="00CE02B0" w:rsidP="008278F8">
            <w:pPr>
              <w:ind w:right="322"/>
              <w:contextualSpacing/>
              <w:jc w:val="right"/>
              <w:rPr>
                <w:rFonts w:ascii="Arial" w:hAnsi="Arial" w:cs="Arial"/>
                <w:b/>
                <w:bCs/>
                <w:color w:val="000000"/>
                <w:sz w:val="18"/>
                <w:szCs w:val="18"/>
              </w:rPr>
            </w:pPr>
            <w:r>
              <w:rPr>
                <w:rFonts w:ascii="Arial" w:hAnsi="Arial" w:cs="Arial"/>
                <w:b/>
                <w:bCs/>
                <w:sz w:val="20"/>
                <w:szCs w:val="20"/>
              </w:rPr>
              <w:t>205.0</w:t>
            </w:r>
          </w:p>
        </w:tc>
        <w:tc>
          <w:tcPr>
            <w:tcW w:w="1406" w:type="dxa"/>
            <w:tcBorders>
              <w:top w:val="single" w:sz="4" w:space="0" w:color="auto"/>
            </w:tcBorders>
            <w:shd w:val="clear" w:color="auto" w:fill="auto"/>
            <w:noWrap/>
            <w:vAlign w:val="bottom"/>
            <w:hideMark/>
          </w:tcPr>
          <w:p w14:paraId="2857E565" w14:textId="77777777" w:rsidR="00CE02B0" w:rsidRPr="00BF0F45" w:rsidRDefault="00CE02B0" w:rsidP="008278F8">
            <w:pPr>
              <w:ind w:right="292"/>
              <w:contextualSpacing/>
              <w:jc w:val="right"/>
              <w:rPr>
                <w:rFonts w:ascii="Arial" w:hAnsi="Arial" w:cs="Arial"/>
                <w:b/>
                <w:bCs/>
                <w:color w:val="000000"/>
                <w:sz w:val="18"/>
                <w:szCs w:val="18"/>
              </w:rPr>
            </w:pPr>
            <w:r>
              <w:rPr>
                <w:rFonts w:ascii="Arial" w:hAnsi="Arial" w:cs="Arial"/>
                <w:b/>
                <w:bCs/>
                <w:sz w:val="20"/>
                <w:szCs w:val="20"/>
              </w:rPr>
              <w:t>43.0</w:t>
            </w:r>
          </w:p>
        </w:tc>
        <w:tc>
          <w:tcPr>
            <w:tcW w:w="318" w:type="dxa"/>
            <w:tcBorders>
              <w:top w:val="single" w:sz="4" w:space="0" w:color="auto"/>
            </w:tcBorders>
            <w:shd w:val="clear" w:color="auto" w:fill="auto"/>
            <w:noWrap/>
            <w:vAlign w:val="center"/>
            <w:hideMark/>
          </w:tcPr>
          <w:p w14:paraId="4F081DB8" w14:textId="77777777" w:rsidR="00CE02B0" w:rsidRPr="00BF0F45" w:rsidRDefault="00CE02B0" w:rsidP="008278F8">
            <w:pPr>
              <w:contextualSpacing/>
              <w:jc w:val="right"/>
              <w:rPr>
                <w:rFonts w:ascii="Arial" w:hAnsi="Arial" w:cs="Arial"/>
                <w:b/>
                <w:bCs/>
                <w:sz w:val="18"/>
                <w:szCs w:val="18"/>
              </w:rPr>
            </w:pPr>
          </w:p>
        </w:tc>
        <w:tc>
          <w:tcPr>
            <w:tcW w:w="1542" w:type="dxa"/>
            <w:tcBorders>
              <w:top w:val="single" w:sz="4" w:space="0" w:color="auto"/>
            </w:tcBorders>
            <w:shd w:val="clear" w:color="auto" w:fill="auto"/>
            <w:noWrap/>
            <w:vAlign w:val="bottom"/>
            <w:hideMark/>
          </w:tcPr>
          <w:p w14:paraId="0569075F" w14:textId="77777777" w:rsidR="00CE02B0" w:rsidRPr="00BF0F45" w:rsidRDefault="00CE02B0" w:rsidP="008278F8">
            <w:pPr>
              <w:ind w:right="427"/>
              <w:contextualSpacing/>
              <w:jc w:val="right"/>
              <w:rPr>
                <w:rFonts w:ascii="Arial" w:hAnsi="Arial" w:cs="Arial"/>
                <w:b/>
                <w:bCs/>
                <w:color w:val="000000"/>
                <w:sz w:val="18"/>
                <w:szCs w:val="18"/>
              </w:rPr>
            </w:pPr>
            <w:r w:rsidRPr="004219AF">
              <w:rPr>
                <w:rFonts w:ascii="Arial" w:hAnsi="Arial" w:cs="Arial"/>
                <w:b/>
                <w:bCs/>
                <w:color w:val="000000"/>
                <w:sz w:val="20"/>
                <w:szCs w:val="20"/>
              </w:rPr>
              <w:t>11</w:t>
            </w:r>
            <w:r>
              <w:rPr>
                <w:rFonts w:ascii="Arial" w:hAnsi="Arial" w:cs="Arial"/>
                <w:b/>
                <w:bCs/>
                <w:color w:val="000000"/>
                <w:sz w:val="20"/>
                <w:szCs w:val="20"/>
              </w:rPr>
              <w:t>.</w:t>
            </w:r>
            <w:r w:rsidRPr="004219AF">
              <w:rPr>
                <w:rFonts w:ascii="Arial" w:hAnsi="Arial" w:cs="Arial"/>
                <w:b/>
                <w:bCs/>
                <w:color w:val="000000"/>
                <w:sz w:val="20"/>
                <w:szCs w:val="20"/>
              </w:rPr>
              <w:t>5</w:t>
            </w:r>
          </w:p>
        </w:tc>
        <w:tc>
          <w:tcPr>
            <w:tcW w:w="1546" w:type="dxa"/>
            <w:tcBorders>
              <w:top w:val="single" w:sz="4" w:space="0" w:color="auto"/>
            </w:tcBorders>
            <w:shd w:val="clear" w:color="auto" w:fill="auto"/>
            <w:noWrap/>
            <w:vAlign w:val="bottom"/>
            <w:hideMark/>
          </w:tcPr>
          <w:p w14:paraId="294C6DBA" w14:textId="77777777" w:rsidR="00CE02B0" w:rsidRPr="00BF0F45" w:rsidRDefault="00CE02B0" w:rsidP="008278F8">
            <w:pPr>
              <w:ind w:right="393"/>
              <w:contextualSpacing/>
              <w:jc w:val="right"/>
              <w:rPr>
                <w:rFonts w:ascii="Arial" w:hAnsi="Arial" w:cs="Arial"/>
                <w:b/>
                <w:bCs/>
                <w:color w:val="000000"/>
                <w:sz w:val="18"/>
                <w:szCs w:val="18"/>
              </w:rPr>
            </w:pPr>
            <w:r w:rsidRPr="004219AF">
              <w:rPr>
                <w:rFonts w:ascii="Arial" w:hAnsi="Arial" w:cs="Arial"/>
                <w:b/>
                <w:bCs/>
                <w:color w:val="000000"/>
                <w:sz w:val="20"/>
                <w:szCs w:val="20"/>
              </w:rPr>
              <w:t>13</w:t>
            </w:r>
            <w:r>
              <w:rPr>
                <w:rFonts w:ascii="Arial" w:hAnsi="Arial" w:cs="Arial"/>
                <w:b/>
                <w:bCs/>
                <w:color w:val="000000"/>
                <w:sz w:val="20"/>
                <w:szCs w:val="20"/>
              </w:rPr>
              <w:t>.</w:t>
            </w:r>
            <w:r w:rsidRPr="004219AF">
              <w:rPr>
                <w:rFonts w:ascii="Arial" w:hAnsi="Arial" w:cs="Arial"/>
                <w:b/>
                <w:bCs/>
                <w:color w:val="000000"/>
                <w:sz w:val="20"/>
                <w:szCs w:val="20"/>
              </w:rPr>
              <w:t>8</w:t>
            </w:r>
          </w:p>
        </w:tc>
      </w:tr>
      <w:tr w:rsidR="00CE02B0" w:rsidRPr="00BF0F45" w14:paraId="7BA3B352" w14:textId="77777777" w:rsidTr="008278F8">
        <w:trPr>
          <w:cantSplit/>
          <w:trHeight w:val="383"/>
          <w:jc w:val="center"/>
        </w:trPr>
        <w:tc>
          <w:tcPr>
            <w:tcW w:w="2387" w:type="dxa"/>
            <w:shd w:val="clear" w:color="auto" w:fill="auto"/>
            <w:noWrap/>
            <w:vAlign w:val="bottom"/>
            <w:hideMark/>
          </w:tcPr>
          <w:p w14:paraId="2EC1AFDF" w14:textId="77777777" w:rsidR="00CE02B0" w:rsidRPr="00BF0F45" w:rsidRDefault="00CE02B0" w:rsidP="008278F8">
            <w:pPr>
              <w:ind w:left="317"/>
              <w:contextualSpacing/>
              <w:rPr>
                <w:rFonts w:ascii="Arial" w:hAnsi="Arial" w:cs="Arial"/>
                <w:sz w:val="18"/>
                <w:szCs w:val="18"/>
                <w:lang w:eastAsia="vi-VN"/>
              </w:rPr>
            </w:pPr>
            <w:r w:rsidRPr="00BF0F45">
              <w:rPr>
                <w:rFonts w:ascii="Arial" w:hAnsi="Arial" w:cs="Arial"/>
                <w:sz w:val="18"/>
                <w:szCs w:val="18"/>
              </w:rPr>
              <w:t>Railway</w:t>
            </w:r>
          </w:p>
        </w:tc>
        <w:tc>
          <w:tcPr>
            <w:tcW w:w="1571" w:type="dxa"/>
            <w:shd w:val="clear" w:color="auto" w:fill="auto"/>
            <w:noWrap/>
            <w:vAlign w:val="bottom"/>
            <w:hideMark/>
          </w:tcPr>
          <w:p w14:paraId="5784D6A7" w14:textId="77777777" w:rsidR="00CE02B0" w:rsidRPr="00BF0F45" w:rsidRDefault="00CE02B0" w:rsidP="008278F8">
            <w:pPr>
              <w:ind w:right="322"/>
              <w:contextualSpacing/>
              <w:jc w:val="right"/>
              <w:rPr>
                <w:rFonts w:ascii="Arial" w:hAnsi="Arial" w:cs="Arial"/>
                <w:color w:val="000000"/>
                <w:sz w:val="18"/>
                <w:szCs w:val="18"/>
              </w:rPr>
            </w:pPr>
            <w:r w:rsidRPr="004219AF">
              <w:rPr>
                <w:rFonts w:ascii="Arial" w:hAnsi="Arial" w:cs="Arial"/>
                <w:sz w:val="20"/>
                <w:szCs w:val="20"/>
              </w:rPr>
              <w:t>0</w:t>
            </w:r>
            <w:r>
              <w:rPr>
                <w:rFonts w:ascii="Arial" w:hAnsi="Arial" w:cs="Arial"/>
                <w:sz w:val="20"/>
                <w:szCs w:val="20"/>
              </w:rPr>
              <w:t>.</w:t>
            </w:r>
            <w:r w:rsidRPr="004219AF">
              <w:rPr>
                <w:rFonts w:ascii="Arial" w:hAnsi="Arial" w:cs="Arial"/>
                <w:sz w:val="20"/>
                <w:szCs w:val="20"/>
              </w:rPr>
              <w:t>4</w:t>
            </w:r>
          </w:p>
        </w:tc>
        <w:tc>
          <w:tcPr>
            <w:tcW w:w="1406" w:type="dxa"/>
            <w:shd w:val="clear" w:color="auto" w:fill="auto"/>
            <w:noWrap/>
            <w:vAlign w:val="bottom"/>
            <w:hideMark/>
          </w:tcPr>
          <w:p w14:paraId="1E2B99F0" w14:textId="77777777" w:rsidR="00CE02B0" w:rsidRPr="00BF0F45" w:rsidRDefault="00CE02B0" w:rsidP="008278F8">
            <w:pPr>
              <w:ind w:right="292"/>
              <w:contextualSpacing/>
              <w:jc w:val="right"/>
              <w:rPr>
                <w:rFonts w:ascii="Arial" w:hAnsi="Arial" w:cs="Arial"/>
                <w:color w:val="000000"/>
                <w:sz w:val="18"/>
                <w:szCs w:val="18"/>
              </w:rPr>
            </w:pPr>
            <w:r w:rsidRPr="004219AF">
              <w:rPr>
                <w:rFonts w:ascii="Arial" w:hAnsi="Arial" w:cs="Arial"/>
                <w:sz w:val="20"/>
                <w:szCs w:val="20"/>
              </w:rPr>
              <w:t>0</w:t>
            </w:r>
            <w:r>
              <w:rPr>
                <w:rFonts w:ascii="Arial" w:hAnsi="Arial" w:cs="Arial"/>
                <w:sz w:val="20"/>
                <w:szCs w:val="20"/>
              </w:rPr>
              <w:t>.</w:t>
            </w:r>
            <w:r w:rsidRPr="004219AF">
              <w:rPr>
                <w:rFonts w:ascii="Arial" w:hAnsi="Arial" w:cs="Arial"/>
                <w:sz w:val="20"/>
                <w:szCs w:val="20"/>
              </w:rPr>
              <w:t>4</w:t>
            </w:r>
          </w:p>
        </w:tc>
        <w:tc>
          <w:tcPr>
            <w:tcW w:w="318" w:type="dxa"/>
            <w:shd w:val="clear" w:color="auto" w:fill="auto"/>
            <w:noWrap/>
            <w:vAlign w:val="center"/>
            <w:hideMark/>
          </w:tcPr>
          <w:p w14:paraId="09BD5ACA" w14:textId="77777777" w:rsidR="00CE02B0" w:rsidRPr="00BF0F45" w:rsidRDefault="00CE02B0" w:rsidP="008278F8">
            <w:pPr>
              <w:contextualSpacing/>
              <w:jc w:val="right"/>
              <w:rPr>
                <w:rFonts w:ascii="Arial" w:hAnsi="Arial" w:cs="Arial"/>
                <w:sz w:val="18"/>
                <w:szCs w:val="18"/>
              </w:rPr>
            </w:pPr>
          </w:p>
        </w:tc>
        <w:tc>
          <w:tcPr>
            <w:tcW w:w="1542" w:type="dxa"/>
            <w:shd w:val="clear" w:color="auto" w:fill="auto"/>
            <w:noWrap/>
            <w:vAlign w:val="bottom"/>
            <w:hideMark/>
          </w:tcPr>
          <w:p w14:paraId="4050BF9D" w14:textId="77777777" w:rsidR="00CE02B0" w:rsidRPr="00BF0F45" w:rsidRDefault="00CE02B0" w:rsidP="008278F8">
            <w:pPr>
              <w:ind w:right="427"/>
              <w:contextualSpacing/>
              <w:jc w:val="right"/>
              <w:rPr>
                <w:rFonts w:ascii="Arial" w:hAnsi="Arial" w:cs="Arial"/>
                <w:color w:val="000000"/>
                <w:sz w:val="18"/>
                <w:szCs w:val="18"/>
              </w:rPr>
            </w:pPr>
            <w:r>
              <w:rPr>
                <w:rFonts w:ascii="Arial" w:hAnsi="Arial" w:cs="Arial"/>
                <w:color w:val="000000"/>
                <w:sz w:val="20"/>
                <w:szCs w:val="20"/>
              </w:rPr>
              <w:t>65.0</w:t>
            </w:r>
          </w:p>
        </w:tc>
        <w:tc>
          <w:tcPr>
            <w:tcW w:w="1546" w:type="dxa"/>
            <w:shd w:val="clear" w:color="auto" w:fill="auto"/>
            <w:noWrap/>
            <w:vAlign w:val="bottom"/>
            <w:hideMark/>
          </w:tcPr>
          <w:p w14:paraId="74D3C7C4" w14:textId="77777777" w:rsidR="00CE02B0" w:rsidRPr="00BF0F45" w:rsidRDefault="00CE02B0" w:rsidP="008278F8">
            <w:pPr>
              <w:ind w:right="393"/>
              <w:contextualSpacing/>
              <w:jc w:val="right"/>
              <w:rPr>
                <w:rFonts w:ascii="Arial" w:hAnsi="Arial" w:cs="Arial"/>
                <w:color w:val="000000"/>
                <w:sz w:val="18"/>
                <w:szCs w:val="18"/>
              </w:rPr>
            </w:pPr>
            <w:r>
              <w:rPr>
                <w:rFonts w:ascii="Arial" w:hAnsi="Arial" w:cs="Arial"/>
                <w:color w:val="000000"/>
                <w:sz w:val="20"/>
                <w:szCs w:val="20"/>
              </w:rPr>
              <w:t>98.7</w:t>
            </w:r>
          </w:p>
        </w:tc>
      </w:tr>
      <w:tr w:rsidR="00CE02B0" w:rsidRPr="00BF0F45" w14:paraId="7ECC6513" w14:textId="77777777" w:rsidTr="008278F8">
        <w:trPr>
          <w:cantSplit/>
          <w:trHeight w:val="383"/>
          <w:jc w:val="center"/>
        </w:trPr>
        <w:tc>
          <w:tcPr>
            <w:tcW w:w="2387" w:type="dxa"/>
            <w:shd w:val="clear" w:color="auto" w:fill="auto"/>
            <w:noWrap/>
            <w:vAlign w:val="bottom"/>
            <w:hideMark/>
          </w:tcPr>
          <w:p w14:paraId="52233A36" w14:textId="77777777" w:rsidR="00CE02B0" w:rsidRPr="00BF0F45" w:rsidRDefault="00CE02B0" w:rsidP="008278F8">
            <w:pPr>
              <w:ind w:left="317"/>
              <w:contextualSpacing/>
              <w:rPr>
                <w:rFonts w:ascii="Arial" w:hAnsi="Arial" w:cs="Arial"/>
                <w:sz w:val="18"/>
                <w:szCs w:val="18"/>
                <w:lang w:eastAsia="vi-VN"/>
              </w:rPr>
            </w:pPr>
            <w:r w:rsidRPr="00BF0F45">
              <w:rPr>
                <w:rFonts w:ascii="Arial" w:hAnsi="Arial" w:cs="Arial"/>
                <w:sz w:val="18"/>
                <w:szCs w:val="18"/>
              </w:rPr>
              <w:t>Seaway</w:t>
            </w:r>
          </w:p>
        </w:tc>
        <w:tc>
          <w:tcPr>
            <w:tcW w:w="1571" w:type="dxa"/>
            <w:shd w:val="clear" w:color="auto" w:fill="auto"/>
            <w:noWrap/>
            <w:vAlign w:val="bottom"/>
            <w:hideMark/>
          </w:tcPr>
          <w:p w14:paraId="2C7D1956" w14:textId="77777777" w:rsidR="00CE02B0" w:rsidRPr="00BF0F45" w:rsidRDefault="00CE02B0" w:rsidP="008278F8">
            <w:pPr>
              <w:ind w:right="322"/>
              <w:contextualSpacing/>
              <w:jc w:val="right"/>
              <w:rPr>
                <w:rFonts w:ascii="Arial" w:hAnsi="Arial" w:cs="Arial"/>
                <w:color w:val="000000"/>
                <w:sz w:val="18"/>
                <w:szCs w:val="18"/>
              </w:rPr>
            </w:pPr>
            <w:r w:rsidRPr="004219AF">
              <w:rPr>
                <w:rFonts w:ascii="Arial" w:hAnsi="Arial" w:cs="Arial"/>
                <w:sz w:val="20"/>
                <w:szCs w:val="20"/>
              </w:rPr>
              <w:t>9</w:t>
            </w:r>
            <w:r>
              <w:rPr>
                <w:rFonts w:ascii="Arial" w:hAnsi="Arial" w:cs="Arial"/>
                <w:sz w:val="20"/>
                <w:szCs w:val="20"/>
              </w:rPr>
              <w:t>.</w:t>
            </w:r>
            <w:r w:rsidRPr="004219AF">
              <w:rPr>
                <w:rFonts w:ascii="Arial" w:hAnsi="Arial" w:cs="Arial"/>
                <w:sz w:val="20"/>
                <w:szCs w:val="20"/>
              </w:rPr>
              <w:t>4</w:t>
            </w:r>
          </w:p>
        </w:tc>
        <w:tc>
          <w:tcPr>
            <w:tcW w:w="1406" w:type="dxa"/>
            <w:shd w:val="clear" w:color="auto" w:fill="auto"/>
            <w:noWrap/>
            <w:vAlign w:val="bottom"/>
            <w:hideMark/>
          </w:tcPr>
          <w:p w14:paraId="5641CB69" w14:textId="77777777" w:rsidR="00CE02B0" w:rsidRPr="00BF0F45" w:rsidRDefault="00CE02B0" w:rsidP="008278F8">
            <w:pPr>
              <w:ind w:right="292"/>
              <w:contextualSpacing/>
              <w:jc w:val="right"/>
              <w:rPr>
                <w:rFonts w:ascii="Arial" w:hAnsi="Arial" w:cs="Arial"/>
                <w:color w:val="000000"/>
                <w:sz w:val="18"/>
                <w:szCs w:val="18"/>
              </w:rPr>
            </w:pPr>
            <w:r w:rsidRPr="004219AF">
              <w:rPr>
                <w:rFonts w:ascii="Arial" w:hAnsi="Arial" w:cs="Arial"/>
                <w:sz w:val="20"/>
                <w:szCs w:val="20"/>
              </w:rPr>
              <w:t>19</w:t>
            </w:r>
            <w:r>
              <w:rPr>
                <w:rFonts w:ascii="Arial" w:hAnsi="Arial" w:cs="Arial"/>
                <w:sz w:val="20"/>
                <w:szCs w:val="20"/>
              </w:rPr>
              <w:t>.</w:t>
            </w:r>
            <w:r w:rsidRPr="004219AF">
              <w:rPr>
                <w:rFonts w:ascii="Arial" w:hAnsi="Arial" w:cs="Arial"/>
                <w:sz w:val="20"/>
                <w:szCs w:val="20"/>
              </w:rPr>
              <w:t>1</w:t>
            </w:r>
          </w:p>
        </w:tc>
        <w:tc>
          <w:tcPr>
            <w:tcW w:w="318" w:type="dxa"/>
            <w:shd w:val="clear" w:color="auto" w:fill="auto"/>
            <w:noWrap/>
            <w:vAlign w:val="center"/>
            <w:hideMark/>
          </w:tcPr>
          <w:p w14:paraId="35256CD0" w14:textId="77777777" w:rsidR="00CE02B0" w:rsidRPr="00BF0F45" w:rsidRDefault="00CE02B0" w:rsidP="008278F8">
            <w:pPr>
              <w:contextualSpacing/>
              <w:jc w:val="right"/>
              <w:rPr>
                <w:rFonts w:ascii="Arial" w:hAnsi="Arial" w:cs="Arial"/>
                <w:sz w:val="18"/>
                <w:szCs w:val="18"/>
              </w:rPr>
            </w:pPr>
          </w:p>
        </w:tc>
        <w:tc>
          <w:tcPr>
            <w:tcW w:w="1542" w:type="dxa"/>
            <w:shd w:val="clear" w:color="auto" w:fill="auto"/>
            <w:noWrap/>
            <w:vAlign w:val="bottom"/>
            <w:hideMark/>
          </w:tcPr>
          <w:p w14:paraId="77CC3017" w14:textId="77777777" w:rsidR="00CE02B0" w:rsidRPr="00BF0F45" w:rsidRDefault="00CE02B0" w:rsidP="008278F8">
            <w:pPr>
              <w:ind w:right="427"/>
              <w:contextualSpacing/>
              <w:jc w:val="right"/>
              <w:rPr>
                <w:rFonts w:ascii="Arial" w:hAnsi="Arial" w:cs="Arial"/>
                <w:color w:val="000000"/>
                <w:sz w:val="18"/>
                <w:szCs w:val="18"/>
              </w:rPr>
            </w:pPr>
            <w:r>
              <w:rPr>
                <w:rFonts w:ascii="Arial" w:hAnsi="Arial" w:cs="Arial"/>
                <w:color w:val="000000"/>
                <w:sz w:val="20"/>
                <w:szCs w:val="20"/>
              </w:rPr>
              <w:t>4.7</w:t>
            </w:r>
          </w:p>
        </w:tc>
        <w:tc>
          <w:tcPr>
            <w:tcW w:w="1546" w:type="dxa"/>
            <w:shd w:val="clear" w:color="auto" w:fill="auto"/>
            <w:noWrap/>
            <w:vAlign w:val="bottom"/>
            <w:hideMark/>
          </w:tcPr>
          <w:p w14:paraId="6F5DDBF6" w14:textId="77777777" w:rsidR="00CE02B0" w:rsidRPr="00BF0F45" w:rsidRDefault="00CE02B0" w:rsidP="008278F8">
            <w:pPr>
              <w:ind w:right="393"/>
              <w:contextualSpacing/>
              <w:jc w:val="right"/>
              <w:rPr>
                <w:rFonts w:ascii="Arial" w:hAnsi="Arial" w:cs="Arial"/>
                <w:color w:val="000000"/>
                <w:sz w:val="18"/>
                <w:szCs w:val="18"/>
              </w:rPr>
            </w:pPr>
            <w:r>
              <w:rPr>
                <w:rFonts w:ascii="Arial" w:hAnsi="Arial" w:cs="Arial"/>
                <w:color w:val="000000"/>
                <w:sz w:val="20"/>
                <w:szCs w:val="20"/>
              </w:rPr>
              <w:t>7.4</w:t>
            </w:r>
          </w:p>
        </w:tc>
      </w:tr>
      <w:tr w:rsidR="00CE02B0" w:rsidRPr="00BF0F45" w14:paraId="6715C862" w14:textId="77777777" w:rsidTr="008278F8">
        <w:trPr>
          <w:cantSplit/>
          <w:trHeight w:val="383"/>
          <w:jc w:val="center"/>
        </w:trPr>
        <w:tc>
          <w:tcPr>
            <w:tcW w:w="2387" w:type="dxa"/>
            <w:shd w:val="clear" w:color="auto" w:fill="auto"/>
            <w:noWrap/>
            <w:vAlign w:val="bottom"/>
            <w:hideMark/>
          </w:tcPr>
          <w:p w14:paraId="024E7BB9" w14:textId="77777777" w:rsidR="00CE02B0" w:rsidRPr="00BF0F45" w:rsidRDefault="00CE02B0" w:rsidP="008278F8">
            <w:pPr>
              <w:ind w:left="317"/>
              <w:contextualSpacing/>
              <w:rPr>
                <w:rFonts w:ascii="Arial" w:hAnsi="Arial" w:cs="Arial"/>
                <w:sz w:val="18"/>
                <w:szCs w:val="18"/>
                <w:lang w:eastAsia="vi-VN"/>
              </w:rPr>
            </w:pPr>
            <w:r w:rsidRPr="00BF0F45">
              <w:rPr>
                <w:rFonts w:ascii="Arial" w:hAnsi="Arial" w:cs="Arial"/>
                <w:sz w:val="18"/>
                <w:szCs w:val="18"/>
              </w:rPr>
              <w:t>Inland waterway</w:t>
            </w:r>
          </w:p>
        </w:tc>
        <w:tc>
          <w:tcPr>
            <w:tcW w:w="1571" w:type="dxa"/>
            <w:shd w:val="clear" w:color="auto" w:fill="auto"/>
            <w:noWrap/>
            <w:vAlign w:val="bottom"/>
            <w:hideMark/>
          </w:tcPr>
          <w:p w14:paraId="17ED1864" w14:textId="77777777" w:rsidR="00CE02B0" w:rsidRPr="00BF0F45" w:rsidRDefault="00CE02B0" w:rsidP="008278F8">
            <w:pPr>
              <w:ind w:right="322"/>
              <w:contextualSpacing/>
              <w:jc w:val="right"/>
              <w:rPr>
                <w:rFonts w:ascii="Arial" w:hAnsi="Arial" w:cs="Arial"/>
                <w:color w:val="000000"/>
                <w:sz w:val="18"/>
                <w:szCs w:val="18"/>
              </w:rPr>
            </w:pPr>
            <w:r w:rsidRPr="004219AF">
              <w:rPr>
                <w:rFonts w:ascii="Arial" w:hAnsi="Arial" w:cs="Arial"/>
                <w:sz w:val="20"/>
                <w:szCs w:val="20"/>
              </w:rPr>
              <w:t>43</w:t>
            </w:r>
            <w:r>
              <w:rPr>
                <w:rFonts w:ascii="Arial" w:hAnsi="Arial" w:cs="Arial"/>
                <w:sz w:val="20"/>
                <w:szCs w:val="20"/>
              </w:rPr>
              <w:t>.</w:t>
            </w:r>
            <w:r w:rsidRPr="004219AF">
              <w:rPr>
                <w:rFonts w:ascii="Arial" w:hAnsi="Arial" w:cs="Arial"/>
                <w:sz w:val="20"/>
                <w:szCs w:val="20"/>
              </w:rPr>
              <w:t>9</w:t>
            </w:r>
          </w:p>
        </w:tc>
        <w:tc>
          <w:tcPr>
            <w:tcW w:w="1406" w:type="dxa"/>
            <w:shd w:val="clear" w:color="auto" w:fill="auto"/>
            <w:noWrap/>
            <w:vAlign w:val="bottom"/>
            <w:hideMark/>
          </w:tcPr>
          <w:p w14:paraId="7DCD5FEF" w14:textId="77777777" w:rsidR="00CE02B0" w:rsidRPr="00BF0F45" w:rsidRDefault="00CE02B0" w:rsidP="008278F8">
            <w:pPr>
              <w:ind w:right="292"/>
              <w:contextualSpacing/>
              <w:jc w:val="right"/>
              <w:rPr>
                <w:rFonts w:ascii="Arial" w:hAnsi="Arial" w:cs="Arial"/>
                <w:color w:val="000000"/>
                <w:sz w:val="18"/>
                <w:szCs w:val="18"/>
              </w:rPr>
            </w:pPr>
            <w:r w:rsidRPr="004219AF">
              <w:rPr>
                <w:rFonts w:ascii="Arial" w:hAnsi="Arial" w:cs="Arial"/>
                <w:sz w:val="20"/>
                <w:szCs w:val="20"/>
              </w:rPr>
              <w:t>11</w:t>
            </w:r>
            <w:r>
              <w:rPr>
                <w:rFonts w:ascii="Arial" w:hAnsi="Arial" w:cs="Arial"/>
                <w:sz w:val="20"/>
                <w:szCs w:val="20"/>
              </w:rPr>
              <w:t>.</w:t>
            </w:r>
            <w:r w:rsidRPr="004219AF">
              <w:rPr>
                <w:rFonts w:ascii="Arial" w:hAnsi="Arial" w:cs="Arial"/>
                <w:sz w:val="20"/>
                <w:szCs w:val="20"/>
              </w:rPr>
              <w:t>0</w:t>
            </w:r>
          </w:p>
        </w:tc>
        <w:tc>
          <w:tcPr>
            <w:tcW w:w="318" w:type="dxa"/>
            <w:shd w:val="clear" w:color="auto" w:fill="auto"/>
            <w:noWrap/>
            <w:vAlign w:val="center"/>
            <w:hideMark/>
          </w:tcPr>
          <w:p w14:paraId="4AE66017" w14:textId="77777777" w:rsidR="00CE02B0" w:rsidRPr="00BF0F45" w:rsidRDefault="00CE02B0" w:rsidP="008278F8">
            <w:pPr>
              <w:contextualSpacing/>
              <w:jc w:val="right"/>
              <w:rPr>
                <w:rFonts w:ascii="Arial" w:hAnsi="Arial" w:cs="Arial"/>
                <w:sz w:val="18"/>
                <w:szCs w:val="18"/>
              </w:rPr>
            </w:pPr>
          </w:p>
        </w:tc>
        <w:tc>
          <w:tcPr>
            <w:tcW w:w="1542" w:type="dxa"/>
            <w:shd w:val="clear" w:color="auto" w:fill="auto"/>
            <w:noWrap/>
            <w:vAlign w:val="bottom"/>
            <w:hideMark/>
          </w:tcPr>
          <w:p w14:paraId="03012D66" w14:textId="77777777" w:rsidR="00CE02B0" w:rsidRPr="00BF0F45" w:rsidRDefault="00CE02B0" w:rsidP="008278F8">
            <w:pPr>
              <w:ind w:right="427"/>
              <w:contextualSpacing/>
              <w:jc w:val="right"/>
              <w:rPr>
                <w:rFonts w:ascii="Arial" w:hAnsi="Arial" w:cs="Arial"/>
                <w:color w:val="000000"/>
                <w:sz w:val="18"/>
                <w:szCs w:val="18"/>
              </w:rPr>
            </w:pPr>
            <w:r>
              <w:rPr>
                <w:rFonts w:ascii="Arial" w:hAnsi="Arial" w:cs="Arial"/>
                <w:color w:val="000000"/>
                <w:sz w:val="20"/>
                <w:szCs w:val="20"/>
              </w:rPr>
              <w:t>15.0</w:t>
            </w:r>
          </w:p>
        </w:tc>
        <w:tc>
          <w:tcPr>
            <w:tcW w:w="1546" w:type="dxa"/>
            <w:shd w:val="clear" w:color="auto" w:fill="auto"/>
            <w:noWrap/>
            <w:vAlign w:val="bottom"/>
            <w:hideMark/>
          </w:tcPr>
          <w:p w14:paraId="5F3749C4" w14:textId="77777777" w:rsidR="00CE02B0" w:rsidRPr="00BF0F45" w:rsidRDefault="00CE02B0" w:rsidP="008278F8">
            <w:pPr>
              <w:ind w:right="393"/>
              <w:contextualSpacing/>
              <w:jc w:val="right"/>
              <w:rPr>
                <w:rFonts w:ascii="Arial" w:hAnsi="Arial" w:cs="Arial"/>
                <w:color w:val="000000"/>
                <w:sz w:val="18"/>
                <w:szCs w:val="18"/>
              </w:rPr>
            </w:pPr>
            <w:r>
              <w:rPr>
                <w:rFonts w:ascii="Arial" w:hAnsi="Arial" w:cs="Arial"/>
                <w:color w:val="000000"/>
                <w:sz w:val="20"/>
                <w:szCs w:val="20"/>
              </w:rPr>
              <w:t>17.4</w:t>
            </w:r>
          </w:p>
        </w:tc>
      </w:tr>
      <w:tr w:rsidR="00CE02B0" w:rsidRPr="00BF0F45" w14:paraId="60A64869" w14:textId="77777777" w:rsidTr="008278F8">
        <w:trPr>
          <w:cantSplit/>
          <w:trHeight w:val="383"/>
          <w:jc w:val="center"/>
        </w:trPr>
        <w:tc>
          <w:tcPr>
            <w:tcW w:w="2387" w:type="dxa"/>
            <w:shd w:val="clear" w:color="auto" w:fill="auto"/>
            <w:noWrap/>
            <w:vAlign w:val="bottom"/>
            <w:hideMark/>
          </w:tcPr>
          <w:p w14:paraId="49B542D3" w14:textId="77777777" w:rsidR="00CE02B0" w:rsidRPr="00BF0F45" w:rsidRDefault="00CE02B0" w:rsidP="008278F8">
            <w:pPr>
              <w:ind w:left="317"/>
              <w:contextualSpacing/>
              <w:rPr>
                <w:rFonts w:ascii="Arial" w:hAnsi="Arial" w:cs="Arial"/>
                <w:sz w:val="18"/>
                <w:szCs w:val="18"/>
                <w:lang w:eastAsia="vi-VN"/>
              </w:rPr>
            </w:pPr>
            <w:r w:rsidRPr="00BF0F45">
              <w:rPr>
                <w:rFonts w:ascii="Arial" w:hAnsi="Arial" w:cs="Arial"/>
                <w:sz w:val="18"/>
                <w:szCs w:val="18"/>
              </w:rPr>
              <w:t>Road</w:t>
            </w:r>
          </w:p>
        </w:tc>
        <w:tc>
          <w:tcPr>
            <w:tcW w:w="1571" w:type="dxa"/>
            <w:shd w:val="clear" w:color="auto" w:fill="auto"/>
            <w:noWrap/>
            <w:vAlign w:val="bottom"/>
            <w:hideMark/>
          </w:tcPr>
          <w:p w14:paraId="49D16FB8" w14:textId="77777777" w:rsidR="00CE02B0" w:rsidRPr="00BF0F45" w:rsidRDefault="00CE02B0" w:rsidP="008278F8">
            <w:pPr>
              <w:ind w:right="322"/>
              <w:contextualSpacing/>
              <w:jc w:val="right"/>
              <w:rPr>
                <w:rFonts w:ascii="Arial" w:hAnsi="Arial" w:cs="Arial"/>
                <w:color w:val="000000"/>
                <w:sz w:val="18"/>
                <w:szCs w:val="18"/>
              </w:rPr>
            </w:pPr>
            <w:r w:rsidRPr="004219AF">
              <w:rPr>
                <w:rFonts w:ascii="Arial" w:hAnsi="Arial" w:cs="Arial"/>
                <w:sz w:val="20"/>
                <w:szCs w:val="20"/>
              </w:rPr>
              <w:t>151</w:t>
            </w:r>
            <w:r>
              <w:rPr>
                <w:rFonts w:ascii="Arial" w:hAnsi="Arial" w:cs="Arial"/>
                <w:sz w:val="20"/>
                <w:szCs w:val="20"/>
              </w:rPr>
              <w:t>.</w:t>
            </w:r>
            <w:r w:rsidRPr="004219AF">
              <w:rPr>
                <w:rFonts w:ascii="Arial" w:hAnsi="Arial" w:cs="Arial"/>
                <w:sz w:val="20"/>
                <w:szCs w:val="20"/>
              </w:rPr>
              <w:t>2</w:t>
            </w:r>
          </w:p>
        </w:tc>
        <w:tc>
          <w:tcPr>
            <w:tcW w:w="1406" w:type="dxa"/>
            <w:shd w:val="clear" w:color="auto" w:fill="auto"/>
            <w:noWrap/>
            <w:vAlign w:val="bottom"/>
            <w:hideMark/>
          </w:tcPr>
          <w:p w14:paraId="02B7C23C" w14:textId="77777777" w:rsidR="00CE02B0" w:rsidRPr="00BF0F45" w:rsidRDefault="00CE02B0" w:rsidP="008278F8">
            <w:pPr>
              <w:ind w:right="292"/>
              <w:contextualSpacing/>
              <w:jc w:val="right"/>
              <w:rPr>
                <w:rFonts w:ascii="Arial" w:hAnsi="Arial" w:cs="Arial"/>
                <w:color w:val="000000"/>
                <w:sz w:val="18"/>
                <w:szCs w:val="18"/>
              </w:rPr>
            </w:pPr>
            <w:r w:rsidRPr="004219AF">
              <w:rPr>
                <w:rFonts w:ascii="Arial" w:hAnsi="Arial" w:cs="Arial"/>
                <w:sz w:val="20"/>
                <w:szCs w:val="20"/>
              </w:rPr>
              <w:t>11</w:t>
            </w:r>
            <w:r>
              <w:rPr>
                <w:rFonts w:ascii="Arial" w:hAnsi="Arial" w:cs="Arial"/>
                <w:sz w:val="20"/>
                <w:szCs w:val="20"/>
              </w:rPr>
              <w:t>.</w:t>
            </w:r>
            <w:r w:rsidRPr="004219AF">
              <w:rPr>
                <w:rFonts w:ascii="Arial" w:hAnsi="Arial" w:cs="Arial"/>
                <w:sz w:val="20"/>
                <w:szCs w:val="20"/>
              </w:rPr>
              <w:t>6</w:t>
            </w:r>
          </w:p>
        </w:tc>
        <w:tc>
          <w:tcPr>
            <w:tcW w:w="318" w:type="dxa"/>
            <w:shd w:val="clear" w:color="auto" w:fill="auto"/>
            <w:noWrap/>
            <w:vAlign w:val="center"/>
            <w:hideMark/>
          </w:tcPr>
          <w:p w14:paraId="5EA329D9" w14:textId="77777777" w:rsidR="00CE02B0" w:rsidRPr="00BF0F45" w:rsidRDefault="00CE02B0" w:rsidP="008278F8">
            <w:pPr>
              <w:contextualSpacing/>
              <w:jc w:val="right"/>
              <w:rPr>
                <w:rFonts w:ascii="Arial" w:hAnsi="Arial" w:cs="Arial"/>
                <w:sz w:val="18"/>
                <w:szCs w:val="18"/>
              </w:rPr>
            </w:pPr>
          </w:p>
        </w:tc>
        <w:tc>
          <w:tcPr>
            <w:tcW w:w="1542" w:type="dxa"/>
            <w:shd w:val="clear" w:color="auto" w:fill="auto"/>
            <w:noWrap/>
            <w:vAlign w:val="bottom"/>
            <w:hideMark/>
          </w:tcPr>
          <w:p w14:paraId="34895090" w14:textId="77777777" w:rsidR="00CE02B0" w:rsidRPr="00BF0F45" w:rsidRDefault="00CE02B0" w:rsidP="008278F8">
            <w:pPr>
              <w:ind w:right="427"/>
              <w:contextualSpacing/>
              <w:jc w:val="right"/>
              <w:rPr>
                <w:rFonts w:ascii="Arial" w:hAnsi="Arial" w:cs="Arial"/>
                <w:color w:val="000000"/>
                <w:sz w:val="18"/>
                <w:szCs w:val="18"/>
              </w:rPr>
            </w:pPr>
            <w:r>
              <w:rPr>
                <w:rFonts w:ascii="Arial" w:hAnsi="Arial" w:cs="Arial"/>
                <w:color w:val="000000"/>
                <w:sz w:val="20"/>
                <w:szCs w:val="20"/>
              </w:rPr>
              <w:t>10.9</w:t>
            </w:r>
          </w:p>
        </w:tc>
        <w:tc>
          <w:tcPr>
            <w:tcW w:w="1546" w:type="dxa"/>
            <w:shd w:val="clear" w:color="auto" w:fill="auto"/>
            <w:noWrap/>
            <w:vAlign w:val="bottom"/>
            <w:hideMark/>
          </w:tcPr>
          <w:p w14:paraId="12E46FEB" w14:textId="77777777" w:rsidR="00CE02B0" w:rsidRPr="00BF0F45" w:rsidRDefault="00CE02B0" w:rsidP="008278F8">
            <w:pPr>
              <w:ind w:right="393"/>
              <w:contextualSpacing/>
              <w:jc w:val="right"/>
              <w:rPr>
                <w:rFonts w:ascii="Arial" w:hAnsi="Arial" w:cs="Arial"/>
                <w:color w:val="000000"/>
                <w:sz w:val="18"/>
                <w:szCs w:val="18"/>
              </w:rPr>
            </w:pPr>
            <w:r>
              <w:rPr>
                <w:rFonts w:ascii="Arial" w:hAnsi="Arial" w:cs="Arial"/>
                <w:color w:val="000000"/>
                <w:sz w:val="20"/>
                <w:szCs w:val="20"/>
              </w:rPr>
              <w:t>18.8</w:t>
            </w:r>
          </w:p>
        </w:tc>
      </w:tr>
      <w:tr w:rsidR="00CE02B0" w:rsidRPr="00BF0F45" w14:paraId="19CB7584" w14:textId="77777777" w:rsidTr="008278F8">
        <w:trPr>
          <w:cantSplit/>
          <w:trHeight w:val="383"/>
          <w:jc w:val="center"/>
        </w:trPr>
        <w:tc>
          <w:tcPr>
            <w:tcW w:w="2387" w:type="dxa"/>
            <w:tcBorders>
              <w:bottom w:val="single" w:sz="4" w:space="0" w:color="auto"/>
            </w:tcBorders>
            <w:shd w:val="clear" w:color="auto" w:fill="auto"/>
            <w:noWrap/>
            <w:vAlign w:val="bottom"/>
            <w:hideMark/>
          </w:tcPr>
          <w:p w14:paraId="6634CD44" w14:textId="77777777" w:rsidR="00CE02B0" w:rsidRPr="00BF0F45" w:rsidRDefault="00CE02B0" w:rsidP="008278F8">
            <w:pPr>
              <w:ind w:left="317"/>
              <w:contextualSpacing/>
              <w:rPr>
                <w:rFonts w:ascii="Arial" w:hAnsi="Arial" w:cs="Arial"/>
                <w:sz w:val="18"/>
                <w:szCs w:val="18"/>
                <w:lang w:eastAsia="vi-VN"/>
              </w:rPr>
            </w:pPr>
            <w:r w:rsidRPr="00BF0F45">
              <w:rPr>
                <w:rFonts w:ascii="Arial" w:hAnsi="Arial" w:cs="Arial"/>
                <w:sz w:val="18"/>
                <w:szCs w:val="18"/>
              </w:rPr>
              <w:t>Airway</w:t>
            </w:r>
          </w:p>
        </w:tc>
        <w:tc>
          <w:tcPr>
            <w:tcW w:w="1571" w:type="dxa"/>
            <w:tcBorders>
              <w:bottom w:val="single" w:sz="4" w:space="0" w:color="auto"/>
            </w:tcBorders>
            <w:shd w:val="clear" w:color="auto" w:fill="auto"/>
            <w:noWrap/>
            <w:vAlign w:val="bottom"/>
            <w:hideMark/>
          </w:tcPr>
          <w:p w14:paraId="12B3A3D7" w14:textId="77777777" w:rsidR="00CE02B0" w:rsidRPr="00BF0F45" w:rsidRDefault="00CE02B0" w:rsidP="008278F8">
            <w:pPr>
              <w:ind w:right="322"/>
              <w:contextualSpacing/>
              <w:jc w:val="right"/>
              <w:rPr>
                <w:rFonts w:ascii="Arial" w:hAnsi="Arial" w:cs="Arial"/>
                <w:color w:val="000000"/>
                <w:sz w:val="18"/>
                <w:szCs w:val="18"/>
              </w:rPr>
            </w:pPr>
            <w:r w:rsidRPr="004219AF">
              <w:rPr>
                <w:rFonts w:ascii="Arial" w:hAnsi="Arial" w:cs="Arial"/>
                <w:sz w:val="20"/>
                <w:szCs w:val="20"/>
              </w:rPr>
              <w:t>0</w:t>
            </w:r>
            <w:r>
              <w:rPr>
                <w:rFonts w:ascii="Arial" w:hAnsi="Arial" w:cs="Arial"/>
                <w:sz w:val="20"/>
                <w:szCs w:val="20"/>
              </w:rPr>
              <w:t>.</w:t>
            </w:r>
            <w:r w:rsidRPr="004219AF">
              <w:rPr>
                <w:rFonts w:ascii="Arial" w:hAnsi="Arial" w:cs="Arial"/>
                <w:sz w:val="20"/>
                <w:szCs w:val="20"/>
              </w:rPr>
              <w:t>04</w:t>
            </w:r>
          </w:p>
        </w:tc>
        <w:tc>
          <w:tcPr>
            <w:tcW w:w="1406" w:type="dxa"/>
            <w:tcBorders>
              <w:bottom w:val="single" w:sz="4" w:space="0" w:color="auto"/>
            </w:tcBorders>
            <w:shd w:val="clear" w:color="auto" w:fill="auto"/>
            <w:noWrap/>
            <w:vAlign w:val="bottom"/>
            <w:hideMark/>
          </w:tcPr>
          <w:p w14:paraId="10A1256F" w14:textId="77777777" w:rsidR="00CE02B0" w:rsidRPr="00BF0F45" w:rsidRDefault="00CE02B0" w:rsidP="008278F8">
            <w:pPr>
              <w:ind w:right="292"/>
              <w:contextualSpacing/>
              <w:jc w:val="right"/>
              <w:rPr>
                <w:rFonts w:ascii="Arial" w:hAnsi="Arial" w:cs="Arial"/>
                <w:color w:val="000000"/>
                <w:sz w:val="18"/>
                <w:szCs w:val="18"/>
              </w:rPr>
            </w:pPr>
            <w:r w:rsidRPr="004219AF">
              <w:rPr>
                <w:rFonts w:ascii="Arial" w:hAnsi="Arial" w:cs="Arial"/>
                <w:sz w:val="20"/>
                <w:szCs w:val="20"/>
              </w:rPr>
              <w:t>0</w:t>
            </w:r>
            <w:r>
              <w:rPr>
                <w:rFonts w:ascii="Arial" w:hAnsi="Arial" w:cs="Arial"/>
                <w:sz w:val="20"/>
                <w:szCs w:val="20"/>
              </w:rPr>
              <w:t>.</w:t>
            </w:r>
            <w:r w:rsidRPr="004219AF">
              <w:rPr>
                <w:rFonts w:ascii="Arial" w:hAnsi="Arial" w:cs="Arial"/>
                <w:sz w:val="20"/>
                <w:szCs w:val="20"/>
              </w:rPr>
              <w:t>9</w:t>
            </w:r>
          </w:p>
        </w:tc>
        <w:tc>
          <w:tcPr>
            <w:tcW w:w="318" w:type="dxa"/>
            <w:tcBorders>
              <w:bottom w:val="single" w:sz="4" w:space="0" w:color="auto"/>
            </w:tcBorders>
            <w:shd w:val="clear" w:color="auto" w:fill="auto"/>
            <w:noWrap/>
            <w:vAlign w:val="center"/>
            <w:hideMark/>
          </w:tcPr>
          <w:p w14:paraId="1125BAE4" w14:textId="77777777" w:rsidR="00CE02B0" w:rsidRPr="00BF0F45" w:rsidRDefault="00CE02B0" w:rsidP="008278F8">
            <w:pPr>
              <w:contextualSpacing/>
              <w:jc w:val="right"/>
              <w:rPr>
                <w:rFonts w:ascii="Arial" w:hAnsi="Arial" w:cs="Arial"/>
                <w:sz w:val="18"/>
                <w:szCs w:val="18"/>
              </w:rPr>
            </w:pPr>
          </w:p>
        </w:tc>
        <w:tc>
          <w:tcPr>
            <w:tcW w:w="1542" w:type="dxa"/>
            <w:tcBorders>
              <w:bottom w:val="single" w:sz="4" w:space="0" w:color="auto"/>
            </w:tcBorders>
            <w:shd w:val="clear" w:color="auto" w:fill="auto"/>
            <w:noWrap/>
            <w:vAlign w:val="bottom"/>
            <w:hideMark/>
          </w:tcPr>
          <w:p w14:paraId="6F7F6CB4" w14:textId="77777777" w:rsidR="00CE02B0" w:rsidRPr="00BF0F45" w:rsidRDefault="00CE02B0" w:rsidP="008278F8">
            <w:pPr>
              <w:ind w:right="427"/>
              <w:contextualSpacing/>
              <w:jc w:val="right"/>
              <w:rPr>
                <w:rFonts w:ascii="Arial" w:hAnsi="Arial" w:cs="Arial"/>
                <w:color w:val="000000"/>
                <w:sz w:val="18"/>
                <w:szCs w:val="18"/>
              </w:rPr>
            </w:pPr>
            <w:r>
              <w:rPr>
                <w:rFonts w:ascii="Arial" w:hAnsi="Arial" w:cs="Arial"/>
                <w:color w:val="000000"/>
                <w:sz w:val="20"/>
                <w:szCs w:val="20"/>
              </w:rPr>
              <w:t>69.6</w:t>
            </w:r>
          </w:p>
        </w:tc>
        <w:tc>
          <w:tcPr>
            <w:tcW w:w="1546" w:type="dxa"/>
            <w:tcBorders>
              <w:bottom w:val="single" w:sz="4" w:space="0" w:color="auto"/>
            </w:tcBorders>
            <w:shd w:val="clear" w:color="auto" w:fill="auto"/>
            <w:noWrap/>
            <w:vAlign w:val="bottom"/>
            <w:hideMark/>
          </w:tcPr>
          <w:p w14:paraId="067A3838" w14:textId="77777777" w:rsidR="00CE02B0" w:rsidRPr="00BF0F45" w:rsidRDefault="00CE02B0" w:rsidP="008278F8">
            <w:pPr>
              <w:ind w:right="393"/>
              <w:contextualSpacing/>
              <w:jc w:val="right"/>
              <w:rPr>
                <w:rFonts w:ascii="Arial" w:hAnsi="Arial" w:cs="Arial"/>
                <w:color w:val="000000"/>
                <w:sz w:val="18"/>
                <w:szCs w:val="18"/>
              </w:rPr>
            </w:pPr>
            <w:r>
              <w:rPr>
                <w:rFonts w:ascii="Arial" w:hAnsi="Arial" w:cs="Arial"/>
                <w:color w:val="000000"/>
                <w:sz w:val="20"/>
                <w:szCs w:val="20"/>
              </w:rPr>
              <w:t>35.4</w:t>
            </w:r>
          </w:p>
        </w:tc>
      </w:tr>
    </w:tbl>
    <w:p w14:paraId="2D681322" w14:textId="77777777" w:rsidR="00CE02B0" w:rsidRPr="004268AF" w:rsidRDefault="00CE02B0" w:rsidP="00CE02B0">
      <w:pPr>
        <w:spacing w:before="120" w:after="60" w:line="276" w:lineRule="auto"/>
        <w:jc w:val="both"/>
        <w:rPr>
          <w:sz w:val="2"/>
        </w:rPr>
      </w:pPr>
    </w:p>
    <w:p w14:paraId="0CB2D273" w14:textId="77777777" w:rsidR="00CE02B0" w:rsidRPr="00EB4E94" w:rsidRDefault="00CE02B0" w:rsidP="00CE02B0">
      <w:pPr>
        <w:spacing w:after="120" w:line="276" w:lineRule="auto"/>
        <w:ind w:firstLine="567"/>
        <w:jc w:val="both"/>
        <w:rPr>
          <w:b/>
          <w:bCs/>
          <w:i/>
          <w:lang w:val="fr-FR"/>
        </w:rPr>
      </w:pPr>
      <w:r w:rsidRPr="00F4636F">
        <w:rPr>
          <w:b/>
          <w:bCs/>
          <w:i/>
          <w:iCs/>
        </w:rPr>
        <w:t>đ</w:t>
      </w:r>
      <w:r w:rsidRPr="00EB4E94">
        <w:rPr>
          <w:b/>
          <w:bCs/>
          <w:i/>
          <w:iCs/>
        </w:rPr>
        <w:t xml:space="preserve">) </w:t>
      </w:r>
      <w:r w:rsidRPr="00E34057">
        <w:rPr>
          <w:b/>
          <w:bCs/>
          <w:i/>
          <w:iCs/>
        </w:rPr>
        <w:t>International visitors to Viet Nam</w:t>
      </w:r>
      <w:r w:rsidRPr="00EB4E94">
        <w:rPr>
          <w:rStyle w:val="FootnoteReference"/>
          <w:b/>
          <w:bCs/>
          <w:i/>
          <w:iCs/>
        </w:rPr>
        <w:t xml:space="preserve"> </w:t>
      </w:r>
      <w:r w:rsidRPr="00EB4E94">
        <w:rPr>
          <w:rStyle w:val="FootnoteReference"/>
          <w:b/>
          <w:bCs/>
          <w:i/>
          <w:iCs/>
        </w:rPr>
        <w:footnoteReference w:id="24"/>
      </w:r>
    </w:p>
    <w:p w14:paraId="43404A1D" w14:textId="77777777" w:rsidR="00CE02B0" w:rsidRDefault="00CE02B0" w:rsidP="00CE02B0">
      <w:pPr>
        <w:shd w:val="clear" w:color="auto" w:fill="FFFFFF"/>
        <w:spacing w:before="40" w:after="40" w:line="276" w:lineRule="auto"/>
        <w:ind w:firstLine="567"/>
        <w:jc w:val="both"/>
        <w:rPr>
          <w:i/>
          <w:color w:val="000000" w:themeColor="text1"/>
          <w:lang w:val="fr-FR" w:eastAsia="en-GB"/>
        </w:rPr>
      </w:pPr>
      <w:r w:rsidRPr="006324C6">
        <w:rPr>
          <w:i/>
          <w:iCs/>
        </w:rPr>
        <w:t>Policies to promote Vietnamese tourism are widely implemented.</w:t>
      </w:r>
      <w:r>
        <w:rPr>
          <w:i/>
          <w:iCs/>
          <w:lang w:val="en-US"/>
        </w:rPr>
        <w:t xml:space="preserve"> </w:t>
      </w:r>
      <w:r w:rsidRPr="006324C6">
        <w:rPr>
          <w:i/>
          <w:iCs/>
        </w:rPr>
        <w:t>Vietnam being a safe destination</w:t>
      </w:r>
      <w:r>
        <w:rPr>
          <w:i/>
          <w:iCs/>
          <w:lang w:val="en-US"/>
        </w:rPr>
        <w:t xml:space="preserve"> so that </w:t>
      </w:r>
      <w:r w:rsidRPr="006324C6">
        <w:rPr>
          <w:i/>
          <w:iCs/>
        </w:rPr>
        <w:t xml:space="preserve">international visitors to our country in </w:t>
      </w:r>
      <w:r>
        <w:rPr>
          <w:i/>
          <w:iCs/>
        </w:rPr>
        <w:t>January</w:t>
      </w:r>
      <w:r>
        <w:rPr>
          <w:i/>
          <w:iCs/>
          <w:lang w:val="en-US"/>
        </w:rPr>
        <w:t xml:space="preserve"> 2024</w:t>
      </w:r>
      <w:r w:rsidRPr="00A56E3C">
        <w:rPr>
          <w:rStyle w:val="FootnoteReference"/>
          <w:bCs/>
          <w:i/>
          <w:iCs/>
        </w:rPr>
        <w:footnoteReference w:id="25"/>
      </w:r>
      <w:r>
        <w:rPr>
          <w:i/>
          <w:iCs/>
          <w:lang w:val="en-US"/>
        </w:rPr>
        <w:t xml:space="preserve"> </w:t>
      </w:r>
      <w:r w:rsidRPr="006324C6">
        <w:rPr>
          <w:i/>
          <w:iCs/>
        </w:rPr>
        <w:t>reach</w:t>
      </w:r>
      <w:r>
        <w:rPr>
          <w:i/>
          <w:iCs/>
          <w:lang w:val="en-US"/>
        </w:rPr>
        <w:t>ed</w:t>
      </w:r>
      <w:r w:rsidRPr="006324C6">
        <w:rPr>
          <w:i/>
          <w:iCs/>
        </w:rPr>
        <w:t xml:space="preserve"> more than 1.5 million people</w:t>
      </w:r>
      <w:r>
        <w:rPr>
          <w:i/>
          <w:iCs/>
          <w:lang w:val="en-US"/>
        </w:rPr>
        <w:t xml:space="preserve"> </w:t>
      </w:r>
      <w:r w:rsidRPr="006324C6">
        <w:rPr>
          <w:i/>
          <w:iCs/>
          <w:lang w:val="en-US"/>
        </w:rPr>
        <w:t>increased 10.3% over the previous month and increased 73.6% over the same period last year</w:t>
      </w:r>
      <w:r w:rsidRPr="006324C6">
        <w:rPr>
          <w:i/>
          <w:iCs/>
        </w:rPr>
        <w:t>.</w:t>
      </w:r>
      <w:r w:rsidRPr="00A747BE">
        <w:rPr>
          <w:i/>
          <w:color w:val="000000" w:themeColor="text1"/>
          <w:lang w:val="fr-FR" w:eastAsia="en-GB"/>
        </w:rPr>
        <w:t xml:space="preserve"> </w:t>
      </w:r>
    </w:p>
    <w:p w14:paraId="14680731" w14:textId="6DA43FBC" w:rsidR="00CE02B0" w:rsidRPr="00483451" w:rsidRDefault="00CE02B0" w:rsidP="00CE02B0">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60" w:after="60" w:line="276" w:lineRule="auto"/>
        <w:ind w:firstLine="567"/>
        <w:jc w:val="both"/>
        <w:rPr>
          <w:rFonts w:ascii="Times New Roman" w:hAnsi="Times New Roman" w:cs="Times New Roman"/>
          <w:color w:val="000000" w:themeColor="text1"/>
          <w:spacing w:val="-4"/>
          <w:sz w:val="28"/>
          <w:szCs w:val="28"/>
        </w:rPr>
      </w:pPr>
      <w:r w:rsidRPr="00483451">
        <w:rPr>
          <w:rFonts w:ascii="Times New Roman" w:hAnsi="Times New Roman" w:cs="Times New Roman"/>
          <w:color w:val="000000" w:themeColor="text1"/>
          <w:spacing w:val="-4"/>
          <w:sz w:val="28"/>
          <w:szCs w:val="28"/>
        </w:rPr>
        <w:t xml:space="preserve">Out of a total of </w:t>
      </w:r>
      <w:bookmarkStart w:id="4" w:name="_Hlk120831712"/>
      <w:r>
        <w:rPr>
          <w:rFonts w:ascii="Times New Roman" w:hAnsi="Times New Roman" w:cs="Times New Roman"/>
          <w:color w:val="000000" w:themeColor="text1"/>
          <w:spacing w:val="-4"/>
          <w:sz w:val="28"/>
          <w:szCs w:val="28"/>
        </w:rPr>
        <w:t>over 1.5</w:t>
      </w:r>
      <w:r>
        <w:t xml:space="preserve"> </w:t>
      </w:r>
      <w:r w:rsidRPr="006324C6">
        <w:rPr>
          <w:rFonts w:ascii="Times New Roman" w:hAnsi="Times New Roman" w:cs="Times New Roman"/>
          <w:color w:val="000000" w:themeColor="text1"/>
          <w:spacing w:val="-4"/>
          <w:sz w:val="28"/>
          <w:szCs w:val="28"/>
        </w:rPr>
        <w:t xml:space="preserve">million </w:t>
      </w:r>
      <w:r w:rsidRPr="00483451">
        <w:rPr>
          <w:rFonts w:ascii="Times New Roman" w:hAnsi="Times New Roman" w:cs="Times New Roman"/>
          <w:color w:val="000000" w:themeColor="text1"/>
          <w:spacing w:val="-4"/>
          <w:sz w:val="28"/>
          <w:szCs w:val="28"/>
        </w:rPr>
        <w:t xml:space="preserve">international visitors to Viet Nam in </w:t>
      </w:r>
      <w:r>
        <w:rPr>
          <w:rFonts w:ascii="Times New Roman" w:hAnsi="Times New Roman" w:cs="Times New Roman"/>
          <w:color w:val="000000" w:themeColor="text1"/>
          <w:spacing w:val="-4"/>
          <w:sz w:val="28"/>
          <w:szCs w:val="28"/>
        </w:rPr>
        <w:t>this</w:t>
      </w:r>
      <w:r w:rsidRPr="00483451">
        <w:rPr>
          <w:rFonts w:ascii="Times New Roman" w:hAnsi="Times New Roman" w:cs="Times New Roman"/>
          <w:color w:val="000000" w:themeColor="text1"/>
          <w:spacing w:val="-4"/>
          <w:sz w:val="28"/>
          <w:szCs w:val="28"/>
        </w:rPr>
        <w:t xml:space="preserve"> </w:t>
      </w:r>
      <w:r>
        <w:rPr>
          <w:rFonts w:ascii="Times New Roman" w:hAnsi="Times New Roman" w:cs="Times New Roman"/>
          <w:color w:val="000000" w:themeColor="text1"/>
          <w:spacing w:val="-4"/>
          <w:sz w:val="28"/>
          <w:szCs w:val="28"/>
        </w:rPr>
        <w:t>month,</w:t>
      </w:r>
      <w:r w:rsidRPr="00483451">
        <w:rPr>
          <w:rFonts w:ascii="Times New Roman" w:hAnsi="Times New Roman" w:cs="Times New Roman"/>
          <w:color w:val="000000" w:themeColor="text1"/>
          <w:spacing w:val="-4"/>
          <w:sz w:val="28"/>
          <w:szCs w:val="28"/>
        </w:rPr>
        <w:t xml:space="preserve"> visitors coming by airway gained </w:t>
      </w:r>
      <w:bookmarkStart w:id="5" w:name="_Hlk120831725"/>
      <w:bookmarkEnd w:id="4"/>
      <w:r w:rsidRPr="006324C6">
        <w:rPr>
          <w:rFonts w:ascii="Times New Roman" w:hAnsi="Times New Roman" w:cs="Times New Roman"/>
          <w:color w:val="000000" w:themeColor="text1"/>
          <w:spacing w:val="-4"/>
          <w:sz w:val="28"/>
          <w:szCs w:val="28"/>
        </w:rPr>
        <w:t>1</w:t>
      </w:r>
      <w:r>
        <w:rPr>
          <w:rFonts w:ascii="Times New Roman" w:hAnsi="Times New Roman" w:cs="Times New Roman"/>
          <w:color w:val="000000" w:themeColor="text1"/>
          <w:spacing w:val="-4"/>
          <w:sz w:val="28"/>
          <w:szCs w:val="28"/>
        </w:rPr>
        <w:t>.</w:t>
      </w:r>
      <w:r w:rsidRPr="006324C6">
        <w:rPr>
          <w:rFonts w:ascii="Times New Roman" w:hAnsi="Times New Roman" w:cs="Times New Roman"/>
          <w:color w:val="000000" w:themeColor="text1"/>
          <w:spacing w:val="-4"/>
          <w:sz w:val="28"/>
          <w:szCs w:val="28"/>
        </w:rPr>
        <w:t xml:space="preserve">3 </w:t>
      </w:r>
      <w:r>
        <w:rPr>
          <w:rFonts w:ascii="Times New Roman" w:hAnsi="Times New Roman" w:cs="Times New Roman"/>
          <w:color w:val="000000" w:themeColor="text1"/>
          <w:spacing w:val="-4"/>
          <w:sz w:val="28"/>
          <w:szCs w:val="28"/>
        </w:rPr>
        <w:t>million people,</w:t>
      </w:r>
      <w:r w:rsidRPr="00483451">
        <w:rPr>
          <w:rFonts w:ascii="Times New Roman" w:hAnsi="Times New Roman" w:cs="Times New Roman"/>
          <w:color w:val="000000" w:themeColor="text1"/>
          <w:spacing w:val="-4"/>
          <w:sz w:val="28"/>
          <w:szCs w:val="28"/>
        </w:rPr>
        <w:t xml:space="preserve"> accounting for</w:t>
      </w:r>
      <w:bookmarkEnd w:id="5"/>
      <w:r w:rsidRPr="00483451">
        <w:rPr>
          <w:rFonts w:ascii="Times New Roman" w:hAnsi="Times New Roman" w:cs="Times New Roman"/>
          <w:color w:val="000000" w:themeColor="text1"/>
          <w:spacing w:val="-4"/>
          <w:sz w:val="28"/>
          <w:szCs w:val="28"/>
        </w:rPr>
        <w:t xml:space="preserve"> </w:t>
      </w:r>
      <w:r w:rsidRPr="006324C6">
        <w:rPr>
          <w:rFonts w:ascii="Times New Roman" w:hAnsi="Times New Roman" w:cs="Times New Roman"/>
          <w:color w:val="000000" w:themeColor="text1"/>
          <w:spacing w:val="-4"/>
          <w:sz w:val="28"/>
          <w:szCs w:val="28"/>
        </w:rPr>
        <w:t>85</w:t>
      </w:r>
      <w:r>
        <w:rPr>
          <w:rFonts w:ascii="Times New Roman" w:hAnsi="Times New Roman" w:cs="Times New Roman"/>
          <w:color w:val="000000" w:themeColor="text1"/>
          <w:spacing w:val="-4"/>
          <w:sz w:val="28"/>
          <w:szCs w:val="28"/>
        </w:rPr>
        <w:t>.</w:t>
      </w:r>
      <w:r w:rsidRPr="006324C6">
        <w:rPr>
          <w:rFonts w:ascii="Times New Roman" w:hAnsi="Times New Roman" w:cs="Times New Roman"/>
          <w:color w:val="000000" w:themeColor="text1"/>
          <w:spacing w:val="-4"/>
          <w:sz w:val="28"/>
          <w:szCs w:val="28"/>
        </w:rPr>
        <w:t>1</w:t>
      </w:r>
      <w:r w:rsidRPr="00483451">
        <w:rPr>
          <w:rFonts w:ascii="Times New Roman" w:hAnsi="Times New Roman" w:cs="Times New Roman"/>
          <w:color w:val="000000" w:themeColor="text1"/>
          <w:spacing w:val="-4"/>
          <w:sz w:val="28"/>
          <w:szCs w:val="28"/>
        </w:rPr>
        <w:t xml:space="preserve">% </w:t>
      </w:r>
      <w:bookmarkStart w:id="6" w:name="_Hlk120831738"/>
      <w:r w:rsidRPr="00483451">
        <w:rPr>
          <w:rFonts w:ascii="Times New Roman" w:hAnsi="Times New Roman" w:cs="Times New Roman"/>
          <w:color w:val="000000" w:themeColor="text1"/>
          <w:spacing w:val="-4"/>
          <w:sz w:val="28"/>
          <w:szCs w:val="28"/>
        </w:rPr>
        <w:t>of the number of international visitors to Viet Nam</w:t>
      </w:r>
      <w:r>
        <w:rPr>
          <w:rFonts w:ascii="Times New Roman" w:hAnsi="Times New Roman" w:cs="Times New Roman"/>
          <w:color w:val="000000" w:themeColor="text1"/>
          <w:spacing w:val="-4"/>
          <w:sz w:val="28"/>
          <w:szCs w:val="28"/>
        </w:rPr>
        <w:t>,</w:t>
      </w:r>
      <w:r w:rsidRPr="00483451">
        <w:rPr>
          <w:rFonts w:ascii="Times New Roman" w:hAnsi="Times New Roman" w:cs="Times New Roman"/>
          <w:color w:val="000000" w:themeColor="text1"/>
          <w:spacing w:val="-4"/>
          <w:sz w:val="28"/>
          <w:szCs w:val="28"/>
        </w:rPr>
        <w:t xml:space="preserve"> </w:t>
      </w:r>
      <w:bookmarkStart w:id="7" w:name="_Hlk120831754"/>
      <w:bookmarkEnd w:id="6"/>
      <w:r>
        <w:rPr>
          <w:rFonts w:ascii="Times New Roman" w:hAnsi="Times New Roman" w:cs="Times New Roman"/>
          <w:color w:val="000000" w:themeColor="text1"/>
          <w:spacing w:val="-4"/>
          <w:sz w:val="28"/>
          <w:szCs w:val="28"/>
        </w:rPr>
        <w:t>up 60.9% over the same period</w:t>
      </w:r>
      <w:r w:rsidRPr="00483451">
        <w:rPr>
          <w:rFonts w:ascii="Times New Roman" w:hAnsi="Times New Roman" w:cs="Times New Roman"/>
          <w:color w:val="000000" w:themeColor="text1"/>
          <w:spacing w:val="-4"/>
          <w:sz w:val="28"/>
          <w:szCs w:val="28"/>
        </w:rPr>
        <w:t xml:space="preserve"> last year; by roadway achieved </w:t>
      </w:r>
      <w:bookmarkStart w:id="8" w:name="_Hlk120831791"/>
      <w:bookmarkEnd w:id="7"/>
      <w:r w:rsidRPr="00C2608E">
        <w:rPr>
          <w:rFonts w:ascii="Times New Roman" w:hAnsi="Times New Roman" w:cs="Times New Roman"/>
          <w:color w:val="000000" w:themeColor="text1"/>
          <w:spacing w:val="-4"/>
          <w:sz w:val="28"/>
          <w:szCs w:val="28"/>
        </w:rPr>
        <w:t>176</w:t>
      </w:r>
      <w:r>
        <w:rPr>
          <w:rFonts w:ascii="Times New Roman" w:hAnsi="Times New Roman" w:cs="Times New Roman"/>
          <w:color w:val="000000" w:themeColor="text1"/>
          <w:spacing w:val="-4"/>
          <w:sz w:val="28"/>
          <w:szCs w:val="28"/>
        </w:rPr>
        <w:t>.</w:t>
      </w:r>
      <w:r w:rsidRPr="00C2608E">
        <w:rPr>
          <w:rFonts w:ascii="Times New Roman" w:hAnsi="Times New Roman" w:cs="Times New Roman"/>
          <w:color w:val="000000" w:themeColor="text1"/>
          <w:spacing w:val="-4"/>
          <w:sz w:val="28"/>
          <w:szCs w:val="28"/>
        </w:rPr>
        <w:t xml:space="preserve">9 </w:t>
      </w:r>
      <w:r w:rsidRPr="00483451">
        <w:rPr>
          <w:rFonts w:ascii="Times New Roman" w:hAnsi="Times New Roman" w:cs="Times New Roman"/>
          <w:color w:val="000000" w:themeColor="text1"/>
          <w:spacing w:val="-4"/>
          <w:sz w:val="28"/>
          <w:szCs w:val="28"/>
        </w:rPr>
        <w:t>thousand arrivals</w:t>
      </w:r>
      <w:r>
        <w:rPr>
          <w:rFonts w:ascii="Times New Roman" w:hAnsi="Times New Roman" w:cs="Times New Roman"/>
          <w:color w:val="000000" w:themeColor="text1"/>
          <w:spacing w:val="-4"/>
          <w:sz w:val="28"/>
          <w:szCs w:val="28"/>
        </w:rPr>
        <w:t>,</w:t>
      </w:r>
      <w:r w:rsidRPr="00483451">
        <w:rPr>
          <w:rFonts w:ascii="Times New Roman" w:hAnsi="Times New Roman" w:cs="Times New Roman"/>
          <w:color w:val="000000" w:themeColor="text1"/>
          <w:spacing w:val="-4"/>
          <w:sz w:val="28"/>
          <w:szCs w:val="28"/>
        </w:rPr>
        <w:t xml:space="preserve"> accounted for </w:t>
      </w:r>
      <w:bookmarkEnd w:id="8"/>
      <w:r w:rsidRPr="00C2608E">
        <w:rPr>
          <w:rFonts w:ascii="Times New Roman" w:hAnsi="Times New Roman" w:cs="Times New Roman"/>
          <w:color w:val="000000" w:themeColor="text1"/>
          <w:spacing w:val="-4"/>
          <w:sz w:val="28"/>
          <w:szCs w:val="28"/>
        </w:rPr>
        <w:t>11</w:t>
      </w:r>
      <w:r>
        <w:rPr>
          <w:rFonts w:ascii="Times New Roman" w:hAnsi="Times New Roman" w:cs="Times New Roman"/>
          <w:color w:val="000000" w:themeColor="text1"/>
          <w:spacing w:val="-4"/>
          <w:sz w:val="28"/>
          <w:szCs w:val="28"/>
        </w:rPr>
        <w:t>.</w:t>
      </w:r>
      <w:r w:rsidRPr="00C2608E">
        <w:rPr>
          <w:rFonts w:ascii="Times New Roman" w:hAnsi="Times New Roman" w:cs="Times New Roman"/>
          <w:color w:val="000000" w:themeColor="text1"/>
          <w:spacing w:val="-4"/>
          <w:sz w:val="28"/>
          <w:szCs w:val="28"/>
        </w:rPr>
        <w:t>7</w:t>
      </w:r>
      <w:r w:rsidRPr="00483451">
        <w:rPr>
          <w:rFonts w:ascii="Times New Roman" w:hAnsi="Times New Roman" w:cs="Times New Roman"/>
          <w:color w:val="000000" w:themeColor="text1"/>
          <w:spacing w:val="-4"/>
          <w:sz w:val="28"/>
          <w:szCs w:val="28"/>
        </w:rPr>
        <w:t xml:space="preserve">% </w:t>
      </w:r>
      <w:bookmarkStart w:id="9" w:name="_Hlk120831799"/>
      <w:r w:rsidRPr="00483451">
        <w:rPr>
          <w:rFonts w:ascii="Times New Roman" w:hAnsi="Times New Roman" w:cs="Times New Roman"/>
          <w:color w:val="000000" w:themeColor="text1"/>
          <w:spacing w:val="-4"/>
          <w:sz w:val="28"/>
          <w:szCs w:val="28"/>
        </w:rPr>
        <w:t>and</w:t>
      </w:r>
      <w:bookmarkEnd w:id="9"/>
      <w:r>
        <w:rPr>
          <w:rFonts w:ascii="Times New Roman" w:hAnsi="Times New Roman" w:cs="Times New Roman"/>
          <w:color w:val="000000" w:themeColor="text1"/>
          <w:spacing w:val="-4"/>
          <w:sz w:val="28"/>
          <w:szCs w:val="28"/>
        </w:rPr>
        <w:t xml:space="preserve"> 2.7</w:t>
      </w:r>
      <w:r w:rsidRPr="00483451">
        <w:rPr>
          <w:rFonts w:ascii="Times New Roman" w:hAnsi="Times New Roman" w:cs="Times New Roman"/>
          <w:color w:val="000000" w:themeColor="text1"/>
          <w:spacing w:val="-4"/>
          <w:sz w:val="28"/>
          <w:szCs w:val="28"/>
        </w:rPr>
        <w:t xml:space="preserve"> </w:t>
      </w:r>
      <w:bookmarkStart w:id="10" w:name="_Hlk120831812"/>
      <w:r w:rsidRPr="00483451">
        <w:rPr>
          <w:rFonts w:ascii="Times New Roman" w:hAnsi="Times New Roman" w:cs="Times New Roman"/>
          <w:color w:val="000000" w:themeColor="text1"/>
          <w:spacing w:val="-4"/>
          <w:sz w:val="28"/>
          <w:szCs w:val="28"/>
        </w:rPr>
        <w:lastRenderedPageBreak/>
        <w:t xml:space="preserve">times higher; by seaway achieved </w:t>
      </w:r>
      <w:bookmarkStart w:id="11" w:name="_Hlk120831821"/>
      <w:bookmarkEnd w:id="10"/>
      <w:r w:rsidRPr="00C2608E">
        <w:rPr>
          <w:rFonts w:ascii="Times New Roman" w:hAnsi="Times New Roman" w:cs="Times New Roman"/>
          <w:color w:val="000000" w:themeColor="text1"/>
          <w:spacing w:val="-4"/>
          <w:sz w:val="28"/>
          <w:szCs w:val="28"/>
        </w:rPr>
        <w:t>48</w:t>
      </w:r>
      <w:r>
        <w:rPr>
          <w:rFonts w:ascii="Times New Roman" w:hAnsi="Times New Roman" w:cs="Times New Roman"/>
          <w:color w:val="000000" w:themeColor="text1"/>
          <w:spacing w:val="-4"/>
          <w:sz w:val="28"/>
          <w:szCs w:val="28"/>
        </w:rPr>
        <w:t>.</w:t>
      </w:r>
      <w:r w:rsidRPr="00C2608E">
        <w:rPr>
          <w:rFonts w:ascii="Times New Roman" w:hAnsi="Times New Roman" w:cs="Times New Roman"/>
          <w:color w:val="000000" w:themeColor="text1"/>
          <w:spacing w:val="-4"/>
          <w:sz w:val="28"/>
          <w:szCs w:val="28"/>
        </w:rPr>
        <w:t xml:space="preserve">4 </w:t>
      </w:r>
      <w:r>
        <w:rPr>
          <w:rFonts w:ascii="Times New Roman" w:hAnsi="Times New Roman" w:cs="Times New Roman"/>
          <w:color w:val="000000" w:themeColor="text1"/>
          <w:spacing w:val="-4"/>
          <w:sz w:val="28"/>
          <w:szCs w:val="28"/>
        </w:rPr>
        <w:t xml:space="preserve">thousand </w:t>
      </w:r>
      <w:r w:rsidRPr="00483451">
        <w:rPr>
          <w:rFonts w:ascii="Times New Roman" w:hAnsi="Times New Roman" w:cs="Times New Roman"/>
          <w:color w:val="000000" w:themeColor="text1"/>
          <w:spacing w:val="-4"/>
          <w:sz w:val="28"/>
          <w:szCs w:val="28"/>
        </w:rPr>
        <w:t>arrivals</w:t>
      </w:r>
      <w:r>
        <w:rPr>
          <w:rFonts w:ascii="Times New Roman" w:hAnsi="Times New Roman" w:cs="Times New Roman"/>
          <w:color w:val="000000" w:themeColor="text1"/>
          <w:spacing w:val="-4"/>
          <w:sz w:val="28"/>
          <w:szCs w:val="28"/>
        </w:rPr>
        <w:t>,</w:t>
      </w:r>
      <w:r w:rsidRPr="00483451">
        <w:rPr>
          <w:rFonts w:ascii="Times New Roman" w:hAnsi="Times New Roman" w:cs="Times New Roman"/>
          <w:color w:val="000000" w:themeColor="text1"/>
          <w:spacing w:val="-4"/>
          <w:sz w:val="28"/>
          <w:szCs w:val="28"/>
        </w:rPr>
        <w:t xml:space="preserve"> accounted for </w:t>
      </w:r>
      <w:bookmarkEnd w:id="11"/>
      <w:r w:rsidRPr="00C2608E">
        <w:rPr>
          <w:rFonts w:ascii="Times New Roman" w:hAnsi="Times New Roman" w:cs="Times New Roman"/>
          <w:color w:val="000000" w:themeColor="text1"/>
          <w:spacing w:val="-4"/>
          <w:sz w:val="28"/>
          <w:szCs w:val="28"/>
        </w:rPr>
        <w:t>3</w:t>
      </w:r>
      <w:r>
        <w:rPr>
          <w:rFonts w:ascii="Times New Roman" w:hAnsi="Times New Roman" w:cs="Times New Roman"/>
          <w:color w:val="000000" w:themeColor="text1"/>
          <w:spacing w:val="-4"/>
          <w:sz w:val="28"/>
          <w:szCs w:val="28"/>
        </w:rPr>
        <w:t>.</w:t>
      </w:r>
      <w:r w:rsidRPr="00C2608E">
        <w:rPr>
          <w:rFonts w:ascii="Times New Roman" w:hAnsi="Times New Roman" w:cs="Times New Roman"/>
          <w:color w:val="000000" w:themeColor="text1"/>
          <w:spacing w:val="-4"/>
          <w:sz w:val="28"/>
          <w:szCs w:val="28"/>
        </w:rPr>
        <w:t>2%</w:t>
      </w:r>
      <w:r w:rsidR="00016882">
        <w:rPr>
          <w:rFonts w:ascii="Times New Roman" w:hAnsi="Times New Roman" w:cs="Times New Roman"/>
          <w:color w:val="000000" w:themeColor="text1"/>
          <w:spacing w:val="-4"/>
          <w:sz w:val="28"/>
          <w:szCs w:val="28"/>
        </w:rPr>
        <w:t>%</w:t>
      </w:r>
      <w:r w:rsidRPr="00483451">
        <w:rPr>
          <w:rFonts w:ascii="Times New Roman" w:hAnsi="Times New Roman" w:cs="Times New Roman"/>
          <w:color w:val="000000" w:themeColor="text1"/>
          <w:spacing w:val="-4"/>
          <w:sz w:val="28"/>
          <w:szCs w:val="28"/>
        </w:rPr>
        <w:t xml:space="preserve"> and </w:t>
      </w:r>
      <w:r>
        <w:rPr>
          <w:rFonts w:ascii="Times New Roman" w:hAnsi="Times New Roman" w:cs="Times New Roman"/>
          <w:color w:val="000000" w:themeColor="text1"/>
          <w:spacing w:val="-4"/>
          <w:sz w:val="28"/>
          <w:szCs w:val="28"/>
        </w:rPr>
        <w:t>8.6</w:t>
      </w:r>
      <w:r w:rsidRPr="00483451">
        <w:rPr>
          <w:rFonts w:ascii="Times New Roman" w:hAnsi="Times New Roman" w:cs="Times New Roman"/>
          <w:color w:val="000000" w:themeColor="text1"/>
          <w:spacing w:val="-4"/>
          <w:sz w:val="28"/>
          <w:szCs w:val="28"/>
        </w:rPr>
        <w:t xml:space="preserve"> </w:t>
      </w:r>
      <w:bookmarkStart w:id="12" w:name="_Hlk120831831"/>
      <w:r w:rsidRPr="00483451">
        <w:rPr>
          <w:rFonts w:ascii="Times New Roman" w:hAnsi="Times New Roman" w:cs="Times New Roman"/>
          <w:color w:val="000000" w:themeColor="text1"/>
          <w:spacing w:val="-4"/>
          <w:sz w:val="28"/>
          <w:szCs w:val="28"/>
        </w:rPr>
        <w:t>times higher</w:t>
      </w:r>
      <w:r>
        <w:rPr>
          <w:rFonts w:ascii="Times New Roman" w:hAnsi="Times New Roman" w:cs="Times New Roman"/>
          <w:color w:val="000000" w:themeColor="text1"/>
          <w:spacing w:val="-4"/>
          <w:sz w:val="28"/>
          <w:szCs w:val="28"/>
        </w:rPr>
        <w:t>.</w:t>
      </w:r>
      <w:bookmarkEnd w:id="12"/>
    </w:p>
    <w:p w14:paraId="75E88F4E" w14:textId="77777777" w:rsidR="00CE02B0" w:rsidRDefault="00CE02B0" w:rsidP="00CE02B0">
      <w:pPr>
        <w:shd w:val="clear" w:color="auto" w:fill="FFFFFF"/>
        <w:spacing w:line="276" w:lineRule="auto"/>
        <w:jc w:val="center"/>
        <w:rPr>
          <w:rFonts w:ascii="Arial" w:hAnsi="Arial" w:cs="Arial"/>
          <w:b/>
          <w:sz w:val="24"/>
          <w:szCs w:val="24"/>
        </w:rPr>
      </w:pPr>
      <w:r>
        <w:rPr>
          <w:rFonts w:ascii="Arial" w:hAnsi="Arial" w:cs="Arial"/>
          <w:b/>
          <w:sz w:val="24"/>
          <w:szCs w:val="24"/>
        </w:rPr>
        <w:t>Figure</w:t>
      </w:r>
      <w:r w:rsidRPr="009F297E">
        <w:rPr>
          <w:rFonts w:ascii="Arial" w:hAnsi="Arial" w:cs="Arial"/>
          <w:b/>
          <w:sz w:val="24"/>
          <w:szCs w:val="24"/>
        </w:rPr>
        <w:t xml:space="preserve"> </w:t>
      </w:r>
      <w:r w:rsidRPr="00052095">
        <w:rPr>
          <w:rFonts w:ascii="Arial" w:hAnsi="Arial" w:cs="Arial"/>
          <w:b/>
          <w:sz w:val="24"/>
          <w:szCs w:val="24"/>
        </w:rPr>
        <w:t>1</w:t>
      </w:r>
      <w:r>
        <w:rPr>
          <w:rFonts w:ascii="Arial" w:hAnsi="Arial" w:cs="Arial"/>
          <w:b/>
          <w:sz w:val="24"/>
          <w:szCs w:val="24"/>
          <w:lang w:val="en-GB"/>
        </w:rPr>
        <w:t>7</w:t>
      </w:r>
      <w:r w:rsidRPr="009F297E">
        <w:rPr>
          <w:rFonts w:ascii="Arial" w:hAnsi="Arial" w:cs="Arial"/>
          <w:b/>
          <w:sz w:val="24"/>
          <w:szCs w:val="24"/>
        </w:rPr>
        <w:t>.</w:t>
      </w:r>
      <w:r>
        <w:rPr>
          <w:rFonts w:ascii="Arial" w:hAnsi="Arial" w:cs="Arial"/>
          <w:b/>
          <w:sz w:val="24"/>
          <w:szCs w:val="24"/>
        </w:rPr>
        <w:t xml:space="preserve"> </w:t>
      </w:r>
      <w:r w:rsidRPr="00AF6A60">
        <w:rPr>
          <w:rFonts w:ascii="Arial" w:hAnsi="Arial" w:cs="Arial"/>
          <w:b/>
          <w:sz w:val="24"/>
          <w:szCs w:val="24"/>
        </w:rPr>
        <w:t xml:space="preserve">International visitors to Vietnam </w:t>
      </w:r>
    </w:p>
    <w:p w14:paraId="75CE9F7D" w14:textId="77777777" w:rsidR="00CE02B0" w:rsidRDefault="00CE02B0" w:rsidP="00CE02B0">
      <w:pPr>
        <w:shd w:val="clear" w:color="auto" w:fill="FFFFFF"/>
        <w:spacing w:line="276" w:lineRule="auto"/>
        <w:jc w:val="center"/>
        <w:rPr>
          <w:rFonts w:ascii="Arial" w:hAnsi="Arial" w:cs="Arial"/>
          <w:b/>
          <w:sz w:val="24"/>
          <w:szCs w:val="24"/>
        </w:rPr>
      </w:pPr>
      <w:r w:rsidRPr="00AF6A60">
        <w:rPr>
          <w:rFonts w:ascii="Arial" w:hAnsi="Arial" w:cs="Arial"/>
          <w:b/>
          <w:sz w:val="24"/>
          <w:szCs w:val="24"/>
        </w:rPr>
        <w:t>in January 202</w:t>
      </w:r>
      <w:r>
        <w:rPr>
          <w:rFonts w:ascii="Arial" w:hAnsi="Arial" w:cs="Arial"/>
          <w:b/>
          <w:sz w:val="24"/>
          <w:szCs w:val="24"/>
          <w:lang w:val="en-US"/>
        </w:rPr>
        <w:t>4</w:t>
      </w:r>
      <w:r>
        <w:rPr>
          <w:rFonts w:ascii="Arial" w:hAnsi="Arial" w:cs="Arial"/>
          <w:b/>
          <w:sz w:val="24"/>
          <w:szCs w:val="24"/>
        </w:rPr>
        <w:t xml:space="preserve"> </w:t>
      </w:r>
      <w:r w:rsidRPr="00AF6A60">
        <w:rPr>
          <w:rFonts w:ascii="Arial" w:hAnsi="Arial" w:cs="Arial"/>
          <w:b/>
          <w:sz w:val="24"/>
          <w:szCs w:val="24"/>
        </w:rPr>
        <w:t>by territory</w:t>
      </w:r>
    </w:p>
    <w:p w14:paraId="12C97DDE" w14:textId="77777777" w:rsidR="00CE02B0" w:rsidRDefault="00CE02B0" w:rsidP="00CE02B0">
      <w:pPr>
        <w:shd w:val="clear" w:color="auto" w:fill="FFFFFF"/>
        <w:spacing w:line="276" w:lineRule="auto"/>
        <w:jc w:val="center"/>
        <w:rPr>
          <w:rFonts w:ascii="Arial" w:hAnsi="Arial" w:cs="Arial"/>
          <w:b/>
          <w:sz w:val="24"/>
          <w:szCs w:val="24"/>
        </w:rPr>
      </w:pPr>
    </w:p>
    <w:p w14:paraId="3F966528" w14:textId="77777777" w:rsidR="00B02EE5" w:rsidRPr="00B02EE5" w:rsidRDefault="00B02EE5" w:rsidP="00B02EE5">
      <w:pPr>
        <w:tabs>
          <w:tab w:val="left" w:pos="900"/>
          <w:tab w:val="left" w:pos="9475"/>
        </w:tabs>
        <w:spacing w:after="120" w:line="276" w:lineRule="auto"/>
        <w:ind w:firstLine="567"/>
        <w:jc w:val="both"/>
        <w:rPr>
          <w:b/>
          <w:bCs/>
          <w:i/>
          <w:iCs/>
          <w:lang w:val="fr-FR"/>
        </w:rPr>
      </w:pPr>
      <w:r w:rsidRPr="00B02EE5">
        <w:rPr>
          <w:b/>
          <w:bCs/>
          <w:i/>
          <w:iCs/>
          <w:lang w:val="fr-FR"/>
        </w:rPr>
        <w:t xml:space="preserve">d) </w:t>
      </w:r>
      <w:r w:rsidRPr="00B02EE5">
        <w:rPr>
          <w:b/>
          <w:bCs/>
          <w:i/>
          <w:iCs/>
        </w:rPr>
        <w:t>Transport</w:t>
      </w:r>
    </w:p>
    <w:p w14:paraId="07B37631" w14:textId="77777777" w:rsidR="00B02EE5" w:rsidRPr="00B02EE5" w:rsidRDefault="00B02EE5" w:rsidP="00B02E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76" w:lineRule="auto"/>
        <w:ind w:firstLine="567"/>
        <w:jc w:val="both"/>
        <w:rPr>
          <w:i/>
          <w:color w:val="202124"/>
        </w:rPr>
      </w:pPr>
      <w:r w:rsidRPr="00B02EE5">
        <w:rPr>
          <w:i/>
          <w:color w:val="202124"/>
          <w:lang w:val="en-US"/>
        </w:rPr>
        <w:t xml:space="preserve">Transport activities were bustling in the first month of 2025 to meet the travel needs of domestic people as well as international visitors to Vietnam, serving domestic production and consumption during the Lunar New Year and import and export of goods. </w:t>
      </w:r>
      <w:r w:rsidRPr="00B02EE5">
        <w:rPr>
          <w:i/>
          <w:color w:val="202124"/>
        </w:rPr>
        <w:t xml:space="preserve">Compared to the same period last year, passenger transport increased by </w:t>
      </w:r>
      <w:r w:rsidRPr="00B02EE5">
        <w:rPr>
          <w:i/>
          <w:color w:val="202124"/>
          <w:lang w:val="en-US"/>
        </w:rPr>
        <w:t>17.0</w:t>
      </w:r>
      <w:r w:rsidRPr="00B02EE5">
        <w:rPr>
          <w:i/>
          <w:color w:val="202124"/>
        </w:rPr>
        <w:t xml:space="preserve">% in </w:t>
      </w:r>
      <w:r w:rsidRPr="00B02EE5">
        <w:rPr>
          <w:i/>
          <w:iCs/>
        </w:rPr>
        <w:t>passengers carried</w:t>
      </w:r>
      <w:r w:rsidRPr="00B02EE5">
        <w:rPr>
          <w:i/>
          <w:color w:val="202124"/>
        </w:rPr>
        <w:t xml:space="preserve"> and </w:t>
      </w:r>
      <w:r w:rsidRPr="00B02EE5">
        <w:rPr>
          <w:i/>
          <w:color w:val="202124"/>
          <w:lang w:val="en-US"/>
        </w:rPr>
        <w:t>18.0</w:t>
      </w:r>
      <w:r w:rsidRPr="00B02EE5">
        <w:rPr>
          <w:i/>
          <w:color w:val="202124"/>
        </w:rPr>
        <w:t xml:space="preserve">% in </w:t>
      </w:r>
      <w:r w:rsidRPr="00B02EE5">
        <w:rPr>
          <w:i/>
          <w:iCs/>
        </w:rPr>
        <w:t>passengers traffic</w:t>
      </w:r>
      <w:r w:rsidRPr="00B02EE5">
        <w:rPr>
          <w:i/>
          <w:color w:val="202124"/>
        </w:rPr>
        <w:t xml:space="preserve">; freight transport increased by </w:t>
      </w:r>
      <w:r w:rsidRPr="00B02EE5">
        <w:rPr>
          <w:i/>
          <w:color w:val="202124"/>
          <w:lang w:val="en-US"/>
        </w:rPr>
        <w:t>12.5</w:t>
      </w:r>
      <w:r w:rsidRPr="00B02EE5">
        <w:rPr>
          <w:i/>
          <w:color w:val="202124"/>
        </w:rPr>
        <w:t xml:space="preserve">% in </w:t>
      </w:r>
      <w:r w:rsidRPr="00B02EE5">
        <w:rPr>
          <w:i/>
          <w:iCs/>
        </w:rPr>
        <w:t>freight carried</w:t>
      </w:r>
      <w:r w:rsidRPr="00B02EE5">
        <w:rPr>
          <w:i/>
          <w:color w:val="202124"/>
        </w:rPr>
        <w:t xml:space="preserve"> and </w:t>
      </w:r>
      <w:r w:rsidRPr="00B02EE5">
        <w:rPr>
          <w:i/>
          <w:color w:val="202124"/>
          <w:lang w:val="en-US"/>
        </w:rPr>
        <w:t>15.2</w:t>
      </w:r>
      <w:r w:rsidRPr="00B02EE5">
        <w:rPr>
          <w:i/>
          <w:color w:val="202124"/>
        </w:rPr>
        <w:t xml:space="preserve">% in </w:t>
      </w:r>
      <w:r w:rsidRPr="00B02EE5">
        <w:rPr>
          <w:i/>
          <w:iCs/>
        </w:rPr>
        <w:t>freight traffic</w:t>
      </w:r>
      <w:r w:rsidRPr="00B02EE5">
        <w:rPr>
          <w:i/>
          <w:color w:val="202124"/>
        </w:rPr>
        <w:t>.</w:t>
      </w:r>
    </w:p>
    <w:p w14:paraId="0AC9F44B" w14:textId="77777777" w:rsidR="00B02EE5" w:rsidRPr="00B02EE5" w:rsidRDefault="00B02EE5" w:rsidP="00B02EE5">
      <w:pPr>
        <w:spacing w:after="40" w:line="276" w:lineRule="auto"/>
        <w:ind w:firstLine="567"/>
        <w:jc w:val="both"/>
        <w:rPr>
          <w:lang w:val="fr-FR"/>
        </w:rPr>
      </w:pPr>
      <w:r w:rsidRPr="00B02EE5">
        <w:rPr>
          <w:i/>
          <w:iCs/>
          <w:spacing w:val="-2"/>
          <w:lang w:val="fr-FR"/>
        </w:rPr>
        <w:t>Passengers carried</w:t>
      </w:r>
      <w:r w:rsidRPr="00B02EE5">
        <w:rPr>
          <w:spacing w:val="-2"/>
          <w:lang w:val="fr-FR"/>
        </w:rPr>
        <w:t xml:space="preserve"> in </w:t>
      </w:r>
      <w:r w:rsidRPr="00B02EE5">
        <w:rPr>
          <w:lang w:val="pt-BR"/>
        </w:rPr>
        <w:t>January 2025</w:t>
      </w:r>
      <w:r w:rsidRPr="00B02EE5">
        <w:rPr>
          <w:spacing w:val="-2"/>
          <w:lang w:val="fr-FR"/>
        </w:rPr>
        <w:t xml:space="preserve"> were estimated at 453.7 million persons, increased by 7.2% compared to the </w:t>
      </w:r>
      <w:r w:rsidRPr="00B02EE5">
        <w:rPr>
          <w:lang w:val="pt-BR"/>
        </w:rPr>
        <w:t>previous month</w:t>
      </w:r>
      <w:r w:rsidRPr="00B02EE5">
        <w:rPr>
          <w:spacing w:val="-2"/>
          <w:lang w:val="fr-FR"/>
        </w:rPr>
        <w:t xml:space="preserve">, and an increase of 17.0% over the same period last year; passenger traffic gained 25.4 billion passengers-km, increased by 8.0% and up 18.0%. In which, domestic </w:t>
      </w:r>
      <w:r w:rsidRPr="00B02EE5">
        <w:rPr>
          <w:iCs/>
          <w:spacing w:val="-2"/>
          <w:lang w:val="fr-FR"/>
        </w:rPr>
        <w:t>passengers carried</w:t>
      </w:r>
      <w:r w:rsidRPr="00B02EE5">
        <w:rPr>
          <w:spacing w:val="-2"/>
          <w:lang w:val="fr-FR"/>
        </w:rPr>
        <w:t xml:space="preserve"> was estimated at 451.9 million passengers, up 17.0% over the same period last year and domestic</w:t>
      </w:r>
      <w:r w:rsidRPr="00B02EE5">
        <w:rPr>
          <w:i/>
          <w:iCs/>
          <w:spacing w:val="-2"/>
          <w:lang w:val="fr-FR"/>
        </w:rPr>
        <w:t xml:space="preserve"> </w:t>
      </w:r>
      <w:r w:rsidRPr="00B02EE5">
        <w:rPr>
          <w:iCs/>
          <w:spacing w:val="-2"/>
          <w:lang w:val="fr-FR"/>
        </w:rPr>
        <w:t>passengers traffic</w:t>
      </w:r>
      <w:r w:rsidRPr="00B02EE5">
        <w:rPr>
          <w:spacing w:val="-2"/>
          <w:lang w:val="fr-FR"/>
        </w:rPr>
        <w:t xml:space="preserve"> gained 19.5 billion passengers-kilometers, up 17.4%; overseas </w:t>
      </w:r>
      <w:r w:rsidRPr="00B02EE5">
        <w:rPr>
          <w:iCs/>
          <w:spacing w:val="-2"/>
          <w:lang w:val="fr-FR"/>
        </w:rPr>
        <w:t>passengers carried</w:t>
      </w:r>
      <w:r w:rsidRPr="00B02EE5">
        <w:rPr>
          <w:spacing w:val="-2"/>
          <w:lang w:val="fr-FR"/>
        </w:rPr>
        <w:t xml:space="preserve"> was estimated at 1.8 million passengers, increased by </w:t>
      </w:r>
      <w:r w:rsidRPr="00B02EE5">
        <w:rPr>
          <w:lang w:val="es-NI"/>
        </w:rPr>
        <w:t xml:space="preserve">25.3% </w:t>
      </w:r>
      <w:r w:rsidRPr="00B02EE5">
        <w:rPr>
          <w:spacing w:val="-2"/>
          <w:lang w:val="fr-FR"/>
        </w:rPr>
        <w:t xml:space="preserve">and </w:t>
      </w:r>
      <w:r w:rsidRPr="00B02EE5">
        <w:rPr>
          <w:iCs/>
          <w:spacing w:val="-2"/>
          <w:lang w:val="fr-FR"/>
        </w:rPr>
        <w:t>passengers traffic</w:t>
      </w:r>
      <w:r w:rsidRPr="00B02EE5">
        <w:rPr>
          <w:spacing w:val="-2"/>
          <w:lang w:val="fr-FR"/>
        </w:rPr>
        <w:t xml:space="preserve"> was 5.9 billion passengers-kilometers, increased by </w:t>
      </w:r>
      <w:r w:rsidRPr="00B02EE5">
        <w:rPr>
          <w:lang w:val="es-NI"/>
        </w:rPr>
        <w:t>20.2%</w:t>
      </w:r>
      <w:r w:rsidRPr="00B02EE5">
        <w:rPr>
          <w:spacing w:val="-2"/>
          <w:lang w:val="fr-FR"/>
        </w:rPr>
        <w:t xml:space="preserve"> compared to the same period last year.</w:t>
      </w:r>
      <w:r w:rsidRPr="00B02EE5">
        <w:rPr>
          <w:spacing w:val="-2"/>
          <w:lang w:val="fr-FR"/>
        </w:rPr>
        <w:tab/>
      </w:r>
    </w:p>
    <w:p w14:paraId="00ADA775" w14:textId="77777777" w:rsidR="00B02EE5" w:rsidRPr="00B02EE5" w:rsidRDefault="00B02EE5" w:rsidP="00B02EE5">
      <w:pPr>
        <w:spacing w:before="120" w:after="120" w:line="276" w:lineRule="auto"/>
        <w:jc w:val="center"/>
        <w:rPr>
          <w:rFonts w:ascii="Arial" w:hAnsi="Arial" w:cs="Arial"/>
          <w:b/>
          <w:bCs/>
          <w:sz w:val="24"/>
          <w:szCs w:val="24"/>
          <w:lang w:val="fr-FR"/>
        </w:rPr>
      </w:pPr>
      <w:r w:rsidRPr="00B02EE5">
        <w:rPr>
          <w:rFonts w:ascii="Arial" w:hAnsi="Arial" w:cs="Arial"/>
          <w:b/>
          <w:bCs/>
          <w:iCs/>
          <w:sz w:val="24"/>
          <w:szCs w:val="24"/>
        </w:rPr>
        <w:t xml:space="preserve">Table 6. </w:t>
      </w:r>
      <w:r w:rsidRPr="00B02EE5">
        <w:rPr>
          <w:rFonts w:ascii="Arial" w:hAnsi="Arial" w:cs="Arial"/>
          <w:b/>
          <w:bCs/>
          <w:iCs/>
          <w:sz w:val="24"/>
          <w:szCs w:val="24"/>
          <w:lang w:val="fr-FR"/>
        </w:rPr>
        <w:t xml:space="preserve">Carriage of passengers in January 2025 </w:t>
      </w:r>
      <w:r w:rsidRPr="00B02EE5">
        <w:rPr>
          <w:rFonts w:ascii="Arial" w:hAnsi="Arial" w:cs="Arial"/>
          <w:b/>
          <w:bCs/>
          <w:sz w:val="24"/>
          <w:szCs w:val="24"/>
          <w:lang w:val="fr-FR"/>
        </w:rPr>
        <w:t>by types of transport</w:t>
      </w:r>
    </w:p>
    <w:tbl>
      <w:tblPr>
        <w:tblW w:w="8926" w:type="dxa"/>
        <w:jc w:val="center"/>
        <w:tblLook w:val="04A0" w:firstRow="1" w:lastRow="0" w:firstColumn="1" w:lastColumn="0" w:noHBand="0" w:noVBand="1"/>
      </w:tblPr>
      <w:tblGrid>
        <w:gridCol w:w="1696"/>
        <w:gridCol w:w="1985"/>
        <w:gridCol w:w="2126"/>
        <w:gridCol w:w="1559"/>
        <w:gridCol w:w="1560"/>
      </w:tblGrid>
      <w:tr w:rsidR="00B02EE5" w:rsidRPr="00B02EE5" w14:paraId="4B4CB718" w14:textId="77777777" w:rsidTr="003446D4">
        <w:trPr>
          <w:trHeight w:val="499"/>
          <w:jc w:val="center"/>
        </w:trPr>
        <w:tc>
          <w:tcPr>
            <w:tcW w:w="1696" w:type="dxa"/>
            <w:tcBorders>
              <w:top w:val="single" w:sz="4" w:space="0" w:color="auto"/>
            </w:tcBorders>
            <w:shd w:val="clear" w:color="auto" w:fill="auto"/>
            <w:noWrap/>
            <w:vAlign w:val="center"/>
            <w:hideMark/>
          </w:tcPr>
          <w:p w14:paraId="20FDEE8D" w14:textId="77777777" w:rsidR="00B02EE5" w:rsidRPr="00B02EE5" w:rsidRDefault="00B02EE5" w:rsidP="00B02EE5">
            <w:pPr>
              <w:rPr>
                <w:rFonts w:ascii="Arial" w:hAnsi="Arial" w:cs="Arial"/>
                <w:b/>
                <w:bCs/>
                <w:sz w:val="20"/>
                <w:szCs w:val="20"/>
                <w:lang w:eastAsia="vi-VN"/>
              </w:rPr>
            </w:pPr>
          </w:p>
        </w:tc>
        <w:tc>
          <w:tcPr>
            <w:tcW w:w="4111" w:type="dxa"/>
            <w:gridSpan w:val="2"/>
            <w:tcBorders>
              <w:top w:val="single" w:sz="4" w:space="0" w:color="auto"/>
              <w:bottom w:val="single" w:sz="4" w:space="0" w:color="auto"/>
            </w:tcBorders>
            <w:shd w:val="clear" w:color="auto" w:fill="auto"/>
            <w:noWrap/>
            <w:vAlign w:val="center"/>
            <w:hideMark/>
          </w:tcPr>
          <w:p w14:paraId="48B54FCB" w14:textId="77777777" w:rsidR="00B02EE5" w:rsidRPr="00B02EE5" w:rsidRDefault="00B02EE5" w:rsidP="00B02EE5">
            <w:pPr>
              <w:jc w:val="center"/>
              <w:rPr>
                <w:rFonts w:ascii="Arial" w:hAnsi="Arial" w:cs="Arial"/>
                <w:b/>
                <w:bCs/>
                <w:sz w:val="20"/>
                <w:szCs w:val="20"/>
              </w:rPr>
            </w:pPr>
            <w:r w:rsidRPr="00B02EE5">
              <w:rPr>
                <w:rFonts w:ascii="Arial" w:hAnsi="Arial" w:cs="Arial"/>
                <w:iCs/>
                <w:sz w:val="20"/>
                <w:szCs w:val="20"/>
                <w:lang w:eastAsia="vi-VN"/>
              </w:rPr>
              <w:t>Number of passengers</w:t>
            </w:r>
          </w:p>
        </w:tc>
        <w:tc>
          <w:tcPr>
            <w:tcW w:w="3119" w:type="dxa"/>
            <w:gridSpan w:val="2"/>
            <w:tcBorders>
              <w:top w:val="single" w:sz="4" w:space="0" w:color="auto"/>
              <w:bottom w:val="single" w:sz="4" w:space="0" w:color="auto"/>
            </w:tcBorders>
            <w:shd w:val="clear" w:color="auto" w:fill="auto"/>
            <w:noWrap/>
            <w:vAlign w:val="center"/>
            <w:hideMark/>
          </w:tcPr>
          <w:p w14:paraId="6EC30967" w14:textId="77777777" w:rsidR="00B02EE5" w:rsidRPr="00B02EE5" w:rsidRDefault="00B02EE5" w:rsidP="00B02EE5">
            <w:pPr>
              <w:ind w:right="-45"/>
              <w:jc w:val="center"/>
              <w:rPr>
                <w:rFonts w:ascii="Arial" w:hAnsi="Arial" w:cs="Arial"/>
                <w:b/>
                <w:bCs/>
                <w:sz w:val="20"/>
                <w:szCs w:val="20"/>
              </w:rPr>
            </w:pPr>
            <w:r w:rsidRPr="00B02EE5">
              <w:rPr>
                <w:rFonts w:ascii="Arial" w:hAnsi="Arial" w:cs="Arial"/>
                <w:color w:val="000000"/>
                <w:sz w:val="20"/>
                <w:szCs w:val="20"/>
                <w:lang w:eastAsia="vi-VN"/>
              </w:rPr>
              <w:t>The growth rate</w:t>
            </w:r>
            <w:r w:rsidRPr="00B02EE5">
              <w:rPr>
                <w:rFonts w:ascii="Arial" w:hAnsi="Arial" w:cs="Arial"/>
                <w:color w:val="000000"/>
                <w:sz w:val="20"/>
                <w:szCs w:val="20"/>
                <w:lang w:val="en-US" w:eastAsia="vi-VN"/>
              </w:rPr>
              <w:t xml:space="preserve"> </w:t>
            </w:r>
            <w:r w:rsidRPr="00B02EE5">
              <w:rPr>
                <w:rFonts w:ascii="Arial" w:hAnsi="Arial" w:cs="Arial"/>
                <w:color w:val="000000"/>
                <w:sz w:val="20"/>
                <w:szCs w:val="20"/>
                <w:lang w:eastAsia="vi-VN"/>
              </w:rPr>
              <w:t>compared to the same period last year (%)</w:t>
            </w:r>
          </w:p>
        </w:tc>
      </w:tr>
      <w:tr w:rsidR="00B02EE5" w:rsidRPr="00B02EE5" w14:paraId="4159A0DF" w14:textId="77777777" w:rsidTr="003446D4">
        <w:trPr>
          <w:trHeight w:val="515"/>
          <w:jc w:val="center"/>
        </w:trPr>
        <w:tc>
          <w:tcPr>
            <w:tcW w:w="1696" w:type="dxa"/>
            <w:shd w:val="clear" w:color="auto" w:fill="auto"/>
            <w:noWrap/>
            <w:vAlign w:val="center"/>
            <w:hideMark/>
          </w:tcPr>
          <w:p w14:paraId="5918E52A" w14:textId="77777777" w:rsidR="00B02EE5" w:rsidRPr="00B02EE5" w:rsidRDefault="00B02EE5" w:rsidP="00B02EE5">
            <w:pPr>
              <w:rPr>
                <w:rFonts w:ascii="Arial" w:hAnsi="Arial" w:cs="Arial"/>
                <w:b/>
                <w:bCs/>
                <w:sz w:val="20"/>
                <w:szCs w:val="20"/>
                <w:lang w:eastAsia="vi-VN"/>
              </w:rPr>
            </w:pPr>
          </w:p>
        </w:tc>
        <w:tc>
          <w:tcPr>
            <w:tcW w:w="1985" w:type="dxa"/>
            <w:tcBorders>
              <w:top w:val="single" w:sz="4" w:space="0" w:color="auto"/>
              <w:bottom w:val="single" w:sz="4" w:space="0" w:color="auto"/>
            </w:tcBorders>
            <w:shd w:val="clear" w:color="auto" w:fill="auto"/>
            <w:noWrap/>
            <w:vAlign w:val="center"/>
            <w:hideMark/>
          </w:tcPr>
          <w:p w14:paraId="2B1C671B" w14:textId="77777777" w:rsidR="00B02EE5" w:rsidRPr="00B02EE5" w:rsidRDefault="00B02EE5" w:rsidP="00B02EE5">
            <w:pPr>
              <w:jc w:val="center"/>
              <w:rPr>
                <w:rFonts w:ascii="Arial" w:hAnsi="Arial" w:cs="Arial"/>
                <w:b/>
                <w:bCs/>
                <w:sz w:val="20"/>
                <w:szCs w:val="20"/>
              </w:rPr>
            </w:pPr>
            <w:r w:rsidRPr="00B02EE5">
              <w:rPr>
                <w:rFonts w:ascii="Arial" w:hAnsi="Arial" w:cs="Arial"/>
                <w:sz w:val="20"/>
                <w:szCs w:val="20"/>
                <w:lang w:eastAsia="vi-VN"/>
              </w:rPr>
              <w:t>Carried</w:t>
            </w:r>
            <w:r w:rsidRPr="00B02EE5">
              <w:rPr>
                <w:rFonts w:ascii="Arial" w:hAnsi="Arial" w:cs="Arial"/>
                <w:sz w:val="20"/>
                <w:szCs w:val="20"/>
                <w:lang w:eastAsia="vi-VN"/>
              </w:rPr>
              <w:br/>
              <w:t>(Mill. passengers)</w:t>
            </w:r>
          </w:p>
        </w:tc>
        <w:tc>
          <w:tcPr>
            <w:tcW w:w="2126" w:type="dxa"/>
            <w:tcBorders>
              <w:top w:val="single" w:sz="4" w:space="0" w:color="auto"/>
              <w:bottom w:val="single" w:sz="4" w:space="0" w:color="auto"/>
            </w:tcBorders>
            <w:shd w:val="clear" w:color="auto" w:fill="auto"/>
            <w:noWrap/>
            <w:vAlign w:val="center"/>
            <w:hideMark/>
          </w:tcPr>
          <w:p w14:paraId="7BAC5165" w14:textId="77777777" w:rsidR="00B02EE5" w:rsidRPr="00B02EE5" w:rsidRDefault="00B02EE5" w:rsidP="00B02EE5">
            <w:pPr>
              <w:jc w:val="center"/>
              <w:rPr>
                <w:rFonts w:ascii="Arial" w:hAnsi="Arial" w:cs="Arial"/>
                <w:b/>
                <w:bCs/>
                <w:sz w:val="20"/>
                <w:szCs w:val="20"/>
              </w:rPr>
            </w:pPr>
            <w:r w:rsidRPr="00B02EE5">
              <w:rPr>
                <w:rFonts w:ascii="Arial" w:hAnsi="Arial" w:cs="Arial"/>
                <w:sz w:val="20"/>
                <w:szCs w:val="20"/>
                <w:lang w:eastAsia="vi-VN"/>
              </w:rPr>
              <w:t>Traffic</w:t>
            </w:r>
            <w:r w:rsidRPr="00B02EE5">
              <w:rPr>
                <w:rFonts w:ascii="Arial" w:hAnsi="Arial" w:cs="Arial"/>
                <w:sz w:val="20"/>
                <w:szCs w:val="20"/>
                <w:lang w:eastAsia="vi-VN"/>
              </w:rPr>
              <w:br/>
              <w:t>(Bill. passengers-km)</w:t>
            </w:r>
          </w:p>
        </w:tc>
        <w:tc>
          <w:tcPr>
            <w:tcW w:w="1559" w:type="dxa"/>
            <w:tcBorders>
              <w:top w:val="single" w:sz="4" w:space="0" w:color="auto"/>
              <w:bottom w:val="single" w:sz="4" w:space="0" w:color="auto"/>
            </w:tcBorders>
            <w:shd w:val="clear" w:color="auto" w:fill="auto"/>
            <w:noWrap/>
            <w:vAlign w:val="center"/>
            <w:hideMark/>
          </w:tcPr>
          <w:p w14:paraId="1CBB80B0" w14:textId="77777777" w:rsidR="00B02EE5" w:rsidRPr="00B02EE5" w:rsidRDefault="00B02EE5" w:rsidP="00B02EE5">
            <w:pPr>
              <w:jc w:val="center"/>
              <w:rPr>
                <w:rFonts w:ascii="Arial" w:hAnsi="Arial" w:cs="Arial"/>
                <w:b/>
                <w:bCs/>
                <w:sz w:val="20"/>
                <w:szCs w:val="20"/>
              </w:rPr>
            </w:pPr>
            <w:r w:rsidRPr="00B02EE5">
              <w:rPr>
                <w:rFonts w:ascii="Arial" w:hAnsi="Arial" w:cs="Arial"/>
                <w:sz w:val="20"/>
                <w:szCs w:val="20"/>
                <w:lang w:eastAsia="vi-VN"/>
              </w:rPr>
              <w:t>Carried</w:t>
            </w:r>
          </w:p>
        </w:tc>
        <w:tc>
          <w:tcPr>
            <w:tcW w:w="1560" w:type="dxa"/>
            <w:tcBorders>
              <w:top w:val="single" w:sz="4" w:space="0" w:color="auto"/>
              <w:bottom w:val="single" w:sz="4" w:space="0" w:color="auto"/>
            </w:tcBorders>
            <w:shd w:val="clear" w:color="auto" w:fill="auto"/>
            <w:noWrap/>
            <w:vAlign w:val="center"/>
            <w:hideMark/>
          </w:tcPr>
          <w:p w14:paraId="6044901D" w14:textId="77777777" w:rsidR="00B02EE5" w:rsidRPr="00B02EE5" w:rsidRDefault="00B02EE5" w:rsidP="00B02EE5">
            <w:pPr>
              <w:jc w:val="center"/>
              <w:rPr>
                <w:rFonts w:ascii="Arial" w:hAnsi="Arial" w:cs="Arial"/>
                <w:b/>
                <w:bCs/>
                <w:sz w:val="20"/>
                <w:szCs w:val="20"/>
              </w:rPr>
            </w:pPr>
            <w:r w:rsidRPr="00B02EE5">
              <w:rPr>
                <w:rFonts w:ascii="Arial" w:hAnsi="Arial" w:cs="Arial"/>
                <w:sz w:val="20"/>
                <w:szCs w:val="20"/>
                <w:lang w:eastAsia="vi-VN"/>
              </w:rPr>
              <w:t>Traffic</w:t>
            </w:r>
          </w:p>
        </w:tc>
      </w:tr>
      <w:tr w:rsidR="00B02EE5" w:rsidRPr="00B02EE5" w14:paraId="315C427C" w14:textId="77777777" w:rsidTr="003446D4">
        <w:trPr>
          <w:trHeight w:val="408"/>
          <w:jc w:val="center"/>
        </w:trPr>
        <w:tc>
          <w:tcPr>
            <w:tcW w:w="1696" w:type="dxa"/>
            <w:shd w:val="clear" w:color="auto" w:fill="auto"/>
            <w:noWrap/>
            <w:vAlign w:val="center"/>
            <w:hideMark/>
          </w:tcPr>
          <w:p w14:paraId="267D59EA" w14:textId="77777777" w:rsidR="00B02EE5" w:rsidRPr="00B02EE5" w:rsidRDefault="00B02EE5" w:rsidP="00B02EE5">
            <w:pPr>
              <w:ind w:right="289"/>
              <w:rPr>
                <w:rFonts w:ascii="Arial" w:hAnsi="Arial" w:cs="Arial"/>
                <w:b/>
                <w:bCs/>
                <w:sz w:val="20"/>
                <w:szCs w:val="20"/>
              </w:rPr>
            </w:pPr>
            <w:r w:rsidRPr="00B02EE5">
              <w:rPr>
                <w:rFonts w:ascii="Arial" w:hAnsi="Arial" w:cs="Arial"/>
                <w:b/>
                <w:bCs/>
                <w:sz w:val="20"/>
                <w:szCs w:val="20"/>
              </w:rPr>
              <w:t>Total</w:t>
            </w:r>
          </w:p>
        </w:tc>
        <w:tc>
          <w:tcPr>
            <w:tcW w:w="1985" w:type="dxa"/>
            <w:tcBorders>
              <w:top w:val="single" w:sz="4" w:space="0" w:color="auto"/>
            </w:tcBorders>
            <w:shd w:val="clear" w:color="auto" w:fill="auto"/>
            <w:noWrap/>
            <w:vAlign w:val="center"/>
            <w:hideMark/>
          </w:tcPr>
          <w:p w14:paraId="31EF23C0" w14:textId="77777777" w:rsidR="00B02EE5" w:rsidRPr="00B02EE5" w:rsidRDefault="00B02EE5" w:rsidP="00B02EE5">
            <w:pPr>
              <w:ind w:right="596"/>
              <w:jc w:val="right"/>
              <w:rPr>
                <w:rFonts w:ascii="Arial" w:hAnsi="Arial" w:cs="Arial"/>
                <w:b/>
                <w:bCs/>
                <w:color w:val="000000"/>
                <w:sz w:val="20"/>
                <w:szCs w:val="20"/>
              </w:rPr>
            </w:pPr>
            <w:r w:rsidRPr="00B02EE5">
              <w:rPr>
                <w:rFonts w:ascii="Arial" w:hAnsi="Arial" w:cs="Arial"/>
                <w:b/>
                <w:bCs/>
                <w:sz w:val="20"/>
                <w:szCs w:val="20"/>
              </w:rPr>
              <w:t>453.7</w:t>
            </w:r>
          </w:p>
        </w:tc>
        <w:tc>
          <w:tcPr>
            <w:tcW w:w="2126" w:type="dxa"/>
            <w:tcBorders>
              <w:top w:val="single" w:sz="4" w:space="0" w:color="auto"/>
            </w:tcBorders>
            <w:shd w:val="clear" w:color="auto" w:fill="auto"/>
            <w:noWrap/>
            <w:vAlign w:val="center"/>
            <w:hideMark/>
          </w:tcPr>
          <w:p w14:paraId="3E3B4A00" w14:textId="77777777" w:rsidR="00B02EE5" w:rsidRPr="00B02EE5" w:rsidRDefault="00B02EE5" w:rsidP="00B02EE5">
            <w:pPr>
              <w:ind w:right="737"/>
              <w:jc w:val="right"/>
              <w:rPr>
                <w:rFonts w:ascii="Arial" w:hAnsi="Arial" w:cs="Arial"/>
                <w:b/>
                <w:bCs/>
                <w:color w:val="000000"/>
                <w:sz w:val="20"/>
                <w:szCs w:val="20"/>
              </w:rPr>
            </w:pPr>
            <w:r w:rsidRPr="00B02EE5">
              <w:rPr>
                <w:rFonts w:ascii="Arial" w:hAnsi="Arial" w:cs="Arial"/>
                <w:b/>
                <w:bCs/>
                <w:sz w:val="20"/>
                <w:szCs w:val="20"/>
              </w:rPr>
              <w:t>25.4</w:t>
            </w:r>
          </w:p>
        </w:tc>
        <w:tc>
          <w:tcPr>
            <w:tcW w:w="1559" w:type="dxa"/>
            <w:tcBorders>
              <w:top w:val="single" w:sz="4" w:space="0" w:color="auto"/>
            </w:tcBorders>
            <w:shd w:val="clear" w:color="auto" w:fill="auto"/>
            <w:noWrap/>
            <w:vAlign w:val="center"/>
            <w:hideMark/>
          </w:tcPr>
          <w:p w14:paraId="0392C642" w14:textId="77777777" w:rsidR="00B02EE5" w:rsidRPr="00B02EE5" w:rsidRDefault="00B02EE5" w:rsidP="00B02EE5">
            <w:pPr>
              <w:ind w:right="312"/>
              <w:jc w:val="right"/>
              <w:rPr>
                <w:rFonts w:ascii="Arial" w:hAnsi="Arial" w:cs="Arial"/>
                <w:b/>
                <w:bCs/>
                <w:color w:val="000000"/>
                <w:sz w:val="20"/>
                <w:szCs w:val="20"/>
              </w:rPr>
            </w:pPr>
            <w:r w:rsidRPr="00B02EE5">
              <w:rPr>
                <w:rFonts w:ascii="Arial" w:hAnsi="Arial" w:cs="Arial"/>
                <w:b/>
                <w:bCs/>
                <w:sz w:val="20"/>
                <w:szCs w:val="20"/>
              </w:rPr>
              <w:t xml:space="preserve">      17.0 </w:t>
            </w:r>
          </w:p>
        </w:tc>
        <w:tc>
          <w:tcPr>
            <w:tcW w:w="1560" w:type="dxa"/>
            <w:tcBorders>
              <w:top w:val="single" w:sz="4" w:space="0" w:color="auto"/>
            </w:tcBorders>
            <w:shd w:val="clear" w:color="auto" w:fill="auto"/>
            <w:noWrap/>
            <w:vAlign w:val="center"/>
            <w:hideMark/>
          </w:tcPr>
          <w:p w14:paraId="30CC86CD" w14:textId="77777777" w:rsidR="00B02EE5" w:rsidRPr="00B02EE5" w:rsidRDefault="00B02EE5" w:rsidP="00B02EE5">
            <w:pPr>
              <w:ind w:right="397"/>
              <w:jc w:val="right"/>
              <w:rPr>
                <w:rFonts w:ascii="Arial" w:hAnsi="Arial" w:cs="Arial"/>
                <w:b/>
                <w:bCs/>
                <w:color w:val="000000"/>
                <w:sz w:val="20"/>
                <w:szCs w:val="20"/>
              </w:rPr>
            </w:pPr>
            <w:r w:rsidRPr="00B02EE5">
              <w:rPr>
                <w:rFonts w:ascii="Arial" w:hAnsi="Arial" w:cs="Arial"/>
                <w:b/>
                <w:bCs/>
                <w:sz w:val="20"/>
                <w:szCs w:val="20"/>
              </w:rPr>
              <w:t xml:space="preserve">      18.0 </w:t>
            </w:r>
          </w:p>
        </w:tc>
      </w:tr>
      <w:tr w:rsidR="00B02EE5" w:rsidRPr="00B02EE5" w14:paraId="0D002028" w14:textId="77777777" w:rsidTr="003446D4">
        <w:trPr>
          <w:trHeight w:val="353"/>
          <w:jc w:val="center"/>
        </w:trPr>
        <w:tc>
          <w:tcPr>
            <w:tcW w:w="1696" w:type="dxa"/>
            <w:shd w:val="clear" w:color="auto" w:fill="auto"/>
            <w:noWrap/>
            <w:vAlign w:val="center"/>
            <w:hideMark/>
          </w:tcPr>
          <w:p w14:paraId="3B6F6AFC" w14:textId="77777777" w:rsidR="00B02EE5" w:rsidRPr="00B02EE5" w:rsidRDefault="00B02EE5" w:rsidP="00B02EE5">
            <w:pPr>
              <w:ind w:right="289"/>
              <w:rPr>
                <w:rFonts w:ascii="Arial" w:hAnsi="Arial" w:cs="Arial"/>
                <w:bCs/>
                <w:sz w:val="20"/>
                <w:szCs w:val="20"/>
              </w:rPr>
            </w:pPr>
            <w:r w:rsidRPr="00B02EE5">
              <w:rPr>
                <w:rFonts w:ascii="Arial" w:hAnsi="Arial" w:cs="Arial"/>
                <w:bCs/>
                <w:sz w:val="20"/>
                <w:szCs w:val="20"/>
              </w:rPr>
              <w:t>Railway</w:t>
            </w:r>
          </w:p>
        </w:tc>
        <w:tc>
          <w:tcPr>
            <w:tcW w:w="1985" w:type="dxa"/>
            <w:shd w:val="clear" w:color="auto" w:fill="auto"/>
            <w:noWrap/>
            <w:vAlign w:val="center"/>
            <w:hideMark/>
          </w:tcPr>
          <w:p w14:paraId="3C681A84" w14:textId="77777777" w:rsidR="00B02EE5" w:rsidRPr="00B02EE5" w:rsidRDefault="00B02EE5" w:rsidP="00B02EE5">
            <w:pPr>
              <w:ind w:right="596"/>
              <w:jc w:val="right"/>
              <w:rPr>
                <w:rFonts w:ascii="Arial" w:hAnsi="Arial" w:cs="Arial"/>
                <w:color w:val="000000"/>
                <w:sz w:val="20"/>
                <w:szCs w:val="20"/>
              </w:rPr>
            </w:pPr>
            <w:r w:rsidRPr="00B02EE5">
              <w:rPr>
                <w:rFonts w:ascii="Arial" w:hAnsi="Arial" w:cs="Arial"/>
                <w:sz w:val="20"/>
                <w:szCs w:val="20"/>
              </w:rPr>
              <w:t>0.5</w:t>
            </w:r>
          </w:p>
        </w:tc>
        <w:tc>
          <w:tcPr>
            <w:tcW w:w="2126" w:type="dxa"/>
            <w:shd w:val="clear" w:color="auto" w:fill="auto"/>
            <w:noWrap/>
            <w:vAlign w:val="center"/>
            <w:hideMark/>
          </w:tcPr>
          <w:p w14:paraId="00CE130C" w14:textId="77777777" w:rsidR="00B02EE5" w:rsidRPr="00B02EE5" w:rsidRDefault="00B02EE5" w:rsidP="00B02EE5">
            <w:pPr>
              <w:ind w:right="737"/>
              <w:jc w:val="right"/>
              <w:rPr>
                <w:rFonts w:ascii="Arial" w:hAnsi="Arial" w:cs="Arial"/>
                <w:color w:val="000000"/>
                <w:sz w:val="20"/>
                <w:szCs w:val="20"/>
              </w:rPr>
            </w:pPr>
            <w:r w:rsidRPr="00B02EE5">
              <w:rPr>
                <w:rFonts w:ascii="Arial" w:hAnsi="Arial" w:cs="Arial"/>
                <w:sz w:val="20"/>
                <w:szCs w:val="20"/>
              </w:rPr>
              <w:t>0.2</w:t>
            </w:r>
          </w:p>
        </w:tc>
        <w:tc>
          <w:tcPr>
            <w:tcW w:w="1559" w:type="dxa"/>
            <w:shd w:val="clear" w:color="auto" w:fill="auto"/>
            <w:noWrap/>
            <w:vAlign w:val="center"/>
            <w:hideMark/>
          </w:tcPr>
          <w:p w14:paraId="7CBD65B5" w14:textId="77777777" w:rsidR="00B02EE5" w:rsidRPr="00B02EE5" w:rsidRDefault="00B02EE5" w:rsidP="00B02EE5">
            <w:pPr>
              <w:ind w:right="312"/>
              <w:jc w:val="right"/>
              <w:rPr>
                <w:rFonts w:ascii="Arial" w:hAnsi="Arial" w:cs="Arial"/>
                <w:color w:val="000000"/>
                <w:sz w:val="20"/>
                <w:szCs w:val="20"/>
              </w:rPr>
            </w:pPr>
            <w:r w:rsidRPr="00B02EE5">
              <w:rPr>
                <w:rFonts w:ascii="Arial" w:hAnsi="Arial" w:cs="Arial"/>
                <w:sz w:val="20"/>
                <w:szCs w:val="20"/>
              </w:rPr>
              <w:t xml:space="preserve">      11.2 </w:t>
            </w:r>
          </w:p>
        </w:tc>
        <w:tc>
          <w:tcPr>
            <w:tcW w:w="1560" w:type="dxa"/>
            <w:shd w:val="clear" w:color="auto" w:fill="auto"/>
            <w:noWrap/>
            <w:vAlign w:val="center"/>
            <w:hideMark/>
          </w:tcPr>
          <w:p w14:paraId="08F3D35C" w14:textId="77777777" w:rsidR="00B02EE5" w:rsidRPr="00B02EE5" w:rsidRDefault="00B02EE5" w:rsidP="00B02EE5">
            <w:pPr>
              <w:ind w:right="397"/>
              <w:jc w:val="right"/>
              <w:rPr>
                <w:rFonts w:ascii="Arial" w:hAnsi="Arial" w:cs="Arial"/>
                <w:color w:val="000000"/>
                <w:sz w:val="20"/>
                <w:szCs w:val="20"/>
              </w:rPr>
            </w:pPr>
            <w:r w:rsidRPr="00B02EE5">
              <w:rPr>
                <w:rFonts w:ascii="Arial" w:hAnsi="Arial" w:cs="Arial"/>
                <w:sz w:val="20"/>
                <w:szCs w:val="20"/>
              </w:rPr>
              <w:t xml:space="preserve">      31.0 </w:t>
            </w:r>
          </w:p>
        </w:tc>
      </w:tr>
      <w:tr w:rsidR="00B02EE5" w:rsidRPr="00B02EE5" w14:paraId="7274C1DA" w14:textId="77777777" w:rsidTr="003446D4">
        <w:trPr>
          <w:trHeight w:val="353"/>
          <w:jc w:val="center"/>
        </w:trPr>
        <w:tc>
          <w:tcPr>
            <w:tcW w:w="1696" w:type="dxa"/>
            <w:shd w:val="clear" w:color="auto" w:fill="auto"/>
            <w:noWrap/>
            <w:vAlign w:val="center"/>
            <w:hideMark/>
          </w:tcPr>
          <w:p w14:paraId="58DE46B1" w14:textId="77777777" w:rsidR="00B02EE5" w:rsidRPr="00B02EE5" w:rsidRDefault="00B02EE5" w:rsidP="00B02EE5">
            <w:pPr>
              <w:ind w:right="289"/>
              <w:rPr>
                <w:rFonts w:ascii="Arial" w:hAnsi="Arial" w:cs="Arial"/>
                <w:bCs/>
                <w:sz w:val="20"/>
                <w:szCs w:val="20"/>
              </w:rPr>
            </w:pPr>
            <w:r w:rsidRPr="00B02EE5">
              <w:rPr>
                <w:rFonts w:ascii="Arial" w:hAnsi="Arial" w:cs="Arial"/>
                <w:bCs/>
                <w:sz w:val="20"/>
                <w:szCs w:val="20"/>
              </w:rPr>
              <w:t>Seaway</w:t>
            </w:r>
          </w:p>
        </w:tc>
        <w:tc>
          <w:tcPr>
            <w:tcW w:w="1985" w:type="dxa"/>
            <w:shd w:val="clear" w:color="auto" w:fill="auto"/>
            <w:noWrap/>
            <w:vAlign w:val="center"/>
            <w:hideMark/>
          </w:tcPr>
          <w:p w14:paraId="624ADBED" w14:textId="77777777" w:rsidR="00B02EE5" w:rsidRPr="00B02EE5" w:rsidRDefault="00B02EE5" w:rsidP="00B02EE5">
            <w:pPr>
              <w:ind w:right="596"/>
              <w:jc w:val="right"/>
              <w:rPr>
                <w:rFonts w:ascii="Arial" w:hAnsi="Arial" w:cs="Arial"/>
                <w:color w:val="000000"/>
                <w:sz w:val="20"/>
                <w:szCs w:val="20"/>
              </w:rPr>
            </w:pPr>
            <w:r w:rsidRPr="00B02EE5">
              <w:rPr>
                <w:rFonts w:ascii="Arial" w:hAnsi="Arial" w:cs="Arial"/>
                <w:sz w:val="20"/>
                <w:szCs w:val="20"/>
              </w:rPr>
              <w:t>2.1</w:t>
            </w:r>
          </w:p>
        </w:tc>
        <w:tc>
          <w:tcPr>
            <w:tcW w:w="2126" w:type="dxa"/>
            <w:shd w:val="clear" w:color="auto" w:fill="auto"/>
            <w:noWrap/>
            <w:vAlign w:val="center"/>
            <w:hideMark/>
          </w:tcPr>
          <w:p w14:paraId="6CE3F4F4" w14:textId="77777777" w:rsidR="00B02EE5" w:rsidRPr="00B02EE5" w:rsidRDefault="00B02EE5" w:rsidP="00B02EE5">
            <w:pPr>
              <w:ind w:right="737"/>
              <w:jc w:val="right"/>
              <w:rPr>
                <w:rFonts w:ascii="Arial" w:hAnsi="Arial" w:cs="Arial"/>
                <w:color w:val="000000"/>
                <w:sz w:val="20"/>
                <w:szCs w:val="20"/>
              </w:rPr>
            </w:pPr>
            <w:r w:rsidRPr="00B02EE5">
              <w:rPr>
                <w:rFonts w:ascii="Arial" w:hAnsi="Arial" w:cs="Arial"/>
                <w:sz w:val="20"/>
                <w:szCs w:val="20"/>
              </w:rPr>
              <w:t>0.1</w:t>
            </w:r>
          </w:p>
        </w:tc>
        <w:tc>
          <w:tcPr>
            <w:tcW w:w="1559" w:type="dxa"/>
            <w:shd w:val="clear" w:color="auto" w:fill="auto"/>
            <w:noWrap/>
            <w:vAlign w:val="center"/>
            <w:hideMark/>
          </w:tcPr>
          <w:p w14:paraId="00391707" w14:textId="77777777" w:rsidR="00B02EE5" w:rsidRPr="00B02EE5" w:rsidRDefault="00B02EE5" w:rsidP="00B02EE5">
            <w:pPr>
              <w:ind w:right="312"/>
              <w:jc w:val="right"/>
              <w:rPr>
                <w:rFonts w:ascii="Arial" w:hAnsi="Arial" w:cs="Arial"/>
                <w:color w:val="000000"/>
                <w:sz w:val="22"/>
                <w:szCs w:val="22"/>
              </w:rPr>
            </w:pPr>
            <w:r w:rsidRPr="00B02EE5">
              <w:rPr>
                <w:rFonts w:ascii="Arial" w:hAnsi="Arial" w:cs="Arial"/>
                <w:sz w:val="20"/>
                <w:szCs w:val="20"/>
              </w:rPr>
              <w:t xml:space="preserve">      10.7 </w:t>
            </w:r>
          </w:p>
        </w:tc>
        <w:tc>
          <w:tcPr>
            <w:tcW w:w="1560" w:type="dxa"/>
            <w:shd w:val="clear" w:color="auto" w:fill="auto"/>
            <w:noWrap/>
            <w:vAlign w:val="center"/>
            <w:hideMark/>
          </w:tcPr>
          <w:p w14:paraId="293507B0" w14:textId="77777777" w:rsidR="00B02EE5" w:rsidRPr="00B02EE5" w:rsidRDefault="00B02EE5" w:rsidP="00B02EE5">
            <w:pPr>
              <w:ind w:right="397"/>
              <w:jc w:val="right"/>
              <w:rPr>
                <w:rFonts w:ascii="Arial" w:hAnsi="Arial" w:cs="Arial"/>
                <w:color w:val="000000"/>
                <w:sz w:val="22"/>
                <w:szCs w:val="22"/>
              </w:rPr>
            </w:pPr>
            <w:r w:rsidRPr="00B02EE5">
              <w:rPr>
                <w:rFonts w:ascii="Arial" w:hAnsi="Arial" w:cs="Arial"/>
                <w:sz w:val="20"/>
                <w:szCs w:val="20"/>
              </w:rPr>
              <w:t xml:space="preserve">      13.3 </w:t>
            </w:r>
          </w:p>
        </w:tc>
      </w:tr>
      <w:tr w:rsidR="00B02EE5" w:rsidRPr="00B02EE5" w14:paraId="1BA8AF10" w14:textId="77777777" w:rsidTr="003446D4">
        <w:trPr>
          <w:trHeight w:val="353"/>
          <w:jc w:val="center"/>
        </w:trPr>
        <w:tc>
          <w:tcPr>
            <w:tcW w:w="1696" w:type="dxa"/>
            <w:shd w:val="clear" w:color="auto" w:fill="auto"/>
            <w:noWrap/>
            <w:vAlign w:val="center"/>
            <w:hideMark/>
          </w:tcPr>
          <w:p w14:paraId="043DCB66" w14:textId="77777777" w:rsidR="00B02EE5" w:rsidRPr="00B02EE5" w:rsidRDefault="00B02EE5" w:rsidP="00B02EE5">
            <w:pPr>
              <w:ind w:right="-5"/>
              <w:rPr>
                <w:rFonts w:ascii="Arial" w:hAnsi="Arial" w:cs="Arial"/>
                <w:bCs/>
                <w:sz w:val="20"/>
                <w:szCs w:val="20"/>
              </w:rPr>
            </w:pPr>
            <w:r w:rsidRPr="00B02EE5">
              <w:rPr>
                <w:rFonts w:ascii="Arial" w:hAnsi="Arial" w:cs="Arial"/>
                <w:bCs/>
                <w:sz w:val="20"/>
                <w:szCs w:val="20"/>
              </w:rPr>
              <w:t>Inland waterway</w:t>
            </w:r>
          </w:p>
        </w:tc>
        <w:tc>
          <w:tcPr>
            <w:tcW w:w="1985" w:type="dxa"/>
            <w:shd w:val="clear" w:color="auto" w:fill="auto"/>
            <w:noWrap/>
            <w:vAlign w:val="center"/>
            <w:hideMark/>
          </w:tcPr>
          <w:p w14:paraId="51B0BDA1" w14:textId="77777777" w:rsidR="00B02EE5" w:rsidRPr="00B02EE5" w:rsidRDefault="00B02EE5" w:rsidP="00B02EE5">
            <w:pPr>
              <w:ind w:right="596"/>
              <w:jc w:val="right"/>
              <w:rPr>
                <w:rFonts w:ascii="Arial" w:hAnsi="Arial" w:cs="Arial"/>
                <w:color w:val="000000"/>
                <w:sz w:val="20"/>
                <w:szCs w:val="20"/>
              </w:rPr>
            </w:pPr>
            <w:r w:rsidRPr="00B02EE5">
              <w:rPr>
                <w:rFonts w:ascii="Arial" w:hAnsi="Arial" w:cs="Arial"/>
                <w:sz w:val="20"/>
                <w:szCs w:val="20"/>
              </w:rPr>
              <w:t>36.3</w:t>
            </w:r>
          </w:p>
        </w:tc>
        <w:tc>
          <w:tcPr>
            <w:tcW w:w="2126" w:type="dxa"/>
            <w:shd w:val="clear" w:color="auto" w:fill="auto"/>
            <w:noWrap/>
            <w:vAlign w:val="center"/>
            <w:hideMark/>
          </w:tcPr>
          <w:p w14:paraId="04679E76" w14:textId="77777777" w:rsidR="00B02EE5" w:rsidRPr="00B02EE5" w:rsidRDefault="00B02EE5" w:rsidP="00B02EE5">
            <w:pPr>
              <w:ind w:right="737"/>
              <w:jc w:val="right"/>
              <w:rPr>
                <w:rFonts w:ascii="Arial" w:hAnsi="Arial" w:cs="Arial"/>
                <w:color w:val="000000"/>
                <w:sz w:val="20"/>
                <w:szCs w:val="20"/>
              </w:rPr>
            </w:pPr>
            <w:r w:rsidRPr="00B02EE5">
              <w:rPr>
                <w:rFonts w:ascii="Arial" w:hAnsi="Arial" w:cs="Arial"/>
                <w:sz w:val="20"/>
                <w:szCs w:val="20"/>
              </w:rPr>
              <w:t>0.6</w:t>
            </w:r>
          </w:p>
        </w:tc>
        <w:tc>
          <w:tcPr>
            <w:tcW w:w="1559" w:type="dxa"/>
            <w:shd w:val="clear" w:color="auto" w:fill="auto"/>
            <w:noWrap/>
            <w:vAlign w:val="center"/>
            <w:hideMark/>
          </w:tcPr>
          <w:p w14:paraId="1636C799" w14:textId="77777777" w:rsidR="00B02EE5" w:rsidRPr="00B02EE5" w:rsidRDefault="00B02EE5" w:rsidP="00B02EE5">
            <w:pPr>
              <w:ind w:right="312"/>
              <w:jc w:val="right"/>
              <w:rPr>
                <w:rFonts w:ascii="Arial" w:hAnsi="Arial" w:cs="Arial"/>
                <w:color w:val="000000"/>
                <w:sz w:val="22"/>
                <w:szCs w:val="22"/>
              </w:rPr>
            </w:pPr>
            <w:r w:rsidRPr="00B02EE5">
              <w:rPr>
                <w:rFonts w:ascii="Arial" w:hAnsi="Arial" w:cs="Arial"/>
                <w:sz w:val="20"/>
                <w:szCs w:val="20"/>
              </w:rPr>
              <w:t xml:space="preserve">      23.1 </w:t>
            </w:r>
          </w:p>
        </w:tc>
        <w:tc>
          <w:tcPr>
            <w:tcW w:w="1560" w:type="dxa"/>
            <w:shd w:val="clear" w:color="auto" w:fill="auto"/>
            <w:noWrap/>
            <w:vAlign w:val="center"/>
            <w:hideMark/>
          </w:tcPr>
          <w:p w14:paraId="4E93EAEF" w14:textId="77777777" w:rsidR="00B02EE5" w:rsidRPr="00B02EE5" w:rsidRDefault="00B02EE5" w:rsidP="00B02EE5">
            <w:pPr>
              <w:ind w:right="397"/>
              <w:jc w:val="right"/>
              <w:rPr>
                <w:rFonts w:ascii="Arial" w:hAnsi="Arial" w:cs="Arial"/>
                <w:color w:val="000000"/>
                <w:sz w:val="22"/>
                <w:szCs w:val="22"/>
              </w:rPr>
            </w:pPr>
            <w:r w:rsidRPr="00B02EE5">
              <w:rPr>
                <w:rFonts w:ascii="Arial" w:hAnsi="Arial" w:cs="Arial"/>
                <w:sz w:val="20"/>
                <w:szCs w:val="20"/>
              </w:rPr>
              <w:t xml:space="preserve">      18.4 </w:t>
            </w:r>
          </w:p>
        </w:tc>
      </w:tr>
      <w:tr w:rsidR="00B02EE5" w:rsidRPr="00B02EE5" w14:paraId="7DF28215" w14:textId="77777777" w:rsidTr="003446D4">
        <w:trPr>
          <w:trHeight w:val="353"/>
          <w:jc w:val="center"/>
        </w:trPr>
        <w:tc>
          <w:tcPr>
            <w:tcW w:w="1696" w:type="dxa"/>
            <w:shd w:val="clear" w:color="auto" w:fill="auto"/>
            <w:noWrap/>
            <w:vAlign w:val="center"/>
            <w:hideMark/>
          </w:tcPr>
          <w:p w14:paraId="3150C34B" w14:textId="77777777" w:rsidR="00B02EE5" w:rsidRPr="00B02EE5" w:rsidRDefault="00B02EE5" w:rsidP="00B02EE5">
            <w:pPr>
              <w:ind w:right="289"/>
              <w:rPr>
                <w:rFonts w:ascii="Arial" w:hAnsi="Arial" w:cs="Arial"/>
                <w:bCs/>
                <w:sz w:val="20"/>
                <w:szCs w:val="20"/>
              </w:rPr>
            </w:pPr>
            <w:r w:rsidRPr="00B02EE5">
              <w:rPr>
                <w:rFonts w:ascii="Arial" w:hAnsi="Arial" w:cs="Arial"/>
                <w:bCs/>
                <w:sz w:val="20"/>
                <w:szCs w:val="20"/>
              </w:rPr>
              <w:t>Road</w:t>
            </w:r>
          </w:p>
        </w:tc>
        <w:tc>
          <w:tcPr>
            <w:tcW w:w="1985" w:type="dxa"/>
            <w:shd w:val="clear" w:color="auto" w:fill="auto"/>
            <w:noWrap/>
            <w:vAlign w:val="center"/>
            <w:hideMark/>
          </w:tcPr>
          <w:p w14:paraId="0260DCDB" w14:textId="77777777" w:rsidR="00B02EE5" w:rsidRPr="00B02EE5" w:rsidRDefault="00B02EE5" w:rsidP="00B02EE5">
            <w:pPr>
              <w:ind w:right="596"/>
              <w:jc w:val="right"/>
              <w:rPr>
                <w:rFonts w:ascii="Arial" w:hAnsi="Arial" w:cs="Arial"/>
                <w:color w:val="000000"/>
                <w:sz w:val="20"/>
                <w:szCs w:val="20"/>
              </w:rPr>
            </w:pPr>
            <w:r w:rsidRPr="00B02EE5">
              <w:rPr>
                <w:rFonts w:ascii="Arial" w:hAnsi="Arial" w:cs="Arial"/>
                <w:sz w:val="20"/>
                <w:szCs w:val="20"/>
              </w:rPr>
              <w:t>409.9</w:t>
            </w:r>
          </w:p>
        </w:tc>
        <w:tc>
          <w:tcPr>
            <w:tcW w:w="2126" w:type="dxa"/>
            <w:shd w:val="clear" w:color="auto" w:fill="auto"/>
            <w:noWrap/>
            <w:vAlign w:val="center"/>
            <w:hideMark/>
          </w:tcPr>
          <w:p w14:paraId="59057168" w14:textId="77777777" w:rsidR="00B02EE5" w:rsidRPr="00B02EE5" w:rsidRDefault="00B02EE5" w:rsidP="00B02EE5">
            <w:pPr>
              <w:ind w:right="737"/>
              <w:jc w:val="right"/>
              <w:rPr>
                <w:rFonts w:ascii="Arial" w:hAnsi="Arial" w:cs="Arial"/>
                <w:color w:val="000000"/>
                <w:sz w:val="20"/>
                <w:szCs w:val="20"/>
              </w:rPr>
            </w:pPr>
            <w:r w:rsidRPr="00B02EE5">
              <w:rPr>
                <w:rFonts w:ascii="Arial" w:hAnsi="Arial" w:cs="Arial"/>
                <w:sz w:val="20"/>
                <w:szCs w:val="20"/>
              </w:rPr>
              <w:t>15.9</w:t>
            </w:r>
          </w:p>
        </w:tc>
        <w:tc>
          <w:tcPr>
            <w:tcW w:w="1559" w:type="dxa"/>
            <w:shd w:val="clear" w:color="auto" w:fill="auto"/>
            <w:noWrap/>
            <w:vAlign w:val="center"/>
            <w:hideMark/>
          </w:tcPr>
          <w:p w14:paraId="40DC974C" w14:textId="77777777" w:rsidR="00B02EE5" w:rsidRPr="00B02EE5" w:rsidRDefault="00B02EE5" w:rsidP="00B02EE5">
            <w:pPr>
              <w:ind w:right="312"/>
              <w:jc w:val="right"/>
              <w:rPr>
                <w:rFonts w:ascii="Arial" w:hAnsi="Arial" w:cs="Arial"/>
                <w:color w:val="000000"/>
                <w:sz w:val="22"/>
                <w:szCs w:val="22"/>
              </w:rPr>
            </w:pPr>
            <w:r w:rsidRPr="00B02EE5">
              <w:rPr>
                <w:rFonts w:ascii="Arial" w:hAnsi="Arial" w:cs="Arial"/>
                <w:sz w:val="20"/>
                <w:szCs w:val="20"/>
              </w:rPr>
              <w:t xml:space="preserve">      16.5 </w:t>
            </w:r>
          </w:p>
        </w:tc>
        <w:tc>
          <w:tcPr>
            <w:tcW w:w="1560" w:type="dxa"/>
            <w:shd w:val="clear" w:color="auto" w:fill="auto"/>
            <w:noWrap/>
            <w:vAlign w:val="center"/>
            <w:hideMark/>
          </w:tcPr>
          <w:p w14:paraId="69A51A65" w14:textId="77777777" w:rsidR="00B02EE5" w:rsidRPr="00B02EE5" w:rsidRDefault="00B02EE5" w:rsidP="00B02EE5">
            <w:pPr>
              <w:ind w:right="397"/>
              <w:jc w:val="right"/>
              <w:rPr>
                <w:rFonts w:ascii="Arial" w:hAnsi="Arial" w:cs="Arial"/>
                <w:color w:val="000000"/>
                <w:sz w:val="22"/>
                <w:szCs w:val="22"/>
              </w:rPr>
            </w:pPr>
            <w:r w:rsidRPr="00B02EE5">
              <w:rPr>
                <w:rFonts w:ascii="Arial" w:hAnsi="Arial" w:cs="Arial"/>
                <w:sz w:val="20"/>
                <w:szCs w:val="20"/>
              </w:rPr>
              <w:t xml:space="preserve">      17.6 </w:t>
            </w:r>
          </w:p>
        </w:tc>
      </w:tr>
      <w:tr w:rsidR="00B02EE5" w:rsidRPr="00B02EE5" w14:paraId="41BF1336" w14:textId="77777777" w:rsidTr="003446D4">
        <w:trPr>
          <w:trHeight w:val="353"/>
          <w:jc w:val="center"/>
        </w:trPr>
        <w:tc>
          <w:tcPr>
            <w:tcW w:w="1696" w:type="dxa"/>
            <w:tcBorders>
              <w:bottom w:val="single" w:sz="4" w:space="0" w:color="auto"/>
            </w:tcBorders>
            <w:shd w:val="clear" w:color="auto" w:fill="auto"/>
            <w:noWrap/>
            <w:vAlign w:val="center"/>
            <w:hideMark/>
          </w:tcPr>
          <w:p w14:paraId="5B756753" w14:textId="77777777" w:rsidR="00B02EE5" w:rsidRPr="00B02EE5" w:rsidRDefault="00B02EE5" w:rsidP="00B02EE5">
            <w:pPr>
              <w:ind w:right="289"/>
              <w:rPr>
                <w:rFonts w:ascii="Arial" w:hAnsi="Arial" w:cs="Arial"/>
                <w:bCs/>
                <w:sz w:val="20"/>
                <w:szCs w:val="20"/>
              </w:rPr>
            </w:pPr>
            <w:r w:rsidRPr="00B02EE5">
              <w:rPr>
                <w:rFonts w:ascii="Arial" w:hAnsi="Arial" w:cs="Arial"/>
                <w:bCs/>
                <w:sz w:val="20"/>
                <w:szCs w:val="20"/>
              </w:rPr>
              <w:t>Airway</w:t>
            </w:r>
          </w:p>
        </w:tc>
        <w:tc>
          <w:tcPr>
            <w:tcW w:w="1985" w:type="dxa"/>
            <w:tcBorders>
              <w:bottom w:val="single" w:sz="4" w:space="0" w:color="auto"/>
            </w:tcBorders>
            <w:shd w:val="clear" w:color="auto" w:fill="auto"/>
            <w:noWrap/>
            <w:vAlign w:val="center"/>
            <w:hideMark/>
          </w:tcPr>
          <w:p w14:paraId="4209B331" w14:textId="77777777" w:rsidR="00B02EE5" w:rsidRPr="00B02EE5" w:rsidRDefault="00B02EE5" w:rsidP="00B02EE5">
            <w:pPr>
              <w:ind w:right="596"/>
              <w:jc w:val="right"/>
              <w:rPr>
                <w:rFonts w:ascii="Arial" w:hAnsi="Arial" w:cs="Arial"/>
                <w:color w:val="000000"/>
                <w:sz w:val="20"/>
                <w:szCs w:val="20"/>
              </w:rPr>
            </w:pPr>
            <w:r w:rsidRPr="00B02EE5">
              <w:rPr>
                <w:rFonts w:ascii="Arial" w:hAnsi="Arial" w:cs="Arial"/>
                <w:sz w:val="20"/>
                <w:szCs w:val="20"/>
              </w:rPr>
              <w:t>4.9</w:t>
            </w:r>
          </w:p>
        </w:tc>
        <w:tc>
          <w:tcPr>
            <w:tcW w:w="2126" w:type="dxa"/>
            <w:tcBorders>
              <w:bottom w:val="single" w:sz="4" w:space="0" w:color="auto"/>
            </w:tcBorders>
            <w:shd w:val="clear" w:color="auto" w:fill="auto"/>
            <w:noWrap/>
            <w:vAlign w:val="center"/>
            <w:hideMark/>
          </w:tcPr>
          <w:p w14:paraId="092C490E" w14:textId="77777777" w:rsidR="00B02EE5" w:rsidRPr="00B02EE5" w:rsidRDefault="00B02EE5" w:rsidP="00B02EE5">
            <w:pPr>
              <w:ind w:right="737"/>
              <w:jc w:val="right"/>
              <w:rPr>
                <w:rFonts w:ascii="Arial" w:hAnsi="Arial" w:cs="Arial"/>
                <w:color w:val="000000"/>
                <w:sz w:val="20"/>
                <w:szCs w:val="20"/>
              </w:rPr>
            </w:pPr>
            <w:r w:rsidRPr="00B02EE5">
              <w:rPr>
                <w:rFonts w:ascii="Arial" w:hAnsi="Arial" w:cs="Arial"/>
                <w:sz w:val="20"/>
                <w:szCs w:val="20"/>
              </w:rPr>
              <w:t>8.6</w:t>
            </w:r>
          </w:p>
        </w:tc>
        <w:tc>
          <w:tcPr>
            <w:tcW w:w="1559" w:type="dxa"/>
            <w:tcBorders>
              <w:bottom w:val="single" w:sz="4" w:space="0" w:color="auto"/>
            </w:tcBorders>
            <w:shd w:val="clear" w:color="auto" w:fill="auto"/>
            <w:noWrap/>
            <w:vAlign w:val="center"/>
            <w:hideMark/>
          </w:tcPr>
          <w:p w14:paraId="02FB40EF" w14:textId="77777777" w:rsidR="00B02EE5" w:rsidRPr="00B02EE5" w:rsidRDefault="00B02EE5" w:rsidP="00B02EE5">
            <w:pPr>
              <w:ind w:right="312"/>
              <w:jc w:val="right"/>
              <w:rPr>
                <w:rFonts w:ascii="Arial" w:hAnsi="Arial" w:cs="Arial"/>
                <w:color w:val="000000"/>
                <w:sz w:val="22"/>
                <w:szCs w:val="22"/>
              </w:rPr>
            </w:pPr>
            <w:r w:rsidRPr="00B02EE5">
              <w:rPr>
                <w:rFonts w:ascii="Arial" w:hAnsi="Arial" w:cs="Arial"/>
                <w:sz w:val="20"/>
                <w:szCs w:val="20"/>
              </w:rPr>
              <w:t xml:space="preserve">      18.7 </w:t>
            </w:r>
          </w:p>
        </w:tc>
        <w:tc>
          <w:tcPr>
            <w:tcW w:w="1560" w:type="dxa"/>
            <w:tcBorders>
              <w:bottom w:val="single" w:sz="4" w:space="0" w:color="auto"/>
            </w:tcBorders>
            <w:shd w:val="clear" w:color="auto" w:fill="auto"/>
            <w:noWrap/>
            <w:vAlign w:val="center"/>
            <w:hideMark/>
          </w:tcPr>
          <w:p w14:paraId="7BF6AFB1" w14:textId="77777777" w:rsidR="00B02EE5" w:rsidRPr="00B02EE5" w:rsidRDefault="00B02EE5" w:rsidP="00B02EE5">
            <w:pPr>
              <w:ind w:right="397"/>
              <w:jc w:val="right"/>
              <w:rPr>
                <w:rFonts w:ascii="Arial" w:hAnsi="Arial" w:cs="Arial"/>
                <w:color w:val="000000"/>
                <w:sz w:val="22"/>
                <w:szCs w:val="22"/>
              </w:rPr>
            </w:pPr>
            <w:r w:rsidRPr="00B02EE5">
              <w:rPr>
                <w:rFonts w:ascii="Arial" w:hAnsi="Arial" w:cs="Arial"/>
                <w:sz w:val="20"/>
                <w:szCs w:val="20"/>
              </w:rPr>
              <w:t xml:space="preserve">      18.6 </w:t>
            </w:r>
          </w:p>
        </w:tc>
      </w:tr>
    </w:tbl>
    <w:p w14:paraId="5A50DD66" w14:textId="77777777" w:rsidR="00B02EE5" w:rsidRPr="00B02EE5" w:rsidRDefault="00B02EE5" w:rsidP="00B02EE5">
      <w:pPr>
        <w:spacing w:before="120" w:after="120" w:line="276" w:lineRule="auto"/>
        <w:ind w:firstLine="720"/>
        <w:jc w:val="both"/>
        <w:rPr>
          <w:bCs/>
          <w:iCs/>
          <w:spacing w:val="4"/>
          <w:lang w:val="en-US"/>
        </w:rPr>
      </w:pPr>
      <w:r w:rsidRPr="00B02EE5">
        <w:rPr>
          <w:bCs/>
          <w:i/>
          <w:spacing w:val="-4"/>
          <w:lang w:val="fr-FR"/>
        </w:rPr>
        <w:t>Freight carried</w:t>
      </w:r>
      <w:r w:rsidRPr="00B02EE5">
        <w:rPr>
          <w:bCs/>
          <w:iCs/>
          <w:spacing w:val="-4"/>
          <w:lang w:val="fr-FR"/>
        </w:rPr>
        <w:t xml:space="preserve"> </w:t>
      </w:r>
      <w:r w:rsidRPr="00B02EE5">
        <w:rPr>
          <w:spacing w:val="-2"/>
          <w:lang w:val="fr-FR"/>
        </w:rPr>
        <w:t xml:space="preserve">in </w:t>
      </w:r>
      <w:r w:rsidRPr="00B02EE5">
        <w:rPr>
          <w:lang w:val="pt-BR"/>
        </w:rPr>
        <w:t>January 2025</w:t>
      </w:r>
      <w:r w:rsidRPr="00B02EE5">
        <w:rPr>
          <w:spacing w:val="-2"/>
          <w:lang w:val="fr-FR"/>
        </w:rPr>
        <w:t xml:space="preserve"> </w:t>
      </w:r>
      <w:r w:rsidRPr="00B02EE5">
        <w:rPr>
          <w:bCs/>
          <w:iCs/>
          <w:spacing w:val="-4"/>
          <w:lang w:val="fr-FR"/>
        </w:rPr>
        <w:t xml:space="preserve">was estimated at 236.4 million tons, decreased by 0.1% compared to the previous month, and up 12.5% against the similar period last year, freight traffic gained </w:t>
      </w:r>
      <w:r w:rsidRPr="00B02EE5">
        <w:rPr>
          <w:bCs/>
          <w:iCs/>
          <w:spacing w:val="4"/>
          <w:lang w:val="en-US"/>
        </w:rPr>
        <w:t>53.8</w:t>
      </w:r>
      <w:r w:rsidRPr="00B02EE5">
        <w:rPr>
          <w:bCs/>
          <w:iCs/>
          <w:spacing w:val="-4"/>
          <w:lang w:val="fr-FR"/>
        </w:rPr>
        <w:t xml:space="preserve"> billion tons-km, up </w:t>
      </w:r>
      <w:r w:rsidRPr="00B02EE5">
        <w:rPr>
          <w:bCs/>
          <w:iCs/>
          <w:spacing w:val="4"/>
          <w:lang w:val="en-US"/>
        </w:rPr>
        <w:t>0.2</w:t>
      </w:r>
      <w:r w:rsidRPr="00B02EE5">
        <w:rPr>
          <w:bCs/>
          <w:iCs/>
          <w:spacing w:val="4"/>
        </w:rPr>
        <w:t xml:space="preserve">% </w:t>
      </w:r>
      <w:r w:rsidRPr="00B02EE5">
        <w:rPr>
          <w:bCs/>
          <w:iCs/>
          <w:spacing w:val="-4"/>
          <w:lang w:val="fr-FR"/>
        </w:rPr>
        <w:t xml:space="preserve">and increased by </w:t>
      </w:r>
      <w:r w:rsidRPr="00B02EE5">
        <w:rPr>
          <w:spacing w:val="4"/>
          <w:lang w:val="en-US"/>
        </w:rPr>
        <w:t>15.2</w:t>
      </w:r>
      <w:r w:rsidRPr="00B02EE5">
        <w:rPr>
          <w:spacing w:val="4"/>
        </w:rPr>
        <w:t>%</w:t>
      </w:r>
      <w:r w:rsidRPr="00B02EE5">
        <w:rPr>
          <w:bCs/>
          <w:iCs/>
          <w:spacing w:val="-4"/>
          <w:lang w:val="fr-FR"/>
        </w:rPr>
        <w:t xml:space="preserve">. </w:t>
      </w:r>
      <w:r w:rsidRPr="00B02EE5">
        <w:rPr>
          <w:spacing w:val="-4"/>
          <w:lang w:val="fr-FR"/>
        </w:rPr>
        <w:t xml:space="preserve">Of which, domestic freight carried recorded 231.8 million tons, an increase of 12.3% and 31.6 billion tons-km, up 5.9%; oversea freight reached 4.6 million tons, increasing by 20.2% and 22.2 billion tons-km, </w:t>
      </w:r>
      <w:r w:rsidRPr="00B02EE5">
        <w:rPr>
          <w:bCs/>
          <w:iCs/>
          <w:spacing w:val="-4"/>
          <w:lang w:val="fr-FR"/>
        </w:rPr>
        <w:t>increased by</w:t>
      </w:r>
      <w:r w:rsidRPr="00B02EE5">
        <w:rPr>
          <w:spacing w:val="-4"/>
          <w:lang w:val="fr-FR"/>
        </w:rPr>
        <w:t xml:space="preserve"> </w:t>
      </w:r>
      <w:r w:rsidRPr="00B02EE5">
        <w:rPr>
          <w:bCs/>
          <w:iCs/>
          <w:spacing w:val="4"/>
          <w:lang w:val="en-US"/>
        </w:rPr>
        <w:t>31.6%</w:t>
      </w:r>
      <w:r w:rsidRPr="00B02EE5">
        <w:rPr>
          <w:bCs/>
          <w:iCs/>
          <w:spacing w:val="4"/>
        </w:rPr>
        <w:t>.</w:t>
      </w:r>
    </w:p>
    <w:p w14:paraId="6B4A89A3" w14:textId="77777777" w:rsidR="00B02EE5" w:rsidRPr="00B02EE5" w:rsidRDefault="00B02EE5" w:rsidP="00B02EE5">
      <w:pPr>
        <w:spacing w:before="120" w:after="120" w:line="276" w:lineRule="auto"/>
        <w:ind w:firstLine="720"/>
        <w:jc w:val="both"/>
        <w:rPr>
          <w:bCs/>
          <w:iCs/>
          <w:lang w:val="fr-FR"/>
        </w:rPr>
      </w:pPr>
      <w:r w:rsidRPr="00B02EE5">
        <w:rPr>
          <w:bCs/>
          <w:iCs/>
          <w:lang w:val="fr-FR"/>
        </w:rPr>
        <w:lastRenderedPageBreak/>
        <w:t>By transport sector, all sugar sectors in January 2025 had a positive growth rate compared to the same period last year due to the high demand for transporting goods for domestic production, consumption and export and import.</w:t>
      </w:r>
    </w:p>
    <w:p w14:paraId="258F2E86" w14:textId="77777777" w:rsidR="00B02EE5" w:rsidRPr="00B02EE5" w:rsidRDefault="00B02EE5" w:rsidP="00B02EE5">
      <w:pPr>
        <w:spacing w:before="120" w:line="276" w:lineRule="auto"/>
        <w:jc w:val="center"/>
        <w:rPr>
          <w:rFonts w:ascii="Arial" w:hAnsi="Arial" w:cs="Arial"/>
          <w:b/>
          <w:bCs/>
          <w:sz w:val="24"/>
          <w:szCs w:val="24"/>
          <w:lang w:val="fr-FR"/>
        </w:rPr>
      </w:pPr>
      <w:r w:rsidRPr="00B02EE5">
        <w:rPr>
          <w:rFonts w:ascii="Arial" w:hAnsi="Arial" w:cs="Arial"/>
          <w:b/>
          <w:bCs/>
          <w:sz w:val="24"/>
          <w:szCs w:val="24"/>
        </w:rPr>
        <w:t xml:space="preserve">Table 7. </w:t>
      </w:r>
      <w:r w:rsidRPr="00B02EE5">
        <w:rPr>
          <w:rFonts w:ascii="Arial" w:hAnsi="Arial" w:cs="Arial"/>
          <w:b/>
          <w:bCs/>
          <w:sz w:val="24"/>
          <w:szCs w:val="24"/>
          <w:lang w:val="fr-FR"/>
        </w:rPr>
        <w:t xml:space="preserve">Carriage of freight in </w:t>
      </w:r>
      <w:r w:rsidRPr="00B02EE5">
        <w:rPr>
          <w:rFonts w:ascii="Arial" w:hAnsi="Arial" w:cs="Arial"/>
          <w:b/>
          <w:bCs/>
          <w:iCs/>
          <w:sz w:val="24"/>
          <w:szCs w:val="24"/>
          <w:lang w:val="fr-FR"/>
        </w:rPr>
        <w:t xml:space="preserve">January 2025 </w:t>
      </w:r>
      <w:r w:rsidRPr="00B02EE5">
        <w:rPr>
          <w:rFonts w:ascii="Arial" w:hAnsi="Arial" w:cs="Arial"/>
          <w:b/>
          <w:bCs/>
          <w:sz w:val="24"/>
          <w:szCs w:val="24"/>
          <w:lang w:val="fr-FR"/>
        </w:rPr>
        <w:t>by types of transport</w:t>
      </w:r>
    </w:p>
    <w:p w14:paraId="00F88B59" w14:textId="77777777" w:rsidR="00B02EE5" w:rsidRPr="00B02EE5" w:rsidRDefault="00B02EE5" w:rsidP="00B02EE5">
      <w:pPr>
        <w:spacing w:line="276" w:lineRule="auto"/>
        <w:jc w:val="center"/>
        <w:rPr>
          <w:rFonts w:ascii="Arial" w:hAnsi="Arial" w:cs="Arial"/>
          <w:b/>
          <w:bCs/>
          <w:sz w:val="12"/>
          <w:szCs w:val="24"/>
          <w:lang w:val="fr-FR"/>
        </w:rPr>
      </w:pPr>
    </w:p>
    <w:p w14:paraId="5A067F71" w14:textId="77777777" w:rsidR="00B02EE5" w:rsidRPr="00B02EE5" w:rsidRDefault="00B02EE5" w:rsidP="00B02EE5">
      <w:pPr>
        <w:spacing w:before="120" w:line="276" w:lineRule="auto"/>
        <w:jc w:val="center"/>
        <w:rPr>
          <w:rFonts w:ascii="Arial" w:hAnsi="Arial" w:cs="Arial"/>
          <w:b/>
          <w:bCs/>
          <w:sz w:val="2"/>
          <w:szCs w:val="24"/>
          <w:lang w:val="fr-FR"/>
        </w:rPr>
      </w:pPr>
    </w:p>
    <w:tbl>
      <w:tblPr>
        <w:tblW w:w="8770" w:type="dxa"/>
        <w:jc w:val="center"/>
        <w:tblLook w:val="04A0" w:firstRow="1" w:lastRow="0" w:firstColumn="1" w:lastColumn="0" w:noHBand="0" w:noVBand="1"/>
      </w:tblPr>
      <w:tblGrid>
        <w:gridCol w:w="2387"/>
        <w:gridCol w:w="1571"/>
        <w:gridCol w:w="1406"/>
        <w:gridCol w:w="318"/>
        <w:gridCol w:w="1542"/>
        <w:gridCol w:w="1546"/>
      </w:tblGrid>
      <w:tr w:rsidR="00B02EE5" w:rsidRPr="00B02EE5" w14:paraId="2C3FE45C" w14:textId="77777777" w:rsidTr="003446D4">
        <w:trPr>
          <w:cantSplit/>
          <w:trHeight w:val="495"/>
          <w:jc w:val="center"/>
        </w:trPr>
        <w:tc>
          <w:tcPr>
            <w:tcW w:w="2387" w:type="dxa"/>
            <w:tcBorders>
              <w:top w:val="single" w:sz="4" w:space="0" w:color="auto"/>
            </w:tcBorders>
            <w:shd w:val="clear" w:color="auto" w:fill="auto"/>
            <w:noWrap/>
            <w:vAlign w:val="center"/>
            <w:hideMark/>
          </w:tcPr>
          <w:p w14:paraId="4653EF0A" w14:textId="77777777" w:rsidR="00B02EE5" w:rsidRPr="00B02EE5" w:rsidRDefault="00B02EE5" w:rsidP="00B02EE5">
            <w:pPr>
              <w:contextualSpacing/>
              <w:jc w:val="center"/>
              <w:rPr>
                <w:rFonts w:ascii="Arial" w:hAnsi="Arial" w:cs="Arial"/>
                <w:b/>
                <w:bCs/>
                <w:sz w:val="18"/>
                <w:szCs w:val="18"/>
                <w:lang w:eastAsia="vi-VN"/>
              </w:rPr>
            </w:pPr>
          </w:p>
        </w:tc>
        <w:tc>
          <w:tcPr>
            <w:tcW w:w="2977" w:type="dxa"/>
            <w:gridSpan w:val="2"/>
            <w:tcBorders>
              <w:top w:val="single" w:sz="4" w:space="0" w:color="auto"/>
              <w:bottom w:val="single" w:sz="4" w:space="0" w:color="auto"/>
            </w:tcBorders>
            <w:shd w:val="clear" w:color="auto" w:fill="auto"/>
            <w:noWrap/>
            <w:vAlign w:val="center"/>
            <w:hideMark/>
          </w:tcPr>
          <w:p w14:paraId="1D062189" w14:textId="77777777" w:rsidR="00B02EE5" w:rsidRPr="00B02EE5" w:rsidRDefault="00B02EE5" w:rsidP="00B02EE5">
            <w:pPr>
              <w:ind w:right="97"/>
              <w:contextualSpacing/>
              <w:jc w:val="center"/>
              <w:rPr>
                <w:rFonts w:ascii="Arial" w:hAnsi="Arial" w:cs="Arial"/>
                <w:b/>
                <w:bCs/>
                <w:sz w:val="18"/>
                <w:szCs w:val="18"/>
              </w:rPr>
            </w:pPr>
            <w:r w:rsidRPr="00B02EE5">
              <w:rPr>
                <w:rFonts w:ascii="Arial" w:hAnsi="Arial" w:cs="Arial"/>
                <w:color w:val="000000"/>
                <w:sz w:val="18"/>
                <w:szCs w:val="18"/>
                <w:lang w:eastAsia="vi-VN"/>
              </w:rPr>
              <w:t>Quantity of goods</w:t>
            </w:r>
          </w:p>
        </w:tc>
        <w:tc>
          <w:tcPr>
            <w:tcW w:w="318" w:type="dxa"/>
            <w:tcBorders>
              <w:top w:val="single" w:sz="4" w:space="0" w:color="auto"/>
            </w:tcBorders>
            <w:shd w:val="clear" w:color="auto" w:fill="auto"/>
            <w:noWrap/>
            <w:vAlign w:val="center"/>
            <w:hideMark/>
          </w:tcPr>
          <w:p w14:paraId="0F414284" w14:textId="77777777" w:rsidR="00B02EE5" w:rsidRPr="00B02EE5" w:rsidRDefault="00B02EE5" w:rsidP="00B02EE5">
            <w:pPr>
              <w:contextualSpacing/>
              <w:jc w:val="center"/>
              <w:rPr>
                <w:rFonts w:ascii="Arial" w:hAnsi="Arial" w:cs="Arial"/>
                <w:b/>
                <w:bCs/>
                <w:sz w:val="18"/>
                <w:szCs w:val="18"/>
              </w:rPr>
            </w:pPr>
            <w:r w:rsidRPr="00B02EE5">
              <w:rPr>
                <w:rFonts w:ascii="Arial" w:hAnsi="Arial" w:cs="Arial"/>
                <w:color w:val="000000"/>
                <w:sz w:val="18"/>
                <w:szCs w:val="18"/>
                <w:lang w:eastAsia="vi-VN"/>
              </w:rPr>
              <w:t> </w:t>
            </w:r>
          </w:p>
        </w:tc>
        <w:tc>
          <w:tcPr>
            <w:tcW w:w="3088" w:type="dxa"/>
            <w:gridSpan w:val="2"/>
            <w:tcBorders>
              <w:top w:val="single" w:sz="4" w:space="0" w:color="auto"/>
              <w:bottom w:val="single" w:sz="4" w:space="0" w:color="auto"/>
            </w:tcBorders>
            <w:shd w:val="clear" w:color="auto" w:fill="auto"/>
            <w:noWrap/>
            <w:vAlign w:val="center"/>
            <w:hideMark/>
          </w:tcPr>
          <w:p w14:paraId="55A168D7" w14:textId="77777777" w:rsidR="00B02EE5" w:rsidRPr="00B02EE5" w:rsidRDefault="00B02EE5" w:rsidP="00B02EE5">
            <w:pPr>
              <w:ind w:right="381"/>
              <w:contextualSpacing/>
              <w:jc w:val="center"/>
              <w:rPr>
                <w:rFonts w:ascii="Arial" w:hAnsi="Arial" w:cs="Arial"/>
                <w:b/>
                <w:bCs/>
                <w:sz w:val="18"/>
                <w:szCs w:val="18"/>
              </w:rPr>
            </w:pPr>
            <w:r w:rsidRPr="00B02EE5">
              <w:rPr>
                <w:rFonts w:ascii="Arial" w:hAnsi="Arial" w:cs="Arial"/>
                <w:color w:val="000000"/>
                <w:sz w:val="18"/>
                <w:szCs w:val="18"/>
                <w:lang w:eastAsia="vi-VN"/>
              </w:rPr>
              <w:t>The growth rate</w:t>
            </w:r>
            <w:r w:rsidRPr="00B02EE5">
              <w:rPr>
                <w:rFonts w:ascii="Arial" w:hAnsi="Arial" w:cs="Arial"/>
                <w:color w:val="000000"/>
                <w:sz w:val="18"/>
                <w:szCs w:val="18"/>
                <w:lang w:val="en-US" w:eastAsia="vi-VN"/>
              </w:rPr>
              <w:t xml:space="preserve"> </w:t>
            </w:r>
            <w:r w:rsidRPr="00B02EE5">
              <w:rPr>
                <w:rFonts w:ascii="Arial" w:hAnsi="Arial" w:cs="Arial"/>
                <w:color w:val="000000"/>
                <w:sz w:val="18"/>
                <w:szCs w:val="18"/>
                <w:lang w:eastAsia="vi-VN"/>
              </w:rPr>
              <w:t>compared to the same period last year (%)</w:t>
            </w:r>
          </w:p>
        </w:tc>
      </w:tr>
      <w:tr w:rsidR="00B02EE5" w:rsidRPr="00B02EE5" w14:paraId="2F43B084" w14:textId="77777777" w:rsidTr="003446D4">
        <w:trPr>
          <w:cantSplit/>
          <w:trHeight w:val="460"/>
          <w:jc w:val="center"/>
        </w:trPr>
        <w:tc>
          <w:tcPr>
            <w:tcW w:w="2387" w:type="dxa"/>
            <w:shd w:val="clear" w:color="auto" w:fill="auto"/>
            <w:noWrap/>
            <w:vAlign w:val="center"/>
            <w:hideMark/>
          </w:tcPr>
          <w:p w14:paraId="2A28789C" w14:textId="77777777" w:rsidR="00B02EE5" w:rsidRPr="00B02EE5" w:rsidRDefault="00B02EE5" w:rsidP="00B02EE5">
            <w:pPr>
              <w:contextualSpacing/>
              <w:jc w:val="center"/>
              <w:rPr>
                <w:rFonts w:ascii="Arial" w:hAnsi="Arial" w:cs="Arial"/>
                <w:b/>
                <w:bCs/>
                <w:sz w:val="18"/>
                <w:szCs w:val="18"/>
                <w:lang w:eastAsia="vi-VN"/>
              </w:rPr>
            </w:pPr>
          </w:p>
        </w:tc>
        <w:tc>
          <w:tcPr>
            <w:tcW w:w="1571" w:type="dxa"/>
            <w:tcBorders>
              <w:top w:val="single" w:sz="4" w:space="0" w:color="auto"/>
              <w:bottom w:val="single" w:sz="4" w:space="0" w:color="auto"/>
            </w:tcBorders>
            <w:shd w:val="clear" w:color="auto" w:fill="auto"/>
            <w:noWrap/>
            <w:vAlign w:val="center"/>
            <w:hideMark/>
          </w:tcPr>
          <w:p w14:paraId="6DA7D4AE" w14:textId="77777777" w:rsidR="00B02EE5" w:rsidRPr="00B02EE5" w:rsidRDefault="00B02EE5" w:rsidP="00B02EE5">
            <w:pPr>
              <w:contextualSpacing/>
              <w:jc w:val="center"/>
              <w:rPr>
                <w:rFonts w:ascii="Arial" w:hAnsi="Arial" w:cs="Arial"/>
                <w:sz w:val="18"/>
                <w:szCs w:val="18"/>
                <w:lang w:eastAsia="vi-VN"/>
              </w:rPr>
            </w:pPr>
            <w:r w:rsidRPr="00B02EE5">
              <w:rPr>
                <w:rFonts w:ascii="Arial" w:hAnsi="Arial" w:cs="Arial"/>
                <w:sz w:val="18"/>
                <w:szCs w:val="18"/>
                <w:lang w:eastAsia="vi-VN"/>
              </w:rPr>
              <w:t>Carried</w:t>
            </w:r>
            <w:r w:rsidRPr="00B02EE5">
              <w:rPr>
                <w:rFonts w:ascii="Arial" w:hAnsi="Arial" w:cs="Arial"/>
                <w:sz w:val="18"/>
                <w:szCs w:val="18"/>
                <w:lang w:eastAsia="vi-VN"/>
              </w:rPr>
              <w:br/>
              <w:t>(Mill. tons)</w:t>
            </w:r>
          </w:p>
        </w:tc>
        <w:tc>
          <w:tcPr>
            <w:tcW w:w="1406" w:type="dxa"/>
            <w:tcBorders>
              <w:top w:val="single" w:sz="4" w:space="0" w:color="auto"/>
              <w:bottom w:val="single" w:sz="4" w:space="0" w:color="auto"/>
            </w:tcBorders>
            <w:shd w:val="clear" w:color="auto" w:fill="auto"/>
            <w:noWrap/>
            <w:vAlign w:val="center"/>
            <w:hideMark/>
          </w:tcPr>
          <w:p w14:paraId="5A971983" w14:textId="77777777" w:rsidR="00B02EE5" w:rsidRPr="00B02EE5" w:rsidRDefault="00B02EE5" w:rsidP="00B02EE5">
            <w:pPr>
              <w:contextualSpacing/>
              <w:jc w:val="center"/>
              <w:rPr>
                <w:rFonts w:ascii="Arial" w:hAnsi="Arial" w:cs="Arial"/>
                <w:sz w:val="18"/>
                <w:szCs w:val="18"/>
                <w:lang w:eastAsia="vi-VN"/>
              </w:rPr>
            </w:pPr>
            <w:r w:rsidRPr="00B02EE5">
              <w:rPr>
                <w:rFonts w:ascii="Arial" w:hAnsi="Arial" w:cs="Arial"/>
                <w:sz w:val="18"/>
                <w:szCs w:val="18"/>
                <w:lang w:eastAsia="vi-VN"/>
              </w:rPr>
              <w:t>Traffic</w:t>
            </w:r>
            <w:r w:rsidRPr="00B02EE5">
              <w:rPr>
                <w:rFonts w:ascii="Arial" w:hAnsi="Arial" w:cs="Arial"/>
                <w:sz w:val="18"/>
                <w:szCs w:val="18"/>
                <w:lang w:eastAsia="vi-VN"/>
              </w:rPr>
              <w:br/>
              <w:t>(Bill. tons-km)</w:t>
            </w:r>
          </w:p>
        </w:tc>
        <w:tc>
          <w:tcPr>
            <w:tcW w:w="318" w:type="dxa"/>
            <w:tcBorders>
              <w:bottom w:val="single" w:sz="4" w:space="0" w:color="auto"/>
            </w:tcBorders>
            <w:shd w:val="clear" w:color="auto" w:fill="auto"/>
            <w:noWrap/>
            <w:vAlign w:val="center"/>
            <w:hideMark/>
          </w:tcPr>
          <w:p w14:paraId="71BA8BA1" w14:textId="77777777" w:rsidR="00B02EE5" w:rsidRPr="00B02EE5" w:rsidRDefault="00B02EE5" w:rsidP="00B02EE5">
            <w:pPr>
              <w:contextualSpacing/>
              <w:jc w:val="center"/>
              <w:rPr>
                <w:rFonts w:ascii="Arial" w:hAnsi="Arial" w:cs="Arial"/>
                <w:b/>
                <w:bCs/>
                <w:sz w:val="18"/>
                <w:szCs w:val="18"/>
              </w:rPr>
            </w:pPr>
          </w:p>
        </w:tc>
        <w:tc>
          <w:tcPr>
            <w:tcW w:w="1542" w:type="dxa"/>
            <w:tcBorders>
              <w:top w:val="single" w:sz="4" w:space="0" w:color="auto"/>
              <w:bottom w:val="single" w:sz="4" w:space="0" w:color="auto"/>
            </w:tcBorders>
            <w:shd w:val="clear" w:color="auto" w:fill="auto"/>
            <w:noWrap/>
            <w:vAlign w:val="center"/>
            <w:hideMark/>
          </w:tcPr>
          <w:p w14:paraId="1C8BA5EA" w14:textId="77777777" w:rsidR="00B02EE5" w:rsidRPr="00B02EE5" w:rsidRDefault="00B02EE5" w:rsidP="00B02EE5">
            <w:pPr>
              <w:contextualSpacing/>
              <w:jc w:val="center"/>
              <w:rPr>
                <w:rFonts w:ascii="Arial" w:hAnsi="Arial" w:cs="Arial"/>
                <w:sz w:val="18"/>
                <w:szCs w:val="18"/>
                <w:lang w:eastAsia="vi-VN"/>
              </w:rPr>
            </w:pPr>
            <w:r w:rsidRPr="00B02EE5">
              <w:rPr>
                <w:rFonts w:ascii="Arial" w:hAnsi="Arial" w:cs="Arial"/>
                <w:sz w:val="18"/>
                <w:szCs w:val="18"/>
                <w:lang w:eastAsia="vi-VN"/>
              </w:rPr>
              <w:t>Carried</w:t>
            </w:r>
          </w:p>
        </w:tc>
        <w:tc>
          <w:tcPr>
            <w:tcW w:w="1546" w:type="dxa"/>
            <w:tcBorders>
              <w:top w:val="single" w:sz="4" w:space="0" w:color="auto"/>
              <w:bottom w:val="single" w:sz="4" w:space="0" w:color="auto"/>
            </w:tcBorders>
            <w:shd w:val="clear" w:color="auto" w:fill="auto"/>
            <w:noWrap/>
            <w:vAlign w:val="center"/>
            <w:hideMark/>
          </w:tcPr>
          <w:p w14:paraId="3468B064" w14:textId="77777777" w:rsidR="00B02EE5" w:rsidRPr="00B02EE5" w:rsidRDefault="00B02EE5" w:rsidP="00B02EE5">
            <w:pPr>
              <w:contextualSpacing/>
              <w:jc w:val="center"/>
              <w:rPr>
                <w:rFonts w:ascii="Arial" w:hAnsi="Arial" w:cs="Arial"/>
                <w:sz w:val="18"/>
                <w:szCs w:val="18"/>
                <w:lang w:eastAsia="vi-VN"/>
              </w:rPr>
            </w:pPr>
            <w:r w:rsidRPr="00B02EE5">
              <w:rPr>
                <w:rFonts w:ascii="Arial" w:hAnsi="Arial" w:cs="Arial"/>
                <w:sz w:val="18"/>
                <w:szCs w:val="18"/>
                <w:lang w:eastAsia="vi-VN"/>
              </w:rPr>
              <w:t>Traffic</w:t>
            </w:r>
          </w:p>
        </w:tc>
      </w:tr>
      <w:tr w:rsidR="00B02EE5" w:rsidRPr="00B02EE5" w14:paraId="60747D28" w14:textId="77777777" w:rsidTr="003446D4">
        <w:trPr>
          <w:cantSplit/>
          <w:trHeight w:val="383"/>
          <w:jc w:val="center"/>
        </w:trPr>
        <w:tc>
          <w:tcPr>
            <w:tcW w:w="2387" w:type="dxa"/>
            <w:shd w:val="clear" w:color="auto" w:fill="auto"/>
            <w:noWrap/>
            <w:vAlign w:val="center"/>
            <w:hideMark/>
          </w:tcPr>
          <w:p w14:paraId="52D776AB" w14:textId="77777777" w:rsidR="00B02EE5" w:rsidRPr="00B02EE5" w:rsidRDefault="00B02EE5" w:rsidP="00B02EE5">
            <w:pPr>
              <w:contextualSpacing/>
              <w:rPr>
                <w:rFonts w:ascii="Arial" w:hAnsi="Arial" w:cs="Arial"/>
                <w:b/>
                <w:bCs/>
                <w:sz w:val="18"/>
                <w:szCs w:val="18"/>
                <w:lang w:eastAsia="vi-VN"/>
              </w:rPr>
            </w:pPr>
            <w:r w:rsidRPr="00B02EE5">
              <w:rPr>
                <w:rFonts w:ascii="Arial" w:hAnsi="Arial" w:cs="Arial"/>
                <w:b/>
                <w:bCs/>
                <w:sz w:val="18"/>
                <w:szCs w:val="18"/>
                <w:lang w:eastAsia="vi-VN"/>
              </w:rPr>
              <w:t>Total</w:t>
            </w:r>
          </w:p>
        </w:tc>
        <w:tc>
          <w:tcPr>
            <w:tcW w:w="1571" w:type="dxa"/>
            <w:tcBorders>
              <w:top w:val="single" w:sz="4" w:space="0" w:color="auto"/>
            </w:tcBorders>
            <w:shd w:val="clear" w:color="auto" w:fill="auto"/>
            <w:noWrap/>
            <w:vAlign w:val="bottom"/>
            <w:hideMark/>
          </w:tcPr>
          <w:p w14:paraId="2EF0593C" w14:textId="77777777" w:rsidR="00B02EE5" w:rsidRPr="00B02EE5" w:rsidRDefault="00B02EE5" w:rsidP="00B02EE5">
            <w:pPr>
              <w:ind w:right="322"/>
              <w:contextualSpacing/>
              <w:jc w:val="right"/>
              <w:rPr>
                <w:rFonts w:ascii="Arial" w:hAnsi="Arial" w:cs="Arial"/>
                <w:b/>
                <w:bCs/>
                <w:color w:val="000000"/>
                <w:sz w:val="18"/>
                <w:szCs w:val="18"/>
              </w:rPr>
            </w:pPr>
            <w:r w:rsidRPr="00B02EE5">
              <w:rPr>
                <w:rFonts w:ascii="Arial" w:hAnsi="Arial" w:cs="Arial"/>
                <w:b/>
                <w:bCs/>
                <w:sz w:val="20"/>
                <w:szCs w:val="20"/>
              </w:rPr>
              <w:t>236.4</w:t>
            </w:r>
          </w:p>
        </w:tc>
        <w:tc>
          <w:tcPr>
            <w:tcW w:w="1406" w:type="dxa"/>
            <w:tcBorders>
              <w:top w:val="single" w:sz="4" w:space="0" w:color="auto"/>
            </w:tcBorders>
            <w:shd w:val="clear" w:color="auto" w:fill="auto"/>
            <w:noWrap/>
            <w:vAlign w:val="bottom"/>
            <w:hideMark/>
          </w:tcPr>
          <w:p w14:paraId="559C27D7" w14:textId="77777777" w:rsidR="00B02EE5" w:rsidRPr="00B02EE5" w:rsidRDefault="00B02EE5" w:rsidP="00B02EE5">
            <w:pPr>
              <w:ind w:right="292"/>
              <w:contextualSpacing/>
              <w:jc w:val="right"/>
              <w:rPr>
                <w:rFonts w:ascii="Arial" w:hAnsi="Arial" w:cs="Arial"/>
                <w:b/>
                <w:bCs/>
                <w:color w:val="000000"/>
                <w:sz w:val="18"/>
                <w:szCs w:val="18"/>
              </w:rPr>
            </w:pPr>
            <w:r w:rsidRPr="00B02EE5">
              <w:rPr>
                <w:rFonts w:ascii="Arial" w:hAnsi="Arial" w:cs="Arial"/>
                <w:b/>
                <w:bCs/>
                <w:sz w:val="20"/>
                <w:szCs w:val="20"/>
              </w:rPr>
              <w:t>53.8</w:t>
            </w:r>
          </w:p>
        </w:tc>
        <w:tc>
          <w:tcPr>
            <w:tcW w:w="318" w:type="dxa"/>
            <w:tcBorders>
              <w:top w:val="single" w:sz="4" w:space="0" w:color="auto"/>
            </w:tcBorders>
            <w:shd w:val="clear" w:color="auto" w:fill="auto"/>
            <w:noWrap/>
            <w:vAlign w:val="bottom"/>
            <w:hideMark/>
          </w:tcPr>
          <w:p w14:paraId="62B14329" w14:textId="77777777" w:rsidR="00B02EE5" w:rsidRPr="00B02EE5" w:rsidRDefault="00B02EE5" w:rsidP="00B02EE5">
            <w:pPr>
              <w:contextualSpacing/>
              <w:jc w:val="right"/>
              <w:rPr>
                <w:rFonts w:ascii="Arial" w:hAnsi="Arial" w:cs="Arial"/>
                <w:b/>
                <w:bCs/>
                <w:sz w:val="18"/>
                <w:szCs w:val="18"/>
              </w:rPr>
            </w:pPr>
          </w:p>
        </w:tc>
        <w:tc>
          <w:tcPr>
            <w:tcW w:w="1542" w:type="dxa"/>
            <w:tcBorders>
              <w:top w:val="single" w:sz="4" w:space="0" w:color="auto"/>
            </w:tcBorders>
            <w:shd w:val="clear" w:color="auto" w:fill="auto"/>
            <w:noWrap/>
            <w:vAlign w:val="bottom"/>
            <w:hideMark/>
          </w:tcPr>
          <w:p w14:paraId="456A76DA" w14:textId="77777777" w:rsidR="00B02EE5" w:rsidRPr="00B02EE5" w:rsidRDefault="00B02EE5" w:rsidP="00B02EE5">
            <w:pPr>
              <w:ind w:right="427"/>
              <w:contextualSpacing/>
              <w:jc w:val="right"/>
              <w:rPr>
                <w:rFonts w:ascii="Arial" w:hAnsi="Arial" w:cs="Arial"/>
                <w:b/>
                <w:bCs/>
                <w:color w:val="000000"/>
                <w:sz w:val="18"/>
                <w:szCs w:val="18"/>
              </w:rPr>
            </w:pPr>
            <w:r w:rsidRPr="00B02EE5">
              <w:rPr>
                <w:rFonts w:ascii="Arial" w:hAnsi="Arial" w:cs="Arial"/>
                <w:b/>
                <w:bCs/>
                <w:sz w:val="20"/>
                <w:szCs w:val="20"/>
              </w:rPr>
              <w:t xml:space="preserve">      12.5 </w:t>
            </w:r>
          </w:p>
        </w:tc>
        <w:tc>
          <w:tcPr>
            <w:tcW w:w="1546" w:type="dxa"/>
            <w:tcBorders>
              <w:top w:val="single" w:sz="4" w:space="0" w:color="auto"/>
            </w:tcBorders>
            <w:shd w:val="clear" w:color="auto" w:fill="auto"/>
            <w:noWrap/>
            <w:vAlign w:val="bottom"/>
            <w:hideMark/>
          </w:tcPr>
          <w:p w14:paraId="205E65CF" w14:textId="77777777" w:rsidR="00B02EE5" w:rsidRPr="00B02EE5" w:rsidRDefault="00B02EE5" w:rsidP="00B02EE5">
            <w:pPr>
              <w:ind w:right="393"/>
              <w:contextualSpacing/>
              <w:jc w:val="right"/>
              <w:rPr>
                <w:rFonts w:ascii="Arial" w:hAnsi="Arial" w:cs="Arial"/>
                <w:b/>
                <w:bCs/>
                <w:color w:val="000000"/>
                <w:sz w:val="18"/>
                <w:szCs w:val="18"/>
              </w:rPr>
            </w:pPr>
            <w:r w:rsidRPr="00B02EE5">
              <w:rPr>
                <w:rFonts w:ascii="Arial" w:hAnsi="Arial" w:cs="Arial"/>
                <w:b/>
                <w:bCs/>
                <w:sz w:val="20"/>
                <w:szCs w:val="20"/>
              </w:rPr>
              <w:t xml:space="preserve">      15.2 </w:t>
            </w:r>
          </w:p>
        </w:tc>
      </w:tr>
      <w:tr w:rsidR="00B02EE5" w:rsidRPr="00B02EE5" w14:paraId="7E25B2F8" w14:textId="77777777" w:rsidTr="003446D4">
        <w:trPr>
          <w:cantSplit/>
          <w:trHeight w:val="383"/>
          <w:jc w:val="center"/>
        </w:trPr>
        <w:tc>
          <w:tcPr>
            <w:tcW w:w="2387" w:type="dxa"/>
            <w:shd w:val="clear" w:color="auto" w:fill="auto"/>
            <w:noWrap/>
            <w:vAlign w:val="bottom"/>
            <w:hideMark/>
          </w:tcPr>
          <w:p w14:paraId="6FF241E4" w14:textId="77777777" w:rsidR="00B02EE5" w:rsidRPr="00B02EE5" w:rsidRDefault="00B02EE5" w:rsidP="00B02EE5">
            <w:pPr>
              <w:ind w:left="317"/>
              <w:contextualSpacing/>
              <w:rPr>
                <w:rFonts w:ascii="Arial" w:hAnsi="Arial" w:cs="Arial"/>
                <w:sz w:val="18"/>
                <w:szCs w:val="18"/>
                <w:lang w:eastAsia="vi-VN"/>
              </w:rPr>
            </w:pPr>
            <w:r w:rsidRPr="00B02EE5">
              <w:rPr>
                <w:rFonts w:ascii="Arial" w:hAnsi="Arial" w:cs="Arial"/>
                <w:sz w:val="18"/>
                <w:szCs w:val="18"/>
              </w:rPr>
              <w:t>Railway</w:t>
            </w:r>
          </w:p>
        </w:tc>
        <w:tc>
          <w:tcPr>
            <w:tcW w:w="1571" w:type="dxa"/>
            <w:shd w:val="clear" w:color="auto" w:fill="auto"/>
            <w:noWrap/>
            <w:vAlign w:val="bottom"/>
            <w:hideMark/>
          </w:tcPr>
          <w:p w14:paraId="3BD6CA47" w14:textId="77777777" w:rsidR="00B02EE5" w:rsidRPr="00B02EE5" w:rsidRDefault="00B02EE5" w:rsidP="00B02EE5">
            <w:pPr>
              <w:ind w:right="322"/>
              <w:contextualSpacing/>
              <w:jc w:val="right"/>
              <w:rPr>
                <w:rFonts w:ascii="Arial" w:hAnsi="Arial" w:cs="Arial"/>
                <w:color w:val="000000"/>
                <w:sz w:val="18"/>
                <w:szCs w:val="18"/>
              </w:rPr>
            </w:pPr>
            <w:r w:rsidRPr="00B02EE5">
              <w:rPr>
                <w:rFonts w:ascii="Arial" w:hAnsi="Arial" w:cs="Arial"/>
                <w:sz w:val="20"/>
                <w:szCs w:val="20"/>
              </w:rPr>
              <w:t>0.4</w:t>
            </w:r>
          </w:p>
        </w:tc>
        <w:tc>
          <w:tcPr>
            <w:tcW w:w="1406" w:type="dxa"/>
            <w:shd w:val="clear" w:color="auto" w:fill="auto"/>
            <w:noWrap/>
            <w:vAlign w:val="bottom"/>
            <w:hideMark/>
          </w:tcPr>
          <w:p w14:paraId="3A1AE8C6" w14:textId="77777777" w:rsidR="00B02EE5" w:rsidRPr="00B02EE5" w:rsidRDefault="00B02EE5" w:rsidP="00B02EE5">
            <w:pPr>
              <w:ind w:right="292"/>
              <w:contextualSpacing/>
              <w:jc w:val="right"/>
              <w:rPr>
                <w:rFonts w:ascii="Arial" w:hAnsi="Arial" w:cs="Arial"/>
                <w:color w:val="000000"/>
                <w:sz w:val="18"/>
                <w:szCs w:val="18"/>
              </w:rPr>
            </w:pPr>
            <w:r w:rsidRPr="00B02EE5">
              <w:rPr>
                <w:rFonts w:ascii="Arial" w:hAnsi="Arial" w:cs="Arial"/>
                <w:sz w:val="20"/>
                <w:szCs w:val="20"/>
              </w:rPr>
              <w:t>0.4</w:t>
            </w:r>
          </w:p>
        </w:tc>
        <w:tc>
          <w:tcPr>
            <w:tcW w:w="318" w:type="dxa"/>
            <w:shd w:val="clear" w:color="auto" w:fill="auto"/>
            <w:noWrap/>
            <w:vAlign w:val="bottom"/>
            <w:hideMark/>
          </w:tcPr>
          <w:p w14:paraId="3560CBBF" w14:textId="77777777" w:rsidR="00B02EE5" w:rsidRPr="00B02EE5" w:rsidRDefault="00B02EE5" w:rsidP="00B02EE5">
            <w:pPr>
              <w:contextualSpacing/>
              <w:jc w:val="right"/>
              <w:rPr>
                <w:rFonts w:ascii="Arial" w:hAnsi="Arial" w:cs="Arial"/>
                <w:sz w:val="18"/>
                <w:szCs w:val="18"/>
              </w:rPr>
            </w:pPr>
          </w:p>
        </w:tc>
        <w:tc>
          <w:tcPr>
            <w:tcW w:w="1542" w:type="dxa"/>
            <w:shd w:val="clear" w:color="auto" w:fill="auto"/>
            <w:noWrap/>
            <w:vAlign w:val="bottom"/>
            <w:hideMark/>
          </w:tcPr>
          <w:p w14:paraId="5D7533BB" w14:textId="77777777" w:rsidR="00B02EE5" w:rsidRPr="00B02EE5" w:rsidRDefault="00B02EE5" w:rsidP="00B02EE5">
            <w:pPr>
              <w:ind w:right="427"/>
              <w:contextualSpacing/>
              <w:jc w:val="right"/>
              <w:rPr>
                <w:rFonts w:ascii="Arial" w:hAnsi="Arial" w:cs="Arial"/>
                <w:color w:val="000000"/>
                <w:sz w:val="18"/>
                <w:szCs w:val="18"/>
              </w:rPr>
            </w:pPr>
            <w:r w:rsidRPr="00B02EE5">
              <w:rPr>
                <w:rFonts w:ascii="Arial" w:hAnsi="Arial" w:cs="Arial"/>
                <w:sz w:val="20"/>
                <w:szCs w:val="20"/>
              </w:rPr>
              <w:t xml:space="preserve">        1.7 </w:t>
            </w:r>
          </w:p>
        </w:tc>
        <w:tc>
          <w:tcPr>
            <w:tcW w:w="1546" w:type="dxa"/>
            <w:shd w:val="clear" w:color="auto" w:fill="auto"/>
            <w:noWrap/>
            <w:vAlign w:val="bottom"/>
            <w:hideMark/>
          </w:tcPr>
          <w:p w14:paraId="744E6280" w14:textId="77777777" w:rsidR="00B02EE5" w:rsidRPr="00B02EE5" w:rsidRDefault="00B02EE5" w:rsidP="00B02EE5">
            <w:pPr>
              <w:ind w:right="393"/>
              <w:contextualSpacing/>
              <w:jc w:val="right"/>
              <w:rPr>
                <w:rFonts w:ascii="Arial" w:hAnsi="Arial" w:cs="Arial"/>
                <w:color w:val="000000"/>
                <w:sz w:val="18"/>
                <w:szCs w:val="18"/>
              </w:rPr>
            </w:pPr>
            <w:r w:rsidRPr="00B02EE5">
              <w:rPr>
                <w:rFonts w:ascii="Arial" w:hAnsi="Arial" w:cs="Arial"/>
                <w:sz w:val="20"/>
                <w:szCs w:val="20"/>
              </w:rPr>
              <w:t xml:space="preserve">        0.9 </w:t>
            </w:r>
          </w:p>
        </w:tc>
      </w:tr>
      <w:tr w:rsidR="00B02EE5" w:rsidRPr="00B02EE5" w14:paraId="45B24F88" w14:textId="77777777" w:rsidTr="003446D4">
        <w:trPr>
          <w:cantSplit/>
          <w:trHeight w:val="383"/>
          <w:jc w:val="center"/>
        </w:trPr>
        <w:tc>
          <w:tcPr>
            <w:tcW w:w="2387" w:type="dxa"/>
            <w:shd w:val="clear" w:color="auto" w:fill="auto"/>
            <w:noWrap/>
            <w:vAlign w:val="bottom"/>
            <w:hideMark/>
          </w:tcPr>
          <w:p w14:paraId="074FD8A5" w14:textId="77777777" w:rsidR="00B02EE5" w:rsidRPr="00B02EE5" w:rsidRDefault="00B02EE5" w:rsidP="00B02EE5">
            <w:pPr>
              <w:ind w:left="317"/>
              <w:contextualSpacing/>
              <w:rPr>
                <w:rFonts w:ascii="Arial" w:hAnsi="Arial" w:cs="Arial"/>
                <w:sz w:val="18"/>
                <w:szCs w:val="18"/>
                <w:lang w:eastAsia="vi-VN"/>
              </w:rPr>
            </w:pPr>
            <w:r w:rsidRPr="00B02EE5">
              <w:rPr>
                <w:rFonts w:ascii="Arial" w:hAnsi="Arial" w:cs="Arial"/>
                <w:sz w:val="18"/>
                <w:szCs w:val="18"/>
              </w:rPr>
              <w:t>Seaway</w:t>
            </w:r>
          </w:p>
        </w:tc>
        <w:tc>
          <w:tcPr>
            <w:tcW w:w="1571" w:type="dxa"/>
            <w:shd w:val="clear" w:color="auto" w:fill="auto"/>
            <w:noWrap/>
            <w:vAlign w:val="bottom"/>
            <w:hideMark/>
          </w:tcPr>
          <w:p w14:paraId="1D36F1DC" w14:textId="77777777" w:rsidR="00B02EE5" w:rsidRPr="00B02EE5" w:rsidRDefault="00B02EE5" w:rsidP="00B02EE5">
            <w:pPr>
              <w:ind w:right="322"/>
              <w:contextualSpacing/>
              <w:jc w:val="right"/>
              <w:rPr>
                <w:rFonts w:ascii="Arial" w:hAnsi="Arial" w:cs="Arial"/>
                <w:color w:val="000000"/>
                <w:sz w:val="18"/>
                <w:szCs w:val="18"/>
              </w:rPr>
            </w:pPr>
            <w:r w:rsidRPr="00B02EE5">
              <w:rPr>
                <w:rFonts w:ascii="Arial" w:hAnsi="Arial" w:cs="Arial"/>
                <w:sz w:val="20"/>
                <w:szCs w:val="20"/>
              </w:rPr>
              <w:t>13.1</w:t>
            </w:r>
          </w:p>
        </w:tc>
        <w:tc>
          <w:tcPr>
            <w:tcW w:w="1406" w:type="dxa"/>
            <w:shd w:val="clear" w:color="auto" w:fill="auto"/>
            <w:noWrap/>
            <w:vAlign w:val="bottom"/>
            <w:hideMark/>
          </w:tcPr>
          <w:p w14:paraId="5FE93613" w14:textId="77777777" w:rsidR="00B02EE5" w:rsidRPr="00B02EE5" w:rsidRDefault="00B02EE5" w:rsidP="00B02EE5">
            <w:pPr>
              <w:ind w:right="292"/>
              <w:contextualSpacing/>
              <w:jc w:val="right"/>
              <w:rPr>
                <w:rFonts w:ascii="Arial" w:hAnsi="Arial" w:cs="Arial"/>
                <w:color w:val="000000"/>
                <w:sz w:val="18"/>
                <w:szCs w:val="18"/>
              </w:rPr>
            </w:pPr>
            <w:r w:rsidRPr="00B02EE5">
              <w:rPr>
                <w:rFonts w:ascii="Arial" w:hAnsi="Arial" w:cs="Arial"/>
                <w:sz w:val="20"/>
                <w:szCs w:val="20"/>
              </w:rPr>
              <w:t>26.7</w:t>
            </w:r>
          </w:p>
        </w:tc>
        <w:tc>
          <w:tcPr>
            <w:tcW w:w="318" w:type="dxa"/>
            <w:shd w:val="clear" w:color="auto" w:fill="auto"/>
            <w:noWrap/>
            <w:vAlign w:val="bottom"/>
            <w:hideMark/>
          </w:tcPr>
          <w:p w14:paraId="10CC56BD" w14:textId="77777777" w:rsidR="00B02EE5" w:rsidRPr="00B02EE5" w:rsidRDefault="00B02EE5" w:rsidP="00B02EE5">
            <w:pPr>
              <w:contextualSpacing/>
              <w:jc w:val="right"/>
              <w:rPr>
                <w:rFonts w:ascii="Arial" w:hAnsi="Arial" w:cs="Arial"/>
                <w:sz w:val="18"/>
                <w:szCs w:val="18"/>
              </w:rPr>
            </w:pPr>
          </w:p>
        </w:tc>
        <w:tc>
          <w:tcPr>
            <w:tcW w:w="1542" w:type="dxa"/>
            <w:shd w:val="clear" w:color="auto" w:fill="auto"/>
            <w:noWrap/>
            <w:vAlign w:val="bottom"/>
            <w:hideMark/>
          </w:tcPr>
          <w:p w14:paraId="0A28505A" w14:textId="77777777" w:rsidR="00B02EE5" w:rsidRPr="00B02EE5" w:rsidRDefault="00B02EE5" w:rsidP="00B02EE5">
            <w:pPr>
              <w:ind w:right="427"/>
              <w:contextualSpacing/>
              <w:jc w:val="right"/>
              <w:rPr>
                <w:rFonts w:ascii="Arial" w:hAnsi="Arial" w:cs="Arial"/>
                <w:color w:val="000000"/>
                <w:sz w:val="18"/>
                <w:szCs w:val="18"/>
              </w:rPr>
            </w:pPr>
            <w:r w:rsidRPr="00B02EE5">
              <w:rPr>
                <w:rFonts w:ascii="Arial" w:hAnsi="Arial" w:cs="Arial"/>
                <w:sz w:val="20"/>
                <w:szCs w:val="20"/>
              </w:rPr>
              <w:t xml:space="preserve">      21.3 </w:t>
            </w:r>
          </w:p>
        </w:tc>
        <w:tc>
          <w:tcPr>
            <w:tcW w:w="1546" w:type="dxa"/>
            <w:shd w:val="clear" w:color="auto" w:fill="auto"/>
            <w:noWrap/>
            <w:vAlign w:val="bottom"/>
            <w:hideMark/>
          </w:tcPr>
          <w:p w14:paraId="479F4F4E" w14:textId="77777777" w:rsidR="00B02EE5" w:rsidRPr="00B02EE5" w:rsidRDefault="00B02EE5" w:rsidP="00B02EE5">
            <w:pPr>
              <w:ind w:right="393"/>
              <w:contextualSpacing/>
              <w:jc w:val="right"/>
              <w:rPr>
                <w:rFonts w:ascii="Arial" w:hAnsi="Arial" w:cs="Arial"/>
                <w:color w:val="000000"/>
                <w:sz w:val="18"/>
                <w:szCs w:val="18"/>
              </w:rPr>
            </w:pPr>
            <w:r w:rsidRPr="00B02EE5">
              <w:rPr>
                <w:rFonts w:ascii="Arial" w:hAnsi="Arial" w:cs="Arial"/>
                <w:sz w:val="20"/>
                <w:szCs w:val="20"/>
              </w:rPr>
              <w:t xml:space="preserve">      20.9 </w:t>
            </w:r>
          </w:p>
        </w:tc>
      </w:tr>
      <w:tr w:rsidR="00B02EE5" w:rsidRPr="00B02EE5" w14:paraId="33F09342" w14:textId="77777777" w:rsidTr="003446D4">
        <w:trPr>
          <w:cantSplit/>
          <w:trHeight w:val="383"/>
          <w:jc w:val="center"/>
        </w:trPr>
        <w:tc>
          <w:tcPr>
            <w:tcW w:w="2387" w:type="dxa"/>
            <w:shd w:val="clear" w:color="auto" w:fill="auto"/>
            <w:noWrap/>
            <w:vAlign w:val="bottom"/>
            <w:hideMark/>
          </w:tcPr>
          <w:p w14:paraId="64A1F955" w14:textId="77777777" w:rsidR="00B02EE5" w:rsidRPr="00B02EE5" w:rsidRDefault="00B02EE5" w:rsidP="00B02EE5">
            <w:pPr>
              <w:ind w:left="317"/>
              <w:contextualSpacing/>
              <w:rPr>
                <w:rFonts w:ascii="Arial" w:hAnsi="Arial" w:cs="Arial"/>
                <w:sz w:val="18"/>
                <w:szCs w:val="18"/>
                <w:lang w:eastAsia="vi-VN"/>
              </w:rPr>
            </w:pPr>
            <w:r w:rsidRPr="00B02EE5">
              <w:rPr>
                <w:rFonts w:ascii="Arial" w:hAnsi="Arial" w:cs="Arial"/>
                <w:sz w:val="18"/>
                <w:szCs w:val="18"/>
              </w:rPr>
              <w:t>Inland waterway</w:t>
            </w:r>
          </w:p>
        </w:tc>
        <w:tc>
          <w:tcPr>
            <w:tcW w:w="1571" w:type="dxa"/>
            <w:shd w:val="clear" w:color="auto" w:fill="auto"/>
            <w:noWrap/>
            <w:vAlign w:val="bottom"/>
            <w:hideMark/>
          </w:tcPr>
          <w:p w14:paraId="34E7256B" w14:textId="77777777" w:rsidR="00B02EE5" w:rsidRPr="00B02EE5" w:rsidRDefault="00B02EE5" w:rsidP="00B02EE5">
            <w:pPr>
              <w:ind w:right="322"/>
              <w:contextualSpacing/>
              <w:jc w:val="right"/>
              <w:rPr>
                <w:rFonts w:ascii="Arial" w:hAnsi="Arial" w:cs="Arial"/>
                <w:color w:val="000000"/>
                <w:sz w:val="18"/>
                <w:szCs w:val="18"/>
              </w:rPr>
            </w:pPr>
            <w:r w:rsidRPr="00B02EE5">
              <w:rPr>
                <w:rFonts w:ascii="Arial" w:hAnsi="Arial" w:cs="Arial"/>
                <w:sz w:val="20"/>
                <w:szCs w:val="20"/>
              </w:rPr>
              <w:t>53.0</w:t>
            </w:r>
          </w:p>
        </w:tc>
        <w:tc>
          <w:tcPr>
            <w:tcW w:w="1406" w:type="dxa"/>
            <w:shd w:val="clear" w:color="auto" w:fill="auto"/>
            <w:noWrap/>
            <w:vAlign w:val="bottom"/>
            <w:hideMark/>
          </w:tcPr>
          <w:p w14:paraId="22935729" w14:textId="77777777" w:rsidR="00B02EE5" w:rsidRPr="00B02EE5" w:rsidRDefault="00B02EE5" w:rsidP="00B02EE5">
            <w:pPr>
              <w:ind w:right="292"/>
              <w:contextualSpacing/>
              <w:jc w:val="right"/>
              <w:rPr>
                <w:rFonts w:ascii="Arial" w:hAnsi="Arial" w:cs="Arial"/>
                <w:color w:val="000000"/>
                <w:sz w:val="18"/>
                <w:szCs w:val="18"/>
              </w:rPr>
            </w:pPr>
            <w:r w:rsidRPr="00B02EE5">
              <w:rPr>
                <w:rFonts w:ascii="Arial" w:hAnsi="Arial" w:cs="Arial"/>
                <w:sz w:val="20"/>
                <w:szCs w:val="20"/>
              </w:rPr>
              <w:t>13.2</w:t>
            </w:r>
          </w:p>
        </w:tc>
        <w:tc>
          <w:tcPr>
            <w:tcW w:w="318" w:type="dxa"/>
            <w:shd w:val="clear" w:color="auto" w:fill="auto"/>
            <w:noWrap/>
            <w:vAlign w:val="bottom"/>
            <w:hideMark/>
          </w:tcPr>
          <w:p w14:paraId="098378D8" w14:textId="77777777" w:rsidR="00B02EE5" w:rsidRPr="00B02EE5" w:rsidRDefault="00B02EE5" w:rsidP="00B02EE5">
            <w:pPr>
              <w:contextualSpacing/>
              <w:jc w:val="right"/>
              <w:rPr>
                <w:rFonts w:ascii="Arial" w:hAnsi="Arial" w:cs="Arial"/>
                <w:sz w:val="18"/>
                <w:szCs w:val="18"/>
              </w:rPr>
            </w:pPr>
          </w:p>
        </w:tc>
        <w:tc>
          <w:tcPr>
            <w:tcW w:w="1542" w:type="dxa"/>
            <w:shd w:val="clear" w:color="auto" w:fill="auto"/>
            <w:noWrap/>
            <w:vAlign w:val="bottom"/>
            <w:hideMark/>
          </w:tcPr>
          <w:p w14:paraId="13BFABBF" w14:textId="77777777" w:rsidR="00B02EE5" w:rsidRPr="00B02EE5" w:rsidRDefault="00B02EE5" w:rsidP="00B02EE5">
            <w:pPr>
              <w:ind w:right="427"/>
              <w:contextualSpacing/>
              <w:jc w:val="right"/>
              <w:rPr>
                <w:rFonts w:ascii="Arial" w:hAnsi="Arial" w:cs="Arial"/>
                <w:color w:val="000000"/>
                <w:sz w:val="18"/>
                <w:szCs w:val="18"/>
              </w:rPr>
            </w:pPr>
            <w:r w:rsidRPr="00B02EE5">
              <w:rPr>
                <w:rFonts w:ascii="Arial" w:hAnsi="Arial" w:cs="Arial"/>
                <w:sz w:val="20"/>
                <w:szCs w:val="20"/>
              </w:rPr>
              <w:t xml:space="preserve">        9.3 </w:t>
            </w:r>
          </w:p>
        </w:tc>
        <w:tc>
          <w:tcPr>
            <w:tcW w:w="1546" w:type="dxa"/>
            <w:shd w:val="clear" w:color="auto" w:fill="auto"/>
            <w:noWrap/>
            <w:vAlign w:val="bottom"/>
            <w:hideMark/>
          </w:tcPr>
          <w:p w14:paraId="3B2C777C" w14:textId="77777777" w:rsidR="00B02EE5" w:rsidRPr="00B02EE5" w:rsidRDefault="00B02EE5" w:rsidP="00B02EE5">
            <w:pPr>
              <w:ind w:right="393"/>
              <w:contextualSpacing/>
              <w:jc w:val="right"/>
              <w:rPr>
                <w:rFonts w:ascii="Arial" w:hAnsi="Arial" w:cs="Arial"/>
                <w:color w:val="000000"/>
                <w:sz w:val="18"/>
                <w:szCs w:val="18"/>
              </w:rPr>
            </w:pPr>
            <w:r w:rsidRPr="00B02EE5">
              <w:rPr>
                <w:rFonts w:ascii="Arial" w:hAnsi="Arial" w:cs="Arial"/>
                <w:sz w:val="20"/>
                <w:szCs w:val="20"/>
              </w:rPr>
              <w:t xml:space="preserve">        9.5 </w:t>
            </w:r>
          </w:p>
        </w:tc>
      </w:tr>
      <w:tr w:rsidR="00B02EE5" w:rsidRPr="00B02EE5" w14:paraId="211D39A3" w14:textId="77777777" w:rsidTr="003446D4">
        <w:trPr>
          <w:cantSplit/>
          <w:trHeight w:val="383"/>
          <w:jc w:val="center"/>
        </w:trPr>
        <w:tc>
          <w:tcPr>
            <w:tcW w:w="2387" w:type="dxa"/>
            <w:shd w:val="clear" w:color="auto" w:fill="auto"/>
            <w:noWrap/>
            <w:vAlign w:val="bottom"/>
            <w:hideMark/>
          </w:tcPr>
          <w:p w14:paraId="2F4E2232" w14:textId="77777777" w:rsidR="00B02EE5" w:rsidRPr="00B02EE5" w:rsidRDefault="00B02EE5" w:rsidP="00B02EE5">
            <w:pPr>
              <w:ind w:left="317"/>
              <w:contextualSpacing/>
              <w:rPr>
                <w:rFonts w:ascii="Arial" w:hAnsi="Arial" w:cs="Arial"/>
                <w:sz w:val="18"/>
                <w:szCs w:val="18"/>
                <w:lang w:eastAsia="vi-VN"/>
              </w:rPr>
            </w:pPr>
            <w:r w:rsidRPr="00B02EE5">
              <w:rPr>
                <w:rFonts w:ascii="Arial" w:hAnsi="Arial" w:cs="Arial"/>
                <w:sz w:val="18"/>
                <w:szCs w:val="18"/>
              </w:rPr>
              <w:t>Road</w:t>
            </w:r>
          </w:p>
        </w:tc>
        <w:tc>
          <w:tcPr>
            <w:tcW w:w="1571" w:type="dxa"/>
            <w:shd w:val="clear" w:color="auto" w:fill="auto"/>
            <w:noWrap/>
            <w:vAlign w:val="bottom"/>
            <w:hideMark/>
          </w:tcPr>
          <w:p w14:paraId="63829C1F" w14:textId="77777777" w:rsidR="00B02EE5" w:rsidRPr="00B02EE5" w:rsidRDefault="00B02EE5" w:rsidP="00B02EE5">
            <w:pPr>
              <w:ind w:right="322"/>
              <w:contextualSpacing/>
              <w:jc w:val="right"/>
              <w:rPr>
                <w:rFonts w:ascii="Arial" w:hAnsi="Arial" w:cs="Arial"/>
                <w:color w:val="000000"/>
                <w:sz w:val="18"/>
                <w:szCs w:val="18"/>
              </w:rPr>
            </w:pPr>
            <w:r w:rsidRPr="00B02EE5">
              <w:rPr>
                <w:rFonts w:ascii="Arial" w:hAnsi="Arial" w:cs="Arial"/>
                <w:sz w:val="20"/>
                <w:szCs w:val="20"/>
              </w:rPr>
              <w:t>169.8</w:t>
            </w:r>
          </w:p>
        </w:tc>
        <w:tc>
          <w:tcPr>
            <w:tcW w:w="1406" w:type="dxa"/>
            <w:shd w:val="clear" w:color="auto" w:fill="auto"/>
            <w:noWrap/>
            <w:vAlign w:val="bottom"/>
            <w:hideMark/>
          </w:tcPr>
          <w:p w14:paraId="24AC47CD" w14:textId="77777777" w:rsidR="00B02EE5" w:rsidRPr="00B02EE5" w:rsidRDefault="00B02EE5" w:rsidP="00B02EE5">
            <w:pPr>
              <w:ind w:right="292"/>
              <w:contextualSpacing/>
              <w:jc w:val="right"/>
              <w:rPr>
                <w:rFonts w:ascii="Arial" w:hAnsi="Arial" w:cs="Arial"/>
                <w:color w:val="000000"/>
                <w:sz w:val="18"/>
                <w:szCs w:val="18"/>
              </w:rPr>
            </w:pPr>
            <w:r w:rsidRPr="00B02EE5">
              <w:rPr>
                <w:rFonts w:ascii="Arial" w:hAnsi="Arial" w:cs="Arial"/>
                <w:sz w:val="20"/>
                <w:szCs w:val="20"/>
              </w:rPr>
              <w:t>12.</w:t>
            </w:r>
            <w:r w:rsidRPr="00B02EE5">
              <w:rPr>
                <w:rFonts w:ascii="Arial" w:hAnsi="Arial" w:cs="Arial"/>
                <w:sz w:val="20"/>
                <w:szCs w:val="20"/>
                <w:lang w:val="en-US"/>
              </w:rPr>
              <w:t>6</w:t>
            </w:r>
          </w:p>
        </w:tc>
        <w:tc>
          <w:tcPr>
            <w:tcW w:w="318" w:type="dxa"/>
            <w:shd w:val="clear" w:color="auto" w:fill="auto"/>
            <w:noWrap/>
            <w:vAlign w:val="bottom"/>
            <w:hideMark/>
          </w:tcPr>
          <w:p w14:paraId="004B4497" w14:textId="77777777" w:rsidR="00B02EE5" w:rsidRPr="00B02EE5" w:rsidRDefault="00B02EE5" w:rsidP="00B02EE5">
            <w:pPr>
              <w:contextualSpacing/>
              <w:jc w:val="right"/>
              <w:rPr>
                <w:rFonts w:ascii="Arial" w:hAnsi="Arial" w:cs="Arial"/>
                <w:sz w:val="18"/>
                <w:szCs w:val="18"/>
              </w:rPr>
            </w:pPr>
          </w:p>
        </w:tc>
        <w:tc>
          <w:tcPr>
            <w:tcW w:w="1542" w:type="dxa"/>
            <w:shd w:val="clear" w:color="auto" w:fill="auto"/>
            <w:noWrap/>
            <w:vAlign w:val="bottom"/>
            <w:hideMark/>
          </w:tcPr>
          <w:p w14:paraId="62930269" w14:textId="77777777" w:rsidR="00B02EE5" w:rsidRPr="00B02EE5" w:rsidRDefault="00B02EE5" w:rsidP="00B02EE5">
            <w:pPr>
              <w:ind w:right="427"/>
              <w:contextualSpacing/>
              <w:jc w:val="right"/>
              <w:rPr>
                <w:rFonts w:ascii="Arial" w:hAnsi="Arial" w:cs="Arial"/>
                <w:color w:val="000000"/>
                <w:sz w:val="18"/>
                <w:szCs w:val="18"/>
              </w:rPr>
            </w:pPr>
            <w:r w:rsidRPr="00B02EE5">
              <w:rPr>
                <w:rFonts w:ascii="Arial" w:hAnsi="Arial" w:cs="Arial"/>
                <w:sz w:val="20"/>
                <w:szCs w:val="20"/>
              </w:rPr>
              <w:t xml:space="preserve">      12.9 </w:t>
            </w:r>
          </w:p>
        </w:tc>
        <w:tc>
          <w:tcPr>
            <w:tcW w:w="1546" w:type="dxa"/>
            <w:shd w:val="clear" w:color="auto" w:fill="auto"/>
            <w:noWrap/>
            <w:vAlign w:val="bottom"/>
            <w:hideMark/>
          </w:tcPr>
          <w:p w14:paraId="3CD060C5" w14:textId="77777777" w:rsidR="00B02EE5" w:rsidRPr="00B02EE5" w:rsidRDefault="00B02EE5" w:rsidP="00B02EE5">
            <w:pPr>
              <w:ind w:right="393"/>
              <w:contextualSpacing/>
              <w:jc w:val="right"/>
              <w:rPr>
                <w:rFonts w:ascii="Arial" w:hAnsi="Arial" w:cs="Arial"/>
                <w:color w:val="000000"/>
                <w:sz w:val="18"/>
                <w:szCs w:val="18"/>
              </w:rPr>
            </w:pPr>
            <w:r w:rsidRPr="00B02EE5">
              <w:rPr>
                <w:rFonts w:ascii="Arial" w:hAnsi="Arial" w:cs="Arial"/>
                <w:sz w:val="20"/>
                <w:szCs w:val="20"/>
              </w:rPr>
              <w:t xml:space="preserve">      11.6 </w:t>
            </w:r>
          </w:p>
        </w:tc>
      </w:tr>
      <w:tr w:rsidR="00B02EE5" w:rsidRPr="00B02EE5" w14:paraId="3CBD49A4" w14:textId="77777777" w:rsidTr="003446D4">
        <w:trPr>
          <w:cantSplit/>
          <w:trHeight w:val="383"/>
          <w:jc w:val="center"/>
        </w:trPr>
        <w:tc>
          <w:tcPr>
            <w:tcW w:w="2387" w:type="dxa"/>
            <w:tcBorders>
              <w:bottom w:val="single" w:sz="4" w:space="0" w:color="auto"/>
            </w:tcBorders>
            <w:shd w:val="clear" w:color="auto" w:fill="auto"/>
            <w:noWrap/>
            <w:vAlign w:val="bottom"/>
            <w:hideMark/>
          </w:tcPr>
          <w:p w14:paraId="7938F468" w14:textId="77777777" w:rsidR="00B02EE5" w:rsidRPr="00B02EE5" w:rsidRDefault="00B02EE5" w:rsidP="00B02EE5">
            <w:pPr>
              <w:ind w:left="317"/>
              <w:contextualSpacing/>
              <w:rPr>
                <w:rFonts w:ascii="Arial" w:hAnsi="Arial" w:cs="Arial"/>
                <w:sz w:val="18"/>
                <w:szCs w:val="18"/>
                <w:lang w:eastAsia="vi-VN"/>
              </w:rPr>
            </w:pPr>
            <w:r w:rsidRPr="00B02EE5">
              <w:rPr>
                <w:rFonts w:ascii="Arial" w:hAnsi="Arial" w:cs="Arial"/>
                <w:sz w:val="18"/>
                <w:szCs w:val="18"/>
              </w:rPr>
              <w:t>Airway</w:t>
            </w:r>
          </w:p>
        </w:tc>
        <w:tc>
          <w:tcPr>
            <w:tcW w:w="1571" w:type="dxa"/>
            <w:tcBorders>
              <w:bottom w:val="single" w:sz="4" w:space="0" w:color="auto"/>
            </w:tcBorders>
            <w:shd w:val="clear" w:color="auto" w:fill="auto"/>
            <w:noWrap/>
            <w:vAlign w:val="bottom"/>
            <w:hideMark/>
          </w:tcPr>
          <w:p w14:paraId="190543F4" w14:textId="77777777" w:rsidR="00B02EE5" w:rsidRPr="00B02EE5" w:rsidRDefault="00B02EE5" w:rsidP="00B02EE5">
            <w:pPr>
              <w:ind w:right="322"/>
              <w:contextualSpacing/>
              <w:jc w:val="right"/>
              <w:rPr>
                <w:rFonts w:ascii="Arial" w:hAnsi="Arial" w:cs="Arial"/>
                <w:color w:val="000000"/>
                <w:sz w:val="18"/>
                <w:szCs w:val="18"/>
              </w:rPr>
            </w:pPr>
            <w:r w:rsidRPr="00B02EE5">
              <w:rPr>
                <w:rFonts w:ascii="Arial" w:hAnsi="Arial" w:cs="Arial"/>
                <w:sz w:val="20"/>
                <w:szCs w:val="20"/>
              </w:rPr>
              <w:t>0.04</w:t>
            </w:r>
          </w:p>
        </w:tc>
        <w:tc>
          <w:tcPr>
            <w:tcW w:w="1406" w:type="dxa"/>
            <w:tcBorders>
              <w:bottom w:val="single" w:sz="4" w:space="0" w:color="auto"/>
            </w:tcBorders>
            <w:shd w:val="clear" w:color="auto" w:fill="auto"/>
            <w:noWrap/>
            <w:vAlign w:val="bottom"/>
            <w:hideMark/>
          </w:tcPr>
          <w:p w14:paraId="7A0C9904" w14:textId="77777777" w:rsidR="00B02EE5" w:rsidRPr="00B02EE5" w:rsidRDefault="00B02EE5" w:rsidP="00B02EE5">
            <w:pPr>
              <w:ind w:right="292"/>
              <w:contextualSpacing/>
              <w:jc w:val="right"/>
              <w:rPr>
                <w:rFonts w:ascii="Arial" w:hAnsi="Arial" w:cs="Arial"/>
                <w:color w:val="000000"/>
                <w:sz w:val="18"/>
                <w:szCs w:val="18"/>
              </w:rPr>
            </w:pPr>
            <w:r w:rsidRPr="00B02EE5">
              <w:rPr>
                <w:rFonts w:ascii="Arial" w:hAnsi="Arial" w:cs="Arial"/>
                <w:sz w:val="20"/>
                <w:szCs w:val="20"/>
              </w:rPr>
              <w:t>0.9</w:t>
            </w:r>
          </w:p>
        </w:tc>
        <w:tc>
          <w:tcPr>
            <w:tcW w:w="318" w:type="dxa"/>
            <w:tcBorders>
              <w:bottom w:val="single" w:sz="4" w:space="0" w:color="auto"/>
            </w:tcBorders>
            <w:shd w:val="clear" w:color="auto" w:fill="auto"/>
            <w:noWrap/>
            <w:vAlign w:val="bottom"/>
            <w:hideMark/>
          </w:tcPr>
          <w:p w14:paraId="50572331" w14:textId="77777777" w:rsidR="00B02EE5" w:rsidRPr="00B02EE5" w:rsidRDefault="00B02EE5" w:rsidP="00B02EE5">
            <w:pPr>
              <w:contextualSpacing/>
              <w:jc w:val="right"/>
              <w:rPr>
                <w:rFonts w:ascii="Arial" w:hAnsi="Arial" w:cs="Arial"/>
                <w:sz w:val="18"/>
                <w:szCs w:val="18"/>
              </w:rPr>
            </w:pPr>
          </w:p>
        </w:tc>
        <w:tc>
          <w:tcPr>
            <w:tcW w:w="1542" w:type="dxa"/>
            <w:tcBorders>
              <w:bottom w:val="single" w:sz="4" w:space="0" w:color="auto"/>
            </w:tcBorders>
            <w:shd w:val="clear" w:color="auto" w:fill="auto"/>
            <w:noWrap/>
            <w:vAlign w:val="bottom"/>
            <w:hideMark/>
          </w:tcPr>
          <w:p w14:paraId="39EDE8A4" w14:textId="77777777" w:rsidR="00B02EE5" w:rsidRPr="00B02EE5" w:rsidRDefault="00B02EE5" w:rsidP="00B02EE5">
            <w:pPr>
              <w:ind w:right="427"/>
              <w:contextualSpacing/>
              <w:jc w:val="right"/>
              <w:rPr>
                <w:rFonts w:ascii="Arial" w:hAnsi="Arial" w:cs="Arial"/>
                <w:color w:val="000000"/>
                <w:sz w:val="18"/>
                <w:szCs w:val="18"/>
              </w:rPr>
            </w:pPr>
            <w:r w:rsidRPr="00B02EE5">
              <w:rPr>
                <w:rFonts w:ascii="Arial" w:hAnsi="Arial" w:cs="Arial"/>
                <w:sz w:val="20"/>
                <w:szCs w:val="20"/>
              </w:rPr>
              <w:t xml:space="preserve">      14.4 </w:t>
            </w:r>
          </w:p>
        </w:tc>
        <w:tc>
          <w:tcPr>
            <w:tcW w:w="1546" w:type="dxa"/>
            <w:tcBorders>
              <w:bottom w:val="single" w:sz="4" w:space="0" w:color="auto"/>
            </w:tcBorders>
            <w:shd w:val="clear" w:color="auto" w:fill="auto"/>
            <w:noWrap/>
            <w:vAlign w:val="bottom"/>
            <w:hideMark/>
          </w:tcPr>
          <w:p w14:paraId="7702AD3F" w14:textId="77777777" w:rsidR="00B02EE5" w:rsidRPr="00B02EE5" w:rsidRDefault="00B02EE5" w:rsidP="00B02EE5">
            <w:pPr>
              <w:ind w:right="393"/>
              <w:contextualSpacing/>
              <w:jc w:val="right"/>
              <w:rPr>
                <w:rFonts w:ascii="Arial" w:hAnsi="Arial" w:cs="Arial"/>
                <w:color w:val="000000"/>
                <w:sz w:val="18"/>
                <w:szCs w:val="18"/>
              </w:rPr>
            </w:pPr>
            <w:r w:rsidRPr="00B02EE5">
              <w:rPr>
                <w:rFonts w:ascii="Arial" w:hAnsi="Arial" w:cs="Arial"/>
                <w:sz w:val="20"/>
                <w:szCs w:val="20"/>
              </w:rPr>
              <w:t xml:space="preserve">        1.9 </w:t>
            </w:r>
          </w:p>
        </w:tc>
      </w:tr>
    </w:tbl>
    <w:p w14:paraId="44BEE6E1" w14:textId="77777777" w:rsidR="00B02EE5" w:rsidRPr="00B02EE5" w:rsidRDefault="00B02EE5" w:rsidP="00B02EE5">
      <w:pPr>
        <w:spacing w:before="120" w:after="60" w:line="276" w:lineRule="auto"/>
        <w:jc w:val="both"/>
        <w:rPr>
          <w:sz w:val="2"/>
        </w:rPr>
      </w:pPr>
    </w:p>
    <w:p w14:paraId="6AAC1875" w14:textId="77777777" w:rsidR="00B02EE5" w:rsidRPr="00B02EE5" w:rsidRDefault="00B02EE5" w:rsidP="00B02EE5">
      <w:pPr>
        <w:spacing w:after="120" w:line="276" w:lineRule="auto"/>
        <w:ind w:firstLine="567"/>
        <w:jc w:val="both"/>
        <w:rPr>
          <w:b/>
          <w:bCs/>
          <w:i/>
          <w:lang w:val="fr-FR"/>
        </w:rPr>
      </w:pPr>
      <w:r w:rsidRPr="00B02EE5">
        <w:rPr>
          <w:b/>
          <w:bCs/>
          <w:i/>
          <w:iCs/>
        </w:rPr>
        <w:t>đ) International visitors to Viet Nam</w:t>
      </w:r>
      <w:r w:rsidRPr="00B02EE5">
        <w:rPr>
          <w:b/>
          <w:bCs/>
          <w:i/>
          <w:iCs/>
          <w:vertAlign w:val="superscript"/>
        </w:rPr>
        <w:t xml:space="preserve"> </w:t>
      </w:r>
      <w:r w:rsidRPr="00B02EE5">
        <w:rPr>
          <w:b/>
          <w:bCs/>
          <w:i/>
          <w:iCs/>
          <w:vertAlign w:val="superscript"/>
        </w:rPr>
        <w:footnoteReference w:id="26"/>
      </w:r>
    </w:p>
    <w:p w14:paraId="67332EB9" w14:textId="77777777" w:rsidR="00B02EE5" w:rsidRPr="00B02EE5" w:rsidRDefault="00B02EE5" w:rsidP="00B02EE5">
      <w:pPr>
        <w:spacing w:before="60" w:after="60" w:line="276" w:lineRule="auto"/>
        <w:ind w:firstLine="567"/>
        <w:jc w:val="both"/>
        <w:rPr>
          <w:i/>
          <w:iCs/>
          <w:lang w:val="en-US"/>
        </w:rPr>
      </w:pPr>
      <w:r w:rsidRPr="00B02EE5">
        <w:rPr>
          <w:i/>
          <w:iCs/>
        </w:rPr>
        <w:t>Favorable visa policies, enhanced tourism promotion programs, and prestigious tourism awards presented by international organizations have attracted an increasing number of international visitors to Vietnam in the first month of 2025.</w:t>
      </w:r>
    </w:p>
    <w:p w14:paraId="31945077" w14:textId="77777777" w:rsidR="00B02EE5" w:rsidRPr="00B02EE5" w:rsidRDefault="00B02EE5" w:rsidP="00B02EE5">
      <w:pPr>
        <w:spacing w:before="60" w:after="60" w:line="276" w:lineRule="auto"/>
        <w:ind w:firstLine="567"/>
        <w:jc w:val="both"/>
        <w:rPr>
          <w:color w:val="000000"/>
          <w:spacing w:val="-4"/>
          <w:lang w:val="en-US"/>
        </w:rPr>
      </w:pPr>
      <w:r w:rsidRPr="00B02EE5">
        <w:rPr>
          <w:color w:val="000000"/>
          <w:spacing w:val="-4"/>
          <w:lang w:val="en-US"/>
        </w:rPr>
        <w:t>In January 2025</w:t>
      </w:r>
      <w:r w:rsidRPr="00B02EE5">
        <w:rPr>
          <w:color w:val="000000"/>
          <w:spacing w:val="-4"/>
          <w:vertAlign w:val="superscript"/>
          <w:lang w:val="en-US"/>
        </w:rPr>
        <w:footnoteReference w:id="27"/>
      </w:r>
      <w:r w:rsidRPr="00B02EE5">
        <w:rPr>
          <w:color w:val="000000"/>
          <w:spacing w:val="-4"/>
          <w:lang w:val="en-US"/>
        </w:rPr>
        <w:t>, international visitors to our country reached nearly 2.1 million arrivals, up 18.5% over the previous month and up 36.9% over the same period last year. Of which, visitors coming by airway gained 1.8 million people, accounting for 86.8% of the number of international visitors to Viet Nam, up 39.6% over the same period last year; by roadway achieved 228.4 thousand arrivals, accounted for 11.0% and up 29.1%; by seaway achieved 44.9 thousand arrivals, accounted for 2.2% and down 7.2%.</w:t>
      </w:r>
    </w:p>
    <w:p w14:paraId="21DFB63B" w14:textId="77777777" w:rsidR="00B02EE5" w:rsidRPr="00B02EE5" w:rsidRDefault="00B02EE5" w:rsidP="00B02EE5">
      <w:pPr>
        <w:shd w:val="clear" w:color="auto" w:fill="FFFFFF"/>
        <w:spacing w:line="276" w:lineRule="auto"/>
        <w:jc w:val="center"/>
        <w:rPr>
          <w:rFonts w:ascii="Arial" w:hAnsi="Arial" w:cs="Arial"/>
          <w:b/>
          <w:sz w:val="24"/>
          <w:szCs w:val="24"/>
        </w:rPr>
      </w:pPr>
      <w:r w:rsidRPr="00B02EE5">
        <w:rPr>
          <w:rFonts w:ascii="Arial" w:hAnsi="Arial" w:cs="Arial"/>
          <w:b/>
          <w:sz w:val="24"/>
          <w:szCs w:val="24"/>
        </w:rPr>
        <w:t>Figure 1</w:t>
      </w:r>
      <w:r w:rsidRPr="00B02EE5">
        <w:rPr>
          <w:rFonts w:ascii="Arial" w:hAnsi="Arial" w:cs="Arial"/>
          <w:b/>
          <w:sz w:val="24"/>
          <w:szCs w:val="24"/>
          <w:lang w:val="en-GB"/>
        </w:rPr>
        <w:t>7</w:t>
      </w:r>
      <w:r w:rsidRPr="00B02EE5">
        <w:rPr>
          <w:rFonts w:ascii="Arial" w:hAnsi="Arial" w:cs="Arial"/>
          <w:b/>
          <w:sz w:val="24"/>
          <w:szCs w:val="24"/>
        </w:rPr>
        <w:t xml:space="preserve">. International visitors to Vietnam </w:t>
      </w:r>
    </w:p>
    <w:p w14:paraId="1E5EB679" w14:textId="77777777" w:rsidR="00B02EE5" w:rsidRPr="00B02EE5" w:rsidRDefault="00B02EE5" w:rsidP="00B02EE5">
      <w:pPr>
        <w:shd w:val="clear" w:color="auto" w:fill="FFFFFF"/>
        <w:spacing w:line="276" w:lineRule="auto"/>
        <w:jc w:val="center"/>
        <w:rPr>
          <w:rFonts w:ascii="Arial" w:hAnsi="Arial" w:cs="Arial"/>
          <w:b/>
          <w:sz w:val="24"/>
          <w:szCs w:val="24"/>
        </w:rPr>
      </w:pPr>
      <w:r w:rsidRPr="00B02EE5">
        <w:rPr>
          <w:rFonts w:ascii="Arial" w:hAnsi="Arial" w:cs="Arial"/>
          <w:b/>
          <w:sz w:val="24"/>
          <w:szCs w:val="24"/>
        </w:rPr>
        <w:t>in January 2025 by territory</w:t>
      </w:r>
    </w:p>
    <w:p w14:paraId="56EE6013" w14:textId="539A4CF0" w:rsidR="00CE02B0" w:rsidRPr="00B02EE5" w:rsidRDefault="00B02EE5" w:rsidP="00B02EE5">
      <w:pPr>
        <w:shd w:val="clear" w:color="auto" w:fill="FFFFFF"/>
        <w:spacing w:line="276" w:lineRule="auto"/>
        <w:jc w:val="center"/>
        <w:rPr>
          <w:rFonts w:ascii="Arial" w:hAnsi="Arial" w:cs="Arial"/>
          <w:b/>
          <w:sz w:val="24"/>
          <w:szCs w:val="24"/>
          <w:lang w:val="en-US"/>
        </w:rPr>
      </w:pPr>
      <w:r w:rsidRPr="00B02EE5">
        <w:rPr>
          <w:noProof/>
        </w:rPr>
        <w:lastRenderedPageBreak/>
        <w:drawing>
          <wp:inline distT="0" distB="0" distL="0" distR="0" wp14:anchorId="1B7B0F07" wp14:editId="1A17CFB2">
            <wp:extent cx="5238395" cy="2476500"/>
            <wp:effectExtent l="0" t="0" r="635" b="0"/>
            <wp:docPr id="1678489708"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489708" name="Picture 1" descr="A screenshot of a graph&#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56711" cy="2485159"/>
                    </a:xfrm>
                    <a:prstGeom prst="rect">
                      <a:avLst/>
                    </a:prstGeom>
                    <a:noFill/>
                    <a:ln>
                      <a:noFill/>
                    </a:ln>
                  </pic:spPr>
                </pic:pic>
              </a:graphicData>
            </a:graphic>
          </wp:inline>
        </w:drawing>
      </w:r>
    </w:p>
    <w:p w14:paraId="11E89C1C" w14:textId="77777777" w:rsidR="00CE02B0" w:rsidRDefault="00CE02B0" w:rsidP="00CE02B0"/>
    <w:p w14:paraId="26174CDE" w14:textId="77777777" w:rsidR="00B02EE5" w:rsidRPr="00B02EE5" w:rsidRDefault="00B02EE5" w:rsidP="00B02EE5">
      <w:pPr>
        <w:spacing w:before="120" w:after="120" w:line="288" w:lineRule="auto"/>
        <w:ind w:firstLine="720"/>
        <w:jc w:val="both"/>
        <w:rPr>
          <w:rFonts w:eastAsia="Calibri"/>
          <w:b/>
          <w:lang w:val="en-US"/>
        </w:rPr>
      </w:pPr>
      <w:r w:rsidRPr="00B02EE5">
        <w:rPr>
          <w:rFonts w:eastAsia="Calibri"/>
          <w:b/>
          <w:lang w:val="en-US"/>
        </w:rPr>
        <w:t>7. Some social situations</w:t>
      </w:r>
    </w:p>
    <w:p w14:paraId="66ECB41E" w14:textId="77777777" w:rsidR="00B02EE5" w:rsidRPr="00B02EE5" w:rsidRDefault="00B02EE5" w:rsidP="00B02EE5">
      <w:pPr>
        <w:spacing w:before="120" w:after="120" w:line="288" w:lineRule="auto"/>
        <w:ind w:firstLine="720"/>
        <w:jc w:val="both"/>
        <w:rPr>
          <w:rFonts w:eastAsia="Calibri"/>
          <w:b/>
          <w:i/>
          <w:lang w:val="en-US"/>
        </w:rPr>
      </w:pPr>
      <w:r w:rsidRPr="00B02EE5">
        <w:rPr>
          <w:rFonts w:eastAsia="Calibri"/>
          <w:b/>
          <w:i/>
          <w:lang w:val="en-US"/>
        </w:rPr>
        <w:t>a) Residential life and social security work</w:t>
      </w:r>
    </w:p>
    <w:p w14:paraId="21C6CA14" w14:textId="77777777" w:rsidR="00B02EE5" w:rsidRPr="00B02EE5" w:rsidRDefault="00B02EE5" w:rsidP="00B02EE5">
      <w:pPr>
        <w:spacing w:before="120" w:after="120" w:line="288" w:lineRule="auto"/>
        <w:ind w:firstLine="720"/>
        <w:jc w:val="both"/>
        <w:rPr>
          <w:rFonts w:eastAsia="Calibri"/>
          <w:lang w:val="en-US"/>
        </w:rPr>
      </w:pPr>
      <w:r w:rsidRPr="00B02EE5">
        <w:rPr>
          <w:rFonts w:eastAsia="Calibri"/>
          <w:lang w:val="en-US"/>
        </w:rPr>
        <w:t>According to the survey on the living situation of households in January 2025, the proportion of households assessed to have income during the month remained unchanged and increased compared to the same month last year was 96.0%, down 0.3 percentage points compared to the previous month's reporting period and increased 3.6 percentage points compared to the same month last year; The rate of households estimated to have reduced income is 4.0%.</w:t>
      </w:r>
    </w:p>
    <w:p w14:paraId="6243194F" w14:textId="77777777" w:rsidR="00B02EE5" w:rsidRPr="00B02EE5" w:rsidRDefault="00B02EE5" w:rsidP="00B02EE5">
      <w:pPr>
        <w:spacing w:before="120" w:after="120" w:line="288" w:lineRule="auto"/>
        <w:ind w:firstLine="720"/>
        <w:jc w:val="both"/>
        <w:rPr>
          <w:rFonts w:eastAsia="Calibri"/>
          <w:lang w:val="en-US"/>
        </w:rPr>
      </w:pPr>
      <w:r w:rsidRPr="00B02EE5">
        <w:rPr>
          <w:rFonts w:eastAsia="Calibri"/>
          <w:lang w:val="en-US"/>
        </w:rPr>
        <w:t>Households rated as having reduced income said that the main reasons for the decrease in income were</w:t>
      </w:r>
      <w:r w:rsidRPr="00B02EE5">
        <w:rPr>
          <w:rFonts w:ascii="Calibri" w:eastAsia="Calibri" w:hAnsi="Calibri"/>
          <w:bCs/>
          <w:snapToGrid w:val="0"/>
          <w:spacing w:val="-4"/>
          <w:sz w:val="22"/>
          <w:szCs w:val="22"/>
          <w:vertAlign w:val="superscript"/>
          <w:lang w:val="nl-NL"/>
        </w:rPr>
        <w:footnoteReference w:id="28"/>
      </w:r>
      <w:r w:rsidRPr="00B02EE5">
        <w:rPr>
          <w:rFonts w:eastAsia="Calibri"/>
          <w:lang w:val="en-US"/>
        </w:rPr>
        <w:t>: 41.8% of households had a member who lost their job/temporarily quit their job; 25.1% of households assessed that the scale of their production and business activities had decreased; 19.6% of households assessed that input costs for their production and business activities increased and 19.9% ​​of households assessed that the selling price of products from their production and business activities decreased.</w:t>
      </w:r>
    </w:p>
    <w:p w14:paraId="432EE6CE" w14:textId="77777777" w:rsidR="00B02EE5" w:rsidRPr="00B02EE5" w:rsidRDefault="00B02EE5" w:rsidP="00B02EE5">
      <w:pPr>
        <w:spacing w:before="120" w:after="120" w:line="288" w:lineRule="auto"/>
        <w:ind w:firstLine="720"/>
        <w:jc w:val="both"/>
        <w:rPr>
          <w:rFonts w:eastAsia="Calibri"/>
          <w:lang w:val="en-US"/>
        </w:rPr>
      </w:pPr>
      <w:r w:rsidRPr="00B02EE5">
        <w:rPr>
          <w:rFonts w:eastAsia="Calibri"/>
          <w:lang w:val="en-US"/>
        </w:rPr>
        <w:t>Regarding the impact of negative events on life in the first month of 2025, households assessed: 29.3% of households are being affected by rising prices of goods and services; 2.4% of households are negatively affected by natural disasters, 2.4% of households are negatively affected by epidemics on humans and 1.7% of households are negatively affected by epidemics on livestock and crops.</w:t>
      </w:r>
    </w:p>
    <w:p w14:paraId="79595761" w14:textId="77777777" w:rsidR="00B02EE5" w:rsidRPr="00B02EE5" w:rsidRDefault="00B02EE5" w:rsidP="00B02EE5">
      <w:pPr>
        <w:spacing w:before="120" w:after="120" w:line="288" w:lineRule="auto"/>
        <w:ind w:firstLine="720"/>
        <w:jc w:val="both"/>
        <w:rPr>
          <w:rFonts w:eastAsia="Calibri"/>
          <w:lang w:val="en-US"/>
        </w:rPr>
      </w:pPr>
      <w:r w:rsidRPr="00B02EE5">
        <w:rPr>
          <w:rFonts w:eastAsia="Calibri"/>
          <w:lang w:val="en-US"/>
        </w:rPr>
        <w:t xml:space="preserve">In the first month of 2025, 13.8% of households received help from various sources of support, an increase of 0.9 percentage points compared to the previous </w:t>
      </w:r>
      <w:r w:rsidRPr="00B02EE5">
        <w:rPr>
          <w:rFonts w:eastAsia="Calibri"/>
          <w:lang w:val="en-US"/>
        </w:rPr>
        <w:lastRenderedPageBreak/>
        <w:t>month's reporting period and an increase of 1.2 percentage points compared to the monthly reporting period of the same period in 2024. Specifically, the proportion of households receiving help from general national programs and policies is 4.4%; from local programs and policies is 4.7%; from charitable activities of other organizations and individuals is 1.8%; from relatives is 9.7% and from other sources is 0.01%.</w:t>
      </w:r>
    </w:p>
    <w:p w14:paraId="737A2FAD" w14:textId="77777777" w:rsidR="00B02EE5" w:rsidRPr="00B02EE5" w:rsidRDefault="00B02EE5" w:rsidP="00B02EE5">
      <w:pPr>
        <w:spacing w:before="120" w:after="120" w:line="288" w:lineRule="auto"/>
        <w:ind w:firstLine="720"/>
        <w:jc w:val="both"/>
        <w:rPr>
          <w:rFonts w:eastAsia="Calibri"/>
          <w:lang w:val="en-US"/>
        </w:rPr>
      </w:pPr>
      <w:r w:rsidRPr="00B02EE5">
        <w:rPr>
          <w:rFonts w:eastAsia="Calibri"/>
          <w:lang w:val="en-US"/>
        </w:rPr>
        <w:t>Social security work receives timely attention from all levels and branches from central to local levels. On the occasion of the Lunar New Year, governments at all levels, departments, branches, and organizations across the country actively direct and deploy Tet care work for policy beneficiaries, the poor, social protection beneficiaries, and vulnerable groups with many practical forms to help them celebrate Tet joyfully and warmly. On November 27, 2024, the President signed Decision No. 1301/QD-CTN on giving gifts to people with meritorious services to the revolution on the occasion of the Lunar New Year of the Snake in 2025 with 02 gift levels worth 600 thousand VND and 300 thousand VND corresponding to each specific object. Provinces and centrally run cities simultaneously implemented plans to give gifts to policy beneficiaries and people with meritorious services; people receiving pension or monthly disability allowance; poor households; near-poor households; objects of social protection; elderly people; workers and civil servants in particularly difficult circumstances; female former youth volunteers in difficult circumstances... In addition, in localities across the country, the payment of preferential benefits to people with meritorious services and subsidies to social protection beneficiaries in January and February is carried out promptly in accordance with regulations, helping beneficiaries have more conditions to welcome Tet and enjoy Spring.</w:t>
      </w:r>
    </w:p>
    <w:p w14:paraId="31840166" w14:textId="77777777" w:rsidR="00B02EE5" w:rsidRDefault="00B02EE5" w:rsidP="00B02EE5">
      <w:pPr>
        <w:spacing w:before="120" w:after="120" w:line="288" w:lineRule="auto"/>
        <w:ind w:firstLine="720"/>
        <w:jc w:val="both"/>
        <w:rPr>
          <w:rFonts w:eastAsia="Calibri"/>
          <w:lang w:val="en-US"/>
        </w:rPr>
      </w:pPr>
      <w:r w:rsidRPr="00B02EE5">
        <w:rPr>
          <w:rFonts w:eastAsia="Calibri"/>
          <w:lang w:val="en-US"/>
        </w:rPr>
        <w:t>The work of ensuring social security, gratitude activities, and taking care of Tet for the people are carried out promptly and effectively by all levels, branches, and localities. According to a report from the Ministry of Labor, War Invalids and Social Affairs, the whole country has supported and given Tet gifts to over 13.5 million people with a total budget of over 7,943 billion VND (an increase of 181 billion VND compared to the Lunar New Year Giap Thin 2024), more than 6,876 tons of rice, ensuring that no one is left without Tet, no one is left behind.</w:t>
      </w:r>
    </w:p>
    <w:p w14:paraId="32FE664D" w14:textId="77777777" w:rsidR="00E06AF8" w:rsidRPr="00E06AF8" w:rsidRDefault="00E06AF8" w:rsidP="00E06AF8">
      <w:pPr>
        <w:tabs>
          <w:tab w:val="left" w:pos="851"/>
        </w:tabs>
        <w:spacing w:after="120" w:line="259" w:lineRule="auto"/>
        <w:ind w:firstLine="720"/>
        <w:jc w:val="both"/>
        <w:rPr>
          <w:b/>
          <w:i/>
          <w:lang w:val="de-DE"/>
        </w:rPr>
      </w:pPr>
      <w:r w:rsidRPr="00E06AF8">
        <w:rPr>
          <w:b/>
          <w:i/>
          <w:lang w:val="de-DE"/>
        </w:rPr>
        <w:t>b) Disease situation and food poisoning</w:t>
      </w:r>
    </w:p>
    <w:p w14:paraId="64A75EA1" w14:textId="77777777" w:rsidR="00E06AF8" w:rsidRPr="00E06AF8" w:rsidRDefault="00E06AF8" w:rsidP="00E06AF8">
      <w:pPr>
        <w:tabs>
          <w:tab w:val="left" w:pos="851"/>
        </w:tabs>
        <w:spacing w:after="120" w:line="259" w:lineRule="auto"/>
        <w:ind w:firstLine="720"/>
        <w:jc w:val="both"/>
        <w:rPr>
          <w:lang w:val="de-DE"/>
        </w:rPr>
      </w:pPr>
      <w:r w:rsidRPr="00E06AF8">
        <w:rPr>
          <w:lang w:val="de-DE"/>
        </w:rPr>
        <w:t xml:space="preserve">According to a report from the Ministry of Health, in the month (December 19, 2024 - January 18, 2025), the whole country had 10,067 cases of dengue fever </w:t>
      </w:r>
      <w:r w:rsidRPr="00E06AF8">
        <w:rPr>
          <w:lang w:val="de-DE"/>
        </w:rPr>
        <w:lastRenderedPageBreak/>
        <w:t>(01 death); 3,606 cases of hand, foot and mouth disease; 24 cases of viral encephalitis; 20,262 cases of typhus suspected of measles (03 deaths); 14 cases of malaria; 03 cases of meningococcal meningitis; 02 people died due to rabies.</w:t>
      </w:r>
    </w:p>
    <w:p w14:paraId="03E62B59" w14:textId="77777777" w:rsidR="00E06AF8" w:rsidRPr="00E06AF8" w:rsidRDefault="00E06AF8" w:rsidP="00E06AF8">
      <w:pPr>
        <w:tabs>
          <w:tab w:val="left" w:pos="851"/>
        </w:tabs>
        <w:spacing w:after="120" w:line="259" w:lineRule="auto"/>
        <w:ind w:firstLine="720"/>
        <w:jc w:val="both"/>
        <w:rPr>
          <w:lang w:val="de-DE"/>
        </w:rPr>
      </w:pPr>
      <w:r w:rsidRPr="00E06AF8">
        <w:rPr>
          <w:lang w:val="de-DE"/>
        </w:rPr>
        <w:t>The total number of people living with HIV in the country as of January 18, 2025 was 246.1 thousand people and the number of people dying from HIV/AIDS in the country as of the above time was 116.0 thousand people.</w:t>
      </w:r>
    </w:p>
    <w:p w14:paraId="3019952E" w14:textId="77777777" w:rsidR="00E06AF8" w:rsidRPr="00E06AF8" w:rsidRDefault="00E06AF8" w:rsidP="00E06AF8">
      <w:pPr>
        <w:tabs>
          <w:tab w:val="left" w:pos="851"/>
        </w:tabs>
        <w:spacing w:after="120" w:line="259" w:lineRule="auto"/>
        <w:ind w:firstLine="720"/>
        <w:jc w:val="both"/>
        <w:rPr>
          <w:lang w:val="de-DE"/>
        </w:rPr>
      </w:pPr>
      <w:r w:rsidRPr="00E06AF8">
        <w:rPr>
          <w:lang w:val="de-DE"/>
        </w:rPr>
        <w:t>Regarding food poisoning, in January 2025, there were 05 cases with 37 people poisoned (05 deaths).</w:t>
      </w:r>
    </w:p>
    <w:p w14:paraId="607CC0C1" w14:textId="77777777" w:rsidR="00E06AF8" w:rsidRPr="00E06AF8" w:rsidRDefault="00E06AF8" w:rsidP="00E06AF8">
      <w:pPr>
        <w:spacing w:after="120" w:line="259" w:lineRule="auto"/>
        <w:ind w:firstLine="720"/>
        <w:jc w:val="both"/>
        <w:rPr>
          <w:b/>
          <w:bCs/>
          <w:i/>
          <w:iCs/>
          <w:lang w:val="pl-PL"/>
        </w:rPr>
      </w:pPr>
      <w:r w:rsidRPr="00E06AF8">
        <w:rPr>
          <w:b/>
          <w:bCs/>
          <w:i/>
          <w:iCs/>
          <w:lang w:val="pl-PL"/>
        </w:rPr>
        <w:t>c) Cultural and sports activities</w:t>
      </w:r>
    </w:p>
    <w:p w14:paraId="2CFB8B0D" w14:textId="77777777" w:rsidR="00E06AF8" w:rsidRPr="00E06AF8" w:rsidRDefault="00E06AF8" w:rsidP="00E06AF8">
      <w:pPr>
        <w:spacing w:after="120" w:line="259" w:lineRule="auto"/>
        <w:ind w:firstLine="720"/>
        <w:jc w:val="both"/>
        <w:rPr>
          <w:shd w:val="clear" w:color="auto" w:fill="FFFFFF"/>
        </w:rPr>
      </w:pPr>
      <w:r w:rsidRPr="00E06AF8">
        <w:rPr>
          <w:shd w:val="clear" w:color="auto" w:fill="FFFFFF"/>
        </w:rPr>
        <w:t xml:space="preserve">Many cultural activities and art programs to celebrate the Party and the New Year of </w:t>
      </w:r>
      <w:r w:rsidRPr="00E06AF8">
        <w:rPr>
          <w:shd w:val="clear" w:color="auto" w:fill="FFFFFF"/>
          <w:lang w:val="en-US"/>
        </w:rPr>
        <w:t>At Ty</w:t>
      </w:r>
      <w:r w:rsidRPr="00E06AF8">
        <w:rPr>
          <w:shd w:val="clear" w:color="auto" w:fill="FFFFFF"/>
        </w:rPr>
        <w:t xml:space="preserve"> </w:t>
      </w:r>
      <w:r w:rsidRPr="00E06AF8">
        <w:rPr>
          <w:shd w:val="clear" w:color="auto" w:fill="FFFFFF"/>
          <w:lang w:val="en-US"/>
        </w:rPr>
        <w:t>we</w:t>
      </w:r>
      <w:r w:rsidRPr="00E06AF8">
        <w:rPr>
          <w:shd w:val="clear" w:color="auto" w:fill="FFFFFF"/>
        </w:rPr>
        <w:t xml:space="preserve">re organized in localities across the country to preserve the nation's traditional cultural identity and promote history, culture, and tourism to domestic and international tourists. Some outstanding cultural activities include: "Welcome New Year 2025" program taking place in Hanoi; </w:t>
      </w:r>
      <w:r w:rsidRPr="00E06AF8">
        <w:rPr>
          <w:shd w:val="clear" w:color="auto" w:fill="FFFFFF"/>
          <w:lang w:val="en-US"/>
        </w:rPr>
        <w:t>o</w:t>
      </w:r>
      <w:r w:rsidRPr="00E06AF8">
        <w:rPr>
          <w:shd w:val="clear" w:color="auto" w:fill="FFFFFF"/>
        </w:rPr>
        <w:t xml:space="preserve">pening ceremony of At Ty Spring Literary Association 2025; photo exhibition "Vietnam, my homeland"; special art exchange program Homeland Spring 2025 with the theme "Vietnam - Rising in a new era"; </w:t>
      </w:r>
      <w:r w:rsidRPr="00E06AF8">
        <w:rPr>
          <w:shd w:val="clear" w:color="auto" w:fill="FFFFFF"/>
          <w:lang w:val="en-US"/>
        </w:rPr>
        <w:t>t</w:t>
      </w:r>
      <w:r w:rsidRPr="00E06AF8">
        <w:rPr>
          <w:shd w:val="clear" w:color="auto" w:fill="FFFFFF"/>
        </w:rPr>
        <w:t xml:space="preserve">he National Museum of History in collaboration with the Archives Department of the Party Central Committee organized the exhibition "The Communist Party of Vietnam - Historical milestones"; </w:t>
      </w:r>
      <w:r w:rsidRPr="00E06AF8">
        <w:rPr>
          <w:shd w:val="clear" w:color="auto" w:fill="FFFFFF"/>
          <w:lang w:val="en-US"/>
        </w:rPr>
        <w:t>t</w:t>
      </w:r>
      <w:r w:rsidRPr="00E06AF8">
        <w:rPr>
          <w:shd w:val="clear" w:color="auto" w:fill="FFFFFF"/>
        </w:rPr>
        <w:t xml:space="preserve">he program "Welcome New Year 2025" and many art programs </w:t>
      </w:r>
      <w:r w:rsidRPr="00E06AF8">
        <w:rPr>
          <w:shd w:val="clear" w:color="auto" w:fill="FFFFFF"/>
          <w:lang w:val="en-US"/>
        </w:rPr>
        <w:t>we</w:t>
      </w:r>
      <w:r w:rsidRPr="00E06AF8">
        <w:rPr>
          <w:shd w:val="clear" w:color="auto" w:fill="FFFFFF"/>
        </w:rPr>
        <w:t>re taking place across provinces and cities.</w:t>
      </w:r>
    </w:p>
    <w:p w14:paraId="49122A85" w14:textId="77777777" w:rsidR="00E06AF8" w:rsidRPr="00E06AF8" w:rsidRDefault="00E06AF8" w:rsidP="00E06AF8">
      <w:pPr>
        <w:spacing w:after="120" w:line="259" w:lineRule="auto"/>
        <w:ind w:firstLine="720"/>
        <w:jc w:val="both"/>
        <w:rPr>
          <w:highlight w:val="yellow"/>
          <w:lang w:val="nl-NL"/>
        </w:rPr>
      </w:pPr>
      <w:r w:rsidRPr="00E06AF8">
        <w:rPr>
          <w:lang w:val="nl-NL"/>
        </w:rPr>
        <w:t>Regarding mass sports, implementing the Campaign "All people exercise their bodies following the example of the great Uncle Ho", the exercise and sports movement among the people was taking place enthusiastically, with many rich and diverse forms such as: Running, walking, calisthenics, badminton, chess, martial arts, mini football, volleyball... strongly developing in localities, contributing to improving people's health and mobilizing community and social participation.</w:t>
      </w:r>
    </w:p>
    <w:p w14:paraId="750DF1B3" w14:textId="35E9B6E5" w:rsidR="00E06AF8" w:rsidRPr="00B02EE5" w:rsidRDefault="00E06AF8" w:rsidP="00E06AF8">
      <w:pPr>
        <w:tabs>
          <w:tab w:val="left" w:pos="567"/>
        </w:tabs>
        <w:spacing w:after="120" w:line="259" w:lineRule="auto"/>
        <w:ind w:firstLine="720"/>
        <w:jc w:val="both"/>
        <w:rPr>
          <w:shd w:val="clear" w:color="auto" w:fill="FFFFFF"/>
          <w:lang w:val="en-US"/>
        </w:rPr>
      </w:pPr>
      <w:r w:rsidRPr="00E06AF8">
        <w:rPr>
          <w:shd w:val="clear" w:color="auto" w:fill="FFFFFF"/>
        </w:rPr>
        <w:t xml:space="preserve">Regarding high-performance sports, in January, Vietnamese sports achieved a number of outstanding achievements such as: The national men's soccer team won the AFF Cup 2024 championship; </w:t>
      </w:r>
      <w:r w:rsidRPr="00E06AF8">
        <w:rPr>
          <w:shd w:val="clear" w:color="auto" w:fill="FFFFFF"/>
          <w:lang w:val="en-US"/>
        </w:rPr>
        <w:t>t</w:t>
      </w:r>
      <w:r w:rsidRPr="00E06AF8">
        <w:rPr>
          <w:shd w:val="clear" w:color="auto" w:fill="FFFFFF"/>
        </w:rPr>
        <w:t>he women's Futsal team won the right to participate in the final round of the 2025 Asian Women's Futsal Championship.</w:t>
      </w:r>
    </w:p>
    <w:p w14:paraId="30368225" w14:textId="77777777" w:rsidR="00B02EE5" w:rsidRPr="00B02EE5" w:rsidRDefault="00B02EE5" w:rsidP="00B02EE5">
      <w:pPr>
        <w:spacing w:before="120" w:after="120" w:line="288" w:lineRule="auto"/>
        <w:ind w:firstLine="720"/>
        <w:jc w:val="both"/>
        <w:rPr>
          <w:rFonts w:eastAsia="Calibri"/>
          <w:b/>
          <w:i/>
          <w:lang w:val="en-US"/>
        </w:rPr>
      </w:pPr>
      <w:r w:rsidRPr="00B02EE5">
        <w:rPr>
          <w:rFonts w:eastAsia="Calibri"/>
          <w:b/>
          <w:i/>
          <w:lang w:val="en-US"/>
        </w:rPr>
        <w:t>d) Traffic accident</w:t>
      </w:r>
      <w:r w:rsidRPr="00B02EE5">
        <w:rPr>
          <w:rFonts w:ascii="Calibri" w:eastAsia="Calibri" w:hAnsi="Calibri"/>
          <w:b/>
          <w:i/>
          <w:sz w:val="22"/>
          <w:szCs w:val="22"/>
          <w:vertAlign w:val="superscript"/>
          <w:lang w:val="en-US"/>
        </w:rPr>
        <w:footnoteReference w:id="29"/>
      </w:r>
      <w:r w:rsidRPr="00B02EE5">
        <w:rPr>
          <w:rFonts w:eastAsia="Calibri"/>
          <w:b/>
          <w:i/>
          <w:lang w:val="en-US"/>
        </w:rPr>
        <w:t xml:space="preserve"> </w:t>
      </w:r>
    </w:p>
    <w:p w14:paraId="362B81FC" w14:textId="77777777" w:rsidR="00B02EE5" w:rsidRPr="00B02EE5" w:rsidRDefault="00B02EE5" w:rsidP="00B02EE5">
      <w:pPr>
        <w:spacing w:before="120" w:after="120" w:line="288" w:lineRule="auto"/>
        <w:ind w:firstLine="720"/>
        <w:jc w:val="both"/>
        <w:rPr>
          <w:rFonts w:eastAsia="Calibri"/>
          <w:lang w:val="en-US"/>
        </w:rPr>
      </w:pPr>
      <w:r w:rsidRPr="00B02EE5">
        <w:rPr>
          <w:rFonts w:eastAsia="Calibri"/>
          <w:lang w:val="en-US"/>
        </w:rPr>
        <w:t xml:space="preserve">In January (December 26, 2024 - January 25, 2025), there were 1,772 traffic accidents nationwide, killing 964 people; 1,138 people were injured. Compared </w:t>
      </w:r>
      <w:r w:rsidRPr="00B02EE5">
        <w:rPr>
          <w:rFonts w:eastAsia="Calibri"/>
          <w:lang w:val="en-US"/>
        </w:rPr>
        <w:lastRenderedPageBreak/>
        <w:t>to last month, the number of traffic accidents decreased by 9.3%; number of deaths increased by 5.7%; The number of injured people decreased by 20.2%. Compared to the same period last year, the number of traffic accidents decreased by 25.9%; number of deaths increased by 1.0%; The number of injured people decreased by 41.5%. On average, one day in a month, there are 57 traffic accidents nationwide, killing 31 people and injuring 37 people.</w:t>
      </w:r>
    </w:p>
    <w:p w14:paraId="3E267165" w14:textId="77777777" w:rsidR="00B02EE5" w:rsidRPr="00B02EE5" w:rsidRDefault="00B02EE5" w:rsidP="00B02EE5">
      <w:pPr>
        <w:spacing w:before="120" w:after="120" w:line="288" w:lineRule="auto"/>
        <w:ind w:firstLine="720"/>
        <w:jc w:val="both"/>
        <w:rPr>
          <w:rFonts w:eastAsia="Calibri"/>
          <w:lang w:val="en-US"/>
        </w:rPr>
      </w:pPr>
      <w:r w:rsidRPr="00B02EE5">
        <w:rPr>
          <w:rFonts w:eastAsia="Calibri"/>
          <w:lang w:val="en-US"/>
        </w:rPr>
        <w:t>In addition, according to a quick report from the Office of the Ministry of Public Security, during the 9-day Lunar New Year holiday of At Ty 2025 (from January 25 to February 2, 2025), there were 445 traffic accidents nationwide, killing 209 people and injuring 373 people. Compared to the Lunar New Year holiday in Giap Thin year 2024, the number of traffic accidents decreased by 258, the number of deaths decreased by 126 and the number of injuries decreased by 232 people.</w:t>
      </w:r>
    </w:p>
    <w:p w14:paraId="63D90927" w14:textId="77777777" w:rsidR="00B02EE5" w:rsidRPr="00B02EE5" w:rsidRDefault="00B02EE5" w:rsidP="00B02EE5">
      <w:pPr>
        <w:spacing w:before="120" w:after="120" w:line="288" w:lineRule="auto"/>
        <w:ind w:firstLine="720"/>
        <w:jc w:val="both"/>
        <w:rPr>
          <w:rFonts w:eastAsia="Calibri"/>
          <w:b/>
          <w:i/>
          <w:lang w:val="en-US"/>
        </w:rPr>
      </w:pPr>
      <w:r w:rsidRPr="00B02EE5">
        <w:rPr>
          <w:rFonts w:eastAsia="Calibri"/>
          <w:b/>
          <w:i/>
          <w:lang w:val="en-US"/>
        </w:rPr>
        <w:t>d) Natural disaster damage</w:t>
      </w:r>
      <w:r w:rsidRPr="00B02EE5">
        <w:rPr>
          <w:rFonts w:ascii="Calibri" w:eastAsia="Calibri" w:hAnsi="Calibri"/>
          <w:b/>
          <w:i/>
          <w:sz w:val="22"/>
          <w:szCs w:val="22"/>
          <w:vertAlign w:val="superscript"/>
          <w:lang w:val="pl-PL"/>
        </w:rPr>
        <w:footnoteReference w:id="30"/>
      </w:r>
      <w:r w:rsidRPr="00B02EE5">
        <w:rPr>
          <w:rFonts w:eastAsia="Calibri"/>
          <w:b/>
          <w:i/>
          <w:lang w:val="en-US"/>
        </w:rPr>
        <w:t>, environmental protection and fire and explosion prevention</w:t>
      </w:r>
    </w:p>
    <w:p w14:paraId="184118BA" w14:textId="77777777" w:rsidR="00B02EE5" w:rsidRPr="00B02EE5" w:rsidRDefault="00B02EE5" w:rsidP="00B02EE5">
      <w:pPr>
        <w:spacing w:before="120" w:after="120" w:line="288" w:lineRule="auto"/>
        <w:ind w:firstLine="720"/>
        <w:jc w:val="both"/>
        <w:rPr>
          <w:rFonts w:eastAsia="Calibri"/>
          <w:lang w:val="en-US"/>
        </w:rPr>
      </w:pPr>
      <w:r w:rsidRPr="00B02EE5">
        <w:rPr>
          <w:rFonts w:eastAsia="Calibri"/>
          <w:lang w:val="en-US"/>
        </w:rPr>
        <w:t>Natural disasters that occurred during the month were mainly heavy rains that damaged 2.2 thousand hectares of rice and crops; Estimated damage value is 14.8 billion VND (of which, estimated damage caused by heavy rain is more than 8 billion VND, accounting for 54.4% of total damage), down 76.2% over the same period in 2024.</w:t>
      </w:r>
    </w:p>
    <w:p w14:paraId="145E5F34" w14:textId="77777777" w:rsidR="00B02EE5" w:rsidRPr="00B02EE5" w:rsidRDefault="00B02EE5" w:rsidP="00B02EE5">
      <w:pPr>
        <w:spacing w:before="120" w:after="120" w:line="288" w:lineRule="auto"/>
        <w:ind w:firstLine="720"/>
        <w:jc w:val="both"/>
        <w:rPr>
          <w:rFonts w:eastAsia="Calibri"/>
          <w:lang w:val="en-US"/>
        </w:rPr>
      </w:pPr>
      <w:r w:rsidRPr="00B02EE5">
        <w:rPr>
          <w:rFonts w:eastAsia="Calibri"/>
          <w:lang w:val="en-US"/>
        </w:rPr>
        <w:t>In January 2025 (December 18, 2024 - January 17, 2025), according to reports from the Department of Natural Resources and Environment, Provincial and Central City Police compiled by the Statistics Department, the authorities discovered 3,794 cases of environmental violations, of which 3,137 cases were handled with a total fine of 30 billion VND, down 13.6% compared to the month. December 2024 and increased by 12.1% over the same period last year. During the month (December 15, 2024 - January 14, 2025), there were 377 fires and explosions nationwide, killing 8 people and injuring 8 people, with an estimated damage value of 11.7 billion VND, down 0.8% over the previous month and down 39.8% over the same period last year./.</w:t>
      </w:r>
    </w:p>
    <w:p w14:paraId="26AC87CA" w14:textId="77777777" w:rsidR="006C66A6" w:rsidRPr="007439B9" w:rsidRDefault="006C66A6" w:rsidP="006C66A6">
      <w:pPr>
        <w:spacing w:before="40" w:after="40" w:line="262" w:lineRule="auto"/>
        <w:ind w:firstLine="567"/>
        <w:jc w:val="center"/>
        <w:rPr>
          <w:b/>
          <w:bCs/>
          <w:lang w:val="de-DE"/>
        </w:rPr>
      </w:pPr>
      <w:r w:rsidRPr="007439B9">
        <w:rPr>
          <w:b/>
          <w:bCs/>
          <w:lang w:val="de-DE"/>
        </w:rPr>
        <w:t>GENERAL STATISTICS OFFICE</w:t>
      </w:r>
    </w:p>
    <w:p w14:paraId="2BB3AACF" w14:textId="77777777" w:rsidR="006C66A6" w:rsidRPr="00D878F9" w:rsidRDefault="006C66A6" w:rsidP="00335C5E">
      <w:pPr>
        <w:spacing w:before="120" w:after="120"/>
        <w:ind w:firstLine="720"/>
        <w:jc w:val="both"/>
      </w:pPr>
    </w:p>
    <w:p w14:paraId="09BB77F2" w14:textId="77777777" w:rsidR="00591556" w:rsidRPr="002F276E" w:rsidRDefault="00591556" w:rsidP="00BE279B">
      <w:pPr>
        <w:pStyle w:val="Normal10"/>
        <w:spacing w:before="40" w:beforeAutospacing="0" w:after="40" w:afterAutospacing="0" w:line="264" w:lineRule="auto"/>
        <w:jc w:val="both"/>
        <w:rPr>
          <w:b/>
          <w:bCs/>
          <w:color w:val="FF0000"/>
          <w:sz w:val="8"/>
          <w:lang w:val="en-GB"/>
        </w:rPr>
      </w:pPr>
    </w:p>
    <w:sectPr w:rsidR="00591556" w:rsidRPr="002F276E" w:rsidSect="00D605F2">
      <w:headerReference w:type="default" r:id="rId27"/>
      <w:pgSz w:w="11907" w:h="16840" w:code="9"/>
      <w:pgMar w:top="1134" w:right="1134" w:bottom="1134" w:left="1701" w:header="505" w:footer="567"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7C742A" w14:textId="77777777" w:rsidR="00761FD8" w:rsidRDefault="00761FD8" w:rsidP="001A07A9">
      <w:r>
        <w:separator/>
      </w:r>
    </w:p>
  </w:endnote>
  <w:endnote w:type="continuationSeparator" w:id="0">
    <w:p w14:paraId="575D3E1A" w14:textId="77777777" w:rsidR="00761FD8" w:rsidRDefault="00761FD8" w:rsidP="001A07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nTimeH">
    <w:altName w:val="Courier New"/>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VnArialH">
    <w:altName w:val="Courier New"/>
    <w:charset w:val="00"/>
    <w:family w:val="swiss"/>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Times New Roman Italic">
    <w:panose1 w:val="02020503050405090304"/>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DCD8D4" w14:textId="77777777" w:rsidR="00761FD8" w:rsidRDefault="00761FD8" w:rsidP="001A07A9">
      <w:r>
        <w:separator/>
      </w:r>
    </w:p>
  </w:footnote>
  <w:footnote w:type="continuationSeparator" w:id="0">
    <w:p w14:paraId="4FF9C9A3" w14:textId="77777777" w:rsidR="00761FD8" w:rsidRDefault="00761FD8" w:rsidP="001A07A9">
      <w:r>
        <w:continuationSeparator/>
      </w:r>
    </w:p>
  </w:footnote>
  <w:footnote w:id="1">
    <w:p w14:paraId="07E680A9" w14:textId="77777777" w:rsidR="00B02EE5" w:rsidRDefault="00B02EE5" w:rsidP="00B02EE5">
      <w:pPr>
        <w:pStyle w:val="FootnoteText"/>
      </w:pPr>
      <w:r>
        <w:rPr>
          <w:rStyle w:val="FootnoteReference"/>
        </w:rPr>
        <w:footnoteRef/>
      </w:r>
      <w:r>
        <w:t xml:space="preserve"> </w:t>
      </w:r>
      <w:r w:rsidRPr="004344ED">
        <w:t>According to data from the Ministry of Agriculture and Rural Development, calculated from December 16, 2024 to January 15, 2025.</w:t>
      </w:r>
    </w:p>
  </w:footnote>
  <w:footnote w:id="2">
    <w:p w14:paraId="30E28CCA" w14:textId="77777777" w:rsidR="00B02EE5" w:rsidRPr="003D1FD1" w:rsidRDefault="00B02EE5" w:rsidP="00B02EE5">
      <w:pPr>
        <w:pStyle w:val="FootnoteText"/>
      </w:pPr>
      <w:r>
        <w:rPr>
          <w:rStyle w:val="FootnoteReference"/>
        </w:rPr>
        <w:footnoteRef/>
      </w:r>
      <w:r>
        <w:t xml:space="preserve"> </w:t>
      </w:r>
      <w:r w:rsidRPr="003D1FD1">
        <w:t>In the North, due to the thick layer of ground cover combined with the almost no rain for the past two months, dry weather and strong winds, the fires are difficult to extinguish.</w:t>
      </w:r>
    </w:p>
  </w:footnote>
  <w:footnote w:id="3">
    <w:p w14:paraId="7E400077" w14:textId="77777777" w:rsidR="00B02EE5" w:rsidRDefault="00B02EE5" w:rsidP="00B02EE5">
      <w:pPr>
        <w:pStyle w:val="BodyText"/>
      </w:pPr>
      <w:r>
        <w:rPr>
          <w:rStyle w:val="FootnoteReference"/>
        </w:rPr>
        <w:footnoteRef/>
      </w:r>
      <w:r>
        <w:t xml:space="preserve"> </w:t>
      </w:r>
      <w:hyperlink r:id="rId1" w:history="1">
        <w:r w:rsidRPr="00762E80">
          <w:rPr>
            <w:rStyle w:val="Hyperlink"/>
            <w:rFonts w:ascii="Times New Roman" w:hAnsi="Times New Roman" w:cs="Times New Roman"/>
            <w:sz w:val="20"/>
            <w:szCs w:val="20"/>
          </w:rPr>
          <w:t>https://vasep.com.vn/gia-thuy-san/gia-trong-nuoc/gia-nguyen-lieu-thuy-san-tai-dong-thap-tu-10-01-16-01-2025-24733.html</w:t>
        </w:r>
      </w:hyperlink>
      <w:r w:rsidRPr="00B87DED">
        <w:rPr>
          <w:rFonts w:ascii="Times New Roman" w:hAnsi="Times New Roman" w:cs="Times New Roman"/>
          <w:sz w:val="20"/>
          <w:szCs w:val="20"/>
        </w:rPr>
        <w:t>:</w:t>
      </w:r>
      <w:r>
        <w:t xml:space="preserve"> </w:t>
      </w:r>
      <w:r w:rsidRPr="00B87DED">
        <w:rPr>
          <w:rFonts w:ascii="Times New Roman" w:hAnsi="Times New Roman" w:cs="Times New Roman"/>
          <w:sz w:val="20"/>
          <w:szCs w:val="20"/>
        </w:rPr>
        <w:t>In January 2025, the price of raw pangasius fluctuated at 30,000-31,500 VND/kg.</w:t>
      </w:r>
    </w:p>
  </w:footnote>
  <w:footnote w:id="4">
    <w:p w14:paraId="785EC253" w14:textId="77777777" w:rsidR="00B02EE5" w:rsidRDefault="00B02EE5" w:rsidP="00B02EE5">
      <w:pPr>
        <w:pStyle w:val="FootnoteText"/>
      </w:pPr>
      <w:r>
        <w:rPr>
          <w:rStyle w:val="FootnoteReference"/>
        </w:rPr>
        <w:footnoteRef/>
      </w:r>
      <w:r>
        <w:t xml:space="preserve"> </w:t>
      </w:r>
      <w:hyperlink r:id="rId2" w:history="1">
        <w:r w:rsidRPr="00762E80">
          <w:rPr>
            <w:rStyle w:val="Hyperlink"/>
          </w:rPr>
          <w:t>https://vasep.com.vn/gia-thuy-san/gia-trong-nuoc/gia-nguyen-lieu-thuy-san-tai-dong-thap-tu-10-01-16-01-2025-24733.html</w:t>
        </w:r>
      </w:hyperlink>
      <w:r w:rsidRPr="00A4442B">
        <w:t>:</w:t>
      </w:r>
      <w:r>
        <w:t xml:space="preserve"> </w:t>
      </w:r>
      <w:r w:rsidRPr="00A4442B">
        <w:t>The price of 100-count whiteleg shrimp/kg fluctuates at 95,000-100,000 VND/kg, an increase of about 5,000 VND/kg compared to the same period in 2024.</w:t>
      </w:r>
    </w:p>
  </w:footnote>
  <w:footnote w:id="5">
    <w:p w14:paraId="363BA54A" w14:textId="77777777" w:rsidR="00B02EE5" w:rsidRPr="00275D11" w:rsidRDefault="00B02EE5" w:rsidP="00B02EE5">
      <w:pPr>
        <w:pStyle w:val="FootnoteText"/>
        <w:ind w:left="198" w:hanging="198"/>
        <w:jc w:val="both"/>
        <w:rPr>
          <w:color w:val="FF0000"/>
          <w:lang w:val="de-DE"/>
        </w:rPr>
      </w:pPr>
      <w:r w:rsidRPr="00275D11">
        <w:rPr>
          <w:rStyle w:val="FootnoteReference"/>
        </w:rPr>
        <w:footnoteRef/>
      </w:r>
      <w:r w:rsidRPr="00275D11">
        <w:rPr>
          <w:lang w:val="de-DE"/>
        </w:rPr>
        <w:t xml:space="preserve"> </w:t>
      </w:r>
      <w:r w:rsidRPr="009A182A">
        <w:rPr>
          <w:lang w:val="de-DE"/>
        </w:rPr>
        <w:t>Localities have a high production index of the processing and manufacturing industry in January 2025 compared to the same period last year: Nam Dinh increased by 29.9%; Bac Kan increased by 28.5%; Ben Tre increased by 24.2%; Binh Phuoc increased by 17.0%; Kien Giang increased by 16.6%; Hai Phong increased by 16.3%. Localities with high indices of the electricity production and distribution industry: Tra Vinh increased by 56.0%; Khanh Hoa increased by 30.8%; Binh Thuan increased by 20.6%; Dak Lak increased by 18.1%; Bac Kan increased by 14.8%.</w:t>
      </w:r>
    </w:p>
  </w:footnote>
  <w:footnote w:id="6">
    <w:p w14:paraId="2940DF67" w14:textId="77777777" w:rsidR="00B02EE5" w:rsidRDefault="00B02EE5" w:rsidP="00B02EE5">
      <w:pPr>
        <w:pStyle w:val="FootnoteText"/>
        <w:ind w:left="198" w:hanging="198"/>
        <w:jc w:val="both"/>
        <w:rPr>
          <w:lang w:val="de-DE"/>
        </w:rPr>
      </w:pPr>
      <w:r w:rsidRPr="00CD233E">
        <w:rPr>
          <w:rStyle w:val="FootnoteReference"/>
        </w:rPr>
        <w:footnoteRef/>
      </w:r>
      <w:r w:rsidRPr="00CD233E">
        <w:rPr>
          <w:lang w:val="de-DE"/>
        </w:rPr>
        <w:t xml:space="preserve"> </w:t>
      </w:r>
      <w:r w:rsidRPr="009A182A">
        <w:rPr>
          <w:lang w:val="de-DE"/>
        </w:rPr>
        <w:t>Localities with a decrease in the production index of the processing and manufacturing industry in January 2025 compared to the same period last year are: Ca Mau decreased by 16.3%; Gia Lai decreased by 13.2%; Ha Tinh decreased by 10.4%; Hanoi decreased by 9.8%; Ho Chi Minh City decreased by 9.3%; Da Nang decreased by 8.9%. Localities have a decrease in the index of the electricity production and distribution industry in January 2025 compared to the same period last year: Bac Lieu decreased by 23.8%; Gia Lai decreased by 14.2%; Ha Tinh decreased by 12.7%. Localities with a mining industry in 01/2025 compared to the previous year decreased: Vinh Phuc decreased by 62.0%; Gia Lai decreased by 59.8%; Da Nang decreased by 50.9%.</w:t>
      </w:r>
    </w:p>
  </w:footnote>
  <w:footnote w:id="7">
    <w:p w14:paraId="6DF9333E" w14:textId="77777777" w:rsidR="00B02EE5" w:rsidRPr="00444341" w:rsidRDefault="00B02EE5" w:rsidP="00B02EE5">
      <w:pPr>
        <w:jc w:val="both"/>
        <w:rPr>
          <w:sz w:val="20"/>
          <w:szCs w:val="20"/>
        </w:rPr>
      </w:pPr>
      <w:r w:rsidRPr="00444341">
        <w:rPr>
          <w:sz w:val="20"/>
          <w:szCs w:val="20"/>
          <w:vertAlign w:val="superscript"/>
        </w:rPr>
        <w:footnoteRef/>
      </w:r>
      <w:r>
        <w:rPr>
          <w:sz w:val="20"/>
          <w:szCs w:val="20"/>
        </w:rPr>
        <w:t xml:space="preserve"> </w:t>
      </w:r>
      <w:r w:rsidRPr="00444341">
        <w:rPr>
          <w:sz w:val="20"/>
          <w:szCs w:val="20"/>
        </w:rPr>
        <w:t xml:space="preserve">Source: National Business Registration Information System, Department of Business Registration Management, Ministry of Planning and Investment, received </w:t>
      </w:r>
      <w:r>
        <w:rPr>
          <w:sz w:val="20"/>
          <w:szCs w:val="20"/>
        </w:rPr>
        <w:t>February</w:t>
      </w:r>
      <w:r w:rsidRPr="00444341">
        <w:rPr>
          <w:sz w:val="20"/>
          <w:szCs w:val="20"/>
        </w:rPr>
        <w:t xml:space="preserve"> </w:t>
      </w:r>
      <w:r>
        <w:rPr>
          <w:sz w:val="20"/>
          <w:szCs w:val="20"/>
        </w:rPr>
        <w:t>03</w:t>
      </w:r>
      <w:r>
        <w:rPr>
          <w:sz w:val="20"/>
          <w:szCs w:val="20"/>
          <w:vertAlign w:val="superscript"/>
        </w:rPr>
        <w:t>r</w:t>
      </w:r>
      <w:r w:rsidRPr="00444341">
        <w:rPr>
          <w:sz w:val="20"/>
          <w:szCs w:val="20"/>
          <w:vertAlign w:val="superscript"/>
        </w:rPr>
        <w:t>d</w:t>
      </w:r>
      <w:r w:rsidRPr="00444341">
        <w:rPr>
          <w:sz w:val="20"/>
          <w:szCs w:val="20"/>
        </w:rPr>
        <w:t>, 202</w:t>
      </w:r>
      <w:r>
        <w:rPr>
          <w:sz w:val="20"/>
          <w:szCs w:val="20"/>
        </w:rPr>
        <w:t>5</w:t>
      </w:r>
      <w:r w:rsidRPr="00444341">
        <w:rPr>
          <w:sz w:val="20"/>
          <w:szCs w:val="20"/>
        </w:rPr>
        <w:t xml:space="preserve">. Implementing Decree No. 62/2024/ND-CP dated June </w:t>
      </w:r>
      <w:r>
        <w:rPr>
          <w:sz w:val="20"/>
          <w:szCs w:val="20"/>
        </w:rPr>
        <w:t>0</w:t>
      </w:r>
      <w:r w:rsidRPr="00444341">
        <w:rPr>
          <w:sz w:val="20"/>
          <w:szCs w:val="20"/>
        </w:rPr>
        <w:t>7</w:t>
      </w:r>
      <w:r>
        <w:rPr>
          <w:sz w:val="20"/>
          <w:szCs w:val="20"/>
          <w:vertAlign w:val="superscript"/>
        </w:rPr>
        <w:t>th</w:t>
      </w:r>
      <w:r w:rsidRPr="00444341">
        <w:rPr>
          <w:sz w:val="20"/>
          <w:szCs w:val="20"/>
        </w:rPr>
        <w:t xml:space="preserve">, 2024 of the Government (effective from August </w:t>
      </w:r>
      <w:r>
        <w:rPr>
          <w:sz w:val="20"/>
          <w:szCs w:val="20"/>
        </w:rPr>
        <w:t>0</w:t>
      </w:r>
      <w:r w:rsidRPr="00444341">
        <w:rPr>
          <w:sz w:val="20"/>
          <w:szCs w:val="20"/>
        </w:rPr>
        <w:t>1</w:t>
      </w:r>
      <w:r>
        <w:rPr>
          <w:sz w:val="20"/>
          <w:szCs w:val="20"/>
          <w:vertAlign w:val="superscript"/>
        </w:rPr>
        <w:t>st</w:t>
      </w:r>
      <w:r w:rsidRPr="00444341">
        <w:rPr>
          <w:sz w:val="20"/>
          <w:szCs w:val="20"/>
        </w:rPr>
        <w:t xml:space="preserve">, 2024), the data period on business registration in the month is calculated from the 1st to the last day of the reporting month. Particularly for time indicators (enterprises returning to operations, enterprises temporarily suspending business for a limited period of time, enterprises temporarily suspending operations awaiting dissolution procedures), the data period is the months before the time. August </w:t>
      </w:r>
      <w:r>
        <w:rPr>
          <w:sz w:val="20"/>
          <w:szCs w:val="20"/>
        </w:rPr>
        <w:t>0</w:t>
      </w:r>
      <w:r w:rsidRPr="00444341">
        <w:rPr>
          <w:sz w:val="20"/>
          <w:szCs w:val="20"/>
        </w:rPr>
        <w:t>1</w:t>
      </w:r>
      <w:r>
        <w:rPr>
          <w:sz w:val="20"/>
          <w:szCs w:val="20"/>
          <w:vertAlign w:val="superscript"/>
        </w:rPr>
        <w:t>st</w:t>
      </w:r>
      <w:r w:rsidRPr="00444341">
        <w:rPr>
          <w:sz w:val="20"/>
          <w:szCs w:val="20"/>
        </w:rPr>
        <w:t>, 2024 is calculated from the 21</w:t>
      </w:r>
      <w:r w:rsidRPr="00444341">
        <w:rPr>
          <w:sz w:val="20"/>
          <w:szCs w:val="20"/>
          <w:vertAlign w:val="superscript"/>
        </w:rPr>
        <w:t>st</w:t>
      </w:r>
      <w:r w:rsidRPr="00444341">
        <w:rPr>
          <w:sz w:val="20"/>
          <w:szCs w:val="20"/>
        </w:rPr>
        <w:t xml:space="preserve"> of the month preceding the reporting month to the 20</w:t>
      </w:r>
      <w:r w:rsidRPr="00444341">
        <w:rPr>
          <w:sz w:val="20"/>
          <w:szCs w:val="20"/>
          <w:vertAlign w:val="superscript"/>
        </w:rPr>
        <w:t>th</w:t>
      </w:r>
      <w:r w:rsidRPr="00444341">
        <w:rPr>
          <w:sz w:val="20"/>
          <w:szCs w:val="20"/>
        </w:rPr>
        <w:t xml:space="preserve"> of the reporting month.</w:t>
      </w:r>
    </w:p>
  </w:footnote>
  <w:footnote w:id="8">
    <w:p w14:paraId="7ECC8284" w14:textId="77777777" w:rsidR="00B02EE5" w:rsidRPr="009720D3" w:rsidRDefault="00B02EE5" w:rsidP="00B02EE5">
      <w:pPr>
        <w:pStyle w:val="FootnoteText"/>
      </w:pPr>
      <w:r w:rsidRPr="00426245">
        <w:rPr>
          <w:rStyle w:val="FootnoteReference"/>
        </w:rPr>
        <w:footnoteRef/>
      </w:r>
      <w:r w:rsidRPr="009720D3">
        <w:t>According to the report of the Foreign Investment Agency, Ministry of Planning and Investment, received on January 31, 2025.</w:t>
      </w:r>
    </w:p>
  </w:footnote>
  <w:footnote w:id="9">
    <w:p w14:paraId="06B7EE14" w14:textId="77777777" w:rsidR="00B02EE5" w:rsidRDefault="00B02EE5" w:rsidP="00B02EE5">
      <w:pPr>
        <w:pStyle w:val="FootnoteText"/>
      </w:pPr>
      <w:r>
        <w:rPr>
          <w:rStyle w:val="FootnoteReference"/>
        </w:rPr>
        <w:footnoteRef/>
      </w:r>
      <w:r>
        <w:t xml:space="preserve">In January </w:t>
      </w:r>
      <w:r>
        <w:rPr>
          <w:lang w:val="en-IN"/>
        </w:rPr>
        <w:t xml:space="preserve">2025 </w:t>
      </w:r>
      <w:r>
        <w:t>, there are no capital adjustment projects.</w:t>
      </w:r>
    </w:p>
  </w:footnote>
  <w:footnote w:id="10">
    <w:p w14:paraId="2C8C8426" w14:textId="77777777" w:rsidR="00B02EE5" w:rsidRPr="00B70B38" w:rsidRDefault="00B02EE5" w:rsidP="00B02EE5">
      <w:pPr>
        <w:pStyle w:val="FootnoteText"/>
      </w:pPr>
      <w:r w:rsidRPr="0003264C">
        <w:rPr>
          <w:rStyle w:val="FootnoteReference"/>
        </w:rPr>
        <w:footnoteRef/>
      </w:r>
      <w:r w:rsidRPr="0003264C">
        <w:t xml:space="preserve"> </w:t>
      </w:r>
      <w:r w:rsidRPr="0003264C">
        <w:rPr>
          <w:lang w:val="nl-NL"/>
        </w:rPr>
        <w:t>According to Report No. 23/BC-BTC dated January 24, 2025 of the Ministry of Finance.</w:t>
      </w:r>
    </w:p>
  </w:footnote>
  <w:footnote w:id="11">
    <w:p w14:paraId="2116927D" w14:textId="77777777" w:rsidR="00B02EE5" w:rsidRPr="00505EA6" w:rsidRDefault="00B02EE5" w:rsidP="00B02EE5">
      <w:pPr>
        <w:pStyle w:val="FootnoteText"/>
        <w:rPr>
          <w:lang w:val="en-US"/>
        </w:rPr>
      </w:pPr>
      <w:r>
        <w:rPr>
          <w:rStyle w:val="FootnoteReference"/>
        </w:rPr>
        <w:footnoteRef/>
      </w:r>
      <w:r>
        <w:t xml:space="preserve"> </w:t>
      </w:r>
      <w:r w:rsidRPr="00E078C1">
        <w:t>Lunar New Year At Ty falls in January 2025, while Lunar New Year Giap Thin falls in February 2024.</w:t>
      </w:r>
    </w:p>
  </w:footnote>
  <w:footnote w:id="12">
    <w:p w14:paraId="535EAF7A" w14:textId="77777777" w:rsidR="00B02EE5" w:rsidRPr="00F351F4" w:rsidRDefault="00B02EE5" w:rsidP="00B02EE5">
      <w:pPr>
        <w:pStyle w:val="FootnoteText"/>
        <w:ind w:left="142" w:hanging="142"/>
        <w:jc w:val="both"/>
        <w:rPr>
          <w:lang w:val="en-US"/>
        </w:rPr>
      </w:pPr>
      <w:r>
        <w:rPr>
          <w:rStyle w:val="FootnoteReference"/>
        </w:rPr>
        <w:footnoteRef/>
      </w:r>
      <w:r>
        <w:t xml:space="preserve"> </w:t>
      </w:r>
      <w:r w:rsidRPr="009C5B6D">
        <w:t>The value of export</w:t>
      </w:r>
      <w:r w:rsidRPr="00F7354A">
        <w:t xml:space="preserve"> turnover is calculated at F.O.B price and import turnover is calculated at C.I.F price (including transportation and insurance costs of imported goods).</w:t>
      </w:r>
    </w:p>
  </w:footnote>
  <w:footnote w:id="13">
    <w:p w14:paraId="727EC6FD" w14:textId="77777777" w:rsidR="00B02EE5" w:rsidRPr="00A25D0E" w:rsidRDefault="00B02EE5" w:rsidP="00B02EE5">
      <w:pPr>
        <w:pStyle w:val="FootnoteText"/>
        <w:ind w:left="142" w:hanging="142"/>
        <w:jc w:val="both"/>
        <w:rPr>
          <w:lang w:val="en-US"/>
        </w:rPr>
      </w:pPr>
      <w:r>
        <w:rPr>
          <w:rStyle w:val="FootnoteReference"/>
        </w:rPr>
        <w:footnoteRef/>
      </w:r>
      <w:r>
        <w:t xml:space="preserve"> </w:t>
      </w:r>
      <w:r w:rsidRPr="00294F9D">
        <w:t xml:space="preserve">Preliminary import and export data for </w:t>
      </w:r>
      <w:r>
        <w:t>January</w:t>
      </w:r>
      <w:r w:rsidRPr="00294F9D">
        <w:t xml:space="preserve"> 202</w:t>
      </w:r>
      <w:r>
        <w:t>5</w:t>
      </w:r>
      <w:r w:rsidRPr="00294F9D">
        <w:t xml:space="preserve"> provided by the </w:t>
      </w:r>
      <w:r>
        <w:t>Viet Nam</w:t>
      </w:r>
      <w:r w:rsidRPr="00294F9D">
        <w:t xml:space="preserve"> Customs on </w:t>
      </w:r>
      <w:r>
        <w:t>February</w:t>
      </w:r>
      <w:r w:rsidRPr="00294F9D">
        <w:t xml:space="preserve"> </w:t>
      </w:r>
      <w:r>
        <w:t>0</w:t>
      </w:r>
      <w:r w:rsidRPr="00294F9D">
        <w:t>3, 2025</w:t>
      </w:r>
      <w:r w:rsidRPr="007A6C6C">
        <w:t>.</w:t>
      </w:r>
    </w:p>
  </w:footnote>
  <w:footnote w:id="14">
    <w:p w14:paraId="04A4D8CA" w14:textId="77777777" w:rsidR="00B02EE5" w:rsidRPr="00BE556C" w:rsidRDefault="00B02EE5" w:rsidP="00B02EE5">
      <w:pPr>
        <w:pStyle w:val="FootnoteText"/>
        <w:ind w:left="142" w:hanging="142"/>
        <w:jc w:val="both"/>
        <w:rPr>
          <w:lang w:val="en-US"/>
        </w:rPr>
      </w:pPr>
      <w:r>
        <w:rPr>
          <w:rStyle w:val="FootnoteReference"/>
        </w:rPr>
        <w:footnoteRef/>
      </w:r>
      <w:r>
        <w:t xml:space="preserve"> </w:t>
      </w:r>
      <w:r w:rsidRPr="00BE556C">
        <w:t>Because January this year has Lunar New Year holiday, the number of working days in January this year is 5 days less than January last year.</w:t>
      </w:r>
    </w:p>
  </w:footnote>
  <w:footnote w:id="15">
    <w:p w14:paraId="431D810B" w14:textId="77777777" w:rsidR="00B02EE5" w:rsidRPr="00ED71AE" w:rsidRDefault="00B02EE5" w:rsidP="00B02EE5">
      <w:pPr>
        <w:pStyle w:val="FootnoteText"/>
        <w:ind w:left="142" w:hanging="142"/>
        <w:jc w:val="both"/>
      </w:pPr>
      <w:r>
        <w:rPr>
          <w:rStyle w:val="FootnoteReference"/>
        </w:rPr>
        <w:footnoteRef/>
      </w:r>
      <w:r>
        <w:t xml:space="preserve"> </w:t>
      </w:r>
      <w:r w:rsidRPr="004323BF">
        <w:t xml:space="preserve">Total import and export turnover of goods in </w:t>
      </w:r>
      <w:r>
        <w:t>01/</w:t>
      </w:r>
      <w:r w:rsidRPr="004323BF">
        <w:t>202</w:t>
      </w:r>
      <w:r>
        <w:t>4</w:t>
      </w:r>
      <w:r w:rsidRPr="004323BF">
        <w:t xml:space="preserve"> reached 6</w:t>
      </w:r>
      <w:r>
        <w:t>5.4</w:t>
      </w:r>
      <w:r w:rsidRPr="004323BF">
        <w:t xml:space="preserve"> billion USD, </w:t>
      </w:r>
      <w:r>
        <w:t>up</w:t>
      </w:r>
      <w:r w:rsidRPr="004323BF">
        <w:t xml:space="preserve"> </w:t>
      </w:r>
      <w:r>
        <w:t>40.3</w:t>
      </w:r>
      <w:r w:rsidRPr="004323BF">
        <w:t xml:space="preserve">% over the </w:t>
      </w:r>
      <w:r>
        <w:t xml:space="preserve">same </w:t>
      </w:r>
      <w:r w:rsidRPr="004323BF">
        <w:t>p</w:t>
      </w:r>
      <w:r>
        <w:t>eriod</w:t>
      </w:r>
      <w:r w:rsidRPr="004323BF">
        <w:t xml:space="preserve"> </w:t>
      </w:r>
      <w:r>
        <w:t xml:space="preserve">last </w:t>
      </w:r>
      <w:r w:rsidRPr="004323BF">
        <w:t>year, of which exports reached 34.</w:t>
      </w:r>
      <w:r>
        <w:t>5</w:t>
      </w:r>
      <w:r w:rsidRPr="004323BF">
        <w:t xml:space="preserve"> billion USD, </w:t>
      </w:r>
      <w:r>
        <w:t>up</w:t>
      </w:r>
      <w:r w:rsidRPr="004323BF">
        <w:t xml:space="preserve"> 46</w:t>
      </w:r>
      <w:r>
        <w:t>.2</w:t>
      </w:r>
      <w:r w:rsidRPr="004323BF">
        <w:t>%; imports reached 3</w:t>
      </w:r>
      <w:r>
        <w:t>0</w:t>
      </w:r>
      <w:r w:rsidRPr="004323BF">
        <w:t>.</w:t>
      </w:r>
      <w:r>
        <w:t>8</w:t>
      </w:r>
      <w:r w:rsidRPr="004323BF">
        <w:t xml:space="preserve"> billion USD, </w:t>
      </w:r>
      <w:r>
        <w:t>up</w:t>
      </w:r>
      <w:r w:rsidRPr="004323BF">
        <w:t xml:space="preserve"> </w:t>
      </w:r>
      <w:r>
        <w:t>34</w:t>
      </w:r>
      <w:r w:rsidRPr="004323BF">
        <w:t>.2%.</w:t>
      </w:r>
    </w:p>
  </w:footnote>
  <w:footnote w:id="16">
    <w:p w14:paraId="5DEC5DA8" w14:textId="77777777" w:rsidR="00B02EE5" w:rsidRPr="00D85151" w:rsidRDefault="00B02EE5" w:rsidP="00B02EE5">
      <w:pPr>
        <w:pStyle w:val="FootnoteText"/>
        <w:ind w:left="142" w:hanging="142"/>
        <w:jc w:val="both"/>
        <w:rPr>
          <w:lang w:val="en-US"/>
        </w:rPr>
      </w:pPr>
      <w:r>
        <w:rPr>
          <w:rStyle w:val="FootnoteReference"/>
        </w:rPr>
        <w:footnoteRef/>
      </w:r>
      <w:r>
        <w:t xml:space="preserve"> T</w:t>
      </w:r>
      <w:r w:rsidRPr="00D85151">
        <w:t xml:space="preserve">he same as the data sent by the </w:t>
      </w:r>
      <w:r>
        <w:t>Viet Nam</w:t>
      </w:r>
      <w:r w:rsidRPr="00D85151">
        <w:t xml:space="preserve"> Customs to the General Statistics Office on </w:t>
      </w:r>
      <w:r>
        <w:t>January</w:t>
      </w:r>
      <w:r w:rsidRPr="00D85151">
        <w:t xml:space="preserve"> </w:t>
      </w:r>
      <w:r>
        <w:t>0</w:t>
      </w:r>
      <w:r w:rsidRPr="00D85151">
        <w:t>3, 202</w:t>
      </w:r>
      <w:r>
        <w:t>5</w:t>
      </w:r>
      <w:r w:rsidRPr="00D85151">
        <w:t>.</w:t>
      </w:r>
    </w:p>
  </w:footnote>
  <w:footnote w:id="17">
    <w:p w14:paraId="4FD1EDFE" w14:textId="77777777" w:rsidR="00B02EE5" w:rsidRPr="004B7489" w:rsidRDefault="00B02EE5" w:rsidP="00B02EE5">
      <w:pPr>
        <w:pStyle w:val="FootnoteText"/>
        <w:ind w:left="142" w:hanging="142"/>
        <w:jc w:val="both"/>
        <w:rPr>
          <w:lang w:val="en-US"/>
        </w:rPr>
      </w:pPr>
      <w:r>
        <w:rPr>
          <w:rStyle w:val="FootnoteReference"/>
        </w:rPr>
        <w:footnoteRef/>
      </w:r>
      <w:r>
        <w:t xml:space="preserve"> T</w:t>
      </w:r>
      <w:r w:rsidRPr="00D85151">
        <w:t xml:space="preserve">he same as the data sent by the </w:t>
      </w:r>
      <w:r>
        <w:t>Viet Nam</w:t>
      </w:r>
      <w:r w:rsidRPr="00D85151">
        <w:t xml:space="preserve"> Customs to the General Statistics Office on </w:t>
      </w:r>
      <w:r>
        <w:t>January</w:t>
      </w:r>
      <w:r w:rsidRPr="00D85151">
        <w:t xml:space="preserve"> </w:t>
      </w:r>
      <w:r>
        <w:t>0</w:t>
      </w:r>
      <w:r w:rsidRPr="00D85151">
        <w:t>3, 202</w:t>
      </w:r>
      <w:r>
        <w:t>5</w:t>
      </w:r>
      <w:r w:rsidRPr="00D85151">
        <w:t>.</w:t>
      </w:r>
    </w:p>
  </w:footnote>
  <w:footnote w:id="18">
    <w:p w14:paraId="43A3FBB2" w14:textId="77777777" w:rsidR="00B02EE5" w:rsidRPr="003D62A9" w:rsidRDefault="00B02EE5" w:rsidP="00B02EE5">
      <w:pPr>
        <w:pStyle w:val="FootnoteText"/>
        <w:ind w:left="720" w:hanging="720"/>
        <w:jc w:val="both"/>
      </w:pPr>
      <w:r>
        <w:rPr>
          <w:rStyle w:val="FootnoteReference"/>
        </w:rPr>
        <w:footnoteRef/>
      </w:r>
      <w:r>
        <w:t xml:space="preserve"> </w:t>
      </w:r>
      <w:r>
        <w:rPr>
          <w:lang w:val="en-US"/>
        </w:rPr>
        <w:t>Dece</w:t>
      </w:r>
      <w:r w:rsidRPr="003077BD">
        <w:rPr>
          <w:lang w:val="en-US"/>
        </w:rPr>
        <w:t xml:space="preserve">mber report shows trade surplus of </w:t>
      </w:r>
      <w:r>
        <w:rPr>
          <w:lang w:val="en-US"/>
        </w:rPr>
        <w:t>0.52</w:t>
      </w:r>
      <w:r w:rsidRPr="003077BD">
        <w:rPr>
          <w:lang w:val="en-US"/>
        </w:rPr>
        <w:t xml:space="preserve"> billion USD</w:t>
      </w:r>
      <w:r w:rsidRPr="003D62A9">
        <w:rPr>
          <w:lang w:val="en-US"/>
        </w:rPr>
        <w:t>.</w:t>
      </w:r>
    </w:p>
  </w:footnote>
  <w:footnote w:id="19">
    <w:p w14:paraId="3101F905" w14:textId="77777777" w:rsidR="00B02EE5" w:rsidRPr="002C19D3" w:rsidRDefault="00B02EE5" w:rsidP="00B02EE5">
      <w:pPr>
        <w:pStyle w:val="FootnoteText"/>
        <w:spacing w:before="40" w:after="40"/>
        <w:ind w:left="198" w:hanging="198"/>
        <w:jc w:val="both"/>
        <w:rPr>
          <w:lang w:val="en-US"/>
        </w:rPr>
      </w:pPr>
      <w:r w:rsidRPr="009044DD">
        <w:rPr>
          <w:rStyle w:val="FootnoteReference"/>
        </w:rPr>
        <w:footnoteRef/>
      </w:r>
      <w:r>
        <w:rPr>
          <w:lang w:val="en-US"/>
        </w:rPr>
        <w:t xml:space="preserve"> </w:t>
      </w:r>
      <w:r w:rsidRPr="00D31D93">
        <w:rPr>
          <w:lang w:val="en-US"/>
        </w:rPr>
        <w:t>Due to the increased demand for rice and other food products during the Lunar New Year 2025, the prices of these products increased accordingly: The price index of the rice group increased by 0.31% (Regular rice increased by 0.09%; delicious rice increased by 0.83% and sticky rice increased by 1.79%); vermicelli increased by 0.83%; rice noodles, pho noodles, rice crackers increased by 0.67%; wheat flour increased by 0.48%; instant noodles, noodles, pho noodles, instant porridge increased by 0.3%; instant cereal increased by 0.13%.</w:t>
      </w:r>
    </w:p>
  </w:footnote>
  <w:footnote w:id="20">
    <w:p w14:paraId="33BB049E" w14:textId="77777777" w:rsidR="00B02EE5" w:rsidRPr="006D2A8F" w:rsidRDefault="00B02EE5" w:rsidP="00B02EE5">
      <w:pPr>
        <w:pStyle w:val="FootnoteText"/>
        <w:spacing w:before="40" w:after="40"/>
        <w:ind w:left="198" w:hanging="198"/>
        <w:jc w:val="both"/>
        <w:rPr>
          <w:lang w:val="en-US"/>
        </w:rPr>
      </w:pPr>
      <w:r w:rsidRPr="009044DD">
        <w:rPr>
          <w:rStyle w:val="FootnoteReference"/>
        </w:rPr>
        <w:footnoteRef/>
      </w:r>
      <w:r w:rsidRPr="009044DD">
        <w:t xml:space="preserve"> </w:t>
      </w:r>
      <w:r w:rsidRPr="00D31D93">
        <w:t>Pork price index increased by 2.45%; fresh and processed fruit price index increased by 1.53%; fresh seafood price index increased by 1.38%; processed seafood price index increased by 1.06%; cake, jam and candy price index increased by 0.77%; beans and nuts increased by 0.74%; tea, coffee and cocoa increased by 0.69%; spices increased by 0.68%; sugar increased by 0.46%; milk, butter and cheese increased by 0.32%; eggs of all kinds increased by 0.3%. On the contrary, the fresh, dried and processed vegetable price index decreased by 0.48% because it was the harvest time of the winter-spring vegetable crop, favorable weather made the supply of vegetables abundant and plentiful.</w:t>
      </w:r>
    </w:p>
  </w:footnote>
  <w:footnote w:id="21">
    <w:p w14:paraId="28ACFD0A" w14:textId="77777777" w:rsidR="00B02EE5" w:rsidRPr="002C19D3" w:rsidRDefault="00B02EE5" w:rsidP="00B02EE5">
      <w:pPr>
        <w:pStyle w:val="FootnoteText"/>
        <w:spacing w:before="40" w:after="40"/>
        <w:ind w:left="198" w:hanging="198"/>
        <w:jc w:val="both"/>
        <w:rPr>
          <w:lang w:val="en-US"/>
        </w:rPr>
      </w:pPr>
      <w:r>
        <w:rPr>
          <w:rStyle w:val="FootnoteReference"/>
        </w:rPr>
        <w:footnoteRef/>
      </w:r>
      <w:r>
        <w:t xml:space="preserve"> </w:t>
      </w:r>
      <w:r w:rsidRPr="00F862B6">
        <w:rPr>
          <w:lang w:val="en-US"/>
        </w:rPr>
        <w:t>Due to high prices of raw materials, labor costs increased, of which the price of eating out increased by 0.3%; drinking out increased by 0.47%; and fast food take-away increased by 0.42%.</w:t>
      </w:r>
    </w:p>
  </w:footnote>
  <w:footnote w:id="22">
    <w:p w14:paraId="0F7421BB" w14:textId="77777777" w:rsidR="00B02EE5" w:rsidRPr="00D86931" w:rsidRDefault="00B02EE5" w:rsidP="00B02EE5">
      <w:pPr>
        <w:pStyle w:val="FootnoteText"/>
        <w:ind w:left="142" w:hanging="142"/>
        <w:jc w:val="both"/>
      </w:pPr>
      <w:r>
        <w:rPr>
          <w:rStyle w:val="FootnoteReference"/>
        </w:rPr>
        <w:footnoteRef/>
      </w:r>
      <w:r>
        <w:t xml:space="preserve"> </w:t>
      </w:r>
      <w:r w:rsidRPr="00F862B6">
        <w:t>The electricity and water price index for January 2025 reflects fluctuations one month later than other commodities because it is calculated based on revenue and consumption output of December 2024.</w:t>
      </w:r>
    </w:p>
  </w:footnote>
  <w:footnote w:id="23">
    <w:p w14:paraId="753EC624" w14:textId="77777777" w:rsidR="00B02EE5" w:rsidRPr="00FC383C" w:rsidRDefault="00B02EE5" w:rsidP="00B02EE5">
      <w:pPr>
        <w:pStyle w:val="FootnoteText"/>
        <w:spacing w:before="20" w:after="20"/>
        <w:ind w:left="142" w:hanging="142"/>
        <w:jc w:val="both"/>
      </w:pPr>
      <w:r w:rsidRPr="00FC383C">
        <w:rPr>
          <w:rStyle w:val="FootnoteReference"/>
        </w:rPr>
        <w:footnoteRef/>
      </w:r>
      <w:r>
        <w:t xml:space="preserve"> </w:t>
      </w:r>
      <w:r w:rsidRPr="00FC383C">
        <w:t>CPI after excluding food, fresh food, energy and state-managed goods including medical services and education.</w:t>
      </w:r>
    </w:p>
  </w:footnote>
  <w:footnote w:id="24">
    <w:p w14:paraId="5939B2A8" w14:textId="77777777" w:rsidR="00CE02B0" w:rsidRPr="00F4430E" w:rsidRDefault="00CE02B0" w:rsidP="00CE02B0">
      <w:pPr>
        <w:pStyle w:val="FootnoteText"/>
        <w:ind w:left="198" w:hanging="198"/>
        <w:jc w:val="both"/>
      </w:pPr>
      <w:r w:rsidRPr="00F4430E">
        <w:rPr>
          <w:rStyle w:val="FootnoteReference"/>
        </w:rPr>
        <w:footnoteRef/>
      </w:r>
      <w:r w:rsidRPr="00F4430E">
        <w:rPr>
          <w:spacing w:val="2"/>
        </w:rPr>
        <w:t xml:space="preserve"> </w:t>
      </w:r>
      <w:r>
        <w:rPr>
          <w:lang w:val="nl-NL"/>
        </w:rPr>
        <w:t>According to the report of the Border Gate Department, the Border Guard Command, the Ministry of National Defense and the Immigration Department, the Ministry of Public Security.</w:t>
      </w:r>
    </w:p>
  </w:footnote>
  <w:footnote w:id="25">
    <w:p w14:paraId="1587B6F1" w14:textId="77777777" w:rsidR="00CE02B0" w:rsidRPr="00191D5D" w:rsidRDefault="00CE02B0" w:rsidP="00CE02B0">
      <w:pPr>
        <w:pStyle w:val="FootnoteText"/>
        <w:ind w:left="198" w:hanging="198"/>
        <w:jc w:val="both"/>
      </w:pPr>
      <w:r w:rsidRPr="00F4430E">
        <w:rPr>
          <w:rStyle w:val="FootnoteReference"/>
        </w:rPr>
        <w:footnoteRef/>
      </w:r>
      <w:r w:rsidRPr="00F4430E">
        <w:t xml:space="preserve"> </w:t>
      </w:r>
      <w:r>
        <w:rPr>
          <w:lang w:val="en-US"/>
        </w:rPr>
        <w:t>T</w:t>
      </w:r>
      <w:r>
        <w:rPr>
          <w:lang w:val="nl-NL"/>
        </w:rPr>
        <w:t>he reporting period was from December 21, 2023 to January 20, 2024.</w:t>
      </w:r>
    </w:p>
  </w:footnote>
  <w:footnote w:id="26">
    <w:p w14:paraId="1AEA39B6" w14:textId="77777777" w:rsidR="00B02EE5" w:rsidRPr="00F4430E" w:rsidRDefault="00B02EE5" w:rsidP="00B02EE5">
      <w:pPr>
        <w:pStyle w:val="FootnoteText"/>
        <w:jc w:val="both"/>
      </w:pPr>
      <w:r w:rsidRPr="00F4430E">
        <w:rPr>
          <w:rStyle w:val="FootnoteReference"/>
        </w:rPr>
        <w:footnoteRef/>
      </w:r>
      <w:r w:rsidRPr="00F4430E">
        <w:rPr>
          <w:spacing w:val="2"/>
        </w:rPr>
        <w:t xml:space="preserve"> </w:t>
      </w:r>
      <w:r w:rsidRPr="00FE383F">
        <w:rPr>
          <w:lang w:val="nl-NL"/>
        </w:rPr>
        <w:t>According to the report of the Border Gate Department, Border Guard Command, Ministry of National Defense on January 30, 2025 and the Immigration Department, Ministry of Public Security on February 3, 2025.</w:t>
      </w:r>
    </w:p>
  </w:footnote>
  <w:footnote w:id="27">
    <w:p w14:paraId="26B4BEC8" w14:textId="77777777" w:rsidR="00B02EE5" w:rsidRPr="00FE383F" w:rsidRDefault="00B02EE5" w:rsidP="00B02EE5">
      <w:pPr>
        <w:pStyle w:val="FootnoteText"/>
        <w:rPr>
          <w:lang w:val="en-US"/>
        </w:rPr>
      </w:pPr>
      <w:r>
        <w:rPr>
          <w:rStyle w:val="FootnoteReference"/>
        </w:rPr>
        <w:footnoteRef/>
      </w:r>
      <w:r>
        <w:t xml:space="preserve"> </w:t>
      </w:r>
      <w:r w:rsidRPr="00FE383F">
        <w:t>Reporting period from December 26, 2024 to January 25, 2025.</w:t>
      </w:r>
    </w:p>
  </w:footnote>
  <w:footnote w:id="28">
    <w:p w14:paraId="03771A3F" w14:textId="77777777" w:rsidR="00B02EE5" w:rsidRDefault="00B02EE5" w:rsidP="00B02EE5">
      <w:pPr>
        <w:pStyle w:val="FootnoteText"/>
        <w:rPr>
          <w:lang w:val="nl-NL"/>
        </w:rPr>
      </w:pPr>
      <w:r>
        <w:rPr>
          <w:rStyle w:val="FootnoteReference"/>
        </w:rPr>
        <w:footnoteRef/>
      </w:r>
      <w:r>
        <w:t xml:space="preserve"> </w:t>
      </w:r>
      <w:r w:rsidRPr="00B922C9">
        <w:t>A household can choose many reasons to reduce income.</w:t>
      </w:r>
    </w:p>
  </w:footnote>
  <w:footnote w:id="29">
    <w:p w14:paraId="0B3699E3" w14:textId="77777777" w:rsidR="00B02EE5" w:rsidRPr="00B75D17" w:rsidRDefault="00B02EE5" w:rsidP="00B02EE5">
      <w:pPr>
        <w:pStyle w:val="FootnoteText"/>
        <w:ind w:left="198" w:hanging="198"/>
        <w:jc w:val="both"/>
      </w:pPr>
      <w:r w:rsidRPr="00507105">
        <w:rPr>
          <w:rStyle w:val="FootnoteReference"/>
        </w:rPr>
        <w:footnoteRef/>
      </w:r>
      <w:r w:rsidRPr="001256F8">
        <w:t xml:space="preserve"> </w:t>
      </w:r>
      <w:r w:rsidRPr="00B922C9">
        <w:t>According to a quick report from the Office of the Ministry of Public Security and the Vietnam Maritime Administration (Ministry of Transport) dated February 3, 2025.</w:t>
      </w:r>
    </w:p>
  </w:footnote>
  <w:footnote w:id="30">
    <w:p w14:paraId="48BA5961" w14:textId="77777777" w:rsidR="00B02EE5" w:rsidRDefault="00B02EE5" w:rsidP="00B02EE5">
      <w:pPr>
        <w:pStyle w:val="FootnoteText"/>
        <w:ind w:left="198" w:hanging="198"/>
        <w:jc w:val="both"/>
        <w:rPr>
          <w:spacing w:val="-2"/>
        </w:rPr>
      </w:pPr>
      <w:r>
        <w:rPr>
          <w:rStyle w:val="FootnoteReference"/>
          <w:spacing w:val="-2"/>
        </w:rPr>
        <w:footnoteRef/>
      </w:r>
      <w:r>
        <w:rPr>
          <w:spacing w:val="-2"/>
        </w:rPr>
        <w:t xml:space="preserve"> </w:t>
      </w:r>
      <w:r w:rsidRPr="00B922C9">
        <w:rPr>
          <w:spacing w:val="-2"/>
        </w:rPr>
        <w:t>Summary of reports from 63 Departments of Agriculture and Rural Development, reporting period from December 19, 2024 to January 18, 2025.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A911A8" w14:textId="48051DFB" w:rsidR="00761FD8" w:rsidRPr="00800C1E" w:rsidRDefault="00761FD8">
    <w:pPr>
      <w:pStyle w:val="Header"/>
      <w:jc w:val="center"/>
      <w:rPr>
        <w:sz w:val="26"/>
        <w:szCs w:val="26"/>
      </w:rPr>
    </w:pPr>
    <w:r w:rsidRPr="00800C1E">
      <w:rPr>
        <w:sz w:val="26"/>
        <w:szCs w:val="26"/>
      </w:rPr>
      <w:fldChar w:fldCharType="begin"/>
    </w:r>
    <w:r w:rsidRPr="00800C1E">
      <w:rPr>
        <w:sz w:val="26"/>
        <w:szCs w:val="26"/>
      </w:rPr>
      <w:instrText xml:space="preserve"> PAGE   \* MERGEFORMAT </w:instrText>
    </w:r>
    <w:r w:rsidRPr="00800C1E">
      <w:rPr>
        <w:sz w:val="26"/>
        <w:szCs w:val="26"/>
      </w:rPr>
      <w:fldChar w:fldCharType="separate"/>
    </w:r>
    <w:r w:rsidR="00953B7C">
      <w:rPr>
        <w:noProof/>
        <w:sz w:val="26"/>
        <w:szCs w:val="26"/>
      </w:rPr>
      <w:t>22</w:t>
    </w:r>
    <w:r w:rsidRPr="00800C1E">
      <w:rPr>
        <w:sz w:val="26"/>
        <w:szCs w:val="26"/>
      </w:rPr>
      <w:fldChar w:fldCharType="end"/>
    </w:r>
  </w:p>
  <w:p w14:paraId="631711C7" w14:textId="77777777" w:rsidR="00761FD8" w:rsidRDefault="00761F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50C3DF2"/>
    <w:multiLevelType w:val="hybridMultilevel"/>
    <w:tmpl w:val="57B2C124"/>
    <w:lvl w:ilvl="0" w:tplc="97D2DCAC">
      <w:numFmt w:val="bullet"/>
      <w:lvlText w:val="-"/>
      <w:lvlJc w:val="left"/>
      <w:pPr>
        <w:ind w:left="927" w:hanging="360"/>
      </w:pPr>
      <w:rPr>
        <w:rFonts w:ascii="Times New Roman" w:eastAsia="Times New Roman" w:hAnsi="Times New Roman" w:cs="Times New Roman"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 w15:restartNumberingAfterBreak="0">
    <w:nsid w:val="386E21E8"/>
    <w:multiLevelType w:val="hybridMultilevel"/>
    <w:tmpl w:val="19F8C82A"/>
    <w:lvl w:ilvl="0" w:tplc="107265E2">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 w15:restartNumberingAfterBreak="0">
    <w:nsid w:val="427E2210"/>
    <w:multiLevelType w:val="hybridMultilevel"/>
    <w:tmpl w:val="5B5A25EE"/>
    <w:lvl w:ilvl="0" w:tplc="B7665A3E">
      <w:start w:val="1"/>
      <w:numFmt w:val="decimal"/>
      <w:lvlText w:val="(%1)"/>
      <w:lvlJc w:val="left"/>
      <w:pPr>
        <w:ind w:left="927" w:hanging="360"/>
      </w:pPr>
      <w:rPr>
        <w:rFonts w:hint="default"/>
        <w:sz w:val="28"/>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 w15:restartNumberingAfterBreak="0">
    <w:nsid w:val="4F2B5A09"/>
    <w:multiLevelType w:val="hybridMultilevel"/>
    <w:tmpl w:val="E242A0A0"/>
    <w:lvl w:ilvl="0" w:tplc="DEFAB62A">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 w15:restartNumberingAfterBreak="0">
    <w:nsid w:val="565E2B91"/>
    <w:multiLevelType w:val="hybridMultilevel"/>
    <w:tmpl w:val="3EBC3802"/>
    <w:lvl w:ilvl="0" w:tplc="F3A6B9F6">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5" w15:restartNumberingAfterBreak="0">
    <w:nsid w:val="5D7D4D4C"/>
    <w:multiLevelType w:val="hybridMultilevel"/>
    <w:tmpl w:val="D5D4C2F0"/>
    <w:lvl w:ilvl="0" w:tplc="E9866360">
      <w:numFmt w:val="bullet"/>
      <w:lvlText w:val="-"/>
      <w:lvlJc w:val="left"/>
      <w:pPr>
        <w:ind w:left="927" w:hanging="360"/>
      </w:pPr>
      <w:rPr>
        <w:rFonts w:ascii="Times New Roman" w:eastAsia="Times New Roman" w:hAnsi="Times New Roman" w:cs="Times New Roman"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6" w15:restartNumberingAfterBreak="0">
    <w:nsid w:val="614325A7"/>
    <w:multiLevelType w:val="hybridMultilevel"/>
    <w:tmpl w:val="46A6E0A4"/>
    <w:lvl w:ilvl="0" w:tplc="F3A6B9F6">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7" w15:restartNumberingAfterBreak="0">
    <w:nsid w:val="6A190281"/>
    <w:multiLevelType w:val="hybridMultilevel"/>
    <w:tmpl w:val="29E6A5A4"/>
    <w:lvl w:ilvl="0" w:tplc="F4002D4C">
      <w:start w:val="3"/>
      <w:numFmt w:val="lowerLetter"/>
      <w:lvlText w:val="%1."/>
      <w:lvlJc w:val="left"/>
      <w:pPr>
        <w:ind w:left="1170" w:hanging="360"/>
      </w:pPr>
      <w:rPr>
        <w:rFonts w:cs="Times New Roman" w:hint="default"/>
      </w:rPr>
    </w:lvl>
    <w:lvl w:ilvl="1" w:tplc="04090019">
      <w:start w:val="1"/>
      <w:numFmt w:val="lowerLetter"/>
      <w:lvlText w:val="%2."/>
      <w:lvlJc w:val="left"/>
      <w:pPr>
        <w:ind w:left="1890" w:hanging="360"/>
      </w:pPr>
      <w:rPr>
        <w:rFonts w:cs="Times New Roman"/>
      </w:rPr>
    </w:lvl>
    <w:lvl w:ilvl="2" w:tplc="0409001B">
      <w:start w:val="1"/>
      <w:numFmt w:val="lowerRoman"/>
      <w:lvlText w:val="%3."/>
      <w:lvlJc w:val="right"/>
      <w:pPr>
        <w:ind w:left="2610" w:hanging="180"/>
      </w:pPr>
      <w:rPr>
        <w:rFonts w:cs="Times New Roman"/>
      </w:rPr>
    </w:lvl>
    <w:lvl w:ilvl="3" w:tplc="0409000F">
      <w:start w:val="1"/>
      <w:numFmt w:val="decimal"/>
      <w:lvlText w:val="%4."/>
      <w:lvlJc w:val="left"/>
      <w:pPr>
        <w:ind w:left="3330" w:hanging="360"/>
      </w:pPr>
      <w:rPr>
        <w:rFonts w:cs="Times New Roman"/>
      </w:rPr>
    </w:lvl>
    <w:lvl w:ilvl="4" w:tplc="04090019">
      <w:start w:val="1"/>
      <w:numFmt w:val="lowerLetter"/>
      <w:lvlText w:val="%5."/>
      <w:lvlJc w:val="left"/>
      <w:pPr>
        <w:ind w:left="4050" w:hanging="360"/>
      </w:pPr>
      <w:rPr>
        <w:rFonts w:cs="Times New Roman"/>
      </w:rPr>
    </w:lvl>
    <w:lvl w:ilvl="5" w:tplc="0409001B">
      <w:start w:val="1"/>
      <w:numFmt w:val="lowerRoman"/>
      <w:lvlText w:val="%6."/>
      <w:lvlJc w:val="right"/>
      <w:pPr>
        <w:ind w:left="4770" w:hanging="180"/>
      </w:pPr>
      <w:rPr>
        <w:rFonts w:cs="Times New Roman"/>
      </w:rPr>
    </w:lvl>
    <w:lvl w:ilvl="6" w:tplc="0409000F">
      <w:start w:val="1"/>
      <w:numFmt w:val="decimal"/>
      <w:lvlText w:val="%7."/>
      <w:lvlJc w:val="left"/>
      <w:pPr>
        <w:ind w:left="5490" w:hanging="360"/>
      </w:pPr>
      <w:rPr>
        <w:rFonts w:cs="Times New Roman"/>
      </w:rPr>
    </w:lvl>
    <w:lvl w:ilvl="7" w:tplc="04090019">
      <w:start w:val="1"/>
      <w:numFmt w:val="lowerLetter"/>
      <w:lvlText w:val="%8."/>
      <w:lvlJc w:val="left"/>
      <w:pPr>
        <w:ind w:left="6210" w:hanging="360"/>
      </w:pPr>
      <w:rPr>
        <w:rFonts w:cs="Times New Roman"/>
      </w:rPr>
    </w:lvl>
    <w:lvl w:ilvl="8" w:tplc="0409001B">
      <w:start w:val="1"/>
      <w:numFmt w:val="lowerRoman"/>
      <w:lvlText w:val="%9."/>
      <w:lvlJc w:val="right"/>
      <w:pPr>
        <w:ind w:left="6930" w:hanging="180"/>
      </w:pPr>
      <w:rPr>
        <w:rFonts w:cs="Times New Roman"/>
      </w:rPr>
    </w:lvl>
  </w:abstractNum>
  <w:abstractNum w:abstractNumId="8" w15:restartNumberingAfterBreak="0">
    <w:nsid w:val="6C15253D"/>
    <w:multiLevelType w:val="hybridMultilevel"/>
    <w:tmpl w:val="31AC050A"/>
    <w:lvl w:ilvl="0" w:tplc="CBAAC4FA">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9" w15:restartNumberingAfterBreak="0">
    <w:nsid w:val="7EDF1437"/>
    <w:multiLevelType w:val="hybridMultilevel"/>
    <w:tmpl w:val="5D982C46"/>
    <w:lvl w:ilvl="0" w:tplc="F3A6B9F6">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num w:numId="1" w16cid:durableId="372703594">
    <w:abstractNumId w:val="3"/>
  </w:num>
  <w:num w:numId="2" w16cid:durableId="244800019">
    <w:abstractNumId w:val="7"/>
  </w:num>
  <w:num w:numId="3" w16cid:durableId="168982865">
    <w:abstractNumId w:val="8"/>
  </w:num>
  <w:num w:numId="4" w16cid:durableId="1140536604">
    <w:abstractNumId w:val="6"/>
  </w:num>
  <w:num w:numId="5" w16cid:durableId="132916120">
    <w:abstractNumId w:val="4"/>
  </w:num>
  <w:num w:numId="6" w16cid:durableId="1717000435">
    <w:abstractNumId w:val="5"/>
  </w:num>
  <w:num w:numId="7" w16cid:durableId="1840004104">
    <w:abstractNumId w:val="0"/>
  </w:num>
  <w:num w:numId="8" w16cid:durableId="1709603987">
    <w:abstractNumId w:val="9"/>
  </w:num>
  <w:num w:numId="9" w16cid:durableId="1654412275">
    <w:abstractNumId w:val="1"/>
  </w:num>
  <w:num w:numId="10" w16cid:durableId="110869538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activeWritingStyle w:appName="MSWord" w:lang="en-US" w:vendorID="64" w:dllVersion="6" w:nlCheck="1" w:checkStyle="1"/>
  <w:activeWritingStyle w:appName="MSWord" w:lang="es-NI" w:vendorID="64" w:dllVersion="6" w:nlCheck="1" w:checkStyle="1"/>
  <w:activeWritingStyle w:appName="MSWord" w:lang="fr-FR" w:vendorID="64" w:dllVersion="6" w:nlCheck="1" w:checkStyle="0"/>
  <w:activeWritingStyle w:appName="MSWord" w:lang="es-BO" w:vendorID="64" w:dllVersion="6" w:nlCheck="1" w:checkStyle="0"/>
  <w:activeWritingStyle w:appName="MSWord" w:lang="es-AR" w:vendorID="64" w:dllVersion="6" w:nlCheck="1" w:checkStyle="1"/>
  <w:activeWritingStyle w:appName="MSWord" w:lang="en-GB" w:vendorID="64" w:dllVersion="6" w:nlCheck="1" w:checkStyle="1"/>
  <w:activeWritingStyle w:appName="MSWord" w:lang="en-IN" w:vendorID="64" w:dllVersion="6" w:nlCheck="1" w:checkStyle="1"/>
  <w:activeWritingStyle w:appName="MSWord" w:lang="en-US" w:vendorID="64" w:dllVersion="0" w:nlCheck="1" w:checkStyle="0"/>
  <w:activeWritingStyle w:appName="MSWord" w:lang="en-IN" w:vendorID="64" w:dllVersion="0" w:nlCheck="1" w:checkStyle="0"/>
  <w:activeWritingStyle w:appName="MSWord" w:lang="es-NI" w:vendorID="64" w:dllVersion="0" w:nlCheck="1" w:checkStyle="0"/>
  <w:activeWritingStyle w:appName="MSWord" w:lang="en-GB" w:vendorID="64" w:dllVersion="0" w:nlCheck="1" w:checkStyle="0"/>
  <w:activeWritingStyle w:appName="MSWord" w:lang="fr-FR" w:vendorID="64" w:dllVersion="0" w:nlCheck="1" w:checkStyle="0"/>
  <w:defaultTabStop w:val="720"/>
  <w:doNotHyphenateCaps/>
  <w:drawingGridHorizontalSpacing w:val="140"/>
  <w:displayHorizontalDrawingGridEvery w:val="2"/>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6468"/>
    <w:rsid w:val="0000060A"/>
    <w:rsid w:val="00000A13"/>
    <w:rsid w:val="0000106D"/>
    <w:rsid w:val="00001C22"/>
    <w:rsid w:val="00001D5F"/>
    <w:rsid w:val="00002B3F"/>
    <w:rsid w:val="000036C2"/>
    <w:rsid w:val="0000461D"/>
    <w:rsid w:val="0000480E"/>
    <w:rsid w:val="0000524B"/>
    <w:rsid w:val="00005622"/>
    <w:rsid w:val="0000631B"/>
    <w:rsid w:val="000071F9"/>
    <w:rsid w:val="000077D5"/>
    <w:rsid w:val="00007C4C"/>
    <w:rsid w:val="000111B7"/>
    <w:rsid w:val="00011FBD"/>
    <w:rsid w:val="00012187"/>
    <w:rsid w:val="00012976"/>
    <w:rsid w:val="00012C2C"/>
    <w:rsid w:val="00013D33"/>
    <w:rsid w:val="000143C8"/>
    <w:rsid w:val="00014846"/>
    <w:rsid w:val="00014A30"/>
    <w:rsid w:val="00014AB2"/>
    <w:rsid w:val="000154AA"/>
    <w:rsid w:val="00015CFE"/>
    <w:rsid w:val="00016203"/>
    <w:rsid w:val="00016882"/>
    <w:rsid w:val="0001752D"/>
    <w:rsid w:val="00020671"/>
    <w:rsid w:val="000217C7"/>
    <w:rsid w:val="00022151"/>
    <w:rsid w:val="000227FE"/>
    <w:rsid w:val="00022B6E"/>
    <w:rsid w:val="00023FC2"/>
    <w:rsid w:val="00024AC9"/>
    <w:rsid w:val="00024ACD"/>
    <w:rsid w:val="00025359"/>
    <w:rsid w:val="0002579C"/>
    <w:rsid w:val="00026379"/>
    <w:rsid w:val="000277B8"/>
    <w:rsid w:val="00030096"/>
    <w:rsid w:val="00030AF3"/>
    <w:rsid w:val="00030B8D"/>
    <w:rsid w:val="00030D8A"/>
    <w:rsid w:val="00031001"/>
    <w:rsid w:val="00031327"/>
    <w:rsid w:val="000315D0"/>
    <w:rsid w:val="000319D7"/>
    <w:rsid w:val="0003230D"/>
    <w:rsid w:val="00032396"/>
    <w:rsid w:val="0003264C"/>
    <w:rsid w:val="00032B7F"/>
    <w:rsid w:val="00033079"/>
    <w:rsid w:val="000343AC"/>
    <w:rsid w:val="00034406"/>
    <w:rsid w:val="0003481E"/>
    <w:rsid w:val="00034E91"/>
    <w:rsid w:val="000361A7"/>
    <w:rsid w:val="000363F6"/>
    <w:rsid w:val="00036452"/>
    <w:rsid w:val="00040137"/>
    <w:rsid w:val="00041B98"/>
    <w:rsid w:val="000420D5"/>
    <w:rsid w:val="00042223"/>
    <w:rsid w:val="00042EB9"/>
    <w:rsid w:val="00044A7D"/>
    <w:rsid w:val="00044E15"/>
    <w:rsid w:val="00045745"/>
    <w:rsid w:val="00045C3C"/>
    <w:rsid w:val="000461E1"/>
    <w:rsid w:val="000463F1"/>
    <w:rsid w:val="00046995"/>
    <w:rsid w:val="00046EB2"/>
    <w:rsid w:val="000500C6"/>
    <w:rsid w:val="000506B5"/>
    <w:rsid w:val="00050839"/>
    <w:rsid w:val="00050A08"/>
    <w:rsid w:val="00050B6D"/>
    <w:rsid w:val="00051916"/>
    <w:rsid w:val="00053C08"/>
    <w:rsid w:val="00054126"/>
    <w:rsid w:val="00054562"/>
    <w:rsid w:val="00055398"/>
    <w:rsid w:val="0005565B"/>
    <w:rsid w:val="00055C58"/>
    <w:rsid w:val="00056734"/>
    <w:rsid w:val="00057126"/>
    <w:rsid w:val="000601AD"/>
    <w:rsid w:val="00060433"/>
    <w:rsid w:val="000604D5"/>
    <w:rsid w:val="00060A18"/>
    <w:rsid w:val="00060EF3"/>
    <w:rsid w:val="00061C45"/>
    <w:rsid w:val="00062AED"/>
    <w:rsid w:val="00062BEB"/>
    <w:rsid w:val="00062D3D"/>
    <w:rsid w:val="00062EB5"/>
    <w:rsid w:val="00062FE7"/>
    <w:rsid w:val="00063032"/>
    <w:rsid w:val="00063509"/>
    <w:rsid w:val="000637D9"/>
    <w:rsid w:val="0006483F"/>
    <w:rsid w:val="0006495B"/>
    <w:rsid w:val="0006555A"/>
    <w:rsid w:val="000658A7"/>
    <w:rsid w:val="00065CCF"/>
    <w:rsid w:val="0006703E"/>
    <w:rsid w:val="00071050"/>
    <w:rsid w:val="000712EE"/>
    <w:rsid w:val="00071312"/>
    <w:rsid w:val="00072295"/>
    <w:rsid w:val="00072810"/>
    <w:rsid w:val="00072939"/>
    <w:rsid w:val="00072A12"/>
    <w:rsid w:val="0007467D"/>
    <w:rsid w:val="00074861"/>
    <w:rsid w:val="0007509B"/>
    <w:rsid w:val="0007626A"/>
    <w:rsid w:val="00076466"/>
    <w:rsid w:val="00076F40"/>
    <w:rsid w:val="0007721A"/>
    <w:rsid w:val="0007787D"/>
    <w:rsid w:val="00077957"/>
    <w:rsid w:val="000809AB"/>
    <w:rsid w:val="00082A5E"/>
    <w:rsid w:val="00082EDE"/>
    <w:rsid w:val="000831C8"/>
    <w:rsid w:val="00083379"/>
    <w:rsid w:val="00083536"/>
    <w:rsid w:val="00083FA5"/>
    <w:rsid w:val="000851C7"/>
    <w:rsid w:val="00085E39"/>
    <w:rsid w:val="00086EEA"/>
    <w:rsid w:val="000906F5"/>
    <w:rsid w:val="000909CE"/>
    <w:rsid w:val="0009196E"/>
    <w:rsid w:val="00091E96"/>
    <w:rsid w:val="00092690"/>
    <w:rsid w:val="00092A06"/>
    <w:rsid w:val="00092C77"/>
    <w:rsid w:val="00092E0E"/>
    <w:rsid w:val="000930DA"/>
    <w:rsid w:val="0009345E"/>
    <w:rsid w:val="000937B1"/>
    <w:rsid w:val="00093A8F"/>
    <w:rsid w:val="00093D99"/>
    <w:rsid w:val="0009449A"/>
    <w:rsid w:val="00095257"/>
    <w:rsid w:val="00095F89"/>
    <w:rsid w:val="00096C40"/>
    <w:rsid w:val="00097457"/>
    <w:rsid w:val="00097770"/>
    <w:rsid w:val="000A0827"/>
    <w:rsid w:val="000A0849"/>
    <w:rsid w:val="000A0F2C"/>
    <w:rsid w:val="000A1186"/>
    <w:rsid w:val="000A173F"/>
    <w:rsid w:val="000A192B"/>
    <w:rsid w:val="000A1CCE"/>
    <w:rsid w:val="000A21CF"/>
    <w:rsid w:val="000A2C95"/>
    <w:rsid w:val="000A3467"/>
    <w:rsid w:val="000A39E0"/>
    <w:rsid w:val="000A4A08"/>
    <w:rsid w:val="000A6278"/>
    <w:rsid w:val="000A7BD3"/>
    <w:rsid w:val="000B1DBB"/>
    <w:rsid w:val="000B2181"/>
    <w:rsid w:val="000B2507"/>
    <w:rsid w:val="000B3A76"/>
    <w:rsid w:val="000B3B84"/>
    <w:rsid w:val="000B4674"/>
    <w:rsid w:val="000B46CF"/>
    <w:rsid w:val="000B481F"/>
    <w:rsid w:val="000B49D3"/>
    <w:rsid w:val="000B56FF"/>
    <w:rsid w:val="000B79A2"/>
    <w:rsid w:val="000C006C"/>
    <w:rsid w:val="000C0548"/>
    <w:rsid w:val="000C0B99"/>
    <w:rsid w:val="000C1215"/>
    <w:rsid w:val="000C1A58"/>
    <w:rsid w:val="000C1AEE"/>
    <w:rsid w:val="000C1F7D"/>
    <w:rsid w:val="000C3957"/>
    <w:rsid w:val="000C452E"/>
    <w:rsid w:val="000C4535"/>
    <w:rsid w:val="000C4883"/>
    <w:rsid w:val="000C5209"/>
    <w:rsid w:val="000C53E9"/>
    <w:rsid w:val="000C5818"/>
    <w:rsid w:val="000C5829"/>
    <w:rsid w:val="000C5F2B"/>
    <w:rsid w:val="000C6226"/>
    <w:rsid w:val="000C6AB4"/>
    <w:rsid w:val="000C6F18"/>
    <w:rsid w:val="000C75FC"/>
    <w:rsid w:val="000C7688"/>
    <w:rsid w:val="000C78CD"/>
    <w:rsid w:val="000C7F9F"/>
    <w:rsid w:val="000D0051"/>
    <w:rsid w:val="000D3A06"/>
    <w:rsid w:val="000D4CC8"/>
    <w:rsid w:val="000D53AB"/>
    <w:rsid w:val="000D573D"/>
    <w:rsid w:val="000D5891"/>
    <w:rsid w:val="000D58AA"/>
    <w:rsid w:val="000D713B"/>
    <w:rsid w:val="000D71B7"/>
    <w:rsid w:val="000D76D0"/>
    <w:rsid w:val="000E0006"/>
    <w:rsid w:val="000E08E4"/>
    <w:rsid w:val="000E0C6F"/>
    <w:rsid w:val="000E0E7B"/>
    <w:rsid w:val="000E236D"/>
    <w:rsid w:val="000E388B"/>
    <w:rsid w:val="000E3A29"/>
    <w:rsid w:val="000E4E3C"/>
    <w:rsid w:val="000E535D"/>
    <w:rsid w:val="000E6165"/>
    <w:rsid w:val="000E689F"/>
    <w:rsid w:val="000E6961"/>
    <w:rsid w:val="000E6C74"/>
    <w:rsid w:val="000E72B3"/>
    <w:rsid w:val="000E780A"/>
    <w:rsid w:val="000F0084"/>
    <w:rsid w:val="000F0A9B"/>
    <w:rsid w:val="000F1F80"/>
    <w:rsid w:val="000F2026"/>
    <w:rsid w:val="000F22AE"/>
    <w:rsid w:val="000F394F"/>
    <w:rsid w:val="000F3CA3"/>
    <w:rsid w:val="000F423F"/>
    <w:rsid w:val="000F4742"/>
    <w:rsid w:val="000F4AC9"/>
    <w:rsid w:val="000F4DEC"/>
    <w:rsid w:val="000F54B1"/>
    <w:rsid w:val="000F6092"/>
    <w:rsid w:val="000F74AD"/>
    <w:rsid w:val="000F7AB5"/>
    <w:rsid w:val="000F7BC2"/>
    <w:rsid w:val="000F7E82"/>
    <w:rsid w:val="00100DF0"/>
    <w:rsid w:val="00100E80"/>
    <w:rsid w:val="00100EB4"/>
    <w:rsid w:val="00101235"/>
    <w:rsid w:val="00101826"/>
    <w:rsid w:val="0010267B"/>
    <w:rsid w:val="00102967"/>
    <w:rsid w:val="00103A80"/>
    <w:rsid w:val="00103B7E"/>
    <w:rsid w:val="00103D41"/>
    <w:rsid w:val="001053C0"/>
    <w:rsid w:val="001067DB"/>
    <w:rsid w:val="00106E40"/>
    <w:rsid w:val="00107927"/>
    <w:rsid w:val="00110D60"/>
    <w:rsid w:val="001111A4"/>
    <w:rsid w:val="00111673"/>
    <w:rsid w:val="00112582"/>
    <w:rsid w:val="00112F57"/>
    <w:rsid w:val="001131C5"/>
    <w:rsid w:val="0011328C"/>
    <w:rsid w:val="00113542"/>
    <w:rsid w:val="00113C4F"/>
    <w:rsid w:val="001141BD"/>
    <w:rsid w:val="00114287"/>
    <w:rsid w:val="0011450B"/>
    <w:rsid w:val="001145F4"/>
    <w:rsid w:val="0011581B"/>
    <w:rsid w:val="0011627C"/>
    <w:rsid w:val="001163E2"/>
    <w:rsid w:val="001163FC"/>
    <w:rsid w:val="0011680F"/>
    <w:rsid w:val="0011728C"/>
    <w:rsid w:val="00117732"/>
    <w:rsid w:val="00117781"/>
    <w:rsid w:val="00120614"/>
    <w:rsid w:val="00120AA1"/>
    <w:rsid w:val="00120DCB"/>
    <w:rsid w:val="001219F9"/>
    <w:rsid w:val="00122D61"/>
    <w:rsid w:val="00124496"/>
    <w:rsid w:val="00124520"/>
    <w:rsid w:val="00124AE1"/>
    <w:rsid w:val="00124D0A"/>
    <w:rsid w:val="00124F5E"/>
    <w:rsid w:val="001268F2"/>
    <w:rsid w:val="00126B64"/>
    <w:rsid w:val="00126BCD"/>
    <w:rsid w:val="00127476"/>
    <w:rsid w:val="00127893"/>
    <w:rsid w:val="001311D0"/>
    <w:rsid w:val="00131897"/>
    <w:rsid w:val="00132327"/>
    <w:rsid w:val="00132A25"/>
    <w:rsid w:val="00132AB4"/>
    <w:rsid w:val="00132C6D"/>
    <w:rsid w:val="00132F80"/>
    <w:rsid w:val="001335C1"/>
    <w:rsid w:val="0013362F"/>
    <w:rsid w:val="00134829"/>
    <w:rsid w:val="0013560B"/>
    <w:rsid w:val="00135708"/>
    <w:rsid w:val="0013616D"/>
    <w:rsid w:val="00136657"/>
    <w:rsid w:val="00137243"/>
    <w:rsid w:val="001372A3"/>
    <w:rsid w:val="00137F3E"/>
    <w:rsid w:val="00140121"/>
    <w:rsid w:val="0014056F"/>
    <w:rsid w:val="001409C2"/>
    <w:rsid w:val="00141006"/>
    <w:rsid w:val="00141224"/>
    <w:rsid w:val="001413DD"/>
    <w:rsid w:val="00141744"/>
    <w:rsid w:val="00141BCE"/>
    <w:rsid w:val="00142010"/>
    <w:rsid w:val="00142019"/>
    <w:rsid w:val="001426FE"/>
    <w:rsid w:val="00142D28"/>
    <w:rsid w:val="00143773"/>
    <w:rsid w:val="00143A0F"/>
    <w:rsid w:val="001444E6"/>
    <w:rsid w:val="0014472B"/>
    <w:rsid w:val="00144921"/>
    <w:rsid w:val="00147218"/>
    <w:rsid w:val="00150717"/>
    <w:rsid w:val="001507DD"/>
    <w:rsid w:val="00150E8C"/>
    <w:rsid w:val="00150FBF"/>
    <w:rsid w:val="00151028"/>
    <w:rsid w:val="0015190E"/>
    <w:rsid w:val="00151AF6"/>
    <w:rsid w:val="0015299C"/>
    <w:rsid w:val="00152CFB"/>
    <w:rsid w:val="0015336C"/>
    <w:rsid w:val="00154EB4"/>
    <w:rsid w:val="00155547"/>
    <w:rsid w:val="00156312"/>
    <w:rsid w:val="00156BA8"/>
    <w:rsid w:val="001573FD"/>
    <w:rsid w:val="0016093E"/>
    <w:rsid w:val="0016098B"/>
    <w:rsid w:val="001609D3"/>
    <w:rsid w:val="00161BCD"/>
    <w:rsid w:val="0016207C"/>
    <w:rsid w:val="00162689"/>
    <w:rsid w:val="00162BB1"/>
    <w:rsid w:val="001631CA"/>
    <w:rsid w:val="001639D0"/>
    <w:rsid w:val="00164709"/>
    <w:rsid w:val="00164CDE"/>
    <w:rsid w:val="0016658F"/>
    <w:rsid w:val="001665C1"/>
    <w:rsid w:val="00166711"/>
    <w:rsid w:val="00166F19"/>
    <w:rsid w:val="00170272"/>
    <w:rsid w:val="00170E86"/>
    <w:rsid w:val="00171A4B"/>
    <w:rsid w:val="00174088"/>
    <w:rsid w:val="00174CD4"/>
    <w:rsid w:val="00175126"/>
    <w:rsid w:val="0017608F"/>
    <w:rsid w:val="00176E13"/>
    <w:rsid w:val="0017716A"/>
    <w:rsid w:val="00177248"/>
    <w:rsid w:val="001802FE"/>
    <w:rsid w:val="00180A37"/>
    <w:rsid w:val="00180D47"/>
    <w:rsid w:val="0018214D"/>
    <w:rsid w:val="00182AE3"/>
    <w:rsid w:val="00183076"/>
    <w:rsid w:val="00183269"/>
    <w:rsid w:val="001842C2"/>
    <w:rsid w:val="00184CDD"/>
    <w:rsid w:val="00184D21"/>
    <w:rsid w:val="00185B08"/>
    <w:rsid w:val="00185C7C"/>
    <w:rsid w:val="00185CEB"/>
    <w:rsid w:val="001867C2"/>
    <w:rsid w:val="00186D19"/>
    <w:rsid w:val="0018771F"/>
    <w:rsid w:val="001907B3"/>
    <w:rsid w:val="001909BC"/>
    <w:rsid w:val="00190AEB"/>
    <w:rsid w:val="00190D72"/>
    <w:rsid w:val="00190DC7"/>
    <w:rsid w:val="00191B9D"/>
    <w:rsid w:val="001932BB"/>
    <w:rsid w:val="00193B56"/>
    <w:rsid w:val="001940EF"/>
    <w:rsid w:val="0019426B"/>
    <w:rsid w:val="00194ABE"/>
    <w:rsid w:val="00195284"/>
    <w:rsid w:val="0019559C"/>
    <w:rsid w:val="0019657C"/>
    <w:rsid w:val="0019666F"/>
    <w:rsid w:val="001967B1"/>
    <w:rsid w:val="001A02E3"/>
    <w:rsid w:val="001A07A9"/>
    <w:rsid w:val="001A1D48"/>
    <w:rsid w:val="001A1DE3"/>
    <w:rsid w:val="001A1F71"/>
    <w:rsid w:val="001A2056"/>
    <w:rsid w:val="001A24A0"/>
    <w:rsid w:val="001A29A8"/>
    <w:rsid w:val="001A307B"/>
    <w:rsid w:val="001A5466"/>
    <w:rsid w:val="001A547A"/>
    <w:rsid w:val="001A6265"/>
    <w:rsid w:val="001A632D"/>
    <w:rsid w:val="001A6566"/>
    <w:rsid w:val="001A7B87"/>
    <w:rsid w:val="001A7D38"/>
    <w:rsid w:val="001B0212"/>
    <w:rsid w:val="001B0377"/>
    <w:rsid w:val="001B05F7"/>
    <w:rsid w:val="001B1245"/>
    <w:rsid w:val="001B17CD"/>
    <w:rsid w:val="001B1F8B"/>
    <w:rsid w:val="001B2DC9"/>
    <w:rsid w:val="001B31A8"/>
    <w:rsid w:val="001B34BB"/>
    <w:rsid w:val="001B3974"/>
    <w:rsid w:val="001B46A1"/>
    <w:rsid w:val="001B471E"/>
    <w:rsid w:val="001B47EE"/>
    <w:rsid w:val="001B5F6C"/>
    <w:rsid w:val="001B62F7"/>
    <w:rsid w:val="001B70E3"/>
    <w:rsid w:val="001B733C"/>
    <w:rsid w:val="001B7A79"/>
    <w:rsid w:val="001B7CA1"/>
    <w:rsid w:val="001B7CA9"/>
    <w:rsid w:val="001B7D2D"/>
    <w:rsid w:val="001C04DA"/>
    <w:rsid w:val="001C07D6"/>
    <w:rsid w:val="001C0EAD"/>
    <w:rsid w:val="001C1B98"/>
    <w:rsid w:val="001C26B0"/>
    <w:rsid w:val="001C2B53"/>
    <w:rsid w:val="001C2CC3"/>
    <w:rsid w:val="001C2E28"/>
    <w:rsid w:val="001C3319"/>
    <w:rsid w:val="001C37BF"/>
    <w:rsid w:val="001C41D3"/>
    <w:rsid w:val="001C43F7"/>
    <w:rsid w:val="001C4575"/>
    <w:rsid w:val="001C4E1B"/>
    <w:rsid w:val="001C6113"/>
    <w:rsid w:val="001C76B1"/>
    <w:rsid w:val="001D01E3"/>
    <w:rsid w:val="001D0DCE"/>
    <w:rsid w:val="001D13CD"/>
    <w:rsid w:val="001D2BBA"/>
    <w:rsid w:val="001D3772"/>
    <w:rsid w:val="001D40B8"/>
    <w:rsid w:val="001D49F4"/>
    <w:rsid w:val="001D4B0E"/>
    <w:rsid w:val="001D5CA2"/>
    <w:rsid w:val="001D6579"/>
    <w:rsid w:val="001D6E05"/>
    <w:rsid w:val="001D7967"/>
    <w:rsid w:val="001D7D63"/>
    <w:rsid w:val="001E014E"/>
    <w:rsid w:val="001E07EA"/>
    <w:rsid w:val="001E0E49"/>
    <w:rsid w:val="001E0EF9"/>
    <w:rsid w:val="001E2941"/>
    <w:rsid w:val="001E3544"/>
    <w:rsid w:val="001E39D0"/>
    <w:rsid w:val="001E4475"/>
    <w:rsid w:val="001E4A2C"/>
    <w:rsid w:val="001E4ACD"/>
    <w:rsid w:val="001E541B"/>
    <w:rsid w:val="001E5C74"/>
    <w:rsid w:val="001E6570"/>
    <w:rsid w:val="001E6760"/>
    <w:rsid w:val="001E678D"/>
    <w:rsid w:val="001E6957"/>
    <w:rsid w:val="001E6C19"/>
    <w:rsid w:val="001E6D2D"/>
    <w:rsid w:val="001E76A4"/>
    <w:rsid w:val="001E7B07"/>
    <w:rsid w:val="001F016A"/>
    <w:rsid w:val="001F1CBC"/>
    <w:rsid w:val="001F39ED"/>
    <w:rsid w:val="001F3C7C"/>
    <w:rsid w:val="001F402B"/>
    <w:rsid w:val="001F4845"/>
    <w:rsid w:val="001F4A1C"/>
    <w:rsid w:val="001F508E"/>
    <w:rsid w:val="001F55D6"/>
    <w:rsid w:val="001F5713"/>
    <w:rsid w:val="001F588B"/>
    <w:rsid w:val="001F66C2"/>
    <w:rsid w:val="001F672A"/>
    <w:rsid w:val="001F6C7A"/>
    <w:rsid w:val="001F716C"/>
    <w:rsid w:val="001F73A1"/>
    <w:rsid w:val="001F76F2"/>
    <w:rsid w:val="002001DC"/>
    <w:rsid w:val="00200B66"/>
    <w:rsid w:val="0020207F"/>
    <w:rsid w:val="00203D62"/>
    <w:rsid w:val="00204E46"/>
    <w:rsid w:val="00205B07"/>
    <w:rsid w:val="00205E9D"/>
    <w:rsid w:val="002065EA"/>
    <w:rsid w:val="00206E2F"/>
    <w:rsid w:val="002073D6"/>
    <w:rsid w:val="00207B86"/>
    <w:rsid w:val="00210C01"/>
    <w:rsid w:val="00210EA7"/>
    <w:rsid w:val="00211595"/>
    <w:rsid w:val="002119D4"/>
    <w:rsid w:val="00211AEB"/>
    <w:rsid w:val="00213126"/>
    <w:rsid w:val="00213504"/>
    <w:rsid w:val="00213741"/>
    <w:rsid w:val="002147F9"/>
    <w:rsid w:val="00215A08"/>
    <w:rsid w:val="00215C85"/>
    <w:rsid w:val="00216288"/>
    <w:rsid w:val="002163FC"/>
    <w:rsid w:val="00216F88"/>
    <w:rsid w:val="00217A98"/>
    <w:rsid w:val="0022109E"/>
    <w:rsid w:val="0022158C"/>
    <w:rsid w:val="0022317F"/>
    <w:rsid w:val="002232D9"/>
    <w:rsid w:val="0022390D"/>
    <w:rsid w:val="00224B8D"/>
    <w:rsid w:val="002254DC"/>
    <w:rsid w:val="002255B4"/>
    <w:rsid w:val="002260F3"/>
    <w:rsid w:val="0022663B"/>
    <w:rsid w:val="0022689D"/>
    <w:rsid w:val="00227769"/>
    <w:rsid w:val="00227FAD"/>
    <w:rsid w:val="00230997"/>
    <w:rsid w:val="00230D3B"/>
    <w:rsid w:val="0023108B"/>
    <w:rsid w:val="00232350"/>
    <w:rsid w:val="00232402"/>
    <w:rsid w:val="0023258A"/>
    <w:rsid w:val="00232811"/>
    <w:rsid w:val="002331DD"/>
    <w:rsid w:val="00233480"/>
    <w:rsid w:val="00233CFF"/>
    <w:rsid w:val="00234AEA"/>
    <w:rsid w:val="00234E05"/>
    <w:rsid w:val="00234FB7"/>
    <w:rsid w:val="0023513E"/>
    <w:rsid w:val="00235BAD"/>
    <w:rsid w:val="00235F70"/>
    <w:rsid w:val="00235F8C"/>
    <w:rsid w:val="002360BA"/>
    <w:rsid w:val="002362A4"/>
    <w:rsid w:val="002365E8"/>
    <w:rsid w:val="00237434"/>
    <w:rsid w:val="002374E8"/>
    <w:rsid w:val="00237CFC"/>
    <w:rsid w:val="00240415"/>
    <w:rsid w:val="002410E5"/>
    <w:rsid w:val="002411CF"/>
    <w:rsid w:val="00241982"/>
    <w:rsid w:val="00241FA7"/>
    <w:rsid w:val="002424B1"/>
    <w:rsid w:val="002428EB"/>
    <w:rsid w:val="002430F5"/>
    <w:rsid w:val="00244001"/>
    <w:rsid w:val="002441BC"/>
    <w:rsid w:val="002443F6"/>
    <w:rsid w:val="002447BD"/>
    <w:rsid w:val="00245678"/>
    <w:rsid w:val="0024587A"/>
    <w:rsid w:val="00245B4B"/>
    <w:rsid w:val="002460EF"/>
    <w:rsid w:val="002462D2"/>
    <w:rsid w:val="00246DB4"/>
    <w:rsid w:val="002472AA"/>
    <w:rsid w:val="00247313"/>
    <w:rsid w:val="002473DA"/>
    <w:rsid w:val="002517FD"/>
    <w:rsid w:val="002527C3"/>
    <w:rsid w:val="0025330A"/>
    <w:rsid w:val="0025432E"/>
    <w:rsid w:val="00255261"/>
    <w:rsid w:val="002558D1"/>
    <w:rsid w:val="00256661"/>
    <w:rsid w:val="0026046F"/>
    <w:rsid w:val="002606E1"/>
    <w:rsid w:val="00260DDA"/>
    <w:rsid w:val="00260F60"/>
    <w:rsid w:val="0026129F"/>
    <w:rsid w:val="002613FE"/>
    <w:rsid w:val="00261703"/>
    <w:rsid w:val="002618D5"/>
    <w:rsid w:val="00261A90"/>
    <w:rsid w:val="00261AAE"/>
    <w:rsid w:val="00264213"/>
    <w:rsid w:val="002646C7"/>
    <w:rsid w:val="00265DB4"/>
    <w:rsid w:val="002678A7"/>
    <w:rsid w:val="00267DEF"/>
    <w:rsid w:val="00267FE6"/>
    <w:rsid w:val="002700EC"/>
    <w:rsid w:val="002703C0"/>
    <w:rsid w:val="002703FD"/>
    <w:rsid w:val="00270CB2"/>
    <w:rsid w:val="00270F84"/>
    <w:rsid w:val="00271552"/>
    <w:rsid w:val="00271B3A"/>
    <w:rsid w:val="00271D3A"/>
    <w:rsid w:val="00271EC2"/>
    <w:rsid w:val="00272C69"/>
    <w:rsid w:val="00272DD0"/>
    <w:rsid w:val="00272FD8"/>
    <w:rsid w:val="00273B0E"/>
    <w:rsid w:val="00274077"/>
    <w:rsid w:val="002746F6"/>
    <w:rsid w:val="00275947"/>
    <w:rsid w:val="00276597"/>
    <w:rsid w:val="00276AEF"/>
    <w:rsid w:val="00276BBB"/>
    <w:rsid w:val="00280560"/>
    <w:rsid w:val="00280A50"/>
    <w:rsid w:val="00281200"/>
    <w:rsid w:val="00281B8E"/>
    <w:rsid w:val="00281CE7"/>
    <w:rsid w:val="00282303"/>
    <w:rsid w:val="00282EF0"/>
    <w:rsid w:val="00283199"/>
    <w:rsid w:val="002833E3"/>
    <w:rsid w:val="00283490"/>
    <w:rsid w:val="002845AF"/>
    <w:rsid w:val="00284E13"/>
    <w:rsid w:val="00285772"/>
    <w:rsid w:val="0028627E"/>
    <w:rsid w:val="00286623"/>
    <w:rsid w:val="00286CBE"/>
    <w:rsid w:val="00287B47"/>
    <w:rsid w:val="00287F87"/>
    <w:rsid w:val="00290648"/>
    <w:rsid w:val="0029123C"/>
    <w:rsid w:val="002923F1"/>
    <w:rsid w:val="0029276C"/>
    <w:rsid w:val="00292F96"/>
    <w:rsid w:val="002931B4"/>
    <w:rsid w:val="00294043"/>
    <w:rsid w:val="0029416B"/>
    <w:rsid w:val="00294BF0"/>
    <w:rsid w:val="00294F67"/>
    <w:rsid w:val="00294F82"/>
    <w:rsid w:val="0029538F"/>
    <w:rsid w:val="002978A7"/>
    <w:rsid w:val="002A06B7"/>
    <w:rsid w:val="002A1098"/>
    <w:rsid w:val="002A1D7F"/>
    <w:rsid w:val="002A20F4"/>
    <w:rsid w:val="002A2190"/>
    <w:rsid w:val="002A2303"/>
    <w:rsid w:val="002A2344"/>
    <w:rsid w:val="002A2D5D"/>
    <w:rsid w:val="002A4AB1"/>
    <w:rsid w:val="002A4FCA"/>
    <w:rsid w:val="002A5269"/>
    <w:rsid w:val="002A564D"/>
    <w:rsid w:val="002A5F08"/>
    <w:rsid w:val="002A693B"/>
    <w:rsid w:val="002A7813"/>
    <w:rsid w:val="002B0104"/>
    <w:rsid w:val="002B20B1"/>
    <w:rsid w:val="002B2B49"/>
    <w:rsid w:val="002B49CD"/>
    <w:rsid w:val="002B4DB3"/>
    <w:rsid w:val="002B56C3"/>
    <w:rsid w:val="002B651E"/>
    <w:rsid w:val="002B705E"/>
    <w:rsid w:val="002B79F2"/>
    <w:rsid w:val="002C0B39"/>
    <w:rsid w:val="002C0DFE"/>
    <w:rsid w:val="002C0EC1"/>
    <w:rsid w:val="002C1136"/>
    <w:rsid w:val="002C18EC"/>
    <w:rsid w:val="002C2838"/>
    <w:rsid w:val="002C2AB0"/>
    <w:rsid w:val="002C324A"/>
    <w:rsid w:val="002C4F8A"/>
    <w:rsid w:val="002C4FEC"/>
    <w:rsid w:val="002C593B"/>
    <w:rsid w:val="002C5CAB"/>
    <w:rsid w:val="002C5FC9"/>
    <w:rsid w:val="002C642A"/>
    <w:rsid w:val="002C7ABA"/>
    <w:rsid w:val="002D1706"/>
    <w:rsid w:val="002D1C87"/>
    <w:rsid w:val="002D1EFF"/>
    <w:rsid w:val="002D329A"/>
    <w:rsid w:val="002D3707"/>
    <w:rsid w:val="002D4AFE"/>
    <w:rsid w:val="002D591D"/>
    <w:rsid w:val="002D5980"/>
    <w:rsid w:val="002D5AA3"/>
    <w:rsid w:val="002D6001"/>
    <w:rsid w:val="002D6E24"/>
    <w:rsid w:val="002D764F"/>
    <w:rsid w:val="002D7B78"/>
    <w:rsid w:val="002D7E9A"/>
    <w:rsid w:val="002E01CF"/>
    <w:rsid w:val="002E172E"/>
    <w:rsid w:val="002E21D6"/>
    <w:rsid w:val="002E2E79"/>
    <w:rsid w:val="002E32F5"/>
    <w:rsid w:val="002E34C4"/>
    <w:rsid w:val="002E3DCA"/>
    <w:rsid w:val="002E5077"/>
    <w:rsid w:val="002E52FC"/>
    <w:rsid w:val="002E5AA0"/>
    <w:rsid w:val="002E746D"/>
    <w:rsid w:val="002E76FF"/>
    <w:rsid w:val="002E7AC4"/>
    <w:rsid w:val="002F0878"/>
    <w:rsid w:val="002F165C"/>
    <w:rsid w:val="002F217A"/>
    <w:rsid w:val="002F276E"/>
    <w:rsid w:val="002F2CE1"/>
    <w:rsid w:val="002F35DF"/>
    <w:rsid w:val="002F39FD"/>
    <w:rsid w:val="002F3DF2"/>
    <w:rsid w:val="002F455A"/>
    <w:rsid w:val="002F5491"/>
    <w:rsid w:val="002F59DA"/>
    <w:rsid w:val="002F6257"/>
    <w:rsid w:val="002F6316"/>
    <w:rsid w:val="002F6F8F"/>
    <w:rsid w:val="002F7B74"/>
    <w:rsid w:val="002F7C5C"/>
    <w:rsid w:val="002F7EFD"/>
    <w:rsid w:val="002F7F0F"/>
    <w:rsid w:val="00300597"/>
    <w:rsid w:val="003005FF"/>
    <w:rsid w:val="00301C19"/>
    <w:rsid w:val="0030244C"/>
    <w:rsid w:val="00302CEC"/>
    <w:rsid w:val="00303057"/>
    <w:rsid w:val="003030A7"/>
    <w:rsid w:val="003031B7"/>
    <w:rsid w:val="0030372C"/>
    <w:rsid w:val="00304BCC"/>
    <w:rsid w:val="003050B9"/>
    <w:rsid w:val="003053FB"/>
    <w:rsid w:val="00305768"/>
    <w:rsid w:val="00305A47"/>
    <w:rsid w:val="00305DFC"/>
    <w:rsid w:val="00306ECA"/>
    <w:rsid w:val="0030747B"/>
    <w:rsid w:val="00307751"/>
    <w:rsid w:val="00310425"/>
    <w:rsid w:val="0031106B"/>
    <w:rsid w:val="003115FD"/>
    <w:rsid w:val="00311735"/>
    <w:rsid w:val="003121AE"/>
    <w:rsid w:val="00313295"/>
    <w:rsid w:val="00313398"/>
    <w:rsid w:val="0031572E"/>
    <w:rsid w:val="00315CC4"/>
    <w:rsid w:val="0031609F"/>
    <w:rsid w:val="003164EB"/>
    <w:rsid w:val="00317259"/>
    <w:rsid w:val="003172F0"/>
    <w:rsid w:val="00325783"/>
    <w:rsid w:val="003259F5"/>
    <w:rsid w:val="003270FC"/>
    <w:rsid w:val="00327199"/>
    <w:rsid w:val="003300AC"/>
    <w:rsid w:val="003303B3"/>
    <w:rsid w:val="00330865"/>
    <w:rsid w:val="00330EDD"/>
    <w:rsid w:val="00331023"/>
    <w:rsid w:val="00333314"/>
    <w:rsid w:val="00333A1D"/>
    <w:rsid w:val="00333B83"/>
    <w:rsid w:val="00333CC2"/>
    <w:rsid w:val="00333D9D"/>
    <w:rsid w:val="00333E05"/>
    <w:rsid w:val="00333E6A"/>
    <w:rsid w:val="00333FCB"/>
    <w:rsid w:val="00334154"/>
    <w:rsid w:val="00334421"/>
    <w:rsid w:val="00335BEB"/>
    <w:rsid w:val="00335C3A"/>
    <w:rsid w:val="00335C5E"/>
    <w:rsid w:val="00335D3E"/>
    <w:rsid w:val="00336285"/>
    <w:rsid w:val="003369FF"/>
    <w:rsid w:val="00337239"/>
    <w:rsid w:val="0033792B"/>
    <w:rsid w:val="00337C63"/>
    <w:rsid w:val="00337EF8"/>
    <w:rsid w:val="00340518"/>
    <w:rsid w:val="00340870"/>
    <w:rsid w:val="00342138"/>
    <w:rsid w:val="00343FEC"/>
    <w:rsid w:val="00344A45"/>
    <w:rsid w:val="0034570B"/>
    <w:rsid w:val="00347553"/>
    <w:rsid w:val="003476BA"/>
    <w:rsid w:val="0034791B"/>
    <w:rsid w:val="003503F9"/>
    <w:rsid w:val="0035061B"/>
    <w:rsid w:val="00350F5B"/>
    <w:rsid w:val="00351A00"/>
    <w:rsid w:val="00351AB3"/>
    <w:rsid w:val="00351ACE"/>
    <w:rsid w:val="00351BCA"/>
    <w:rsid w:val="003529A3"/>
    <w:rsid w:val="00353826"/>
    <w:rsid w:val="00353AD8"/>
    <w:rsid w:val="00353EA3"/>
    <w:rsid w:val="00354AC6"/>
    <w:rsid w:val="00355C91"/>
    <w:rsid w:val="00355F6E"/>
    <w:rsid w:val="00356186"/>
    <w:rsid w:val="00356BC8"/>
    <w:rsid w:val="0035708D"/>
    <w:rsid w:val="0036078D"/>
    <w:rsid w:val="003609F8"/>
    <w:rsid w:val="0036113B"/>
    <w:rsid w:val="003616D1"/>
    <w:rsid w:val="0036195D"/>
    <w:rsid w:val="00362475"/>
    <w:rsid w:val="00362576"/>
    <w:rsid w:val="00362821"/>
    <w:rsid w:val="00363026"/>
    <w:rsid w:val="003630BA"/>
    <w:rsid w:val="00365B3D"/>
    <w:rsid w:val="00365F85"/>
    <w:rsid w:val="00366A55"/>
    <w:rsid w:val="00367639"/>
    <w:rsid w:val="003707C8"/>
    <w:rsid w:val="003708B8"/>
    <w:rsid w:val="00370984"/>
    <w:rsid w:val="00370BAA"/>
    <w:rsid w:val="00371200"/>
    <w:rsid w:val="003720CF"/>
    <w:rsid w:val="00372772"/>
    <w:rsid w:val="003730D0"/>
    <w:rsid w:val="0037340B"/>
    <w:rsid w:val="00373E5D"/>
    <w:rsid w:val="00374525"/>
    <w:rsid w:val="00374579"/>
    <w:rsid w:val="00374EC0"/>
    <w:rsid w:val="00374EE1"/>
    <w:rsid w:val="00375519"/>
    <w:rsid w:val="00375819"/>
    <w:rsid w:val="00376242"/>
    <w:rsid w:val="0037639A"/>
    <w:rsid w:val="003765FA"/>
    <w:rsid w:val="00377414"/>
    <w:rsid w:val="00380345"/>
    <w:rsid w:val="003806F1"/>
    <w:rsid w:val="00380C91"/>
    <w:rsid w:val="00381426"/>
    <w:rsid w:val="00381CF0"/>
    <w:rsid w:val="00382A2F"/>
    <w:rsid w:val="00382C10"/>
    <w:rsid w:val="0038331F"/>
    <w:rsid w:val="003846E8"/>
    <w:rsid w:val="00384978"/>
    <w:rsid w:val="00384C8B"/>
    <w:rsid w:val="00385852"/>
    <w:rsid w:val="00385F3F"/>
    <w:rsid w:val="003860A9"/>
    <w:rsid w:val="00386775"/>
    <w:rsid w:val="0038699B"/>
    <w:rsid w:val="00386D7F"/>
    <w:rsid w:val="00387749"/>
    <w:rsid w:val="00387AC8"/>
    <w:rsid w:val="00390782"/>
    <w:rsid w:val="00390A08"/>
    <w:rsid w:val="00390D55"/>
    <w:rsid w:val="00392166"/>
    <w:rsid w:val="003921AB"/>
    <w:rsid w:val="00393310"/>
    <w:rsid w:val="00394017"/>
    <w:rsid w:val="00394184"/>
    <w:rsid w:val="00394497"/>
    <w:rsid w:val="003948C3"/>
    <w:rsid w:val="003951EE"/>
    <w:rsid w:val="0039524D"/>
    <w:rsid w:val="00395AE7"/>
    <w:rsid w:val="00396456"/>
    <w:rsid w:val="00396735"/>
    <w:rsid w:val="00396B3C"/>
    <w:rsid w:val="00396D19"/>
    <w:rsid w:val="0039734B"/>
    <w:rsid w:val="003A0F38"/>
    <w:rsid w:val="003A1C2C"/>
    <w:rsid w:val="003A1D75"/>
    <w:rsid w:val="003A20D9"/>
    <w:rsid w:val="003A35EA"/>
    <w:rsid w:val="003A414B"/>
    <w:rsid w:val="003A43B6"/>
    <w:rsid w:val="003A557C"/>
    <w:rsid w:val="003A5AB4"/>
    <w:rsid w:val="003A60C9"/>
    <w:rsid w:val="003A6648"/>
    <w:rsid w:val="003A71BE"/>
    <w:rsid w:val="003A7DD3"/>
    <w:rsid w:val="003B0DB4"/>
    <w:rsid w:val="003B0FBF"/>
    <w:rsid w:val="003B13C6"/>
    <w:rsid w:val="003B19AB"/>
    <w:rsid w:val="003B1BEE"/>
    <w:rsid w:val="003B2006"/>
    <w:rsid w:val="003B220C"/>
    <w:rsid w:val="003B2373"/>
    <w:rsid w:val="003B3508"/>
    <w:rsid w:val="003B3AF1"/>
    <w:rsid w:val="003B4A16"/>
    <w:rsid w:val="003B4BF9"/>
    <w:rsid w:val="003B4F22"/>
    <w:rsid w:val="003B506E"/>
    <w:rsid w:val="003B59BD"/>
    <w:rsid w:val="003B59E4"/>
    <w:rsid w:val="003B5A6F"/>
    <w:rsid w:val="003B5F91"/>
    <w:rsid w:val="003B6797"/>
    <w:rsid w:val="003C1DD3"/>
    <w:rsid w:val="003C2153"/>
    <w:rsid w:val="003C2361"/>
    <w:rsid w:val="003C240F"/>
    <w:rsid w:val="003C2625"/>
    <w:rsid w:val="003C364E"/>
    <w:rsid w:val="003C38A5"/>
    <w:rsid w:val="003C3A4E"/>
    <w:rsid w:val="003C3B1A"/>
    <w:rsid w:val="003C4AD1"/>
    <w:rsid w:val="003C5032"/>
    <w:rsid w:val="003C573B"/>
    <w:rsid w:val="003C57CE"/>
    <w:rsid w:val="003C62B6"/>
    <w:rsid w:val="003C6B83"/>
    <w:rsid w:val="003C6FB9"/>
    <w:rsid w:val="003C74EA"/>
    <w:rsid w:val="003D1C6F"/>
    <w:rsid w:val="003D362A"/>
    <w:rsid w:val="003D3666"/>
    <w:rsid w:val="003D3A33"/>
    <w:rsid w:val="003D3A69"/>
    <w:rsid w:val="003D46E1"/>
    <w:rsid w:val="003D528E"/>
    <w:rsid w:val="003D56F2"/>
    <w:rsid w:val="003D5902"/>
    <w:rsid w:val="003E02F4"/>
    <w:rsid w:val="003E038D"/>
    <w:rsid w:val="003E04D7"/>
    <w:rsid w:val="003E12E4"/>
    <w:rsid w:val="003E1FF6"/>
    <w:rsid w:val="003E20B1"/>
    <w:rsid w:val="003E2930"/>
    <w:rsid w:val="003E2BC6"/>
    <w:rsid w:val="003E4B8B"/>
    <w:rsid w:val="003E5310"/>
    <w:rsid w:val="003E5692"/>
    <w:rsid w:val="003E7967"/>
    <w:rsid w:val="003F0288"/>
    <w:rsid w:val="003F0B2F"/>
    <w:rsid w:val="003F1828"/>
    <w:rsid w:val="003F1C0F"/>
    <w:rsid w:val="003F374A"/>
    <w:rsid w:val="003F4705"/>
    <w:rsid w:val="003F55B3"/>
    <w:rsid w:val="003F613E"/>
    <w:rsid w:val="003F6605"/>
    <w:rsid w:val="003F6B51"/>
    <w:rsid w:val="003F6C2A"/>
    <w:rsid w:val="003F75DC"/>
    <w:rsid w:val="003F7BE8"/>
    <w:rsid w:val="00401734"/>
    <w:rsid w:val="00401746"/>
    <w:rsid w:val="00401A24"/>
    <w:rsid w:val="00401B5D"/>
    <w:rsid w:val="00402123"/>
    <w:rsid w:val="004021C5"/>
    <w:rsid w:val="0040245A"/>
    <w:rsid w:val="00403340"/>
    <w:rsid w:val="0040343C"/>
    <w:rsid w:val="004035AC"/>
    <w:rsid w:val="00403790"/>
    <w:rsid w:val="004049DE"/>
    <w:rsid w:val="004061A5"/>
    <w:rsid w:val="0040664D"/>
    <w:rsid w:val="004073AE"/>
    <w:rsid w:val="00407DC9"/>
    <w:rsid w:val="004101A7"/>
    <w:rsid w:val="00410F17"/>
    <w:rsid w:val="00411DFA"/>
    <w:rsid w:val="004127B5"/>
    <w:rsid w:val="00412CB5"/>
    <w:rsid w:val="00413335"/>
    <w:rsid w:val="00413672"/>
    <w:rsid w:val="004157EB"/>
    <w:rsid w:val="00415915"/>
    <w:rsid w:val="00416AA5"/>
    <w:rsid w:val="00416BAE"/>
    <w:rsid w:val="0041742B"/>
    <w:rsid w:val="004201C3"/>
    <w:rsid w:val="00420BA5"/>
    <w:rsid w:val="00420ED8"/>
    <w:rsid w:val="00421023"/>
    <w:rsid w:val="00421AA1"/>
    <w:rsid w:val="00421DA1"/>
    <w:rsid w:val="00422253"/>
    <w:rsid w:val="0042245B"/>
    <w:rsid w:val="00422B12"/>
    <w:rsid w:val="00422B6A"/>
    <w:rsid w:val="00422E8F"/>
    <w:rsid w:val="00422E90"/>
    <w:rsid w:val="0042400D"/>
    <w:rsid w:val="004243E2"/>
    <w:rsid w:val="00424496"/>
    <w:rsid w:val="00424772"/>
    <w:rsid w:val="0042538E"/>
    <w:rsid w:val="00425F37"/>
    <w:rsid w:val="004266CF"/>
    <w:rsid w:val="00426894"/>
    <w:rsid w:val="00427015"/>
    <w:rsid w:val="00430B5F"/>
    <w:rsid w:val="00431E9E"/>
    <w:rsid w:val="00431ECB"/>
    <w:rsid w:val="00434658"/>
    <w:rsid w:val="00434668"/>
    <w:rsid w:val="004347CF"/>
    <w:rsid w:val="00434946"/>
    <w:rsid w:val="00435A2C"/>
    <w:rsid w:val="00435E67"/>
    <w:rsid w:val="00437559"/>
    <w:rsid w:val="0044006F"/>
    <w:rsid w:val="004419D3"/>
    <w:rsid w:val="00442443"/>
    <w:rsid w:val="00442876"/>
    <w:rsid w:val="00443644"/>
    <w:rsid w:val="00443A0C"/>
    <w:rsid w:val="00443BE8"/>
    <w:rsid w:val="00443F6F"/>
    <w:rsid w:val="00444D4C"/>
    <w:rsid w:val="00445039"/>
    <w:rsid w:val="004453F0"/>
    <w:rsid w:val="004453FE"/>
    <w:rsid w:val="00445670"/>
    <w:rsid w:val="00445766"/>
    <w:rsid w:val="00445783"/>
    <w:rsid w:val="00445A08"/>
    <w:rsid w:val="00446B19"/>
    <w:rsid w:val="00446E10"/>
    <w:rsid w:val="00446E13"/>
    <w:rsid w:val="00447723"/>
    <w:rsid w:val="00447B8B"/>
    <w:rsid w:val="00447C5F"/>
    <w:rsid w:val="004510A8"/>
    <w:rsid w:val="0045127B"/>
    <w:rsid w:val="004518BD"/>
    <w:rsid w:val="004521E2"/>
    <w:rsid w:val="00452434"/>
    <w:rsid w:val="00452C21"/>
    <w:rsid w:val="00452EDA"/>
    <w:rsid w:val="0045308E"/>
    <w:rsid w:val="004535EF"/>
    <w:rsid w:val="004535F6"/>
    <w:rsid w:val="0045657A"/>
    <w:rsid w:val="00457074"/>
    <w:rsid w:val="00457B96"/>
    <w:rsid w:val="00457EB6"/>
    <w:rsid w:val="00457FA3"/>
    <w:rsid w:val="0046080A"/>
    <w:rsid w:val="00461375"/>
    <w:rsid w:val="00462AE3"/>
    <w:rsid w:val="00462AF7"/>
    <w:rsid w:val="00462C66"/>
    <w:rsid w:val="00462DBB"/>
    <w:rsid w:val="00462EAE"/>
    <w:rsid w:val="004630BD"/>
    <w:rsid w:val="00463FD1"/>
    <w:rsid w:val="00464105"/>
    <w:rsid w:val="0046414A"/>
    <w:rsid w:val="00464B71"/>
    <w:rsid w:val="004662EB"/>
    <w:rsid w:val="00466CA3"/>
    <w:rsid w:val="0046723B"/>
    <w:rsid w:val="00467556"/>
    <w:rsid w:val="00467716"/>
    <w:rsid w:val="00467FDC"/>
    <w:rsid w:val="00471354"/>
    <w:rsid w:val="004717A5"/>
    <w:rsid w:val="00471A25"/>
    <w:rsid w:val="00471BBB"/>
    <w:rsid w:val="00471D6D"/>
    <w:rsid w:val="00471EFD"/>
    <w:rsid w:val="004720F0"/>
    <w:rsid w:val="004722F7"/>
    <w:rsid w:val="00473280"/>
    <w:rsid w:val="00473639"/>
    <w:rsid w:val="00474E3C"/>
    <w:rsid w:val="0047502D"/>
    <w:rsid w:val="00475AEF"/>
    <w:rsid w:val="00475BE3"/>
    <w:rsid w:val="00475D80"/>
    <w:rsid w:val="00476E50"/>
    <w:rsid w:val="004811C2"/>
    <w:rsid w:val="004820F1"/>
    <w:rsid w:val="0048210B"/>
    <w:rsid w:val="00482AD6"/>
    <w:rsid w:val="004834B6"/>
    <w:rsid w:val="00483677"/>
    <w:rsid w:val="00484583"/>
    <w:rsid w:val="00484623"/>
    <w:rsid w:val="00484754"/>
    <w:rsid w:val="00484F26"/>
    <w:rsid w:val="00485881"/>
    <w:rsid w:val="00485E3A"/>
    <w:rsid w:val="00485F2B"/>
    <w:rsid w:val="00486A1C"/>
    <w:rsid w:val="004872D8"/>
    <w:rsid w:val="00487872"/>
    <w:rsid w:val="00487E32"/>
    <w:rsid w:val="00487EEF"/>
    <w:rsid w:val="004908F8"/>
    <w:rsid w:val="004911CB"/>
    <w:rsid w:val="004923BA"/>
    <w:rsid w:val="00492E95"/>
    <w:rsid w:val="00492F48"/>
    <w:rsid w:val="00493200"/>
    <w:rsid w:val="00493CB0"/>
    <w:rsid w:val="00494124"/>
    <w:rsid w:val="00495364"/>
    <w:rsid w:val="0049579E"/>
    <w:rsid w:val="00495B24"/>
    <w:rsid w:val="00495C1C"/>
    <w:rsid w:val="0049648C"/>
    <w:rsid w:val="00496963"/>
    <w:rsid w:val="004972B7"/>
    <w:rsid w:val="0049756D"/>
    <w:rsid w:val="004A08A3"/>
    <w:rsid w:val="004A0CBC"/>
    <w:rsid w:val="004A0CFB"/>
    <w:rsid w:val="004A107C"/>
    <w:rsid w:val="004A1889"/>
    <w:rsid w:val="004A1C4A"/>
    <w:rsid w:val="004A1DC5"/>
    <w:rsid w:val="004A23B8"/>
    <w:rsid w:val="004A247F"/>
    <w:rsid w:val="004A24A9"/>
    <w:rsid w:val="004A285C"/>
    <w:rsid w:val="004A28D5"/>
    <w:rsid w:val="004A2A23"/>
    <w:rsid w:val="004A2B69"/>
    <w:rsid w:val="004A2B72"/>
    <w:rsid w:val="004A2C67"/>
    <w:rsid w:val="004A37E8"/>
    <w:rsid w:val="004A4924"/>
    <w:rsid w:val="004A4A01"/>
    <w:rsid w:val="004A4C06"/>
    <w:rsid w:val="004A572E"/>
    <w:rsid w:val="004A5C2F"/>
    <w:rsid w:val="004A6E79"/>
    <w:rsid w:val="004A6EE4"/>
    <w:rsid w:val="004A724D"/>
    <w:rsid w:val="004B0889"/>
    <w:rsid w:val="004B1981"/>
    <w:rsid w:val="004B3275"/>
    <w:rsid w:val="004B3451"/>
    <w:rsid w:val="004B3698"/>
    <w:rsid w:val="004B3C45"/>
    <w:rsid w:val="004B5A26"/>
    <w:rsid w:val="004B5DCF"/>
    <w:rsid w:val="004B7E7F"/>
    <w:rsid w:val="004C075B"/>
    <w:rsid w:val="004C0D70"/>
    <w:rsid w:val="004C2737"/>
    <w:rsid w:val="004C2A87"/>
    <w:rsid w:val="004C3D22"/>
    <w:rsid w:val="004C4EB5"/>
    <w:rsid w:val="004C6435"/>
    <w:rsid w:val="004C6C0F"/>
    <w:rsid w:val="004C6E9C"/>
    <w:rsid w:val="004C7323"/>
    <w:rsid w:val="004C7696"/>
    <w:rsid w:val="004D0148"/>
    <w:rsid w:val="004D02E5"/>
    <w:rsid w:val="004D04CF"/>
    <w:rsid w:val="004D1571"/>
    <w:rsid w:val="004D1996"/>
    <w:rsid w:val="004D1BEF"/>
    <w:rsid w:val="004D1DFA"/>
    <w:rsid w:val="004D2772"/>
    <w:rsid w:val="004D3AF3"/>
    <w:rsid w:val="004D4509"/>
    <w:rsid w:val="004D4553"/>
    <w:rsid w:val="004D4976"/>
    <w:rsid w:val="004D508D"/>
    <w:rsid w:val="004D68DC"/>
    <w:rsid w:val="004D6F79"/>
    <w:rsid w:val="004D76BC"/>
    <w:rsid w:val="004D7860"/>
    <w:rsid w:val="004D7D08"/>
    <w:rsid w:val="004E1177"/>
    <w:rsid w:val="004E1566"/>
    <w:rsid w:val="004E1A41"/>
    <w:rsid w:val="004E1BF1"/>
    <w:rsid w:val="004E2443"/>
    <w:rsid w:val="004E2E80"/>
    <w:rsid w:val="004E4906"/>
    <w:rsid w:val="004E58F1"/>
    <w:rsid w:val="004E59E6"/>
    <w:rsid w:val="004E6050"/>
    <w:rsid w:val="004E60C1"/>
    <w:rsid w:val="004E688F"/>
    <w:rsid w:val="004E693F"/>
    <w:rsid w:val="004E7A71"/>
    <w:rsid w:val="004E7F32"/>
    <w:rsid w:val="004F02BE"/>
    <w:rsid w:val="004F067A"/>
    <w:rsid w:val="004F0C36"/>
    <w:rsid w:val="004F24F7"/>
    <w:rsid w:val="004F2569"/>
    <w:rsid w:val="004F342F"/>
    <w:rsid w:val="004F414F"/>
    <w:rsid w:val="004F4886"/>
    <w:rsid w:val="004F4E31"/>
    <w:rsid w:val="004F530D"/>
    <w:rsid w:val="004F5B5C"/>
    <w:rsid w:val="004F60D2"/>
    <w:rsid w:val="004F6540"/>
    <w:rsid w:val="004F6A6B"/>
    <w:rsid w:val="004F721B"/>
    <w:rsid w:val="004F7320"/>
    <w:rsid w:val="004F75CE"/>
    <w:rsid w:val="00500D7A"/>
    <w:rsid w:val="0050115F"/>
    <w:rsid w:val="00501259"/>
    <w:rsid w:val="00502C6D"/>
    <w:rsid w:val="0050315D"/>
    <w:rsid w:val="0050318D"/>
    <w:rsid w:val="005037C5"/>
    <w:rsid w:val="005048DD"/>
    <w:rsid w:val="005048E9"/>
    <w:rsid w:val="005049BA"/>
    <w:rsid w:val="00505976"/>
    <w:rsid w:val="00505ACA"/>
    <w:rsid w:val="00506501"/>
    <w:rsid w:val="00506888"/>
    <w:rsid w:val="00507D89"/>
    <w:rsid w:val="00510318"/>
    <w:rsid w:val="005103CA"/>
    <w:rsid w:val="00510750"/>
    <w:rsid w:val="0051116C"/>
    <w:rsid w:val="005116CF"/>
    <w:rsid w:val="005119B9"/>
    <w:rsid w:val="00512510"/>
    <w:rsid w:val="00512F85"/>
    <w:rsid w:val="00513C6B"/>
    <w:rsid w:val="00513E50"/>
    <w:rsid w:val="005153C3"/>
    <w:rsid w:val="0051543A"/>
    <w:rsid w:val="005155A0"/>
    <w:rsid w:val="00515C56"/>
    <w:rsid w:val="00515FFC"/>
    <w:rsid w:val="005160B7"/>
    <w:rsid w:val="005201F3"/>
    <w:rsid w:val="00520C9C"/>
    <w:rsid w:val="00520D37"/>
    <w:rsid w:val="005218DD"/>
    <w:rsid w:val="005219E8"/>
    <w:rsid w:val="00521B67"/>
    <w:rsid w:val="00521ECD"/>
    <w:rsid w:val="00522FB2"/>
    <w:rsid w:val="0052363D"/>
    <w:rsid w:val="0052399A"/>
    <w:rsid w:val="00523AE7"/>
    <w:rsid w:val="00523CD6"/>
    <w:rsid w:val="00525131"/>
    <w:rsid w:val="00525B7D"/>
    <w:rsid w:val="005260D5"/>
    <w:rsid w:val="00526C09"/>
    <w:rsid w:val="00526C84"/>
    <w:rsid w:val="00527C77"/>
    <w:rsid w:val="00527F1D"/>
    <w:rsid w:val="005307E2"/>
    <w:rsid w:val="005311D0"/>
    <w:rsid w:val="00531764"/>
    <w:rsid w:val="00531C5F"/>
    <w:rsid w:val="00531CC2"/>
    <w:rsid w:val="00531FBA"/>
    <w:rsid w:val="00532036"/>
    <w:rsid w:val="0053213A"/>
    <w:rsid w:val="00533B03"/>
    <w:rsid w:val="00534241"/>
    <w:rsid w:val="00534AD9"/>
    <w:rsid w:val="00534F89"/>
    <w:rsid w:val="00535297"/>
    <w:rsid w:val="0053549F"/>
    <w:rsid w:val="005363A9"/>
    <w:rsid w:val="00536D67"/>
    <w:rsid w:val="00536DC1"/>
    <w:rsid w:val="00536F62"/>
    <w:rsid w:val="0053702E"/>
    <w:rsid w:val="0053717E"/>
    <w:rsid w:val="00537EF3"/>
    <w:rsid w:val="0054023E"/>
    <w:rsid w:val="00540E90"/>
    <w:rsid w:val="005410D2"/>
    <w:rsid w:val="0054138F"/>
    <w:rsid w:val="005413B5"/>
    <w:rsid w:val="005417C8"/>
    <w:rsid w:val="0054210B"/>
    <w:rsid w:val="005422F7"/>
    <w:rsid w:val="00542E5C"/>
    <w:rsid w:val="005430CA"/>
    <w:rsid w:val="00543730"/>
    <w:rsid w:val="00543D37"/>
    <w:rsid w:val="005447CC"/>
    <w:rsid w:val="005449D6"/>
    <w:rsid w:val="00544B44"/>
    <w:rsid w:val="00545366"/>
    <w:rsid w:val="005458EE"/>
    <w:rsid w:val="00545B73"/>
    <w:rsid w:val="005462CF"/>
    <w:rsid w:val="00547007"/>
    <w:rsid w:val="00547082"/>
    <w:rsid w:val="0054773E"/>
    <w:rsid w:val="00547D56"/>
    <w:rsid w:val="00550A4C"/>
    <w:rsid w:val="00551275"/>
    <w:rsid w:val="00551592"/>
    <w:rsid w:val="0055283E"/>
    <w:rsid w:val="00552A61"/>
    <w:rsid w:val="00553379"/>
    <w:rsid w:val="005540B3"/>
    <w:rsid w:val="00554346"/>
    <w:rsid w:val="00554896"/>
    <w:rsid w:val="0055518C"/>
    <w:rsid w:val="005559BF"/>
    <w:rsid w:val="0055664D"/>
    <w:rsid w:val="00556A4B"/>
    <w:rsid w:val="0055731C"/>
    <w:rsid w:val="00557377"/>
    <w:rsid w:val="0056059D"/>
    <w:rsid w:val="00562AF4"/>
    <w:rsid w:val="00564A36"/>
    <w:rsid w:val="005654CF"/>
    <w:rsid w:val="00565EE6"/>
    <w:rsid w:val="0056605B"/>
    <w:rsid w:val="0056647E"/>
    <w:rsid w:val="00566BB4"/>
    <w:rsid w:val="00566C77"/>
    <w:rsid w:val="00567985"/>
    <w:rsid w:val="005719DF"/>
    <w:rsid w:val="005724F5"/>
    <w:rsid w:val="00573547"/>
    <w:rsid w:val="00573D4F"/>
    <w:rsid w:val="005749EA"/>
    <w:rsid w:val="00575674"/>
    <w:rsid w:val="00575969"/>
    <w:rsid w:val="00576263"/>
    <w:rsid w:val="005767A5"/>
    <w:rsid w:val="0057792E"/>
    <w:rsid w:val="00577AEC"/>
    <w:rsid w:val="00580219"/>
    <w:rsid w:val="005811F0"/>
    <w:rsid w:val="00581863"/>
    <w:rsid w:val="005820C6"/>
    <w:rsid w:val="00582601"/>
    <w:rsid w:val="005827A9"/>
    <w:rsid w:val="00582D4B"/>
    <w:rsid w:val="005842FB"/>
    <w:rsid w:val="005845FF"/>
    <w:rsid w:val="00584B5A"/>
    <w:rsid w:val="00584D09"/>
    <w:rsid w:val="005851DE"/>
    <w:rsid w:val="00585C21"/>
    <w:rsid w:val="005861DD"/>
    <w:rsid w:val="00587538"/>
    <w:rsid w:val="005879A5"/>
    <w:rsid w:val="00587CC5"/>
    <w:rsid w:val="00587FA0"/>
    <w:rsid w:val="00590379"/>
    <w:rsid w:val="00590980"/>
    <w:rsid w:val="00591015"/>
    <w:rsid w:val="00591556"/>
    <w:rsid w:val="00592381"/>
    <w:rsid w:val="00593524"/>
    <w:rsid w:val="005944D5"/>
    <w:rsid w:val="005944FE"/>
    <w:rsid w:val="00594D82"/>
    <w:rsid w:val="005957C6"/>
    <w:rsid w:val="005961B9"/>
    <w:rsid w:val="005962C7"/>
    <w:rsid w:val="00596527"/>
    <w:rsid w:val="0059662F"/>
    <w:rsid w:val="005975DA"/>
    <w:rsid w:val="00597A54"/>
    <w:rsid w:val="005A0A82"/>
    <w:rsid w:val="005A0B2B"/>
    <w:rsid w:val="005A205C"/>
    <w:rsid w:val="005A2243"/>
    <w:rsid w:val="005A2D13"/>
    <w:rsid w:val="005A44D5"/>
    <w:rsid w:val="005A506E"/>
    <w:rsid w:val="005A53DA"/>
    <w:rsid w:val="005A614A"/>
    <w:rsid w:val="005A6770"/>
    <w:rsid w:val="005A6831"/>
    <w:rsid w:val="005B0242"/>
    <w:rsid w:val="005B027B"/>
    <w:rsid w:val="005B03DF"/>
    <w:rsid w:val="005B04E2"/>
    <w:rsid w:val="005B0DFE"/>
    <w:rsid w:val="005B1317"/>
    <w:rsid w:val="005B15FC"/>
    <w:rsid w:val="005B1763"/>
    <w:rsid w:val="005B2474"/>
    <w:rsid w:val="005B318F"/>
    <w:rsid w:val="005B3950"/>
    <w:rsid w:val="005B3D0F"/>
    <w:rsid w:val="005B4192"/>
    <w:rsid w:val="005B43D0"/>
    <w:rsid w:val="005B44A2"/>
    <w:rsid w:val="005B4A75"/>
    <w:rsid w:val="005B64DA"/>
    <w:rsid w:val="005B69DC"/>
    <w:rsid w:val="005B711B"/>
    <w:rsid w:val="005B748E"/>
    <w:rsid w:val="005C0C96"/>
    <w:rsid w:val="005C1133"/>
    <w:rsid w:val="005C14A0"/>
    <w:rsid w:val="005C14E4"/>
    <w:rsid w:val="005C41C1"/>
    <w:rsid w:val="005C4A2D"/>
    <w:rsid w:val="005C6AC9"/>
    <w:rsid w:val="005C78CB"/>
    <w:rsid w:val="005D0080"/>
    <w:rsid w:val="005D029B"/>
    <w:rsid w:val="005D0720"/>
    <w:rsid w:val="005D08AD"/>
    <w:rsid w:val="005D0CBC"/>
    <w:rsid w:val="005D0F1B"/>
    <w:rsid w:val="005D15EB"/>
    <w:rsid w:val="005D16E2"/>
    <w:rsid w:val="005D217B"/>
    <w:rsid w:val="005D234A"/>
    <w:rsid w:val="005D292E"/>
    <w:rsid w:val="005D2DF7"/>
    <w:rsid w:val="005D473B"/>
    <w:rsid w:val="005D5236"/>
    <w:rsid w:val="005D597F"/>
    <w:rsid w:val="005D5AC7"/>
    <w:rsid w:val="005D5E3F"/>
    <w:rsid w:val="005D658A"/>
    <w:rsid w:val="005D67ED"/>
    <w:rsid w:val="005D6DB3"/>
    <w:rsid w:val="005D6EEE"/>
    <w:rsid w:val="005D7D78"/>
    <w:rsid w:val="005E07B3"/>
    <w:rsid w:val="005E0AF1"/>
    <w:rsid w:val="005E0E5D"/>
    <w:rsid w:val="005E0F7E"/>
    <w:rsid w:val="005E111A"/>
    <w:rsid w:val="005E1CA7"/>
    <w:rsid w:val="005E21FC"/>
    <w:rsid w:val="005E2339"/>
    <w:rsid w:val="005E2793"/>
    <w:rsid w:val="005E27AC"/>
    <w:rsid w:val="005E33B2"/>
    <w:rsid w:val="005E3871"/>
    <w:rsid w:val="005E3C96"/>
    <w:rsid w:val="005E40D7"/>
    <w:rsid w:val="005E47CC"/>
    <w:rsid w:val="005E4DF1"/>
    <w:rsid w:val="005E52F9"/>
    <w:rsid w:val="005E55BC"/>
    <w:rsid w:val="005E7DE9"/>
    <w:rsid w:val="005E7EF6"/>
    <w:rsid w:val="005F021A"/>
    <w:rsid w:val="005F087A"/>
    <w:rsid w:val="005F0A29"/>
    <w:rsid w:val="005F144E"/>
    <w:rsid w:val="005F1F9E"/>
    <w:rsid w:val="005F2199"/>
    <w:rsid w:val="005F231B"/>
    <w:rsid w:val="005F3A63"/>
    <w:rsid w:val="005F3C1B"/>
    <w:rsid w:val="005F3D50"/>
    <w:rsid w:val="005F3E59"/>
    <w:rsid w:val="005F4387"/>
    <w:rsid w:val="005F4438"/>
    <w:rsid w:val="005F5833"/>
    <w:rsid w:val="005F5A83"/>
    <w:rsid w:val="005F6692"/>
    <w:rsid w:val="005F7316"/>
    <w:rsid w:val="00600233"/>
    <w:rsid w:val="00600FA2"/>
    <w:rsid w:val="00601D8E"/>
    <w:rsid w:val="00602EF9"/>
    <w:rsid w:val="00603E59"/>
    <w:rsid w:val="0060421C"/>
    <w:rsid w:val="006050D9"/>
    <w:rsid w:val="0060651F"/>
    <w:rsid w:val="00606B3E"/>
    <w:rsid w:val="006107E7"/>
    <w:rsid w:val="00610C77"/>
    <w:rsid w:val="006115E9"/>
    <w:rsid w:val="00611D27"/>
    <w:rsid w:val="00611F07"/>
    <w:rsid w:val="00611FB3"/>
    <w:rsid w:val="00612744"/>
    <w:rsid w:val="0061286E"/>
    <w:rsid w:val="00612F02"/>
    <w:rsid w:val="00613079"/>
    <w:rsid w:val="00613868"/>
    <w:rsid w:val="00613A3C"/>
    <w:rsid w:val="00613D91"/>
    <w:rsid w:val="006143FA"/>
    <w:rsid w:val="00615CC5"/>
    <w:rsid w:val="006168F8"/>
    <w:rsid w:val="0061778E"/>
    <w:rsid w:val="006178A2"/>
    <w:rsid w:val="00617DFD"/>
    <w:rsid w:val="00621C23"/>
    <w:rsid w:val="00621F52"/>
    <w:rsid w:val="00621FD6"/>
    <w:rsid w:val="006232DC"/>
    <w:rsid w:val="006233C2"/>
    <w:rsid w:val="0062390B"/>
    <w:rsid w:val="006243B3"/>
    <w:rsid w:val="00624660"/>
    <w:rsid w:val="00624C04"/>
    <w:rsid w:val="00624FD7"/>
    <w:rsid w:val="006252A2"/>
    <w:rsid w:val="006253B3"/>
    <w:rsid w:val="006254D3"/>
    <w:rsid w:val="00626407"/>
    <w:rsid w:val="00626816"/>
    <w:rsid w:val="00626A94"/>
    <w:rsid w:val="00626AA7"/>
    <w:rsid w:val="00630E22"/>
    <w:rsid w:val="00631415"/>
    <w:rsid w:val="006314F1"/>
    <w:rsid w:val="00631C06"/>
    <w:rsid w:val="00632116"/>
    <w:rsid w:val="006327B4"/>
    <w:rsid w:val="00634AFE"/>
    <w:rsid w:val="006359BC"/>
    <w:rsid w:val="00635BB1"/>
    <w:rsid w:val="00635D72"/>
    <w:rsid w:val="00635E7A"/>
    <w:rsid w:val="0063786F"/>
    <w:rsid w:val="006379FB"/>
    <w:rsid w:val="00637E9B"/>
    <w:rsid w:val="006405D5"/>
    <w:rsid w:val="00640B70"/>
    <w:rsid w:val="00641802"/>
    <w:rsid w:val="00641880"/>
    <w:rsid w:val="00641FF4"/>
    <w:rsid w:val="0064367A"/>
    <w:rsid w:val="00643F71"/>
    <w:rsid w:val="00644250"/>
    <w:rsid w:val="00644900"/>
    <w:rsid w:val="00645B5B"/>
    <w:rsid w:val="00645CEA"/>
    <w:rsid w:val="00647678"/>
    <w:rsid w:val="006476C9"/>
    <w:rsid w:val="00647C00"/>
    <w:rsid w:val="0065059E"/>
    <w:rsid w:val="0065072E"/>
    <w:rsid w:val="00651940"/>
    <w:rsid w:val="00651CA2"/>
    <w:rsid w:val="00653653"/>
    <w:rsid w:val="0065379C"/>
    <w:rsid w:val="00654009"/>
    <w:rsid w:val="00655C8A"/>
    <w:rsid w:val="0065628F"/>
    <w:rsid w:val="00662AE7"/>
    <w:rsid w:val="00663097"/>
    <w:rsid w:val="00663280"/>
    <w:rsid w:val="00663890"/>
    <w:rsid w:val="006648A4"/>
    <w:rsid w:val="00664CDE"/>
    <w:rsid w:val="00664F00"/>
    <w:rsid w:val="00665070"/>
    <w:rsid w:val="00665110"/>
    <w:rsid w:val="00665133"/>
    <w:rsid w:val="00665140"/>
    <w:rsid w:val="00665C7E"/>
    <w:rsid w:val="006662B3"/>
    <w:rsid w:val="006665E3"/>
    <w:rsid w:val="00666959"/>
    <w:rsid w:val="006671E6"/>
    <w:rsid w:val="00667394"/>
    <w:rsid w:val="00670D53"/>
    <w:rsid w:val="0067114E"/>
    <w:rsid w:val="00671511"/>
    <w:rsid w:val="00672242"/>
    <w:rsid w:val="00672380"/>
    <w:rsid w:val="0067242E"/>
    <w:rsid w:val="0067355D"/>
    <w:rsid w:val="00674261"/>
    <w:rsid w:val="006742E3"/>
    <w:rsid w:val="0067483E"/>
    <w:rsid w:val="00675797"/>
    <w:rsid w:val="0067586F"/>
    <w:rsid w:val="00675FB9"/>
    <w:rsid w:val="00676219"/>
    <w:rsid w:val="00676968"/>
    <w:rsid w:val="00677041"/>
    <w:rsid w:val="006778C4"/>
    <w:rsid w:val="006779C4"/>
    <w:rsid w:val="0068033A"/>
    <w:rsid w:val="00680ED9"/>
    <w:rsid w:val="00682749"/>
    <w:rsid w:val="0068376A"/>
    <w:rsid w:val="00683C58"/>
    <w:rsid w:val="00683DD8"/>
    <w:rsid w:val="006857AF"/>
    <w:rsid w:val="00685EEC"/>
    <w:rsid w:val="00686051"/>
    <w:rsid w:val="0068606E"/>
    <w:rsid w:val="00686D1D"/>
    <w:rsid w:val="00686FB1"/>
    <w:rsid w:val="006902C7"/>
    <w:rsid w:val="00691566"/>
    <w:rsid w:val="006916F3"/>
    <w:rsid w:val="0069209E"/>
    <w:rsid w:val="0069243E"/>
    <w:rsid w:val="006925C1"/>
    <w:rsid w:val="006926E1"/>
    <w:rsid w:val="00692BAC"/>
    <w:rsid w:val="00693983"/>
    <w:rsid w:val="006939CC"/>
    <w:rsid w:val="00693A41"/>
    <w:rsid w:val="00693B1B"/>
    <w:rsid w:val="00694188"/>
    <w:rsid w:val="00695E4A"/>
    <w:rsid w:val="006966D6"/>
    <w:rsid w:val="0069726E"/>
    <w:rsid w:val="006973ED"/>
    <w:rsid w:val="00697423"/>
    <w:rsid w:val="006A0136"/>
    <w:rsid w:val="006A3732"/>
    <w:rsid w:val="006A39A7"/>
    <w:rsid w:val="006A45D3"/>
    <w:rsid w:val="006A4B7A"/>
    <w:rsid w:val="006A4BE4"/>
    <w:rsid w:val="006A57DF"/>
    <w:rsid w:val="006A628D"/>
    <w:rsid w:val="006A64FE"/>
    <w:rsid w:val="006A6538"/>
    <w:rsid w:val="006A6619"/>
    <w:rsid w:val="006A6FF3"/>
    <w:rsid w:val="006A70CD"/>
    <w:rsid w:val="006A7236"/>
    <w:rsid w:val="006A7249"/>
    <w:rsid w:val="006A75C8"/>
    <w:rsid w:val="006B07E4"/>
    <w:rsid w:val="006B0854"/>
    <w:rsid w:val="006B0EDC"/>
    <w:rsid w:val="006B10DD"/>
    <w:rsid w:val="006B11BC"/>
    <w:rsid w:val="006B1BE4"/>
    <w:rsid w:val="006B1D19"/>
    <w:rsid w:val="006B1EB1"/>
    <w:rsid w:val="006B2BBF"/>
    <w:rsid w:val="006B2F16"/>
    <w:rsid w:val="006B2F89"/>
    <w:rsid w:val="006B3797"/>
    <w:rsid w:val="006B392D"/>
    <w:rsid w:val="006B3E32"/>
    <w:rsid w:val="006B4B24"/>
    <w:rsid w:val="006B4BF2"/>
    <w:rsid w:val="006B4DCE"/>
    <w:rsid w:val="006B5400"/>
    <w:rsid w:val="006B5B6D"/>
    <w:rsid w:val="006B676A"/>
    <w:rsid w:val="006B7524"/>
    <w:rsid w:val="006B78B8"/>
    <w:rsid w:val="006B7C8E"/>
    <w:rsid w:val="006B7F2E"/>
    <w:rsid w:val="006C01CB"/>
    <w:rsid w:val="006C0B92"/>
    <w:rsid w:val="006C0D2E"/>
    <w:rsid w:val="006C12B9"/>
    <w:rsid w:val="006C158C"/>
    <w:rsid w:val="006C2691"/>
    <w:rsid w:val="006C2A70"/>
    <w:rsid w:val="006C2FDE"/>
    <w:rsid w:val="006C3076"/>
    <w:rsid w:val="006C3892"/>
    <w:rsid w:val="006C3D64"/>
    <w:rsid w:val="006C4C00"/>
    <w:rsid w:val="006C5855"/>
    <w:rsid w:val="006C58CE"/>
    <w:rsid w:val="006C65FE"/>
    <w:rsid w:val="006C66A6"/>
    <w:rsid w:val="006C67B0"/>
    <w:rsid w:val="006C6EB0"/>
    <w:rsid w:val="006C7364"/>
    <w:rsid w:val="006C7FF8"/>
    <w:rsid w:val="006D02A0"/>
    <w:rsid w:val="006D0341"/>
    <w:rsid w:val="006D03DA"/>
    <w:rsid w:val="006D267C"/>
    <w:rsid w:val="006D4066"/>
    <w:rsid w:val="006D479A"/>
    <w:rsid w:val="006D5B6E"/>
    <w:rsid w:val="006D5C2E"/>
    <w:rsid w:val="006D5DD4"/>
    <w:rsid w:val="006D63EA"/>
    <w:rsid w:val="006D6791"/>
    <w:rsid w:val="006D7146"/>
    <w:rsid w:val="006D759B"/>
    <w:rsid w:val="006D7812"/>
    <w:rsid w:val="006D7E35"/>
    <w:rsid w:val="006E0C56"/>
    <w:rsid w:val="006E2097"/>
    <w:rsid w:val="006E2671"/>
    <w:rsid w:val="006E2C2D"/>
    <w:rsid w:val="006E31A9"/>
    <w:rsid w:val="006E3394"/>
    <w:rsid w:val="006E4A0D"/>
    <w:rsid w:val="006E6A29"/>
    <w:rsid w:val="006E6B99"/>
    <w:rsid w:val="006E7295"/>
    <w:rsid w:val="006E77E9"/>
    <w:rsid w:val="006E798C"/>
    <w:rsid w:val="006F0149"/>
    <w:rsid w:val="006F02AC"/>
    <w:rsid w:val="006F06F6"/>
    <w:rsid w:val="006F0C32"/>
    <w:rsid w:val="006F1CDE"/>
    <w:rsid w:val="006F2CC0"/>
    <w:rsid w:val="006F2EE5"/>
    <w:rsid w:val="006F36C8"/>
    <w:rsid w:val="006F3E32"/>
    <w:rsid w:val="006F405B"/>
    <w:rsid w:val="006F5DAE"/>
    <w:rsid w:val="006F6890"/>
    <w:rsid w:val="006F765E"/>
    <w:rsid w:val="00700F0C"/>
    <w:rsid w:val="0070102C"/>
    <w:rsid w:val="007018F4"/>
    <w:rsid w:val="007033FA"/>
    <w:rsid w:val="007034D5"/>
    <w:rsid w:val="0070388E"/>
    <w:rsid w:val="00704A55"/>
    <w:rsid w:val="007057CB"/>
    <w:rsid w:val="007060ED"/>
    <w:rsid w:val="0070642D"/>
    <w:rsid w:val="00706A5E"/>
    <w:rsid w:val="007073D9"/>
    <w:rsid w:val="00710239"/>
    <w:rsid w:val="00710A24"/>
    <w:rsid w:val="00711849"/>
    <w:rsid w:val="00712AFF"/>
    <w:rsid w:val="00712FDC"/>
    <w:rsid w:val="0071307C"/>
    <w:rsid w:val="00713D96"/>
    <w:rsid w:val="00714381"/>
    <w:rsid w:val="00714A1C"/>
    <w:rsid w:val="00716EF8"/>
    <w:rsid w:val="00717C12"/>
    <w:rsid w:val="007212B6"/>
    <w:rsid w:val="007222F7"/>
    <w:rsid w:val="007226EF"/>
    <w:rsid w:val="007228EF"/>
    <w:rsid w:val="0072454A"/>
    <w:rsid w:val="00724576"/>
    <w:rsid w:val="007246BB"/>
    <w:rsid w:val="00726732"/>
    <w:rsid w:val="0072676D"/>
    <w:rsid w:val="00726E0A"/>
    <w:rsid w:val="00726E9E"/>
    <w:rsid w:val="0072754F"/>
    <w:rsid w:val="00727D9C"/>
    <w:rsid w:val="007301AD"/>
    <w:rsid w:val="007319EB"/>
    <w:rsid w:val="007326F3"/>
    <w:rsid w:val="007329A2"/>
    <w:rsid w:val="00732AD6"/>
    <w:rsid w:val="00732BCC"/>
    <w:rsid w:val="00733631"/>
    <w:rsid w:val="007336A9"/>
    <w:rsid w:val="00733A41"/>
    <w:rsid w:val="00733BF3"/>
    <w:rsid w:val="007340AC"/>
    <w:rsid w:val="0073439F"/>
    <w:rsid w:val="00734BF6"/>
    <w:rsid w:val="00735017"/>
    <w:rsid w:val="00736030"/>
    <w:rsid w:val="00736430"/>
    <w:rsid w:val="0073668C"/>
    <w:rsid w:val="007372E4"/>
    <w:rsid w:val="007407C1"/>
    <w:rsid w:val="00740DF5"/>
    <w:rsid w:val="0074198A"/>
    <w:rsid w:val="00742C11"/>
    <w:rsid w:val="0074341B"/>
    <w:rsid w:val="00743426"/>
    <w:rsid w:val="0074452B"/>
    <w:rsid w:val="007448C4"/>
    <w:rsid w:val="0074553E"/>
    <w:rsid w:val="00745974"/>
    <w:rsid w:val="00745A63"/>
    <w:rsid w:val="00745F67"/>
    <w:rsid w:val="007464B9"/>
    <w:rsid w:val="0074700D"/>
    <w:rsid w:val="0074741D"/>
    <w:rsid w:val="007474C5"/>
    <w:rsid w:val="00747A86"/>
    <w:rsid w:val="007504B9"/>
    <w:rsid w:val="00751148"/>
    <w:rsid w:val="0075162B"/>
    <w:rsid w:val="00751B39"/>
    <w:rsid w:val="00752FED"/>
    <w:rsid w:val="0075389D"/>
    <w:rsid w:val="00753C2F"/>
    <w:rsid w:val="0075436E"/>
    <w:rsid w:val="00755981"/>
    <w:rsid w:val="00755C7F"/>
    <w:rsid w:val="00755F1C"/>
    <w:rsid w:val="007568FE"/>
    <w:rsid w:val="00756A4D"/>
    <w:rsid w:val="00757226"/>
    <w:rsid w:val="0076113B"/>
    <w:rsid w:val="007616EE"/>
    <w:rsid w:val="007617D9"/>
    <w:rsid w:val="00761B6E"/>
    <w:rsid w:val="00761FD8"/>
    <w:rsid w:val="00762FA9"/>
    <w:rsid w:val="0076337C"/>
    <w:rsid w:val="00763744"/>
    <w:rsid w:val="007645A8"/>
    <w:rsid w:val="007654B8"/>
    <w:rsid w:val="007654EA"/>
    <w:rsid w:val="00765BF5"/>
    <w:rsid w:val="00766099"/>
    <w:rsid w:val="007664A2"/>
    <w:rsid w:val="00767678"/>
    <w:rsid w:val="007678A6"/>
    <w:rsid w:val="007678D8"/>
    <w:rsid w:val="00767FEC"/>
    <w:rsid w:val="00770891"/>
    <w:rsid w:val="0077102C"/>
    <w:rsid w:val="007714DE"/>
    <w:rsid w:val="00771EAD"/>
    <w:rsid w:val="00772217"/>
    <w:rsid w:val="007725AD"/>
    <w:rsid w:val="00772D5C"/>
    <w:rsid w:val="00773927"/>
    <w:rsid w:val="00774CCF"/>
    <w:rsid w:val="007762C6"/>
    <w:rsid w:val="0077767B"/>
    <w:rsid w:val="007777B8"/>
    <w:rsid w:val="00777D3D"/>
    <w:rsid w:val="007800A6"/>
    <w:rsid w:val="00780F86"/>
    <w:rsid w:val="007816E1"/>
    <w:rsid w:val="00781781"/>
    <w:rsid w:val="0078357C"/>
    <w:rsid w:val="00783AFE"/>
    <w:rsid w:val="00783EA5"/>
    <w:rsid w:val="00783EF8"/>
    <w:rsid w:val="0078484C"/>
    <w:rsid w:val="007848EF"/>
    <w:rsid w:val="00784A05"/>
    <w:rsid w:val="00785ECC"/>
    <w:rsid w:val="00787E50"/>
    <w:rsid w:val="00787F31"/>
    <w:rsid w:val="00790614"/>
    <w:rsid w:val="00791935"/>
    <w:rsid w:val="007945D5"/>
    <w:rsid w:val="00795AA3"/>
    <w:rsid w:val="007979E8"/>
    <w:rsid w:val="00797E21"/>
    <w:rsid w:val="007A0B41"/>
    <w:rsid w:val="007A1671"/>
    <w:rsid w:val="007A2649"/>
    <w:rsid w:val="007A32F9"/>
    <w:rsid w:val="007A3468"/>
    <w:rsid w:val="007A3646"/>
    <w:rsid w:val="007A4389"/>
    <w:rsid w:val="007A4661"/>
    <w:rsid w:val="007A5672"/>
    <w:rsid w:val="007A6F48"/>
    <w:rsid w:val="007B1378"/>
    <w:rsid w:val="007B2402"/>
    <w:rsid w:val="007B276E"/>
    <w:rsid w:val="007B2931"/>
    <w:rsid w:val="007B2FA7"/>
    <w:rsid w:val="007B3DD0"/>
    <w:rsid w:val="007B4E70"/>
    <w:rsid w:val="007B5901"/>
    <w:rsid w:val="007B5C25"/>
    <w:rsid w:val="007B6548"/>
    <w:rsid w:val="007B7662"/>
    <w:rsid w:val="007B7FA2"/>
    <w:rsid w:val="007C08F7"/>
    <w:rsid w:val="007C1128"/>
    <w:rsid w:val="007C1675"/>
    <w:rsid w:val="007C1810"/>
    <w:rsid w:val="007C25AE"/>
    <w:rsid w:val="007C2867"/>
    <w:rsid w:val="007C2EBF"/>
    <w:rsid w:val="007C3CC8"/>
    <w:rsid w:val="007C4023"/>
    <w:rsid w:val="007C4C99"/>
    <w:rsid w:val="007C4DE8"/>
    <w:rsid w:val="007C5402"/>
    <w:rsid w:val="007C5E3D"/>
    <w:rsid w:val="007C6684"/>
    <w:rsid w:val="007C69B9"/>
    <w:rsid w:val="007C6A81"/>
    <w:rsid w:val="007C7D1D"/>
    <w:rsid w:val="007C7F4B"/>
    <w:rsid w:val="007D03EE"/>
    <w:rsid w:val="007D0AD7"/>
    <w:rsid w:val="007D0E02"/>
    <w:rsid w:val="007D1D1E"/>
    <w:rsid w:val="007D23CC"/>
    <w:rsid w:val="007D3058"/>
    <w:rsid w:val="007D3B10"/>
    <w:rsid w:val="007D3C7D"/>
    <w:rsid w:val="007D462D"/>
    <w:rsid w:val="007D46FC"/>
    <w:rsid w:val="007D4903"/>
    <w:rsid w:val="007D54BD"/>
    <w:rsid w:val="007D5963"/>
    <w:rsid w:val="007D5C66"/>
    <w:rsid w:val="007D5FE7"/>
    <w:rsid w:val="007D7772"/>
    <w:rsid w:val="007D7FD1"/>
    <w:rsid w:val="007E05CA"/>
    <w:rsid w:val="007E0BDA"/>
    <w:rsid w:val="007E22E4"/>
    <w:rsid w:val="007E25AD"/>
    <w:rsid w:val="007E25EB"/>
    <w:rsid w:val="007E312D"/>
    <w:rsid w:val="007E3AF4"/>
    <w:rsid w:val="007E3EAD"/>
    <w:rsid w:val="007E42E9"/>
    <w:rsid w:val="007E4880"/>
    <w:rsid w:val="007E4D6E"/>
    <w:rsid w:val="007E4EFC"/>
    <w:rsid w:val="007E52F9"/>
    <w:rsid w:val="007E5594"/>
    <w:rsid w:val="007E5858"/>
    <w:rsid w:val="007E5BA9"/>
    <w:rsid w:val="007E637C"/>
    <w:rsid w:val="007E6A18"/>
    <w:rsid w:val="007E6DD6"/>
    <w:rsid w:val="007E72DE"/>
    <w:rsid w:val="007F09F4"/>
    <w:rsid w:val="007F1364"/>
    <w:rsid w:val="007F3BAA"/>
    <w:rsid w:val="007F47C9"/>
    <w:rsid w:val="007F4838"/>
    <w:rsid w:val="007F4A04"/>
    <w:rsid w:val="007F5BDF"/>
    <w:rsid w:val="007F647C"/>
    <w:rsid w:val="007F693F"/>
    <w:rsid w:val="007F6F6D"/>
    <w:rsid w:val="007F74C1"/>
    <w:rsid w:val="008002E4"/>
    <w:rsid w:val="0080041B"/>
    <w:rsid w:val="008009C7"/>
    <w:rsid w:val="00800A0B"/>
    <w:rsid w:val="00800C1E"/>
    <w:rsid w:val="00800FFC"/>
    <w:rsid w:val="00802101"/>
    <w:rsid w:val="008025AC"/>
    <w:rsid w:val="0080275B"/>
    <w:rsid w:val="00802BD8"/>
    <w:rsid w:val="00802F81"/>
    <w:rsid w:val="00803FAC"/>
    <w:rsid w:val="00804E3D"/>
    <w:rsid w:val="00804F0A"/>
    <w:rsid w:val="00804F0F"/>
    <w:rsid w:val="00805079"/>
    <w:rsid w:val="008053A7"/>
    <w:rsid w:val="008062BE"/>
    <w:rsid w:val="00806EFB"/>
    <w:rsid w:val="00806F39"/>
    <w:rsid w:val="00807C6E"/>
    <w:rsid w:val="00810F42"/>
    <w:rsid w:val="00810FD1"/>
    <w:rsid w:val="00811E81"/>
    <w:rsid w:val="008120F6"/>
    <w:rsid w:val="00812759"/>
    <w:rsid w:val="00813446"/>
    <w:rsid w:val="008138A9"/>
    <w:rsid w:val="00813CA8"/>
    <w:rsid w:val="00813E8E"/>
    <w:rsid w:val="008141D7"/>
    <w:rsid w:val="00814574"/>
    <w:rsid w:val="0081496C"/>
    <w:rsid w:val="00816211"/>
    <w:rsid w:val="00817089"/>
    <w:rsid w:val="008218CD"/>
    <w:rsid w:val="00821E00"/>
    <w:rsid w:val="008228B8"/>
    <w:rsid w:val="008230C5"/>
    <w:rsid w:val="0082493A"/>
    <w:rsid w:val="00824C09"/>
    <w:rsid w:val="00824EE3"/>
    <w:rsid w:val="00825299"/>
    <w:rsid w:val="00825328"/>
    <w:rsid w:val="0082535F"/>
    <w:rsid w:val="00826219"/>
    <w:rsid w:val="00827233"/>
    <w:rsid w:val="0082768B"/>
    <w:rsid w:val="008310E9"/>
    <w:rsid w:val="008312AD"/>
    <w:rsid w:val="0083222F"/>
    <w:rsid w:val="008334C2"/>
    <w:rsid w:val="00834C65"/>
    <w:rsid w:val="00834DAA"/>
    <w:rsid w:val="00834F0D"/>
    <w:rsid w:val="00835237"/>
    <w:rsid w:val="0083541D"/>
    <w:rsid w:val="0083595C"/>
    <w:rsid w:val="00835F09"/>
    <w:rsid w:val="0083634B"/>
    <w:rsid w:val="0083708A"/>
    <w:rsid w:val="00840116"/>
    <w:rsid w:val="00840D3F"/>
    <w:rsid w:val="00840DBE"/>
    <w:rsid w:val="008414F8"/>
    <w:rsid w:val="00841D42"/>
    <w:rsid w:val="008420D4"/>
    <w:rsid w:val="00842635"/>
    <w:rsid w:val="00843211"/>
    <w:rsid w:val="00844186"/>
    <w:rsid w:val="00844E7E"/>
    <w:rsid w:val="00844ECF"/>
    <w:rsid w:val="00845A92"/>
    <w:rsid w:val="00845CF6"/>
    <w:rsid w:val="00846541"/>
    <w:rsid w:val="00846D08"/>
    <w:rsid w:val="00846DE6"/>
    <w:rsid w:val="00847523"/>
    <w:rsid w:val="008501CC"/>
    <w:rsid w:val="00850D45"/>
    <w:rsid w:val="008516A6"/>
    <w:rsid w:val="0085217C"/>
    <w:rsid w:val="00852352"/>
    <w:rsid w:val="008523C2"/>
    <w:rsid w:val="0085269A"/>
    <w:rsid w:val="00852BA0"/>
    <w:rsid w:val="008539A7"/>
    <w:rsid w:val="00853A56"/>
    <w:rsid w:val="00855077"/>
    <w:rsid w:val="008553BC"/>
    <w:rsid w:val="0085560B"/>
    <w:rsid w:val="00856069"/>
    <w:rsid w:val="008562F1"/>
    <w:rsid w:val="00856C17"/>
    <w:rsid w:val="00857249"/>
    <w:rsid w:val="00857B0A"/>
    <w:rsid w:val="00857B3D"/>
    <w:rsid w:val="008603AC"/>
    <w:rsid w:val="00860E32"/>
    <w:rsid w:val="00862276"/>
    <w:rsid w:val="008623F8"/>
    <w:rsid w:val="00862BEF"/>
    <w:rsid w:val="00863576"/>
    <w:rsid w:val="00863FC5"/>
    <w:rsid w:val="00863FF7"/>
    <w:rsid w:val="00864BAC"/>
    <w:rsid w:val="00864E69"/>
    <w:rsid w:val="008658AA"/>
    <w:rsid w:val="00865932"/>
    <w:rsid w:val="00866174"/>
    <w:rsid w:val="0086662D"/>
    <w:rsid w:val="008669C1"/>
    <w:rsid w:val="00866B10"/>
    <w:rsid w:val="0086787C"/>
    <w:rsid w:val="0087033F"/>
    <w:rsid w:val="008703C4"/>
    <w:rsid w:val="008708C1"/>
    <w:rsid w:val="00872CFA"/>
    <w:rsid w:val="0087302C"/>
    <w:rsid w:val="0087367C"/>
    <w:rsid w:val="00874271"/>
    <w:rsid w:val="008742E2"/>
    <w:rsid w:val="0087527D"/>
    <w:rsid w:val="00875774"/>
    <w:rsid w:val="00875858"/>
    <w:rsid w:val="00875CF2"/>
    <w:rsid w:val="00876BC7"/>
    <w:rsid w:val="008771D2"/>
    <w:rsid w:val="008775A6"/>
    <w:rsid w:val="008776DA"/>
    <w:rsid w:val="00877A72"/>
    <w:rsid w:val="00877BBA"/>
    <w:rsid w:val="00877C31"/>
    <w:rsid w:val="0088057C"/>
    <w:rsid w:val="0088070C"/>
    <w:rsid w:val="00880D9A"/>
    <w:rsid w:val="00880FD6"/>
    <w:rsid w:val="0088115D"/>
    <w:rsid w:val="00881284"/>
    <w:rsid w:val="008814CC"/>
    <w:rsid w:val="00882EB5"/>
    <w:rsid w:val="00883A35"/>
    <w:rsid w:val="00885A90"/>
    <w:rsid w:val="00885D68"/>
    <w:rsid w:val="00886773"/>
    <w:rsid w:val="00887103"/>
    <w:rsid w:val="00887165"/>
    <w:rsid w:val="00887597"/>
    <w:rsid w:val="00887959"/>
    <w:rsid w:val="0089070A"/>
    <w:rsid w:val="0089090A"/>
    <w:rsid w:val="00890D28"/>
    <w:rsid w:val="008923B8"/>
    <w:rsid w:val="0089337C"/>
    <w:rsid w:val="00893528"/>
    <w:rsid w:val="008945F4"/>
    <w:rsid w:val="008966BC"/>
    <w:rsid w:val="008969AF"/>
    <w:rsid w:val="008A0E83"/>
    <w:rsid w:val="008A1575"/>
    <w:rsid w:val="008A175C"/>
    <w:rsid w:val="008A1A4E"/>
    <w:rsid w:val="008A259A"/>
    <w:rsid w:val="008A3328"/>
    <w:rsid w:val="008A3AF4"/>
    <w:rsid w:val="008A3C68"/>
    <w:rsid w:val="008A3F11"/>
    <w:rsid w:val="008A4131"/>
    <w:rsid w:val="008A4280"/>
    <w:rsid w:val="008A44A2"/>
    <w:rsid w:val="008A4838"/>
    <w:rsid w:val="008A4F3E"/>
    <w:rsid w:val="008A6421"/>
    <w:rsid w:val="008A67BC"/>
    <w:rsid w:val="008A7D7F"/>
    <w:rsid w:val="008B0138"/>
    <w:rsid w:val="008B048D"/>
    <w:rsid w:val="008B2631"/>
    <w:rsid w:val="008B3D24"/>
    <w:rsid w:val="008B4E45"/>
    <w:rsid w:val="008B5BAF"/>
    <w:rsid w:val="008B6477"/>
    <w:rsid w:val="008B753C"/>
    <w:rsid w:val="008B7F46"/>
    <w:rsid w:val="008C06BD"/>
    <w:rsid w:val="008C111A"/>
    <w:rsid w:val="008C11AE"/>
    <w:rsid w:val="008C134B"/>
    <w:rsid w:val="008C1ECD"/>
    <w:rsid w:val="008C28E6"/>
    <w:rsid w:val="008C2FAF"/>
    <w:rsid w:val="008C366B"/>
    <w:rsid w:val="008C48A8"/>
    <w:rsid w:val="008C5B46"/>
    <w:rsid w:val="008C62A9"/>
    <w:rsid w:val="008C63D6"/>
    <w:rsid w:val="008C63DB"/>
    <w:rsid w:val="008C70A1"/>
    <w:rsid w:val="008D0705"/>
    <w:rsid w:val="008D0CE5"/>
    <w:rsid w:val="008D0FA8"/>
    <w:rsid w:val="008D143A"/>
    <w:rsid w:val="008D1ADD"/>
    <w:rsid w:val="008D230C"/>
    <w:rsid w:val="008D2DF1"/>
    <w:rsid w:val="008D36DB"/>
    <w:rsid w:val="008D4094"/>
    <w:rsid w:val="008D4166"/>
    <w:rsid w:val="008D4174"/>
    <w:rsid w:val="008D46D2"/>
    <w:rsid w:val="008D4B4F"/>
    <w:rsid w:val="008D6A9E"/>
    <w:rsid w:val="008D7304"/>
    <w:rsid w:val="008D78F0"/>
    <w:rsid w:val="008D7F41"/>
    <w:rsid w:val="008D7FAF"/>
    <w:rsid w:val="008E05B0"/>
    <w:rsid w:val="008E0C3D"/>
    <w:rsid w:val="008E0D8D"/>
    <w:rsid w:val="008E2295"/>
    <w:rsid w:val="008E24E4"/>
    <w:rsid w:val="008E2B2E"/>
    <w:rsid w:val="008E2D1D"/>
    <w:rsid w:val="008E33D2"/>
    <w:rsid w:val="008E463A"/>
    <w:rsid w:val="008E5A0E"/>
    <w:rsid w:val="008E6109"/>
    <w:rsid w:val="008E610E"/>
    <w:rsid w:val="008E667F"/>
    <w:rsid w:val="008E6D4B"/>
    <w:rsid w:val="008E771A"/>
    <w:rsid w:val="008E77E3"/>
    <w:rsid w:val="008F0535"/>
    <w:rsid w:val="008F0E80"/>
    <w:rsid w:val="008F151F"/>
    <w:rsid w:val="008F18CE"/>
    <w:rsid w:val="008F1AA4"/>
    <w:rsid w:val="008F28BF"/>
    <w:rsid w:val="008F2AB7"/>
    <w:rsid w:val="008F2C43"/>
    <w:rsid w:val="008F2D02"/>
    <w:rsid w:val="008F2FD6"/>
    <w:rsid w:val="008F31DC"/>
    <w:rsid w:val="008F435A"/>
    <w:rsid w:val="008F50E4"/>
    <w:rsid w:val="008F5353"/>
    <w:rsid w:val="008F5413"/>
    <w:rsid w:val="008F5B01"/>
    <w:rsid w:val="008F5BDE"/>
    <w:rsid w:val="008F6291"/>
    <w:rsid w:val="008F63B2"/>
    <w:rsid w:val="008F6D39"/>
    <w:rsid w:val="008F7BF9"/>
    <w:rsid w:val="008F7E93"/>
    <w:rsid w:val="009006D0"/>
    <w:rsid w:val="0090084D"/>
    <w:rsid w:val="00900CDB"/>
    <w:rsid w:val="009023F1"/>
    <w:rsid w:val="009023F5"/>
    <w:rsid w:val="00902DDB"/>
    <w:rsid w:val="009035A4"/>
    <w:rsid w:val="00903B85"/>
    <w:rsid w:val="0090415B"/>
    <w:rsid w:val="00906159"/>
    <w:rsid w:val="0090631E"/>
    <w:rsid w:val="0090646F"/>
    <w:rsid w:val="0090698A"/>
    <w:rsid w:val="0090769B"/>
    <w:rsid w:val="00907B98"/>
    <w:rsid w:val="00907C6B"/>
    <w:rsid w:val="00910195"/>
    <w:rsid w:val="00910335"/>
    <w:rsid w:val="009106A5"/>
    <w:rsid w:val="00912514"/>
    <w:rsid w:val="00912910"/>
    <w:rsid w:val="0091302A"/>
    <w:rsid w:val="00913134"/>
    <w:rsid w:val="00913879"/>
    <w:rsid w:val="009140A9"/>
    <w:rsid w:val="009158EE"/>
    <w:rsid w:val="00915B8D"/>
    <w:rsid w:val="00915BEF"/>
    <w:rsid w:val="009164A3"/>
    <w:rsid w:val="00916646"/>
    <w:rsid w:val="009167DC"/>
    <w:rsid w:val="00916F80"/>
    <w:rsid w:val="0092008F"/>
    <w:rsid w:val="00920C39"/>
    <w:rsid w:val="009212F1"/>
    <w:rsid w:val="009217A2"/>
    <w:rsid w:val="0092215E"/>
    <w:rsid w:val="009226DE"/>
    <w:rsid w:val="009233BF"/>
    <w:rsid w:val="009234A3"/>
    <w:rsid w:val="00923626"/>
    <w:rsid w:val="00923B2C"/>
    <w:rsid w:val="0092403D"/>
    <w:rsid w:val="009241D2"/>
    <w:rsid w:val="00925BD0"/>
    <w:rsid w:val="00927325"/>
    <w:rsid w:val="00927C53"/>
    <w:rsid w:val="0093153E"/>
    <w:rsid w:val="00931A53"/>
    <w:rsid w:val="009333AF"/>
    <w:rsid w:val="00933E07"/>
    <w:rsid w:val="00934204"/>
    <w:rsid w:val="009344AD"/>
    <w:rsid w:val="00934DDC"/>
    <w:rsid w:val="00935551"/>
    <w:rsid w:val="00936D98"/>
    <w:rsid w:val="0093739E"/>
    <w:rsid w:val="0094088B"/>
    <w:rsid w:val="00940A41"/>
    <w:rsid w:val="00940AF2"/>
    <w:rsid w:val="00941B7D"/>
    <w:rsid w:val="00941C8F"/>
    <w:rsid w:val="0094380E"/>
    <w:rsid w:val="0094454B"/>
    <w:rsid w:val="00944B45"/>
    <w:rsid w:val="00944FE1"/>
    <w:rsid w:val="0094509E"/>
    <w:rsid w:val="0094524E"/>
    <w:rsid w:val="0094537A"/>
    <w:rsid w:val="009459BB"/>
    <w:rsid w:val="009464A1"/>
    <w:rsid w:val="00947374"/>
    <w:rsid w:val="00947717"/>
    <w:rsid w:val="00947C70"/>
    <w:rsid w:val="00947D64"/>
    <w:rsid w:val="009502F8"/>
    <w:rsid w:val="00950743"/>
    <w:rsid w:val="00952AE4"/>
    <w:rsid w:val="00953157"/>
    <w:rsid w:val="00953B7C"/>
    <w:rsid w:val="00953EE8"/>
    <w:rsid w:val="009542AD"/>
    <w:rsid w:val="00954A7B"/>
    <w:rsid w:val="009550E9"/>
    <w:rsid w:val="00955E47"/>
    <w:rsid w:val="0095647F"/>
    <w:rsid w:val="009565A4"/>
    <w:rsid w:val="0095677C"/>
    <w:rsid w:val="00956A94"/>
    <w:rsid w:val="009572FF"/>
    <w:rsid w:val="009604D1"/>
    <w:rsid w:val="00960550"/>
    <w:rsid w:val="009609E0"/>
    <w:rsid w:val="00961197"/>
    <w:rsid w:val="0096179E"/>
    <w:rsid w:val="00962A97"/>
    <w:rsid w:val="00962D26"/>
    <w:rsid w:val="00963125"/>
    <w:rsid w:val="009637BF"/>
    <w:rsid w:val="009640B4"/>
    <w:rsid w:val="009640EF"/>
    <w:rsid w:val="00970E82"/>
    <w:rsid w:val="0097190B"/>
    <w:rsid w:val="00971AB5"/>
    <w:rsid w:val="00971ABA"/>
    <w:rsid w:val="00971E05"/>
    <w:rsid w:val="00972103"/>
    <w:rsid w:val="00973244"/>
    <w:rsid w:val="00973A8C"/>
    <w:rsid w:val="009743BF"/>
    <w:rsid w:val="009749D5"/>
    <w:rsid w:val="00975937"/>
    <w:rsid w:val="00975A61"/>
    <w:rsid w:val="00976333"/>
    <w:rsid w:val="0097656D"/>
    <w:rsid w:val="00976846"/>
    <w:rsid w:val="00977670"/>
    <w:rsid w:val="009777FF"/>
    <w:rsid w:val="00977EAE"/>
    <w:rsid w:val="00980880"/>
    <w:rsid w:val="009822F2"/>
    <w:rsid w:val="0098315B"/>
    <w:rsid w:val="00983602"/>
    <w:rsid w:val="00983924"/>
    <w:rsid w:val="00984145"/>
    <w:rsid w:val="009844F1"/>
    <w:rsid w:val="00985175"/>
    <w:rsid w:val="0098569B"/>
    <w:rsid w:val="009858CC"/>
    <w:rsid w:val="00985B0D"/>
    <w:rsid w:val="00985EAF"/>
    <w:rsid w:val="0098755F"/>
    <w:rsid w:val="0099088E"/>
    <w:rsid w:val="00990B97"/>
    <w:rsid w:val="00990C0A"/>
    <w:rsid w:val="00990C1A"/>
    <w:rsid w:val="00992196"/>
    <w:rsid w:val="0099243F"/>
    <w:rsid w:val="00992468"/>
    <w:rsid w:val="009931D8"/>
    <w:rsid w:val="00993215"/>
    <w:rsid w:val="00993470"/>
    <w:rsid w:val="00993807"/>
    <w:rsid w:val="00993A28"/>
    <w:rsid w:val="0099434E"/>
    <w:rsid w:val="00994392"/>
    <w:rsid w:val="009950CF"/>
    <w:rsid w:val="0099582C"/>
    <w:rsid w:val="009A0F10"/>
    <w:rsid w:val="009A22A9"/>
    <w:rsid w:val="009A28D0"/>
    <w:rsid w:val="009A3EAE"/>
    <w:rsid w:val="009A418E"/>
    <w:rsid w:val="009A43A0"/>
    <w:rsid w:val="009A498B"/>
    <w:rsid w:val="009A4BF3"/>
    <w:rsid w:val="009A50E4"/>
    <w:rsid w:val="009A523A"/>
    <w:rsid w:val="009A536A"/>
    <w:rsid w:val="009A5801"/>
    <w:rsid w:val="009A6714"/>
    <w:rsid w:val="009A6FCF"/>
    <w:rsid w:val="009A7778"/>
    <w:rsid w:val="009B0356"/>
    <w:rsid w:val="009B117F"/>
    <w:rsid w:val="009B2F77"/>
    <w:rsid w:val="009B36D1"/>
    <w:rsid w:val="009B3A15"/>
    <w:rsid w:val="009B5B49"/>
    <w:rsid w:val="009B5F95"/>
    <w:rsid w:val="009B6842"/>
    <w:rsid w:val="009B6ABE"/>
    <w:rsid w:val="009B6CC1"/>
    <w:rsid w:val="009B6F24"/>
    <w:rsid w:val="009B712C"/>
    <w:rsid w:val="009C09FF"/>
    <w:rsid w:val="009C0FEB"/>
    <w:rsid w:val="009C16F7"/>
    <w:rsid w:val="009C1FEB"/>
    <w:rsid w:val="009C208D"/>
    <w:rsid w:val="009C25D6"/>
    <w:rsid w:val="009C3F89"/>
    <w:rsid w:val="009C489E"/>
    <w:rsid w:val="009C4BC7"/>
    <w:rsid w:val="009C6439"/>
    <w:rsid w:val="009C6AF8"/>
    <w:rsid w:val="009C7BDE"/>
    <w:rsid w:val="009C7EAE"/>
    <w:rsid w:val="009D0C54"/>
    <w:rsid w:val="009D132C"/>
    <w:rsid w:val="009D1745"/>
    <w:rsid w:val="009D1A29"/>
    <w:rsid w:val="009D281B"/>
    <w:rsid w:val="009D2B9C"/>
    <w:rsid w:val="009D2D8A"/>
    <w:rsid w:val="009D2EFB"/>
    <w:rsid w:val="009D307E"/>
    <w:rsid w:val="009D42CF"/>
    <w:rsid w:val="009D48F9"/>
    <w:rsid w:val="009D4986"/>
    <w:rsid w:val="009D5360"/>
    <w:rsid w:val="009D5B3F"/>
    <w:rsid w:val="009D66C7"/>
    <w:rsid w:val="009D6AA7"/>
    <w:rsid w:val="009E037F"/>
    <w:rsid w:val="009E0718"/>
    <w:rsid w:val="009E0731"/>
    <w:rsid w:val="009E1007"/>
    <w:rsid w:val="009E11DA"/>
    <w:rsid w:val="009E187C"/>
    <w:rsid w:val="009E18AD"/>
    <w:rsid w:val="009E1EBE"/>
    <w:rsid w:val="009E2156"/>
    <w:rsid w:val="009E25CE"/>
    <w:rsid w:val="009E25F0"/>
    <w:rsid w:val="009E2B03"/>
    <w:rsid w:val="009E2DFB"/>
    <w:rsid w:val="009E31AF"/>
    <w:rsid w:val="009E4120"/>
    <w:rsid w:val="009E41DB"/>
    <w:rsid w:val="009E4271"/>
    <w:rsid w:val="009E4425"/>
    <w:rsid w:val="009E44EE"/>
    <w:rsid w:val="009E488E"/>
    <w:rsid w:val="009E48B7"/>
    <w:rsid w:val="009E49E3"/>
    <w:rsid w:val="009E5914"/>
    <w:rsid w:val="009E5AAA"/>
    <w:rsid w:val="009E5CA4"/>
    <w:rsid w:val="009E5DA0"/>
    <w:rsid w:val="009E5ED1"/>
    <w:rsid w:val="009E6E7E"/>
    <w:rsid w:val="009F0294"/>
    <w:rsid w:val="009F0D9B"/>
    <w:rsid w:val="009F2CA0"/>
    <w:rsid w:val="009F3348"/>
    <w:rsid w:val="009F366F"/>
    <w:rsid w:val="009F4693"/>
    <w:rsid w:val="009F5287"/>
    <w:rsid w:val="009F5D5F"/>
    <w:rsid w:val="009F64F9"/>
    <w:rsid w:val="009F6C1F"/>
    <w:rsid w:val="009F6E24"/>
    <w:rsid w:val="009F7401"/>
    <w:rsid w:val="009F79E6"/>
    <w:rsid w:val="009F7A26"/>
    <w:rsid w:val="00A000DE"/>
    <w:rsid w:val="00A01109"/>
    <w:rsid w:val="00A021F9"/>
    <w:rsid w:val="00A032BE"/>
    <w:rsid w:val="00A03334"/>
    <w:rsid w:val="00A03AAE"/>
    <w:rsid w:val="00A03FB6"/>
    <w:rsid w:val="00A04265"/>
    <w:rsid w:val="00A04C7A"/>
    <w:rsid w:val="00A0793B"/>
    <w:rsid w:val="00A11891"/>
    <w:rsid w:val="00A119D5"/>
    <w:rsid w:val="00A11B1D"/>
    <w:rsid w:val="00A12AF1"/>
    <w:rsid w:val="00A13F42"/>
    <w:rsid w:val="00A14625"/>
    <w:rsid w:val="00A14EFB"/>
    <w:rsid w:val="00A1528B"/>
    <w:rsid w:val="00A16520"/>
    <w:rsid w:val="00A17999"/>
    <w:rsid w:val="00A17AA6"/>
    <w:rsid w:val="00A17BA4"/>
    <w:rsid w:val="00A17C84"/>
    <w:rsid w:val="00A20738"/>
    <w:rsid w:val="00A219D8"/>
    <w:rsid w:val="00A22DD2"/>
    <w:rsid w:val="00A22F99"/>
    <w:rsid w:val="00A2373F"/>
    <w:rsid w:val="00A25E39"/>
    <w:rsid w:val="00A26D12"/>
    <w:rsid w:val="00A26EF2"/>
    <w:rsid w:val="00A27640"/>
    <w:rsid w:val="00A27906"/>
    <w:rsid w:val="00A30001"/>
    <w:rsid w:val="00A309DB"/>
    <w:rsid w:val="00A31139"/>
    <w:rsid w:val="00A31568"/>
    <w:rsid w:val="00A32F48"/>
    <w:rsid w:val="00A3353B"/>
    <w:rsid w:val="00A33B93"/>
    <w:rsid w:val="00A340DA"/>
    <w:rsid w:val="00A358CC"/>
    <w:rsid w:val="00A35E6B"/>
    <w:rsid w:val="00A35EE8"/>
    <w:rsid w:val="00A360C3"/>
    <w:rsid w:val="00A365DA"/>
    <w:rsid w:val="00A36810"/>
    <w:rsid w:val="00A36A9D"/>
    <w:rsid w:val="00A36CA5"/>
    <w:rsid w:val="00A36D19"/>
    <w:rsid w:val="00A37D87"/>
    <w:rsid w:val="00A37E71"/>
    <w:rsid w:val="00A37FCB"/>
    <w:rsid w:val="00A40060"/>
    <w:rsid w:val="00A40285"/>
    <w:rsid w:val="00A4095E"/>
    <w:rsid w:val="00A40D51"/>
    <w:rsid w:val="00A40F9F"/>
    <w:rsid w:val="00A40FC6"/>
    <w:rsid w:val="00A41BBA"/>
    <w:rsid w:val="00A41C17"/>
    <w:rsid w:val="00A4212D"/>
    <w:rsid w:val="00A429F9"/>
    <w:rsid w:val="00A43442"/>
    <w:rsid w:val="00A43BF1"/>
    <w:rsid w:val="00A44689"/>
    <w:rsid w:val="00A449F0"/>
    <w:rsid w:val="00A44A41"/>
    <w:rsid w:val="00A456A8"/>
    <w:rsid w:val="00A45F71"/>
    <w:rsid w:val="00A45F7D"/>
    <w:rsid w:val="00A46722"/>
    <w:rsid w:val="00A46A0F"/>
    <w:rsid w:val="00A46FF9"/>
    <w:rsid w:val="00A5003F"/>
    <w:rsid w:val="00A5054F"/>
    <w:rsid w:val="00A50E1E"/>
    <w:rsid w:val="00A510D2"/>
    <w:rsid w:val="00A51141"/>
    <w:rsid w:val="00A51C69"/>
    <w:rsid w:val="00A51EA3"/>
    <w:rsid w:val="00A52D4B"/>
    <w:rsid w:val="00A5349B"/>
    <w:rsid w:val="00A54090"/>
    <w:rsid w:val="00A540E6"/>
    <w:rsid w:val="00A54567"/>
    <w:rsid w:val="00A54D2B"/>
    <w:rsid w:val="00A553A7"/>
    <w:rsid w:val="00A556E5"/>
    <w:rsid w:val="00A5653F"/>
    <w:rsid w:val="00A56A03"/>
    <w:rsid w:val="00A56B3D"/>
    <w:rsid w:val="00A600C3"/>
    <w:rsid w:val="00A604A5"/>
    <w:rsid w:val="00A612FC"/>
    <w:rsid w:val="00A61F9A"/>
    <w:rsid w:val="00A624D3"/>
    <w:rsid w:val="00A62C08"/>
    <w:rsid w:val="00A62CC7"/>
    <w:rsid w:val="00A62E42"/>
    <w:rsid w:val="00A6347E"/>
    <w:rsid w:val="00A63E37"/>
    <w:rsid w:val="00A64797"/>
    <w:rsid w:val="00A64AE7"/>
    <w:rsid w:val="00A650C4"/>
    <w:rsid w:val="00A651C2"/>
    <w:rsid w:val="00A651D4"/>
    <w:rsid w:val="00A65D6C"/>
    <w:rsid w:val="00A65FE6"/>
    <w:rsid w:val="00A66AF2"/>
    <w:rsid w:val="00A66D92"/>
    <w:rsid w:val="00A67352"/>
    <w:rsid w:val="00A6767D"/>
    <w:rsid w:val="00A67A1E"/>
    <w:rsid w:val="00A702F7"/>
    <w:rsid w:val="00A70353"/>
    <w:rsid w:val="00A70B24"/>
    <w:rsid w:val="00A71933"/>
    <w:rsid w:val="00A71C97"/>
    <w:rsid w:val="00A71F52"/>
    <w:rsid w:val="00A72123"/>
    <w:rsid w:val="00A72D9A"/>
    <w:rsid w:val="00A73AAD"/>
    <w:rsid w:val="00A73D6B"/>
    <w:rsid w:val="00A73F37"/>
    <w:rsid w:val="00A74450"/>
    <w:rsid w:val="00A76468"/>
    <w:rsid w:val="00A77FBA"/>
    <w:rsid w:val="00A80335"/>
    <w:rsid w:val="00A80373"/>
    <w:rsid w:val="00A810AB"/>
    <w:rsid w:val="00A81FB7"/>
    <w:rsid w:val="00A82B9F"/>
    <w:rsid w:val="00A82E1A"/>
    <w:rsid w:val="00A83B49"/>
    <w:rsid w:val="00A83BAF"/>
    <w:rsid w:val="00A83D18"/>
    <w:rsid w:val="00A849AB"/>
    <w:rsid w:val="00A85021"/>
    <w:rsid w:val="00A856E8"/>
    <w:rsid w:val="00A85BCE"/>
    <w:rsid w:val="00A868DE"/>
    <w:rsid w:val="00A86E31"/>
    <w:rsid w:val="00A87808"/>
    <w:rsid w:val="00A908D0"/>
    <w:rsid w:val="00A90AD1"/>
    <w:rsid w:val="00A91406"/>
    <w:rsid w:val="00A92223"/>
    <w:rsid w:val="00A939C1"/>
    <w:rsid w:val="00A939EF"/>
    <w:rsid w:val="00A9424E"/>
    <w:rsid w:val="00A94F63"/>
    <w:rsid w:val="00A95AF7"/>
    <w:rsid w:val="00A95BC4"/>
    <w:rsid w:val="00A96133"/>
    <w:rsid w:val="00A9683D"/>
    <w:rsid w:val="00A96F4F"/>
    <w:rsid w:val="00A97A04"/>
    <w:rsid w:val="00A97A97"/>
    <w:rsid w:val="00A97FD7"/>
    <w:rsid w:val="00AA004F"/>
    <w:rsid w:val="00AA135C"/>
    <w:rsid w:val="00AA1EF9"/>
    <w:rsid w:val="00AA3442"/>
    <w:rsid w:val="00AA34D3"/>
    <w:rsid w:val="00AA459C"/>
    <w:rsid w:val="00AA464B"/>
    <w:rsid w:val="00AA5D42"/>
    <w:rsid w:val="00AA5F1E"/>
    <w:rsid w:val="00AA658F"/>
    <w:rsid w:val="00AA679A"/>
    <w:rsid w:val="00AA6973"/>
    <w:rsid w:val="00AA6B04"/>
    <w:rsid w:val="00AA6B7F"/>
    <w:rsid w:val="00AB1140"/>
    <w:rsid w:val="00AB1506"/>
    <w:rsid w:val="00AB1640"/>
    <w:rsid w:val="00AB272A"/>
    <w:rsid w:val="00AB2819"/>
    <w:rsid w:val="00AB2B43"/>
    <w:rsid w:val="00AB367D"/>
    <w:rsid w:val="00AB3B15"/>
    <w:rsid w:val="00AB4540"/>
    <w:rsid w:val="00AB4719"/>
    <w:rsid w:val="00AB4B6A"/>
    <w:rsid w:val="00AB52F4"/>
    <w:rsid w:val="00AB6260"/>
    <w:rsid w:val="00AB6AD0"/>
    <w:rsid w:val="00AB75F2"/>
    <w:rsid w:val="00AB7A1E"/>
    <w:rsid w:val="00AC050E"/>
    <w:rsid w:val="00AC06E8"/>
    <w:rsid w:val="00AC0C74"/>
    <w:rsid w:val="00AC0FAE"/>
    <w:rsid w:val="00AC1820"/>
    <w:rsid w:val="00AC194B"/>
    <w:rsid w:val="00AC21C3"/>
    <w:rsid w:val="00AC21DD"/>
    <w:rsid w:val="00AC2EC1"/>
    <w:rsid w:val="00AC3D25"/>
    <w:rsid w:val="00AC40A3"/>
    <w:rsid w:val="00AC4C61"/>
    <w:rsid w:val="00AC5807"/>
    <w:rsid w:val="00AC5833"/>
    <w:rsid w:val="00AC595C"/>
    <w:rsid w:val="00AC65AD"/>
    <w:rsid w:val="00AC6D83"/>
    <w:rsid w:val="00AC7A50"/>
    <w:rsid w:val="00AD0135"/>
    <w:rsid w:val="00AD14FC"/>
    <w:rsid w:val="00AD1C06"/>
    <w:rsid w:val="00AD1D64"/>
    <w:rsid w:val="00AD1FFC"/>
    <w:rsid w:val="00AD2601"/>
    <w:rsid w:val="00AD27B7"/>
    <w:rsid w:val="00AD3617"/>
    <w:rsid w:val="00AD4374"/>
    <w:rsid w:val="00AD4502"/>
    <w:rsid w:val="00AD4873"/>
    <w:rsid w:val="00AD7CC0"/>
    <w:rsid w:val="00AE1618"/>
    <w:rsid w:val="00AE19DB"/>
    <w:rsid w:val="00AE1A05"/>
    <w:rsid w:val="00AE1F6F"/>
    <w:rsid w:val="00AE346E"/>
    <w:rsid w:val="00AE410D"/>
    <w:rsid w:val="00AE45F6"/>
    <w:rsid w:val="00AE4604"/>
    <w:rsid w:val="00AE4968"/>
    <w:rsid w:val="00AE5B71"/>
    <w:rsid w:val="00AE6695"/>
    <w:rsid w:val="00AE6A2F"/>
    <w:rsid w:val="00AF098D"/>
    <w:rsid w:val="00AF11A9"/>
    <w:rsid w:val="00AF138F"/>
    <w:rsid w:val="00AF1FDC"/>
    <w:rsid w:val="00AF2148"/>
    <w:rsid w:val="00AF23A3"/>
    <w:rsid w:val="00AF44FD"/>
    <w:rsid w:val="00AF4B41"/>
    <w:rsid w:val="00AF52A3"/>
    <w:rsid w:val="00AF6993"/>
    <w:rsid w:val="00AF69BC"/>
    <w:rsid w:val="00AF7386"/>
    <w:rsid w:val="00AF7786"/>
    <w:rsid w:val="00AF7881"/>
    <w:rsid w:val="00B00CF7"/>
    <w:rsid w:val="00B00DC2"/>
    <w:rsid w:val="00B01C1C"/>
    <w:rsid w:val="00B027CA"/>
    <w:rsid w:val="00B028D8"/>
    <w:rsid w:val="00B02B42"/>
    <w:rsid w:val="00B02EE5"/>
    <w:rsid w:val="00B041CF"/>
    <w:rsid w:val="00B041FF"/>
    <w:rsid w:val="00B04339"/>
    <w:rsid w:val="00B04C0F"/>
    <w:rsid w:val="00B05544"/>
    <w:rsid w:val="00B05C7C"/>
    <w:rsid w:val="00B05CC4"/>
    <w:rsid w:val="00B0628E"/>
    <w:rsid w:val="00B0724D"/>
    <w:rsid w:val="00B07ADD"/>
    <w:rsid w:val="00B10489"/>
    <w:rsid w:val="00B1130E"/>
    <w:rsid w:val="00B11336"/>
    <w:rsid w:val="00B113EF"/>
    <w:rsid w:val="00B114F2"/>
    <w:rsid w:val="00B11706"/>
    <w:rsid w:val="00B11BB2"/>
    <w:rsid w:val="00B12792"/>
    <w:rsid w:val="00B12B40"/>
    <w:rsid w:val="00B13AC9"/>
    <w:rsid w:val="00B1412B"/>
    <w:rsid w:val="00B153C4"/>
    <w:rsid w:val="00B1568A"/>
    <w:rsid w:val="00B161AB"/>
    <w:rsid w:val="00B163B9"/>
    <w:rsid w:val="00B16881"/>
    <w:rsid w:val="00B16BB7"/>
    <w:rsid w:val="00B17238"/>
    <w:rsid w:val="00B2003B"/>
    <w:rsid w:val="00B214E4"/>
    <w:rsid w:val="00B2156F"/>
    <w:rsid w:val="00B217B7"/>
    <w:rsid w:val="00B2192D"/>
    <w:rsid w:val="00B2196D"/>
    <w:rsid w:val="00B22057"/>
    <w:rsid w:val="00B223A3"/>
    <w:rsid w:val="00B225AF"/>
    <w:rsid w:val="00B23136"/>
    <w:rsid w:val="00B257B5"/>
    <w:rsid w:val="00B261C1"/>
    <w:rsid w:val="00B26434"/>
    <w:rsid w:val="00B268BF"/>
    <w:rsid w:val="00B26CA2"/>
    <w:rsid w:val="00B270C4"/>
    <w:rsid w:val="00B2765E"/>
    <w:rsid w:val="00B27EE6"/>
    <w:rsid w:val="00B30500"/>
    <w:rsid w:val="00B30592"/>
    <w:rsid w:val="00B3061B"/>
    <w:rsid w:val="00B30905"/>
    <w:rsid w:val="00B310F8"/>
    <w:rsid w:val="00B3119D"/>
    <w:rsid w:val="00B31697"/>
    <w:rsid w:val="00B32435"/>
    <w:rsid w:val="00B32A2F"/>
    <w:rsid w:val="00B32B1B"/>
    <w:rsid w:val="00B33750"/>
    <w:rsid w:val="00B33D58"/>
    <w:rsid w:val="00B3419C"/>
    <w:rsid w:val="00B34B94"/>
    <w:rsid w:val="00B362BA"/>
    <w:rsid w:val="00B36F4E"/>
    <w:rsid w:val="00B37F10"/>
    <w:rsid w:val="00B401BC"/>
    <w:rsid w:val="00B4030F"/>
    <w:rsid w:val="00B404CC"/>
    <w:rsid w:val="00B4063E"/>
    <w:rsid w:val="00B40E0E"/>
    <w:rsid w:val="00B41669"/>
    <w:rsid w:val="00B41AB2"/>
    <w:rsid w:val="00B41D02"/>
    <w:rsid w:val="00B4232A"/>
    <w:rsid w:val="00B43442"/>
    <w:rsid w:val="00B442D5"/>
    <w:rsid w:val="00B44BC7"/>
    <w:rsid w:val="00B44F6C"/>
    <w:rsid w:val="00B45484"/>
    <w:rsid w:val="00B4594E"/>
    <w:rsid w:val="00B45E71"/>
    <w:rsid w:val="00B47F5D"/>
    <w:rsid w:val="00B5114D"/>
    <w:rsid w:val="00B516C7"/>
    <w:rsid w:val="00B5170E"/>
    <w:rsid w:val="00B51CF6"/>
    <w:rsid w:val="00B51DB9"/>
    <w:rsid w:val="00B52C06"/>
    <w:rsid w:val="00B541A0"/>
    <w:rsid w:val="00B56438"/>
    <w:rsid w:val="00B569D7"/>
    <w:rsid w:val="00B56A44"/>
    <w:rsid w:val="00B575CD"/>
    <w:rsid w:val="00B57704"/>
    <w:rsid w:val="00B61D56"/>
    <w:rsid w:val="00B61EBD"/>
    <w:rsid w:val="00B62479"/>
    <w:rsid w:val="00B62FB4"/>
    <w:rsid w:val="00B6349B"/>
    <w:rsid w:val="00B63B5C"/>
    <w:rsid w:val="00B63F04"/>
    <w:rsid w:val="00B649BA"/>
    <w:rsid w:val="00B64CB6"/>
    <w:rsid w:val="00B64DF8"/>
    <w:rsid w:val="00B66332"/>
    <w:rsid w:val="00B66E8B"/>
    <w:rsid w:val="00B67BAF"/>
    <w:rsid w:val="00B71012"/>
    <w:rsid w:val="00B710B7"/>
    <w:rsid w:val="00B711CC"/>
    <w:rsid w:val="00B714E2"/>
    <w:rsid w:val="00B7190C"/>
    <w:rsid w:val="00B71B55"/>
    <w:rsid w:val="00B71EB6"/>
    <w:rsid w:val="00B7238E"/>
    <w:rsid w:val="00B72458"/>
    <w:rsid w:val="00B732C1"/>
    <w:rsid w:val="00B736EA"/>
    <w:rsid w:val="00B73C17"/>
    <w:rsid w:val="00B740F5"/>
    <w:rsid w:val="00B74328"/>
    <w:rsid w:val="00B744F1"/>
    <w:rsid w:val="00B75242"/>
    <w:rsid w:val="00B75F07"/>
    <w:rsid w:val="00B75F5D"/>
    <w:rsid w:val="00B779C4"/>
    <w:rsid w:val="00B77D16"/>
    <w:rsid w:val="00B8035D"/>
    <w:rsid w:val="00B8088D"/>
    <w:rsid w:val="00B80B92"/>
    <w:rsid w:val="00B8120B"/>
    <w:rsid w:val="00B8124B"/>
    <w:rsid w:val="00B81C03"/>
    <w:rsid w:val="00B81C2E"/>
    <w:rsid w:val="00B81E14"/>
    <w:rsid w:val="00B822A1"/>
    <w:rsid w:val="00B82745"/>
    <w:rsid w:val="00B82CCB"/>
    <w:rsid w:val="00B848F9"/>
    <w:rsid w:val="00B853E6"/>
    <w:rsid w:val="00B854AD"/>
    <w:rsid w:val="00B854E5"/>
    <w:rsid w:val="00B8551D"/>
    <w:rsid w:val="00B85BEE"/>
    <w:rsid w:val="00B86346"/>
    <w:rsid w:val="00B86AD3"/>
    <w:rsid w:val="00B86BA3"/>
    <w:rsid w:val="00B86D15"/>
    <w:rsid w:val="00B86E3B"/>
    <w:rsid w:val="00B87263"/>
    <w:rsid w:val="00B87451"/>
    <w:rsid w:val="00B8750D"/>
    <w:rsid w:val="00B87A5F"/>
    <w:rsid w:val="00B87D0B"/>
    <w:rsid w:val="00B909C2"/>
    <w:rsid w:val="00B90BF6"/>
    <w:rsid w:val="00B91C95"/>
    <w:rsid w:val="00B922FB"/>
    <w:rsid w:val="00B928D4"/>
    <w:rsid w:val="00B93249"/>
    <w:rsid w:val="00B935F7"/>
    <w:rsid w:val="00B94447"/>
    <w:rsid w:val="00B948AA"/>
    <w:rsid w:val="00B950EB"/>
    <w:rsid w:val="00B951ED"/>
    <w:rsid w:val="00B953F0"/>
    <w:rsid w:val="00B95948"/>
    <w:rsid w:val="00B96122"/>
    <w:rsid w:val="00B96DF9"/>
    <w:rsid w:val="00B97A5E"/>
    <w:rsid w:val="00BA28EF"/>
    <w:rsid w:val="00BA3216"/>
    <w:rsid w:val="00BA32FA"/>
    <w:rsid w:val="00BA356D"/>
    <w:rsid w:val="00BA3B6D"/>
    <w:rsid w:val="00BA3BAD"/>
    <w:rsid w:val="00BA425B"/>
    <w:rsid w:val="00BA4A7B"/>
    <w:rsid w:val="00BA6358"/>
    <w:rsid w:val="00BA67B0"/>
    <w:rsid w:val="00BA6CF3"/>
    <w:rsid w:val="00BA6D32"/>
    <w:rsid w:val="00BA6FE7"/>
    <w:rsid w:val="00BA7510"/>
    <w:rsid w:val="00BA79D9"/>
    <w:rsid w:val="00BA7CD1"/>
    <w:rsid w:val="00BB08D8"/>
    <w:rsid w:val="00BB0BAC"/>
    <w:rsid w:val="00BB0FD7"/>
    <w:rsid w:val="00BB2BDC"/>
    <w:rsid w:val="00BB3E58"/>
    <w:rsid w:val="00BB407A"/>
    <w:rsid w:val="00BB4A9E"/>
    <w:rsid w:val="00BB58AF"/>
    <w:rsid w:val="00BB600E"/>
    <w:rsid w:val="00BB6625"/>
    <w:rsid w:val="00BB6A31"/>
    <w:rsid w:val="00BB6B6F"/>
    <w:rsid w:val="00BB7CA6"/>
    <w:rsid w:val="00BC062B"/>
    <w:rsid w:val="00BC06CE"/>
    <w:rsid w:val="00BC0C3D"/>
    <w:rsid w:val="00BC0C9C"/>
    <w:rsid w:val="00BC0E73"/>
    <w:rsid w:val="00BC137D"/>
    <w:rsid w:val="00BC179C"/>
    <w:rsid w:val="00BC187D"/>
    <w:rsid w:val="00BC1C44"/>
    <w:rsid w:val="00BC1CEC"/>
    <w:rsid w:val="00BC34E2"/>
    <w:rsid w:val="00BC3C18"/>
    <w:rsid w:val="00BC3C52"/>
    <w:rsid w:val="00BC57BD"/>
    <w:rsid w:val="00BC6377"/>
    <w:rsid w:val="00BC6F2D"/>
    <w:rsid w:val="00BD034A"/>
    <w:rsid w:val="00BD074D"/>
    <w:rsid w:val="00BD0C21"/>
    <w:rsid w:val="00BD2379"/>
    <w:rsid w:val="00BD2969"/>
    <w:rsid w:val="00BD2EBC"/>
    <w:rsid w:val="00BD3305"/>
    <w:rsid w:val="00BD34BD"/>
    <w:rsid w:val="00BD43F9"/>
    <w:rsid w:val="00BD4835"/>
    <w:rsid w:val="00BD52DD"/>
    <w:rsid w:val="00BD6953"/>
    <w:rsid w:val="00BD6AB7"/>
    <w:rsid w:val="00BD759C"/>
    <w:rsid w:val="00BD75F1"/>
    <w:rsid w:val="00BD77B2"/>
    <w:rsid w:val="00BD786B"/>
    <w:rsid w:val="00BD7BA9"/>
    <w:rsid w:val="00BD7C09"/>
    <w:rsid w:val="00BE05AE"/>
    <w:rsid w:val="00BE0F2E"/>
    <w:rsid w:val="00BE1D14"/>
    <w:rsid w:val="00BE220D"/>
    <w:rsid w:val="00BE25FE"/>
    <w:rsid w:val="00BE279B"/>
    <w:rsid w:val="00BE345F"/>
    <w:rsid w:val="00BE3DE9"/>
    <w:rsid w:val="00BE4A83"/>
    <w:rsid w:val="00BE4E3E"/>
    <w:rsid w:val="00BE4FEB"/>
    <w:rsid w:val="00BE5491"/>
    <w:rsid w:val="00BE561B"/>
    <w:rsid w:val="00BE596D"/>
    <w:rsid w:val="00BE5D64"/>
    <w:rsid w:val="00BE5EBB"/>
    <w:rsid w:val="00BF102A"/>
    <w:rsid w:val="00BF164F"/>
    <w:rsid w:val="00BF17F8"/>
    <w:rsid w:val="00BF1A84"/>
    <w:rsid w:val="00BF1F7C"/>
    <w:rsid w:val="00BF2494"/>
    <w:rsid w:val="00BF30F0"/>
    <w:rsid w:val="00BF37F3"/>
    <w:rsid w:val="00BF3F7D"/>
    <w:rsid w:val="00BF3FBD"/>
    <w:rsid w:val="00BF4517"/>
    <w:rsid w:val="00BF4C93"/>
    <w:rsid w:val="00BF53F4"/>
    <w:rsid w:val="00BF60C1"/>
    <w:rsid w:val="00BF69D3"/>
    <w:rsid w:val="00BF6A0F"/>
    <w:rsid w:val="00BF7B07"/>
    <w:rsid w:val="00C002ED"/>
    <w:rsid w:val="00C005F7"/>
    <w:rsid w:val="00C00CF7"/>
    <w:rsid w:val="00C010DE"/>
    <w:rsid w:val="00C018BB"/>
    <w:rsid w:val="00C0234F"/>
    <w:rsid w:val="00C02C4A"/>
    <w:rsid w:val="00C03069"/>
    <w:rsid w:val="00C031A9"/>
    <w:rsid w:val="00C03581"/>
    <w:rsid w:val="00C03AD0"/>
    <w:rsid w:val="00C03EC5"/>
    <w:rsid w:val="00C04DCB"/>
    <w:rsid w:val="00C0560B"/>
    <w:rsid w:val="00C058C3"/>
    <w:rsid w:val="00C05C40"/>
    <w:rsid w:val="00C05C5A"/>
    <w:rsid w:val="00C05D09"/>
    <w:rsid w:val="00C05D6C"/>
    <w:rsid w:val="00C075CA"/>
    <w:rsid w:val="00C077A9"/>
    <w:rsid w:val="00C07D49"/>
    <w:rsid w:val="00C104FE"/>
    <w:rsid w:val="00C10660"/>
    <w:rsid w:val="00C1084D"/>
    <w:rsid w:val="00C10A0A"/>
    <w:rsid w:val="00C10DF0"/>
    <w:rsid w:val="00C12B0E"/>
    <w:rsid w:val="00C1358B"/>
    <w:rsid w:val="00C136B2"/>
    <w:rsid w:val="00C144DC"/>
    <w:rsid w:val="00C1451D"/>
    <w:rsid w:val="00C14780"/>
    <w:rsid w:val="00C14C8F"/>
    <w:rsid w:val="00C14DA5"/>
    <w:rsid w:val="00C15679"/>
    <w:rsid w:val="00C16175"/>
    <w:rsid w:val="00C174C9"/>
    <w:rsid w:val="00C177EF"/>
    <w:rsid w:val="00C17C7C"/>
    <w:rsid w:val="00C201C3"/>
    <w:rsid w:val="00C2081A"/>
    <w:rsid w:val="00C208AD"/>
    <w:rsid w:val="00C20F7C"/>
    <w:rsid w:val="00C21056"/>
    <w:rsid w:val="00C21383"/>
    <w:rsid w:val="00C21786"/>
    <w:rsid w:val="00C230C3"/>
    <w:rsid w:val="00C23E95"/>
    <w:rsid w:val="00C260ED"/>
    <w:rsid w:val="00C2656A"/>
    <w:rsid w:val="00C26920"/>
    <w:rsid w:val="00C26F53"/>
    <w:rsid w:val="00C270EA"/>
    <w:rsid w:val="00C27B69"/>
    <w:rsid w:val="00C30551"/>
    <w:rsid w:val="00C3098B"/>
    <w:rsid w:val="00C312CF"/>
    <w:rsid w:val="00C3215C"/>
    <w:rsid w:val="00C328C1"/>
    <w:rsid w:val="00C32938"/>
    <w:rsid w:val="00C33352"/>
    <w:rsid w:val="00C33610"/>
    <w:rsid w:val="00C33BE6"/>
    <w:rsid w:val="00C33E8C"/>
    <w:rsid w:val="00C34525"/>
    <w:rsid w:val="00C34552"/>
    <w:rsid w:val="00C357C9"/>
    <w:rsid w:val="00C35ED8"/>
    <w:rsid w:val="00C3620B"/>
    <w:rsid w:val="00C36AE4"/>
    <w:rsid w:val="00C372B5"/>
    <w:rsid w:val="00C379C2"/>
    <w:rsid w:val="00C37BF0"/>
    <w:rsid w:val="00C40BB2"/>
    <w:rsid w:val="00C40C43"/>
    <w:rsid w:val="00C40F6F"/>
    <w:rsid w:val="00C413F3"/>
    <w:rsid w:val="00C429D1"/>
    <w:rsid w:val="00C44497"/>
    <w:rsid w:val="00C44580"/>
    <w:rsid w:val="00C45690"/>
    <w:rsid w:val="00C45F27"/>
    <w:rsid w:val="00C46ECF"/>
    <w:rsid w:val="00C47B08"/>
    <w:rsid w:val="00C47EA5"/>
    <w:rsid w:val="00C50BF9"/>
    <w:rsid w:val="00C5170D"/>
    <w:rsid w:val="00C51DAA"/>
    <w:rsid w:val="00C52658"/>
    <w:rsid w:val="00C528E3"/>
    <w:rsid w:val="00C52D45"/>
    <w:rsid w:val="00C53A1D"/>
    <w:rsid w:val="00C53E6A"/>
    <w:rsid w:val="00C54850"/>
    <w:rsid w:val="00C54B8E"/>
    <w:rsid w:val="00C5512A"/>
    <w:rsid w:val="00C55570"/>
    <w:rsid w:val="00C55C7C"/>
    <w:rsid w:val="00C55D37"/>
    <w:rsid w:val="00C561D9"/>
    <w:rsid w:val="00C5733B"/>
    <w:rsid w:val="00C57798"/>
    <w:rsid w:val="00C600E3"/>
    <w:rsid w:val="00C60FA3"/>
    <w:rsid w:val="00C61283"/>
    <w:rsid w:val="00C61AF3"/>
    <w:rsid w:val="00C61DA6"/>
    <w:rsid w:val="00C6262C"/>
    <w:rsid w:val="00C62643"/>
    <w:rsid w:val="00C645F2"/>
    <w:rsid w:val="00C6525C"/>
    <w:rsid w:val="00C6575B"/>
    <w:rsid w:val="00C66682"/>
    <w:rsid w:val="00C669A2"/>
    <w:rsid w:val="00C66A06"/>
    <w:rsid w:val="00C66D6A"/>
    <w:rsid w:val="00C66DD5"/>
    <w:rsid w:val="00C671F2"/>
    <w:rsid w:val="00C6723F"/>
    <w:rsid w:val="00C67B3B"/>
    <w:rsid w:val="00C71215"/>
    <w:rsid w:val="00C7151E"/>
    <w:rsid w:val="00C718A1"/>
    <w:rsid w:val="00C72295"/>
    <w:rsid w:val="00C735EB"/>
    <w:rsid w:val="00C73CF1"/>
    <w:rsid w:val="00C74651"/>
    <w:rsid w:val="00C7534E"/>
    <w:rsid w:val="00C755C9"/>
    <w:rsid w:val="00C756F4"/>
    <w:rsid w:val="00C75848"/>
    <w:rsid w:val="00C771AB"/>
    <w:rsid w:val="00C7737F"/>
    <w:rsid w:val="00C77776"/>
    <w:rsid w:val="00C77792"/>
    <w:rsid w:val="00C77A60"/>
    <w:rsid w:val="00C80638"/>
    <w:rsid w:val="00C809F0"/>
    <w:rsid w:val="00C80C1D"/>
    <w:rsid w:val="00C81769"/>
    <w:rsid w:val="00C824B0"/>
    <w:rsid w:val="00C82791"/>
    <w:rsid w:val="00C83F81"/>
    <w:rsid w:val="00C85027"/>
    <w:rsid w:val="00C8612B"/>
    <w:rsid w:val="00C911A3"/>
    <w:rsid w:val="00C91C52"/>
    <w:rsid w:val="00C923B6"/>
    <w:rsid w:val="00C932AB"/>
    <w:rsid w:val="00C93A69"/>
    <w:rsid w:val="00C94753"/>
    <w:rsid w:val="00C9546A"/>
    <w:rsid w:val="00C954E7"/>
    <w:rsid w:val="00C95840"/>
    <w:rsid w:val="00C97109"/>
    <w:rsid w:val="00C9790E"/>
    <w:rsid w:val="00CA003F"/>
    <w:rsid w:val="00CA1B04"/>
    <w:rsid w:val="00CA2733"/>
    <w:rsid w:val="00CA3B30"/>
    <w:rsid w:val="00CA3DC1"/>
    <w:rsid w:val="00CA4EF2"/>
    <w:rsid w:val="00CA699C"/>
    <w:rsid w:val="00CA6A31"/>
    <w:rsid w:val="00CA7142"/>
    <w:rsid w:val="00CA7278"/>
    <w:rsid w:val="00CA72AB"/>
    <w:rsid w:val="00CA7532"/>
    <w:rsid w:val="00CA76F4"/>
    <w:rsid w:val="00CB0EAA"/>
    <w:rsid w:val="00CB2DE3"/>
    <w:rsid w:val="00CB3909"/>
    <w:rsid w:val="00CB441B"/>
    <w:rsid w:val="00CB471C"/>
    <w:rsid w:val="00CB4B08"/>
    <w:rsid w:val="00CB510E"/>
    <w:rsid w:val="00CB6202"/>
    <w:rsid w:val="00CB73F4"/>
    <w:rsid w:val="00CB7E28"/>
    <w:rsid w:val="00CB7FF8"/>
    <w:rsid w:val="00CC0004"/>
    <w:rsid w:val="00CC0EB2"/>
    <w:rsid w:val="00CC2879"/>
    <w:rsid w:val="00CC311D"/>
    <w:rsid w:val="00CC3647"/>
    <w:rsid w:val="00CC3CD2"/>
    <w:rsid w:val="00CC43DE"/>
    <w:rsid w:val="00CC50BF"/>
    <w:rsid w:val="00CC5C00"/>
    <w:rsid w:val="00CC7316"/>
    <w:rsid w:val="00CC760E"/>
    <w:rsid w:val="00CC7A2C"/>
    <w:rsid w:val="00CC7B47"/>
    <w:rsid w:val="00CC7E85"/>
    <w:rsid w:val="00CD2079"/>
    <w:rsid w:val="00CD2605"/>
    <w:rsid w:val="00CD3BFB"/>
    <w:rsid w:val="00CD477B"/>
    <w:rsid w:val="00CD4EC7"/>
    <w:rsid w:val="00CD687F"/>
    <w:rsid w:val="00CD7CBD"/>
    <w:rsid w:val="00CD7D6B"/>
    <w:rsid w:val="00CE02B0"/>
    <w:rsid w:val="00CE08BA"/>
    <w:rsid w:val="00CE1232"/>
    <w:rsid w:val="00CE15F1"/>
    <w:rsid w:val="00CE1B4E"/>
    <w:rsid w:val="00CE1B72"/>
    <w:rsid w:val="00CE1EDD"/>
    <w:rsid w:val="00CE228A"/>
    <w:rsid w:val="00CE2D82"/>
    <w:rsid w:val="00CE3C55"/>
    <w:rsid w:val="00CE5880"/>
    <w:rsid w:val="00CE5D50"/>
    <w:rsid w:val="00CE654A"/>
    <w:rsid w:val="00CE7433"/>
    <w:rsid w:val="00CE7B7A"/>
    <w:rsid w:val="00CF0983"/>
    <w:rsid w:val="00CF158E"/>
    <w:rsid w:val="00CF19DF"/>
    <w:rsid w:val="00CF1A7F"/>
    <w:rsid w:val="00CF1B54"/>
    <w:rsid w:val="00CF1C8B"/>
    <w:rsid w:val="00CF338D"/>
    <w:rsid w:val="00CF457B"/>
    <w:rsid w:val="00CF49C0"/>
    <w:rsid w:val="00CF4A7D"/>
    <w:rsid w:val="00CF4BA0"/>
    <w:rsid w:val="00CF51B3"/>
    <w:rsid w:val="00CF52F3"/>
    <w:rsid w:val="00CF550C"/>
    <w:rsid w:val="00CF582C"/>
    <w:rsid w:val="00CF5CA7"/>
    <w:rsid w:val="00CF5F97"/>
    <w:rsid w:val="00CF6256"/>
    <w:rsid w:val="00CF78D3"/>
    <w:rsid w:val="00CF7C76"/>
    <w:rsid w:val="00CF7E95"/>
    <w:rsid w:val="00CF7F2F"/>
    <w:rsid w:val="00CF7F4C"/>
    <w:rsid w:val="00CF7F7A"/>
    <w:rsid w:val="00D00674"/>
    <w:rsid w:val="00D00B28"/>
    <w:rsid w:val="00D00F9C"/>
    <w:rsid w:val="00D012F1"/>
    <w:rsid w:val="00D018E0"/>
    <w:rsid w:val="00D01A43"/>
    <w:rsid w:val="00D01B57"/>
    <w:rsid w:val="00D01C00"/>
    <w:rsid w:val="00D01F6C"/>
    <w:rsid w:val="00D029DA"/>
    <w:rsid w:val="00D02F88"/>
    <w:rsid w:val="00D033F4"/>
    <w:rsid w:val="00D038F7"/>
    <w:rsid w:val="00D03C60"/>
    <w:rsid w:val="00D042CF"/>
    <w:rsid w:val="00D0460F"/>
    <w:rsid w:val="00D05CE4"/>
    <w:rsid w:val="00D062AF"/>
    <w:rsid w:val="00D06490"/>
    <w:rsid w:val="00D06744"/>
    <w:rsid w:val="00D06FF7"/>
    <w:rsid w:val="00D07C6B"/>
    <w:rsid w:val="00D106C0"/>
    <w:rsid w:val="00D11296"/>
    <w:rsid w:val="00D12488"/>
    <w:rsid w:val="00D13FDE"/>
    <w:rsid w:val="00D140D9"/>
    <w:rsid w:val="00D14950"/>
    <w:rsid w:val="00D14A57"/>
    <w:rsid w:val="00D1530E"/>
    <w:rsid w:val="00D15F99"/>
    <w:rsid w:val="00D175C6"/>
    <w:rsid w:val="00D17776"/>
    <w:rsid w:val="00D1781D"/>
    <w:rsid w:val="00D17A5D"/>
    <w:rsid w:val="00D20594"/>
    <w:rsid w:val="00D21319"/>
    <w:rsid w:val="00D21322"/>
    <w:rsid w:val="00D2186E"/>
    <w:rsid w:val="00D226F8"/>
    <w:rsid w:val="00D22DA6"/>
    <w:rsid w:val="00D230DF"/>
    <w:rsid w:val="00D23945"/>
    <w:rsid w:val="00D23C55"/>
    <w:rsid w:val="00D245A1"/>
    <w:rsid w:val="00D25957"/>
    <w:rsid w:val="00D25F0E"/>
    <w:rsid w:val="00D25F14"/>
    <w:rsid w:val="00D2611D"/>
    <w:rsid w:val="00D26EFC"/>
    <w:rsid w:val="00D27A83"/>
    <w:rsid w:val="00D300E6"/>
    <w:rsid w:val="00D30E1F"/>
    <w:rsid w:val="00D30EA9"/>
    <w:rsid w:val="00D312DD"/>
    <w:rsid w:val="00D31500"/>
    <w:rsid w:val="00D3154D"/>
    <w:rsid w:val="00D31980"/>
    <w:rsid w:val="00D31DED"/>
    <w:rsid w:val="00D31EA4"/>
    <w:rsid w:val="00D323E7"/>
    <w:rsid w:val="00D3287C"/>
    <w:rsid w:val="00D328AD"/>
    <w:rsid w:val="00D32CF5"/>
    <w:rsid w:val="00D32DC6"/>
    <w:rsid w:val="00D3308E"/>
    <w:rsid w:val="00D33A58"/>
    <w:rsid w:val="00D3477A"/>
    <w:rsid w:val="00D3487D"/>
    <w:rsid w:val="00D34DB2"/>
    <w:rsid w:val="00D34EF6"/>
    <w:rsid w:val="00D359D2"/>
    <w:rsid w:val="00D3676F"/>
    <w:rsid w:val="00D36E3E"/>
    <w:rsid w:val="00D3739F"/>
    <w:rsid w:val="00D37E87"/>
    <w:rsid w:val="00D4183D"/>
    <w:rsid w:val="00D41C3A"/>
    <w:rsid w:val="00D42065"/>
    <w:rsid w:val="00D42730"/>
    <w:rsid w:val="00D43095"/>
    <w:rsid w:val="00D4313D"/>
    <w:rsid w:val="00D43803"/>
    <w:rsid w:val="00D43BE8"/>
    <w:rsid w:val="00D44ADA"/>
    <w:rsid w:val="00D44E2E"/>
    <w:rsid w:val="00D4532D"/>
    <w:rsid w:val="00D45518"/>
    <w:rsid w:val="00D458BF"/>
    <w:rsid w:val="00D45C86"/>
    <w:rsid w:val="00D46C2D"/>
    <w:rsid w:val="00D47509"/>
    <w:rsid w:val="00D47840"/>
    <w:rsid w:val="00D5106F"/>
    <w:rsid w:val="00D51BEA"/>
    <w:rsid w:val="00D51D4A"/>
    <w:rsid w:val="00D52515"/>
    <w:rsid w:val="00D52705"/>
    <w:rsid w:val="00D53B4F"/>
    <w:rsid w:val="00D53FCD"/>
    <w:rsid w:val="00D54688"/>
    <w:rsid w:val="00D54D51"/>
    <w:rsid w:val="00D5503C"/>
    <w:rsid w:val="00D550F3"/>
    <w:rsid w:val="00D55221"/>
    <w:rsid w:val="00D55548"/>
    <w:rsid w:val="00D55DD7"/>
    <w:rsid w:val="00D5622B"/>
    <w:rsid w:val="00D56736"/>
    <w:rsid w:val="00D56E7F"/>
    <w:rsid w:val="00D56FF7"/>
    <w:rsid w:val="00D605F2"/>
    <w:rsid w:val="00D60C5A"/>
    <w:rsid w:val="00D60EC2"/>
    <w:rsid w:val="00D614EC"/>
    <w:rsid w:val="00D61892"/>
    <w:rsid w:val="00D62199"/>
    <w:rsid w:val="00D6227C"/>
    <w:rsid w:val="00D635F3"/>
    <w:rsid w:val="00D639EA"/>
    <w:rsid w:val="00D63AAD"/>
    <w:rsid w:val="00D64E40"/>
    <w:rsid w:val="00D64F1E"/>
    <w:rsid w:val="00D655EA"/>
    <w:rsid w:val="00D659B1"/>
    <w:rsid w:val="00D66284"/>
    <w:rsid w:val="00D66767"/>
    <w:rsid w:val="00D66893"/>
    <w:rsid w:val="00D66ACF"/>
    <w:rsid w:val="00D66AEB"/>
    <w:rsid w:val="00D675FE"/>
    <w:rsid w:val="00D676E2"/>
    <w:rsid w:val="00D678D0"/>
    <w:rsid w:val="00D67C70"/>
    <w:rsid w:val="00D70080"/>
    <w:rsid w:val="00D700D5"/>
    <w:rsid w:val="00D70279"/>
    <w:rsid w:val="00D709F7"/>
    <w:rsid w:val="00D70DA7"/>
    <w:rsid w:val="00D714A5"/>
    <w:rsid w:val="00D7279E"/>
    <w:rsid w:val="00D72E8F"/>
    <w:rsid w:val="00D73548"/>
    <w:rsid w:val="00D739F2"/>
    <w:rsid w:val="00D73EA7"/>
    <w:rsid w:val="00D7410E"/>
    <w:rsid w:val="00D7468D"/>
    <w:rsid w:val="00D75387"/>
    <w:rsid w:val="00D762DF"/>
    <w:rsid w:val="00D77364"/>
    <w:rsid w:val="00D77774"/>
    <w:rsid w:val="00D77941"/>
    <w:rsid w:val="00D77B62"/>
    <w:rsid w:val="00D77B8F"/>
    <w:rsid w:val="00D77D81"/>
    <w:rsid w:val="00D80551"/>
    <w:rsid w:val="00D80AC9"/>
    <w:rsid w:val="00D81343"/>
    <w:rsid w:val="00D8135D"/>
    <w:rsid w:val="00D81612"/>
    <w:rsid w:val="00D81634"/>
    <w:rsid w:val="00D818D4"/>
    <w:rsid w:val="00D81D51"/>
    <w:rsid w:val="00D82F31"/>
    <w:rsid w:val="00D8323F"/>
    <w:rsid w:val="00D83C2C"/>
    <w:rsid w:val="00D849F4"/>
    <w:rsid w:val="00D85B0F"/>
    <w:rsid w:val="00D8654D"/>
    <w:rsid w:val="00D86666"/>
    <w:rsid w:val="00D86B6B"/>
    <w:rsid w:val="00D86FE9"/>
    <w:rsid w:val="00D876D5"/>
    <w:rsid w:val="00D87AAD"/>
    <w:rsid w:val="00D90B98"/>
    <w:rsid w:val="00D90F52"/>
    <w:rsid w:val="00D91777"/>
    <w:rsid w:val="00D91AE0"/>
    <w:rsid w:val="00D92402"/>
    <w:rsid w:val="00D9244F"/>
    <w:rsid w:val="00D92984"/>
    <w:rsid w:val="00D9363C"/>
    <w:rsid w:val="00D93948"/>
    <w:rsid w:val="00D93AA7"/>
    <w:rsid w:val="00D93CA8"/>
    <w:rsid w:val="00D943D6"/>
    <w:rsid w:val="00D9479B"/>
    <w:rsid w:val="00D9529F"/>
    <w:rsid w:val="00D9549C"/>
    <w:rsid w:val="00D956F0"/>
    <w:rsid w:val="00D963BF"/>
    <w:rsid w:val="00D963FF"/>
    <w:rsid w:val="00DA0EC0"/>
    <w:rsid w:val="00DA1A54"/>
    <w:rsid w:val="00DA2122"/>
    <w:rsid w:val="00DA2589"/>
    <w:rsid w:val="00DA2FB9"/>
    <w:rsid w:val="00DA319B"/>
    <w:rsid w:val="00DA34E3"/>
    <w:rsid w:val="00DA3EC8"/>
    <w:rsid w:val="00DA65FD"/>
    <w:rsid w:val="00DA72A3"/>
    <w:rsid w:val="00DA79E5"/>
    <w:rsid w:val="00DB04AC"/>
    <w:rsid w:val="00DB0DE8"/>
    <w:rsid w:val="00DB13E1"/>
    <w:rsid w:val="00DB199D"/>
    <w:rsid w:val="00DB5D3D"/>
    <w:rsid w:val="00DB5E62"/>
    <w:rsid w:val="00DB5F85"/>
    <w:rsid w:val="00DB791F"/>
    <w:rsid w:val="00DC06EA"/>
    <w:rsid w:val="00DC1202"/>
    <w:rsid w:val="00DC23B1"/>
    <w:rsid w:val="00DC290A"/>
    <w:rsid w:val="00DC2A6C"/>
    <w:rsid w:val="00DC3F3B"/>
    <w:rsid w:val="00DC6E6F"/>
    <w:rsid w:val="00DD007C"/>
    <w:rsid w:val="00DD1A12"/>
    <w:rsid w:val="00DD1A4A"/>
    <w:rsid w:val="00DD1C46"/>
    <w:rsid w:val="00DD1F8F"/>
    <w:rsid w:val="00DD3001"/>
    <w:rsid w:val="00DD52B1"/>
    <w:rsid w:val="00DD6602"/>
    <w:rsid w:val="00DD6724"/>
    <w:rsid w:val="00DE212A"/>
    <w:rsid w:val="00DE267B"/>
    <w:rsid w:val="00DE2818"/>
    <w:rsid w:val="00DE32B4"/>
    <w:rsid w:val="00DE361B"/>
    <w:rsid w:val="00DE376A"/>
    <w:rsid w:val="00DE3D1D"/>
    <w:rsid w:val="00DE5146"/>
    <w:rsid w:val="00DE64C4"/>
    <w:rsid w:val="00DE6E3A"/>
    <w:rsid w:val="00DE703B"/>
    <w:rsid w:val="00DF02F2"/>
    <w:rsid w:val="00DF03F0"/>
    <w:rsid w:val="00DF2612"/>
    <w:rsid w:val="00DF2EB7"/>
    <w:rsid w:val="00DF32FA"/>
    <w:rsid w:val="00DF3355"/>
    <w:rsid w:val="00DF3544"/>
    <w:rsid w:val="00DF385E"/>
    <w:rsid w:val="00DF39FB"/>
    <w:rsid w:val="00DF4AC5"/>
    <w:rsid w:val="00DF50CC"/>
    <w:rsid w:val="00DF681C"/>
    <w:rsid w:val="00DF70EF"/>
    <w:rsid w:val="00DF7787"/>
    <w:rsid w:val="00E00297"/>
    <w:rsid w:val="00E008B3"/>
    <w:rsid w:val="00E00A4C"/>
    <w:rsid w:val="00E00A73"/>
    <w:rsid w:val="00E012E6"/>
    <w:rsid w:val="00E01736"/>
    <w:rsid w:val="00E02769"/>
    <w:rsid w:val="00E02C94"/>
    <w:rsid w:val="00E0337F"/>
    <w:rsid w:val="00E0406B"/>
    <w:rsid w:val="00E048BC"/>
    <w:rsid w:val="00E049E7"/>
    <w:rsid w:val="00E05038"/>
    <w:rsid w:val="00E052A6"/>
    <w:rsid w:val="00E06119"/>
    <w:rsid w:val="00E0679E"/>
    <w:rsid w:val="00E068CD"/>
    <w:rsid w:val="00E06A32"/>
    <w:rsid w:val="00E06AF8"/>
    <w:rsid w:val="00E07D5A"/>
    <w:rsid w:val="00E07D7E"/>
    <w:rsid w:val="00E107ED"/>
    <w:rsid w:val="00E1150D"/>
    <w:rsid w:val="00E11596"/>
    <w:rsid w:val="00E11CB6"/>
    <w:rsid w:val="00E11DA4"/>
    <w:rsid w:val="00E12456"/>
    <w:rsid w:val="00E126CF"/>
    <w:rsid w:val="00E12DE3"/>
    <w:rsid w:val="00E13D1C"/>
    <w:rsid w:val="00E1461F"/>
    <w:rsid w:val="00E147FC"/>
    <w:rsid w:val="00E15863"/>
    <w:rsid w:val="00E159FC"/>
    <w:rsid w:val="00E164FE"/>
    <w:rsid w:val="00E17B74"/>
    <w:rsid w:val="00E20C12"/>
    <w:rsid w:val="00E20CC0"/>
    <w:rsid w:val="00E227DB"/>
    <w:rsid w:val="00E22AEF"/>
    <w:rsid w:val="00E24520"/>
    <w:rsid w:val="00E2690F"/>
    <w:rsid w:val="00E26CC4"/>
    <w:rsid w:val="00E2740F"/>
    <w:rsid w:val="00E277CC"/>
    <w:rsid w:val="00E277F9"/>
    <w:rsid w:val="00E304D8"/>
    <w:rsid w:val="00E3063E"/>
    <w:rsid w:val="00E3075A"/>
    <w:rsid w:val="00E3194F"/>
    <w:rsid w:val="00E3207B"/>
    <w:rsid w:val="00E32717"/>
    <w:rsid w:val="00E32BA5"/>
    <w:rsid w:val="00E33832"/>
    <w:rsid w:val="00E3521D"/>
    <w:rsid w:val="00E35D59"/>
    <w:rsid w:val="00E374B2"/>
    <w:rsid w:val="00E40895"/>
    <w:rsid w:val="00E40D49"/>
    <w:rsid w:val="00E41A08"/>
    <w:rsid w:val="00E42F89"/>
    <w:rsid w:val="00E4320F"/>
    <w:rsid w:val="00E433F5"/>
    <w:rsid w:val="00E4380A"/>
    <w:rsid w:val="00E43D6E"/>
    <w:rsid w:val="00E43E51"/>
    <w:rsid w:val="00E442D9"/>
    <w:rsid w:val="00E4559F"/>
    <w:rsid w:val="00E456F5"/>
    <w:rsid w:val="00E460DA"/>
    <w:rsid w:val="00E46295"/>
    <w:rsid w:val="00E46BDD"/>
    <w:rsid w:val="00E47EED"/>
    <w:rsid w:val="00E5049E"/>
    <w:rsid w:val="00E515C7"/>
    <w:rsid w:val="00E5190A"/>
    <w:rsid w:val="00E527B5"/>
    <w:rsid w:val="00E53BA7"/>
    <w:rsid w:val="00E53CF4"/>
    <w:rsid w:val="00E53EF8"/>
    <w:rsid w:val="00E54779"/>
    <w:rsid w:val="00E54FB7"/>
    <w:rsid w:val="00E56312"/>
    <w:rsid w:val="00E56B92"/>
    <w:rsid w:val="00E56E28"/>
    <w:rsid w:val="00E57FED"/>
    <w:rsid w:val="00E60391"/>
    <w:rsid w:val="00E60806"/>
    <w:rsid w:val="00E619C2"/>
    <w:rsid w:val="00E62310"/>
    <w:rsid w:val="00E62F25"/>
    <w:rsid w:val="00E6323B"/>
    <w:rsid w:val="00E64C4E"/>
    <w:rsid w:val="00E64CA9"/>
    <w:rsid w:val="00E64DEC"/>
    <w:rsid w:val="00E65288"/>
    <w:rsid w:val="00E652C2"/>
    <w:rsid w:val="00E66BD9"/>
    <w:rsid w:val="00E67593"/>
    <w:rsid w:val="00E6793A"/>
    <w:rsid w:val="00E67CA3"/>
    <w:rsid w:val="00E70549"/>
    <w:rsid w:val="00E71187"/>
    <w:rsid w:val="00E7159F"/>
    <w:rsid w:val="00E716DD"/>
    <w:rsid w:val="00E71D2C"/>
    <w:rsid w:val="00E72AD1"/>
    <w:rsid w:val="00E735E6"/>
    <w:rsid w:val="00E73ED8"/>
    <w:rsid w:val="00E744C7"/>
    <w:rsid w:val="00E74613"/>
    <w:rsid w:val="00E74B8A"/>
    <w:rsid w:val="00E75836"/>
    <w:rsid w:val="00E75E74"/>
    <w:rsid w:val="00E76815"/>
    <w:rsid w:val="00E76DD8"/>
    <w:rsid w:val="00E77B26"/>
    <w:rsid w:val="00E80379"/>
    <w:rsid w:val="00E80E34"/>
    <w:rsid w:val="00E81A95"/>
    <w:rsid w:val="00E81AC8"/>
    <w:rsid w:val="00E81BE8"/>
    <w:rsid w:val="00E83A34"/>
    <w:rsid w:val="00E83D63"/>
    <w:rsid w:val="00E84CBC"/>
    <w:rsid w:val="00E8529A"/>
    <w:rsid w:val="00E856ED"/>
    <w:rsid w:val="00E85CCA"/>
    <w:rsid w:val="00E866D2"/>
    <w:rsid w:val="00E8686C"/>
    <w:rsid w:val="00E86C14"/>
    <w:rsid w:val="00E90836"/>
    <w:rsid w:val="00E90C17"/>
    <w:rsid w:val="00E910E1"/>
    <w:rsid w:val="00E91787"/>
    <w:rsid w:val="00E91994"/>
    <w:rsid w:val="00E91B53"/>
    <w:rsid w:val="00E91E0E"/>
    <w:rsid w:val="00E92B40"/>
    <w:rsid w:val="00E949C1"/>
    <w:rsid w:val="00E94A80"/>
    <w:rsid w:val="00E95BB4"/>
    <w:rsid w:val="00E95C55"/>
    <w:rsid w:val="00E95D8A"/>
    <w:rsid w:val="00E97B4F"/>
    <w:rsid w:val="00E97FF4"/>
    <w:rsid w:val="00EA0268"/>
    <w:rsid w:val="00EA03BA"/>
    <w:rsid w:val="00EA18A1"/>
    <w:rsid w:val="00EA2283"/>
    <w:rsid w:val="00EA2709"/>
    <w:rsid w:val="00EA2E1A"/>
    <w:rsid w:val="00EA3157"/>
    <w:rsid w:val="00EA48C6"/>
    <w:rsid w:val="00EA4AC1"/>
    <w:rsid w:val="00EA5CEC"/>
    <w:rsid w:val="00EA608D"/>
    <w:rsid w:val="00EA6146"/>
    <w:rsid w:val="00EA7AD2"/>
    <w:rsid w:val="00EA7F0C"/>
    <w:rsid w:val="00EB030A"/>
    <w:rsid w:val="00EB0424"/>
    <w:rsid w:val="00EB070C"/>
    <w:rsid w:val="00EB164A"/>
    <w:rsid w:val="00EB1B16"/>
    <w:rsid w:val="00EB229B"/>
    <w:rsid w:val="00EB2FF4"/>
    <w:rsid w:val="00EB31E9"/>
    <w:rsid w:val="00EB3F3E"/>
    <w:rsid w:val="00EB4DED"/>
    <w:rsid w:val="00EB5A5E"/>
    <w:rsid w:val="00EB5ED1"/>
    <w:rsid w:val="00EB6051"/>
    <w:rsid w:val="00EB6186"/>
    <w:rsid w:val="00EB634C"/>
    <w:rsid w:val="00EB65B6"/>
    <w:rsid w:val="00EB69CD"/>
    <w:rsid w:val="00EB76AD"/>
    <w:rsid w:val="00EC06C1"/>
    <w:rsid w:val="00EC07A9"/>
    <w:rsid w:val="00EC0A0E"/>
    <w:rsid w:val="00EC0D4B"/>
    <w:rsid w:val="00EC2A4E"/>
    <w:rsid w:val="00EC31D1"/>
    <w:rsid w:val="00EC3F0D"/>
    <w:rsid w:val="00EC42CC"/>
    <w:rsid w:val="00EC42E9"/>
    <w:rsid w:val="00EC46CB"/>
    <w:rsid w:val="00EC5145"/>
    <w:rsid w:val="00EC5A3D"/>
    <w:rsid w:val="00EC6166"/>
    <w:rsid w:val="00EC66FE"/>
    <w:rsid w:val="00EC6AAE"/>
    <w:rsid w:val="00EC706B"/>
    <w:rsid w:val="00EC78D4"/>
    <w:rsid w:val="00ED0031"/>
    <w:rsid w:val="00ED1011"/>
    <w:rsid w:val="00ED1418"/>
    <w:rsid w:val="00ED19DB"/>
    <w:rsid w:val="00ED25F4"/>
    <w:rsid w:val="00ED29E1"/>
    <w:rsid w:val="00ED507A"/>
    <w:rsid w:val="00ED52C3"/>
    <w:rsid w:val="00ED5502"/>
    <w:rsid w:val="00ED6676"/>
    <w:rsid w:val="00ED6747"/>
    <w:rsid w:val="00ED702E"/>
    <w:rsid w:val="00ED7A58"/>
    <w:rsid w:val="00EE00F4"/>
    <w:rsid w:val="00EE10DF"/>
    <w:rsid w:val="00EE11BE"/>
    <w:rsid w:val="00EE13BE"/>
    <w:rsid w:val="00EE1C4D"/>
    <w:rsid w:val="00EE2103"/>
    <w:rsid w:val="00EE2A58"/>
    <w:rsid w:val="00EE3ADF"/>
    <w:rsid w:val="00EE3EB3"/>
    <w:rsid w:val="00EE44A2"/>
    <w:rsid w:val="00EE4558"/>
    <w:rsid w:val="00EE458C"/>
    <w:rsid w:val="00EE490B"/>
    <w:rsid w:val="00EE534F"/>
    <w:rsid w:val="00EE57CB"/>
    <w:rsid w:val="00EE5A6B"/>
    <w:rsid w:val="00EE62DC"/>
    <w:rsid w:val="00EE70FF"/>
    <w:rsid w:val="00EF040C"/>
    <w:rsid w:val="00EF0779"/>
    <w:rsid w:val="00EF0AA3"/>
    <w:rsid w:val="00EF1114"/>
    <w:rsid w:val="00EF2957"/>
    <w:rsid w:val="00EF2E06"/>
    <w:rsid w:val="00EF3B40"/>
    <w:rsid w:val="00EF4597"/>
    <w:rsid w:val="00EF5501"/>
    <w:rsid w:val="00EF56E7"/>
    <w:rsid w:val="00EF5D27"/>
    <w:rsid w:val="00EF5EAD"/>
    <w:rsid w:val="00EF64DB"/>
    <w:rsid w:val="00EF650A"/>
    <w:rsid w:val="00EF6567"/>
    <w:rsid w:val="00F000F0"/>
    <w:rsid w:val="00F0053F"/>
    <w:rsid w:val="00F011CB"/>
    <w:rsid w:val="00F0248A"/>
    <w:rsid w:val="00F028DC"/>
    <w:rsid w:val="00F03236"/>
    <w:rsid w:val="00F03AB0"/>
    <w:rsid w:val="00F042C9"/>
    <w:rsid w:val="00F04A4A"/>
    <w:rsid w:val="00F04E4D"/>
    <w:rsid w:val="00F05192"/>
    <w:rsid w:val="00F05A60"/>
    <w:rsid w:val="00F05F4E"/>
    <w:rsid w:val="00F069A7"/>
    <w:rsid w:val="00F06AF7"/>
    <w:rsid w:val="00F07733"/>
    <w:rsid w:val="00F101A8"/>
    <w:rsid w:val="00F103BC"/>
    <w:rsid w:val="00F1068B"/>
    <w:rsid w:val="00F110DB"/>
    <w:rsid w:val="00F12065"/>
    <w:rsid w:val="00F120ED"/>
    <w:rsid w:val="00F1463A"/>
    <w:rsid w:val="00F15BAC"/>
    <w:rsid w:val="00F16A72"/>
    <w:rsid w:val="00F16BDA"/>
    <w:rsid w:val="00F16C7A"/>
    <w:rsid w:val="00F16E73"/>
    <w:rsid w:val="00F20B33"/>
    <w:rsid w:val="00F211A2"/>
    <w:rsid w:val="00F213F7"/>
    <w:rsid w:val="00F2173E"/>
    <w:rsid w:val="00F22224"/>
    <w:rsid w:val="00F22398"/>
    <w:rsid w:val="00F223C1"/>
    <w:rsid w:val="00F22460"/>
    <w:rsid w:val="00F2270B"/>
    <w:rsid w:val="00F22961"/>
    <w:rsid w:val="00F22D55"/>
    <w:rsid w:val="00F23B8E"/>
    <w:rsid w:val="00F23C93"/>
    <w:rsid w:val="00F246A5"/>
    <w:rsid w:val="00F259F0"/>
    <w:rsid w:val="00F2744C"/>
    <w:rsid w:val="00F27C69"/>
    <w:rsid w:val="00F3013B"/>
    <w:rsid w:val="00F301D2"/>
    <w:rsid w:val="00F30395"/>
    <w:rsid w:val="00F303B9"/>
    <w:rsid w:val="00F31574"/>
    <w:rsid w:val="00F319CA"/>
    <w:rsid w:val="00F320FC"/>
    <w:rsid w:val="00F32700"/>
    <w:rsid w:val="00F32AC2"/>
    <w:rsid w:val="00F33021"/>
    <w:rsid w:val="00F33045"/>
    <w:rsid w:val="00F34219"/>
    <w:rsid w:val="00F344E2"/>
    <w:rsid w:val="00F3474A"/>
    <w:rsid w:val="00F3499B"/>
    <w:rsid w:val="00F34EA8"/>
    <w:rsid w:val="00F34F28"/>
    <w:rsid w:val="00F359E0"/>
    <w:rsid w:val="00F40DA7"/>
    <w:rsid w:val="00F40E10"/>
    <w:rsid w:val="00F41304"/>
    <w:rsid w:val="00F4137D"/>
    <w:rsid w:val="00F41416"/>
    <w:rsid w:val="00F42848"/>
    <w:rsid w:val="00F42E45"/>
    <w:rsid w:val="00F4472A"/>
    <w:rsid w:val="00F44BF8"/>
    <w:rsid w:val="00F44F64"/>
    <w:rsid w:val="00F453BB"/>
    <w:rsid w:val="00F4636F"/>
    <w:rsid w:val="00F47060"/>
    <w:rsid w:val="00F4759B"/>
    <w:rsid w:val="00F4796B"/>
    <w:rsid w:val="00F50892"/>
    <w:rsid w:val="00F50DBF"/>
    <w:rsid w:val="00F50EFF"/>
    <w:rsid w:val="00F516B9"/>
    <w:rsid w:val="00F5190C"/>
    <w:rsid w:val="00F51EAF"/>
    <w:rsid w:val="00F5214D"/>
    <w:rsid w:val="00F5215C"/>
    <w:rsid w:val="00F5373E"/>
    <w:rsid w:val="00F5427A"/>
    <w:rsid w:val="00F54BB3"/>
    <w:rsid w:val="00F56874"/>
    <w:rsid w:val="00F569C6"/>
    <w:rsid w:val="00F57F74"/>
    <w:rsid w:val="00F612CA"/>
    <w:rsid w:val="00F61469"/>
    <w:rsid w:val="00F6165C"/>
    <w:rsid w:val="00F61B21"/>
    <w:rsid w:val="00F62963"/>
    <w:rsid w:val="00F636ED"/>
    <w:rsid w:val="00F63D80"/>
    <w:rsid w:val="00F643EB"/>
    <w:rsid w:val="00F64885"/>
    <w:rsid w:val="00F652B2"/>
    <w:rsid w:val="00F653C2"/>
    <w:rsid w:val="00F65584"/>
    <w:rsid w:val="00F655BE"/>
    <w:rsid w:val="00F66F1C"/>
    <w:rsid w:val="00F673B1"/>
    <w:rsid w:val="00F67526"/>
    <w:rsid w:val="00F713C0"/>
    <w:rsid w:val="00F713D6"/>
    <w:rsid w:val="00F71447"/>
    <w:rsid w:val="00F73A23"/>
    <w:rsid w:val="00F73F1B"/>
    <w:rsid w:val="00F74820"/>
    <w:rsid w:val="00F759B2"/>
    <w:rsid w:val="00F761CC"/>
    <w:rsid w:val="00F76AC5"/>
    <w:rsid w:val="00F76E04"/>
    <w:rsid w:val="00F76E3C"/>
    <w:rsid w:val="00F770ED"/>
    <w:rsid w:val="00F80261"/>
    <w:rsid w:val="00F80DCF"/>
    <w:rsid w:val="00F80EA3"/>
    <w:rsid w:val="00F80EC4"/>
    <w:rsid w:val="00F824C9"/>
    <w:rsid w:val="00F826E5"/>
    <w:rsid w:val="00F83730"/>
    <w:rsid w:val="00F83D3B"/>
    <w:rsid w:val="00F84478"/>
    <w:rsid w:val="00F8461D"/>
    <w:rsid w:val="00F84CA2"/>
    <w:rsid w:val="00F8573D"/>
    <w:rsid w:val="00F8580A"/>
    <w:rsid w:val="00F85B3B"/>
    <w:rsid w:val="00F86382"/>
    <w:rsid w:val="00F864A0"/>
    <w:rsid w:val="00F86F11"/>
    <w:rsid w:val="00F87A92"/>
    <w:rsid w:val="00F9065D"/>
    <w:rsid w:val="00F90B1B"/>
    <w:rsid w:val="00F93FC8"/>
    <w:rsid w:val="00F95340"/>
    <w:rsid w:val="00F96330"/>
    <w:rsid w:val="00F96578"/>
    <w:rsid w:val="00F96696"/>
    <w:rsid w:val="00F96841"/>
    <w:rsid w:val="00F96FD0"/>
    <w:rsid w:val="00FA0706"/>
    <w:rsid w:val="00FA1C54"/>
    <w:rsid w:val="00FA1D55"/>
    <w:rsid w:val="00FA26DF"/>
    <w:rsid w:val="00FA2D97"/>
    <w:rsid w:val="00FA2DFE"/>
    <w:rsid w:val="00FA37C8"/>
    <w:rsid w:val="00FA37E2"/>
    <w:rsid w:val="00FA481A"/>
    <w:rsid w:val="00FA5E13"/>
    <w:rsid w:val="00FB0264"/>
    <w:rsid w:val="00FB040F"/>
    <w:rsid w:val="00FB050B"/>
    <w:rsid w:val="00FB12B5"/>
    <w:rsid w:val="00FB15D4"/>
    <w:rsid w:val="00FB17FE"/>
    <w:rsid w:val="00FB19AD"/>
    <w:rsid w:val="00FB1B5C"/>
    <w:rsid w:val="00FB219C"/>
    <w:rsid w:val="00FB4C98"/>
    <w:rsid w:val="00FB4FA0"/>
    <w:rsid w:val="00FB50EF"/>
    <w:rsid w:val="00FB70DD"/>
    <w:rsid w:val="00FB7D06"/>
    <w:rsid w:val="00FC064D"/>
    <w:rsid w:val="00FC2C86"/>
    <w:rsid w:val="00FC32BD"/>
    <w:rsid w:val="00FC36BC"/>
    <w:rsid w:val="00FC3A8F"/>
    <w:rsid w:val="00FC402E"/>
    <w:rsid w:val="00FC4AD5"/>
    <w:rsid w:val="00FC4BF0"/>
    <w:rsid w:val="00FC5078"/>
    <w:rsid w:val="00FC5C7F"/>
    <w:rsid w:val="00FC65D0"/>
    <w:rsid w:val="00FC6EAF"/>
    <w:rsid w:val="00FC707A"/>
    <w:rsid w:val="00FC7396"/>
    <w:rsid w:val="00FC76B9"/>
    <w:rsid w:val="00FD01B2"/>
    <w:rsid w:val="00FD090D"/>
    <w:rsid w:val="00FD1435"/>
    <w:rsid w:val="00FD1A63"/>
    <w:rsid w:val="00FD1C5D"/>
    <w:rsid w:val="00FD278E"/>
    <w:rsid w:val="00FD3097"/>
    <w:rsid w:val="00FD412B"/>
    <w:rsid w:val="00FD5FDF"/>
    <w:rsid w:val="00FD77CE"/>
    <w:rsid w:val="00FD7D16"/>
    <w:rsid w:val="00FE03C8"/>
    <w:rsid w:val="00FE07CB"/>
    <w:rsid w:val="00FE08E3"/>
    <w:rsid w:val="00FE09FD"/>
    <w:rsid w:val="00FE0EDA"/>
    <w:rsid w:val="00FE25C7"/>
    <w:rsid w:val="00FE271C"/>
    <w:rsid w:val="00FE286E"/>
    <w:rsid w:val="00FE2A5C"/>
    <w:rsid w:val="00FE4FB5"/>
    <w:rsid w:val="00FE5A02"/>
    <w:rsid w:val="00FE5C76"/>
    <w:rsid w:val="00FE6B12"/>
    <w:rsid w:val="00FE6C83"/>
    <w:rsid w:val="00FE71B2"/>
    <w:rsid w:val="00FF1F90"/>
    <w:rsid w:val="00FF215B"/>
    <w:rsid w:val="00FF2C47"/>
    <w:rsid w:val="00FF3117"/>
    <w:rsid w:val="00FF3759"/>
    <w:rsid w:val="00FF46C4"/>
    <w:rsid w:val="00FF4A50"/>
    <w:rsid w:val="00FF59EB"/>
    <w:rsid w:val="00FF5EE6"/>
    <w:rsid w:val="00FF5F01"/>
    <w:rsid w:val="00FF734C"/>
    <w:rsid w:val="00FF7F5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9038921"/>
  <w15:docId w15:val="{D506D891-0929-4334-AD3A-F1C905B9A6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6468"/>
    <w:rPr>
      <w:rFonts w:ascii="Times New Roman" w:eastAsia="Times New Roman" w:hAnsi="Times New Roman"/>
      <w:sz w:val="28"/>
      <w:szCs w:val="28"/>
      <w:lang w:val="vi-VN"/>
    </w:rPr>
  </w:style>
  <w:style w:type="paragraph" w:styleId="Heading1">
    <w:name w:val="heading 1"/>
    <w:basedOn w:val="Normal"/>
    <w:next w:val="Normal"/>
    <w:link w:val="Heading1Char"/>
    <w:qFormat/>
    <w:locked/>
    <w:rsid w:val="00D5622B"/>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semiHidden/>
    <w:unhideWhenUsed/>
    <w:qFormat/>
    <w:locked/>
    <w:rsid w:val="009E0731"/>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76468"/>
    <w:pPr>
      <w:autoSpaceDE w:val="0"/>
      <w:autoSpaceDN w:val="0"/>
      <w:adjustRightInd w:val="0"/>
    </w:pPr>
    <w:rPr>
      <w:rFonts w:ascii="Times New Roman" w:eastAsia="Times New Roman" w:hAnsi="Times New Roman"/>
      <w:color w:val="000000"/>
      <w:sz w:val="24"/>
      <w:szCs w:val="24"/>
    </w:rPr>
  </w:style>
  <w:style w:type="paragraph" w:customStyle="1" w:styleId="Normal1">
    <w:name w:val="Normal1"/>
    <w:basedOn w:val="Normal"/>
    <w:rsid w:val="0067242E"/>
    <w:pPr>
      <w:spacing w:before="100" w:beforeAutospacing="1" w:after="100" w:afterAutospacing="1"/>
    </w:pPr>
    <w:rPr>
      <w:sz w:val="24"/>
      <w:szCs w:val="24"/>
    </w:rPr>
  </w:style>
  <w:style w:type="character" w:customStyle="1" w:styleId="BodyTextChar1">
    <w:name w:val="Body Text Char1"/>
    <w:basedOn w:val="DefaultParagraphFont"/>
    <w:link w:val="BodyText"/>
    <w:uiPriority w:val="99"/>
    <w:locked/>
    <w:rsid w:val="008D4094"/>
    <w:rPr>
      <w:sz w:val="24"/>
      <w:szCs w:val="24"/>
    </w:rPr>
  </w:style>
  <w:style w:type="paragraph" w:styleId="BodyText">
    <w:name w:val="Body Text"/>
    <w:basedOn w:val="Normal"/>
    <w:link w:val="BodyTextChar1"/>
    <w:uiPriority w:val="99"/>
    <w:rsid w:val="008D4094"/>
    <w:pPr>
      <w:spacing w:after="120"/>
    </w:pPr>
    <w:rPr>
      <w:rFonts w:ascii="Calibri" w:eastAsia="Calibri" w:hAnsi="Calibri" w:cs="Calibri"/>
      <w:sz w:val="24"/>
      <w:szCs w:val="24"/>
    </w:rPr>
  </w:style>
  <w:style w:type="character" w:customStyle="1" w:styleId="BodyTextChar">
    <w:name w:val="Body Text Char"/>
    <w:basedOn w:val="DefaultParagraphFont"/>
    <w:uiPriority w:val="99"/>
    <w:semiHidden/>
    <w:locked/>
    <w:rsid w:val="008D4094"/>
    <w:rPr>
      <w:rFonts w:ascii="Times New Roman" w:hAnsi="Times New Roman" w:cs="Times New Roman"/>
      <w:sz w:val="28"/>
      <w:szCs w:val="28"/>
    </w:rPr>
  </w:style>
  <w:style w:type="character" w:styleId="Strong">
    <w:name w:val="Strong"/>
    <w:basedOn w:val="DefaultParagraphFont"/>
    <w:qFormat/>
    <w:rsid w:val="00A021F9"/>
    <w:rPr>
      <w:b/>
      <w:bCs/>
    </w:rPr>
  </w:style>
  <w:style w:type="paragraph" w:styleId="FootnoteText">
    <w:name w:val="footnote text"/>
    <w:aliases w:val="Footnote Text Char Char Char Char Char,Footnote Text Char Char Char Char Char Char Ch,fn,single space,FOOTNOTES,Footnote Text Char1 Char,Footnote Text Char Char1 Char,Footnote Text Char1 Char1,Footnote Text Char Char Char,ft,A,З,C,Geneva 9"/>
    <w:basedOn w:val="Normal"/>
    <w:link w:val="FootnoteTextChar"/>
    <w:uiPriority w:val="99"/>
    <w:qFormat/>
    <w:rsid w:val="001A07A9"/>
    <w:rPr>
      <w:rFonts w:eastAsia="Calibri"/>
      <w:sz w:val="20"/>
      <w:szCs w:val="20"/>
    </w:rPr>
  </w:style>
  <w:style w:type="character" w:customStyle="1" w:styleId="FootnoteTextChar">
    <w:name w:val="Footnote Text Char"/>
    <w:aliases w:val="Footnote Text Char Char Char Char Char Char,Footnote Text Char Char Char Char Char Char Ch Char,fn Char,single space Char,FOOTNOTES Char,Footnote Text Char1 Char Char,Footnote Text Char Char1 Char Char,Footnote Text Char1 Char1 Char"/>
    <w:basedOn w:val="DefaultParagraphFont"/>
    <w:link w:val="FootnoteText"/>
    <w:uiPriority w:val="99"/>
    <w:qFormat/>
    <w:locked/>
    <w:rsid w:val="001A07A9"/>
    <w:rPr>
      <w:rFonts w:ascii="Times New Roman" w:hAnsi="Times New Roman" w:cs="Times New Roman"/>
      <w:sz w:val="20"/>
      <w:szCs w:val="20"/>
    </w:rPr>
  </w:style>
  <w:style w:type="character" w:styleId="FootnoteReference">
    <w:name w:val="footnote reference"/>
    <w:aliases w:val="Footnote,Footnote text,ftref,BVI fnr,BearingPoint,16 Point,Superscript 6 Point,fr,(NECG) Footnote Reference,Footnote + Arial,10 pt,Black,Footnote Text1,f,Footnote Text Char Char Char Char Char Char Ch Char Char Char Char Char Char C,R"/>
    <w:basedOn w:val="DefaultParagraphFont"/>
    <w:link w:val="CharChar1CharCharCharChar1CharCharCharCharCharCharCharChar"/>
    <w:uiPriority w:val="99"/>
    <w:qFormat/>
    <w:rsid w:val="001A07A9"/>
    <w:rPr>
      <w:vertAlign w:val="superscript"/>
    </w:rPr>
  </w:style>
  <w:style w:type="paragraph" w:styleId="NormalWeb">
    <w:name w:val="Normal (Web)"/>
    <w:aliases w:val="Обычный (веб)1,Обычный (веб) Знак,Обычный (веб) Знак1,Обычный (веб) Знак Знак, Char Char Char,Char Char Char, Char Char,Char Char Char Char Char Char Char Char Char Char Char Char Char Char Char,Char Cha,Char Char,Char,webb"/>
    <w:basedOn w:val="Normal"/>
    <w:link w:val="NormalWebChar"/>
    <w:uiPriority w:val="99"/>
    <w:qFormat/>
    <w:rsid w:val="00B90BF6"/>
    <w:pPr>
      <w:spacing w:before="100" w:beforeAutospacing="1" w:after="100" w:afterAutospacing="1"/>
    </w:pPr>
    <w:rPr>
      <w:rFonts w:eastAsia="Calibri"/>
      <w:sz w:val="24"/>
      <w:szCs w:val="24"/>
    </w:rPr>
  </w:style>
  <w:style w:type="character" w:customStyle="1" w:styleId="normalchar">
    <w:name w:val="normal__char"/>
    <w:basedOn w:val="DefaultParagraphFont"/>
    <w:rsid w:val="00B90BF6"/>
  </w:style>
  <w:style w:type="paragraph" w:styleId="Header">
    <w:name w:val="header"/>
    <w:basedOn w:val="Normal"/>
    <w:link w:val="HeaderChar"/>
    <w:uiPriority w:val="99"/>
    <w:rsid w:val="0016207C"/>
    <w:pPr>
      <w:tabs>
        <w:tab w:val="center" w:pos="4680"/>
        <w:tab w:val="right" w:pos="9360"/>
      </w:tabs>
    </w:pPr>
  </w:style>
  <w:style w:type="character" w:customStyle="1" w:styleId="HeaderChar">
    <w:name w:val="Header Char"/>
    <w:basedOn w:val="DefaultParagraphFont"/>
    <w:link w:val="Header"/>
    <w:uiPriority w:val="99"/>
    <w:locked/>
    <w:rsid w:val="0016207C"/>
    <w:rPr>
      <w:rFonts w:ascii="Times New Roman" w:hAnsi="Times New Roman" w:cs="Times New Roman"/>
      <w:sz w:val="28"/>
      <w:szCs w:val="28"/>
    </w:rPr>
  </w:style>
  <w:style w:type="paragraph" w:styleId="Footer">
    <w:name w:val="footer"/>
    <w:basedOn w:val="Normal"/>
    <w:link w:val="FooterChar"/>
    <w:uiPriority w:val="99"/>
    <w:semiHidden/>
    <w:rsid w:val="0016207C"/>
    <w:pPr>
      <w:tabs>
        <w:tab w:val="center" w:pos="4680"/>
        <w:tab w:val="right" w:pos="9360"/>
      </w:tabs>
    </w:pPr>
  </w:style>
  <w:style w:type="character" w:customStyle="1" w:styleId="FooterChar">
    <w:name w:val="Footer Char"/>
    <w:basedOn w:val="DefaultParagraphFont"/>
    <w:link w:val="Footer"/>
    <w:uiPriority w:val="99"/>
    <w:semiHidden/>
    <w:locked/>
    <w:rsid w:val="0016207C"/>
    <w:rPr>
      <w:rFonts w:ascii="Times New Roman" w:hAnsi="Times New Roman" w:cs="Times New Roman"/>
      <w:sz w:val="28"/>
      <w:szCs w:val="28"/>
    </w:rPr>
  </w:style>
  <w:style w:type="paragraph" w:customStyle="1" w:styleId="BodyTextTimesNewRoman">
    <w:name w:val="Body Text + Times New Roman"/>
    <w:aliases w:val="14 pt,Bold,First line:  1,27 cm,Before:  4,5 ...,5 ... ...,Normal + Justified,First line:  0,99 cm,Right:  0,2 cm,Before:  2 pt,Afte...,Normal + Times New Roman,Justified,First line:  1 cm,..."/>
    <w:basedOn w:val="Normal"/>
    <w:link w:val="BodyTextTimesNewRomanChar"/>
    <w:uiPriority w:val="99"/>
    <w:rsid w:val="00CA6A31"/>
    <w:pPr>
      <w:spacing w:before="90" w:after="90" w:line="300" w:lineRule="exact"/>
      <w:ind w:firstLine="720"/>
      <w:jc w:val="both"/>
    </w:pPr>
    <w:rPr>
      <w:b/>
      <w:bCs/>
      <w:lang w:val="nl-NL"/>
    </w:rPr>
  </w:style>
  <w:style w:type="character" w:customStyle="1" w:styleId="BodyTextTimesNewRomanChar">
    <w:name w:val="Body Text + Times New Roman Char"/>
    <w:aliases w:val="14 pt Char,Bold Char,First line:  1 Char,27 cm Char,Before:  4 Char,5 ... Char,5 ... ... Char"/>
    <w:basedOn w:val="BodyTextChar"/>
    <w:link w:val="BodyTextTimesNewRoman"/>
    <w:uiPriority w:val="99"/>
    <w:locked/>
    <w:rsid w:val="00CA6A31"/>
    <w:rPr>
      <w:rFonts w:ascii="Times New Roman" w:hAnsi="Times New Roman" w:cs="Times New Roman"/>
      <w:b/>
      <w:bCs/>
      <w:sz w:val="28"/>
      <w:szCs w:val="28"/>
      <w:lang w:val="nl-NL"/>
    </w:rPr>
  </w:style>
  <w:style w:type="paragraph" w:styleId="BalloonText">
    <w:name w:val="Balloon Text"/>
    <w:basedOn w:val="Normal"/>
    <w:link w:val="BalloonTextChar"/>
    <w:uiPriority w:val="99"/>
    <w:semiHidden/>
    <w:rsid w:val="006A70CD"/>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44F6C"/>
    <w:rPr>
      <w:rFonts w:ascii="Times New Roman" w:hAnsi="Times New Roman" w:cs="Times New Roman"/>
      <w:sz w:val="2"/>
      <w:szCs w:val="2"/>
    </w:rPr>
  </w:style>
  <w:style w:type="paragraph" w:styleId="ListParagraph">
    <w:name w:val="List Paragraph"/>
    <w:aliases w:val="bullet,bullet 1,List Paragraph11,Bullets,List Bullet-OpsManual,References,Title Style 1,List Paragraph nowy,List Paragraph (numbered (a)),Liste 1,ANNEX,List Paragraph1,List Paragraph2,Aufzählung Spiegelstrich,EASPR13-01 normal"/>
    <w:basedOn w:val="Normal"/>
    <w:link w:val="ListParagraphChar"/>
    <w:uiPriority w:val="34"/>
    <w:qFormat/>
    <w:rsid w:val="000F6092"/>
    <w:pPr>
      <w:spacing w:after="200" w:line="276" w:lineRule="auto"/>
      <w:ind w:left="720"/>
      <w:contextualSpacing/>
    </w:pPr>
    <w:rPr>
      <w:rFonts w:eastAsia="Calibri"/>
    </w:rPr>
  </w:style>
  <w:style w:type="character" w:customStyle="1" w:styleId="normalchar0">
    <w:name w:val="normalchar"/>
    <w:basedOn w:val="DefaultParagraphFont"/>
    <w:rsid w:val="00B223A3"/>
  </w:style>
  <w:style w:type="character" w:customStyle="1" w:styleId="apple-converted-space">
    <w:name w:val="apple-converted-space"/>
    <w:basedOn w:val="DefaultParagraphFont"/>
    <w:rsid w:val="00C771AB"/>
  </w:style>
  <w:style w:type="paragraph" w:styleId="Title">
    <w:name w:val="Title"/>
    <w:basedOn w:val="Normal"/>
    <w:link w:val="TitleChar"/>
    <w:qFormat/>
    <w:locked/>
    <w:rsid w:val="0085217C"/>
    <w:pPr>
      <w:jc w:val="center"/>
    </w:pPr>
    <w:rPr>
      <w:rFonts w:ascii=".VnTimeH" w:hAnsi=".VnTimeH"/>
      <w:b/>
      <w:bCs/>
      <w:szCs w:val="24"/>
    </w:rPr>
  </w:style>
  <w:style w:type="character" w:customStyle="1" w:styleId="TitleChar">
    <w:name w:val="Title Char"/>
    <w:basedOn w:val="DefaultParagraphFont"/>
    <w:link w:val="Title"/>
    <w:rsid w:val="0085217C"/>
    <w:rPr>
      <w:rFonts w:ascii=".VnTimeH" w:eastAsia="Times New Roman" w:hAnsi=".VnTimeH"/>
      <w:b/>
      <w:bCs/>
      <w:sz w:val="28"/>
      <w:szCs w:val="24"/>
    </w:rPr>
  </w:style>
  <w:style w:type="paragraph" w:customStyle="1" w:styleId="msotitlecxspmiddle">
    <w:name w:val="msotitlecxspmiddle"/>
    <w:basedOn w:val="Normal"/>
    <w:rsid w:val="0085217C"/>
    <w:pPr>
      <w:spacing w:before="100" w:beforeAutospacing="1" w:after="100" w:afterAutospacing="1"/>
    </w:pPr>
    <w:rPr>
      <w:sz w:val="24"/>
      <w:szCs w:val="24"/>
    </w:rPr>
  </w:style>
  <w:style w:type="paragraph" w:customStyle="1" w:styleId="Normal10">
    <w:name w:val="Normal1"/>
    <w:basedOn w:val="Normal"/>
    <w:uiPriority w:val="99"/>
    <w:rsid w:val="000E6961"/>
    <w:pPr>
      <w:spacing w:before="100" w:beforeAutospacing="1" w:after="100" w:afterAutospacing="1"/>
    </w:pPr>
    <w:rPr>
      <w:rFonts w:ascii="Calibri" w:hAnsi="Calibri" w:cs="Calibri"/>
      <w:sz w:val="24"/>
      <w:szCs w:val="24"/>
    </w:rPr>
  </w:style>
  <w:style w:type="paragraph" w:styleId="List3">
    <w:name w:val="List 3"/>
    <w:basedOn w:val="Normal"/>
    <w:rsid w:val="00EC42CC"/>
    <w:pPr>
      <w:spacing w:before="100" w:beforeAutospacing="1" w:after="100" w:afterAutospacing="1"/>
    </w:pPr>
    <w:rPr>
      <w:rFonts w:eastAsia="MS Mincho"/>
      <w:sz w:val="24"/>
      <w:szCs w:val="24"/>
    </w:rPr>
  </w:style>
  <w:style w:type="paragraph" w:styleId="BodyTextIndent">
    <w:name w:val="Body Text Indent"/>
    <w:basedOn w:val="Normal"/>
    <w:link w:val="BodyTextIndentChar"/>
    <w:uiPriority w:val="99"/>
    <w:semiHidden/>
    <w:unhideWhenUsed/>
    <w:rsid w:val="005B43D0"/>
    <w:pPr>
      <w:spacing w:after="120"/>
      <w:ind w:left="360"/>
    </w:pPr>
  </w:style>
  <w:style w:type="character" w:customStyle="1" w:styleId="BodyTextIndentChar">
    <w:name w:val="Body Text Indent Char"/>
    <w:basedOn w:val="DefaultParagraphFont"/>
    <w:link w:val="BodyTextIndent"/>
    <w:uiPriority w:val="99"/>
    <w:semiHidden/>
    <w:rsid w:val="005B43D0"/>
    <w:rPr>
      <w:rFonts w:ascii="Times New Roman" w:eastAsia="Times New Roman" w:hAnsi="Times New Roman"/>
      <w:sz w:val="28"/>
      <w:szCs w:val="28"/>
    </w:rPr>
  </w:style>
  <w:style w:type="paragraph" w:styleId="BodyTextIndent2">
    <w:name w:val="Body Text Indent 2"/>
    <w:basedOn w:val="Normal"/>
    <w:link w:val="BodyTextIndent2Char"/>
    <w:uiPriority w:val="99"/>
    <w:semiHidden/>
    <w:unhideWhenUsed/>
    <w:rsid w:val="00BB4A9E"/>
    <w:pPr>
      <w:spacing w:after="120" w:line="480" w:lineRule="auto"/>
      <w:ind w:left="360"/>
    </w:pPr>
  </w:style>
  <w:style w:type="character" w:customStyle="1" w:styleId="BodyTextIndent2Char">
    <w:name w:val="Body Text Indent 2 Char"/>
    <w:basedOn w:val="DefaultParagraphFont"/>
    <w:link w:val="BodyTextIndent2"/>
    <w:uiPriority w:val="99"/>
    <w:semiHidden/>
    <w:rsid w:val="00BB4A9E"/>
    <w:rPr>
      <w:rFonts w:ascii="Times New Roman" w:eastAsia="Times New Roman" w:hAnsi="Times New Roman"/>
      <w:sz w:val="28"/>
      <w:szCs w:val="28"/>
    </w:rPr>
  </w:style>
  <w:style w:type="character" w:styleId="Emphasis">
    <w:name w:val="Emphasis"/>
    <w:basedOn w:val="DefaultParagraphFont"/>
    <w:uiPriority w:val="20"/>
    <w:qFormat/>
    <w:locked/>
    <w:rsid w:val="00C372B5"/>
    <w:rPr>
      <w:i/>
      <w:iCs/>
    </w:rPr>
  </w:style>
  <w:style w:type="character" w:customStyle="1" w:styleId="body0020textchar">
    <w:name w:val="body_0020text__char"/>
    <w:basedOn w:val="DefaultParagraphFont"/>
    <w:rsid w:val="006379FB"/>
    <w:rPr>
      <w:rFonts w:cs="Times New Roman"/>
    </w:rPr>
  </w:style>
  <w:style w:type="paragraph" w:styleId="EndnoteText">
    <w:name w:val="endnote text"/>
    <w:basedOn w:val="Normal"/>
    <w:link w:val="EndnoteTextChar"/>
    <w:uiPriority w:val="99"/>
    <w:semiHidden/>
    <w:unhideWhenUsed/>
    <w:rsid w:val="00416BAE"/>
    <w:rPr>
      <w:rFonts w:ascii="Calibri" w:eastAsia="Calibri" w:hAnsi="Calibri"/>
      <w:sz w:val="20"/>
      <w:szCs w:val="20"/>
    </w:rPr>
  </w:style>
  <w:style w:type="character" w:customStyle="1" w:styleId="EndnoteTextChar">
    <w:name w:val="Endnote Text Char"/>
    <w:basedOn w:val="DefaultParagraphFont"/>
    <w:link w:val="EndnoteText"/>
    <w:uiPriority w:val="99"/>
    <w:semiHidden/>
    <w:rsid w:val="00416BAE"/>
    <w:rPr>
      <w:rFonts w:ascii="Calibri" w:eastAsia="Calibri" w:hAnsi="Calibri" w:cs="Times New Roman"/>
    </w:rPr>
  </w:style>
  <w:style w:type="character" w:styleId="EndnoteReference">
    <w:name w:val="endnote reference"/>
    <w:basedOn w:val="DefaultParagraphFont"/>
    <w:uiPriority w:val="99"/>
    <w:semiHidden/>
    <w:unhideWhenUsed/>
    <w:rsid w:val="00416BAE"/>
    <w:rPr>
      <w:vertAlign w:val="superscript"/>
    </w:rPr>
  </w:style>
  <w:style w:type="character" w:customStyle="1" w:styleId="Heading1Char">
    <w:name w:val="Heading 1 Char"/>
    <w:basedOn w:val="DefaultParagraphFont"/>
    <w:link w:val="Heading1"/>
    <w:rsid w:val="00D5622B"/>
    <w:rPr>
      <w:rFonts w:ascii="Cambria" w:eastAsia="Times New Roman" w:hAnsi="Cambria" w:cs="Times New Roman"/>
      <w:b/>
      <w:bCs/>
      <w:kern w:val="32"/>
      <w:sz w:val="32"/>
      <w:szCs w:val="32"/>
    </w:rPr>
  </w:style>
  <w:style w:type="character" w:customStyle="1" w:styleId="apple-style-span">
    <w:name w:val="apple-style-span"/>
    <w:basedOn w:val="DefaultParagraphFont"/>
    <w:rsid w:val="001B34BB"/>
  </w:style>
  <w:style w:type="paragraph" w:styleId="BodyTextIndent3">
    <w:name w:val="Body Text Indent 3"/>
    <w:basedOn w:val="Normal"/>
    <w:link w:val="BodyTextIndent3Char"/>
    <w:uiPriority w:val="99"/>
    <w:semiHidden/>
    <w:unhideWhenUsed/>
    <w:rsid w:val="000B2507"/>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0B2507"/>
    <w:rPr>
      <w:rFonts w:ascii="Times New Roman" w:eastAsia="Times New Roman" w:hAnsi="Times New Roman"/>
      <w:sz w:val="16"/>
      <w:szCs w:val="16"/>
      <w:lang w:val="en-US" w:eastAsia="en-US"/>
    </w:rPr>
  </w:style>
  <w:style w:type="character" w:customStyle="1" w:styleId="NormalWebChar">
    <w:name w:val="Normal (Web) Char"/>
    <w:aliases w:val="Обычный (веб)1 Char,Обычный (веб) Знак Char,Обычный (веб) Знак1 Char,Обычный (веб) Знак Знак Char, Char Char Char Char,Char Char Char Char, Char Char Char1,Char Char Char Char Char Char Char Char Char Char Char Char Char Char Char Char"/>
    <w:link w:val="NormalWeb"/>
    <w:uiPriority w:val="99"/>
    <w:rsid w:val="0072454A"/>
    <w:rPr>
      <w:rFonts w:ascii="Times New Roman" w:hAnsi="Times New Roman"/>
      <w:sz w:val="24"/>
      <w:szCs w:val="24"/>
    </w:rPr>
  </w:style>
  <w:style w:type="paragraph" w:customStyle="1" w:styleId="CharChar1CharCharCharChar1CharCharCharCharCharCharCharChar">
    <w:name w:val="Char Char1 Char Char Char Char1 Char Char Char Char Char Char Char Char"/>
    <w:aliases w:val="Char Char1 Char Char Char Char1 Char Char Char Char Char Char Char Char Char Char Char Char"/>
    <w:basedOn w:val="Normal"/>
    <w:next w:val="Normal"/>
    <w:link w:val="FootnoteReference"/>
    <w:uiPriority w:val="99"/>
    <w:qFormat/>
    <w:rsid w:val="00977670"/>
    <w:pPr>
      <w:spacing w:after="160" w:line="240" w:lineRule="exact"/>
    </w:pPr>
    <w:rPr>
      <w:rFonts w:ascii="Calibri" w:eastAsia="Calibri" w:hAnsi="Calibri"/>
      <w:sz w:val="20"/>
      <w:szCs w:val="20"/>
      <w:vertAlign w:val="superscript"/>
    </w:rPr>
  </w:style>
  <w:style w:type="character" w:customStyle="1" w:styleId="a21">
    <w:name w:val="a21"/>
    <w:basedOn w:val="DefaultParagraphFont"/>
    <w:uiPriority w:val="99"/>
    <w:rsid w:val="00F12065"/>
    <w:rPr>
      <w:rFonts w:ascii="Arial" w:hAnsi="Arial" w:cs="Arial"/>
      <w:sz w:val="20"/>
      <w:szCs w:val="20"/>
      <w:u w:val="none"/>
      <w:effect w:val="none"/>
    </w:rPr>
  </w:style>
  <w:style w:type="paragraph" w:customStyle="1" w:styleId="Normal2">
    <w:name w:val="Normal2"/>
    <w:basedOn w:val="Normal"/>
    <w:rsid w:val="00C144DC"/>
    <w:pPr>
      <w:spacing w:before="100" w:beforeAutospacing="1" w:after="100" w:afterAutospacing="1"/>
    </w:pPr>
    <w:rPr>
      <w:rFonts w:ascii="Calibri" w:hAnsi="Calibri" w:cs="Calibri"/>
      <w:sz w:val="24"/>
      <w:szCs w:val="24"/>
      <w:lang w:val="en-US"/>
    </w:rPr>
  </w:style>
  <w:style w:type="paragraph" w:customStyle="1" w:styleId="list00203">
    <w:name w:val="list_00203"/>
    <w:basedOn w:val="Normal"/>
    <w:rsid w:val="00A939C1"/>
    <w:pPr>
      <w:spacing w:before="100" w:beforeAutospacing="1" w:after="100" w:afterAutospacing="1"/>
    </w:pPr>
    <w:rPr>
      <w:sz w:val="24"/>
      <w:szCs w:val="24"/>
      <w:lang w:val="en-US"/>
    </w:rPr>
  </w:style>
  <w:style w:type="paragraph" w:styleId="BodyText2">
    <w:name w:val="Body Text 2"/>
    <w:basedOn w:val="Normal"/>
    <w:link w:val="BodyText2Char"/>
    <w:uiPriority w:val="99"/>
    <w:unhideWhenUsed/>
    <w:rsid w:val="00AA004F"/>
    <w:pPr>
      <w:spacing w:after="120" w:line="480" w:lineRule="auto"/>
    </w:pPr>
    <w:rPr>
      <w:rFonts w:ascii="Calibri" w:eastAsia="Calibri" w:hAnsi="Calibri"/>
      <w:sz w:val="22"/>
      <w:szCs w:val="22"/>
      <w:lang w:val="en-US"/>
    </w:rPr>
  </w:style>
  <w:style w:type="character" w:customStyle="1" w:styleId="BodyText2Char">
    <w:name w:val="Body Text 2 Char"/>
    <w:basedOn w:val="DefaultParagraphFont"/>
    <w:link w:val="BodyText2"/>
    <w:uiPriority w:val="99"/>
    <w:rsid w:val="00AA004F"/>
    <w:rPr>
      <w:sz w:val="22"/>
      <w:szCs w:val="22"/>
    </w:rPr>
  </w:style>
  <w:style w:type="character" w:customStyle="1" w:styleId="ListParagraphChar">
    <w:name w:val="List Paragraph Char"/>
    <w:aliases w:val="bullet Char,bullet 1 Char,List Paragraph11 Char,Bullets Char,List Bullet-OpsManual Char,References Char,Title Style 1 Char,List Paragraph nowy Char,List Paragraph (numbered (a)) Char,Liste 1 Char,ANNEX Char,List Paragraph1 Char"/>
    <w:link w:val="ListParagraph"/>
    <w:uiPriority w:val="34"/>
    <w:rsid w:val="000E0E7B"/>
    <w:rPr>
      <w:rFonts w:ascii="Times New Roman" w:hAnsi="Times New Roman"/>
      <w:sz w:val="28"/>
      <w:szCs w:val="28"/>
      <w:lang w:val="vi-VN"/>
    </w:rPr>
  </w:style>
  <w:style w:type="character" w:customStyle="1" w:styleId="fontstyle01">
    <w:name w:val="fontstyle01"/>
    <w:rsid w:val="00390D55"/>
    <w:rPr>
      <w:rFonts w:ascii="Times New Roman" w:hAnsi="Times New Roman"/>
      <w:color w:val="000000"/>
      <w:sz w:val="28"/>
    </w:rPr>
  </w:style>
  <w:style w:type="table" w:styleId="TableGrid">
    <w:name w:val="Table Grid"/>
    <w:basedOn w:val="TableNormal"/>
    <w:uiPriority w:val="39"/>
    <w:locked/>
    <w:rsid w:val="00B40E0E"/>
    <w:rPr>
      <w:rFonts w:eastAsia="Times New Roman"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basedOn w:val="DefaultParagraphFont"/>
    <w:uiPriority w:val="99"/>
    <w:unhideWhenUsed/>
    <w:rsid w:val="003121AE"/>
    <w:rPr>
      <w:color w:val="0000FF" w:themeColor="hyperlink"/>
      <w:u w:val="single"/>
    </w:rPr>
  </w:style>
  <w:style w:type="character" w:styleId="CommentReference">
    <w:name w:val="annotation reference"/>
    <w:basedOn w:val="DefaultParagraphFont"/>
    <w:uiPriority w:val="99"/>
    <w:semiHidden/>
    <w:unhideWhenUsed/>
    <w:rsid w:val="003121AE"/>
    <w:rPr>
      <w:sz w:val="16"/>
      <w:szCs w:val="16"/>
    </w:rPr>
  </w:style>
  <w:style w:type="paragraph" w:styleId="CommentText">
    <w:name w:val="annotation text"/>
    <w:basedOn w:val="Normal"/>
    <w:link w:val="CommentTextChar"/>
    <w:uiPriority w:val="99"/>
    <w:unhideWhenUsed/>
    <w:rsid w:val="003121AE"/>
    <w:rPr>
      <w:sz w:val="20"/>
      <w:szCs w:val="20"/>
    </w:rPr>
  </w:style>
  <w:style w:type="character" w:customStyle="1" w:styleId="CommentTextChar">
    <w:name w:val="Comment Text Char"/>
    <w:basedOn w:val="DefaultParagraphFont"/>
    <w:link w:val="CommentText"/>
    <w:uiPriority w:val="99"/>
    <w:rsid w:val="003121AE"/>
    <w:rPr>
      <w:rFonts w:ascii="Times New Roman" w:eastAsia="Times New Roman" w:hAnsi="Times New Roman"/>
      <w:lang w:val="vi-VN"/>
    </w:rPr>
  </w:style>
  <w:style w:type="paragraph" w:customStyle="1" w:styleId="Normal11">
    <w:name w:val="Normal11"/>
    <w:basedOn w:val="Normal"/>
    <w:rsid w:val="00736430"/>
    <w:pPr>
      <w:spacing w:before="100" w:beforeAutospacing="1" w:after="100" w:afterAutospacing="1"/>
    </w:pPr>
    <w:rPr>
      <w:rFonts w:ascii="Calibri" w:hAnsi="Calibri" w:cs="Calibri"/>
      <w:sz w:val="24"/>
      <w:szCs w:val="24"/>
      <w:lang w:val="en-US"/>
    </w:rPr>
  </w:style>
  <w:style w:type="character" w:customStyle="1" w:styleId="text">
    <w:name w:val="text"/>
    <w:basedOn w:val="DefaultParagraphFont"/>
    <w:rsid w:val="008708C1"/>
  </w:style>
  <w:style w:type="paragraph" w:styleId="CommentSubject">
    <w:name w:val="annotation subject"/>
    <w:basedOn w:val="CommentText"/>
    <w:next w:val="CommentText"/>
    <w:link w:val="CommentSubjectChar"/>
    <w:uiPriority w:val="99"/>
    <w:semiHidden/>
    <w:unhideWhenUsed/>
    <w:rsid w:val="008A6421"/>
    <w:rPr>
      <w:b/>
      <w:bCs/>
    </w:rPr>
  </w:style>
  <w:style w:type="character" w:customStyle="1" w:styleId="CommentSubjectChar">
    <w:name w:val="Comment Subject Char"/>
    <w:basedOn w:val="CommentTextChar"/>
    <w:link w:val="CommentSubject"/>
    <w:uiPriority w:val="99"/>
    <w:semiHidden/>
    <w:rsid w:val="008A6421"/>
    <w:rPr>
      <w:rFonts w:ascii="Times New Roman" w:eastAsia="Times New Roman" w:hAnsi="Times New Roman"/>
      <w:b/>
      <w:bCs/>
      <w:lang w:val="vi-VN"/>
    </w:rPr>
  </w:style>
  <w:style w:type="character" w:customStyle="1" w:styleId="Heading2Char">
    <w:name w:val="Heading 2 Char"/>
    <w:basedOn w:val="DefaultParagraphFont"/>
    <w:link w:val="Heading2"/>
    <w:semiHidden/>
    <w:rsid w:val="009E0731"/>
    <w:rPr>
      <w:rFonts w:asciiTheme="majorHAnsi" w:eastAsiaTheme="majorEastAsia" w:hAnsiTheme="majorHAnsi" w:cstheme="majorBidi"/>
      <w:color w:val="365F91" w:themeColor="accent1" w:themeShade="BF"/>
      <w:sz w:val="26"/>
      <w:szCs w:val="26"/>
      <w:lang w:val="vi-VN"/>
    </w:rPr>
  </w:style>
  <w:style w:type="character" w:customStyle="1" w:styleId="y2iqfc">
    <w:name w:val="y2iqfc"/>
    <w:basedOn w:val="DefaultParagraphFont"/>
    <w:rsid w:val="00CE02B0"/>
  </w:style>
  <w:style w:type="paragraph" w:styleId="HTMLPreformatted">
    <w:name w:val="HTML Preformatted"/>
    <w:basedOn w:val="Normal"/>
    <w:link w:val="HTMLPreformattedChar"/>
    <w:uiPriority w:val="99"/>
    <w:unhideWhenUsed/>
    <w:rsid w:val="00CE02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rPr>
  </w:style>
  <w:style w:type="character" w:customStyle="1" w:styleId="HTMLPreformattedChar">
    <w:name w:val="HTML Preformatted Char"/>
    <w:basedOn w:val="DefaultParagraphFont"/>
    <w:link w:val="HTMLPreformatted"/>
    <w:uiPriority w:val="99"/>
    <w:rsid w:val="00CE02B0"/>
    <w:rPr>
      <w:rFonts w:ascii="Courier New" w:eastAsia="Times New Roman" w:hAnsi="Courier New" w:cs="Courier New"/>
    </w:rPr>
  </w:style>
  <w:style w:type="table" w:customStyle="1" w:styleId="TableGrid11">
    <w:name w:val="Table Grid11"/>
    <w:basedOn w:val="TableNormal"/>
    <w:next w:val="TableGrid"/>
    <w:uiPriority w:val="39"/>
    <w:locked/>
    <w:rsid w:val="00B02EE5"/>
    <w:rPr>
      <w:sz w:val="22"/>
      <w:szCs w:val="22"/>
      <w:lang w:val="en"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locked/>
    <w:rsid w:val="00B02EE5"/>
    <w:rPr>
      <w:sz w:val="22"/>
      <w:szCs w:val="22"/>
      <w:lang w:val="en"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7507503">
      <w:bodyDiv w:val="1"/>
      <w:marLeft w:val="0"/>
      <w:marRight w:val="0"/>
      <w:marTop w:val="0"/>
      <w:marBottom w:val="0"/>
      <w:divBdr>
        <w:top w:val="none" w:sz="0" w:space="0" w:color="auto"/>
        <w:left w:val="none" w:sz="0" w:space="0" w:color="auto"/>
        <w:bottom w:val="none" w:sz="0" w:space="0" w:color="auto"/>
        <w:right w:val="none" w:sz="0" w:space="0" w:color="auto"/>
      </w:divBdr>
    </w:div>
    <w:div w:id="953942521">
      <w:bodyDiv w:val="1"/>
      <w:marLeft w:val="0"/>
      <w:marRight w:val="0"/>
      <w:marTop w:val="0"/>
      <w:marBottom w:val="0"/>
      <w:divBdr>
        <w:top w:val="none" w:sz="0" w:space="0" w:color="auto"/>
        <w:left w:val="none" w:sz="0" w:space="0" w:color="auto"/>
        <w:bottom w:val="none" w:sz="0" w:space="0" w:color="auto"/>
        <w:right w:val="none" w:sz="0" w:space="0" w:color="auto"/>
      </w:divBdr>
    </w:div>
    <w:div w:id="1223909073">
      <w:bodyDiv w:val="1"/>
      <w:marLeft w:val="0"/>
      <w:marRight w:val="0"/>
      <w:marTop w:val="0"/>
      <w:marBottom w:val="0"/>
      <w:divBdr>
        <w:top w:val="none" w:sz="0" w:space="0" w:color="auto"/>
        <w:left w:val="none" w:sz="0" w:space="0" w:color="auto"/>
        <w:bottom w:val="none" w:sz="0" w:space="0" w:color="auto"/>
        <w:right w:val="none" w:sz="0" w:space="0" w:color="auto"/>
      </w:divBdr>
    </w:div>
    <w:div w:id="1259561667">
      <w:bodyDiv w:val="1"/>
      <w:marLeft w:val="0"/>
      <w:marRight w:val="0"/>
      <w:marTop w:val="0"/>
      <w:marBottom w:val="0"/>
      <w:divBdr>
        <w:top w:val="none" w:sz="0" w:space="0" w:color="auto"/>
        <w:left w:val="none" w:sz="0" w:space="0" w:color="auto"/>
        <w:bottom w:val="none" w:sz="0" w:space="0" w:color="auto"/>
        <w:right w:val="none" w:sz="0" w:space="0" w:color="auto"/>
      </w:divBdr>
      <w:divsChild>
        <w:div w:id="1187064768">
          <w:marLeft w:val="0"/>
          <w:marRight w:val="0"/>
          <w:marTop w:val="0"/>
          <w:marBottom w:val="0"/>
          <w:divBdr>
            <w:top w:val="none" w:sz="0" w:space="0" w:color="auto"/>
            <w:left w:val="none" w:sz="0" w:space="0" w:color="auto"/>
            <w:bottom w:val="none" w:sz="0" w:space="0" w:color="auto"/>
            <w:right w:val="none" w:sz="0" w:space="0" w:color="auto"/>
          </w:divBdr>
          <w:divsChild>
            <w:div w:id="224029912">
              <w:marLeft w:val="0"/>
              <w:marRight w:val="0"/>
              <w:marTop w:val="0"/>
              <w:marBottom w:val="0"/>
              <w:divBdr>
                <w:top w:val="none" w:sz="0" w:space="0" w:color="auto"/>
                <w:left w:val="none" w:sz="0" w:space="0" w:color="auto"/>
                <w:bottom w:val="none" w:sz="0" w:space="0" w:color="auto"/>
                <w:right w:val="none" w:sz="0" w:space="0" w:color="auto"/>
              </w:divBdr>
              <w:divsChild>
                <w:div w:id="469172538">
                  <w:marLeft w:val="0"/>
                  <w:marRight w:val="-90"/>
                  <w:marTop w:val="0"/>
                  <w:marBottom w:val="0"/>
                  <w:divBdr>
                    <w:top w:val="none" w:sz="0" w:space="0" w:color="auto"/>
                    <w:left w:val="none" w:sz="0" w:space="0" w:color="auto"/>
                    <w:bottom w:val="none" w:sz="0" w:space="0" w:color="auto"/>
                    <w:right w:val="none" w:sz="0" w:space="0" w:color="auto"/>
                  </w:divBdr>
                  <w:divsChild>
                    <w:div w:id="598755424">
                      <w:marLeft w:val="0"/>
                      <w:marRight w:val="0"/>
                      <w:marTop w:val="0"/>
                      <w:marBottom w:val="420"/>
                      <w:divBdr>
                        <w:top w:val="none" w:sz="0" w:space="0" w:color="auto"/>
                        <w:left w:val="none" w:sz="0" w:space="0" w:color="auto"/>
                        <w:bottom w:val="none" w:sz="0" w:space="0" w:color="auto"/>
                        <w:right w:val="none" w:sz="0" w:space="0" w:color="auto"/>
                      </w:divBdr>
                      <w:divsChild>
                        <w:div w:id="2085684072">
                          <w:marLeft w:val="240"/>
                          <w:marRight w:val="240"/>
                          <w:marTop w:val="0"/>
                          <w:marBottom w:val="165"/>
                          <w:divBdr>
                            <w:top w:val="none" w:sz="0" w:space="0" w:color="auto"/>
                            <w:left w:val="none" w:sz="0" w:space="0" w:color="auto"/>
                            <w:bottom w:val="none" w:sz="0" w:space="0" w:color="auto"/>
                            <w:right w:val="none" w:sz="0" w:space="0" w:color="auto"/>
                          </w:divBdr>
                          <w:divsChild>
                            <w:div w:id="2051833401">
                              <w:marLeft w:val="150"/>
                              <w:marRight w:val="0"/>
                              <w:marTop w:val="0"/>
                              <w:marBottom w:val="0"/>
                              <w:divBdr>
                                <w:top w:val="none" w:sz="0" w:space="0" w:color="auto"/>
                                <w:left w:val="none" w:sz="0" w:space="0" w:color="auto"/>
                                <w:bottom w:val="none" w:sz="0" w:space="0" w:color="auto"/>
                                <w:right w:val="none" w:sz="0" w:space="0" w:color="auto"/>
                              </w:divBdr>
                              <w:divsChild>
                                <w:div w:id="1353453976">
                                  <w:marLeft w:val="0"/>
                                  <w:marRight w:val="0"/>
                                  <w:marTop w:val="0"/>
                                  <w:marBottom w:val="0"/>
                                  <w:divBdr>
                                    <w:top w:val="none" w:sz="0" w:space="0" w:color="auto"/>
                                    <w:left w:val="none" w:sz="0" w:space="0" w:color="auto"/>
                                    <w:bottom w:val="none" w:sz="0" w:space="0" w:color="auto"/>
                                    <w:right w:val="none" w:sz="0" w:space="0" w:color="auto"/>
                                  </w:divBdr>
                                  <w:divsChild>
                                    <w:div w:id="296575041">
                                      <w:marLeft w:val="0"/>
                                      <w:marRight w:val="0"/>
                                      <w:marTop w:val="0"/>
                                      <w:marBottom w:val="0"/>
                                      <w:divBdr>
                                        <w:top w:val="none" w:sz="0" w:space="0" w:color="auto"/>
                                        <w:left w:val="none" w:sz="0" w:space="0" w:color="auto"/>
                                        <w:bottom w:val="none" w:sz="0" w:space="0" w:color="auto"/>
                                        <w:right w:val="none" w:sz="0" w:space="0" w:color="auto"/>
                                      </w:divBdr>
                                      <w:divsChild>
                                        <w:div w:id="1872911367">
                                          <w:marLeft w:val="0"/>
                                          <w:marRight w:val="0"/>
                                          <w:marTop w:val="0"/>
                                          <w:marBottom w:val="60"/>
                                          <w:divBdr>
                                            <w:top w:val="none" w:sz="0" w:space="0" w:color="auto"/>
                                            <w:left w:val="none" w:sz="0" w:space="0" w:color="auto"/>
                                            <w:bottom w:val="none" w:sz="0" w:space="0" w:color="auto"/>
                                            <w:right w:val="none" w:sz="0" w:space="0" w:color="auto"/>
                                          </w:divBdr>
                                          <w:divsChild>
                                            <w:div w:id="750004299">
                                              <w:marLeft w:val="0"/>
                                              <w:marRight w:val="0"/>
                                              <w:marTop w:val="0"/>
                                              <w:marBottom w:val="0"/>
                                              <w:divBdr>
                                                <w:top w:val="none" w:sz="0" w:space="0" w:color="auto"/>
                                                <w:left w:val="none" w:sz="0" w:space="0" w:color="auto"/>
                                                <w:bottom w:val="none" w:sz="0" w:space="0" w:color="auto"/>
                                                <w:right w:val="none" w:sz="0" w:space="0" w:color="auto"/>
                                              </w:divBdr>
                                            </w:div>
                                            <w:div w:id="178673444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18071516">
      <w:bodyDiv w:val="1"/>
      <w:marLeft w:val="0"/>
      <w:marRight w:val="0"/>
      <w:marTop w:val="0"/>
      <w:marBottom w:val="0"/>
      <w:divBdr>
        <w:top w:val="none" w:sz="0" w:space="0" w:color="auto"/>
        <w:left w:val="none" w:sz="0" w:space="0" w:color="auto"/>
        <w:bottom w:val="none" w:sz="0" w:space="0" w:color="auto"/>
        <w:right w:val="none" w:sz="0" w:space="0" w:color="auto"/>
      </w:divBdr>
    </w:div>
    <w:div w:id="1858348671">
      <w:bodyDiv w:val="1"/>
      <w:marLeft w:val="0"/>
      <w:marRight w:val="0"/>
      <w:marTop w:val="0"/>
      <w:marBottom w:val="0"/>
      <w:divBdr>
        <w:top w:val="none" w:sz="0" w:space="0" w:color="auto"/>
        <w:left w:val="none" w:sz="0" w:space="0" w:color="auto"/>
        <w:bottom w:val="none" w:sz="0" w:space="0" w:color="auto"/>
        <w:right w:val="none" w:sz="0" w:space="0" w:color="auto"/>
      </w:divBdr>
    </w:div>
    <w:div w:id="1940481420">
      <w:bodyDiv w:val="1"/>
      <w:marLeft w:val="0"/>
      <w:marRight w:val="0"/>
      <w:marTop w:val="0"/>
      <w:marBottom w:val="0"/>
      <w:divBdr>
        <w:top w:val="none" w:sz="0" w:space="0" w:color="auto"/>
        <w:left w:val="none" w:sz="0" w:space="0" w:color="auto"/>
        <w:bottom w:val="none" w:sz="0" w:space="0" w:color="auto"/>
        <w:right w:val="none" w:sz="0" w:space="0" w:color="auto"/>
      </w:divBdr>
    </w:div>
    <w:div w:id="2030912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chart" Target="charts/chart4.xml"/><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10.w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7.jpg"/><Relationship Id="rId25" Type="http://schemas.openxmlformats.org/officeDocument/2006/relationships/chart" Target="charts/chart7.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image" Target="media/image9.sv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hart" Target="charts/chart6.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chart" Target="charts/chart5.xml"/><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1.xml"/><Relationship Id="rId22" Type="http://schemas.openxmlformats.org/officeDocument/2006/relationships/image" Target="media/image11.wmf"/><Relationship Id="rId27" Type="http://schemas.openxmlformats.org/officeDocument/2006/relationships/header" Target="header1.xml"/></Relationships>
</file>

<file path=word/_rels/footnotes.xml.rels><?xml version="1.0" encoding="UTF-8" standalone="yes"?>
<Relationships xmlns="http://schemas.openxmlformats.org/package/2006/relationships"><Relationship Id="rId2" Type="http://schemas.openxmlformats.org/officeDocument/2006/relationships/hyperlink" Target="https://vasep.com.vn/gia-thuy-san/gia-trong-nuoc/gia-nguyen-lieu-thuy-san-tai-dong-thap-tu-10-01-16-01-2025-24733.html" TargetMode="External"/><Relationship Id="rId1" Type="http://schemas.openxmlformats.org/officeDocument/2006/relationships/hyperlink" Target="https://vasep.com.vn/gia-thuy-san/gia-trong-nuoc/gia-nguyen-lieu-thuy-san-tai-dong-thap-tu-10-01-16-01-2025-24733.html"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oleObject" Target="file:///C:\Users\btphuong\Desktop\Ph&#432;&#7907;ng%202024\B&#225;o%20c&#225;o%20th&#225;ng\T5%202023\T5%202023\Bi&#7875;u%20&#273;&#7891;%20th&#225;ng%20ti&#7871;ng%20T2%202024.xlsx" TargetMode="Externa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C:\Users\btphuong\Desktop\N&#259;m%202025\b&#225;o%20cao%20th&#225;ng\th&#225;ng%201%202025\bi&#7875;u%20&#273;&#7891;%20FDI%20T1%202025.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btphuong\Desktop\Ph&#432;&#7907;ng%202024\B&#225;o%20c&#225;o%20th&#225;ng\T7%202024\bi&#7875;u%20&#273;&#7891;%20FDI%202.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gsofs05\tkth02\01%20Bao%20cao%20thang\2025\Thang%201\Chuyen%20vien\&#272;&#244;&#768;%20thi&#803;%20t&#244;&#777;ng%20m&#432;&#769;c%201.2025.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D:\02%20BAO%20CAO\NAM2025\Th&#225;ng%201.2025\V&#7909;%20TH\Bi&#7875;u%20&#273;&#7891;%20XNK%20T1.2025.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D:\02%20BAO%20CAO\NAM2025\Th&#225;ng%201.2025\V&#7909;%20TH\Bi&#7875;u%20&#273;&#7891;%20XNK%20T1.2025.xlsx" TargetMode="External"/></Relationships>
</file>

<file path=word/charts/_rels/chart7.xml.rels><?xml version="1.0" encoding="UTF-8" standalone="yes"?>
<Relationships xmlns="http://schemas.openxmlformats.org/package/2006/relationships"><Relationship Id="rId2" Type="http://schemas.openxmlformats.org/officeDocument/2006/relationships/oleObject" Target="file:///D:\BAO%20CAO%20THANG\Loi%20van\2025\Bi&#7875;u%20&#273;&#7891;%20CPI%2001.2025%20Eng.xlsx" TargetMode="External"/><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2701543582866915E-2"/>
          <c:y val="0.12987603202472423"/>
          <c:w val="0.89996767604437333"/>
          <c:h val="0.66574137320055682"/>
        </c:manualLayout>
      </c:layout>
      <c:barChart>
        <c:barDir val="col"/>
        <c:grouping val="clustered"/>
        <c:varyColors val="0"/>
        <c:ser>
          <c:idx val="0"/>
          <c:order val="0"/>
          <c:tx>
            <c:strRef>
              <c:f>'Tiếng Anh Figure 7. Localities'!$C$4</c:f>
              <c:strCache>
                <c:ptCount val="1"/>
                <c:pt idx="0">
                  <c:v> January, 2024</c:v>
                </c:pt>
              </c:strCache>
            </c:strRef>
          </c:tx>
          <c:spPr>
            <a:solidFill>
              <a:srgbClr val="CFB09D"/>
            </a:solidFill>
            <a:ln>
              <a:noFill/>
            </a:ln>
            <a:effectLst/>
          </c:spPr>
          <c:invertIfNegative val="0"/>
          <c:cat>
            <c:strRef>
              <c:f>'Tiếng Anh Figure 7. Localities'!$B$5:$B$13</c:f>
              <c:strCache>
                <c:ptCount val="9"/>
                <c:pt idx="0">
                  <c:v>Ha Noi</c:v>
                </c:pt>
                <c:pt idx="1">
                  <c:v>Ho Chi Minh city</c:v>
                </c:pt>
                <c:pt idx="2">
                  <c:v>Hung Yen</c:v>
                </c:pt>
                <c:pt idx="3">
                  <c:v>Ba Ria - Vung Tau</c:v>
                </c:pt>
                <c:pt idx="4">
                  <c:v>Hai Phong</c:v>
                </c:pt>
                <c:pt idx="5">
                  <c:v>Binh Duong</c:v>
                </c:pt>
                <c:pt idx="6">
                  <c:v>Dong Nai</c:v>
                </c:pt>
                <c:pt idx="7">
                  <c:v>Thanh Hoa</c:v>
                </c:pt>
                <c:pt idx="8">
                  <c:v>Quang Ninh</c:v>
                </c:pt>
              </c:strCache>
            </c:strRef>
          </c:cat>
          <c:val>
            <c:numRef>
              <c:f>'Tiếng Anh Figure 7. Localities'!$C$5:$C$13</c:f>
              <c:numCache>
                <c:formatCode>0.0</c:formatCode>
                <c:ptCount val="9"/>
                <c:pt idx="0">
                  <c:v>3971.0120000000002</c:v>
                </c:pt>
                <c:pt idx="1">
                  <c:v>1706.7180000000001</c:v>
                </c:pt>
                <c:pt idx="2">
                  <c:v>936.88199999999995</c:v>
                </c:pt>
                <c:pt idx="3">
                  <c:v>927.67700000000002</c:v>
                </c:pt>
                <c:pt idx="4">
                  <c:v>870.46299999999997</c:v>
                </c:pt>
                <c:pt idx="5">
                  <c:v>924.60500000000002</c:v>
                </c:pt>
                <c:pt idx="6">
                  <c:v>698.15499999999997</c:v>
                </c:pt>
                <c:pt idx="7">
                  <c:v>627.21</c:v>
                </c:pt>
                <c:pt idx="8">
                  <c:v>831.34100000000001</c:v>
                </c:pt>
              </c:numCache>
            </c:numRef>
          </c:val>
          <c:extLst>
            <c:ext xmlns:c16="http://schemas.microsoft.com/office/drawing/2014/chart" uri="{C3380CC4-5D6E-409C-BE32-E72D297353CC}">
              <c16:uniqueId val="{00000000-EC5A-4916-8CA0-07EB3E3C9C50}"/>
            </c:ext>
          </c:extLst>
        </c:ser>
        <c:ser>
          <c:idx val="1"/>
          <c:order val="1"/>
          <c:tx>
            <c:strRef>
              <c:f>'Tiếng Anh Figure 7. Localities'!$D$4</c:f>
              <c:strCache>
                <c:ptCount val="1"/>
                <c:pt idx="0">
                  <c:v> January, 2025</c:v>
                </c:pt>
              </c:strCache>
            </c:strRef>
          </c:tx>
          <c:spPr>
            <a:solidFill>
              <a:srgbClr val="C84863"/>
            </a:solidFill>
            <a:ln>
              <a:noFill/>
            </a:ln>
            <a:effectLst/>
          </c:spPr>
          <c:invertIfNegative val="0"/>
          <c:dLbls>
            <c:dLbl>
              <c:idx val="2"/>
              <c:layout>
                <c:manualLayout>
                  <c:x val="1.3714284068777314E-2"/>
                  <c:y val="-2.560655269667337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C5A-4916-8CA0-07EB3E3C9C50}"/>
                </c:ext>
              </c:extLst>
            </c:dLbl>
            <c:numFmt formatCode="#,##0.0" sourceLinked="0"/>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'Tiếng Anh Figure 7. Localities'!$B$5:$B$13</c:f>
              <c:strCache>
                <c:ptCount val="9"/>
                <c:pt idx="0">
                  <c:v>Ha Noi</c:v>
                </c:pt>
                <c:pt idx="1">
                  <c:v>Ho Chi Minh city</c:v>
                </c:pt>
                <c:pt idx="2">
                  <c:v>Hung Yen</c:v>
                </c:pt>
                <c:pt idx="3">
                  <c:v>Ba Ria - Vung Tau</c:v>
                </c:pt>
                <c:pt idx="4">
                  <c:v>Hai Phong</c:v>
                </c:pt>
                <c:pt idx="5">
                  <c:v>Binh Duong</c:v>
                </c:pt>
                <c:pt idx="6">
                  <c:v>Dong Nai</c:v>
                </c:pt>
                <c:pt idx="7">
                  <c:v>Thanh Hoa</c:v>
                </c:pt>
                <c:pt idx="8">
                  <c:v>Quang Ninh</c:v>
                </c:pt>
              </c:strCache>
            </c:strRef>
          </c:cat>
          <c:val>
            <c:numRef>
              <c:f>'Tiếng Anh Figure 7. Localities'!$D$5:$D$13</c:f>
              <c:numCache>
                <c:formatCode>0.0</c:formatCode>
                <c:ptCount val="9"/>
                <c:pt idx="0">
                  <c:v>5126.076</c:v>
                </c:pt>
                <c:pt idx="1">
                  <c:v>1700.57</c:v>
                </c:pt>
                <c:pt idx="2">
                  <c:v>1593.827</c:v>
                </c:pt>
                <c:pt idx="3">
                  <c:v>938.98</c:v>
                </c:pt>
                <c:pt idx="4">
                  <c:v>892.08500000000004</c:v>
                </c:pt>
                <c:pt idx="5">
                  <c:v>839.57500000000005</c:v>
                </c:pt>
                <c:pt idx="6">
                  <c:v>734.63400000000001</c:v>
                </c:pt>
                <c:pt idx="7">
                  <c:v>692.16099999999994</c:v>
                </c:pt>
                <c:pt idx="8">
                  <c:v>677.34799999999996</c:v>
                </c:pt>
              </c:numCache>
            </c:numRef>
          </c:val>
          <c:extLst>
            <c:ext xmlns:c16="http://schemas.microsoft.com/office/drawing/2014/chart" uri="{C3380CC4-5D6E-409C-BE32-E72D297353CC}">
              <c16:uniqueId val="{00000002-EC5A-4916-8CA0-07EB3E3C9C50}"/>
            </c:ext>
          </c:extLst>
        </c:ser>
        <c:dLbls>
          <c:showLegendKey val="0"/>
          <c:showVal val="0"/>
          <c:showCatName val="0"/>
          <c:showSerName val="0"/>
          <c:showPercent val="0"/>
          <c:showBubbleSize val="0"/>
        </c:dLbls>
        <c:gapWidth val="36"/>
        <c:axId val="1071630944"/>
        <c:axId val="1071632576"/>
      </c:barChart>
      <c:catAx>
        <c:axId val="1071630944"/>
        <c:scaling>
          <c:orientation val="minMax"/>
        </c:scaling>
        <c:delete val="0"/>
        <c:axPos val="b"/>
        <c:numFmt formatCode="General" sourceLinked="1"/>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071632576"/>
        <c:crosses val="autoZero"/>
        <c:auto val="1"/>
        <c:lblAlgn val="ctr"/>
        <c:lblOffset val="100"/>
        <c:noMultiLvlLbl val="0"/>
      </c:catAx>
      <c:valAx>
        <c:axId val="1071632576"/>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1071630944"/>
        <c:crosses val="autoZero"/>
        <c:crossBetween val="between"/>
      </c:valAx>
      <c:spPr>
        <a:noFill/>
        <a:ln>
          <a:noFill/>
        </a:ln>
        <a:effectLst/>
      </c:spPr>
    </c:plotArea>
    <c:legend>
      <c:legendPos val="b"/>
      <c:layout>
        <c:manualLayout>
          <c:xMode val="edge"/>
          <c:yMode val="edge"/>
          <c:x val="9.8974536306017394E-2"/>
          <c:y val="0.91190493008954354"/>
          <c:w val="0.79532792856957735"/>
          <c:h val="6.5832311858115375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0" cap="flat" cmpd="sng" algn="ctr">
      <a:solidFill>
        <a:schemeClr val="tx1">
          <a:lumMod val="15000"/>
          <a:lumOff val="85000"/>
        </a:schemeClr>
      </a:solidFill>
      <a:round/>
    </a:ln>
    <a:effectLst/>
  </c:spPr>
  <c:txPr>
    <a:bodyPr/>
    <a:lstStyle/>
    <a:p>
      <a:pPr>
        <a:defRPr b="1"/>
      </a:pPr>
      <a:endParaRPr lang="en-US"/>
    </a:p>
  </c:txPr>
  <c:externalData r:id="rId4">
    <c:autoUpdate val="0"/>
  </c:externalData>
  <c:userShapes r:id="rId5"/>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248964776558304"/>
          <c:y val="2.3068050749711605E-2"/>
          <c:w val="0.81632143903237475"/>
          <c:h val="0.68828706100318771"/>
        </c:manualLayout>
      </c:layout>
      <c:barChart>
        <c:barDir val="bar"/>
        <c:grouping val="stacked"/>
        <c:varyColors val="0"/>
        <c:ser>
          <c:idx val="0"/>
          <c:order val="0"/>
          <c:tx>
            <c:strRef>
              <c:f>'04. FDI SO SANH '!$A$16</c:f>
              <c:strCache>
                <c:ptCount val="1"/>
                <c:pt idx="0">
                  <c:v>Newly register capital</c:v>
                </c:pt>
              </c:strCache>
            </c:strRef>
          </c:tx>
          <c:invertIfNegative val="0"/>
          <c:dLbls>
            <c:dLbl>
              <c:idx val="0"/>
              <c:tx>
                <c:rich>
                  <a:bodyPr/>
                  <a:lstStyle/>
                  <a:p>
                    <a:r>
                      <a:rPr lang="en-US"/>
                      <a:t>1,32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F100-4EA8-82D9-C921A1138217}"/>
                </c:ext>
              </c:extLst>
            </c:dLbl>
            <c:dLbl>
              <c:idx val="1"/>
              <c:tx>
                <c:rich>
                  <a:bodyPr/>
                  <a:lstStyle/>
                  <a:p>
                    <a:r>
                      <a:rPr lang="en-US"/>
                      <a:t>0,39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F100-4EA8-82D9-C921A1138217}"/>
                </c:ext>
              </c:extLst>
            </c:dLbl>
            <c:dLbl>
              <c:idx val="2"/>
              <c:tx>
                <c:rich>
                  <a:bodyPr/>
                  <a:lstStyle/>
                  <a:p>
                    <a:r>
                      <a:rPr lang="en-US"/>
                      <a:t>1,20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F100-4EA8-82D9-C921A1138217}"/>
                </c:ext>
              </c:extLst>
            </c:dLbl>
            <c:dLbl>
              <c:idx val="3"/>
              <c:tx>
                <c:rich>
                  <a:bodyPr/>
                  <a:lstStyle/>
                  <a:p>
                    <a:r>
                      <a:rPr lang="en-US"/>
                      <a:t>2,28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F100-4EA8-82D9-C921A1138217}"/>
                </c:ext>
              </c:extLst>
            </c:dLbl>
            <c:dLbl>
              <c:idx val="4"/>
              <c:tx>
                <c:rich>
                  <a:bodyPr/>
                  <a:lstStyle/>
                  <a:p>
                    <a:r>
                      <a:rPr lang="en-US"/>
                      <a:t>1,29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F100-4EA8-82D9-C921A1138217}"/>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'04. FDI SO SANH '!$B$15:$F$15</c:f>
              <c:numCache>
                <c:formatCode>General</c:formatCode>
                <c:ptCount val="5"/>
                <c:pt idx="0">
                  <c:v>2021</c:v>
                </c:pt>
                <c:pt idx="1">
                  <c:v>2022</c:v>
                </c:pt>
                <c:pt idx="2">
                  <c:v>2023</c:v>
                </c:pt>
                <c:pt idx="3">
                  <c:v>2024</c:v>
                </c:pt>
                <c:pt idx="4">
                  <c:v>2025</c:v>
                </c:pt>
              </c:numCache>
            </c:numRef>
          </c:cat>
          <c:val>
            <c:numRef>
              <c:f>'04. FDI SO SANH '!$B$16:$F$16</c:f>
              <c:numCache>
                <c:formatCode>0.00</c:formatCode>
                <c:ptCount val="5"/>
                <c:pt idx="0">
                  <c:v>1.3235359219999998</c:v>
                </c:pt>
                <c:pt idx="1">
                  <c:v>0.38795639920000002</c:v>
                </c:pt>
                <c:pt idx="2">
                  <c:v>1.2049149756799999</c:v>
                </c:pt>
                <c:pt idx="3">
                  <c:v>2.2814353189099994</c:v>
                </c:pt>
                <c:pt idx="4">
                  <c:v>1.2868350724599995</c:v>
                </c:pt>
              </c:numCache>
            </c:numRef>
          </c:val>
          <c:extLst>
            <c:ext xmlns:c16="http://schemas.microsoft.com/office/drawing/2014/chart" uri="{C3380CC4-5D6E-409C-BE32-E72D297353CC}">
              <c16:uniqueId val="{00000005-F100-4EA8-82D9-C921A1138217}"/>
            </c:ext>
          </c:extLst>
        </c:ser>
        <c:ser>
          <c:idx val="1"/>
          <c:order val="1"/>
          <c:tx>
            <c:strRef>
              <c:f>'04. FDI SO SANH '!$A$17</c:f>
              <c:strCache>
                <c:ptCount val="1"/>
                <c:pt idx="0">
                  <c:v>Adjust register capital</c:v>
                </c:pt>
              </c:strCache>
            </c:strRef>
          </c:tx>
          <c:invertIfNegative val="0"/>
          <c:dLbls>
            <c:dLbl>
              <c:idx val="0"/>
              <c:tx>
                <c:rich>
                  <a:bodyPr/>
                  <a:lstStyle/>
                  <a:p>
                    <a:r>
                      <a:rPr lang="en-US"/>
                      <a:t>0,47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F100-4EA8-82D9-C921A1138217}"/>
                </c:ext>
              </c:extLst>
            </c:dLbl>
            <c:dLbl>
              <c:idx val="1"/>
              <c:tx>
                <c:rich>
                  <a:bodyPr/>
                  <a:lstStyle/>
                  <a:p>
                    <a:r>
                      <a:rPr lang="en-US"/>
                      <a:t>1,27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F100-4EA8-82D9-C921A1138217}"/>
                </c:ext>
              </c:extLst>
            </c:dLbl>
            <c:dLbl>
              <c:idx val="2"/>
              <c:tx>
                <c:rich>
                  <a:bodyPr wrap="square" lIns="38100" tIns="19050" rIns="38100" bIns="19050" anchor="ctr">
                    <a:noAutofit/>
                  </a:bodyPr>
                  <a:lstStyle/>
                  <a:p>
                    <a:pPr>
                      <a:defRPr/>
                    </a:pPr>
                    <a:r>
                      <a:rPr lang="en-US"/>
                      <a:t>0,31</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showDataLabelsRange val="0"/>
                </c:ext>
                <c:ext xmlns:c16="http://schemas.microsoft.com/office/drawing/2014/chart" uri="{C3380CC4-5D6E-409C-BE32-E72D297353CC}">
                  <c16:uniqueId val="{00000008-F100-4EA8-82D9-C921A1138217}"/>
                </c:ext>
              </c:extLst>
            </c:dLbl>
            <c:dLbl>
              <c:idx val="3"/>
              <c:layout>
                <c:manualLayout>
                  <c:x val="7.207205843852202E-3"/>
                  <c:y val="0"/>
                </c:manualLayout>
              </c:layout>
              <c:tx>
                <c:rich>
                  <a:bodyPr/>
                  <a:lstStyle/>
                  <a:p>
                    <a:r>
                      <a:rPr lang="en-US"/>
                      <a:t>0,45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F100-4EA8-82D9-C921A1138217}"/>
                </c:ext>
              </c:extLst>
            </c:dLbl>
            <c:dLbl>
              <c:idx val="4"/>
              <c:tx>
                <c:rich>
                  <a:bodyPr/>
                  <a:lstStyle/>
                  <a:p>
                    <a:r>
                      <a:rPr lang="en-US"/>
                      <a:t>2,73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F100-4EA8-82D9-C921A1138217}"/>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'04. FDI SO SANH '!$B$15:$F$15</c:f>
              <c:numCache>
                <c:formatCode>General</c:formatCode>
                <c:ptCount val="5"/>
                <c:pt idx="0">
                  <c:v>2021</c:v>
                </c:pt>
                <c:pt idx="1">
                  <c:v>2022</c:v>
                </c:pt>
                <c:pt idx="2">
                  <c:v>2023</c:v>
                </c:pt>
                <c:pt idx="3">
                  <c:v>2024</c:v>
                </c:pt>
                <c:pt idx="4">
                  <c:v>2025</c:v>
                </c:pt>
              </c:numCache>
            </c:numRef>
          </c:cat>
          <c:val>
            <c:numRef>
              <c:f>'04. FDI SO SANH '!$B$17:$F$17</c:f>
              <c:numCache>
                <c:formatCode>0.00</c:formatCode>
                <c:ptCount val="5"/>
                <c:pt idx="0">
                  <c:v>0.47223227128125006</c:v>
                </c:pt>
                <c:pt idx="1">
                  <c:v>1.2702599019062502</c:v>
                </c:pt>
                <c:pt idx="2">
                  <c:v>0.30629323181249996</c:v>
                </c:pt>
                <c:pt idx="3">
                  <c:v>0.44701473701806632</c:v>
                </c:pt>
                <c:pt idx="4">
                  <c:v>2.7250000000000001</c:v>
                </c:pt>
              </c:numCache>
            </c:numRef>
          </c:val>
          <c:extLst>
            <c:ext xmlns:c16="http://schemas.microsoft.com/office/drawing/2014/chart" uri="{C3380CC4-5D6E-409C-BE32-E72D297353CC}">
              <c16:uniqueId val="{0000000B-F100-4EA8-82D9-C921A1138217}"/>
            </c:ext>
          </c:extLst>
        </c:ser>
        <c:ser>
          <c:idx val="2"/>
          <c:order val="2"/>
          <c:tx>
            <c:strRef>
              <c:f>'04. FDI SO SANH '!$A$18</c:f>
              <c:strCache>
                <c:ptCount val="1"/>
                <c:pt idx="0">
                  <c:v>Total value of capital contribution and share purchases of foreign investor</c:v>
                </c:pt>
              </c:strCache>
            </c:strRef>
          </c:tx>
          <c:invertIfNegative val="0"/>
          <c:dLbls>
            <c:dLbl>
              <c:idx val="0"/>
              <c:tx>
                <c:rich>
                  <a:bodyPr/>
                  <a:lstStyle/>
                  <a:p>
                    <a:r>
                      <a:rPr lang="en-US"/>
                      <a:t>0,22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F100-4EA8-82D9-C921A1138217}"/>
                </c:ext>
              </c:extLst>
            </c:dLbl>
            <c:dLbl>
              <c:idx val="1"/>
              <c:tx>
                <c:rich>
                  <a:bodyPr/>
                  <a:lstStyle/>
                  <a:p>
                    <a:r>
                      <a:rPr lang="en-US" baseline="0"/>
                      <a:t>0,44</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F100-4EA8-82D9-C921A1138217}"/>
                </c:ext>
              </c:extLst>
            </c:dLbl>
            <c:dLbl>
              <c:idx val="2"/>
              <c:layout>
                <c:manualLayout>
                  <c:x val="3.603602921926094E-2"/>
                  <c:y val="-3.819400322405998E-17"/>
                </c:manualLayout>
              </c:layout>
              <c:tx>
                <c:rich>
                  <a:bodyPr/>
                  <a:lstStyle/>
                  <a:p>
                    <a:r>
                      <a:rPr lang="en-US"/>
                      <a:t>0,17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E-F100-4EA8-82D9-C921A1138217}"/>
                </c:ext>
              </c:extLst>
            </c:dLbl>
            <c:dLbl>
              <c:idx val="3"/>
              <c:layout>
                <c:manualLayout>
                  <c:x val="3.3633721854064109E-2"/>
                  <c:y val="0"/>
                </c:manualLayout>
              </c:layout>
              <c:tx>
                <c:rich>
                  <a:bodyPr wrap="square" lIns="38100" tIns="19050" rIns="38100" bIns="19050" anchor="ctr">
                    <a:noAutofit/>
                  </a:bodyPr>
                  <a:lstStyle/>
                  <a:p>
                    <a:pPr>
                      <a:defRPr/>
                    </a:pPr>
                    <a:r>
                      <a:rPr lang="en-US"/>
                      <a:t>0,19</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layout>
                    <c:manualLayout>
                      <c:w val="0.11112300751970725"/>
                      <c:h val="7.1687664041994753E-2"/>
                    </c:manualLayout>
                  </c15:layout>
                  <c15:showDataLabelsRange val="0"/>
                </c:ext>
                <c:ext xmlns:c16="http://schemas.microsoft.com/office/drawing/2014/chart" uri="{C3380CC4-5D6E-409C-BE32-E72D297353CC}">
                  <c16:uniqueId val="{0000000F-F100-4EA8-82D9-C921A1138217}"/>
                </c:ext>
              </c:extLst>
            </c:dLbl>
            <c:dLbl>
              <c:idx val="4"/>
              <c:layout>
                <c:manualLayout>
                  <c:x val="2.4024019479507323E-2"/>
                  <c:y val="0"/>
                </c:manualLayout>
              </c:layout>
              <c:tx>
                <c:rich>
                  <a:bodyPr/>
                  <a:lstStyle/>
                  <a:p>
                    <a:r>
                      <a:rPr lang="en-US"/>
                      <a:t> 0,32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0-F100-4EA8-82D9-C921A1138217}"/>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'04. FDI SO SANH '!$B$15:$F$15</c:f>
              <c:numCache>
                <c:formatCode>General</c:formatCode>
                <c:ptCount val="5"/>
                <c:pt idx="0">
                  <c:v>2021</c:v>
                </c:pt>
                <c:pt idx="1">
                  <c:v>2022</c:v>
                </c:pt>
                <c:pt idx="2">
                  <c:v>2023</c:v>
                </c:pt>
                <c:pt idx="3">
                  <c:v>2024</c:v>
                </c:pt>
                <c:pt idx="4">
                  <c:v>2025</c:v>
                </c:pt>
              </c:numCache>
            </c:numRef>
          </c:cat>
          <c:val>
            <c:numRef>
              <c:f>'04. FDI SO SANH '!$B$18:$F$18</c:f>
              <c:numCache>
                <c:formatCode>0.00</c:formatCode>
                <c:ptCount val="5"/>
                <c:pt idx="0">
                  <c:v>0.2208036407407277</c:v>
                </c:pt>
                <c:pt idx="1">
                  <c:v>0.44349827085500004</c:v>
                </c:pt>
                <c:pt idx="2">
                  <c:v>0.17414084215999998</c:v>
                </c:pt>
                <c:pt idx="3">
                  <c:v>0.18946035368000005</c:v>
                </c:pt>
                <c:pt idx="4">
                  <c:v>0.32285922788999988</c:v>
                </c:pt>
              </c:numCache>
            </c:numRef>
          </c:val>
          <c:extLst>
            <c:ext xmlns:c16="http://schemas.microsoft.com/office/drawing/2014/chart" uri="{C3380CC4-5D6E-409C-BE32-E72D297353CC}">
              <c16:uniqueId val="{00000011-F100-4EA8-82D9-C921A1138217}"/>
            </c:ext>
          </c:extLst>
        </c:ser>
        <c:dLbls>
          <c:showLegendKey val="0"/>
          <c:showVal val="0"/>
          <c:showCatName val="0"/>
          <c:showSerName val="0"/>
          <c:showPercent val="0"/>
          <c:showBubbleSize val="0"/>
        </c:dLbls>
        <c:gapWidth val="150"/>
        <c:overlap val="100"/>
        <c:axId val="-1874218784"/>
        <c:axId val="-1874232928"/>
      </c:barChart>
      <c:catAx>
        <c:axId val="-1874218784"/>
        <c:scaling>
          <c:orientation val="minMax"/>
        </c:scaling>
        <c:delete val="0"/>
        <c:axPos val="l"/>
        <c:numFmt formatCode="General" sourceLinked="1"/>
        <c:majorTickMark val="out"/>
        <c:minorTickMark val="none"/>
        <c:tickLblPos val="nextTo"/>
        <c:crossAx val="-1874232928"/>
        <c:crosses val="autoZero"/>
        <c:auto val="1"/>
        <c:lblAlgn val="ctr"/>
        <c:lblOffset val="100"/>
        <c:noMultiLvlLbl val="0"/>
      </c:catAx>
      <c:valAx>
        <c:axId val="-1874232928"/>
        <c:scaling>
          <c:orientation val="minMax"/>
        </c:scaling>
        <c:delete val="0"/>
        <c:axPos val="b"/>
        <c:majorGridlines/>
        <c:numFmt formatCode="0.00" sourceLinked="1"/>
        <c:majorTickMark val="out"/>
        <c:minorTickMark val="none"/>
        <c:tickLblPos val="nextTo"/>
        <c:crossAx val="-1874218784"/>
        <c:crosses val="autoZero"/>
        <c:crossBetween val="between"/>
      </c:valAx>
    </c:plotArea>
    <c:legend>
      <c:legendPos val="b"/>
      <c:overlay val="0"/>
    </c:legend>
    <c:plotVisOnly val="1"/>
    <c:dispBlanksAs val="gap"/>
    <c:showDLblsOverMax val="0"/>
  </c:chart>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Sheet1!$B$4:$F$4</c:f>
              <c:numCache>
                <c:formatCode>General</c:formatCode>
                <c:ptCount val="5"/>
                <c:pt idx="0">
                  <c:v>2021</c:v>
                </c:pt>
                <c:pt idx="1">
                  <c:v>2022</c:v>
                </c:pt>
                <c:pt idx="2">
                  <c:v>2023</c:v>
                </c:pt>
                <c:pt idx="3">
                  <c:v>2024</c:v>
                </c:pt>
                <c:pt idx="4">
                  <c:v>2025</c:v>
                </c:pt>
              </c:numCache>
            </c:numRef>
          </c:cat>
          <c:val>
            <c:numRef>
              <c:f>Sheet1!$B$5:$F$5</c:f>
              <c:numCache>
                <c:formatCode>0.00</c:formatCode>
                <c:ptCount val="5"/>
                <c:pt idx="0">
                  <c:v>1.51</c:v>
                </c:pt>
                <c:pt idx="1">
                  <c:v>1.6120000000000001</c:v>
                </c:pt>
                <c:pt idx="2">
                  <c:v>1.35</c:v>
                </c:pt>
                <c:pt idx="3">
                  <c:v>1.48</c:v>
                </c:pt>
                <c:pt idx="4">
                  <c:v>1.51</c:v>
                </c:pt>
              </c:numCache>
            </c:numRef>
          </c:val>
          <c:extLst>
            <c:ext xmlns:c16="http://schemas.microsoft.com/office/drawing/2014/chart" uri="{C3380CC4-5D6E-409C-BE32-E72D297353CC}">
              <c16:uniqueId val="{00000000-3FDE-43EB-97A6-429BAE4BF2A7}"/>
            </c:ext>
          </c:extLst>
        </c:ser>
        <c:dLbls>
          <c:showLegendKey val="0"/>
          <c:showVal val="0"/>
          <c:showCatName val="0"/>
          <c:showSerName val="0"/>
          <c:showPercent val="0"/>
          <c:showBubbleSize val="0"/>
        </c:dLbls>
        <c:gapWidth val="219"/>
        <c:overlap val="-27"/>
        <c:axId val="108849792"/>
        <c:axId val="108971136"/>
      </c:barChart>
      <c:catAx>
        <c:axId val="108849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08971136"/>
        <c:crosses val="autoZero"/>
        <c:auto val="1"/>
        <c:lblAlgn val="ctr"/>
        <c:lblOffset val="100"/>
        <c:noMultiLvlLbl val="0"/>
      </c:catAx>
      <c:valAx>
        <c:axId val="108971136"/>
        <c:scaling>
          <c:orientation val="minMax"/>
        </c:scaling>
        <c:delete val="1"/>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1088497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EN!$A$4</c:f>
              <c:strCache>
                <c:ptCount val="1"/>
                <c:pt idx="0">
                  <c:v>Total (Trillion dongs)</c:v>
                </c:pt>
              </c:strCache>
            </c:strRef>
          </c:tx>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2">
                        <a:lumMod val="7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EN!$B$3:$F$3</c:f>
              <c:numCache>
                <c:formatCode>General</c:formatCode>
                <c:ptCount val="5"/>
                <c:pt idx="0">
                  <c:v>2021</c:v>
                </c:pt>
                <c:pt idx="1">
                  <c:v>2022</c:v>
                </c:pt>
                <c:pt idx="2">
                  <c:v>2023</c:v>
                </c:pt>
                <c:pt idx="3">
                  <c:v>2024</c:v>
                </c:pt>
                <c:pt idx="4">
                  <c:v>2025</c:v>
                </c:pt>
              </c:numCache>
            </c:numRef>
          </c:cat>
          <c:val>
            <c:numRef>
              <c:f>EN!$B$4:$F$4</c:f>
              <c:numCache>
                <c:formatCode>0.0</c:formatCode>
                <c:ptCount val="5"/>
                <c:pt idx="0">
                  <c:v>420.22723135100114</c:v>
                </c:pt>
                <c:pt idx="1">
                  <c:v>427.75205630610407</c:v>
                </c:pt>
                <c:pt idx="2">
                  <c:v>484.79681723414507</c:v>
                </c:pt>
                <c:pt idx="3">
                  <c:v>523.78160907794052</c:v>
                </c:pt>
                <c:pt idx="4">
                  <c:v>573.31639172392693</c:v>
                </c:pt>
              </c:numCache>
            </c:numRef>
          </c:val>
          <c:extLst>
            <c:ext xmlns:c16="http://schemas.microsoft.com/office/drawing/2014/chart" uri="{C3380CC4-5D6E-409C-BE32-E72D297353CC}">
              <c16:uniqueId val="{00000000-40A6-4A58-B7BF-7A8E0C7E6253}"/>
            </c:ext>
          </c:extLst>
        </c:ser>
        <c:dLbls>
          <c:showLegendKey val="0"/>
          <c:showVal val="0"/>
          <c:showCatName val="0"/>
          <c:showSerName val="0"/>
          <c:showPercent val="0"/>
          <c:showBubbleSize val="0"/>
        </c:dLbls>
        <c:gapWidth val="122"/>
        <c:overlap val="-27"/>
        <c:axId val="167844352"/>
        <c:axId val="116812032"/>
      </c:barChart>
      <c:lineChart>
        <c:grouping val="stacked"/>
        <c:varyColors val="0"/>
        <c:ser>
          <c:idx val="1"/>
          <c:order val="1"/>
          <c:tx>
            <c:strRef>
              <c:f>EN!$A$5</c:f>
              <c:strCache>
                <c:ptCount val="1"/>
                <c:pt idx="0">
                  <c:v>Growth rate over the same period last year (%)</c:v>
                </c:pt>
              </c:strCache>
            </c:strRef>
          </c:tx>
          <c:spPr>
            <a:ln w="28575" cap="rnd">
              <a:solidFill>
                <a:srgbClr val="002060"/>
              </a:solidFill>
              <a:round/>
            </a:ln>
            <a:effectLst/>
          </c:spPr>
          <c:marker>
            <c:symbol val="circle"/>
            <c:size val="5"/>
            <c:spPr>
              <a:solidFill>
                <a:srgbClr val="002060"/>
              </a:solidFill>
              <a:ln w="9525">
                <a:noFill/>
              </a:ln>
              <a:effectLst/>
            </c:spPr>
          </c:marker>
          <c:dLbls>
            <c:dLbl>
              <c:idx val="0"/>
              <c:layout>
                <c:manualLayout>
                  <c:x val="-4.1666666666666664E-2"/>
                  <c:y val="-8.33333333333332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0A6-4A58-B7BF-7A8E0C7E6253}"/>
                </c:ext>
              </c:extLst>
            </c:dLbl>
            <c:dLbl>
              <c:idx val="1"/>
              <c:layout>
                <c:manualLayout>
                  <c:x val="-3.8888888888888938E-2"/>
                  <c:y val="7.40740740740739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0A6-4A58-B7BF-7A8E0C7E6253}"/>
                </c:ext>
              </c:extLst>
            </c:dLbl>
            <c:dLbl>
              <c:idx val="2"/>
              <c:layout>
                <c:manualLayout>
                  <c:x val="-5.2777777777777778E-2"/>
                  <c:y val="-5.092592592592593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0A6-4A58-B7BF-7A8E0C7E6253}"/>
                </c:ext>
              </c:extLst>
            </c:dLbl>
            <c:dLbl>
              <c:idx val="3"/>
              <c:layout>
                <c:manualLayout>
                  <c:x val="-4.1666666666666768E-2"/>
                  <c:y val="5.55555555555555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0A6-4A58-B7BF-7A8E0C7E6253}"/>
                </c:ext>
              </c:extLst>
            </c:dLbl>
            <c:dLbl>
              <c:idx val="4"/>
              <c:layout>
                <c:manualLayout>
                  <c:x val="-4.1666666666666664E-2"/>
                  <c:y val="5.55555555555556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0A6-4A58-B7BF-7A8E0C7E6253}"/>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EN!$B$3:$F$3</c:f>
              <c:numCache>
                <c:formatCode>General</c:formatCode>
                <c:ptCount val="5"/>
                <c:pt idx="0">
                  <c:v>2021</c:v>
                </c:pt>
                <c:pt idx="1">
                  <c:v>2022</c:v>
                </c:pt>
                <c:pt idx="2">
                  <c:v>2023</c:v>
                </c:pt>
                <c:pt idx="3">
                  <c:v>2024</c:v>
                </c:pt>
                <c:pt idx="4">
                  <c:v>2025</c:v>
                </c:pt>
              </c:numCache>
            </c:numRef>
          </c:cat>
          <c:val>
            <c:numRef>
              <c:f>EN!$B$5:$F$5</c:f>
              <c:numCache>
                <c:formatCode>0.0</c:formatCode>
                <c:ptCount val="5"/>
                <c:pt idx="0">
                  <c:v>-4.6686515406714477</c:v>
                </c:pt>
                <c:pt idx="1">
                  <c:v>1.7906561959136127</c:v>
                </c:pt>
                <c:pt idx="2">
                  <c:v>13.335940783232417</c:v>
                </c:pt>
                <c:pt idx="3">
                  <c:v>8.041470252674273</c:v>
                </c:pt>
                <c:pt idx="4">
                  <c:v>9.4571443111923941</c:v>
                </c:pt>
              </c:numCache>
            </c:numRef>
          </c:val>
          <c:smooth val="0"/>
          <c:extLst>
            <c:ext xmlns:c16="http://schemas.microsoft.com/office/drawing/2014/chart" uri="{C3380CC4-5D6E-409C-BE32-E72D297353CC}">
              <c16:uniqueId val="{00000006-40A6-4A58-B7BF-7A8E0C7E6253}"/>
            </c:ext>
          </c:extLst>
        </c:ser>
        <c:dLbls>
          <c:showLegendKey val="0"/>
          <c:showVal val="0"/>
          <c:showCatName val="0"/>
          <c:showSerName val="0"/>
          <c:showPercent val="0"/>
          <c:showBubbleSize val="0"/>
        </c:dLbls>
        <c:marker val="1"/>
        <c:smooth val="0"/>
        <c:axId val="116867072"/>
        <c:axId val="116812608"/>
      </c:lineChart>
      <c:catAx>
        <c:axId val="167844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16812032"/>
        <c:crosses val="autoZero"/>
        <c:auto val="1"/>
        <c:lblAlgn val="ctr"/>
        <c:lblOffset val="100"/>
        <c:noMultiLvlLbl val="0"/>
      </c:catAx>
      <c:valAx>
        <c:axId val="11681203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accent2">
                    <a:lumMod val="75000"/>
                  </a:schemeClr>
                </a:solidFill>
                <a:latin typeface="+mn-lt"/>
                <a:ea typeface="+mn-ea"/>
                <a:cs typeface="+mn-cs"/>
              </a:defRPr>
            </a:pPr>
            <a:endParaRPr lang="en-US"/>
          </a:p>
        </c:txPr>
        <c:crossAx val="167844352"/>
        <c:crosses val="autoZero"/>
        <c:crossBetween val="between"/>
      </c:valAx>
      <c:valAx>
        <c:axId val="116812608"/>
        <c:scaling>
          <c:orientation val="minMax"/>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accent5">
                    <a:lumMod val="50000"/>
                  </a:schemeClr>
                </a:solidFill>
                <a:latin typeface="+mn-lt"/>
                <a:ea typeface="+mn-ea"/>
                <a:cs typeface="+mn-cs"/>
              </a:defRPr>
            </a:pPr>
            <a:endParaRPr lang="en-US"/>
          </a:p>
        </c:txPr>
        <c:crossAx val="116867072"/>
        <c:crosses val="max"/>
        <c:crossBetween val="between"/>
      </c:valAx>
      <c:catAx>
        <c:axId val="116867072"/>
        <c:scaling>
          <c:orientation val="minMax"/>
        </c:scaling>
        <c:delete val="1"/>
        <c:axPos val="b"/>
        <c:numFmt formatCode="General" sourceLinked="1"/>
        <c:majorTickMark val="out"/>
        <c:minorTickMark val="none"/>
        <c:tickLblPos val="nextTo"/>
        <c:crossAx val="11681260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900" b="1" i="0" baseline="0">
                <a:solidFill>
                  <a:sysClr val="windowText" lastClr="000000"/>
                </a:solidFill>
                <a:effectLst/>
                <a:latin typeface="Arial" panose="020B0604020202020204" pitchFamily="34" charset="0"/>
                <a:cs typeface="Arial" panose="020B0604020202020204" pitchFamily="34" charset="0"/>
              </a:rPr>
              <a:t>Export and import turnover of goods</a:t>
            </a:r>
          </a:p>
          <a:p>
            <a:pPr>
              <a:defRPr sz="900">
                <a:solidFill>
                  <a:sysClr val="windowText" lastClr="000000"/>
                </a:solidFill>
                <a:latin typeface="Arial" panose="020B0604020202020204" pitchFamily="34" charset="0"/>
                <a:cs typeface="Arial" panose="020B0604020202020204" pitchFamily="34" charset="0"/>
              </a:defRPr>
            </a:pPr>
            <a:r>
              <a:rPr lang="en-US" sz="900" b="1" i="0" baseline="0">
                <a:solidFill>
                  <a:sysClr val="windowText" lastClr="000000"/>
                </a:solidFill>
                <a:effectLst/>
                <a:latin typeface="Arial" panose="020B0604020202020204" pitchFamily="34" charset="0"/>
                <a:cs typeface="Arial" panose="020B0604020202020204" pitchFamily="34" charset="0"/>
              </a:rPr>
              <a:t>(Billion USD)</a:t>
            </a:r>
          </a:p>
        </c:rich>
      </c:tx>
      <c:overlay val="0"/>
      <c:spPr>
        <a:noFill/>
        <a:ln>
          <a:noFill/>
        </a:ln>
        <a:effectLst/>
      </c:spPr>
      <c:txPr>
        <a:bodyPr rot="0" spcFirstLastPara="1" vertOverflow="ellipsis" vert="horz" wrap="square" anchor="ctr" anchorCtr="1"/>
        <a:lstStyle/>
        <a:p>
          <a:pPr>
            <a:defRPr sz="9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stacked"/>
        <c:varyColors val="0"/>
        <c:ser>
          <c:idx val="0"/>
          <c:order val="0"/>
          <c:tx>
            <c:v>Xuất khẩu hàng hóa</c:v>
          </c:tx>
          <c:spPr>
            <a:solidFill>
              <a:srgbClr val="C00000"/>
            </a:solidFill>
            <a:ln w="3175">
              <a:solidFill>
                <a:schemeClr val="bg2">
                  <a:lumMod val="25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Arial "/>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'XNK nước EN'!$A$3:$A$8</c:f>
              <c:strCache>
                <c:ptCount val="6"/>
                <c:pt idx="0">
                  <c:v>China, PR</c:v>
                </c:pt>
                <c:pt idx="1">
                  <c:v>United States</c:v>
                </c:pt>
                <c:pt idx="2">
                  <c:v>ASEAN</c:v>
                </c:pt>
                <c:pt idx="3">
                  <c:v>Korea, Rep.</c:v>
                </c:pt>
                <c:pt idx="4">
                  <c:v>EU</c:v>
                </c:pt>
                <c:pt idx="5">
                  <c:v>Japan</c:v>
                </c:pt>
              </c:strCache>
            </c:strRef>
          </c:cat>
          <c:val>
            <c:numRef>
              <c:f>'XNK nước EN'!$B$3:$B$8</c:f>
              <c:numCache>
                <c:formatCode>0.0</c:formatCode>
                <c:ptCount val="6"/>
                <c:pt idx="0">
                  <c:v>5.8</c:v>
                </c:pt>
                <c:pt idx="1">
                  <c:v>9.8000000000000007</c:v>
                </c:pt>
                <c:pt idx="2">
                  <c:v>2.8</c:v>
                </c:pt>
                <c:pt idx="3">
                  <c:v>2.2000000000000002</c:v>
                </c:pt>
                <c:pt idx="4">
                  <c:v>4</c:v>
                </c:pt>
                <c:pt idx="5">
                  <c:v>2</c:v>
                </c:pt>
              </c:numCache>
            </c:numRef>
          </c:val>
          <c:extLst>
            <c:ext xmlns:c16="http://schemas.microsoft.com/office/drawing/2014/chart" uri="{C3380CC4-5D6E-409C-BE32-E72D297353CC}">
              <c16:uniqueId val="{00000000-9B9B-474C-9262-08BD15EF709F}"/>
            </c:ext>
          </c:extLst>
        </c:ser>
        <c:ser>
          <c:idx val="1"/>
          <c:order val="1"/>
          <c:tx>
            <c:v>Nhập khẩu hàng hóa</c:v>
          </c:tx>
          <c:spPr>
            <a:solidFill>
              <a:srgbClr val="FFFF00"/>
            </a:solidFill>
            <a:ln w="3175">
              <a:solidFill>
                <a:schemeClr val="bg2">
                  <a:lumMod val="25000"/>
                </a:schemeClr>
              </a:solidFill>
            </a:ln>
            <a:effectLst/>
          </c:spPr>
          <c:invertIfNegative val="0"/>
          <c:dLbls>
            <c:dLbl>
              <c:idx val="1"/>
              <c:layout>
                <c:manualLayout>
                  <c:x val="-4.8966670800076898E-17"/>
                  <c:y val="9.27213722763096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B9B-474C-9262-08BD15EF709F}"/>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Arial "/>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'XNK nước EN'!$A$3:$A$8</c:f>
              <c:strCache>
                <c:ptCount val="6"/>
                <c:pt idx="0">
                  <c:v>China, PR</c:v>
                </c:pt>
                <c:pt idx="1">
                  <c:v>United States</c:v>
                </c:pt>
                <c:pt idx="2">
                  <c:v>ASEAN</c:v>
                </c:pt>
                <c:pt idx="3">
                  <c:v>Korea, Rep.</c:v>
                </c:pt>
                <c:pt idx="4">
                  <c:v>EU</c:v>
                </c:pt>
                <c:pt idx="5">
                  <c:v>Japan</c:v>
                </c:pt>
              </c:strCache>
            </c:strRef>
          </c:cat>
          <c:val>
            <c:numRef>
              <c:f>'XNK nước EN'!$D$3:$D$8</c:f>
              <c:numCache>
                <c:formatCode>0.0</c:formatCode>
                <c:ptCount val="6"/>
                <c:pt idx="0">
                  <c:v>11.6</c:v>
                </c:pt>
                <c:pt idx="1">
                  <c:v>1.33</c:v>
                </c:pt>
                <c:pt idx="2">
                  <c:v>4</c:v>
                </c:pt>
                <c:pt idx="3">
                  <c:v>4.0999999999999996</c:v>
                </c:pt>
                <c:pt idx="4">
                  <c:v>1.3</c:v>
                </c:pt>
                <c:pt idx="5">
                  <c:v>1.7</c:v>
                </c:pt>
              </c:numCache>
            </c:numRef>
          </c:val>
          <c:extLst>
            <c:ext xmlns:c16="http://schemas.microsoft.com/office/drawing/2014/chart" uri="{C3380CC4-5D6E-409C-BE32-E72D297353CC}">
              <c16:uniqueId val="{00000002-9B9B-474C-9262-08BD15EF709F}"/>
            </c:ext>
          </c:extLst>
        </c:ser>
        <c:dLbls>
          <c:showLegendKey val="0"/>
          <c:showVal val="0"/>
          <c:showCatName val="0"/>
          <c:showSerName val="0"/>
          <c:showPercent val="0"/>
          <c:showBubbleSize val="0"/>
        </c:dLbls>
        <c:gapWidth val="75"/>
        <c:overlap val="100"/>
        <c:axId val="319683056"/>
        <c:axId val="319688048"/>
      </c:barChart>
      <c:catAx>
        <c:axId val="319683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19688048"/>
        <c:crosses val="autoZero"/>
        <c:auto val="1"/>
        <c:lblAlgn val="ctr"/>
        <c:lblOffset val="100"/>
        <c:noMultiLvlLbl val="0"/>
      </c:catAx>
      <c:valAx>
        <c:axId val="31968804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
                <a:ea typeface="+mn-ea"/>
                <a:cs typeface="+mn-cs"/>
              </a:defRPr>
            </a:pPr>
            <a:endParaRPr lang="en-US"/>
          </a:p>
        </c:txPr>
        <c:crossAx val="31968305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900" b="1" i="0" baseline="0">
                <a:solidFill>
                  <a:sysClr val="windowText" lastClr="000000"/>
                </a:solidFill>
                <a:effectLst/>
                <a:latin typeface="Arial" panose="020B0604020202020204" pitchFamily="34" charset="0"/>
                <a:cs typeface="Arial" panose="020B0604020202020204" pitchFamily="34" charset="0"/>
              </a:rPr>
              <a:t>Growth rate of exports and imports of goods over last year </a:t>
            </a:r>
          </a:p>
          <a:p>
            <a:pPr marL="0" marR="0" lvl="0" indent="0" algn="ctr" defTabSz="914400" rtl="0" eaLnBrk="1" fontAlgn="auto" latinLnBrk="0" hangingPunct="1">
              <a:lnSpc>
                <a:spcPct val="100000"/>
              </a:lnSpc>
              <a:spcBef>
                <a:spcPts val="0"/>
              </a:spcBef>
              <a:spcAft>
                <a:spcPts val="0"/>
              </a:spcAft>
              <a:buClrTx/>
              <a:buSzTx/>
              <a:buFontTx/>
              <a:buNone/>
              <a:tabLst/>
              <a:defRPr sz="900">
                <a:solidFill>
                  <a:sysClr val="windowText" lastClr="000000"/>
                </a:solidFill>
                <a:latin typeface="Arial" panose="020B0604020202020204" pitchFamily="34" charset="0"/>
                <a:cs typeface="Arial" panose="020B0604020202020204" pitchFamily="34" charset="0"/>
              </a:defRPr>
            </a:pPr>
            <a:r>
              <a:rPr lang="en-US" sz="900" b="1" i="0" baseline="0">
                <a:solidFill>
                  <a:sysClr val="windowText" lastClr="000000"/>
                </a:solidFill>
                <a:effectLst/>
                <a:latin typeface="Arial" panose="020B0604020202020204" pitchFamily="34" charset="0"/>
                <a:cs typeface="Arial" panose="020B0604020202020204" pitchFamily="34" charset="0"/>
              </a:rPr>
              <a:t>(%)</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v>Xuất khẩu hàng hóa</c:v>
          </c:tx>
          <c:spPr>
            <a:solidFill>
              <a:srgbClr val="C00000"/>
            </a:solidFill>
            <a:ln w="3175">
              <a:solidFill>
                <a:schemeClr val="bg2">
                  <a:lumMod val="25000"/>
                </a:schemeClr>
              </a:solid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Arial "/>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'XNK nước EN'!$A$3:$A$8</c:f>
              <c:strCache>
                <c:ptCount val="6"/>
                <c:pt idx="0">
                  <c:v>China, PR</c:v>
                </c:pt>
                <c:pt idx="1">
                  <c:v>United States</c:v>
                </c:pt>
                <c:pt idx="2">
                  <c:v>ASEAN</c:v>
                </c:pt>
                <c:pt idx="3">
                  <c:v>Korea, Rep.</c:v>
                </c:pt>
                <c:pt idx="4">
                  <c:v>EU</c:v>
                </c:pt>
                <c:pt idx="5">
                  <c:v>Japan</c:v>
                </c:pt>
              </c:strCache>
            </c:strRef>
          </c:cat>
          <c:val>
            <c:numRef>
              <c:f>'XNK nước EN'!$C$3:$C$8</c:f>
              <c:numCache>
                <c:formatCode>0.0</c:formatCode>
                <c:ptCount val="6"/>
                <c:pt idx="0">
                  <c:v>25.2</c:v>
                </c:pt>
                <c:pt idx="1">
                  <c:v>-2.1</c:v>
                </c:pt>
                <c:pt idx="2">
                  <c:v>-14</c:v>
                </c:pt>
                <c:pt idx="3">
                  <c:v>-6.9</c:v>
                </c:pt>
                <c:pt idx="4">
                  <c:v>-12.6</c:v>
                </c:pt>
                <c:pt idx="5">
                  <c:v>-8.9</c:v>
                </c:pt>
              </c:numCache>
            </c:numRef>
          </c:val>
          <c:extLst>
            <c:ext xmlns:c16="http://schemas.microsoft.com/office/drawing/2014/chart" uri="{C3380CC4-5D6E-409C-BE32-E72D297353CC}">
              <c16:uniqueId val="{00000000-AF28-4897-B70A-A55321AD5E85}"/>
            </c:ext>
          </c:extLst>
        </c:ser>
        <c:ser>
          <c:idx val="1"/>
          <c:order val="1"/>
          <c:tx>
            <c:v>Nhập khẩu hàng hóa</c:v>
          </c:tx>
          <c:spPr>
            <a:solidFill>
              <a:srgbClr val="FFFF00"/>
            </a:solidFill>
            <a:ln w="3175">
              <a:solidFill>
                <a:schemeClr val="bg2">
                  <a:lumMod val="25000"/>
                </a:schemeClr>
              </a:solidFill>
            </a:ln>
            <a:effectLst/>
          </c:spPr>
          <c:invertIfNegative val="0"/>
          <c:dLbls>
            <c:dLbl>
              <c:idx val="1"/>
              <c:layout>
                <c:manualLayout>
                  <c:x val="3.5813458100346151E-4"/>
                  <c:y val="-3.786685755189692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F28-4897-B70A-A55321AD5E85}"/>
                </c:ext>
              </c:extLst>
            </c:dLbl>
            <c:dLbl>
              <c:idx val="4"/>
              <c:layout>
                <c:manualLayout>
                  <c:x val="7.6045627376424927E-3"/>
                  <c:y val="1.13648293963254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F28-4897-B70A-A55321AD5E85}"/>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Arial "/>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'XNK nước EN'!$A$3:$A$8</c:f>
              <c:strCache>
                <c:ptCount val="6"/>
                <c:pt idx="0">
                  <c:v>China, PR</c:v>
                </c:pt>
                <c:pt idx="1">
                  <c:v>United States</c:v>
                </c:pt>
                <c:pt idx="2">
                  <c:v>ASEAN</c:v>
                </c:pt>
                <c:pt idx="3">
                  <c:v>Korea, Rep.</c:v>
                </c:pt>
                <c:pt idx="4">
                  <c:v>EU</c:v>
                </c:pt>
                <c:pt idx="5">
                  <c:v>Japan</c:v>
                </c:pt>
              </c:strCache>
            </c:strRef>
          </c:cat>
          <c:val>
            <c:numRef>
              <c:f>'XNK nước EN'!$E$3:$E$8</c:f>
              <c:numCache>
                <c:formatCode>General</c:formatCode>
                <c:ptCount val="6"/>
                <c:pt idx="0" formatCode="0.0">
                  <c:v>-2.2000000000000002</c:v>
                </c:pt>
                <c:pt idx="1">
                  <c:v>7.5</c:v>
                </c:pt>
                <c:pt idx="2">
                  <c:v>10.5</c:v>
                </c:pt>
                <c:pt idx="3">
                  <c:v>-2.5</c:v>
                </c:pt>
                <c:pt idx="4" formatCode="0.0">
                  <c:v>0.5</c:v>
                </c:pt>
                <c:pt idx="5" formatCode="0.0">
                  <c:v>-12.6</c:v>
                </c:pt>
              </c:numCache>
            </c:numRef>
          </c:val>
          <c:extLst>
            <c:ext xmlns:c16="http://schemas.microsoft.com/office/drawing/2014/chart" uri="{C3380CC4-5D6E-409C-BE32-E72D297353CC}">
              <c16:uniqueId val="{00000003-AF28-4897-B70A-A55321AD5E85}"/>
            </c:ext>
          </c:extLst>
        </c:ser>
        <c:dLbls>
          <c:showLegendKey val="0"/>
          <c:showVal val="0"/>
          <c:showCatName val="0"/>
          <c:showSerName val="0"/>
          <c:showPercent val="0"/>
          <c:showBubbleSize val="0"/>
        </c:dLbls>
        <c:gapWidth val="50"/>
        <c:overlap val="-27"/>
        <c:axId val="464358304"/>
        <c:axId val="464351232"/>
      </c:barChart>
      <c:catAx>
        <c:axId val="46435830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64351232"/>
        <c:crosses val="autoZero"/>
        <c:auto val="1"/>
        <c:lblAlgn val="ctr"/>
        <c:lblOffset val="100"/>
        <c:noMultiLvlLbl val="0"/>
      </c:catAx>
      <c:valAx>
        <c:axId val="4643512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
                <a:ea typeface="+mn-ea"/>
                <a:cs typeface="+mn-cs"/>
              </a:defRPr>
            </a:pPr>
            <a:endParaRPr lang="en-US"/>
          </a:p>
        </c:txPr>
        <c:crossAx val="46435830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'Biểu đồ 1'!$B$1</c:f>
              <c:strCache>
                <c:ptCount val="1"/>
                <c:pt idx="0">
                  <c:v>Hình 1. Tốc độ tăng CPI tháng 01/2025 so với tháng trước</c:v>
                </c:pt>
              </c:strCache>
            </c:strRef>
          </c:tx>
          <c:spPr>
            <a:solidFill>
              <a:schemeClr val="accent1"/>
            </a:solidFill>
            <a:ln>
              <a:noFill/>
            </a:ln>
            <a:effectLst/>
          </c:spPr>
          <c:invertIfNegative val="0"/>
          <c:dPt>
            <c:idx val="0"/>
            <c:invertIfNegative val="0"/>
            <c:bubble3D val="0"/>
            <c:spPr>
              <a:solidFill>
                <a:srgbClr val="7030A0"/>
              </a:solidFill>
              <a:ln>
                <a:noFill/>
              </a:ln>
              <a:effectLst/>
            </c:spPr>
            <c:extLst>
              <c:ext xmlns:c16="http://schemas.microsoft.com/office/drawing/2014/chart" uri="{C3380CC4-5D6E-409C-BE32-E72D297353CC}">
                <c16:uniqueId val="{00000001-107A-4529-A991-CC41F93F5868}"/>
              </c:ext>
            </c:extLst>
          </c:dPt>
          <c:dPt>
            <c:idx val="1"/>
            <c:invertIfNegative val="0"/>
            <c:bubble3D val="0"/>
            <c:spPr>
              <a:solidFill>
                <a:srgbClr val="FF0000"/>
              </a:solidFill>
              <a:ln>
                <a:noFill/>
              </a:ln>
              <a:effectLst/>
            </c:spPr>
            <c:extLst>
              <c:ext xmlns:c16="http://schemas.microsoft.com/office/drawing/2014/chart" uri="{C3380CC4-5D6E-409C-BE32-E72D297353CC}">
                <c16:uniqueId val="{00000003-107A-4529-A991-CC41F93F5868}"/>
              </c:ext>
            </c:extLst>
          </c:dPt>
          <c:dPt>
            <c:idx val="2"/>
            <c:invertIfNegative val="0"/>
            <c:bubble3D val="0"/>
            <c:spPr>
              <a:solidFill>
                <a:srgbClr val="FF0000"/>
              </a:solidFill>
              <a:ln>
                <a:noFill/>
              </a:ln>
              <a:effectLst/>
            </c:spPr>
            <c:extLst>
              <c:ext xmlns:c16="http://schemas.microsoft.com/office/drawing/2014/chart" uri="{C3380CC4-5D6E-409C-BE32-E72D297353CC}">
                <c16:uniqueId val="{00000005-107A-4529-A991-CC41F93F5868}"/>
              </c:ext>
            </c:extLst>
          </c:dPt>
          <c:dPt>
            <c:idx val="3"/>
            <c:invertIfNegative val="0"/>
            <c:bubble3D val="0"/>
            <c:spPr>
              <a:solidFill>
                <a:srgbClr val="FF0000"/>
              </a:solidFill>
              <a:ln>
                <a:noFill/>
              </a:ln>
              <a:effectLst/>
            </c:spPr>
            <c:extLst>
              <c:ext xmlns:c16="http://schemas.microsoft.com/office/drawing/2014/chart" uri="{C3380CC4-5D6E-409C-BE32-E72D297353CC}">
                <c16:uniqueId val="{00000007-107A-4529-A991-CC41F93F5868}"/>
              </c:ext>
            </c:extLst>
          </c:dPt>
          <c:dPt>
            <c:idx val="4"/>
            <c:invertIfNegative val="0"/>
            <c:bubble3D val="0"/>
            <c:spPr>
              <a:solidFill>
                <a:srgbClr val="FF0000"/>
              </a:solidFill>
              <a:ln>
                <a:noFill/>
              </a:ln>
              <a:effectLst/>
            </c:spPr>
            <c:extLst>
              <c:ext xmlns:c16="http://schemas.microsoft.com/office/drawing/2014/chart" uri="{C3380CC4-5D6E-409C-BE32-E72D297353CC}">
                <c16:uniqueId val="{00000009-107A-4529-A991-CC41F93F5868}"/>
              </c:ext>
            </c:extLst>
          </c:dPt>
          <c:dPt>
            <c:idx val="5"/>
            <c:invertIfNegative val="0"/>
            <c:bubble3D val="0"/>
            <c:spPr>
              <a:solidFill>
                <a:srgbClr val="FF0000"/>
              </a:solidFill>
              <a:ln>
                <a:noFill/>
              </a:ln>
              <a:effectLst/>
            </c:spPr>
            <c:extLst>
              <c:ext xmlns:c16="http://schemas.microsoft.com/office/drawing/2014/chart" uri="{C3380CC4-5D6E-409C-BE32-E72D297353CC}">
                <c16:uniqueId val="{0000000B-107A-4529-A991-CC41F93F5868}"/>
              </c:ext>
            </c:extLst>
          </c:dPt>
          <c:dPt>
            <c:idx val="6"/>
            <c:invertIfNegative val="0"/>
            <c:bubble3D val="0"/>
            <c:spPr>
              <a:solidFill>
                <a:srgbClr val="FF0000"/>
              </a:solidFill>
              <a:ln>
                <a:noFill/>
              </a:ln>
              <a:effectLst/>
            </c:spPr>
            <c:extLst>
              <c:ext xmlns:c16="http://schemas.microsoft.com/office/drawing/2014/chart" uri="{C3380CC4-5D6E-409C-BE32-E72D297353CC}">
                <c16:uniqueId val="{0000000D-107A-4529-A991-CC41F93F5868}"/>
              </c:ext>
            </c:extLst>
          </c:dPt>
          <c:dPt>
            <c:idx val="7"/>
            <c:invertIfNegative val="0"/>
            <c:bubble3D val="0"/>
            <c:spPr>
              <a:solidFill>
                <a:srgbClr val="FF0000"/>
              </a:solidFill>
              <a:ln>
                <a:noFill/>
              </a:ln>
              <a:effectLst/>
            </c:spPr>
            <c:extLst>
              <c:ext xmlns:c16="http://schemas.microsoft.com/office/drawing/2014/chart" uri="{C3380CC4-5D6E-409C-BE32-E72D297353CC}">
                <c16:uniqueId val="{0000000F-107A-4529-A991-CC41F93F5868}"/>
              </c:ext>
            </c:extLst>
          </c:dPt>
          <c:dPt>
            <c:idx val="8"/>
            <c:invertIfNegative val="0"/>
            <c:bubble3D val="0"/>
            <c:spPr>
              <a:solidFill>
                <a:srgbClr val="FF0000"/>
              </a:solidFill>
              <a:ln>
                <a:noFill/>
              </a:ln>
              <a:effectLst/>
            </c:spPr>
            <c:extLst>
              <c:ext xmlns:c16="http://schemas.microsoft.com/office/drawing/2014/chart" uri="{C3380CC4-5D6E-409C-BE32-E72D297353CC}">
                <c16:uniqueId val="{00000011-107A-4529-A991-CC41F93F5868}"/>
              </c:ext>
            </c:extLst>
          </c:dPt>
          <c:dPt>
            <c:idx val="9"/>
            <c:invertIfNegative val="0"/>
            <c:bubble3D val="0"/>
            <c:spPr>
              <a:solidFill>
                <a:srgbClr val="FF0000"/>
              </a:solidFill>
              <a:ln>
                <a:solidFill>
                  <a:srgbClr val="FF0000"/>
                </a:solidFill>
              </a:ln>
              <a:effectLst/>
            </c:spPr>
            <c:extLst>
              <c:ext xmlns:c16="http://schemas.microsoft.com/office/drawing/2014/chart" uri="{C3380CC4-5D6E-409C-BE32-E72D297353CC}">
                <c16:uniqueId val="{00000013-107A-4529-A991-CC41F93F5868}"/>
              </c:ext>
            </c:extLst>
          </c:dPt>
          <c:dPt>
            <c:idx val="10"/>
            <c:invertIfNegative val="0"/>
            <c:bubble3D val="0"/>
            <c:spPr>
              <a:solidFill>
                <a:srgbClr val="00B050"/>
              </a:solidFill>
              <a:ln>
                <a:solidFill>
                  <a:srgbClr val="00B050"/>
                </a:solidFill>
              </a:ln>
              <a:effectLst/>
            </c:spPr>
            <c:extLst>
              <c:ext xmlns:c16="http://schemas.microsoft.com/office/drawing/2014/chart" uri="{C3380CC4-5D6E-409C-BE32-E72D297353CC}">
                <c16:uniqueId val="{00000015-107A-4529-A991-CC41F93F5868}"/>
              </c:ext>
            </c:extLst>
          </c:dPt>
          <c:dPt>
            <c:idx val="11"/>
            <c:invertIfNegative val="0"/>
            <c:bubble3D val="0"/>
            <c:spPr>
              <a:solidFill>
                <a:srgbClr val="00B050"/>
              </a:solidFill>
              <a:ln>
                <a:noFill/>
              </a:ln>
              <a:effectLst/>
            </c:spPr>
            <c:extLst>
              <c:ext xmlns:c16="http://schemas.microsoft.com/office/drawing/2014/chart" uri="{C3380CC4-5D6E-409C-BE32-E72D297353CC}">
                <c16:uniqueId val="{00000017-107A-4529-A991-CC41F93F5868}"/>
              </c:ext>
            </c:extLst>
          </c:dPt>
          <c:dLbls>
            <c:dLbl>
              <c:idx val="6"/>
              <c:tx>
                <c:rich>
                  <a:bodyPr/>
                  <a:lstStyle/>
                  <a:p>
                    <a:r>
                      <a:rPr lang="en-US"/>
                      <a:t>0,40%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107A-4529-A991-CC41F93F5868}"/>
                </c:ext>
              </c:extLst>
            </c:dLbl>
            <c:dLbl>
              <c:idx val="7"/>
              <c:tx>
                <c:rich>
                  <a:bodyPr/>
                  <a:lstStyle/>
                  <a:p>
                    <a:r>
                      <a:rPr lang="en-US"/>
                      <a:t>0,40%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F-107A-4529-A991-CC41F93F5868}"/>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'Biểu đồ 1'!$A$2:$A$13</c:f>
              <c:strCache>
                <c:ptCount val="12"/>
                <c:pt idx="0">
                  <c:v>Consumer price index</c:v>
                </c:pt>
                <c:pt idx="1">
                  <c:v>VI. Medicine and health care services</c:v>
                </c:pt>
                <c:pt idx="2">
                  <c:v>VII. Transport</c:v>
                </c:pt>
                <c:pt idx="3">
                  <c:v>I. Food and foodstuff</c:v>
                </c:pt>
                <c:pt idx="4">
                  <c:v>II. Beverage and cigarette</c:v>
                </c:pt>
                <c:pt idx="5">
                  <c:v>XI. Other consumer goods and services</c:v>
                </c:pt>
                <c:pt idx="6">
                  <c:v>III. Garment, hat, footwear</c:v>
                </c:pt>
                <c:pt idx="7">
                  <c:v>IV. Housing and construction materials</c:v>
                </c:pt>
                <c:pt idx="8">
                  <c:v>V. Household equipment and goods</c:v>
                </c:pt>
                <c:pt idx="9">
                  <c:v>X. Culture, entertainments and tourism</c:v>
                </c:pt>
                <c:pt idx="10">
                  <c:v>IX. Education </c:v>
                </c:pt>
                <c:pt idx="11">
                  <c:v>VIII. Post and communication</c:v>
                </c:pt>
              </c:strCache>
            </c:strRef>
          </c:cat>
          <c:val>
            <c:numRef>
              <c:f>'Biểu đồ 1'!$B$2:$B$13</c:f>
              <c:numCache>
                <c:formatCode>0.00%</c:formatCode>
                <c:ptCount val="12"/>
                <c:pt idx="0">
                  <c:v>9.8040000000000297E-3</c:v>
                </c:pt>
                <c:pt idx="1">
                  <c:v>9.4732999999999942E-2</c:v>
                </c:pt>
                <c:pt idx="2">
                  <c:v>9.4570000000000227E-3</c:v>
                </c:pt>
                <c:pt idx="3">
                  <c:v>7.3539999999999847E-3</c:v>
                </c:pt>
                <c:pt idx="4">
                  <c:v>6.869999999999976E-3</c:v>
                </c:pt>
                <c:pt idx="5">
                  <c:v>5.0839999999999462E-3</c:v>
                </c:pt>
                <c:pt idx="6" formatCode="0.0%">
                  <c:v>3.7499999999999999E-3</c:v>
                </c:pt>
                <c:pt idx="7" formatCode="0.0%">
                  <c:v>3.5399999999999919E-3</c:v>
                </c:pt>
                <c:pt idx="8">
                  <c:v>3.1220000000000427E-3</c:v>
                </c:pt>
                <c:pt idx="9">
                  <c:v>2.745000000000033E-3</c:v>
                </c:pt>
                <c:pt idx="10">
                  <c:v>-3.6299999999997115E-4</c:v>
                </c:pt>
                <c:pt idx="11">
                  <c:v>-1.2239999999999896E-3</c:v>
                </c:pt>
              </c:numCache>
            </c:numRef>
          </c:val>
          <c:extLst>
            <c:ext xmlns:c16="http://schemas.microsoft.com/office/drawing/2014/chart" uri="{C3380CC4-5D6E-409C-BE32-E72D297353CC}">
              <c16:uniqueId val="{00000018-107A-4529-A991-CC41F93F5868}"/>
            </c:ext>
          </c:extLst>
        </c:ser>
        <c:dLbls>
          <c:showLegendKey val="0"/>
          <c:showVal val="0"/>
          <c:showCatName val="0"/>
          <c:showSerName val="0"/>
          <c:showPercent val="0"/>
          <c:showBubbleSize val="0"/>
        </c:dLbls>
        <c:gapWidth val="166"/>
        <c:axId val="1621770432"/>
        <c:axId val="1621771520"/>
      </c:barChart>
      <c:catAx>
        <c:axId val="1621770432"/>
        <c:scaling>
          <c:orientation val="minMax"/>
        </c:scaling>
        <c:delete val="0"/>
        <c:axPos val="b"/>
        <c:numFmt formatCode="General" sourceLinked="1"/>
        <c:majorTickMark val="none"/>
        <c:minorTickMark val="none"/>
        <c:tickLblPos val="low"/>
        <c:spPr>
          <a:noFill/>
          <a:ln w="9525" cap="flat" cmpd="sng" algn="ctr">
            <a:solidFill>
              <a:schemeClr val="bg2">
                <a:lumMod val="25000"/>
              </a:schemeClr>
            </a:solidFill>
            <a:round/>
          </a:ln>
          <a:effectLst/>
        </c:spPr>
        <c:txPr>
          <a:bodyPr rot="-60000000" spcFirstLastPara="1" vertOverflow="ellipsis" vert="horz" wrap="square" anchor="ctr" anchorCtr="1"/>
          <a:lstStyle/>
          <a:p>
            <a:pPr>
              <a:defRPr sz="800" b="0" i="1"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621771520"/>
        <c:crosses val="autoZero"/>
        <c:auto val="1"/>
        <c:lblAlgn val="ctr"/>
        <c:lblOffset val="100"/>
        <c:noMultiLvlLbl val="0"/>
      </c:catAx>
      <c:valAx>
        <c:axId val="1621771520"/>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crossAx val="162177043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0.09842</cdr:x>
      <cdr:y>0.0913</cdr:y>
    </cdr:from>
    <cdr:to>
      <cdr:x>0.1176</cdr:x>
      <cdr:y>0.12671</cdr:y>
    </cdr:to>
    <cdr:sp macro="" textlink="">
      <cdr:nvSpPr>
        <cdr:cNvPr id="2" name="Arrow: Right 1">
          <a:extLst xmlns:a="http://schemas.openxmlformats.org/drawingml/2006/main">
            <a:ext uri="{FF2B5EF4-FFF2-40B4-BE49-F238E27FC236}">
              <a16:creationId xmlns:a16="http://schemas.microsoft.com/office/drawing/2014/main" id="{EF60AD2D-674B-8E42-749E-2D852FE4A05B}"/>
            </a:ext>
          </a:extLst>
        </cdr:cNvPr>
        <cdr:cNvSpPr/>
      </cdr:nvSpPr>
      <cdr:spPr>
        <a:xfrm xmlns:a="http://schemas.openxmlformats.org/drawingml/2006/main" rot="16200000">
          <a:off x="812422" y="460690"/>
          <a:ext cx="175622" cy="159853"/>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0.6229</cdr:x>
      <cdr:y>0.57233</cdr:y>
    </cdr:from>
    <cdr:to>
      <cdr:x>0.64207</cdr:x>
      <cdr:y>0.60774</cdr:y>
    </cdr:to>
    <cdr:sp macro="" textlink="">
      <cdr:nvSpPr>
        <cdr:cNvPr id="3" name="Arrow: Right 2">
          <a:extLst xmlns:a="http://schemas.openxmlformats.org/drawingml/2006/main">
            <a:ext uri="{FF2B5EF4-FFF2-40B4-BE49-F238E27FC236}">
              <a16:creationId xmlns:a16="http://schemas.microsoft.com/office/drawing/2014/main" id="{4DD5F4FA-B159-FC5A-8EF7-C7FDB7D8FE56}"/>
            </a:ext>
          </a:extLst>
        </cdr:cNvPr>
        <cdr:cNvSpPr/>
      </cdr:nvSpPr>
      <cdr:spPr>
        <a:xfrm xmlns:a="http://schemas.openxmlformats.org/drawingml/2006/main" rot="5400000" flipV="1">
          <a:off x="4943345" y="2092050"/>
          <a:ext cx="130106" cy="151800"/>
        </a:xfrm>
        <a:prstGeom xmlns:a="http://schemas.openxmlformats.org/drawingml/2006/main" prst="rightArrow">
          <a:avLst/>
        </a:prstGeom>
        <a:solidFill xmlns:a="http://schemas.openxmlformats.org/drawingml/2006/main">
          <a:srgbClr val="FF000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0.11027</cdr:x>
      <cdr:y>0.08702</cdr:y>
    </cdr:from>
    <cdr:to>
      <cdr:x>0.20784</cdr:x>
      <cdr:y>0.14687</cdr:y>
    </cdr:to>
    <cdr:sp macro="" textlink="">
      <cdr:nvSpPr>
        <cdr:cNvPr id="4" name="Rectangle 3">
          <a:extLst xmlns:a="http://schemas.openxmlformats.org/drawingml/2006/main">
            <a:ext uri="{FF2B5EF4-FFF2-40B4-BE49-F238E27FC236}">
              <a16:creationId xmlns:a16="http://schemas.microsoft.com/office/drawing/2014/main" id="{74DF8E20-E5C2-D015-9566-587CFDFAB363}"/>
            </a:ext>
          </a:extLst>
        </cdr:cNvPr>
        <cdr:cNvSpPr/>
      </cdr:nvSpPr>
      <cdr:spPr>
        <a:xfrm xmlns:a="http://schemas.openxmlformats.org/drawingml/2006/main">
          <a:off x="918996" y="431605"/>
          <a:ext cx="813185" cy="296836"/>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29,1%</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0.72405</cdr:x>
      <cdr:y>0.56012</cdr:y>
    </cdr:from>
    <cdr:to>
      <cdr:x>0.79909</cdr:x>
      <cdr:y>0.60854</cdr:y>
    </cdr:to>
    <cdr:sp macro="" textlink="">
      <cdr:nvSpPr>
        <cdr:cNvPr id="5" name="Rectangle 4">
          <a:extLst xmlns:a="http://schemas.openxmlformats.org/drawingml/2006/main">
            <a:ext uri="{FF2B5EF4-FFF2-40B4-BE49-F238E27FC236}">
              <a16:creationId xmlns:a16="http://schemas.microsoft.com/office/drawing/2014/main" id="{0880D7C8-9B92-7079-8B94-D704261C72FA}"/>
            </a:ext>
          </a:extLst>
        </cdr:cNvPr>
        <cdr:cNvSpPr/>
      </cdr:nvSpPr>
      <cdr:spPr>
        <a:xfrm xmlns:a="http://schemas.openxmlformats.org/drawingml/2006/main">
          <a:off x="6034481" y="2778030"/>
          <a:ext cx="625412" cy="240147"/>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5,2%</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0.32862</cdr:x>
      <cdr:y>0.47049</cdr:y>
    </cdr:from>
    <cdr:to>
      <cdr:x>0.3478</cdr:x>
      <cdr:y>0.5059</cdr:y>
    </cdr:to>
    <cdr:sp macro="" textlink="">
      <cdr:nvSpPr>
        <cdr:cNvPr id="7" name="Arrow: Right 6">
          <a:extLst xmlns:a="http://schemas.openxmlformats.org/drawingml/2006/main">
            <a:ext uri="{FF2B5EF4-FFF2-40B4-BE49-F238E27FC236}">
              <a16:creationId xmlns:a16="http://schemas.microsoft.com/office/drawing/2014/main" id="{97CF3DA6-C0D4-EEB5-6CEC-E48D4D955573}"/>
            </a:ext>
          </a:extLst>
        </cdr:cNvPr>
        <cdr:cNvSpPr/>
      </cdr:nvSpPr>
      <cdr:spPr>
        <a:xfrm xmlns:a="http://schemas.openxmlformats.org/drawingml/2006/main" rot="16200000">
          <a:off x="2613135" y="1717828"/>
          <a:ext cx="130106" cy="151879"/>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0.21875</cdr:x>
      <cdr:y>0.46842</cdr:y>
    </cdr:from>
    <cdr:to>
      <cdr:x>0.23792</cdr:x>
      <cdr:y>0.50383</cdr:y>
    </cdr:to>
    <cdr:sp macro="" textlink="">
      <cdr:nvSpPr>
        <cdr:cNvPr id="8" name="Arrow: Right 7">
          <a:extLst xmlns:a="http://schemas.openxmlformats.org/drawingml/2006/main">
            <a:ext uri="{FF2B5EF4-FFF2-40B4-BE49-F238E27FC236}">
              <a16:creationId xmlns:a16="http://schemas.microsoft.com/office/drawing/2014/main" id="{8BB99AF5-FCD0-994D-69B8-2CDC4BC79AA2}"/>
            </a:ext>
          </a:extLst>
        </cdr:cNvPr>
        <cdr:cNvSpPr/>
      </cdr:nvSpPr>
      <cdr:spPr>
        <a:xfrm xmlns:a="http://schemas.openxmlformats.org/drawingml/2006/main" rot="5400000" flipV="1">
          <a:off x="1743060" y="1710257"/>
          <a:ext cx="130106" cy="151800"/>
        </a:xfrm>
        <a:prstGeom xmlns:a="http://schemas.openxmlformats.org/drawingml/2006/main" prst="rightArrow">
          <a:avLst/>
        </a:prstGeom>
        <a:solidFill xmlns:a="http://schemas.openxmlformats.org/drawingml/2006/main">
          <a:srgbClr val="FF000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0.4221</cdr:x>
      <cdr:y>0.50803</cdr:y>
    </cdr:from>
    <cdr:to>
      <cdr:x>0.44128</cdr:x>
      <cdr:y>0.54344</cdr:y>
    </cdr:to>
    <cdr:sp macro="" textlink="">
      <cdr:nvSpPr>
        <cdr:cNvPr id="9" name="Arrow: Right 8">
          <a:extLst xmlns:a="http://schemas.openxmlformats.org/drawingml/2006/main">
            <a:ext uri="{FF2B5EF4-FFF2-40B4-BE49-F238E27FC236}">
              <a16:creationId xmlns:a16="http://schemas.microsoft.com/office/drawing/2014/main" id="{08E05CB8-7E44-C7F1-FA8E-A5D415D39D1B}"/>
            </a:ext>
          </a:extLst>
        </cdr:cNvPr>
        <cdr:cNvSpPr/>
      </cdr:nvSpPr>
      <cdr:spPr>
        <a:xfrm xmlns:a="http://schemas.openxmlformats.org/drawingml/2006/main" rot="16200000">
          <a:off x="3510017" y="2527565"/>
          <a:ext cx="175622" cy="159853"/>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0.52358</cdr:x>
      <cdr:y>0.54337</cdr:y>
    </cdr:from>
    <cdr:to>
      <cdr:x>0.54276</cdr:x>
      <cdr:y>0.57878</cdr:y>
    </cdr:to>
    <cdr:sp macro="" textlink="">
      <cdr:nvSpPr>
        <cdr:cNvPr id="10" name="Arrow: Right 9">
          <a:extLst xmlns:a="http://schemas.openxmlformats.org/drawingml/2006/main">
            <a:ext uri="{FF2B5EF4-FFF2-40B4-BE49-F238E27FC236}">
              <a16:creationId xmlns:a16="http://schemas.microsoft.com/office/drawing/2014/main" id="{3BF0DE3C-46C7-5AB3-6723-95C049EF2ADA}"/>
            </a:ext>
          </a:extLst>
        </cdr:cNvPr>
        <cdr:cNvSpPr/>
      </cdr:nvSpPr>
      <cdr:spPr>
        <a:xfrm xmlns:a="http://schemas.openxmlformats.org/drawingml/2006/main" rot="16200000">
          <a:off x="4355837" y="2702825"/>
          <a:ext cx="175622" cy="159853"/>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0.90383</cdr:x>
      <cdr:y>0.58976</cdr:y>
    </cdr:from>
    <cdr:to>
      <cdr:x>0.92338</cdr:x>
      <cdr:y>0.63513</cdr:y>
    </cdr:to>
    <cdr:sp macro="" textlink="">
      <cdr:nvSpPr>
        <cdr:cNvPr id="11" name="Arrow: Right 10">
          <a:extLst xmlns:a="http://schemas.openxmlformats.org/drawingml/2006/main">
            <a:ext uri="{FF2B5EF4-FFF2-40B4-BE49-F238E27FC236}">
              <a16:creationId xmlns:a16="http://schemas.microsoft.com/office/drawing/2014/main" id="{2069DF1B-87D3-7189-B4C4-DFA2B71A37EC}"/>
            </a:ext>
          </a:extLst>
        </cdr:cNvPr>
        <cdr:cNvSpPr/>
      </cdr:nvSpPr>
      <cdr:spPr>
        <a:xfrm xmlns:a="http://schemas.openxmlformats.org/drawingml/2006/main" rot="16200000" flipH="1">
          <a:off x="7151137" y="2172898"/>
          <a:ext cx="166692" cy="154777"/>
        </a:xfrm>
        <a:prstGeom xmlns:a="http://schemas.openxmlformats.org/drawingml/2006/main" prst="rightArrow">
          <a:avLst/>
        </a:prstGeom>
        <a:solidFill xmlns:a="http://schemas.openxmlformats.org/drawingml/2006/main">
          <a:srgbClr val="FF000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0.71176</cdr:x>
      <cdr:y>0.56608</cdr:y>
    </cdr:from>
    <cdr:to>
      <cdr:x>0.73094</cdr:x>
      <cdr:y>0.60149</cdr:y>
    </cdr:to>
    <cdr:sp macro="" textlink="">
      <cdr:nvSpPr>
        <cdr:cNvPr id="12" name="Arrow: Right 11">
          <a:extLst xmlns:a="http://schemas.openxmlformats.org/drawingml/2006/main">
            <a:ext uri="{FF2B5EF4-FFF2-40B4-BE49-F238E27FC236}">
              <a16:creationId xmlns:a16="http://schemas.microsoft.com/office/drawing/2014/main" id="{52837F2D-0691-7E49-F94A-A0FF8613C982}"/>
            </a:ext>
          </a:extLst>
        </cdr:cNvPr>
        <cdr:cNvSpPr/>
      </cdr:nvSpPr>
      <cdr:spPr>
        <a:xfrm xmlns:a="http://schemas.openxmlformats.org/drawingml/2006/main" rot="16200000">
          <a:off x="5647039" y="2069041"/>
          <a:ext cx="130106" cy="151879"/>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0.81369</cdr:x>
      <cdr:y>0.58262</cdr:y>
    </cdr:from>
    <cdr:to>
      <cdr:x>0.83287</cdr:x>
      <cdr:y>0.61803</cdr:y>
    </cdr:to>
    <cdr:sp macro="" textlink="">
      <cdr:nvSpPr>
        <cdr:cNvPr id="13" name="Arrow: Right 12">
          <a:extLst xmlns:a="http://schemas.openxmlformats.org/drawingml/2006/main">
            <a:ext uri="{FF2B5EF4-FFF2-40B4-BE49-F238E27FC236}">
              <a16:creationId xmlns:a16="http://schemas.microsoft.com/office/drawing/2014/main" id="{B3E23A0A-4E44-37BF-8991-C46BEDBBAFD5}"/>
            </a:ext>
          </a:extLst>
        </cdr:cNvPr>
        <cdr:cNvSpPr/>
      </cdr:nvSpPr>
      <cdr:spPr>
        <a:xfrm xmlns:a="http://schemas.openxmlformats.org/drawingml/2006/main" rot="16200000">
          <a:off x="6454142" y="2129824"/>
          <a:ext cx="130106" cy="151879"/>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0.2329</cdr:x>
      <cdr:y>0.45259</cdr:y>
    </cdr:from>
    <cdr:to>
      <cdr:x>0.33047</cdr:x>
      <cdr:y>0.51244</cdr:y>
    </cdr:to>
    <cdr:sp macro="" textlink="">
      <cdr:nvSpPr>
        <cdr:cNvPr id="14" name="Rectangle 13">
          <a:extLst xmlns:a="http://schemas.openxmlformats.org/drawingml/2006/main">
            <a:ext uri="{FF2B5EF4-FFF2-40B4-BE49-F238E27FC236}">
              <a16:creationId xmlns:a16="http://schemas.microsoft.com/office/drawing/2014/main" id="{DF40C718-A3E0-1AB3-8BEF-853B18AE7F7E}"/>
            </a:ext>
          </a:extLst>
        </cdr:cNvPr>
        <cdr:cNvSpPr/>
      </cdr:nvSpPr>
      <cdr:spPr>
        <a:xfrm xmlns:a="http://schemas.openxmlformats.org/drawingml/2006/main">
          <a:off x="1844239" y="1662938"/>
          <a:ext cx="772619" cy="219905"/>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0,4%</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0.34347</cdr:x>
      <cdr:y>0.45426</cdr:y>
    </cdr:from>
    <cdr:to>
      <cdr:x>0.44104</cdr:x>
      <cdr:y>0.51411</cdr:y>
    </cdr:to>
    <cdr:sp macro="" textlink="">
      <cdr:nvSpPr>
        <cdr:cNvPr id="15" name="Rectangle 14">
          <a:extLst xmlns:a="http://schemas.openxmlformats.org/drawingml/2006/main">
            <a:ext uri="{FF2B5EF4-FFF2-40B4-BE49-F238E27FC236}">
              <a16:creationId xmlns:a16="http://schemas.microsoft.com/office/drawing/2014/main" id="{E660CB16-97B9-E921-47D7-A315071C218C}"/>
            </a:ext>
          </a:extLst>
        </cdr:cNvPr>
        <cdr:cNvSpPr/>
      </cdr:nvSpPr>
      <cdr:spPr>
        <a:xfrm xmlns:a="http://schemas.openxmlformats.org/drawingml/2006/main">
          <a:off x="2862580" y="2252980"/>
          <a:ext cx="813185" cy="296836"/>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70,1%</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0.43398</cdr:x>
      <cdr:y>0.51111</cdr:y>
    </cdr:from>
    <cdr:to>
      <cdr:x>0.53155</cdr:x>
      <cdr:y>0.57096</cdr:y>
    </cdr:to>
    <cdr:sp macro="" textlink="">
      <cdr:nvSpPr>
        <cdr:cNvPr id="16" name="Rectangle 15">
          <a:extLst xmlns:a="http://schemas.openxmlformats.org/drawingml/2006/main">
            <a:ext uri="{FF2B5EF4-FFF2-40B4-BE49-F238E27FC236}">
              <a16:creationId xmlns:a16="http://schemas.microsoft.com/office/drawing/2014/main" id="{E660CB16-97B9-E921-47D7-A315071C218C}"/>
            </a:ext>
          </a:extLst>
        </cdr:cNvPr>
        <cdr:cNvSpPr/>
      </cdr:nvSpPr>
      <cdr:spPr>
        <a:xfrm xmlns:a="http://schemas.openxmlformats.org/drawingml/2006/main">
          <a:off x="3616960" y="2534920"/>
          <a:ext cx="813185" cy="296836"/>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1,</a:t>
          </a:r>
          <a:r>
            <a:rPr lang="vi-VN" sz="800">
              <a:solidFill>
                <a:sysClr val="windowText" lastClr="000000"/>
              </a:solidFill>
              <a:latin typeface="Arial" panose="020B0604020202020204" pitchFamily="34" charset="0"/>
              <a:cs typeface="Arial" panose="020B0604020202020204" pitchFamily="34" charset="0"/>
            </a:rPr>
            <a:t>2</a:t>
          </a:r>
          <a:r>
            <a:rPr lang="en-US" sz="800">
              <a:solidFill>
                <a:sysClr val="windowText" lastClr="000000"/>
              </a:solidFill>
              <a:latin typeface="Arial" panose="020B0604020202020204" pitchFamily="34" charset="0"/>
              <a:cs typeface="Arial" panose="020B0604020202020204" pitchFamily="34" charset="0"/>
            </a:rPr>
            <a:t>%</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0.53644</cdr:x>
      <cdr:y>0.53211</cdr:y>
    </cdr:from>
    <cdr:to>
      <cdr:x>0.63401</cdr:x>
      <cdr:y>0.59196</cdr:y>
    </cdr:to>
    <cdr:sp macro="" textlink="">
      <cdr:nvSpPr>
        <cdr:cNvPr id="17" name="Rectangle 16">
          <a:extLst xmlns:a="http://schemas.openxmlformats.org/drawingml/2006/main">
            <a:ext uri="{FF2B5EF4-FFF2-40B4-BE49-F238E27FC236}">
              <a16:creationId xmlns:a16="http://schemas.microsoft.com/office/drawing/2014/main" id="{E660CB16-97B9-E921-47D7-A315071C218C}"/>
            </a:ext>
          </a:extLst>
        </cdr:cNvPr>
        <cdr:cNvSpPr/>
      </cdr:nvSpPr>
      <cdr:spPr>
        <a:xfrm xmlns:a="http://schemas.openxmlformats.org/drawingml/2006/main">
          <a:off x="4247854" y="1955111"/>
          <a:ext cx="772618" cy="219905"/>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2,5%</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0.63421</cdr:x>
      <cdr:y>0.56642</cdr:y>
    </cdr:from>
    <cdr:to>
      <cdr:x>0.73178</cdr:x>
      <cdr:y>0.62627</cdr:y>
    </cdr:to>
    <cdr:sp macro="" textlink="">
      <cdr:nvSpPr>
        <cdr:cNvPr id="18" name="Rectangle 17">
          <a:extLst xmlns:a="http://schemas.openxmlformats.org/drawingml/2006/main">
            <a:ext uri="{FF2B5EF4-FFF2-40B4-BE49-F238E27FC236}">
              <a16:creationId xmlns:a16="http://schemas.microsoft.com/office/drawing/2014/main" id="{E660CB16-97B9-E921-47D7-A315071C218C}"/>
            </a:ext>
          </a:extLst>
        </cdr:cNvPr>
        <cdr:cNvSpPr/>
      </cdr:nvSpPr>
      <cdr:spPr>
        <a:xfrm xmlns:a="http://schemas.openxmlformats.org/drawingml/2006/main">
          <a:off x="5285740" y="2809240"/>
          <a:ext cx="813185" cy="296836"/>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9,2%</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0.82621</cdr:x>
      <cdr:y>0.5741</cdr:y>
    </cdr:from>
    <cdr:to>
      <cdr:x>0.92378</cdr:x>
      <cdr:y>0.63395</cdr:y>
    </cdr:to>
    <cdr:sp macro="" textlink="">
      <cdr:nvSpPr>
        <cdr:cNvPr id="19" name="Rectangle 18">
          <a:extLst xmlns:a="http://schemas.openxmlformats.org/drawingml/2006/main">
            <a:ext uri="{FF2B5EF4-FFF2-40B4-BE49-F238E27FC236}">
              <a16:creationId xmlns:a16="http://schemas.microsoft.com/office/drawing/2014/main" id="{E660CB16-97B9-E921-47D7-A315071C218C}"/>
            </a:ext>
          </a:extLst>
        </cdr:cNvPr>
        <cdr:cNvSpPr/>
      </cdr:nvSpPr>
      <cdr:spPr>
        <a:xfrm xmlns:a="http://schemas.openxmlformats.org/drawingml/2006/main">
          <a:off x="6885940" y="2847340"/>
          <a:ext cx="813185" cy="296836"/>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10,4%</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0.91887</cdr:x>
      <cdr:y>0.57268</cdr:y>
    </cdr:from>
    <cdr:to>
      <cdr:x>0.98346</cdr:x>
      <cdr:y>0.63513</cdr:y>
    </cdr:to>
    <cdr:sp macro="" textlink="">
      <cdr:nvSpPr>
        <cdr:cNvPr id="20" name="Rectangle 19">
          <a:extLst xmlns:a="http://schemas.openxmlformats.org/drawingml/2006/main">
            <a:ext uri="{FF2B5EF4-FFF2-40B4-BE49-F238E27FC236}">
              <a16:creationId xmlns:a16="http://schemas.microsoft.com/office/drawing/2014/main" id="{E660CB16-97B9-E921-47D7-A315071C218C}"/>
            </a:ext>
          </a:extLst>
        </cdr:cNvPr>
        <cdr:cNvSpPr/>
      </cdr:nvSpPr>
      <cdr:spPr>
        <a:xfrm xmlns:a="http://schemas.openxmlformats.org/drawingml/2006/main">
          <a:off x="7276148" y="2104175"/>
          <a:ext cx="511492" cy="22945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18,5%</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0.8701</cdr:x>
      <cdr:y>0.03151</cdr:y>
    </cdr:from>
    <cdr:to>
      <cdr:x>0.96952</cdr:x>
      <cdr:y>0.08681</cdr:y>
    </cdr:to>
    <cdr:sp macro="" textlink="">
      <cdr:nvSpPr>
        <cdr:cNvPr id="21" name="Text Box 1">
          <a:extLst xmlns:a="http://schemas.openxmlformats.org/drawingml/2006/main">
            <a:ext uri="{FF2B5EF4-FFF2-40B4-BE49-F238E27FC236}">
              <a16:creationId xmlns:a16="http://schemas.microsoft.com/office/drawing/2014/main" id="{B4C738B8-F46D-2323-6949-BB037BC9987B}"/>
            </a:ext>
          </a:extLst>
        </cdr:cNvPr>
        <cdr:cNvSpPr txBox="1"/>
      </cdr:nvSpPr>
      <cdr:spPr>
        <a:xfrm xmlns:a="http://schemas.openxmlformats.org/drawingml/2006/main">
          <a:off x="7251700" y="127000"/>
          <a:ext cx="828603" cy="222861"/>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vi-VN" sz="900" b="1" i="1">
              <a:latin typeface="Arial" panose="020B0604020202020204" pitchFamily="34" charset="0"/>
              <a:cs typeface="Arial" panose="020B0604020202020204" pitchFamily="34" charset="0"/>
            </a:rPr>
            <a:t>Bill. </a:t>
          </a:r>
          <a:r>
            <a:rPr lang="en-US" sz="900" b="1" i="1">
              <a:latin typeface="Arial" panose="020B0604020202020204" pitchFamily="34" charset="0"/>
              <a:cs typeface="Arial" panose="020B0604020202020204" pitchFamily="34" charset="0"/>
            </a:rPr>
            <a:t>VND</a:t>
          </a:r>
        </a:p>
      </cdr:txBody>
    </cdr:sp>
  </cdr:relSizeAnchor>
</c:userShapes>
</file>

<file path=word/drawings/drawing2.xml><?xml version="1.0" encoding="utf-8"?>
<c:userShapes xmlns:c="http://schemas.openxmlformats.org/drawingml/2006/chart">
  <cdr:relSizeAnchor xmlns:cdr="http://schemas.openxmlformats.org/drawingml/2006/chartDrawing">
    <cdr:from>
      <cdr:x>0.84865</cdr:x>
      <cdr:y>0.05278</cdr:y>
    </cdr:from>
    <cdr:to>
      <cdr:x>0.96577</cdr:x>
      <cdr:y>0.13872</cdr:y>
    </cdr:to>
    <cdr:sp macro="" textlink="">
      <cdr:nvSpPr>
        <cdr:cNvPr id="2" name="Text Box 2"/>
        <cdr:cNvSpPr txBox="1">
          <a:spLocks xmlns:a="http://schemas.openxmlformats.org/drawingml/2006/main" noChangeArrowheads="1"/>
        </cdr:cNvSpPr>
      </cdr:nvSpPr>
      <cdr:spPr bwMode="auto">
        <a:xfrm xmlns:a="http://schemas.openxmlformats.org/drawingml/2006/main" flipH="1">
          <a:off x="4486274" y="160873"/>
          <a:ext cx="619126" cy="26193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4,33</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dr:relSizeAnchor xmlns:cdr="http://schemas.openxmlformats.org/drawingml/2006/chartDrawing">
    <cdr:from>
      <cdr:x>0.71892</cdr:x>
      <cdr:y>0.19444</cdr:y>
    </cdr:from>
    <cdr:to>
      <cdr:x>0.83604</cdr:x>
      <cdr:y>0.28038</cdr:y>
    </cdr:to>
    <cdr:sp macro="" textlink="">
      <cdr:nvSpPr>
        <cdr:cNvPr id="3" name="Text Box 2"/>
        <cdr:cNvSpPr txBox="1">
          <a:spLocks xmlns:a="http://schemas.openxmlformats.org/drawingml/2006/main" noChangeArrowheads="1"/>
        </cdr:cNvSpPr>
      </cdr:nvSpPr>
      <cdr:spPr bwMode="auto">
        <a:xfrm xmlns:a="http://schemas.openxmlformats.org/drawingml/2006/main" flipH="1">
          <a:off x="3800475" y="592653"/>
          <a:ext cx="619126" cy="26194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2,92</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dr:relSizeAnchor xmlns:cdr="http://schemas.openxmlformats.org/drawingml/2006/chartDrawing">
    <cdr:from>
      <cdr:x>0.4973</cdr:x>
      <cdr:y>0.32188</cdr:y>
    </cdr:from>
    <cdr:to>
      <cdr:x>0.61441</cdr:x>
      <cdr:y>0.40782</cdr:y>
    </cdr:to>
    <cdr:sp macro="" textlink="">
      <cdr:nvSpPr>
        <cdr:cNvPr id="4" name="Text Box 2"/>
        <cdr:cNvSpPr txBox="1">
          <a:spLocks xmlns:a="http://schemas.openxmlformats.org/drawingml/2006/main" noChangeArrowheads="1"/>
        </cdr:cNvSpPr>
      </cdr:nvSpPr>
      <cdr:spPr bwMode="auto">
        <a:xfrm xmlns:a="http://schemas.openxmlformats.org/drawingml/2006/main">
          <a:off x="2628901" y="981090"/>
          <a:ext cx="619125" cy="26194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US" sz="1000" b="1">
              <a:effectLst/>
              <a:latin typeface="Arial" panose="020B0604020202020204" pitchFamily="34" charset="0"/>
              <a:ea typeface="Times New Roman" panose="02020603050405020304" pitchFamily="18" charset="0"/>
              <a:cs typeface="Arial" panose="020B0604020202020204" pitchFamily="34" charset="0"/>
            </a:rPr>
            <a:t>1,69</a:t>
          </a:r>
        </a:p>
      </cdr:txBody>
    </cdr:sp>
  </cdr:relSizeAnchor>
  <cdr:relSizeAnchor xmlns:cdr="http://schemas.openxmlformats.org/drawingml/2006/chartDrawing">
    <cdr:from>
      <cdr:x>0.57477</cdr:x>
      <cdr:y>0.46367</cdr:y>
    </cdr:from>
    <cdr:to>
      <cdr:x>0.71351</cdr:x>
      <cdr:y>0.54961</cdr:y>
    </cdr:to>
    <cdr:sp macro="" textlink="">
      <cdr:nvSpPr>
        <cdr:cNvPr id="5" name="Text Box 2"/>
        <cdr:cNvSpPr txBox="1">
          <a:spLocks xmlns:a="http://schemas.openxmlformats.org/drawingml/2006/main" noChangeArrowheads="1"/>
        </cdr:cNvSpPr>
      </cdr:nvSpPr>
      <cdr:spPr bwMode="auto">
        <a:xfrm xmlns:a="http://schemas.openxmlformats.org/drawingml/2006/main" flipH="1">
          <a:off x="3038475" y="1413266"/>
          <a:ext cx="733425" cy="26194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2,10</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dr:relSizeAnchor xmlns:cdr="http://schemas.openxmlformats.org/drawingml/2006/chartDrawing">
    <cdr:from>
      <cdr:x>0.57658</cdr:x>
      <cdr:y>0.60625</cdr:y>
    </cdr:from>
    <cdr:to>
      <cdr:x>0.67568</cdr:x>
      <cdr:y>0.69219</cdr:y>
    </cdr:to>
    <cdr:sp macro="" textlink="">
      <cdr:nvSpPr>
        <cdr:cNvPr id="6" name="Text Box 2"/>
        <cdr:cNvSpPr txBox="1">
          <a:spLocks xmlns:a="http://schemas.openxmlformats.org/drawingml/2006/main" noChangeArrowheads="1"/>
        </cdr:cNvSpPr>
      </cdr:nvSpPr>
      <cdr:spPr bwMode="auto">
        <a:xfrm xmlns:a="http://schemas.openxmlformats.org/drawingml/2006/main" flipH="1">
          <a:off x="3048001" y="1847850"/>
          <a:ext cx="523875" cy="26194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2,02</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9ACAF7-53A6-4E1C-82DC-24FD331A1E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8738</Words>
  <Characters>46944</Characters>
  <Application>Microsoft Office Word</Application>
  <DocSecurity>0</DocSecurity>
  <Lines>391</Lines>
  <Paragraphs>111</Paragraphs>
  <ScaleCrop>false</ScaleCrop>
  <HeadingPairs>
    <vt:vector size="2" baseType="variant">
      <vt:variant>
        <vt:lpstr>Title</vt:lpstr>
      </vt:variant>
      <vt:variant>
        <vt:i4>1</vt:i4>
      </vt:variant>
    </vt:vector>
  </HeadingPairs>
  <TitlesOfParts>
    <vt:vector size="1" baseType="lpstr">
      <vt:lpstr/>
    </vt:vector>
  </TitlesOfParts>
  <Company>TKTH-TCTK</Company>
  <LinksUpToDate>false</LinksUpToDate>
  <CharactersWithSpaces>55571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ltanh</dc:creator>
  <cp:lastModifiedBy>Bùi Trâm Anh</cp:lastModifiedBy>
  <cp:revision>4</cp:revision>
  <cp:lastPrinted>2024-01-29T07:55:00Z</cp:lastPrinted>
  <dcterms:created xsi:type="dcterms:W3CDTF">2025-02-14T09:00:00Z</dcterms:created>
  <dcterms:modified xsi:type="dcterms:W3CDTF">2025-02-17T03:27:00Z</dcterms:modified>
</cp:coreProperties>
</file>