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94953D" w14:textId="77777777" w:rsidR="00677D50" w:rsidRPr="00F4690A" w:rsidRDefault="00677D50" w:rsidP="00677D50">
      <w:pPr>
        <w:spacing w:line="276" w:lineRule="auto"/>
        <w:jc w:val="center"/>
        <w:rPr>
          <w:rFonts w:ascii=".VnArialH" w:hAnsi=".VnArialH" w:cs=".VnArialH"/>
          <w:b/>
          <w:bCs/>
          <w:sz w:val="2"/>
          <w:szCs w:val="2"/>
        </w:rPr>
      </w:pPr>
    </w:p>
    <w:p w14:paraId="032E352F" w14:textId="77777777" w:rsidR="00677D50" w:rsidRPr="00F4690A" w:rsidRDefault="00677D50" w:rsidP="00677D50">
      <w:pPr>
        <w:jc w:val="center"/>
        <w:rPr>
          <w:b/>
          <w:bCs/>
          <w:sz w:val="16"/>
          <w:szCs w:val="48"/>
        </w:rPr>
      </w:pPr>
    </w:p>
    <w:tbl>
      <w:tblPr>
        <w:tblpPr w:leftFromText="180" w:rightFromText="180" w:vertAnchor="text" w:horzAnchor="margin" w:tblpXSpec="center" w:tblpY="-386"/>
        <w:tblW w:w="10474" w:type="dxa"/>
        <w:tblLayout w:type="fixed"/>
        <w:tblLook w:val="0000" w:firstRow="0" w:lastRow="0" w:firstColumn="0" w:lastColumn="0" w:noHBand="0" w:noVBand="0"/>
      </w:tblPr>
      <w:tblGrid>
        <w:gridCol w:w="5369"/>
        <w:gridCol w:w="5105"/>
      </w:tblGrid>
      <w:tr w:rsidR="00C46F70" w:rsidRPr="00974B69" w14:paraId="2FB6FCDA" w14:textId="77777777" w:rsidTr="00874F84">
        <w:trPr>
          <w:trHeight w:val="1402"/>
        </w:trPr>
        <w:tc>
          <w:tcPr>
            <w:tcW w:w="5369" w:type="dxa"/>
          </w:tcPr>
          <w:p w14:paraId="7EFE75CE" w14:textId="77777777" w:rsidR="00C46F70" w:rsidRDefault="00C46F70" w:rsidP="00874F84">
            <w:pPr>
              <w:spacing w:line="276" w:lineRule="auto"/>
              <w:ind w:left="72" w:right="-115"/>
              <w:jc w:val="center"/>
              <w:rPr>
                <w:spacing w:val="-6"/>
                <w:sz w:val="24"/>
                <w:szCs w:val="24"/>
              </w:rPr>
            </w:pPr>
            <w:r w:rsidRPr="00974B69">
              <w:rPr>
                <w:spacing w:val="-6"/>
                <w:sz w:val="24"/>
                <w:szCs w:val="24"/>
              </w:rPr>
              <w:softHyphen/>
            </w:r>
            <w:r w:rsidRPr="00974B69">
              <w:rPr>
                <w:spacing w:val="-6"/>
                <w:sz w:val="24"/>
                <w:szCs w:val="24"/>
              </w:rPr>
              <w:softHyphen/>
            </w:r>
            <w:r w:rsidRPr="00974B69">
              <w:rPr>
                <w:spacing w:val="-6"/>
                <w:sz w:val="24"/>
                <w:szCs w:val="24"/>
              </w:rPr>
              <w:softHyphen/>
            </w:r>
            <w:r w:rsidRPr="00974B69">
              <w:rPr>
                <w:spacing w:val="-6"/>
                <w:sz w:val="24"/>
                <w:szCs w:val="24"/>
              </w:rPr>
              <w:softHyphen/>
              <w:t>MINISTRY OF PLANNING AND INVESTMENT</w:t>
            </w:r>
          </w:p>
          <w:p w14:paraId="02FA613E" w14:textId="77777777" w:rsidR="00C46F70" w:rsidRPr="00974B69" w:rsidRDefault="00C46F70" w:rsidP="00874F84">
            <w:pPr>
              <w:spacing w:line="276" w:lineRule="auto"/>
              <w:ind w:left="72" w:right="-115"/>
              <w:jc w:val="center"/>
              <w:rPr>
                <w:b/>
                <w:bCs/>
                <w:spacing w:val="-6"/>
                <w:sz w:val="24"/>
                <w:szCs w:val="24"/>
              </w:rPr>
            </w:pPr>
            <w:r>
              <w:rPr>
                <w:rFonts w:ascii="Calibri" w:hAnsi="Calibri" w:cs="Calibri"/>
                <w:noProof/>
                <w:sz w:val="22"/>
                <w:szCs w:val="22"/>
              </w:rPr>
              <mc:AlternateContent>
                <mc:Choice Requires="wps">
                  <w:drawing>
                    <wp:anchor distT="4294967291" distB="4294967291" distL="114300" distR="114300" simplePos="0" relativeHeight="251674624" behindDoc="0" locked="0" layoutInCell="1" allowOverlap="1" wp14:anchorId="1A0EF96F" wp14:editId="4B83E0AE">
                      <wp:simplePos x="0" y="0"/>
                      <wp:positionH relativeFrom="column">
                        <wp:posOffset>1145540</wp:posOffset>
                      </wp:positionH>
                      <wp:positionV relativeFrom="paragraph">
                        <wp:posOffset>203199</wp:posOffset>
                      </wp:positionV>
                      <wp:extent cx="971550"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4F57D9F" id="Straight Connector 28" o:spid="_x0000_s1026" style="position:absolute;z-index:251674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0.2pt,16pt" to="166.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" strokeweight="1pt"/>
                  </w:pict>
                </mc:Fallback>
              </mc:AlternateContent>
            </w:r>
            <w:r w:rsidRPr="00974B69">
              <w:rPr>
                <w:b/>
                <w:bCs/>
                <w:spacing w:val="-6"/>
                <w:sz w:val="24"/>
                <w:szCs w:val="24"/>
              </w:rPr>
              <w:t>GENERAL STATISTICS OFFICE</w:t>
            </w:r>
          </w:p>
          <w:p w14:paraId="5A712F4F" w14:textId="41554CAD" w:rsidR="00C46F70" w:rsidRPr="00974B69" w:rsidRDefault="00C46F70" w:rsidP="00874F84">
            <w:pPr>
              <w:spacing w:before="120" w:line="276" w:lineRule="auto"/>
              <w:ind w:left="16" w:right="-18"/>
              <w:jc w:val="center"/>
              <w:rPr>
                <w:sz w:val="26"/>
                <w:szCs w:val="26"/>
              </w:rPr>
            </w:pPr>
            <w:r w:rsidRPr="00974B69">
              <w:rPr>
                <w:sz w:val="26"/>
                <w:szCs w:val="26"/>
              </w:rPr>
              <w:t>No:</w:t>
            </w:r>
            <w:r w:rsidR="009E723F">
              <w:rPr>
                <w:sz w:val="26"/>
                <w:szCs w:val="26"/>
              </w:rPr>
              <w:t xml:space="preserve">        </w:t>
            </w:r>
            <w:r w:rsidRPr="00974B69">
              <w:rPr>
                <w:sz w:val="26"/>
                <w:szCs w:val="26"/>
              </w:rPr>
              <w:t>/BC-TCTK</w:t>
            </w:r>
          </w:p>
        </w:tc>
        <w:tc>
          <w:tcPr>
            <w:tcW w:w="5105" w:type="dxa"/>
          </w:tcPr>
          <w:p w14:paraId="4330D4D9" w14:textId="77777777" w:rsidR="00C46F70" w:rsidRPr="00974B69" w:rsidRDefault="00C46F70" w:rsidP="00874F84">
            <w:pPr>
              <w:spacing w:line="276" w:lineRule="auto"/>
              <w:rPr>
                <w:b/>
                <w:bCs/>
                <w:sz w:val="24"/>
                <w:szCs w:val="24"/>
              </w:rPr>
            </w:pPr>
            <w:r w:rsidRPr="00974B69">
              <w:rPr>
                <w:b/>
                <w:bCs/>
                <w:sz w:val="24"/>
                <w:szCs w:val="24"/>
              </w:rPr>
              <w:t>SOCIALIST REPUBLIC OF VIET NAM</w:t>
            </w:r>
          </w:p>
          <w:p w14:paraId="43626FEF" w14:textId="77777777" w:rsidR="00C46F70" w:rsidRPr="00974B69" w:rsidRDefault="00C46F70" w:rsidP="00874F84">
            <w:pPr>
              <w:spacing w:line="276" w:lineRule="auto"/>
              <w:rPr>
                <w:b/>
                <w:bCs/>
                <w:sz w:val="24"/>
                <w:szCs w:val="24"/>
              </w:rPr>
            </w:pPr>
            <w:r>
              <w:rPr>
                <w:rFonts w:ascii="Calibri" w:hAnsi="Calibri" w:cs="Calibri"/>
                <w:noProof/>
                <w:sz w:val="22"/>
                <w:szCs w:val="22"/>
              </w:rPr>
              <mc:AlternateContent>
                <mc:Choice Requires="wps">
                  <w:drawing>
                    <wp:anchor distT="4294967291" distB="4294967291" distL="114300" distR="114300" simplePos="0" relativeHeight="251675648" behindDoc="0" locked="0" layoutInCell="1" allowOverlap="1" wp14:anchorId="1D4F4662" wp14:editId="054BE8E9">
                      <wp:simplePos x="0" y="0"/>
                      <wp:positionH relativeFrom="column">
                        <wp:posOffset>336550</wp:posOffset>
                      </wp:positionH>
                      <wp:positionV relativeFrom="paragraph">
                        <wp:posOffset>203199</wp:posOffset>
                      </wp:positionV>
                      <wp:extent cx="1884045" cy="0"/>
                      <wp:effectExtent l="0" t="0" r="0" b="0"/>
                      <wp:wrapNone/>
                      <wp:docPr id="457587038" name="Straight Connector 457587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4045" cy="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43CAEE5" id="Straight Connector 457587038" o:spid="_x0000_s1026" style="position:absolute;z-index:251675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6.5pt,16pt" to="174.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" strokeweight="1pt"/>
                  </w:pict>
                </mc:Fallback>
              </mc:AlternateContent>
            </w:r>
            <w:r w:rsidRPr="00974B69">
              <w:rPr>
                <w:b/>
                <w:bCs/>
                <w:sz w:val="24"/>
                <w:szCs w:val="24"/>
              </w:rPr>
              <w:t>Independence-Freedom-Happiness</w:t>
            </w:r>
          </w:p>
          <w:p w14:paraId="326CFB44" w14:textId="77777777" w:rsidR="00C46F70" w:rsidRDefault="00C46F70" w:rsidP="00874F84">
            <w:pPr>
              <w:spacing w:line="276" w:lineRule="auto"/>
              <w:ind w:left="72"/>
              <w:jc w:val="center"/>
              <w:rPr>
                <w:i/>
                <w:iCs/>
                <w:sz w:val="26"/>
                <w:szCs w:val="26"/>
              </w:rPr>
            </w:pPr>
          </w:p>
          <w:p w14:paraId="19F03892" w14:textId="04C7B53D" w:rsidR="00C46F70" w:rsidRPr="00974B69" w:rsidRDefault="00C46F70" w:rsidP="00874F84">
            <w:pPr>
              <w:spacing w:line="276" w:lineRule="auto"/>
              <w:ind w:left="72" w:right="849"/>
              <w:jc w:val="center"/>
              <w:rPr>
                <w:b/>
                <w:bCs/>
                <w:i/>
                <w:iCs/>
                <w:sz w:val="26"/>
                <w:szCs w:val="26"/>
              </w:rPr>
            </w:pPr>
            <w:r w:rsidRPr="00974B69">
              <w:rPr>
                <w:i/>
                <w:iCs/>
                <w:sz w:val="26"/>
                <w:szCs w:val="26"/>
              </w:rPr>
              <w:t>Ha Noi</w:t>
            </w:r>
            <w:r w:rsidR="009E723F">
              <w:rPr>
                <w:i/>
                <w:iCs/>
                <w:sz w:val="26"/>
                <w:szCs w:val="26"/>
              </w:rPr>
              <w:t>, 6</w:t>
            </w:r>
            <w:r w:rsidRPr="00974B69">
              <w:rPr>
                <w:i/>
                <w:iCs/>
                <w:sz w:val="26"/>
                <w:szCs w:val="26"/>
                <w:vertAlign w:val="superscript"/>
              </w:rPr>
              <w:t>th</w:t>
            </w:r>
            <w:r w:rsidRPr="00974B69">
              <w:rPr>
                <w:i/>
                <w:iCs/>
                <w:sz w:val="26"/>
                <w:szCs w:val="26"/>
              </w:rPr>
              <w:t xml:space="preserve"> </w:t>
            </w:r>
            <w:r w:rsidR="009E723F">
              <w:rPr>
                <w:i/>
                <w:iCs/>
                <w:sz w:val="26"/>
                <w:szCs w:val="26"/>
              </w:rPr>
              <w:t>December</w:t>
            </w:r>
            <w:r w:rsidRPr="00974B69">
              <w:rPr>
                <w:i/>
                <w:iCs/>
                <w:sz w:val="26"/>
                <w:szCs w:val="26"/>
              </w:rPr>
              <w:t xml:space="preserve"> 202</w:t>
            </w:r>
            <w:r w:rsidR="009E723F">
              <w:rPr>
                <w:i/>
                <w:iCs/>
                <w:sz w:val="26"/>
                <w:szCs w:val="26"/>
              </w:rPr>
              <w:t>4</w:t>
            </w:r>
          </w:p>
        </w:tc>
      </w:tr>
    </w:tbl>
    <w:p w14:paraId="747072A6" w14:textId="77777777" w:rsidR="008756F9" w:rsidRDefault="008756F9" w:rsidP="008756F9">
      <w:pPr>
        <w:spacing w:line="276" w:lineRule="auto"/>
        <w:jc w:val="center"/>
        <w:rPr>
          <w:b/>
          <w:bCs/>
          <w:sz w:val="32"/>
          <w:szCs w:val="32"/>
          <w:lang w:val="pt-BR"/>
        </w:rPr>
      </w:pPr>
    </w:p>
    <w:p w14:paraId="6237EC81" w14:textId="7E7548A2" w:rsidR="008756F9" w:rsidRDefault="008756F9" w:rsidP="008756F9">
      <w:pPr>
        <w:spacing w:line="276" w:lineRule="auto"/>
        <w:jc w:val="center"/>
        <w:rPr>
          <w:b/>
          <w:bCs/>
          <w:sz w:val="32"/>
          <w:szCs w:val="32"/>
          <w:lang w:val="pt-BR"/>
        </w:rPr>
      </w:pPr>
      <w:r w:rsidRPr="006D7720">
        <w:rPr>
          <w:b/>
          <w:bCs/>
          <w:sz w:val="32"/>
          <w:szCs w:val="32"/>
          <w:lang w:val="pt-BR"/>
        </w:rPr>
        <w:t xml:space="preserve">Socio-economic situation report </w:t>
      </w:r>
    </w:p>
    <w:p w14:paraId="16790D3F" w14:textId="69BA95EC" w:rsidR="008756F9" w:rsidRPr="00D2474C" w:rsidRDefault="008756F9" w:rsidP="008756F9">
      <w:pPr>
        <w:spacing w:line="276" w:lineRule="auto"/>
        <w:jc w:val="center"/>
        <w:rPr>
          <w:b/>
          <w:bCs/>
          <w:sz w:val="34"/>
          <w:szCs w:val="34"/>
        </w:rPr>
      </w:pPr>
      <w:r>
        <w:rPr>
          <w:b/>
          <w:bCs/>
          <w:sz w:val="32"/>
          <w:szCs w:val="32"/>
          <w:lang w:val="pt-BR"/>
        </w:rPr>
        <w:t>in November and the 11 months of 202</w:t>
      </w:r>
      <w:r w:rsidR="009E723F">
        <w:rPr>
          <w:b/>
          <w:bCs/>
          <w:sz w:val="32"/>
          <w:szCs w:val="32"/>
          <w:lang w:val="pt-BR"/>
        </w:rPr>
        <w:t>4</w:t>
      </w:r>
    </w:p>
    <w:p w14:paraId="39CF1383" w14:textId="77777777" w:rsidR="00677D50" w:rsidRPr="00F4690A" w:rsidRDefault="00677D50" w:rsidP="00677D50">
      <w:pPr>
        <w:spacing w:before="20"/>
        <w:jc w:val="center"/>
        <w:rPr>
          <w:rFonts w:ascii="Arial" w:hAnsi="Arial" w:cs="Arial"/>
          <w:b/>
          <w:bCs/>
          <w:sz w:val="30"/>
          <w:szCs w:val="52"/>
        </w:rPr>
      </w:pPr>
      <w:r w:rsidRPr="00F4690A">
        <w:rPr>
          <w:rFonts w:ascii="Arial" w:hAnsi="Arial" w:cs="Arial"/>
          <w:b/>
          <w:bCs/>
          <w:noProof/>
          <w:sz w:val="50"/>
          <w:szCs w:val="52"/>
          <w:lang w:val="en-GB" w:eastAsia="en-GB"/>
        </w:rPr>
        <mc:AlternateContent>
          <mc:Choice Requires="wps">
            <w:drawing>
              <wp:anchor distT="0" distB="0" distL="114300" distR="114300" simplePos="0" relativeHeight="251661312" behindDoc="0" locked="0" layoutInCell="1" allowOverlap="1" wp14:anchorId="4236AB9C" wp14:editId="0E14261F">
                <wp:simplePos x="0" y="0"/>
                <wp:positionH relativeFrom="margin">
                  <wp:align>center</wp:align>
                </wp:positionH>
                <wp:positionV relativeFrom="paragraph">
                  <wp:posOffset>26035</wp:posOffset>
                </wp:positionV>
                <wp:extent cx="1412875" cy="0"/>
                <wp:effectExtent l="0" t="0" r="34925" b="1905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084361" id="_x0000_t32" coordsize="21600,21600" o:spt="32" o:oned="t" path="m,l21600,21600e" filled="f">
                <v:path arrowok="t" fillok="f" o:connecttype="none"/>
                <o:lock v:ext="edit" shapetype="t"/>
              </v:shapetype>
              <v:shape id="AutoShape 4" o:spid="_x0000_s1026" type="#_x0000_t32" style="position:absolute;margin-left:0;margin-top:2.05pt;width:111.25pt;height:0;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Z2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">
                <w10:wrap anchorx="margin"/>
              </v:shape>
            </w:pict>
          </mc:Fallback>
        </mc:AlternateContent>
      </w:r>
    </w:p>
    <w:p w14:paraId="602F4E48" w14:textId="77777777" w:rsidR="000E610C" w:rsidRPr="005153B8" w:rsidRDefault="000E610C" w:rsidP="000E610C">
      <w:pPr>
        <w:spacing w:after="40" w:line="276" w:lineRule="auto"/>
        <w:ind w:firstLine="567"/>
        <w:jc w:val="both"/>
        <w:rPr>
          <w:b/>
          <w:lang w:val="fr-FR"/>
        </w:rPr>
      </w:pPr>
      <w:r>
        <w:rPr>
          <w:b/>
          <w:lang w:val="fr-FR"/>
        </w:rPr>
        <w:t>1</w:t>
      </w:r>
      <w:r w:rsidRPr="005153B8">
        <w:rPr>
          <w:b/>
          <w:lang w:val="fr-FR"/>
        </w:rPr>
        <w:t xml:space="preserve">. </w:t>
      </w:r>
      <w:r w:rsidRPr="00E01019">
        <w:rPr>
          <w:b/>
          <w:lang w:val="fr-FR"/>
        </w:rPr>
        <w:t>Agriculture, forestry, and fishery</w:t>
      </w:r>
    </w:p>
    <w:p w14:paraId="11DB11C0" w14:textId="77777777" w:rsidR="000E610C" w:rsidRDefault="000E610C" w:rsidP="000E610C">
      <w:pPr>
        <w:spacing w:after="100" w:line="276" w:lineRule="auto"/>
        <w:ind w:firstLine="720"/>
        <w:jc w:val="both"/>
        <w:rPr>
          <w:i/>
          <w:lang w:val="pt-BR"/>
        </w:rPr>
      </w:pPr>
      <w:r w:rsidRPr="001C73E0">
        <w:rPr>
          <w:i/>
          <w:lang w:val="pt-BR"/>
        </w:rPr>
        <w:t xml:space="preserve">Agricultural production in November focused mainly on completing the harvest of winter rice across the country, planting winter crops in northern localities and harvesting autumn-winter rice in the Mekong Delta provinces. </w:t>
      </w:r>
      <w:r w:rsidRPr="005633CD">
        <w:rPr>
          <w:i/>
          <w:lang w:val="pt-BR"/>
        </w:rPr>
        <w:t>Livestock activities were favorable, diseases were basically controlled. Focusing on developing pig and poultry herds to ensure food supply for the year-end holidays. Logging activities continue to be promoted due to increased demand for raw wood. Aquaculture continues to develop steadily, serving domestic consumption and export.</w:t>
      </w:r>
    </w:p>
    <w:p w14:paraId="1C44B451" w14:textId="77777777" w:rsidR="000E610C" w:rsidRPr="007072A6" w:rsidRDefault="000E610C" w:rsidP="000E610C">
      <w:pPr>
        <w:tabs>
          <w:tab w:val="left" w:pos="284"/>
        </w:tabs>
        <w:spacing w:after="120" w:line="264" w:lineRule="auto"/>
        <w:ind w:firstLine="567"/>
        <w:jc w:val="both"/>
        <w:rPr>
          <w:b/>
          <w:bCs/>
          <w:i/>
          <w:iCs/>
        </w:rPr>
      </w:pPr>
      <w:r w:rsidRPr="007072A6">
        <w:rPr>
          <w:b/>
          <w:bCs/>
          <w:i/>
          <w:iCs/>
        </w:rPr>
        <w:t xml:space="preserve">a) </w:t>
      </w:r>
      <w:r w:rsidRPr="008E2C04">
        <w:rPr>
          <w:b/>
          <w:i/>
          <w:lang w:val="fr-FR"/>
        </w:rPr>
        <w:t>Agriculture</w:t>
      </w:r>
    </w:p>
    <w:p w14:paraId="12C6386F" w14:textId="77777777" w:rsidR="000E610C" w:rsidRPr="007072A6" w:rsidRDefault="000E610C" w:rsidP="000E610C">
      <w:pPr>
        <w:spacing w:after="120" w:line="264" w:lineRule="auto"/>
        <w:ind w:firstLine="567"/>
        <w:jc w:val="both"/>
        <w:rPr>
          <w:i/>
          <w:lang w:val="pt-BR"/>
        </w:rPr>
      </w:pPr>
      <w:r>
        <w:rPr>
          <w:i/>
          <w:lang w:val="pt-BR"/>
        </w:rPr>
        <w:t>Winter rice</w:t>
      </w:r>
    </w:p>
    <w:p w14:paraId="596FA5DB" w14:textId="77777777" w:rsidR="000E610C" w:rsidRDefault="000E610C" w:rsidP="000E610C">
      <w:pPr>
        <w:spacing w:after="100" w:line="276" w:lineRule="auto"/>
        <w:ind w:firstLine="720"/>
        <w:jc w:val="both"/>
        <w:rPr>
          <w:spacing w:val="2"/>
          <w:lang w:val="pt-BR"/>
        </w:rPr>
      </w:pPr>
      <w:r w:rsidRPr="00411519">
        <w:rPr>
          <w:spacing w:val="2"/>
          <w:lang w:val="pt-BR"/>
        </w:rPr>
        <w:t xml:space="preserve">As of November 20, 2024, the whole country harvested 1,403.4 thousand hectares of winter rice, accounting for 90.7% of the cultivated area and equal to 95.7% of the same period last year. Of which, the northern localities harvested 933.8 thousand hectares, accounting for 93.8% and equal to 94.5%; the southern localities harvested 469.6 thousand hectares, accounting for 85.3% and equal to 98.2%. This year's winter rice harvest progress was later than the same period last year, mainly due to the impact of storm No. 3, so the rice areas that recovered after the storm had a longer growing period than the annual average. </w:t>
      </w:r>
    </w:p>
    <w:p w14:paraId="2B3AB0DB" w14:textId="77777777" w:rsidR="000E610C" w:rsidRDefault="000E610C" w:rsidP="000E610C">
      <w:pPr>
        <w:spacing w:after="100" w:line="276" w:lineRule="auto"/>
        <w:ind w:firstLine="720"/>
        <w:jc w:val="both"/>
        <w:rPr>
          <w:spacing w:val="2"/>
          <w:lang w:val="pt-BR"/>
        </w:rPr>
      </w:pPr>
      <w:r w:rsidRPr="00411519">
        <w:rPr>
          <w:spacing w:val="2"/>
          <w:lang w:val="pt-BR"/>
        </w:rPr>
        <w:t>According to assessment reports from localities, the winter rice yield of most northern provinces decreased by 8-10%; in which, some localities had sharp decreases in yield such as Hai Phong decreased by nearly 50%; Hung Yen decreased by 43%; Bac Ninh decreased by 16%. Due to a sharp decrease in productivity, the Northern winter rice output was estimated at 7.86 million tons, down 535.9 thousand tons compared to the 2023 winter rice crop.</w:t>
      </w:r>
    </w:p>
    <w:p w14:paraId="059F836D" w14:textId="77777777" w:rsidR="000E610C" w:rsidRPr="007072A6" w:rsidRDefault="000E610C" w:rsidP="000E610C">
      <w:pPr>
        <w:spacing w:after="120" w:line="264" w:lineRule="auto"/>
        <w:ind w:firstLine="567"/>
        <w:jc w:val="both"/>
        <w:rPr>
          <w:i/>
          <w:lang w:val="pt-BR"/>
        </w:rPr>
      </w:pPr>
      <w:r>
        <w:rPr>
          <w:i/>
          <w:lang w:val="pt-BR"/>
        </w:rPr>
        <w:t>Autumn-winter rice</w:t>
      </w:r>
    </w:p>
    <w:p w14:paraId="5381931C" w14:textId="77777777" w:rsidR="000E610C" w:rsidRDefault="000E610C" w:rsidP="000E610C">
      <w:pPr>
        <w:tabs>
          <w:tab w:val="left" w:pos="0"/>
        </w:tabs>
        <w:spacing w:after="100" w:line="276" w:lineRule="auto"/>
        <w:ind w:firstLine="720"/>
        <w:jc w:val="both"/>
        <w:rPr>
          <w:lang w:val="pt-BR"/>
        </w:rPr>
      </w:pPr>
      <w:r w:rsidRPr="00411519">
        <w:rPr>
          <w:lang w:val="pt-BR"/>
        </w:rPr>
        <w:t xml:space="preserve">The 2024 autumn-winter rice cultivation area in the Mekong Delta was estimated at 717.9 thousand hectares, an increase of 22 thousand hectares compared to the previous autumn-winter crop because many localities have taken </w:t>
      </w:r>
      <w:r w:rsidRPr="00411519">
        <w:rPr>
          <w:lang w:val="pt-BR"/>
        </w:rPr>
        <w:lastRenderedPageBreak/>
        <w:t>the initiative in water sources and field sanitation to expand the planting area. As of November 20, 2024, the whole region harvested 414.3 thousand hectares of autumn-winter rice, accounting for 57.7% of the cultivated area and equal to 103.2% of the same period last year. According to the preliminary report, the autumn-winter rice yield was estimated at 57.9 quintals/ha, an increase of 0.8 quintals/ha compared to the previous autumn-winter crop; the output reached 4.2 million tons, an increase of 118.5 thousand tons.</w:t>
      </w:r>
    </w:p>
    <w:p w14:paraId="2CF580F3" w14:textId="77777777" w:rsidR="000E610C" w:rsidRPr="007072A6" w:rsidRDefault="000E610C" w:rsidP="000E610C">
      <w:pPr>
        <w:spacing w:after="120" w:line="264" w:lineRule="auto"/>
        <w:ind w:firstLine="567"/>
        <w:jc w:val="both"/>
        <w:rPr>
          <w:i/>
          <w:lang w:val="pt-BR"/>
        </w:rPr>
      </w:pPr>
      <w:r>
        <w:rPr>
          <w:i/>
          <w:lang w:val="pt-BR"/>
        </w:rPr>
        <w:t>Spring rice</w:t>
      </w:r>
    </w:p>
    <w:p w14:paraId="6160B3B5" w14:textId="77777777" w:rsidR="000E610C" w:rsidRDefault="000E610C" w:rsidP="000E610C">
      <w:pPr>
        <w:spacing w:line="276" w:lineRule="auto"/>
        <w:ind w:firstLine="567"/>
        <w:jc w:val="both"/>
        <w:rPr>
          <w:lang w:val="pt-BR"/>
        </w:rPr>
      </w:pPr>
      <w:r w:rsidRPr="004F4CAB">
        <w:rPr>
          <w:lang w:val="pt-BR"/>
        </w:rPr>
        <w:t>As of November 20, 2024, the southern localities had planted 500.3 thousand hectares of early winter-spring rice, equal to 129.9% of the same period last year, mainly concentrated in the Mekong Delta with 498.6 thousand hectares, equal to 130.1%. The progress of winter-spring rice cultivation was faster than the same period last year because rice prices were stable at a high level, so immediately after harvesting the early autumn-winter rice, farmers urgently plowed and cleared the land to sow the winter-spring rice crop. Some localities with high increases in winter-spring rice acreage include Can Tho with an increase of 39.7 thousand hectares; Kien Giang with an increase of 28.7 thousand hectares; Vinh Long with an increase of 13.2 thousand hectares; Bac Lieu with an increase of 11.0 thousand hectares.</w:t>
      </w:r>
    </w:p>
    <w:p w14:paraId="55DB00E4" w14:textId="77777777" w:rsidR="000E610C" w:rsidRPr="00FD6C1C" w:rsidRDefault="000E610C" w:rsidP="000E610C">
      <w:pPr>
        <w:spacing w:line="276" w:lineRule="auto"/>
        <w:ind w:firstLine="567"/>
        <w:jc w:val="both"/>
        <w:rPr>
          <w:i/>
          <w:lang w:val="pt-BR"/>
        </w:rPr>
      </w:pPr>
      <w:r>
        <w:rPr>
          <w:i/>
          <w:lang w:val="pt-BR"/>
        </w:rPr>
        <w:t>Annual crops</w:t>
      </w:r>
    </w:p>
    <w:p w14:paraId="4DBE185F" w14:textId="77777777" w:rsidR="000E610C" w:rsidRPr="007072A6" w:rsidRDefault="000E610C" w:rsidP="000E610C">
      <w:pPr>
        <w:tabs>
          <w:tab w:val="left" w:pos="284"/>
        </w:tabs>
        <w:spacing w:after="120" w:line="264" w:lineRule="auto"/>
        <w:ind w:firstLine="567"/>
        <w:jc w:val="both"/>
        <w:rPr>
          <w:color w:val="000000" w:themeColor="text1"/>
          <w:spacing w:val="-4"/>
          <w:lang w:val="nl-NL"/>
        </w:rPr>
      </w:pPr>
      <w:r w:rsidRPr="00587F37">
        <w:t>This year's winter crop focuses on crops of high economic value, implements intensive farming and spreads crops, improves qual</w:t>
      </w:r>
      <w:r>
        <w:t xml:space="preserve">ity to increase selling prices. </w:t>
      </w:r>
      <w:proofErr w:type="gramStart"/>
      <w:r>
        <w:t>I</w:t>
      </w:r>
      <w:r w:rsidRPr="006709C9">
        <w:t>n particular, focus</w:t>
      </w:r>
      <w:proofErr w:type="gramEnd"/>
      <w:r w:rsidRPr="006709C9">
        <w:t xml:space="preserve"> on producing crops with stable output markets such as </w:t>
      </w:r>
      <w:r>
        <w:t xml:space="preserve">maize, sweet potato, </w:t>
      </w:r>
      <w:r w:rsidRPr="006709C9">
        <w:t>vegetables beans</w:t>
      </w:r>
      <w:r>
        <w:t>.</w:t>
      </w:r>
    </w:p>
    <w:p w14:paraId="10B9E3C9" w14:textId="77777777" w:rsidR="000E610C" w:rsidRPr="00A54446" w:rsidRDefault="000E610C" w:rsidP="000E610C">
      <w:pPr>
        <w:spacing w:before="240" w:line="276" w:lineRule="auto"/>
        <w:jc w:val="center"/>
        <w:rPr>
          <w:rFonts w:ascii="Arial" w:hAnsi="Arial" w:cs="Arial"/>
          <w:b/>
          <w:sz w:val="24"/>
          <w:szCs w:val="24"/>
          <w:lang w:val="de-DE"/>
        </w:rPr>
      </w:pPr>
      <w:r>
        <w:rPr>
          <w:rFonts w:ascii="Arial" w:hAnsi="Arial" w:cs="Arial"/>
          <w:b/>
          <w:sz w:val="24"/>
          <w:szCs w:val="24"/>
          <w:lang w:val="de-DE"/>
        </w:rPr>
        <w:t>Figure 1</w:t>
      </w:r>
      <w:r w:rsidRPr="00A54446">
        <w:rPr>
          <w:rFonts w:ascii="Arial" w:hAnsi="Arial" w:cs="Arial"/>
          <w:b/>
          <w:sz w:val="24"/>
          <w:szCs w:val="24"/>
          <w:lang w:val="de-DE"/>
        </w:rPr>
        <w:t xml:space="preserve">. </w:t>
      </w:r>
      <w:r>
        <w:rPr>
          <w:rFonts w:ascii="Arial" w:hAnsi="Arial" w:cs="Arial"/>
          <w:b/>
          <w:sz w:val="24"/>
          <w:szCs w:val="24"/>
          <w:lang w:val="de-DE"/>
        </w:rPr>
        <w:t xml:space="preserve">Area of main annual crops </w:t>
      </w:r>
    </w:p>
    <w:p w14:paraId="46643F61" w14:textId="77777777" w:rsidR="000E610C" w:rsidRDefault="000E610C" w:rsidP="000E610C">
      <w:pPr>
        <w:spacing w:before="40" w:after="40" w:line="276" w:lineRule="auto"/>
        <w:jc w:val="center"/>
        <w:rPr>
          <w:rFonts w:ascii="Arial" w:hAnsi="Arial" w:cs="Arial"/>
          <w:bCs/>
          <w:i/>
          <w:iCs/>
          <w:sz w:val="24"/>
          <w:szCs w:val="24"/>
        </w:rPr>
      </w:pPr>
      <w:r w:rsidRPr="00DA78D0">
        <w:rPr>
          <w:rFonts w:ascii="Arial" w:hAnsi="Arial" w:cs="Arial"/>
          <w:bCs/>
          <w:i/>
          <w:iCs/>
          <w:sz w:val="24"/>
          <w:szCs w:val="24"/>
        </w:rPr>
        <w:t>(</w:t>
      </w:r>
      <w:r w:rsidRPr="00DA78D0">
        <w:rPr>
          <w:i/>
          <w:lang w:val="de-DE"/>
        </w:rPr>
        <w:t xml:space="preserve">As of </w:t>
      </w:r>
      <w:r>
        <w:rPr>
          <w:i/>
          <w:lang w:val="de-DE"/>
        </w:rPr>
        <w:t>20/11/2024</w:t>
      </w:r>
      <w:r w:rsidRPr="00DA78D0">
        <w:rPr>
          <w:rFonts w:ascii="Arial" w:hAnsi="Arial" w:cs="Arial"/>
          <w:bCs/>
          <w:i/>
          <w:iCs/>
          <w:sz w:val="24"/>
          <w:szCs w:val="24"/>
        </w:rPr>
        <w:t>)</w:t>
      </w:r>
    </w:p>
    <w:p w14:paraId="0EE05045" w14:textId="77777777" w:rsidR="000E610C" w:rsidRDefault="000E610C" w:rsidP="000E610C">
      <w:pPr>
        <w:pStyle w:val="Normal1"/>
        <w:tabs>
          <w:tab w:val="left" w:pos="7380"/>
        </w:tabs>
        <w:spacing w:before="60" w:beforeAutospacing="0" w:after="0" w:afterAutospacing="0"/>
        <w:jc w:val="center"/>
        <w:rPr>
          <w:rFonts w:ascii="Arial" w:hAnsi="Arial" w:cs="Arial"/>
          <w:bCs/>
          <w:i/>
          <w:iCs/>
        </w:rPr>
      </w:pPr>
    </w:p>
    <w:p w14:paraId="4E742D59" w14:textId="77777777" w:rsidR="000E610C" w:rsidRDefault="000E610C" w:rsidP="000E610C">
      <w:pPr>
        <w:pStyle w:val="Normal1"/>
        <w:tabs>
          <w:tab w:val="left" w:pos="7380"/>
        </w:tabs>
        <w:spacing w:before="60" w:beforeAutospacing="0" w:after="0" w:afterAutospacing="0"/>
        <w:jc w:val="center"/>
        <w:rPr>
          <w:rFonts w:ascii="Arial" w:hAnsi="Arial" w:cs="Arial"/>
          <w:bCs/>
          <w:i/>
          <w:iCs/>
        </w:rPr>
      </w:pPr>
      <w:r>
        <w:rPr>
          <w:noProof/>
        </w:rPr>
        <w:drawing>
          <wp:inline distT="0" distB="0" distL="0" distR="0" wp14:anchorId="42D891A4" wp14:editId="2C24DEEA">
            <wp:extent cx="5895975" cy="2324100"/>
            <wp:effectExtent l="0" t="0" r="9525" b="0"/>
            <wp:docPr id="38397684" name="Picture 3839768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7684" name="Picture 38397684" descr="A screenshot of a graph&#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5975" cy="2324100"/>
                    </a:xfrm>
                    <a:prstGeom prst="rect">
                      <a:avLst/>
                    </a:prstGeom>
                    <a:noFill/>
                    <a:ln>
                      <a:noFill/>
                    </a:ln>
                  </pic:spPr>
                </pic:pic>
              </a:graphicData>
            </a:graphic>
          </wp:inline>
        </w:drawing>
      </w:r>
    </w:p>
    <w:p w14:paraId="59FC97B5" w14:textId="77777777" w:rsidR="000E610C" w:rsidRDefault="000E610C" w:rsidP="000E610C">
      <w:pPr>
        <w:pStyle w:val="Normal1"/>
        <w:tabs>
          <w:tab w:val="left" w:pos="142"/>
          <w:tab w:val="left" w:pos="7380"/>
        </w:tabs>
        <w:spacing w:before="60" w:beforeAutospacing="0" w:after="0" w:afterAutospacing="0"/>
        <w:jc w:val="center"/>
        <w:rPr>
          <w:rFonts w:ascii="Arial" w:hAnsi="Arial" w:cs="Arial"/>
          <w:bCs/>
          <w:i/>
          <w:iCs/>
        </w:rPr>
      </w:pPr>
    </w:p>
    <w:p w14:paraId="4A54D591" w14:textId="77777777" w:rsidR="000E610C" w:rsidRPr="007D42A5" w:rsidRDefault="000E610C" w:rsidP="000E610C">
      <w:pPr>
        <w:spacing w:before="120" w:after="100" w:line="264" w:lineRule="auto"/>
        <w:ind w:firstLine="720"/>
        <w:jc w:val="both"/>
        <w:rPr>
          <w:rFonts w:eastAsiaTheme="minorEastAsia"/>
          <w:lang w:val="pt-BR"/>
        </w:rPr>
      </w:pPr>
      <w:r>
        <w:rPr>
          <w:i/>
          <w:spacing w:val="-2"/>
        </w:rPr>
        <w:lastRenderedPageBreak/>
        <w:t>Livestock</w:t>
      </w:r>
    </w:p>
    <w:p w14:paraId="3391FB36" w14:textId="77777777" w:rsidR="000E610C" w:rsidRPr="007A77EE" w:rsidRDefault="000E610C" w:rsidP="000E610C">
      <w:pPr>
        <w:spacing w:after="100" w:line="252" w:lineRule="auto"/>
        <w:ind w:firstLine="720"/>
        <w:jc w:val="both"/>
        <w:rPr>
          <w:lang w:val="vi-VN"/>
        </w:rPr>
      </w:pPr>
      <w:r w:rsidRPr="00306D21">
        <w:rPr>
          <w:lang w:val="de-DE"/>
        </w:rPr>
        <w:t xml:space="preserve">Buffalo and cow husbandry </w:t>
      </w:r>
      <w:r>
        <w:rPr>
          <w:lang w:val="de-DE"/>
        </w:rPr>
        <w:t xml:space="preserve">in the </w:t>
      </w:r>
      <w:r w:rsidRPr="00306D21">
        <w:rPr>
          <w:lang w:val="de-DE"/>
        </w:rPr>
        <w:t>month tended to decrease</w:t>
      </w:r>
      <w:r w:rsidRPr="00306D21">
        <w:rPr>
          <w:rStyle w:val="FootnoteReference"/>
          <w:lang w:val="pt-BR"/>
        </w:rPr>
        <w:footnoteReference w:id="1"/>
      </w:r>
      <w:r w:rsidRPr="00F52A98">
        <w:rPr>
          <w:lang w:val="de-DE"/>
        </w:rPr>
        <w:t>, and diseases are basically under control. Currently, it is being the time for farmers to focus on re-herding, increasing herds, and taking care of livestock and poultry to supply meat to the market in the last months of the year and the upcoming holidays. To stabilize the domestic production and consumption market, it is necessary to drastically implement many measures and policies to prevent and control diseases, effectively organize vaccination; monitor, detect and promptly handle new outbreaks of unknown origin to ensure the rights of farmers and consumers.</w:t>
      </w:r>
      <w:r>
        <w:rPr>
          <w:lang w:val="de-DE"/>
        </w:rPr>
        <w:t xml:space="preserve"> </w:t>
      </w:r>
    </w:p>
    <w:p w14:paraId="025F10CD" w14:textId="77777777" w:rsidR="000E610C" w:rsidRPr="00C15289" w:rsidRDefault="000E610C" w:rsidP="000E610C">
      <w:pPr>
        <w:spacing w:before="120" w:after="120"/>
        <w:ind w:firstLine="567"/>
        <w:jc w:val="center"/>
        <w:rPr>
          <w:b/>
        </w:rPr>
      </w:pPr>
      <w:r w:rsidRPr="00C15289">
        <w:rPr>
          <w:b/>
        </w:rPr>
        <w:t>Figure 2. The growth rate of the population of livestock</w:t>
      </w:r>
    </w:p>
    <w:p w14:paraId="14143535" w14:textId="7DBC1562" w:rsidR="000E610C" w:rsidRPr="00C15289" w:rsidRDefault="000E610C" w:rsidP="000E610C">
      <w:pPr>
        <w:spacing w:before="120" w:after="120"/>
        <w:ind w:firstLine="567"/>
        <w:jc w:val="center"/>
        <w:rPr>
          <w:b/>
        </w:rPr>
      </w:pPr>
      <w:r w:rsidRPr="00C15289">
        <w:rPr>
          <w:b/>
        </w:rPr>
        <w:t xml:space="preserve">at the end of </w:t>
      </w:r>
      <w:r>
        <w:rPr>
          <w:b/>
        </w:rPr>
        <w:t>November</w:t>
      </w:r>
      <w:r w:rsidRPr="00C15289">
        <w:rPr>
          <w:b/>
        </w:rPr>
        <w:t xml:space="preserve"> 2024 compared to the same time last year</w:t>
      </w:r>
    </w:p>
    <w:p w14:paraId="6649F697" w14:textId="77777777" w:rsidR="000E610C" w:rsidRDefault="000E610C" w:rsidP="000E610C">
      <w:pPr>
        <w:spacing w:after="120" w:line="288" w:lineRule="auto"/>
        <w:jc w:val="center"/>
        <w:rPr>
          <w:rFonts w:ascii="Arial" w:hAnsi="Arial" w:cs="Arial"/>
          <w:b/>
          <w:sz w:val="24"/>
          <w:szCs w:val="24"/>
          <w:lang w:val="de-DE"/>
        </w:rPr>
      </w:pPr>
      <w:r>
        <w:rPr>
          <w:noProof/>
        </w:rPr>
        <w:drawing>
          <wp:inline distT="0" distB="0" distL="0" distR="0" wp14:anchorId="11B8868A" wp14:editId="1D888A08">
            <wp:extent cx="5762625" cy="1533525"/>
            <wp:effectExtent l="0" t="0" r="9525" b="9525"/>
            <wp:docPr id="2" name="Picture 2" descr="A comparison of different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mparison of different animal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1533525"/>
                    </a:xfrm>
                    <a:prstGeom prst="rect">
                      <a:avLst/>
                    </a:prstGeom>
                    <a:noFill/>
                    <a:ln>
                      <a:noFill/>
                    </a:ln>
                  </pic:spPr>
                </pic:pic>
              </a:graphicData>
            </a:graphic>
          </wp:inline>
        </w:drawing>
      </w:r>
    </w:p>
    <w:p w14:paraId="52BD4A4F" w14:textId="1A241246" w:rsidR="000E610C" w:rsidRPr="000E610C" w:rsidRDefault="000E610C" w:rsidP="000E610C">
      <w:pPr>
        <w:spacing w:before="40" w:after="40" w:line="276" w:lineRule="auto"/>
        <w:ind w:firstLine="562"/>
        <w:jc w:val="both"/>
        <w:rPr>
          <w:lang w:val="pt-BR"/>
        </w:rPr>
      </w:pPr>
      <w:r w:rsidRPr="00B71EF7">
        <w:rPr>
          <w:lang w:val="pt-BR"/>
        </w:rPr>
        <w:t xml:space="preserve">As of </w:t>
      </w:r>
      <w:r>
        <w:rPr>
          <w:lang w:val="pt-BR"/>
        </w:rPr>
        <w:t>November</w:t>
      </w:r>
      <w:r w:rsidRPr="00B71EF7">
        <w:rPr>
          <w:lang w:val="pt-BR"/>
        </w:rPr>
        <w:t xml:space="preserve"> 2</w:t>
      </w:r>
      <w:r>
        <w:rPr>
          <w:lang w:val="pt-BR"/>
        </w:rPr>
        <w:t>5</w:t>
      </w:r>
      <w:r w:rsidRPr="00B71EF7">
        <w:rPr>
          <w:lang w:val="pt-BR"/>
        </w:rPr>
        <w:t>, 202</w:t>
      </w:r>
      <w:r>
        <w:rPr>
          <w:lang w:val="pt-BR"/>
        </w:rPr>
        <w:t>4</w:t>
      </w:r>
      <w:r w:rsidRPr="00B71EF7">
        <w:rPr>
          <w:lang w:val="pt-BR"/>
        </w:rPr>
        <w:t xml:space="preserve">, blue ear pig disease was still in Quang Binh; avian flu disease remained in </w:t>
      </w:r>
      <w:r>
        <w:rPr>
          <w:lang w:val="pt-BR"/>
        </w:rPr>
        <w:t>Long An</w:t>
      </w:r>
      <w:r w:rsidRPr="00B71EF7">
        <w:rPr>
          <w:lang w:val="pt-BR"/>
        </w:rPr>
        <w:t xml:space="preserve">; foot-and-mouth disease was still in </w:t>
      </w:r>
      <w:r>
        <w:rPr>
          <w:lang w:val="pt-BR"/>
        </w:rPr>
        <w:t>Cao Bang, Lao Cai</w:t>
      </w:r>
      <w:r w:rsidRPr="00B71EF7">
        <w:rPr>
          <w:lang w:val="pt-BR"/>
        </w:rPr>
        <w:t xml:space="preserve">; LSD was reported in </w:t>
      </w:r>
      <w:r>
        <w:rPr>
          <w:lang w:val="pt-BR"/>
        </w:rPr>
        <w:t>Dong Thap a</w:t>
      </w:r>
      <w:r w:rsidRPr="00B71EF7">
        <w:rPr>
          <w:lang w:val="pt-BR"/>
        </w:rPr>
        <w:t>nd African swine fever was reported in 2</w:t>
      </w:r>
      <w:r>
        <w:rPr>
          <w:lang w:val="pt-BR"/>
        </w:rPr>
        <w:t>1</w:t>
      </w:r>
      <w:r w:rsidRPr="00B71EF7">
        <w:rPr>
          <w:lang w:val="pt-BR"/>
        </w:rPr>
        <w:t xml:space="preserve"> localities for less than 21 days. </w:t>
      </w:r>
    </w:p>
    <w:p w14:paraId="2B84D49A" w14:textId="77777777" w:rsidR="000E610C" w:rsidRPr="000E610C" w:rsidRDefault="000E610C" w:rsidP="000E610C">
      <w:pPr>
        <w:tabs>
          <w:tab w:val="left" w:pos="0"/>
        </w:tabs>
        <w:spacing w:after="40" w:line="288" w:lineRule="auto"/>
        <w:ind w:firstLine="567"/>
        <w:jc w:val="both"/>
        <w:rPr>
          <w:i/>
        </w:rPr>
      </w:pPr>
      <w:r w:rsidRPr="000E610C">
        <w:rPr>
          <w:i/>
        </w:rPr>
        <w:t>Logging activities continued to be boosted due to increased demand for raw wood. Aquaculture continues to develop steadily, serving domestic consumption and export.</w:t>
      </w:r>
    </w:p>
    <w:p w14:paraId="21DCE785" w14:textId="77777777" w:rsidR="000E610C" w:rsidRPr="000E610C" w:rsidRDefault="000E610C" w:rsidP="000E610C">
      <w:pPr>
        <w:tabs>
          <w:tab w:val="left" w:pos="0"/>
        </w:tabs>
        <w:spacing w:after="40" w:line="288" w:lineRule="auto"/>
        <w:ind w:firstLine="567"/>
        <w:jc w:val="both"/>
        <w:rPr>
          <w:b/>
          <w:i/>
        </w:rPr>
      </w:pPr>
      <w:r w:rsidRPr="000E610C">
        <w:rPr>
          <w:b/>
          <w:i/>
        </w:rPr>
        <w:t>b) Forestry</w:t>
      </w:r>
    </w:p>
    <w:p w14:paraId="32AAAF69" w14:textId="77777777" w:rsidR="000E610C" w:rsidRPr="000E610C" w:rsidRDefault="000E610C" w:rsidP="000E610C">
      <w:pPr>
        <w:shd w:val="clear" w:color="auto" w:fill="FFFFFF"/>
        <w:spacing w:after="40" w:line="288" w:lineRule="auto"/>
        <w:ind w:firstLine="567"/>
        <w:jc w:val="both"/>
      </w:pPr>
      <w:bookmarkStart w:id="0" w:name="_Hlk134107173"/>
      <w:r w:rsidRPr="000E610C">
        <w:t xml:space="preserve">The area of concentrated newly planted forests nationwide in </w:t>
      </w:r>
      <w:bookmarkStart w:id="1" w:name="_Hlk134107230"/>
      <w:bookmarkEnd w:id="0"/>
      <w:r w:rsidRPr="000E610C">
        <w:t>November 2024 is estimated at 31.4 thousand hectares, down 4.9% over the same period last year</w:t>
      </w:r>
      <w:r w:rsidRPr="000E610C">
        <w:rPr>
          <w:vertAlign w:val="superscript"/>
        </w:rPr>
        <w:footnoteReference w:id="2"/>
      </w:r>
      <w:r w:rsidRPr="000E610C">
        <w:t xml:space="preserve">. The output of exploited timber in the month reached 2,366.2 thousand m3, up 7.5% due to the increased demand for raw wood at processing factories, some northern provinces also recovered wood that fell due to storm number 3. Some localities have high timber output in November 2024 compared to the same period </w:t>
      </w:r>
      <w:r w:rsidRPr="000E610C">
        <w:lastRenderedPageBreak/>
        <w:t>last year such as: Quang Ninh increased by 129.5%; Thai Nguyen increased by 44.0%; Lang Son increased by 34.1%; Bac Kan increased by 25.9%.</w:t>
      </w:r>
    </w:p>
    <w:p w14:paraId="59181DAB" w14:textId="77777777" w:rsidR="000E610C" w:rsidRPr="000E610C" w:rsidRDefault="000E610C" w:rsidP="000E610C">
      <w:pPr>
        <w:shd w:val="clear" w:color="auto" w:fill="FFFFFF"/>
        <w:spacing w:after="40" w:line="288" w:lineRule="auto"/>
        <w:ind w:firstLine="567"/>
        <w:jc w:val="both"/>
      </w:pPr>
      <w:r w:rsidRPr="000E610C">
        <w:rPr>
          <w:spacing w:val="4"/>
          <w:lang w:val="sv-SE"/>
        </w:rPr>
        <w:t>Generally,</w:t>
      </w:r>
      <w:r w:rsidRPr="000E610C">
        <w:t>in 11 months of 2024, the area of ​​newly planted concentrated forests is estimated at 263.9 thousand hectares, up 2.4% over the same period last year; the number of scattered forest trees is estimated at 89.3 million, up 3.4%; the output of exploited timber is estimated at 20,855.8 thousand m3, up 7.9%.</w:t>
      </w:r>
    </w:p>
    <w:p w14:paraId="0D3710C0" w14:textId="197AE49B" w:rsidR="000E610C" w:rsidRPr="000E610C" w:rsidRDefault="000E610C" w:rsidP="000E610C">
      <w:pPr>
        <w:shd w:val="clear" w:color="auto" w:fill="FFFFFF"/>
        <w:spacing w:after="40" w:line="288" w:lineRule="auto"/>
        <w:ind w:firstLine="567"/>
        <w:jc w:val="both"/>
      </w:pPr>
      <w:r w:rsidRPr="000E610C">
        <w:rPr>
          <w:lang w:val="de-DE"/>
        </w:rPr>
        <w:t>The damaged forest area</w:t>
      </w:r>
      <w:r w:rsidRPr="000E610C">
        <w:rPr>
          <w:vertAlign w:val="superscript"/>
        </w:rPr>
        <w:footnoteReference w:id="3"/>
      </w:r>
      <w:r w:rsidRPr="000E610C">
        <w:rPr>
          <w:lang w:val="de-DE"/>
        </w:rPr>
        <w:t xml:space="preserve"> </w:t>
      </w:r>
      <w:r w:rsidRPr="000E610C">
        <w:t>in</w:t>
      </w:r>
      <w:bookmarkEnd w:id="1"/>
      <w:r w:rsidRPr="000E610C">
        <w:t xml:space="preserve"> November, the area of ​​forest damaged was 78.2 hectares, 2.6 times higher than the same period last year. Of which, the area of ​​forest cut down and destroyed was 75.0 ha, 2.5 times higher, mainly concentrated in some provinces of Nghe An, Quang Binh, Binh Dinh; the burned forest area is 3.2 ha, 79 times higher, mainly concentrated in some provinces of Cao Bang, Lang Son, Bac Giang. </w:t>
      </w:r>
      <w:r w:rsidRPr="000E610C">
        <w:rPr>
          <w:spacing w:val="4"/>
          <w:lang w:val="sv-SE"/>
        </w:rPr>
        <w:t>Generally,</w:t>
      </w:r>
      <w:r w:rsidRPr="000E610C">
        <w:t>in 11 months of 2024, the whole country had 1,585.9 hectares of forest damaged, down 7.8% over the same period last year. Of which, the area of ​​forest cut down and destroyed was 838.8 ha, down 20.2%; burnt forest area was 747.1 ha, up 11.6</w:t>
      </w:r>
      <w:r w:rsidRPr="000E610C">
        <w:t>%.</w:t>
      </w:r>
    </w:p>
    <w:p w14:paraId="148A513F" w14:textId="77777777" w:rsidR="000E610C" w:rsidRPr="000E610C" w:rsidRDefault="000E610C" w:rsidP="000E610C">
      <w:pPr>
        <w:shd w:val="clear" w:color="auto" w:fill="FFFFFF"/>
        <w:spacing w:after="40" w:line="288" w:lineRule="auto"/>
        <w:ind w:firstLine="567"/>
        <w:jc w:val="both"/>
        <w:rPr>
          <w:b/>
          <w:bCs/>
          <w:i/>
          <w:iCs/>
          <w:lang w:val="de-DE"/>
        </w:rPr>
      </w:pPr>
      <w:r w:rsidRPr="000E610C">
        <w:rPr>
          <w:b/>
          <w:bCs/>
          <w:i/>
          <w:iCs/>
          <w:lang w:val="de-DE"/>
        </w:rPr>
        <w:t>c) Fishery</w:t>
      </w:r>
    </w:p>
    <w:p w14:paraId="195B99E8" w14:textId="77777777" w:rsidR="000E610C" w:rsidRPr="000E610C" w:rsidRDefault="000E610C" w:rsidP="000E610C">
      <w:pPr>
        <w:spacing w:before="40" w:after="40" w:line="288" w:lineRule="auto"/>
        <w:ind w:right="1" w:firstLine="567"/>
        <w:jc w:val="both"/>
        <w:rPr>
          <w:lang w:val="de-DE"/>
        </w:rPr>
      </w:pPr>
      <w:bookmarkStart w:id="2" w:name="_Hlk134107280"/>
      <w:r w:rsidRPr="000E610C">
        <w:rPr>
          <w:bCs/>
          <w:spacing w:val="-2"/>
        </w:rPr>
        <w:t xml:space="preserve">Fishery output in </w:t>
      </w:r>
      <w:bookmarkStart w:id="3" w:name="_Hlk134107302"/>
      <w:bookmarkEnd w:id="2"/>
      <w:r w:rsidRPr="000E610C">
        <w:t>November 2024 was estimated at 864.8 thousand tons, up 3.4% over the same period last year, including</w:t>
      </w:r>
      <w:r w:rsidRPr="000E610C">
        <w:rPr>
          <w:lang w:val="de-DE"/>
        </w:rPr>
        <w:t xml:space="preserve">: Fish reached 598.6 thousand tons, up 2.8%; </w:t>
      </w:r>
      <w:bookmarkEnd w:id="3"/>
      <w:r w:rsidRPr="000E610C">
        <w:rPr>
          <w:lang w:val="de-DE"/>
        </w:rPr>
        <w:t>shrimp estimated at 144.0 thousand tons, up 6.9%; other aquatic products estimated at 122.2 thousand tons, up 2.6%.</w:t>
      </w:r>
    </w:p>
    <w:p w14:paraId="6A2C1FB6" w14:textId="77777777" w:rsidR="000E610C" w:rsidRPr="000E610C" w:rsidRDefault="000E610C" w:rsidP="000E610C">
      <w:pPr>
        <w:spacing w:before="40" w:after="40" w:line="288" w:lineRule="auto"/>
        <w:ind w:right="1" w:firstLine="567"/>
        <w:jc w:val="both"/>
        <w:rPr>
          <w:bCs/>
          <w:spacing w:val="-2"/>
        </w:rPr>
      </w:pPr>
      <w:r w:rsidRPr="000E610C">
        <w:rPr>
          <w:bCs/>
          <w:spacing w:val="-2"/>
        </w:rPr>
        <w:t xml:space="preserve">Aquaculture </w:t>
      </w:r>
      <w:r w:rsidRPr="000E610C">
        <w:rPr>
          <w:bCs/>
          <w:spacing w:val="2"/>
          <w:lang w:val="pt-BR"/>
        </w:rPr>
        <w:t>production</w:t>
      </w:r>
      <w:r w:rsidRPr="000E610C">
        <w:rPr>
          <w:bCs/>
          <w:spacing w:val="-2"/>
        </w:rPr>
        <w:t xml:space="preserve"> in November output is estimated at 576.9 thousand tons, up 4.8% over the same period last year. Of which: Fish output reached 382.5 thousand tons, up 3.9%; shrimp output reached 130.7 thousand tons, up 7.7%.</w:t>
      </w:r>
    </w:p>
    <w:p w14:paraId="39C97F6E" w14:textId="77777777" w:rsidR="000E610C" w:rsidRPr="000E610C" w:rsidRDefault="000E610C" w:rsidP="000E610C">
      <w:pPr>
        <w:spacing w:before="40" w:after="40" w:line="288" w:lineRule="auto"/>
        <w:ind w:right="1" w:firstLine="567"/>
        <w:jc w:val="both"/>
        <w:rPr>
          <w:lang w:val="de-DE"/>
        </w:rPr>
      </w:pPr>
      <w:r w:rsidRPr="000E610C">
        <w:rPr>
          <w:lang w:val="de-DE"/>
        </w:rPr>
        <w:t xml:space="preserve">Pangasius </w:t>
      </w:r>
      <w:r w:rsidRPr="000E610C">
        <w:rPr>
          <w:bCs/>
          <w:spacing w:val="2"/>
          <w:lang w:val="pt-BR"/>
        </w:rPr>
        <w:t>production</w:t>
      </w:r>
      <w:r w:rsidRPr="000E610C">
        <w:rPr>
          <w:lang w:val="de-DE"/>
        </w:rPr>
        <w:t xml:space="preserve"> in </w:t>
      </w:r>
      <w:r w:rsidRPr="000E610C">
        <w:rPr>
          <w:bCs/>
          <w:spacing w:val="-2"/>
        </w:rPr>
        <w:t>November output was estimated at 185.6 thousand tons, up 4.7% over the same period last year, mainly due to the increase in raw pangasius prices</w:t>
      </w:r>
      <w:r w:rsidRPr="000E610C">
        <w:rPr>
          <w:spacing w:val="-4"/>
          <w:vertAlign w:val="superscript"/>
          <w:lang w:val="sv-SE"/>
        </w:rPr>
        <w:footnoteReference w:id="4"/>
      </w:r>
      <w:r w:rsidRPr="000E610C">
        <w:rPr>
          <w:bCs/>
          <w:spacing w:val="-2"/>
        </w:rPr>
        <w:t>, so farmers and businesses adjusted farming output accordingly for processing to meet domestic consumption and export demand.</w:t>
      </w:r>
    </w:p>
    <w:p w14:paraId="022A7189" w14:textId="77777777" w:rsidR="000E610C" w:rsidRPr="000E610C" w:rsidRDefault="000E610C" w:rsidP="000E610C">
      <w:pPr>
        <w:spacing w:after="40" w:line="288" w:lineRule="auto"/>
        <w:ind w:firstLine="567"/>
        <w:jc w:val="both"/>
        <w:rPr>
          <w:bCs/>
          <w:spacing w:val="2"/>
          <w:lang w:val="pt-BR"/>
        </w:rPr>
      </w:pPr>
      <w:r w:rsidRPr="000E610C">
        <w:rPr>
          <w:bCs/>
          <w:spacing w:val="2"/>
          <w:lang w:val="pt-BR"/>
        </w:rPr>
        <w:t>Shrimp production November increased compared to the same period last year due to the continued increase in prices of black tiger shrimp and whiteleg shrimp</w:t>
      </w:r>
      <w:r w:rsidRPr="000E610C">
        <w:rPr>
          <w:vertAlign w:val="superscript"/>
          <w:lang w:val="af-ZA"/>
        </w:rPr>
        <w:footnoteReference w:id="5"/>
      </w:r>
      <w:r w:rsidRPr="000E610C">
        <w:rPr>
          <w:bCs/>
          <w:spacing w:val="2"/>
          <w:lang w:val="pt-BR"/>
        </w:rPr>
        <w:t>, so farmers increased their harvest. Whiteleg shrimp output is estimated at 96,000 tons, up 8.4% over the same period last year; black tiger shrimp output is estimated at 26,100 tons, up 5.7%.</w:t>
      </w:r>
    </w:p>
    <w:p w14:paraId="31524EB1" w14:textId="77777777" w:rsidR="000E610C" w:rsidRPr="000E610C" w:rsidRDefault="000E610C" w:rsidP="000E610C">
      <w:pPr>
        <w:spacing w:after="40" w:line="288" w:lineRule="auto"/>
        <w:ind w:firstLine="567"/>
        <w:jc w:val="both"/>
        <w:rPr>
          <w:lang w:val="de-DE"/>
        </w:rPr>
      </w:pPr>
      <w:r w:rsidRPr="000E610C">
        <w:rPr>
          <w:lang w:val="de-DE"/>
        </w:rPr>
        <w:lastRenderedPageBreak/>
        <w:t xml:space="preserve">The caught fishery </w:t>
      </w:r>
      <w:r w:rsidRPr="000E610C">
        <w:rPr>
          <w:bCs/>
          <w:spacing w:val="2"/>
          <w:lang w:val="pt-BR"/>
        </w:rPr>
        <w:t>production</w:t>
      </w:r>
      <w:r w:rsidRPr="000E610C">
        <w:rPr>
          <w:lang w:val="de-DE"/>
        </w:rPr>
        <w:t xml:space="preserve"> in November output was estimated at 287.9 ​​thousand tons, up 0.8% over the same period last year</w:t>
      </w:r>
      <w:r w:rsidRPr="000E610C">
        <w:rPr>
          <w:vertAlign w:val="superscript"/>
          <w:lang w:val="de-DE"/>
        </w:rPr>
        <w:footnoteReference w:id="6"/>
      </w:r>
      <w:r w:rsidRPr="000E610C">
        <w:rPr>
          <w:lang w:val="de-DE"/>
        </w:rPr>
        <w:t>, including: Fish output was 216.1 thousand tons, up 0.8%; shrimp output was 13.3 thousand tons, equal to the same period last year; other aquatic products output was 58.5 thousand tons, up 0.9%. Marine aquatic product output was estimated at 266.9 thousand tons, up 0.6% over the same period last year.</w:t>
      </w:r>
    </w:p>
    <w:p w14:paraId="3DA19F70" w14:textId="77777777" w:rsidR="000E610C" w:rsidRPr="000E610C" w:rsidRDefault="000E610C" w:rsidP="000E610C">
      <w:pPr>
        <w:spacing w:after="40" w:line="288" w:lineRule="auto"/>
        <w:ind w:firstLine="567"/>
        <w:jc w:val="center"/>
        <w:rPr>
          <w:rFonts w:ascii="Arial" w:hAnsi="Arial" w:cs="Arial"/>
          <w:b/>
          <w:bCs/>
          <w:sz w:val="24"/>
          <w:szCs w:val="24"/>
          <w:lang w:val="de-DE"/>
        </w:rPr>
      </w:pPr>
      <w:r w:rsidRPr="000E610C">
        <w:rPr>
          <w:rFonts w:ascii="Arial" w:hAnsi="Arial" w:cs="Arial"/>
          <w:b/>
          <w:bCs/>
          <w:sz w:val="24"/>
          <w:szCs w:val="24"/>
          <w:lang w:val="de-DE"/>
        </w:rPr>
        <w:t>Figure 3. Fishery production in 11 months of 2024</w:t>
      </w:r>
    </w:p>
    <w:p w14:paraId="7C6E72EF" w14:textId="77777777" w:rsidR="000E610C" w:rsidRPr="000E610C" w:rsidRDefault="000E610C" w:rsidP="000E610C">
      <w:pPr>
        <w:shd w:val="clear" w:color="auto" w:fill="FFFFFF"/>
        <w:tabs>
          <w:tab w:val="left" w:pos="9360"/>
        </w:tabs>
        <w:jc w:val="center"/>
        <w:rPr>
          <w:rFonts w:ascii="Arial" w:hAnsi="Arial" w:cs="Arial"/>
          <w:b/>
          <w:bCs/>
          <w:sz w:val="24"/>
          <w:szCs w:val="24"/>
          <w:lang w:val="de-DE"/>
        </w:rPr>
      </w:pPr>
      <w:r w:rsidRPr="000E610C">
        <w:rPr>
          <w:rFonts w:ascii="Arial" w:hAnsi="Arial" w:cs="Arial"/>
          <w:b/>
          <w:bCs/>
          <w:sz w:val="24"/>
          <w:szCs w:val="24"/>
          <w:lang w:val="de-DE"/>
        </w:rPr>
        <w:t>over the same period last year</w:t>
      </w:r>
    </w:p>
    <w:p w14:paraId="343C4691" w14:textId="77777777" w:rsidR="000E610C" w:rsidRPr="000E610C" w:rsidRDefault="000E610C" w:rsidP="000E610C">
      <w:pPr>
        <w:spacing w:before="100" w:beforeAutospacing="1" w:after="100" w:afterAutospacing="1"/>
        <w:rPr>
          <w:sz w:val="24"/>
          <w:szCs w:val="24"/>
          <w:lang w:val="en-GB" w:eastAsia="en-GB"/>
        </w:rPr>
      </w:pPr>
      <w:r w:rsidRPr="000E610C">
        <w:rPr>
          <w:noProof/>
          <w:sz w:val="24"/>
          <w:szCs w:val="24"/>
          <w:lang w:val="en-GB" w:eastAsia="en-GB"/>
        </w:rPr>
        <w:drawing>
          <wp:inline distT="0" distB="0" distL="0" distR="0" wp14:anchorId="544AA367" wp14:editId="4E6B83DA">
            <wp:extent cx="5686499" cy="1834895"/>
            <wp:effectExtent l="0" t="0" r="0" b="0"/>
            <wp:docPr id="746208578" name="Picture 746208578" descr="D:\o D\vinhvanphong\Lâm nghiệp-Thủy sản\Năm 2024\Tháng 11\Thuy san _11t-20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vinhvanphong\Lâm nghiệp-Thủy sản\Năm 2024\Tháng 11\Thuy san _11t-2024-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7724" cy="1867558"/>
                    </a:xfrm>
                    <a:prstGeom prst="rect">
                      <a:avLst/>
                    </a:prstGeom>
                    <a:noFill/>
                    <a:ln>
                      <a:noFill/>
                    </a:ln>
                  </pic:spPr>
                </pic:pic>
              </a:graphicData>
            </a:graphic>
          </wp:inline>
        </w:drawing>
      </w:r>
    </w:p>
    <w:p w14:paraId="161F1543" w14:textId="7A8D21A5" w:rsidR="00220A6B" w:rsidRPr="000E610C" w:rsidRDefault="000E610C" w:rsidP="000E610C">
      <w:pPr>
        <w:spacing w:after="120" w:line="360" w:lineRule="atLeast"/>
        <w:ind w:right="1" w:firstLine="720"/>
        <w:jc w:val="both"/>
      </w:pPr>
      <w:bookmarkStart w:id="4" w:name="_Hlk134187656"/>
      <w:r w:rsidRPr="000E610C">
        <w:rPr>
          <w:spacing w:val="4"/>
          <w:lang w:val="sv-SE"/>
        </w:rPr>
        <w:t xml:space="preserve">Generally, </w:t>
      </w:r>
      <w:r w:rsidRPr="000E610C">
        <w:t>in 11 months of 2024,</w:t>
      </w:r>
      <w:r w:rsidRPr="000E610C">
        <w:rPr>
          <w:bCs/>
          <w:spacing w:val="-2"/>
        </w:rPr>
        <w:t xml:space="preserve"> fishery output was estimated </w:t>
      </w:r>
      <w:bookmarkEnd w:id="4"/>
      <w:r w:rsidRPr="000E610C">
        <w:rPr>
          <w:bCs/>
          <w:spacing w:val="-2"/>
        </w:rPr>
        <w:t>at 8,754.6 thousand tons, up 2.5% over the same period last year. Including: Fish reached 6,126.9 thousand tons, up 2.3%; shrimp reached 1,370.0 thousand tons, up 4.8%; other aquatic products reached 1,257.7 thousand tons, up 1.2%.</w:t>
      </w:r>
    </w:p>
    <w:p w14:paraId="5C3A1E25" w14:textId="77777777" w:rsidR="000E610C" w:rsidRPr="000E610C" w:rsidRDefault="000E610C" w:rsidP="000E610C">
      <w:pPr>
        <w:shd w:val="clear" w:color="auto" w:fill="FFFFFF"/>
        <w:spacing w:after="120" w:line="283" w:lineRule="auto"/>
        <w:ind w:firstLine="720"/>
        <w:jc w:val="both"/>
        <w:rPr>
          <w:b/>
          <w:bCs/>
          <w:iCs/>
          <w:lang w:val="sv-SE"/>
        </w:rPr>
      </w:pPr>
      <w:bookmarkStart w:id="5" w:name="_Hlk54593811"/>
      <w:r w:rsidRPr="000E610C">
        <w:rPr>
          <w:b/>
          <w:bCs/>
          <w:iCs/>
          <w:lang w:val="sv-SE"/>
        </w:rPr>
        <w:t>2. Sản xuất công nghiệp</w:t>
      </w:r>
    </w:p>
    <w:p w14:paraId="3CA35D44" w14:textId="77777777" w:rsidR="000E610C" w:rsidRPr="000E610C" w:rsidRDefault="000E610C" w:rsidP="000E610C">
      <w:pPr>
        <w:shd w:val="clear" w:color="auto" w:fill="FFFFFF"/>
        <w:spacing w:after="120" w:line="283" w:lineRule="auto"/>
        <w:ind w:firstLine="720"/>
        <w:jc w:val="both"/>
        <w:rPr>
          <w:rFonts w:ascii="Times New Roman Italic" w:hAnsi="Times New Roman Italic"/>
          <w:i/>
          <w:spacing w:val="-2"/>
          <w:lang w:val="pl-PL"/>
        </w:rPr>
      </w:pPr>
      <w:r w:rsidRPr="000E610C">
        <w:t xml:space="preserve">Enterprises ramped up production to prepare goods to meet year-end consumer demand, leading to continued </w:t>
      </w:r>
      <w:proofErr w:type="gramStart"/>
      <w:r w:rsidRPr="000E610C">
        <w:t>positive growth</w:t>
      </w:r>
      <w:proofErr w:type="gramEnd"/>
      <w:r w:rsidRPr="000E610C">
        <w:t xml:space="preserve"> in industrial production in November. The industrial production index is estimated to have increased by 2.3% compared to the previous month and by 8.9% compared to the same period last year. For the first eleven months of 2024, the industrial production index is estimated to have grown by 8.4% compared to the same period last year.</w:t>
      </w:r>
      <w:r w:rsidRPr="000E610C">
        <w:rPr>
          <w:rFonts w:ascii="Times New Roman Italic" w:eastAsia="Calibri" w:hAnsi="Times New Roman Italic"/>
          <w:i/>
          <w:spacing w:val="-2"/>
          <w:vertAlign w:val="superscript"/>
          <w:lang w:val="sv-SE"/>
        </w:rPr>
        <w:footnoteReference w:id="7"/>
      </w:r>
    </w:p>
    <w:p w14:paraId="623DBBCA" w14:textId="77777777" w:rsidR="000E610C" w:rsidRPr="000E610C" w:rsidRDefault="000E610C" w:rsidP="000E610C">
      <w:pPr>
        <w:shd w:val="clear" w:color="auto" w:fill="FFFFFF"/>
        <w:spacing w:after="120" w:line="283" w:lineRule="auto"/>
        <w:ind w:firstLine="720"/>
        <w:jc w:val="both"/>
        <w:rPr>
          <w:lang w:val="pl-PL"/>
        </w:rPr>
      </w:pPr>
      <w:r w:rsidRPr="000E610C">
        <w:rPr>
          <w:lang w:val="pl-PL"/>
        </w:rPr>
        <w:t>The Industrial Production Index (IIP) for November is estimated to have increased by 2.3% compared to the previous month</w:t>
      </w:r>
      <w:r w:rsidRPr="000E610C">
        <w:rPr>
          <w:rFonts w:eastAsia="Calibri"/>
          <w:vertAlign w:val="superscript"/>
          <w:lang w:val="pl-PL"/>
        </w:rPr>
        <w:footnoteReference w:id="8"/>
      </w:r>
      <w:r w:rsidRPr="000E610C">
        <w:rPr>
          <w:lang w:val="pl-PL"/>
        </w:rPr>
        <w:t xml:space="preserve"> and by 8.9% compared to the </w:t>
      </w:r>
      <w:r w:rsidRPr="000E610C">
        <w:rPr>
          <w:lang w:val="pl-PL"/>
        </w:rPr>
        <w:lastRenderedPageBreak/>
        <w:t>same period last year. Among these, compared to the same period last year, the manufacturing and processing sector grew by 11.2%; the electricity production and distribution sector increased by 5.5%; the water supply, waste management, and wastewater treatment sector rose by 6.7%; while the mining sector decreased by 9.8%.</w:t>
      </w:r>
    </w:p>
    <w:p w14:paraId="755A1629" w14:textId="77777777" w:rsidR="000E610C" w:rsidRPr="000E610C" w:rsidRDefault="000E610C" w:rsidP="000E610C">
      <w:pPr>
        <w:shd w:val="clear" w:color="auto" w:fill="FFFFFF"/>
        <w:tabs>
          <w:tab w:val="left" w:pos="8931"/>
        </w:tabs>
        <w:spacing w:after="120" w:line="283" w:lineRule="auto"/>
        <w:ind w:firstLine="720"/>
        <w:jc w:val="both"/>
        <w:rPr>
          <w:lang w:val="pl-PL"/>
        </w:rPr>
      </w:pPr>
      <w:r w:rsidRPr="000E610C">
        <w:rPr>
          <w:lang w:val="pl-PL"/>
        </w:rPr>
        <w:t>In the first eleven months of 2024, the Industrial Production Index (IIP) is estimated to have increased by 8.4% compared to the same period last year, significantly higher than the 0.9% growth recorded in the same period of 2023. The manufacturing and processing sector grew by 9.7% (compared to 1.0% in 2023), contributing 8.5 percentage points to the overall growth. The electricity production and distribution sector rose by 10.2%, adding 0.9 percentage points, while the water supply, waste management, and wastewater treatment sector grew by 9.6%, contributing 0.2 percentage points. In contrast, the mining sector declined by 7.3%, reducing 1.2 percentage points from the overall growth.</w:t>
      </w:r>
    </w:p>
    <w:p w14:paraId="1C1124AC" w14:textId="77777777" w:rsidR="000E610C" w:rsidRPr="000E610C" w:rsidRDefault="000E610C" w:rsidP="000E610C">
      <w:pPr>
        <w:shd w:val="clear" w:color="auto" w:fill="FFFFFF"/>
        <w:tabs>
          <w:tab w:val="left" w:pos="8931"/>
        </w:tabs>
        <w:spacing w:after="120" w:line="283" w:lineRule="auto"/>
        <w:ind w:firstLine="720"/>
        <w:jc w:val="both"/>
        <w:rPr>
          <w:lang w:val="pl-PL"/>
        </w:rPr>
      </w:pPr>
      <w:r w:rsidRPr="000E610C">
        <w:rPr>
          <w:i/>
          <w:lang w:val="pl-PL"/>
        </w:rPr>
        <w:t>The industrial production index in the first eleven months of 2024 of a number of key industries at level II increased sharply compared to the same period last year</w:t>
      </w:r>
      <w:r w:rsidRPr="000E610C">
        <w:rPr>
          <w:lang w:val="pl-PL"/>
        </w:rPr>
        <w:t>: Manufacture of rubber and plastics products increased by 25.6;</w:t>
      </w:r>
      <w:r w:rsidRPr="000E610C">
        <w:t xml:space="preserve"> </w:t>
      </w:r>
      <w:r w:rsidRPr="000E610C">
        <w:rPr>
          <w:lang w:val="pl-PL"/>
        </w:rPr>
        <w:t>manufacture of furniture increased by 24.7%; manufacture of motor vehicles; trailers and semi-trailers increased by 18.3%; manufacture of coke and refined petroleum products increased by 14.5%; manufacture of chemicals and chemical products increased by 13.4%; manufacture of leather and related products increased by 12.6%; Manufacture of textiles increased by 12.1%; manufacture of fabricated metal products, except machinery and equipment increased by 11.9%; manufacture of computer, electronic and optical products increased by 8.7%; manufacture of food products increased by 7.7%. In the opposite direction, the IIP index of some industries increased low or decreased: Extraction of crude petroleum and nutural gas decreased by 12.2%; mining of coal and lignite decreased by 5.3%; manufacture of other non-metallic mineral products increased by 0.6%; manufacture of beverages increased by 0.8%; manufacture of other transport equipment increased by 2.7%.</w:t>
      </w:r>
    </w:p>
    <w:p w14:paraId="58B8A509" w14:textId="77777777" w:rsidR="000E610C" w:rsidRPr="000E610C" w:rsidRDefault="000E610C" w:rsidP="000E610C">
      <w:pPr>
        <w:shd w:val="clear" w:color="auto" w:fill="FFFFFF"/>
        <w:jc w:val="center"/>
        <w:rPr>
          <w:rFonts w:ascii="Arial" w:hAnsi="Arial" w:cs="Arial"/>
          <w:b/>
          <w:spacing w:val="-2"/>
          <w:sz w:val="24"/>
          <w:szCs w:val="20"/>
          <w:lang w:val="pl-PL"/>
        </w:rPr>
      </w:pPr>
      <w:r w:rsidRPr="000E610C">
        <w:rPr>
          <w:rFonts w:ascii="Arial" w:hAnsi="Arial" w:cs="Arial"/>
          <w:b/>
          <w:spacing w:val="-2"/>
          <w:sz w:val="24"/>
          <w:szCs w:val="20"/>
          <w:lang w:val="pl-PL"/>
        </w:rPr>
        <w:t>Figure 1. Rate of increase/decrease of IIP index in 11 months of 2020-2024</w:t>
      </w:r>
    </w:p>
    <w:p w14:paraId="3EA04035" w14:textId="77777777" w:rsidR="000E610C" w:rsidRPr="000E610C" w:rsidRDefault="000E610C" w:rsidP="000E610C">
      <w:pPr>
        <w:shd w:val="clear" w:color="auto" w:fill="FFFFFF"/>
        <w:jc w:val="center"/>
        <w:rPr>
          <w:rFonts w:ascii="Arial" w:hAnsi="Arial" w:cs="Arial"/>
          <w:b/>
          <w:spacing w:val="-2"/>
          <w:sz w:val="24"/>
          <w:szCs w:val="20"/>
          <w:lang w:val="pl-PL"/>
        </w:rPr>
      </w:pPr>
      <w:r w:rsidRPr="000E610C">
        <w:rPr>
          <w:rFonts w:ascii="Arial" w:hAnsi="Arial" w:cs="Arial"/>
          <w:b/>
          <w:spacing w:val="-2"/>
          <w:sz w:val="24"/>
          <w:szCs w:val="20"/>
          <w:lang w:val="pl-PL"/>
        </w:rPr>
        <w:t>compared to the same period last year of some key industries</w:t>
      </w:r>
    </w:p>
    <w:p w14:paraId="24CC0759" w14:textId="77777777" w:rsidR="000E610C" w:rsidRPr="000E610C" w:rsidRDefault="000E610C" w:rsidP="000E610C">
      <w:pPr>
        <w:shd w:val="clear" w:color="auto" w:fill="FFFFFF"/>
        <w:jc w:val="right"/>
        <w:rPr>
          <w:i/>
          <w:sz w:val="4"/>
          <w:lang w:val="pl-PL"/>
        </w:rPr>
      </w:pPr>
      <w:r w:rsidRPr="000E610C">
        <w:rPr>
          <w:rFonts w:ascii="Arial" w:hAnsi="Arial" w:cs="Arial"/>
          <w:spacing w:val="-2"/>
          <w:sz w:val="20"/>
          <w:szCs w:val="20"/>
          <w:lang w:val="pl-PL"/>
        </w:rPr>
        <w:t>%</w:t>
      </w:r>
    </w:p>
    <w:tbl>
      <w:tblPr>
        <w:tblW w:w="9090" w:type="dxa"/>
        <w:jc w:val="center"/>
        <w:tblLook w:val="04A0" w:firstRow="1" w:lastRow="0" w:firstColumn="1" w:lastColumn="0" w:noHBand="0" w:noVBand="1"/>
      </w:tblPr>
      <w:tblGrid>
        <w:gridCol w:w="108"/>
        <w:gridCol w:w="5479"/>
        <w:gridCol w:w="700"/>
        <w:gridCol w:w="701"/>
        <w:gridCol w:w="701"/>
        <w:gridCol w:w="701"/>
        <w:gridCol w:w="700"/>
      </w:tblGrid>
      <w:tr w:rsidR="000E610C" w:rsidRPr="000E610C" w14:paraId="1109B839" w14:textId="77777777" w:rsidTr="002F4D0B">
        <w:trPr>
          <w:gridBefore w:val="1"/>
          <w:wBefore w:w="108" w:type="dxa"/>
          <w:trHeight w:val="280"/>
          <w:tblHeader/>
          <w:jc w:val="center"/>
        </w:trPr>
        <w:tc>
          <w:tcPr>
            <w:tcW w:w="5479" w:type="dxa"/>
            <w:tcBorders>
              <w:top w:val="single" w:sz="4" w:space="0" w:color="auto"/>
            </w:tcBorders>
            <w:shd w:val="clear" w:color="auto" w:fill="auto"/>
            <w:noWrap/>
            <w:vAlign w:val="bottom"/>
            <w:hideMark/>
          </w:tcPr>
          <w:p w14:paraId="4242AFDB" w14:textId="77777777" w:rsidR="000E610C" w:rsidRPr="000E610C" w:rsidRDefault="000E610C" w:rsidP="000E610C">
            <w:pPr>
              <w:rPr>
                <w:rFonts w:ascii="Arial" w:hAnsi="Arial" w:cs="Arial"/>
                <w:sz w:val="20"/>
                <w:szCs w:val="20"/>
              </w:rPr>
            </w:pPr>
          </w:p>
        </w:tc>
        <w:tc>
          <w:tcPr>
            <w:tcW w:w="700" w:type="dxa"/>
            <w:tcBorders>
              <w:top w:val="single" w:sz="4" w:space="0" w:color="auto"/>
              <w:bottom w:val="single" w:sz="4" w:space="0" w:color="auto"/>
            </w:tcBorders>
            <w:shd w:val="clear" w:color="auto" w:fill="auto"/>
            <w:noWrap/>
            <w:vAlign w:val="center"/>
            <w:hideMark/>
          </w:tcPr>
          <w:p w14:paraId="13614C30"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2020</w:t>
            </w:r>
          </w:p>
        </w:tc>
        <w:tc>
          <w:tcPr>
            <w:tcW w:w="701" w:type="dxa"/>
            <w:tcBorders>
              <w:top w:val="single" w:sz="4" w:space="0" w:color="auto"/>
              <w:bottom w:val="single" w:sz="4" w:space="0" w:color="auto"/>
            </w:tcBorders>
            <w:shd w:val="clear" w:color="auto" w:fill="auto"/>
            <w:noWrap/>
            <w:vAlign w:val="center"/>
            <w:hideMark/>
          </w:tcPr>
          <w:p w14:paraId="16B488EF"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2021</w:t>
            </w:r>
          </w:p>
        </w:tc>
        <w:tc>
          <w:tcPr>
            <w:tcW w:w="701" w:type="dxa"/>
            <w:tcBorders>
              <w:top w:val="single" w:sz="4" w:space="0" w:color="auto"/>
              <w:bottom w:val="single" w:sz="4" w:space="0" w:color="auto"/>
            </w:tcBorders>
            <w:shd w:val="clear" w:color="auto" w:fill="auto"/>
            <w:noWrap/>
            <w:vAlign w:val="center"/>
            <w:hideMark/>
          </w:tcPr>
          <w:p w14:paraId="26F5F4D8"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2022</w:t>
            </w:r>
          </w:p>
        </w:tc>
        <w:tc>
          <w:tcPr>
            <w:tcW w:w="701" w:type="dxa"/>
            <w:tcBorders>
              <w:top w:val="single" w:sz="4" w:space="0" w:color="auto"/>
              <w:bottom w:val="single" w:sz="4" w:space="0" w:color="auto"/>
            </w:tcBorders>
            <w:shd w:val="clear" w:color="auto" w:fill="auto"/>
            <w:noWrap/>
            <w:vAlign w:val="center"/>
            <w:hideMark/>
          </w:tcPr>
          <w:p w14:paraId="44BEC8E7"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2023</w:t>
            </w:r>
          </w:p>
        </w:tc>
        <w:tc>
          <w:tcPr>
            <w:tcW w:w="700" w:type="dxa"/>
            <w:tcBorders>
              <w:top w:val="single" w:sz="4" w:space="0" w:color="auto"/>
              <w:bottom w:val="single" w:sz="4" w:space="0" w:color="auto"/>
            </w:tcBorders>
            <w:shd w:val="clear" w:color="auto" w:fill="auto"/>
            <w:noWrap/>
            <w:vAlign w:val="center"/>
            <w:hideMark/>
          </w:tcPr>
          <w:p w14:paraId="662E15DD"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2024</w:t>
            </w:r>
          </w:p>
        </w:tc>
      </w:tr>
      <w:tr w:rsidR="000E610C" w:rsidRPr="000E610C" w14:paraId="17B04053" w14:textId="77777777" w:rsidTr="002F4D0B">
        <w:trPr>
          <w:gridBefore w:val="1"/>
          <w:wBefore w:w="108" w:type="dxa"/>
          <w:trHeight w:val="280"/>
          <w:jc w:val="center"/>
        </w:trPr>
        <w:tc>
          <w:tcPr>
            <w:tcW w:w="5479" w:type="dxa"/>
            <w:shd w:val="clear" w:color="auto" w:fill="auto"/>
            <w:noWrap/>
          </w:tcPr>
          <w:p w14:paraId="3CED1CA1" w14:textId="77777777" w:rsidR="000E610C" w:rsidRPr="000E610C" w:rsidRDefault="000E610C" w:rsidP="000E610C">
            <w:pPr>
              <w:rPr>
                <w:rFonts w:ascii="Arial" w:hAnsi="Arial" w:cs="Arial"/>
                <w:sz w:val="20"/>
                <w:szCs w:val="20"/>
              </w:rPr>
            </w:pPr>
            <w:r w:rsidRPr="000E610C">
              <w:rPr>
                <w:rFonts w:ascii="Arial" w:hAnsi="Arial" w:cs="Arial"/>
                <w:sz w:val="20"/>
                <w:szCs w:val="20"/>
              </w:rPr>
              <w:t>Mining of coal and lignite</w:t>
            </w:r>
          </w:p>
        </w:tc>
        <w:tc>
          <w:tcPr>
            <w:tcW w:w="700" w:type="dxa"/>
            <w:tcBorders>
              <w:top w:val="single" w:sz="4" w:space="0" w:color="auto"/>
            </w:tcBorders>
            <w:shd w:val="clear" w:color="auto" w:fill="auto"/>
            <w:noWrap/>
          </w:tcPr>
          <w:p w14:paraId="6F700F9F"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6.4</w:t>
            </w:r>
          </w:p>
        </w:tc>
        <w:tc>
          <w:tcPr>
            <w:tcW w:w="701" w:type="dxa"/>
            <w:tcBorders>
              <w:top w:val="single" w:sz="4" w:space="0" w:color="auto"/>
            </w:tcBorders>
            <w:shd w:val="clear" w:color="auto" w:fill="auto"/>
            <w:noWrap/>
          </w:tcPr>
          <w:p w14:paraId="39143D60"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7.5</w:t>
            </w:r>
          </w:p>
        </w:tc>
        <w:tc>
          <w:tcPr>
            <w:tcW w:w="701" w:type="dxa"/>
            <w:tcBorders>
              <w:top w:val="single" w:sz="4" w:space="0" w:color="auto"/>
            </w:tcBorders>
            <w:shd w:val="clear" w:color="auto" w:fill="auto"/>
            <w:noWrap/>
          </w:tcPr>
          <w:p w14:paraId="58835408"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5.8</w:t>
            </w:r>
          </w:p>
        </w:tc>
        <w:tc>
          <w:tcPr>
            <w:tcW w:w="701" w:type="dxa"/>
            <w:tcBorders>
              <w:top w:val="single" w:sz="4" w:space="0" w:color="auto"/>
            </w:tcBorders>
            <w:shd w:val="clear" w:color="auto" w:fill="auto"/>
            <w:noWrap/>
          </w:tcPr>
          <w:p w14:paraId="413B8DAC"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-0.8</w:t>
            </w:r>
          </w:p>
        </w:tc>
        <w:tc>
          <w:tcPr>
            <w:tcW w:w="700" w:type="dxa"/>
            <w:tcBorders>
              <w:top w:val="single" w:sz="4" w:space="0" w:color="auto"/>
            </w:tcBorders>
            <w:shd w:val="clear" w:color="auto" w:fill="auto"/>
            <w:noWrap/>
          </w:tcPr>
          <w:p w14:paraId="24B6E65D"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-5.3</w:t>
            </w:r>
          </w:p>
        </w:tc>
      </w:tr>
      <w:tr w:rsidR="000E610C" w:rsidRPr="000E610C" w14:paraId="7666AA71" w14:textId="77777777" w:rsidTr="002F4D0B">
        <w:trPr>
          <w:gridBefore w:val="1"/>
          <w:wBefore w:w="108" w:type="dxa"/>
          <w:trHeight w:val="280"/>
          <w:jc w:val="center"/>
        </w:trPr>
        <w:tc>
          <w:tcPr>
            <w:tcW w:w="5479" w:type="dxa"/>
            <w:shd w:val="clear" w:color="auto" w:fill="auto"/>
            <w:noWrap/>
          </w:tcPr>
          <w:p w14:paraId="5FA06F04" w14:textId="77777777" w:rsidR="000E610C" w:rsidRPr="000E610C" w:rsidRDefault="000E610C" w:rsidP="000E610C">
            <w:pPr>
              <w:rPr>
                <w:rFonts w:ascii="Arial" w:hAnsi="Arial" w:cs="Arial"/>
                <w:sz w:val="20"/>
                <w:szCs w:val="20"/>
              </w:rPr>
            </w:pPr>
            <w:r w:rsidRPr="000E610C">
              <w:rPr>
                <w:rFonts w:ascii="Arial" w:hAnsi="Arial" w:cs="Arial"/>
                <w:sz w:val="20"/>
                <w:szCs w:val="20"/>
              </w:rPr>
              <w:t>Extraction of crude petroleum and nutural gas</w:t>
            </w:r>
          </w:p>
        </w:tc>
        <w:tc>
          <w:tcPr>
            <w:tcW w:w="700" w:type="dxa"/>
            <w:shd w:val="clear" w:color="auto" w:fill="auto"/>
            <w:noWrap/>
          </w:tcPr>
          <w:p w14:paraId="28CFD581"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-12.1</w:t>
            </w:r>
          </w:p>
        </w:tc>
        <w:tc>
          <w:tcPr>
            <w:tcW w:w="701" w:type="dxa"/>
            <w:shd w:val="clear" w:color="auto" w:fill="auto"/>
            <w:noWrap/>
          </w:tcPr>
          <w:p w14:paraId="483E82AA"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-12.6</w:t>
            </w:r>
          </w:p>
        </w:tc>
        <w:tc>
          <w:tcPr>
            <w:tcW w:w="701" w:type="dxa"/>
            <w:shd w:val="clear" w:color="auto" w:fill="auto"/>
            <w:noWrap/>
          </w:tcPr>
          <w:p w14:paraId="21279491"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4.7</w:t>
            </w:r>
          </w:p>
        </w:tc>
        <w:tc>
          <w:tcPr>
            <w:tcW w:w="701" w:type="dxa"/>
            <w:shd w:val="clear" w:color="auto" w:fill="auto"/>
            <w:noWrap/>
          </w:tcPr>
          <w:p w14:paraId="067B4C3B"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-4.4</w:t>
            </w:r>
          </w:p>
        </w:tc>
        <w:tc>
          <w:tcPr>
            <w:tcW w:w="700" w:type="dxa"/>
            <w:shd w:val="clear" w:color="auto" w:fill="auto"/>
            <w:noWrap/>
          </w:tcPr>
          <w:p w14:paraId="432826D6"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-12.2</w:t>
            </w:r>
          </w:p>
        </w:tc>
      </w:tr>
      <w:tr w:rsidR="000E610C" w:rsidRPr="000E610C" w14:paraId="375C8F91" w14:textId="77777777" w:rsidTr="002F4D0B">
        <w:trPr>
          <w:gridBefore w:val="1"/>
          <w:wBefore w:w="108" w:type="dxa"/>
          <w:trHeight w:val="280"/>
          <w:jc w:val="center"/>
        </w:trPr>
        <w:tc>
          <w:tcPr>
            <w:tcW w:w="5479" w:type="dxa"/>
            <w:shd w:val="clear" w:color="auto" w:fill="auto"/>
            <w:noWrap/>
          </w:tcPr>
          <w:p w14:paraId="5BA5B4EC" w14:textId="77777777" w:rsidR="000E610C" w:rsidRPr="000E610C" w:rsidRDefault="000E610C" w:rsidP="000E610C">
            <w:pPr>
              <w:rPr>
                <w:rFonts w:ascii="Arial" w:hAnsi="Arial" w:cs="Arial"/>
                <w:sz w:val="20"/>
                <w:szCs w:val="20"/>
              </w:rPr>
            </w:pPr>
            <w:r w:rsidRPr="000E610C">
              <w:rPr>
                <w:rFonts w:ascii="Arial" w:hAnsi="Arial" w:cs="Arial"/>
                <w:sz w:val="20"/>
                <w:szCs w:val="20"/>
              </w:rPr>
              <w:t>Manufacture of food</w:t>
            </w:r>
          </w:p>
        </w:tc>
        <w:tc>
          <w:tcPr>
            <w:tcW w:w="700" w:type="dxa"/>
            <w:shd w:val="clear" w:color="auto" w:fill="auto"/>
            <w:noWrap/>
          </w:tcPr>
          <w:p w14:paraId="7F1AB5F2"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4.2</w:t>
            </w:r>
          </w:p>
        </w:tc>
        <w:tc>
          <w:tcPr>
            <w:tcW w:w="701" w:type="dxa"/>
            <w:shd w:val="clear" w:color="auto" w:fill="auto"/>
            <w:noWrap/>
          </w:tcPr>
          <w:p w14:paraId="3EC2FA8D"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1.9</w:t>
            </w:r>
          </w:p>
        </w:tc>
        <w:tc>
          <w:tcPr>
            <w:tcW w:w="701" w:type="dxa"/>
            <w:shd w:val="clear" w:color="auto" w:fill="auto"/>
            <w:noWrap/>
          </w:tcPr>
          <w:p w14:paraId="5912D3F4"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9.2</w:t>
            </w:r>
          </w:p>
        </w:tc>
        <w:tc>
          <w:tcPr>
            <w:tcW w:w="701" w:type="dxa"/>
            <w:shd w:val="clear" w:color="auto" w:fill="auto"/>
            <w:noWrap/>
          </w:tcPr>
          <w:p w14:paraId="425A2496"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5.8</w:t>
            </w:r>
          </w:p>
        </w:tc>
        <w:tc>
          <w:tcPr>
            <w:tcW w:w="700" w:type="dxa"/>
            <w:shd w:val="clear" w:color="auto" w:fill="auto"/>
            <w:noWrap/>
          </w:tcPr>
          <w:p w14:paraId="173A6C61"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7.7</w:t>
            </w:r>
          </w:p>
        </w:tc>
      </w:tr>
      <w:tr w:rsidR="000E610C" w:rsidRPr="000E610C" w14:paraId="133541B5" w14:textId="77777777" w:rsidTr="002F4D0B">
        <w:trPr>
          <w:gridBefore w:val="1"/>
          <w:wBefore w:w="108" w:type="dxa"/>
          <w:trHeight w:val="280"/>
          <w:jc w:val="center"/>
        </w:trPr>
        <w:tc>
          <w:tcPr>
            <w:tcW w:w="5479" w:type="dxa"/>
            <w:shd w:val="clear" w:color="auto" w:fill="auto"/>
            <w:noWrap/>
          </w:tcPr>
          <w:p w14:paraId="74FC8EB4" w14:textId="77777777" w:rsidR="000E610C" w:rsidRPr="000E610C" w:rsidRDefault="000E610C" w:rsidP="000E610C">
            <w:pPr>
              <w:rPr>
                <w:rFonts w:ascii="Arial" w:hAnsi="Arial" w:cs="Arial"/>
                <w:sz w:val="20"/>
                <w:szCs w:val="20"/>
              </w:rPr>
            </w:pPr>
            <w:r w:rsidRPr="000E610C">
              <w:rPr>
                <w:rFonts w:ascii="Arial" w:hAnsi="Arial" w:cs="Arial"/>
                <w:sz w:val="20"/>
                <w:szCs w:val="20"/>
              </w:rPr>
              <w:t>Manufacture of beverages</w:t>
            </w:r>
          </w:p>
        </w:tc>
        <w:tc>
          <w:tcPr>
            <w:tcW w:w="700" w:type="dxa"/>
            <w:shd w:val="clear" w:color="auto" w:fill="auto"/>
            <w:noWrap/>
          </w:tcPr>
          <w:p w14:paraId="17FB9836"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-5.6</w:t>
            </w:r>
          </w:p>
        </w:tc>
        <w:tc>
          <w:tcPr>
            <w:tcW w:w="701" w:type="dxa"/>
            <w:shd w:val="clear" w:color="auto" w:fill="auto"/>
            <w:noWrap/>
          </w:tcPr>
          <w:p w14:paraId="2A0B1D2B"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-4.1</w:t>
            </w:r>
          </w:p>
        </w:tc>
        <w:tc>
          <w:tcPr>
            <w:tcW w:w="701" w:type="dxa"/>
            <w:shd w:val="clear" w:color="auto" w:fill="auto"/>
            <w:noWrap/>
          </w:tcPr>
          <w:p w14:paraId="076AD464"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31.2</w:t>
            </w:r>
          </w:p>
        </w:tc>
        <w:tc>
          <w:tcPr>
            <w:tcW w:w="701" w:type="dxa"/>
            <w:shd w:val="clear" w:color="auto" w:fill="auto"/>
            <w:noWrap/>
          </w:tcPr>
          <w:p w14:paraId="2862A4AC"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1.9</w:t>
            </w:r>
          </w:p>
        </w:tc>
        <w:tc>
          <w:tcPr>
            <w:tcW w:w="700" w:type="dxa"/>
            <w:shd w:val="clear" w:color="auto" w:fill="auto"/>
            <w:noWrap/>
          </w:tcPr>
          <w:p w14:paraId="6B5411A1"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0.8</w:t>
            </w:r>
          </w:p>
        </w:tc>
      </w:tr>
      <w:tr w:rsidR="000E610C" w:rsidRPr="000E610C" w14:paraId="3053871F" w14:textId="77777777" w:rsidTr="002F4D0B">
        <w:trPr>
          <w:gridBefore w:val="1"/>
          <w:wBefore w:w="108" w:type="dxa"/>
          <w:trHeight w:val="280"/>
          <w:jc w:val="center"/>
        </w:trPr>
        <w:tc>
          <w:tcPr>
            <w:tcW w:w="5479" w:type="dxa"/>
            <w:shd w:val="clear" w:color="auto" w:fill="auto"/>
            <w:noWrap/>
          </w:tcPr>
          <w:p w14:paraId="7D2665BC" w14:textId="77777777" w:rsidR="000E610C" w:rsidRPr="000E610C" w:rsidRDefault="000E610C" w:rsidP="000E610C">
            <w:pPr>
              <w:rPr>
                <w:rFonts w:ascii="Arial" w:hAnsi="Arial" w:cs="Arial"/>
                <w:sz w:val="20"/>
                <w:szCs w:val="20"/>
              </w:rPr>
            </w:pPr>
            <w:r w:rsidRPr="000E610C">
              <w:rPr>
                <w:rFonts w:ascii="Arial" w:hAnsi="Arial" w:cs="Arial"/>
                <w:sz w:val="20"/>
                <w:szCs w:val="20"/>
              </w:rPr>
              <w:t>Manufacture of textiles</w:t>
            </w:r>
          </w:p>
        </w:tc>
        <w:tc>
          <w:tcPr>
            <w:tcW w:w="700" w:type="dxa"/>
            <w:shd w:val="clear" w:color="auto" w:fill="auto"/>
            <w:noWrap/>
          </w:tcPr>
          <w:p w14:paraId="4519EB36"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-0.7</w:t>
            </w:r>
          </w:p>
        </w:tc>
        <w:tc>
          <w:tcPr>
            <w:tcW w:w="701" w:type="dxa"/>
            <w:shd w:val="clear" w:color="auto" w:fill="auto"/>
            <w:noWrap/>
          </w:tcPr>
          <w:p w14:paraId="0E6151A9"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8.1</w:t>
            </w:r>
          </w:p>
        </w:tc>
        <w:tc>
          <w:tcPr>
            <w:tcW w:w="701" w:type="dxa"/>
            <w:shd w:val="clear" w:color="auto" w:fill="auto"/>
            <w:noWrap/>
          </w:tcPr>
          <w:p w14:paraId="4686681B"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3.9</w:t>
            </w:r>
          </w:p>
        </w:tc>
        <w:tc>
          <w:tcPr>
            <w:tcW w:w="701" w:type="dxa"/>
            <w:shd w:val="clear" w:color="auto" w:fill="auto"/>
            <w:noWrap/>
          </w:tcPr>
          <w:p w14:paraId="2D54B7FD"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5.9</w:t>
            </w:r>
          </w:p>
        </w:tc>
        <w:tc>
          <w:tcPr>
            <w:tcW w:w="700" w:type="dxa"/>
            <w:shd w:val="clear" w:color="auto" w:fill="auto"/>
            <w:noWrap/>
          </w:tcPr>
          <w:p w14:paraId="26233922"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12.1</w:t>
            </w:r>
          </w:p>
        </w:tc>
      </w:tr>
      <w:tr w:rsidR="000E610C" w:rsidRPr="000E610C" w14:paraId="14AFE857" w14:textId="77777777" w:rsidTr="002F4D0B">
        <w:trPr>
          <w:gridBefore w:val="1"/>
          <w:wBefore w:w="108" w:type="dxa"/>
          <w:trHeight w:val="280"/>
          <w:jc w:val="center"/>
        </w:trPr>
        <w:tc>
          <w:tcPr>
            <w:tcW w:w="5479" w:type="dxa"/>
            <w:shd w:val="clear" w:color="auto" w:fill="auto"/>
            <w:noWrap/>
          </w:tcPr>
          <w:p w14:paraId="0F738BD4" w14:textId="77777777" w:rsidR="000E610C" w:rsidRPr="000E610C" w:rsidRDefault="000E610C" w:rsidP="000E610C">
            <w:pPr>
              <w:rPr>
                <w:rFonts w:ascii="Arial" w:hAnsi="Arial" w:cs="Arial"/>
                <w:sz w:val="20"/>
                <w:szCs w:val="20"/>
              </w:rPr>
            </w:pPr>
            <w:r w:rsidRPr="000E610C">
              <w:rPr>
                <w:rFonts w:ascii="Arial" w:hAnsi="Arial" w:cs="Arial"/>
                <w:sz w:val="20"/>
                <w:szCs w:val="20"/>
              </w:rPr>
              <w:t>Manufacture of leather and related products</w:t>
            </w:r>
          </w:p>
        </w:tc>
        <w:tc>
          <w:tcPr>
            <w:tcW w:w="700" w:type="dxa"/>
            <w:shd w:val="clear" w:color="auto" w:fill="auto"/>
            <w:noWrap/>
          </w:tcPr>
          <w:p w14:paraId="5EC7F624"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-2.5</w:t>
            </w:r>
          </w:p>
        </w:tc>
        <w:tc>
          <w:tcPr>
            <w:tcW w:w="701" w:type="dxa"/>
            <w:shd w:val="clear" w:color="auto" w:fill="auto"/>
            <w:noWrap/>
          </w:tcPr>
          <w:p w14:paraId="383AB0C6"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4.2</w:t>
            </w:r>
          </w:p>
        </w:tc>
        <w:tc>
          <w:tcPr>
            <w:tcW w:w="701" w:type="dxa"/>
            <w:shd w:val="clear" w:color="auto" w:fill="auto"/>
            <w:noWrap/>
          </w:tcPr>
          <w:p w14:paraId="3E9C72C6"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16.5</w:t>
            </w:r>
          </w:p>
        </w:tc>
        <w:tc>
          <w:tcPr>
            <w:tcW w:w="701" w:type="dxa"/>
            <w:shd w:val="clear" w:color="auto" w:fill="auto"/>
            <w:noWrap/>
          </w:tcPr>
          <w:p w14:paraId="12EBDD6A"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-0.3</w:t>
            </w:r>
          </w:p>
        </w:tc>
        <w:tc>
          <w:tcPr>
            <w:tcW w:w="700" w:type="dxa"/>
            <w:shd w:val="clear" w:color="auto" w:fill="auto"/>
            <w:noWrap/>
          </w:tcPr>
          <w:p w14:paraId="7D99E9EB"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12.6</w:t>
            </w:r>
          </w:p>
        </w:tc>
      </w:tr>
      <w:tr w:rsidR="000E610C" w:rsidRPr="000E610C" w14:paraId="31D7FF98" w14:textId="77777777" w:rsidTr="002F4D0B">
        <w:trPr>
          <w:gridBefore w:val="1"/>
          <w:wBefore w:w="108" w:type="dxa"/>
          <w:trHeight w:val="280"/>
          <w:jc w:val="center"/>
        </w:trPr>
        <w:tc>
          <w:tcPr>
            <w:tcW w:w="5479" w:type="dxa"/>
            <w:shd w:val="clear" w:color="auto" w:fill="auto"/>
            <w:noWrap/>
          </w:tcPr>
          <w:p w14:paraId="3B7110C5" w14:textId="77777777" w:rsidR="000E610C" w:rsidRPr="000E610C" w:rsidRDefault="000E610C" w:rsidP="000E610C">
            <w:pPr>
              <w:rPr>
                <w:rFonts w:ascii="Arial" w:hAnsi="Arial" w:cs="Arial"/>
                <w:sz w:val="20"/>
                <w:szCs w:val="20"/>
              </w:rPr>
            </w:pPr>
            <w:r w:rsidRPr="000E610C">
              <w:rPr>
                <w:rFonts w:ascii="Arial" w:hAnsi="Arial" w:cs="Arial"/>
                <w:sz w:val="20"/>
                <w:szCs w:val="20"/>
              </w:rPr>
              <w:lastRenderedPageBreak/>
              <w:t>Manufacture of coke and refined petroleum products</w:t>
            </w:r>
          </w:p>
        </w:tc>
        <w:tc>
          <w:tcPr>
            <w:tcW w:w="700" w:type="dxa"/>
            <w:shd w:val="clear" w:color="auto" w:fill="auto"/>
            <w:noWrap/>
          </w:tcPr>
          <w:p w14:paraId="7B9D341F"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9.5</w:t>
            </w:r>
          </w:p>
        </w:tc>
        <w:tc>
          <w:tcPr>
            <w:tcW w:w="701" w:type="dxa"/>
            <w:shd w:val="clear" w:color="auto" w:fill="auto"/>
            <w:noWrap/>
          </w:tcPr>
          <w:p w14:paraId="58E5924E"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7.5</w:t>
            </w:r>
          </w:p>
        </w:tc>
        <w:tc>
          <w:tcPr>
            <w:tcW w:w="701" w:type="dxa"/>
            <w:shd w:val="clear" w:color="auto" w:fill="auto"/>
            <w:noWrap/>
          </w:tcPr>
          <w:p w14:paraId="7A2A9CB7"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8.9</w:t>
            </w:r>
          </w:p>
        </w:tc>
        <w:tc>
          <w:tcPr>
            <w:tcW w:w="701" w:type="dxa"/>
            <w:shd w:val="clear" w:color="auto" w:fill="auto"/>
            <w:noWrap/>
          </w:tcPr>
          <w:p w14:paraId="4FCB0547"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1.3</w:t>
            </w:r>
          </w:p>
        </w:tc>
        <w:tc>
          <w:tcPr>
            <w:tcW w:w="700" w:type="dxa"/>
            <w:shd w:val="clear" w:color="auto" w:fill="auto"/>
            <w:noWrap/>
          </w:tcPr>
          <w:p w14:paraId="3A9644BE"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14.5</w:t>
            </w:r>
          </w:p>
        </w:tc>
      </w:tr>
      <w:tr w:rsidR="000E610C" w:rsidRPr="000E610C" w14:paraId="7D566AFE" w14:textId="77777777" w:rsidTr="002F4D0B">
        <w:trPr>
          <w:gridBefore w:val="1"/>
          <w:wBefore w:w="108" w:type="dxa"/>
          <w:trHeight w:val="280"/>
          <w:jc w:val="center"/>
        </w:trPr>
        <w:tc>
          <w:tcPr>
            <w:tcW w:w="5479" w:type="dxa"/>
            <w:shd w:val="clear" w:color="auto" w:fill="auto"/>
            <w:noWrap/>
            <w:hideMark/>
          </w:tcPr>
          <w:p w14:paraId="46754A80" w14:textId="77777777" w:rsidR="000E610C" w:rsidRPr="000E610C" w:rsidRDefault="000E610C" w:rsidP="000E610C">
            <w:pPr>
              <w:rPr>
                <w:rFonts w:ascii="Arial" w:hAnsi="Arial" w:cs="Arial"/>
                <w:sz w:val="20"/>
                <w:szCs w:val="20"/>
              </w:rPr>
            </w:pPr>
            <w:r w:rsidRPr="000E610C">
              <w:rPr>
                <w:rFonts w:ascii="Arial" w:hAnsi="Arial" w:cs="Arial"/>
                <w:sz w:val="20"/>
                <w:szCs w:val="20"/>
              </w:rPr>
              <w:t>Manufacture of chemicals and chemical products</w:t>
            </w:r>
          </w:p>
        </w:tc>
        <w:tc>
          <w:tcPr>
            <w:tcW w:w="700" w:type="dxa"/>
            <w:shd w:val="clear" w:color="auto" w:fill="auto"/>
            <w:noWrap/>
            <w:hideMark/>
          </w:tcPr>
          <w:p w14:paraId="1CB7FA00"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7.2</w:t>
            </w:r>
          </w:p>
        </w:tc>
        <w:tc>
          <w:tcPr>
            <w:tcW w:w="701" w:type="dxa"/>
            <w:shd w:val="clear" w:color="auto" w:fill="auto"/>
            <w:noWrap/>
            <w:hideMark/>
          </w:tcPr>
          <w:p w14:paraId="58FEA23F"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-0.8</w:t>
            </w:r>
          </w:p>
        </w:tc>
        <w:tc>
          <w:tcPr>
            <w:tcW w:w="701" w:type="dxa"/>
            <w:shd w:val="clear" w:color="auto" w:fill="auto"/>
            <w:noWrap/>
            <w:hideMark/>
          </w:tcPr>
          <w:p w14:paraId="3BA33955"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4.0</w:t>
            </w:r>
          </w:p>
        </w:tc>
        <w:tc>
          <w:tcPr>
            <w:tcW w:w="701" w:type="dxa"/>
            <w:shd w:val="clear" w:color="auto" w:fill="auto"/>
            <w:noWrap/>
            <w:hideMark/>
          </w:tcPr>
          <w:p w14:paraId="7FDB41AD"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8.8</w:t>
            </w:r>
          </w:p>
        </w:tc>
        <w:tc>
          <w:tcPr>
            <w:tcW w:w="700" w:type="dxa"/>
            <w:shd w:val="clear" w:color="auto" w:fill="auto"/>
            <w:noWrap/>
            <w:hideMark/>
          </w:tcPr>
          <w:p w14:paraId="197374D9"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13.4</w:t>
            </w:r>
          </w:p>
        </w:tc>
      </w:tr>
      <w:tr w:rsidR="000E610C" w:rsidRPr="000E610C" w14:paraId="266FE300" w14:textId="77777777" w:rsidTr="002F4D0B">
        <w:trPr>
          <w:trHeight w:val="280"/>
          <w:jc w:val="center"/>
        </w:trPr>
        <w:tc>
          <w:tcPr>
            <w:tcW w:w="5587" w:type="dxa"/>
            <w:gridSpan w:val="2"/>
            <w:shd w:val="clear" w:color="auto" w:fill="auto"/>
            <w:noWrap/>
            <w:hideMark/>
          </w:tcPr>
          <w:p w14:paraId="77537B05" w14:textId="77777777" w:rsidR="000E610C" w:rsidRPr="000E610C" w:rsidRDefault="000E610C" w:rsidP="000E610C">
            <w:pPr>
              <w:ind w:left="30"/>
              <w:rPr>
                <w:rFonts w:ascii="Arial" w:hAnsi="Arial" w:cs="Arial"/>
                <w:sz w:val="20"/>
                <w:szCs w:val="20"/>
              </w:rPr>
            </w:pPr>
            <w:r w:rsidRPr="000E610C">
              <w:rPr>
                <w:rFonts w:ascii="Arial" w:hAnsi="Arial" w:cs="Arial"/>
                <w:sz w:val="20"/>
                <w:szCs w:val="20"/>
              </w:rPr>
              <w:t xml:space="preserve"> Manufacture of rubber and plastics products</w:t>
            </w:r>
          </w:p>
        </w:tc>
        <w:tc>
          <w:tcPr>
            <w:tcW w:w="700" w:type="dxa"/>
            <w:shd w:val="clear" w:color="auto" w:fill="auto"/>
            <w:noWrap/>
            <w:hideMark/>
          </w:tcPr>
          <w:p w14:paraId="58A36C9F"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4.6</w:t>
            </w:r>
          </w:p>
        </w:tc>
        <w:tc>
          <w:tcPr>
            <w:tcW w:w="701" w:type="dxa"/>
            <w:shd w:val="clear" w:color="auto" w:fill="auto"/>
            <w:noWrap/>
            <w:hideMark/>
          </w:tcPr>
          <w:p w14:paraId="108AE8B4"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0.3</w:t>
            </w:r>
          </w:p>
        </w:tc>
        <w:tc>
          <w:tcPr>
            <w:tcW w:w="701" w:type="dxa"/>
            <w:shd w:val="clear" w:color="auto" w:fill="auto"/>
            <w:noWrap/>
            <w:hideMark/>
          </w:tcPr>
          <w:p w14:paraId="3C0E0C2B"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-6.5</w:t>
            </w:r>
          </w:p>
        </w:tc>
        <w:tc>
          <w:tcPr>
            <w:tcW w:w="701" w:type="dxa"/>
            <w:shd w:val="clear" w:color="auto" w:fill="auto"/>
            <w:noWrap/>
            <w:hideMark/>
          </w:tcPr>
          <w:p w14:paraId="01F5B21B"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12.1</w:t>
            </w:r>
          </w:p>
        </w:tc>
        <w:tc>
          <w:tcPr>
            <w:tcW w:w="700" w:type="dxa"/>
            <w:shd w:val="clear" w:color="auto" w:fill="auto"/>
            <w:noWrap/>
            <w:hideMark/>
          </w:tcPr>
          <w:p w14:paraId="49BE592D"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25.6</w:t>
            </w:r>
          </w:p>
        </w:tc>
      </w:tr>
      <w:tr w:rsidR="000E610C" w:rsidRPr="000E610C" w14:paraId="102B546D" w14:textId="77777777" w:rsidTr="002F4D0B">
        <w:trPr>
          <w:gridBefore w:val="1"/>
          <w:wBefore w:w="108" w:type="dxa"/>
          <w:trHeight w:val="280"/>
          <w:jc w:val="center"/>
        </w:trPr>
        <w:tc>
          <w:tcPr>
            <w:tcW w:w="5479" w:type="dxa"/>
            <w:shd w:val="clear" w:color="auto" w:fill="auto"/>
            <w:hideMark/>
          </w:tcPr>
          <w:p w14:paraId="2D6444B4" w14:textId="77777777" w:rsidR="000E610C" w:rsidRPr="000E610C" w:rsidRDefault="000E610C" w:rsidP="000E610C">
            <w:pPr>
              <w:rPr>
                <w:rFonts w:ascii="Arial" w:hAnsi="Arial" w:cs="Arial"/>
                <w:spacing w:val="-4"/>
                <w:sz w:val="20"/>
                <w:szCs w:val="20"/>
              </w:rPr>
            </w:pPr>
            <w:r w:rsidRPr="000E610C">
              <w:rPr>
                <w:rFonts w:ascii="Arial" w:hAnsi="Arial" w:cs="Arial"/>
                <w:sz w:val="20"/>
                <w:szCs w:val="20"/>
              </w:rPr>
              <w:t>Manufacture of other non-metallic mineral products</w:t>
            </w:r>
          </w:p>
        </w:tc>
        <w:tc>
          <w:tcPr>
            <w:tcW w:w="700" w:type="dxa"/>
            <w:shd w:val="clear" w:color="auto" w:fill="auto"/>
            <w:noWrap/>
            <w:hideMark/>
          </w:tcPr>
          <w:p w14:paraId="7AAC6EBA"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1.4</w:t>
            </w:r>
          </w:p>
        </w:tc>
        <w:tc>
          <w:tcPr>
            <w:tcW w:w="701" w:type="dxa"/>
            <w:shd w:val="clear" w:color="auto" w:fill="auto"/>
            <w:noWrap/>
            <w:hideMark/>
          </w:tcPr>
          <w:p w14:paraId="4420BE65"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1.7</w:t>
            </w:r>
          </w:p>
        </w:tc>
        <w:tc>
          <w:tcPr>
            <w:tcW w:w="701" w:type="dxa"/>
            <w:shd w:val="clear" w:color="auto" w:fill="auto"/>
            <w:noWrap/>
            <w:hideMark/>
          </w:tcPr>
          <w:p w14:paraId="37350707"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6.0</w:t>
            </w:r>
          </w:p>
        </w:tc>
        <w:tc>
          <w:tcPr>
            <w:tcW w:w="701" w:type="dxa"/>
            <w:shd w:val="clear" w:color="auto" w:fill="auto"/>
            <w:noWrap/>
            <w:hideMark/>
          </w:tcPr>
          <w:p w14:paraId="085B6552"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-4.0</w:t>
            </w:r>
          </w:p>
        </w:tc>
        <w:tc>
          <w:tcPr>
            <w:tcW w:w="700" w:type="dxa"/>
            <w:shd w:val="clear" w:color="auto" w:fill="auto"/>
            <w:noWrap/>
            <w:hideMark/>
          </w:tcPr>
          <w:p w14:paraId="354AC319"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0.6</w:t>
            </w:r>
          </w:p>
        </w:tc>
      </w:tr>
      <w:tr w:rsidR="000E610C" w:rsidRPr="000E610C" w14:paraId="3B914923" w14:textId="77777777" w:rsidTr="002F4D0B">
        <w:trPr>
          <w:gridBefore w:val="1"/>
          <w:wBefore w:w="108" w:type="dxa"/>
          <w:trHeight w:val="280"/>
          <w:jc w:val="center"/>
        </w:trPr>
        <w:tc>
          <w:tcPr>
            <w:tcW w:w="5479" w:type="dxa"/>
            <w:shd w:val="clear" w:color="auto" w:fill="auto"/>
          </w:tcPr>
          <w:p w14:paraId="695291DE" w14:textId="77777777" w:rsidR="000E610C" w:rsidRPr="000E610C" w:rsidRDefault="000E610C" w:rsidP="000E610C">
            <w:pPr>
              <w:rPr>
                <w:rFonts w:ascii="Arial" w:hAnsi="Arial" w:cs="Arial"/>
                <w:spacing w:val="-6"/>
                <w:sz w:val="20"/>
                <w:szCs w:val="20"/>
              </w:rPr>
            </w:pPr>
            <w:r w:rsidRPr="000E610C">
              <w:rPr>
                <w:rFonts w:ascii="Arial" w:hAnsi="Arial" w:cs="Arial"/>
                <w:sz w:val="20"/>
                <w:szCs w:val="20"/>
              </w:rPr>
              <w:t>Manufacture of fabricated metal products, except Machinery and equipment</w:t>
            </w:r>
          </w:p>
        </w:tc>
        <w:tc>
          <w:tcPr>
            <w:tcW w:w="700" w:type="dxa"/>
            <w:shd w:val="clear" w:color="auto" w:fill="auto"/>
            <w:noWrap/>
          </w:tcPr>
          <w:p w14:paraId="1FB2DB4D"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4.1</w:t>
            </w:r>
          </w:p>
        </w:tc>
        <w:tc>
          <w:tcPr>
            <w:tcW w:w="701" w:type="dxa"/>
            <w:shd w:val="clear" w:color="auto" w:fill="auto"/>
            <w:noWrap/>
          </w:tcPr>
          <w:p w14:paraId="2B93D0CC"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4.5</w:t>
            </w:r>
          </w:p>
        </w:tc>
        <w:tc>
          <w:tcPr>
            <w:tcW w:w="701" w:type="dxa"/>
            <w:shd w:val="clear" w:color="auto" w:fill="auto"/>
            <w:noWrap/>
          </w:tcPr>
          <w:p w14:paraId="60BDE1F2"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7.7</w:t>
            </w:r>
          </w:p>
        </w:tc>
        <w:tc>
          <w:tcPr>
            <w:tcW w:w="701" w:type="dxa"/>
            <w:shd w:val="clear" w:color="auto" w:fill="auto"/>
            <w:noWrap/>
          </w:tcPr>
          <w:p w14:paraId="6F91F7D3"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8.3</w:t>
            </w:r>
          </w:p>
        </w:tc>
        <w:tc>
          <w:tcPr>
            <w:tcW w:w="700" w:type="dxa"/>
            <w:shd w:val="clear" w:color="auto" w:fill="auto"/>
            <w:noWrap/>
          </w:tcPr>
          <w:p w14:paraId="4DDD3D9B"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11.9</w:t>
            </w:r>
          </w:p>
        </w:tc>
      </w:tr>
      <w:tr w:rsidR="000E610C" w:rsidRPr="000E610C" w14:paraId="2184FF39" w14:textId="77777777" w:rsidTr="002F4D0B">
        <w:trPr>
          <w:gridBefore w:val="1"/>
          <w:wBefore w:w="108" w:type="dxa"/>
          <w:trHeight w:val="280"/>
          <w:jc w:val="center"/>
        </w:trPr>
        <w:tc>
          <w:tcPr>
            <w:tcW w:w="5479" w:type="dxa"/>
            <w:shd w:val="clear" w:color="auto" w:fill="auto"/>
          </w:tcPr>
          <w:p w14:paraId="4FAF97C9" w14:textId="77777777" w:rsidR="000E610C" w:rsidRPr="000E610C" w:rsidRDefault="000E610C" w:rsidP="000E610C">
            <w:pPr>
              <w:rPr>
                <w:rFonts w:ascii="Arial" w:hAnsi="Arial" w:cs="Arial"/>
                <w:spacing w:val="-4"/>
                <w:sz w:val="20"/>
                <w:szCs w:val="20"/>
              </w:rPr>
            </w:pPr>
            <w:r w:rsidRPr="000E610C">
              <w:rPr>
                <w:rFonts w:ascii="Arial" w:hAnsi="Arial" w:cs="Arial"/>
                <w:sz w:val="20"/>
                <w:szCs w:val="20"/>
              </w:rPr>
              <w:t>Manufacture of computer, electronic and optical products</w:t>
            </w:r>
          </w:p>
        </w:tc>
        <w:tc>
          <w:tcPr>
            <w:tcW w:w="700" w:type="dxa"/>
            <w:shd w:val="clear" w:color="auto" w:fill="auto"/>
            <w:noWrap/>
          </w:tcPr>
          <w:p w14:paraId="1E5ECC38"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9.9</w:t>
            </w:r>
          </w:p>
        </w:tc>
        <w:tc>
          <w:tcPr>
            <w:tcW w:w="701" w:type="dxa"/>
            <w:shd w:val="clear" w:color="auto" w:fill="auto"/>
            <w:noWrap/>
          </w:tcPr>
          <w:p w14:paraId="35CD3DC9"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8.6</w:t>
            </w:r>
          </w:p>
        </w:tc>
        <w:tc>
          <w:tcPr>
            <w:tcW w:w="701" w:type="dxa"/>
            <w:shd w:val="clear" w:color="auto" w:fill="auto"/>
            <w:noWrap/>
          </w:tcPr>
          <w:p w14:paraId="1DC81FC3"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8.6</w:t>
            </w:r>
          </w:p>
        </w:tc>
        <w:tc>
          <w:tcPr>
            <w:tcW w:w="701" w:type="dxa"/>
            <w:shd w:val="clear" w:color="auto" w:fill="auto"/>
            <w:noWrap/>
          </w:tcPr>
          <w:p w14:paraId="21774A38"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-1.4</w:t>
            </w:r>
          </w:p>
        </w:tc>
        <w:tc>
          <w:tcPr>
            <w:tcW w:w="700" w:type="dxa"/>
            <w:shd w:val="clear" w:color="auto" w:fill="auto"/>
            <w:noWrap/>
          </w:tcPr>
          <w:p w14:paraId="7866F9AB"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8.7</w:t>
            </w:r>
          </w:p>
        </w:tc>
      </w:tr>
      <w:tr w:rsidR="000E610C" w:rsidRPr="000E610C" w14:paraId="20DF5CE7" w14:textId="77777777" w:rsidTr="002F4D0B">
        <w:trPr>
          <w:gridBefore w:val="1"/>
          <w:wBefore w:w="108" w:type="dxa"/>
          <w:trHeight w:val="280"/>
          <w:jc w:val="center"/>
        </w:trPr>
        <w:tc>
          <w:tcPr>
            <w:tcW w:w="5479" w:type="dxa"/>
            <w:shd w:val="clear" w:color="auto" w:fill="auto"/>
          </w:tcPr>
          <w:p w14:paraId="063FE8FB" w14:textId="77777777" w:rsidR="000E610C" w:rsidRPr="000E610C" w:rsidRDefault="000E610C" w:rsidP="000E610C">
            <w:pPr>
              <w:rPr>
                <w:rFonts w:ascii="Arial" w:hAnsi="Arial" w:cs="Arial"/>
                <w:sz w:val="20"/>
                <w:szCs w:val="20"/>
              </w:rPr>
            </w:pPr>
            <w:r w:rsidRPr="000E610C">
              <w:rPr>
                <w:rFonts w:ascii="Arial" w:hAnsi="Arial" w:cs="Arial"/>
                <w:sz w:val="20"/>
                <w:szCs w:val="20"/>
              </w:rPr>
              <w:t>Manufacture of motor vehicles; trailers and semi-trailers</w:t>
            </w:r>
          </w:p>
        </w:tc>
        <w:tc>
          <w:tcPr>
            <w:tcW w:w="700" w:type="dxa"/>
            <w:shd w:val="clear" w:color="auto" w:fill="auto"/>
            <w:noWrap/>
          </w:tcPr>
          <w:p w14:paraId="5CD98C4B"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-8.7</w:t>
            </w:r>
          </w:p>
        </w:tc>
        <w:tc>
          <w:tcPr>
            <w:tcW w:w="701" w:type="dxa"/>
            <w:shd w:val="clear" w:color="auto" w:fill="auto"/>
            <w:noWrap/>
          </w:tcPr>
          <w:p w14:paraId="20E81268"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11.5</w:t>
            </w:r>
          </w:p>
        </w:tc>
        <w:tc>
          <w:tcPr>
            <w:tcW w:w="701" w:type="dxa"/>
            <w:shd w:val="clear" w:color="auto" w:fill="auto"/>
            <w:noWrap/>
          </w:tcPr>
          <w:p w14:paraId="0216EE9C"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6.5</w:t>
            </w:r>
          </w:p>
        </w:tc>
        <w:tc>
          <w:tcPr>
            <w:tcW w:w="701" w:type="dxa"/>
            <w:shd w:val="clear" w:color="auto" w:fill="auto"/>
            <w:noWrap/>
          </w:tcPr>
          <w:p w14:paraId="44CC8D72"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-3.7</w:t>
            </w:r>
          </w:p>
        </w:tc>
        <w:tc>
          <w:tcPr>
            <w:tcW w:w="700" w:type="dxa"/>
            <w:shd w:val="clear" w:color="auto" w:fill="auto"/>
            <w:noWrap/>
          </w:tcPr>
          <w:p w14:paraId="765B1FC9"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18.3</w:t>
            </w:r>
          </w:p>
        </w:tc>
      </w:tr>
      <w:tr w:rsidR="000E610C" w:rsidRPr="000E610C" w14:paraId="67B9DDB0" w14:textId="77777777" w:rsidTr="002F4D0B">
        <w:trPr>
          <w:gridBefore w:val="1"/>
          <w:wBefore w:w="108" w:type="dxa"/>
          <w:trHeight w:val="280"/>
          <w:jc w:val="center"/>
        </w:trPr>
        <w:tc>
          <w:tcPr>
            <w:tcW w:w="5479" w:type="dxa"/>
            <w:shd w:val="clear" w:color="auto" w:fill="auto"/>
            <w:noWrap/>
            <w:hideMark/>
          </w:tcPr>
          <w:p w14:paraId="33FBDF90" w14:textId="77777777" w:rsidR="000E610C" w:rsidRPr="000E610C" w:rsidRDefault="000E610C" w:rsidP="000E610C">
            <w:pPr>
              <w:rPr>
                <w:rFonts w:ascii="Arial" w:hAnsi="Arial" w:cs="Arial"/>
                <w:sz w:val="20"/>
                <w:szCs w:val="20"/>
              </w:rPr>
            </w:pPr>
            <w:r w:rsidRPr="000E610C">
              <w:rPr>
                <w:rFonts w:ascii="Arial" w:hAnsi="Arial" w:cs="Arial"/>
                <w:sz w:val="20"/>
                <w:szCs w:val="20"/>
              </w:rPr>
              <w:t>Manufacture of other transport equipment</w:t>
            </w:r>
          </w:p>
        </w:tc>
        <w:tc>
          <w:tcPr>
            <w:tcW w:w="700" w:type="dxa"/>
            <w:shd w:val="clear" w:color="auto" w:fill="auto"/>
            <w:noWrap/>
            <w:hideMark/>
          </w:tcPr>
          <w:p w14:paraId="60BC6264"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-9.8</w:t>
            </w:r>
          </w:p>
        </w:tc>
        <w:tc>
          <w:tcPr>
            <w:tcW w:w="701" w:type="dxa"/>
            <w:shd w:val="clear" w:color="auto" w:fill="auto"/>
            <w:noWrap/>
            <w:hideMark/>
          </w:tcPr>
          <w:p w14:paraId="36177051"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-2.3</w:t>
            </w:r>
          </w:p>
        </w:tc>
        <w:tc>
          <w:tcPr>
            <w:tcW w:w="701" w:type="dxa"/>
            <w:shd w:val="clear" w:color="auto" w:fill="auto"/>
            <w:noWrap/>
            <w:hideMark/>
          </w:tcPr>
          <w:p w14:paraId="3C3CB309"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12.8</w:t>
            </w:r>
          </w:p>
        </w:tc>
        <w:tc>
          <w:tcPr>
            <w:tcW w:w="701" w:type="dxa"/>
            <w:shd w:val="clear" w:color="auto" w:fill="auto"/>
            <w:noWrap/>
            <w:hideMark/>
          </w:tcPr>
          <w:p w14:paraId="7FAD316A"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-9.2</w:t>
            </w:r>
          </w:p>
        </w:tc>
        <w:tc>
          <w:tcPr>
            <w:tcW w:w="700" w:type="dxa"/>
            <w:shd w:val="clear" w:color="auto" w:fill="auto"/>
            <w:noWrap/>
            <w:hideMark/>
          </w:tcPr>
          <w:p w14:paraId="324DA4D9"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2.7</w:t>
            </w:r>
          </w:p>
        </w:tc>
      </w:tr>
      <w:tr w:rsidR="000E610C" w:rsidRPr="000E610C" w14:paraId="06EF070D" w14:textId="77777777" w:rsidTr="002F4D0B">
        <w:trPr>
          <w:gridBefore w:val="1"/>
          <w:wBefore w:w="108" w:type="dxa"/>
          <w:trHeight w:val="280"/>
          <w:jc w:val="center"/>
        </w:trPr>
        <w:tc>
          <w:tcPr>
            <w:tcW w:w="5479" w:type="dxa"/>
            <w:tcBorders>
              <w:bottom w:val="single" w:sz="4" w:space="0" w:color="auto"/>
            </w:tcBorders>
            <w:shd w:val="clear" w:color="auto" w:fill="auto"/>
            <w:noWrap/>
          </w:tcPr>
          <w:p w14:paraId="607AA65E" w14:textId="77777777" w:rsidR="000E610C" w:rsidRPr="000E610C" w:rsidRDefault="000E610C" w:rsidP="000E610C">
            <w:pPr>
              <w:rPr>
                <w:rFonts w:ascii="Arial" w:hAnsi="Arial" w:cs="Arial"/>
                <w:sz w:val="20"/>
                <w:szCs w:val="20"/>
              </w:rPr>
            </w:pPr>
            <w:r w:rsidRPr="000E610C">
              <w:rPr>
                <w:rFonts w:ascii="Arial" w:hAnsi="Arial" w:cs="Arial"/>
                <w:sz w:val="20"/>
                <w:szCs w:val="20"/>
              </w:rPr>
              <w:t>Manufacture of furniture</w:t>
            </w:r>
          </w:p>
        </w:tc>
        <w:tc>
          <w:tcPr>
            <w:tcW w:w="700" w:type="dxa"/>
            <w:tcBorders>
              <w:bottom w:val="single" w:sz="4" w:space="0" w:color="auto"/>
            </w:tcBorders>
            <w:shd w:val="clear" w:color="auto" w:fill="auto"/>
            <w:noWrap/>
          </w:tcPr>
          <w:p w14:paraId="5C4D4089"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6.9</w:t>
            </w:r>
          </w:p>
        </w:tc>
        <w:tc>
          <w:tcPr>
            <w:tcW w:w="701" w:type="dxa"/>
            <w:tcBorders>
              <w:bottom w:val="single" w:sz="4" w:space="0" w:color="auto"/>
            </w:tcBorders>
            <w:shd w:val="clear" w:color="auto" w:fill="auto"/>
            <w:noWrap/>
          </w:tcPr>
          <w:p w14:paraId="1AB1A030"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0.8</w:t>
            </w:r>
          </w:p>
        </w:tc>
        <w:tc>
          <w:tcPr>
            <w:tcW w:w="701" w:type="dxa"/>
            <w:tcBorders>
              <w:bottom w:val="single" w:sz="4" w:space="0" w:color="auto"/>
            </w:tcBorders>
            <w:shd w:val="clear" w:color="auto" w:fill="auto"/>
            <w:noWrap/>
          </w:tcPr>
          <w:p w14:paraId="2B5B11CD"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1.9</w:t>
            </w:r>
          </w:p>
        </w:tc>
        <w:tc>
          <w:tcPr>
            <w:tcW w:w="701" w:type="dxa"/>
            <w:tcBorders>
              <w:bottom w:val="single" w:sz="4" w:space="0" w:color="auto"/>
            </w:tcBorders>
            <w:shd w:val="clear" w:color="auto" w:fill="auto"/>
            <w:noWrap/>
          </w:tcPr>
          <w:p w14:paraId="5FC6C06F"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7.8</w:t>
            </w:r>
          </w:p>
        </w:tc>
        <w:tc>
          <w:tcPr>
            <w:tcW w:w="700" w:type="dxa"/>
            <w:tcBorders>
              <w:bottom w:val="single" w:sz="4" w:space="0" w:color="auto"/>
            </w:tcBorders>
            <w:shd w:val="clear" w:color="auto" w:fill="auto"/>
            <w:noWrap/>
          </w:tcPr>
          <w:p w14:paraId="66D14FCB" w14:textId="77777777" w:rsidR="000E610C" w:rsidRPr="000E610C" w:rsidRDefault="000E610C" w:rsidP="000E610C">
            <w:pPr>
              <w:jc w:val="right"/>
              <w:rPr>
                <w:rFonts w:ascii="Arial" w:hAnsi="Arial" w:cs="Arial"/>
                <w:sz w:val="20"/>
                <w:szCs w:val="20"/>
              </w:rPr>
            </w:pPr>
            <w:r w:rsidRPr="000E610C">
              <w:rPr>
                <w:rFonts w:ascii="Arial" w:hAnsi="Arial" w:cs="Arial"/>
                <w:sz w:val="20"/>
                <w:szCs w:val="20"/>
              </w:rPr>
              <w:t>24.7</w:t>
            </w:r>
          </w:p>
        </w:tc>
      </w:tr>
    </w:tbl>
    <w:p w14:paraId="1AEE2B35" w14:textId="77777777" w:rsidR="000E610C" w:rsidRPr="000E610C" w:rsidRDefault="000E610C" w:rsidP="000E610C">
      <w:pPr>
        <w:shd w:val="clear" w:color="auto" w:fill="FFFFFF"/>
        <w:tabs>
          <w:tab w:val="left" w:pos="8931"/>
        </w:tabs>
        <w:spacing w:before="120" w:after="120" w:line="264" w:lineRule="auto"/>
        <w:ind w:firstLine="720"/>
        <w:jc w:val="both"/>
        <w:rPr>
          <w:spacing w:val="-2"/>
          <w:lang w:val="pl-PL"/>
        </w:rPr>
      </w:pPr>
      <w:r w:rsidRPr="000E610C">
        <w:rPr>
          <w:iCs/>
          <w:spacing w:val="-2"/>
          <w:lang w:val="pl-PL"/>
        </w:rPr>
        <w:t>In the first eleven months of 2024, the Industrial Production Index (IIP) increased in 60 provinces and decreased in 3 provinces across the country. Several provinces achieved high growth rates due to significant increases in the manufacturing and processing sector, electricity production and distribution, and mining industries</w:t>
      </w:r>
      <w:r w:rsidRPr="000E610C">
        <w:rPr>
          <w:rFonts w:eastAsia="Calibri"/>
          <w:spacing w:val="-2"/>
          <w:vertAlign w:val="superscript"/>
        </w:rPr>
        <w:footnoteReference w:id="9"/>
      </w:r>
      <w:r w:rsidRPr="000E610C">
        <w:rPr>
          <w:spacing w:val="-2"/>
          <w:lang w:val="pl-PL"/>
        </w:rPr>
        <w:t>. Conversely, some provinces saw declines in their IIP, primarily due to decreases in the manufacturing and processing sector and the electricity production and distribution sector.</w:t>
      </w:r>
      <w:r w:rsidRPr="000E610C">
        <w:rPr>
          <w:rFonts w:eastAsia="Calibri"/>
          <w:spacing w:val="-2"/>
          <w:vertAlign w:val="superscript"/>
        </w:rPr>
        <w:footnoteReference w:id="10"/>
      </w:r>
      <w:r w:rsidRPr="000E610C">
        <w:rPr>
          <w:spacing w:val="-2"/>
          <w:lang w:val="pl-PL"/>
        </w:rPr>
        <w:t>.</w:t>
      </w:r>
    </w:p>
    <w:p w14:paraId="3DFC4D8C" w14:textId="77777777" w:rsidR="000E610C" w:rsidRPr="000E610C" w:rsidRDefault="000E610C" w:rsidP="000E610C">
      <w:pPr>
        <w:shd w:val="clear" w:color="auto" w:fill="FFFFFF"/>
        <w:tabs>
          <w:tab w:val="left" w:pos="1701"/>
        </w:tabs>
        <w:jc w:val="both"/>
        <w:rPr>
          <w:iCs/>
          <w:spacing w:val="-2"/>
          <w:lang w:val="pl-PL"/>
        </w:rPr>
      </w:pPr>
      <w:r w:rsidRPr="000E610C">
        <w:rPr>
          <w:iCs/>
          <w:spacing w:val="-2"/>
          <w:lang w:val="pl-PL"/>
        </w:rPr>
        <w:t xml:space="preserve">         Key industrial products also experienced notable growth during this period compared to the same period last year. Automobile production increased by 22.4%, steel bars and angles by 21.7%, natural fiber fabrics by 16.0%, refined petroleum products by 15.9%, granulated sugar by 14.8%, rolled steel by 14.1%, NPK mixed fertilizers by 11.9%, powdered milk by 11.5%, processed seafood by 11.0%, electricity generation by 10.0%, and urea fertilizer by 9.0%.On the other hand, some products recorded declines compared to the previous year. Natural gas decreased by 17.8%, liquefied petroleum gas (LPG) by 14.0%, crude oil extraction by 6.0%, coal (clean coal) by 5.3%, mobile phones by 4.2%, beer by 2.1%, and alumina by 1.2%</w:t>
      </w:r>
    </w:p>
    <w:p w14:paraId="1337BDAB" w14:textId="77777777" w:rsidR="000E610C" w:rsidRPr="000E610C" w:rsidRDefault="000E610C" w:rsidP="000E610C">
      <w:pPr>
        <w:shd w:val="clear" w:color="auto" w:fill="FFFFFF"/>
        <w:tabs>
          <w:tab w:val="left" w:pos="1701"/>
        </w:tabs>
        <w:jc w:val="center"/>
        <w:rPr>
          <w:rFonts w:ascii="Arial" w:hAnsi="Arial" w:cs="Arial"/>
          <w:b/>
          <w:bCs/>
          <w:sz w:val="24"/>
          <w:szCs w:val="24"/>
          <w:lang w:val="pl-PL"/>
        </w:rPr>
      </w:pPr>
    </w:p>
    <w:p w14:paraId="5C73F960" w14:textId="77777777" w:rsidR="000E610C" w:rsidRPr="000E610C" w:rsidRDefault="000E610C" w:rsidP="000E610C">
      <w:pPr>
        <w:shd w:val="clear" w:color="auto" w:fill="FFFFFF"/>
        <w:tabs>
          <w:tab w:val="left" w:pos="1701"/>
        </w:tabs>
        <w:jc w:val="center"/>
        <w:rPr>
          <w:rFonts w:ascii="Arial" w:hAnsi="Arial" w:cs="Arial"/>
          <w:b/>
          <w:bCs/>
          <w:sz w:val="24"/>
          <w:szCs w:val="24"/>
          <w:lang w:val="pl-PL"/>
        </w:rPr>
      </w:pPr>
      <w:r w:rsidRPr="000E610C">
        <w:rPr>
          <w:rFonts w:ascii="Arial" w:hAnsi="Arial" w:cs="Arial"/>
          <w:b/>
          <w:bCs/>
          <w:sz w:val="24"/>
          <w:szCs w:val="24"/>
          <w:lang w:val="pl-PL"/>
        </w:rPr>
        <w:t>Figure 4. Rate of increase/decrease in IIP in the first 11 months of 2024</w:t>
      </w:r>
    </w:p>
    <w:p w14:paraId="6832B0D0" w14:textId="77777777" w:rsidR="000E610C" w:rsidRPr="000E610C" w:rsidRDefault="000E610C" w:rsidP="000E610C">
      <w:pPr>
        <w:shd w:val="clear" w:color="auto" w:fill="FFFFFF"/>
        <w:tabs>
          <w:tab w:val="left" w:pos="1701"/>
        </w:tabs>
        <w:jc w:val="center"/>
        <w:rPr>
          <w:i/>
          <w:spacing w:val="-2"/>
          <w:sz w:val="2"/>
          <w:szCs w:val="10"/>
          <w:lang w:val="pl-PL"/>
        </w:rPr>
      </w:pPr>
      <w:r w:rsidRPr="000E610C">
        <w:rPr>
          <w:rFonts w:ascii="Arial" w:hAnsi="Arial" w:cs="Arial"/>
          <w:b/>
          <w:bCs/>
          <w:sz w:val="24"/>
          <w:szCs w:val="24"/>
          <w:lang w:val="pl-PL"/>
        </w:rPr>
        <w:t>compared to the same period last year of some localities</w:t>
      </w:r>
    </w:p>
    <w:tbl>
      <w:tblPr>
        <w:tblStyle w:val="TableGrid1"/>
        <w:tblW w:w="91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4"/>
        <w:gridCol w:w="4477"/>
      </w:tblGrid>
      <w:tr w:rsidR="000E610C" w:rsidRPr="000E610C" w14:paraId="6F916177" w14:textId="77777777" w:rsidTr="002F4D0B">
        <w:trPr>
          <w:trHeight w:val="3063"/>
          <w:jc w:val="center"/>
        </w:trPr>
        <w:tc>
          <w:tcPr>
            <w:tcW w:w="4694" w:type="dxa"/>
          </w:tcPr>
          <w:p w14:paraId="7BB60CB3" w14:textId="77777777" w:rsidR="000E610C" w:rsidRPr="000E610C" w:rsidRDefault="000E610C" w:rsidP="000E610C">
            <w:pPr>
              <w:jc w:val="center"/>
              <w:rPr>
                <w:rFonts w:ascii="Arial" w:hAnsi="Arial" w:cs="Arial"/>
                <w:b/>
                <w:bCs/>
                <w:sz w:val="20"/>
                <w:szCs w:val="20"/>
                <w:lang w:val="pl-PL"/>
              </w:rPr>
            </w:pPr>
            <w:r w:rsidRPr="000E610C">
              <w:rPr>
                <w:rFonts w:ascii="Arial" w:hAnsi="Arial" w:cs="Arial"/>
                <w:b/>
                <w:bCs/>
                <w:sz w:val="20"/>
                <w:szCs w:val="20"/>
              </w:rPr>
              <w:lastRenderedPageBreak/>
              <w:t>10 localities with the highest IIP growth rate (%)</w:t>
            </w:r>
          </w:p>
          <w:p w14:paraId="121239DF" w14:textId="77777777" w:rsidR="000E610C" w:rsidRPr="000E610C" w:rsidRDefault="000E610C" w:rsidP="000E610C">
            <w:pPr>
              <w:jc w:val="center"/>
              <w:rPr>
                <w:rFonts w:ascii="Arial" w:hAnsi="Arial" w:cs="Arial"/>
                <w:b/>
                <w:bCs/>
                <w:sz w:val="20"/>
                <w:szCs w:val="20"/>
              </w:rPr>
            </w:pPr>
            <w:r w:rsidRPr="000E610C">
              <w:rPr>
                <w:rFonts w:ascii="Arial" w:hAnsi="Arial" w:cs="Arial"/>
                <w:b/>
                <w:bCs/>
                <w:noProof/>
                <w:sz w:val="20"/>
                <w:szCs w:val="20"/>
                <w14:ligatures w14:val="standardContextual"/>
              </w:rPr>
              <w:drawing>
                <wp:inline distT="0" distB="0" distL="0" distR="0" wp14:anchorId="54FBE625" wp14:editId="5EB8E9EA">
                  <wp:extent cx="2981325" cy="1600200"/>
                  <wp:effectExtent l="0" t="0" r="9525" b="0"/>
                  <wp:docPr id="941601541" name="Picture 1" descr="A graph of numbers and a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01541" name="Picture 1" descr="A graph of numbers and a bar&#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981325" cy="1600200"/>
                          </a:xfrm>
                          <a:prstGeom prst="rect">
                            <a:avLst/>
                          </a:prstGeom>
                        </pic:spPr>
                      </pic:pic>
                    </a:graphicData>
                  </a:graphic>
                </wp:inline>
              </w:drawing>
            </w:r>
          </w:p>
        </w:tc>
        <w:tc>
          <w:tcPr>
            <w:tcW w:w="4477" w:type="dxa"/>
          </w:tcPr>
          <w:p w14:paraId="6042E9D0" w14:textId="77777777" w:rsidR="000E610C" w:rsidRPr="000E610C" w:rsidRDefault="000E610C" w:rsidP="000E610C">
            <w:pPr>
              <w:jc w:val="center"/>
              <w:rPr>
                <w:rFonts w:ascii="Arial" w:hAnsi="Arial" w:cs="Arial"/>
                <w:b/>
                <w:bCs/>
                <w:sz w:val="20"/>
                <w:szCs w:val="20"/>
              </w:rPr>
            </w:pPr>
            <w:r w:rsidRPr="000E610C">
              <w:rPr>
                <w:rFonts w:ascii="Arial" w:hAnsi="Arial" w:cs="Arial"/>
                <w:b/>
                <w:bCs/>
                <w:sz w:val="20"/>
                <w:szCs w:val="20"/>
              </w:rPr>
              <w:t xml:space="preserve">10 localities with IIP </w:t>
            </w:r>
          </w:p>
          <w:p w14:paraId="0210CD8C" w14:textId="77777777" w:rsidR="000E610C" w:rsidRPr="000E610C" w:rsidRDefault="000E610C" w:rsidP="000E610C">
            <w:pPr>
              <w:jc w:val="center"/>
              <w:rPr>
                <w:rFonts w:ascii="Calibri" w:hAnsi="Calibri"/>
                <w:b/>
                <w:bCs/>
                <w:sz w:val="14"/>
                <w:szCs w:val="22"/>
              </w:rPr>
            </w:pPr>
            <w:r w:rsidRPr="000E610C">
              <w:rPr>
                <w:rFonts w:ascii="Arial" w:hAnsi="Arial" w:cs="Arial"/>
                <w:b/>
                <w:bCs/>
                <w:sz w:val="20"/>
                <w:szCs w:val="20"/>
              </w:rPr>
              <w:t>lowest increase/largest decrease (%)</w:t>
            </w:r>
          </w:p>
          <w:p w14:paraId="59AA266F" w14:textId="77777777" w:rsidR="000E610C" w:rsidRPr="000E610C" w:rsidRDefault="000E610C" w:rsidP="000E610C">
            <w:pPr>
              <w:rPr>
                <w:rFonts w:ascii="Calibri" w:hAnsi="Calibri"/>
                <w:b/>
                <w:bCs/>
                <w:sz w:val="22"/>
                <w:szCs w:val="22"/>
              </w:rPr>
            </w:pPr>
            <w:r w:rsidRPr="000E610C">
              <w:rPr>
                <w:rFonts w:ascii="Calibri" w:hAnsi="Calibri"/>
                <w:b/>
                <w:bCs/>
                <w:noProof/>
                <w:sz w:val="22"/>
                <w:szCs w:val="22"/>
                <w14:ligatures w14:val="standardContextual"/>
              </w:rPr>
              <w:drawing>
                <wp:inline distT="0" distB="0" distL="0" distR="0" wp14:anchorId="76F292FE" wp14:editId="52FE0412">
                  <wp:extent cx="2819400" cy="1762125"/>
                  <wp:effectExtent l="0" t="0" r="0" b="9525"/>
                  <wp:docPr id="1040143665" name="Picture 2" descr="A graph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43665" name="Picture 2" descr="A graph with red squar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819400" cy="1762125"/>
                          </a:xfrm>
                          <a:prstGeom prst="rect">
                            <a:avLst/>
                          </a:prstGeom>
                        </pic:spPr>
                      </pic:pic>
                    </a:graphicData>
                  </a:graphic>
                </wp:inline>
              </w:drawing>
            </w:r>
          </w:p>
        </w:tc>
      </w:tr>
    </w:tbl>
    <w:p w14:paraId="37550DB7" w14:textId="77777777" w:rsidR="000E610C" w:rsidRPr="000E610C" w:rsidRDefault="000E610C" w:rsidP="000E610C">
      <w:pPr>
        <w:jc w:val="both"/>
      </w:pPr>
      <w:r w:rsidRPr="000E610C">
        <w:rPr>
          <w:lang w:val="pl-PL"/>
        </w:rPr>
        <w:t>The number of employees working in industrial enterprises as of November 1, 2024 increased by 0.7% over the same period last month and increased by 4.4% over the same period last year. In which, employees in the state-owned enterprise sector increased by 0.1% and decreased by 0.1%; non-state enterprises increased by 0.7% and increased by 2.7%; foreign-invested enterprises increased by 0.8% and increased by 5.3%. By industry, the number of employees working in mining enterprises remained unchanged compared to the same time last month and decreased by 1.1% compared to the same time last year; the processing and manufacturing industry increased by 0.8% and increased by 4.8%; the production and distribution of electricity, gas, hot water, steam and air conditioning remained unchanged and decreased by 0.4%; the water supply industry, waste and wastewater management and treatment activities increased by 0.2% and increased by 1.1%.</w:t>
      </w:r>
    </w:p>
    <w:p w14:paraId="7BC2462E" w14:textId="77777777" w:rsidR="000E610C" w:rsidRPr="000E610C" w:rsidRDefault="000E610C" w:rsidP="000E610C">
      <w:pPr>
        <w:spacing w:after="40" w:line="300" w:lineRule="auto"/>
        <w:ind w:firstLine="567"/>
        <w:jc w:val="both"/>
        <w:rPr>
          <w:lang w:val="it-IT"/>
        </w:rPr>
      </w:pPr>
      <w:r w:rsidRPr="000E610C">
        <w:rPr>
          <w:b/>
          <w:bCs/>
          <w:lang w:val="pl-PL"/>
        </w:rPr>
        <w:t>4. Enterprise activities</w:t>
      </w:r>
    </w:p>
    <w:p w14:paraId="670B4FFD" w14:textId="77777777" w:rsidR="000E610C" w:rsidRPr="000E610C" w:rsidRDefault="000E610C" w:rsidP="000E610C">
      <w:pPr>
        <w:spacing w:after="40" w:line="300" w:lineRule="auto"/>
        <w:ind w:firstLine="567"/>
        <w:jc w:val="both"/>
        <w:rPr>
          <w:i/>
          <w:lang w:val="it-IT"/>
        </w:rPr>
      </w:pPr>
      <w:r w:rsidRPr="000E610C">
        <w:rPr>
          <w:b/>
          <w:bCs/>
          <w:i/>
          <w:lang w:val="pl-PL"/>
        </w:rPr>
        <w:t>a)</w:t>
      </w:r>
      <w:r w:rsidRPr="000E610C">
        <w:rPr>
          <w:b/>
          <w:bCs/>
          <w:i/>
          <w:lang w:val="it-IT"/>
        </w:rPr>
        <w:t xml:space="preserve"> </w:t>
      </w:r>
      <w:r w:rsidRPr="000E610C">
        <w:rPr>
          <w:b/>
          <w:i/>
          <w:lang w:val="it-IT"/>
        </w:rPr>
        <w:t xml:space="preserve">Enterprise registration status </w:t>
      </w:r>
      <w:r w:rsidRPr="000E610C">
        <w:rPr>
          <w:bCs/>
          <w:i/>
          <w:vertAlign w:val="superscript"/>
          <w:lang w:val="en-GB"/>
        </w:rPr>
        <w:footnoteReference w:id="11"/>
      </w:r>
    </w:p>
    <w:p w14:paraId="380891B9" w14:textId="77777777" w:rsidR="000E610C" w:rsidRPr="000E610C" w:rsidRDefault="000E610C" w:rsidP="000E610C">
      <w:pPr>
        <w:spacing w:after="40" w:line="300" w:lineRule="auto"/>
        <w:ind w:firstLine="567"/>
        <w:jc w:val="both"/>
        <w:rPr>
          <w:lang w:val="it-IT"/>
        </w:rPr>
      </w:pPr>
      <w:r w:rsidRPr="000E610C">
        <w:rPr>
          <w:lang w:val="it-IT"/>
        </w:rPr>
        <w:t xml:space="preserve">In November, the whole country had nearly 11.2 thousand newly established enterprises with registered capital was nearly 138.6 trillion VND and a total number of registered employees of nearly 90.2 thousand employees, a decrease of 21.3% in the number of enterprises, a decrease of 9.8% in registered capital and an increase of 12.0% in the number of employees compared to October 2024. Compared to the same period last year, down 22.6% in the number of enterprises, down 27.2% in registered capital and down 0.8% in the number of employees. The average registered capital of a newly established enterprise in the month reached 12.4 billion VND, an increase of 14.7% compared to the last month and dơn 5.8% compared to the same period of 2023. Besides, there were over 7.7 </w:t>
      </w:r>
      <w:r w:rsidRPr="000E610C">
        <w:rPr>
          <w:lang w:val="it-IT"/>
        </w:rPr>
        <w:lastRenderedPageBreak/>
        <w:t>thousand enterprises resumed in the whole country, down 10.9% compared to the previous month and up 17.4% compared to the same period of 2023.</w:t>
      </w:r>
    </w:p>
    <w:p w14:paraId="3BCB46DD" w14:textId="77777777" w:rsidR="000E610C" w:rsidRPr="000E610C" w:rsidRDefault="000E610C" w:rsidP="000E610C">
      <w:pPr>
        <w:spacing w:after="40" w:line="300" w:lineRule="auto"/>
        <w:ind w:firstLine="567"/>
        <w:jc w:val="both"/>
      </w:pPr>
      <w:r w:rsidRPr="000E610C">
        <w:t>Generally, in the eleven months of 2024, the whole country had more than 147.2</w:t>
      </w:r>
      <w:r w:rsidRPr="000E610C">
        <w:rPr>
          <w:lang w:val="it-IT"/>
        </w:rPr>
        <w:t xml:space="preserve"> </w:t>
      </w:r>
      <w:r w:rsidRPr="000E610C">
        <w:t>thousand newly registered enterprises with a total registered capital of</w:t>
      </w:r>
      <w:r w:rsidRPr="000E610C">
        <w:rPr>
          <w:lang w:val="it-IT"/>
        </w:rPr>
        <w:t xml:space="preserve"> over 1.450,6 </w:t>
      </w:r>
      <w:r w:rsidRPr="000E610C">
        <w:t>trillion VND and a total number of registered employees was over 905.7</w:t>
      </w:r>
      <w:r w:rsidRPr="000E610C">
        <w:rPr>
          <w:lang w:val="it-IT"/>
        </w:rPr>
        <w:t xml:space="preserve"> </w:t>
      </w:r>
      <w:r w:rsidRPr="000E610C">
        <w:t>thousand employees, down 0.5</w:t>
      </w:r>
      <w:r w:rsidRPr="000E610C">
        <w:rPr>
          <w:lang w:val="it-IT"/>
        </w:rPr>
        <w:t xml:space="preserve">% </w:t>
      </w:r>
      <w:r w:rsidRPr="000E610C">
        <w:t>in the number of enterprises, equal</w:t>
      </w:r>
      <w:r w:rsidRPr="000E610C">
        <w:rPr>
          <w:lang w:val="it-IT"/>
        </w:rPr>
        <w:t xml:space="preserve"> </w:t>
      </w:r>
      <w:r w:rsidRPr="000E610C">
        <w:t>in registered capital and down 8.0</w:t>
      </w:r>
      <w:r w:rsidRPr="000E610C">
        <w:rPr>
          <w:lang w:val="it-IT"/>
        </w:rPr>
        <w:t xml:space="preserve">% </w:t>
      </w:r>
      <w:r w:rsidRPr="000E610C">
        <w:t>in the number of employees compared to the same period last year. The average registered capital of a newly established enterprise in the eleven months of 2024 achieved</w:t>
      </w:r>
      <w:r w:rsidRPr="000E610C">
        <w:rPr>
          <w:lang w:val="it-IT"/>
        </w:rPr>
        <w:t xml:space="preserve"> 9.9 </w:t>
      </w:r>
      <w:r w:rsidRPr="000E610C">
        <w:t>billion VND, up 0.5% to the same period of 2023</w:t>
      </w:r>
      <w:r w:rsidRPr="000E610C">
        <w:rPr>
          <w:lang w:val="it-IT"/>
        </w:rPr>
        <w:t>. T</w:t>
      </w:r>
      <w:r w:rsidRPr="000E610C">
        <w:t xml:space="preserve">he total number additional registered captial into the economy in the eleven months of 2024 was nealy 2,912.1 trillion VND, a year-on-year reduction of </w:t>
      </w:r>
      <w:r w:rsidRPr="000E610C">
        <w:rPr>
          <w:lang w:val="it-IT"/>
        </w:rPr>
        <w:t>7.5%</w:t>
      </w:r>
      <w:r w:rsidRPr="000E610C">
        <w:t xml:space="preserve">. </w:t>
      </w:r>
    </w:p>
    <w:p w14:paraId="006A7244" w14:textId="77777777" w:rsidR="000E610C" w:rsidRPr="000E610C" w:rsidRDefault="000E610C" w:rsidP="000E610C">
      <w:pPr>
        <w:spacing w:after="40" w:line="300" w:lineRule="auto"/>
        <w:ind w:firstLine="567"/>
        <w:jc w:val="both"/>
      </w:pPr>
      <w:r w:rsidRPr="000E610C">
        <w:t>Besides, there were nearly 71.3</w:t>
      </w:r>
      <w:r w:rsidRPr="000E610C">
        <w:rPr>
          <w:lang w:val="it-IT"/>
        </w:rPr>
        <w:t xml:space="preserve"> </w:t>
      </w:r>
      <w:r w:rsidRPr="000E610C">
        <w:t>thousand enterprises resumed (a year-on-year increase of 28.5</w:t>
      </w:r>
      <w:r w:rsidRPr="000E610C">
        <w:rPr>
          <w:lang w:val="it-IT"/>
        </w:rPr>
        <w:t xml:space="preserve">%), </w:t>
      </w:r>
      <w:r w:rsidRPr="000E610C">
        <w:t>levering the total number of newly established enterprises and resumed enterprises in the eleven months of 2024 to over 218.5</w:t>
      </w:r>
      <w:r w:rsidRPr="000E610C">
        <w:rPr>
          <w:lang w:val="it-IT"/>
        </w:rPr>
        <w:t xml:space="preserve"> </w:t>
      </w:r>
      <w:r w:rsidRPr="000E610C">
        <w:t>thousand enterprises, a year-on-year increase of 7.4</w:t>
      </w:r>
      <w:r w:rsidRPr="000E610C">
        <w:rPr>
          <w:lang w:val="it-IT"/>
        </w:rPr>
        <w:t>%</w:t>
      </w:r>
      <w:r w:rsidRPr="000E610C">
        <w:t>. On average, there were nearly 19.9</w:t>
      </w:r>
      <w:r w:rsidRPr="000E610C">
        <w:rPr>
          <w:lang w:val="it-IT"/>
        </w:rPr>
        <w:t xml:space="preserve"> </w:t>
      </w:r>
      <w:r w:rsidRPr="000E610C">
        <w:t>thousand newly established and resumed enterprises per month</w:t>
      </w:r>
      <w:r w:rsidRPr="000E610C">
        <w:rPr>
          <w:lang w:val="it-IT"/>
        </w:rPr>
        <w:t>.</w:t>
      </w:r>
    </w:p>
    <w:p w14:paraId="0EAE5659" w14:textId="77777777" w:rsidR="000E610C" w:rsidRPr="000E610C" w:rsidRDefault="000E610C" w:rsidP="000E610C">
      <w:pPr>
        <w:spacing w:after="40" w:line="300" w:lineRule="auto"/>
        <w:ind w:firstLine="567"/>
        <w:jc w:val="both"/>
        <w:rPr>
          <w:lang w:val="it-IT"/>
        </w:rPr>
      </w:pPr>
      <w:r w:rsidRPr="000E610C">
        <w:t xml:space="preserve">By economic sector in the eleven months of 2024, there were </w:t>
      </w:r>
      <w:r w:rsidRPr="000E610C">
        <w:rPr>
          <w:lang w:val="it-IT"/>
        </w:rPr>
        <w:t xml:space="preserve">1,495 </w:t>
      </w:r>
      <w:r w:rsidRPr="000E610C">
        <w:t>newly established enterprises in the agricultural, forestry, and fishery sectors, a year-on-year decrease of</w:t>
      </w:r>
      <w:r w:rsidRPr="000E610C">
        <w:rPr>
          <w:lang w:val="it-IT"/>
        </w:rPr>
        <w:t xml:space="preserve"> 8.6%</w:t>
      </w:r>
      <w:r w:rsidRPr="000E610C">
        <w:t xml:space="preserve">; </w:t>
      </w:r>
      <w:r w:rsidRPr="000E610C">
        <w:rPr>
          <w:lang w:val="it-IT"/>
        </w:rPr>
        <w:t xml:space="preserve">nearly 34.4 </w:t>
      </w:r>
      <w:r w:rsidRPr="000E610C">
        <w:t>thousand enterprises in the industrial and construction sectors, a decrease of</w:t>
      </w:r>
      <w:r w:rsidRPr="000E610C">
        <w:rPr>
          <w:lang w:val="it-IT"/>
        </w:rPr>
        <w:t xml:space="preserve"> 2.6%; nealy 111.4 </w:t>
      </w:r>
      <w:r w:rsidRPr="000E610C">
        <w:t xml:space="preserve">thousand enterprises in the service sector, an increase of </w:t>
      </w:r>
      <w:r w:rsidRPr="000E610C">
        <w:rPr>
          <w:lang w:val="it-IT"/>
        </w:rPr>
        <w:t>0.2%.</w:t>
      </w:r>
    </w:p>
    <w:p w14:paraId="51335E49" w14:textId="77777777" w:rsidR="000E610C" w:rsidRPr="000E610C" w:rsidRDefault="000E610C" w:rsidP="000E610C">
      <w:pPr>
        <w:spacing w:before="120" w:after="40" w:line="288" w:lineRule="auto"/>
        <w:jc w:val="center"/>
        <w:rPr>
          <w:rFonts w:ascii="Calibri" w:hAnsi="Calibri" w:cs="Calibri"/>
          <w:noProof/>
          <w:sz w:val="22"/>
          <w:szCs w:val="22"/>
          <w:lang w:val="it-IT" w:eastAsia="en-GB"/>
        </w:rPr>
      </w:pPr>
      <w:r w:rsidRPr="000E610C">
        <w:rPr>
          <w:rFonts w:ascii="Arial" w:hAnsi="Arial" w:cs="Arial"/>
          <w:b/>
          <w:sz w:val="22"/>
          <w:szCs w:val="22"/>
          <w:lang w:val="it-IT"/>
        </w:rPr>
        <w:t>Figure</w:t>
      </w:r>
      <w:r w:rsidRPr="000E610C">
        <w:rPr>
          <w:rFonts w:ascii="Arial" w:hAnsi="Arial" w:cs="Arial"/>
          <w:b/>
          <w:sz w:val="24"/>
          <w:szCs w:val="24"/>
          <w:lang w:val="it-IT"/>
        </w:rPr>
        <w:t xml:space="preserve"> 6. </w:t>
      </w:r>
      <w:r w:rsidRPr="000E610C">
        <w:rPr>
          <w:rFonts w:ascii="Arial" w:hAnsi="Arial" w:cs="Arial"/>
          <w:b/>
          <w:sz w:val="22"/>
          <w:szCs w:val="22"/>
          <w:lang w:val="it-IT"/>
        </w:rPr>
        <w:t>Enterprise registration situation</w:t>
      </w:r>
    </w:p>
    <w:p w14:paraId="3AB50693" w14:textId="77777777" w:rsidR="000E610C" w:rsidRPr="000E610C" w:rsidRDefault="000E610C" w:rsidP="000E610C">
      <w:pPr>
        <w:spacing w:before="120" w:after="40" w:line="288" w:lineRule="auto"/>
        <w:jc w:val="center"/>
        <w:rPr>
          <w:rFonts w:ascii="Arial" w:hAnsi="Arial" w:cs="Arial"/>
          <w:b/>
          <w:sz w:val="24"/>
          <w:szCs w:val="24"/>
          <w:lang w:val="it-IT"/>
        </w:rPr>
      </w:pPr>
      <w:r w:rsidRPr="000E610C">
        <w:rPr>
          <w:rFonts w:ascii="Arial" w:hAnsi="Arial" w:cs="Arial"/>
          <w:b/>
          <w:noProof/>
          <w:sz w:val="24"/>
          <w:szCs w:val="24"/>
          <w:lang w:val="en-GB" w:eastAsia="en-GB"/>
        </w:rPr>
        <w:drawing>
          <wp:inline distT="0" distB="0" distL="0" distR="0" wp14:anchorId="34FFEBB0" wp14:editId="766CA4C1">
            <wp:extent cx="4105863" cy="2151380"/>
            <wp:effectExtent l="0" t="0" r="9525" b="1270"/>
            <wp:docPr id="1483872867" name="Picture 148387286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72867" name="Picture 1483872867" descr="A screenshot of a grap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6555" cy="2156982"/>
                    </a:xfrm>
                    <a:prstGeom prst="rect">
                      <a:avLst/>
                    </a:prstGeom>
                  </pic:spPr>
                </pic:pic>
              </a:graphicData>
            </a:graphic>
          </wp:inline>
        </w:drawing>
      </w:r>
    </w:p>
    <w:p w14:paraId="4DCA14B6" w14:textId="77777777" w:rsidR="000E610C" w:rsidRPr="000E610C" w:rsidRDefault="000E610C" w:rsidP="000E610C">
      <w:pPr>
        <w:spacing w:before="40" w:after="40" w:line="283" w:lineRule="auto"/>
        <w:ind w:firstLine="567"/>
        <w:jc w:val="both"/>
        <w:rPr>
          <w:lang w:val="it-IT"/>
        </w:rPr>
      </w:pPr>
      <w:r w:rsidRPr="000E610C">
        <w:t xml:space="preserve">Also in November, </w:t>
      </w:r>
      <w:r w:rsidRPr="000E610C">
        <w:rPr>
          <w:lang w:val="it-IT"/>
        </w:rPr>
        <w:t xml:space="preserve">5,454 teamporarily inactive </w:t>
      </w:r>
      <w:r w:rsidRPr="000E610C">
        <w:t>enterprises, down 22.2</w:t>
      </w:r>
      <w:r w:rsidRPr="000E610C">
        <w:rPr>
          <w:lang w:val="it-IT"/>
        </w:rPr>
        <w:t xml:space="preserve">% </w:t>
      </w:r>
      <w:r w:rsidRPr="000E610C">
        <w:t>compared to the previous month and down 5.9</w:t>
      </w:r>
      <w:r w:rsidRPr="000E610C">
        <w:rPr>
          <w:lang w:val="it-IT"/>
        </w:rPr>
        <w:t xml:space="preserve">% </w:t>
      </w:r>
      <w:r w:rsidRPr="000E610C">
        <w:t>over the same period in 2023</w:t>
      </w:r>
      <w:r w:rsidRPr="000E610C">
        <w:rPr>
          <w:lang w:val="it-IT"/>
        </w:rPr>
        <w:t xml:space="preserve">; 7,550 </w:t>
      </w:r>
      <w:r w:rsidRPr="000E610C">
        <w:t>enterprises ceased and awaited dissolution procedures, up 39.2</w:t>
      </w:r>
      <w:r w:rsidRPr="000E610C">
        <w:rPr>
          <w:lang w:val="it-IT"/>
        </w:rPr>
        <w:t xml:space="preserve">% </w:t>
      </w:r>
      <w:r w:rsidRPr="000E610C">
        <w:t xml:space="preserve">and up </w:t>
      </w:r>
      <w:r w:rsidRPr="000E610C">
        <w:lastRenderedPageBreak/>
        <w:t>14.4</w:t>
      </w:r>
      <w:r w:rsidRPr="000E610C">
        <w:rPr>
          <w:lang w:val="it-IT"/>
        </w:rPr>
        <w:t xml:space="preserve">%; 1,910 </w:t>
      </w:r>
      <w:r w:rsidRPr="000E610C">
        <w:t>enterprises completed dissolution procedures, down 3.9</w:t>
      </w:r>
      <w:r w:rsidRPr="000E610C">
        <w:rPr>
          <w:lang w:val="it-IT"/>
        </w:rPr>
        <w:t xml:space="preserve">% and up 14.2%. </w:t>
      </w:r>
    </w:p>
    <w:p w14:paraId="5C8965C1" w14:textId="77777777" w:rsidR="000E610C" w:rsidRPr="000E610C" w:rsidRDefault="000E610C" w:rsidP="000E610C">
      <w:pPr>
        <w:spacing w:before="40" w:after="40" w:line="283" w:lineRule="auto"/>
        <w:ind w:firstLine="567"/>
        <w:jc w:val="both"/>
        <w:rPr>
          <w:lang w:val="it-IT"/>
        </w:rPr>
      </w:pPr>
      <w:r w:rsidRPr="000E610C">
        <w:t xml:space="preserve">In the eleven months of 2024, the number of </w:t>
      </w:r>
      <w:r w:rsidRPr="000E610C">
        <w:rPr>
          <w:lang w:val="it-IT"/>
        </w:rPr>
        <w:t xml:space="preserve">teamporarily inactive </w:t>
      </w:r>
      <w:r w:rsidRPr="000E610C">
        <w:t>enterprises was</w:t>
      </w:r>
      <w:r w:rsidRPr="000E610C">
        <w:rPr>
          <w:lang w:val="it-IT"/>
        </w:rPr>
        <w:t xml:space="preserve"> more than 96.2 </w:t>
      </w:r>
      <w:r w:rsidRPr="000E610C">
        <w:t xml:space="preserve">thousand ones, a year-on-year increase of </w:t>
      </w:r>
      <w:r w:rsidRPr="000E610C">
        <w:rPr>
          <w:lang w:val="it-IT"/>
        </w:rPr>
        <w:t>12.6%</w:t>
      </w:r>
      <w:r w:rsidRPr="000E610C">
        <w:t>; nearly 57.7</w:t>
      </w:r>
      <w:r w:rsidRPr="000E610C">
        <w:rPr>
          <w:lang w:val="it-IT"/>
        </w:rPr>
        <w:t xml:space="preserve"> </w:t>
      </w:r>
      <w:r w:rsidRPr="000E610C">
        <w:t>thousand enterprises ceased and awaited dissolution procedures, an increase of</w:t>
      </w:r>
      <w:r w:rsidRPr="000E610C">
        <w:rPr>
          <w:lang w:val="it-IT"/>
        </w:rPr>
        <w:t xml:space="preserve"> 0.9%; nearly 19.3 </w:t>
      </w:r>
      <w:r w:rsidRPr="000E610C">
        <w:t xml:space="preserve">thousand enterprises completed dissolution procedures, up </w:t>
      </w:r>
      <w:r w:rsidRPr="000E610C">
        <w:rPr>
          <w:lang w:val="it-IT"/>
        </w:rPr>
        <w:t xml:space="preserve">19.8%. </w:t>
      </w:r>
      <w:r w:rsidRPr="000E610C">
        <w:t xml:space="preserve">On average, </w:t>
      </w:r>
      <w:r w:rsidRPr="000E610C">
        <w:rPr>
          <w:lang w:val="it-IT"/>
        </w:rPr>
        <w:t xml:space="preserve">there were more than 15.7 </w:t>
      </w:r>
      <w:r w:rsidRPr="000E610C">
        <w:t>thousand enterprises withdrawing from the market per month</w:t>
      </w:r>
      <w:r w:rsidRPr="000E610C">
        <w:rPr>
          <w:lang w:val="it-IT"/>
        </w:rPr>
        <w:t>.</w:t>
      </w:r>
    </w:p>
    <w:p w14:paraId="1E117C93" w14:textId="77777777" w:rsidR="000E610C" w:rsidRPr="000E610C" w:rsidRDefault="000E610C" w:rsidP="000E610C">
      <w:pPr>
        <w:tabs>
          <w:tab w:val="left" w:pos="6810"/>
        </w:tabs>
        <w:spacing w:before="40" w:after="40" w:line="278" w:lineRule="auto"/>
        <w:jc w:val="center"/>
        <w:rPr>
          <w:rFonts w:ascii="Arial" w:hAnsi="Arial" w:cs="Arial"/>
          <w:b/>
          <w:sz w:val="24"/>
          <w:szCs w:val="20"/>
          <w:lang w:val="it-IT"/>
        </w:rPr>
      </w:pPr>
      <w:r w:rsidRPr="000E610C">
        <w:rPr>
          <w:rFonts w:ascii="Arial" w:hAnsi="Arial" w:cs="Arial"/>
          <w:b/>
          <w:sz w:val="24"/>
          <w:szCs w:val="20"/>
          <w:lang w:val="it-IT"/>
        </w:rPr>
        <w:t>Table 3: Number of newly registered enterprises and completed                   dissolution procedures in the eleven months of 2024  by kinds of activity</w:t>
      </w:r>
    </w:p>
    <w:p w14:paraId="1FE4D69E" w14:textId="77777777" w:rsidR="000E610C" w:rsidRPr="000E610C" w:rsidRDefault="000E610C" w:rsidP="000E610C">
      <w:pPr>
        <w:tabs>
          <w:tab w:val="left" w:pos="6810"/>
        </w:tabs>
        <w:spacing w:before="40" w:after="40" w:line="278" w:lineRule="auto"/>
        <w:ind w:firstLine="567"/>
        <w:jc w:val="center"/>
        <w:rPr>
          <w:rFonts w:ascii="Arial" w:hAnsi="Arial" w:cs="Arial"/>
          <w:b/>
          <w:sz w:val="4"/>
          <w:szCs w:val="20"/>
          <w:lang w:val="it-IT"/>
        </w:rPr>
      </w:pPr>
    </w:p>
    <w:tbl>
      <w:tblPr>
        <w:tblW w:w="9198" w:type="dxa"/>
        <w:jc w:val="center"/>
        <w:tblLayout w:type="fixed"/>
        <w:tblLook w:val="04A0" w:firstRow="1" w:lastRow="0" w:firstColumn="1" w:lastColumn="0" w:noHBand="0" w:noVBand="1"/>
      </w:tblPr>
      <w:tblGrid>
        <w:gridCol w:w="3670"/>
        <w:gridCol w:w="1566"/>
        <w:gridCol w:w="1178"/>
        <w:gridCol w:w="1655"/>
        <w:gridCol w:w="1129"/>
      </w:tblGrid>
      <w:tr w:rsidR="000E610C" w:rsidRPr="000E610C" w14:paraId="180631A9" w14:textId="77777777" w:rsidTr="002F4D0B">
        <w:trPr>
          <w:cantSplit/>
          <w:trHeight w:val="576"/>
          <w:jc w:val="center"/>
        </w:trPr>
        <w:tc>
          <w:tcPr>
            <w:tcW w:w="3670" w:type="dxa"/>
            <w:vMerge w:val="restart"/>
            <w:tcBorders>
              <w:top w:val="single" w:sz="4" w:space="0" w:color="auto"/>
            </w:tcBorders>
            <w:shd w:val="clear" w:color="auto" w:fill="auto"/>
            <w:noWrap/>
            <w:vAlign w:val="bottom"/>
            <w:hideMark/>
          </w:tcPr>
          <w:p w14:paraId="290A1C41" w14:textId="77777777" w:rsidR="000E610C" w:rsidRPr="000E610C" w:rsidRDefault="000E610C" w:rsidP="000E610C">
            <w:pPr>
              <w:spacing w:after="200" w:line="276" w:lineRule="auto"/>
              <w:jc w:val="center"/>
              <w:rPr>
                <w:rFonts w:ascii="Arial" w:hAnsi="Arial" w:cs="Arial"/>
                <w:sz w:val="20"/>
                <w:szCs w:val="20"/>
                <w:lang w:val="it-IT"/>
              </w:rPr>
            </w:pPr>
            <w:r w:rsidRPr="000E610C">
              <w:rPr>
                <w:rFonts w:ascii="Arial" w:hAnsi="Arial" w:cs="Arial"/>
                <w:sz w:val="20"/>
                <w:szCs w:val="20"/>
                <w:lang w:val="it-IT"/>
              </w:rPr>
              <w:t> </w:t>
            </w:r>
          </w:p>
        </w:tc>
        <w:tc>
          <w:tcPr>
            <w:tcW w:w="2744" w:type="dxa"/>
            <w:gridSpan w:val="2"/>
            <w:tcBorders>
              <w:top w:val="single" w:sz="4" w:space="0" w:color="auto"/>
              <w:bottom w:val="single" w:sz="4" w:space="0" w:color="auto"/>
            </w:tcBorders>
            <w:shd w:val="clear" w:color="auto" w:fill="auto"/>
            <w:vAlign w:val="center"/>
            <w:hideMark/>
          </w:tcPr>
          <w:p w14:paraId="03EAAD94" w14:textId="77777777" w:rsidR="000E610C" w:rsidRPr="000E610C" w:rsidRDefault="000E610C" w:rsidP="000E610C">
            <w:pPr>
              <w:spacing w:before="40" w:after="40" w:line="276" w:lineRule="auto"/>
              <w:jc w:val="center"/>
              <w:rPr>
                <w:rFonts w:ascii="Arial" w:hAnsi="Arial" w:cs="Arial"/>
                <w:bCs/>
                <w:sz w:val="18"/>
                <w:szCs w:val="18"/>
                <w:lang w:val="it-IT"/>
              </w:rPr>
            </w:pPr>
            <w:r w:rsidRPr="000E610C">
              <w:rPr>
                <w:rFonts w:ascii="Arial" w:hAnsi="Arial" w:cs="Arial"/>
                <w:bCs/>
                <w:color w:val="000000"/>
                <w:sz w:val="18"/>
                <w:szCs w:val="18"/>
              </w:rPr>
              <w:t>Number of enterprises (Enterprise)</w:t>
            </w:r>
          </w:p>
        </w:tc>
        <w:tc>
          <w:tcPr>
            <w:tcW w:w="2784" w:type="dxa"/>
            <w:gridSpan w:val="2"/>
            <w:tcBorders>
              <w:top w:val="single" w:sz="4" w:space="0" w:color="auto"/>
              <w:bottom w:val="single" w:sz="4" w:space="0" w:color="auto"/>
            </w:tcBorders>
            <w:shd w:val="clear" w:color="auto" w:fill="auto"/>
            <w:vAlign w:val="center"/>
            <w:hideMark/>
          </w:tcPr>
          <w:p w14:paraId="5D11B093" w14:textId="77777777" w:rsidR="000E610C" w:rsidRPr="000E610C" w:rsidRDefault="000E610C" w:rsidP="000E610C">
            <w:pPr>
              <w:spacing w:before="40" w:after="40"/>
              <w:jc w:val="center"/>
              <w:rPr>
                <w:rFonts w:ascii="Arial" w:hAnsi="Arial" w:cs="Arial"/>
                <w:bCs/>
                <w:color w:val="000000"/>
                <w:sz w:val="18"/>
                <w:szCs w:val="18"/>
              </w:rPr>
            </w:pPr>
            <w:r w:rsidRPr="000E610C">
              <w:rPr>
                <w:rFonts w:ascii="Arial" w:hAnsi="Arial" w:cs="Arial"/>
                <w:bCs/>
                <w:color w:val="000000"/>
                <w:sz w:val="18"/>
                <w:szCs w:val="18"/>
                <w:lang w:val="en-GB"/>
              </w:rPr>
              <w:t xml:space="preserve">Growth rate </w:t>
            </w:r>
            <w:r w:rsidRPr="000E610C">
              <w:rPr>
                <w:rFonts w:ascii="Arial" w:hAnsi="Arial" w:cs="Arial"/>
                <w:bCs/>
                <w:color w:val="000000"/>
                <w:sz w:val="18"/>
                <w:szCs w:val="18"/>
              </w:rPr>
              <w:t>over</w:t>
            </w:r>
          </w:p>
          <w:p w14:paraId="0AAFDEE2" w14:textId="77777777" w:rsidR="000E610C" w:rsidRPr="000E610C" w:rsidRDefault="000E610C" w:rsidP="000E610C">
            <w:pPr>
              <w:spacing w:before="40" w:after="40"/>
              <w:jc w:val="center"/>
              <w:rPr>
                <w:rFonts w:ascii="Arial" w:hAnsi="Arial" w:cs="Arial"/>
                <w:bCs/>
                <w:sz w:val="18"/>
                <w:szCs w:val="18"/>
                <w:lang w:val="it-IT"/>
              </w:rPr>
            </w:pPr>
            <w:r w:rsidRPr="000E610C">
              <w:rPr>
                <w:rFonts w:ascii="Arial" w:hAnsi="Arial" w:cs="Arial"/>
                <w:bCs/>
                <w:color w:val="000000"/>
                <w:sz w:val="18"/>
                <w:szCs w:val="18"/>
              </w:rPr>
              <w:t>the same period last year (%)</w:t>
            </w:r>
          </w:p>
        </w:tc>
      </w:tr>
      <w:tr w:rsidR="000E610C" w:rsidRPr="000E610C" w14:paraId="6613697F" w14:textId="77777777" w:rsidTr="002F4D0B">
        <w:trPr>
          <w:cantSplit/>
          <w:trHeight w:val="570"/>
          <w:jc w:val="center"/>
        </w:trPr>
        <w:tc>
          <w:tcPr>
            <w:tcW w:w="3670" w:type="dxa"/>
            <w:vMerge/>
            <w:vAlign w:val="center"/>
            <w:hideMark/>
          </w:tcPr>
          <w:p w14:paraId="40ABE4A8" w14:textId="77777777" w:rsidR="000E610C" w:rsidRPr="000E610C" w:rsidRDefault="000E610C" w:rsidP="000E610C">
            <w:pPr>
              <w:spacing w:after="200" w:line="276" w:lineRule="auto"/>
              <w:rPr>
                <w:rFonts w:ascii="Arial" w:hAnsi="Arial" w:cs="Arial"/>
                <w:sz w:val="20"/>
                <w:szCs w:val="20"/>
                <w:lang w:val="it-IT"/>
              </w:rPr>
            </w:pPr>
          </w:p>
        </w:tc>
        <w:tc>
          <w:tcPr>
            <w:tcW w:w="1566" w:type="dxa"/>
            <w:tcBorders>
              <w:top w:val="single" w:sz="4" w:space="0" w:color="auto"/>
              <w:bottom w:val="single" w:sz="4" w:space="0" w:color="auto"/>
            </w:tcBorders>
            <w:shd w:val="clear" w:color="auto" w:fill="auto"/>
            <w:vAlign w:val="center"/>
            <w:hideMark/>
          </w:tcPr>
          <w:p w14:paraId="1D6FC6B8" w14:textId="77777777" w:rsidR="000E610C" w:rsidRPr="000E610C" w:rsidRDefault="000E610C" w:rsidP="000E610C">
            <w:pPr>
              <w:spacing w:before="60" w:after="60" w:line="276" w:lineRule="auto"/>
              <w:jc w:val="center"/>
              <w:rPr>
                <w:rFonts w:ascii="Arial" w:hAnsi="Arial" w:cs="Arial"/>
                <w:bCs/>
                <w:sz w:val="18"/>
                <w:szCs w:val="18"/>
                <w:lang w:val="en-GB"/>
              </w:rPr>
            </w:pPr>
            <w:r w:rsidRPr="000E610C">
              <w:rPr>
                <w:rFonts w:ascii="Arial" w:hAnsi="Arial" w:cs="Arial"/>
                <w:bCs/>
                <w:color w:val="000000"/>
                <w:sz w:val="18"/>
                <w:szCs w:val="18"/>
              </w:rPr>
              <w:t>Newly registered</w:t>
            </w:r>
          </w:p>
        </w:tc>
        <w:tc>
          <w:tcPr>
            <w:tcW w:w="1178" w:type="dxa"/>
            <w:tcBorders>
              <w:top w:val="single" w:sz="4" w:space="0" w:color="auto"/>
              <w:bottom w:val="single" w:sz="4" w:space="0" w:color="auto"/>
            </w:tcBorders>
            <w:shd w:val="clear" w:color="auto" w:fill="auto"/>
            <w:vAlign w:val="center"/>
            <w:hideMark/>
          </w:tcPr>
          <w:p w14:paraId="64273178" w14:textId="77777777" w:rsidR="000E610C" w:rsidRPr="000E610C" w:rsidRDefault="000E610C" w:rsidP="000E610C">
            <w:pPr>
              <w:spacing w:before="60" w:after="60" w:line="276" w:lineRule="auto"/>
              <w:jc w:val="center"/>
              <w:rPr>
                <w:rFonts w:ascii="Arial" w:hAnsi="Arial" w:cs="Arial"/>
                <w:bCs/>
                <w:color w:val="000000"/>
                <w:sz w:val="18"/>
                <w:szCs w:val="18"/>
              </w:rPr>
            </w:pPr>
            <w:r w:rsidRPr="000E610C">
              <w:rPr>
                <w:rFonts w:ascii="Arial" w:hAnsi="Arial" w:cs="Arial"/>
                <w:bCs/>
                <w:color w:val="000000"/>
                <w:sz w:val="18"/>
                <w:szCs w:val="18"/>
              </w:rPr>
              <w:t>Dissolution</w:t>
            </w:r>
          </w:p>
        </w:tc>
        <w:tc>
          <w:tcPr>
            <w:tcW w:w="1655" w:type="dxa"/>
            <w:tcBorders>
              <w:top w:val="single" w:sz="4" w:space="0" w:color="auto"/>
              <w:bottom w:val="single" w:sz="4" w:space="0" w:color="auto"/>
            </w:tcBorders>
            <w:shd w:val="clear" w:color="auto" w:fill="auto"/>
            <w:vAlign w:val="center"/>
            <w:hideMark/>
          </w:tcPr>
          <w:p w14:paraId="4EA1C460" w14:textId="77777777" w:rsidR="000E610C" w:rsidRPr="000E610C" w:rsidRDefault="000E610C" w:rsidP="000E610C">
            <w:pPr>
              <w:spacing w:before="60" w:after="60" w:line="276" w:lineRule="auto"/>
              <w:jc w:val="center"/>
              <w:rPr>
                <w:rFonts w:ascii="Arial" w:hAnsi="Arial" w:cs="Arial"/>
                <w:bCs/>
                <w:sz w:val="18"/>
                <w:szCs w:val="18"/>
                <w:lang w:val="en-GB"/>
              </w:rPr>
            </w:pPr>
            <w:r w:rsidRPr="000E610C">
              <w:rPr>
                <w:rFonts w:ascii="Arial" w:hAnsi="Arial" w:cs="Arial"/>
                <w:bCs/>
                <w:color w:val="000000"/>
                <w:sz w:val="18"/>
                <w:szCs w:val="18"/>
              </w:rPr>
              <w:t>Newly registered</w:t>
            </w:r>
          </w:p>
        </w:tc>
        <w:tc>
          <w:tcPr>
            <w:tcW w:w="1129" w:type="dxa"/>
            <w:tcBorders>
              <w:top w:val="single" w:sz="4" w:space="0" w:color="auto"/>
              <w:bottom w:val="single" w:sz="4" w:space="0" w:color="auto"/>
            </w:tcBorders>
            <w:shd w:val="clear" w:color="auto" w:fill="auto"/>
            <w:vAlign w:val="center"/>
            <w:hideMark/>
          </w:tcPr>
          <w:p w14:paraId="2EF7736A" w14:textId="77777777" w:rsidR="000E610C" w:rsidRPr="000E610C" w:rsidRDefault="000E610C" w:rsidP="000E610C">
            <w:pPr>
              <w:spacing w:before="60" w:after="60" w:line="276" w:lineRule="auto"/>
              <w:jc w:val="center"/>
              <w:rPr>
                <w:rFonts w:ascii="Arial" w:hAnsi="Arial" w:cs="Arial"/>
                <w:bCs/>
                <w:color w:val="000000"/>
                <w:sz w:val="18"/>
                <w:szCs w:val="18"/>
              </w:rPr>
            </w:pPr>
            <w:r w:rsidRPr="000E610C">
              <w:rPr>
                <w:rFonts w:ascii="Arial" w:hAnsi="Arial" w:cs="Arial"/>
                <w:bCs/>
                <w:color w:val="000000"/>
                <w:sz w:val="18"/>
                <w:szCs w:val="18"/>
              </w:rPr>
              <w:t>Dissolution</w:t>
            </w:r>
          </w:p>
        </w:tc>
      </w:tr>
      <w:tr w:rsidR="000E610C" w:rsidRPr="000E610C" w14:paraId="4C2BAEF2" w14:textId="77777777" w:rsidTr="002F4D0B">
        <w:trPr>
          <w:cantSplit/>
          <w:jc w:val="center"/>
        </w:trPr>
        <w:tc>
          <w:tcPr>
            <w:tcW w:w="3670" w:type="dxa"/>
            <w:shd w:val="clear" w:color="auto" w:fill="auto"/>
            <w:noWrap/>
            <w:vAlign w:val="bottom"/>
            <w:hideMark/>
          </w:tcPr>
          <w:p w14:paraId="11C30BA0" w14:textId="77777777" w:rsidR="000E610C" w:rsidRPr="000E610C" w:rsidRDefault="000E610C" w:rsidP="000E610C">
            <w:pPr>
              <w:spacing w:before="120" w:after="40"/>
              <w:rPr>
                <w:rFonts w:ascii="Arial" w:hAnsi="Arial" w:cs="Arial"/>
                <w:sz w:val="20"/>
                <w:szCs w:val="20"/>
                <w:lang w:val="en-GB"/>
              </w:rPr>
            </w:pPr>
            <w:r w:rsidRPr="000E610C">
              <w:rPr>
                <w:rFonts w:ascii="Arial" w:hAnsi="Arial" w:cs="Arial"/>
                <w:color w:val="000000"/>
                <w:sz w:val="20"/>
                <w:szCs w:val="20"/>
              </w:rPr>
              <w:t>Wholesale and retail trade; repair of motor vehicles and motorcycles</w:t>
            </w:r>
          </w:p>
        </w:tc>
        <w:tc>
          <w:tcPr>
            <w:tcW w:w="1566" w:type="dxa"/>
            <w:tcBorders>
              <w:top w:val="single" w:sz="4" w:space="0" w:color="auto"/>
            </w:tcBorders>
            <w:shd w:val="clear" w:color="auto" w:fill="auto"/>
            <w:noWrap/>
            <w:vAlign w:val="bottom"/>
          </w:tcPr>
          <w:p w14:paraId="02A1AE7A" w14:textId="77777777" w:rsidR="000E610C" w:rsidRPr="000E610C" w:rsidRDefault="000E610C" w:rsidP="000E610C">
            <w:pPr>
              <w:spacing w:before="120" w:after="40"/>
              <w:ind w:right="176"/>
              <w:jc w:val="right"/>
              <w:rPr>
                <w:rFonts w:ascii="Arial" w:hAnsi="Arial" w:cs="Arial"/>
                <w:sz w:val="20"/>
                <w:szCs w:val="20"/>
                <w:lang w:val="en-GB"/>
              </w:rPr>
            </w:pPr>
            <w:r w:rsidRPr="000E610C">
              <w:rPr>
                <w:rFonts w:ascii="Arial" w:hAnsi="Arial" w:cs="Arial"/>
                <w:sz w:val="20"/>
                <w:szCs w:val="20"/>
                <w:lang w:val="en-GB"/>
              </w:rPr>
              <w:t>59,961</w:t>
            </w:r>
          </w:p>
        </w:tc>
        <w:tc>
          <w:tcPr>
            <w:tcW w:w="1178" w:type="dxa"/>
            <w:tcBorders>
              <w:top w:val="single" w:sz="4" w:space="0" w:color="auto"/>
            </w:tcBorders>
            <w:shd w:val="clear" w:color="auto" w:fill="auto"/>
            <w:noWrap/>
            <w:vAlign w:val="bottom"/>
          </w:tcPr>
          <w:p w14:paraId="0FAF3E63" w14:textId="77777777" w:rsidR="000E610C" w:rsidRPr="000E610C" w:rsidRDefault="000E610C" w:rsidP="000E610C">
            <w:pPr>
              <w:spacing w:before="120" w:after="40"/>
              <w:ind w:right="176"/>
              <w:jc w:val="right"/>
              <w:rPr>
                <w:rFonts w:ascii="Arial" w:hAnsi="Arial" w:cs="Arial"/>
                <w:sz w:val="20"/>
                <w:szCs w:val="20"/>
                <w:lang w:val="en-GB"/>
              </w:rPr>
            </w:pPr>
            <w:r w:rsidRPr="000E610C">
              <w:rPr>
                <w:rFonts w:ascii="Arial" w:hAnsi="Arial" w:cs="Arial"/>
                <w:sz w:val="20"/>
                <w:szCs w:val="20"/>
                <w:lang w:val="en-GB"/>
              </w:rPr>
              <w:t>7,826</w:t>
            </w:r>
          </w:p>
        </w:tc>
        <w:tc>
          <w:tcPr>
            <w:tcW w:w="1655" w:type="dxa"/>
            <w:tcBorders>
              <w:top w:val="single" w:sz="4" w:space="0" w:color="auto"/>
            </w:tcBorders>
            <w:shd w:val="clear" w:color="auto" w:fill="auto"/>
            <w:noWrap/>
            <w:vAlign w:val="bottom"/>
          </w:tcPr>
          <w:p w14:paraId="50F91B0E" w14:textId="77777777" w:rsidR="000E610C" w:rsidRPr="000E610C" w:rsidRDefault="000E610C" w:rsidP="000E610C">
            <w:pPr>
              <w:spacing w:before="120" w:after="40"/>
              <w:ind w:right="316"/>
              <w:jc w:val="right"/>
              <w:rPr>
                <w:rFonts w:ascii="Arial" w:hAnsi="Arial" w:cs="Arial"/>
                <w:sz w:val="20"/>
                <w:szCs w:val="20"/>
                <w:lang w:val="en-GB"/>
              </w:rPr>
            </w:pPr>
            <w:r w:rsidRPr="000E610C">
              <w:rPr>
                <w:rFonts w:ascii="Arial" w:hAnsi="Arial" w:cs="Arial"/>
                <w:sz w:val="20"/>
                <w:szCs w:val="20"/>
                <w:lang w:val="en-GB"/>
              </w:rPr>
              <w:t>4.3</w:t>
            </w:r>
          </w:p>
        </w:tc>
        <w:tc>
          <w:tcPr>
            <w:tcW w:w="1129" w:type="dxa"/>
            <w:tcBorders>
              <w:top w:val="single" w:sz="4" w:space="0" w:color="auto"/>
            </w:tcBorders>
            <w:shd w:val="clear" w:color="auto" w:fill="auto"/>
            <w:noWrap/>
            <w:vAlign w:val="bottom"/>
          </w:tcPr>
          <w:p w14:paraId="7F8FD6AD" w14:textId="77777777" w:rsidR="000E610C" w:rsidRPr="000E610C" w:rsidRDefault="000E610C" w:rsidP="000E610C">
            <w:pPr>
              <w:spacing w:before="120" w:after="40"/>
              <w:ind w:right="176"/>
              <w:jc w:val="right"/>
              <w:rPr>
                <w:rFonts w:ascii="Arial" w:hAnsi="Arial" w:cs="Arial"/>
                <w:sz w:val="20"/>
                <w:szCs w:val="20"/>
                <w:lang w:val="en-GB"/>
              </w:rPr>
            </w:pPr>
            <w:r w:rsidRPr="000E610C">
              <w:rPr>
                <w:rFonts w:ascii="Arial" w:hAnsi="Arial" w:cs="Arial"/>
                <w:sz w:val="20"/>
                <w:szCs w:val="20"/>
                <w:lang w:val="en-GB"/>
              </w:rPr>
              <w:t>30.0</w:t>
            </w:r>
          </w:p>
        </w:tc>
      </w:tr>
      <w:tr w:rsidR="000E610C" w:rsidRPr="000E610C" w14:paraId="196F9775" w14:textId="77777777" w:rsidTr="002F4D0B">
        <w:trPr>
          <w:cantSplit/>
          <w:jc w:val="center"/>
        </w:trPr>
        <w:tc>
          <w:tcPr>
            <w:tcW w:w="3670" w:type="dxa"/>
            <w:shd w:val="clear" w:color="auto" w:fill="auto"/>
            <w:noWrap/>
            <w:vAlign w:val="bottom"/>
            <w:hideMark/>
          </w:tcPr>
          <w:p w14:paraId="42E35CBF" w14:textId="77777777" w:rsidR="000E610C" w:rsidRPr="000E610C" w:rsidRDefault="000E610C" w:rsidP="000E610C">
            <w:pPr>
              <w:spacing w:before="120" w:after="40"/>
              <w:rPr>
                <w:rFonts w:ascii="Arial" w:hAnsi="Arial" w:cs="Arial"/>
                <w:sz w:val="20"/>
                <w:szCs w:val="20"/>
                <w:lang w:val="en-GB"/>
              </w:rPr>
            </w:pPr>
            <w:r w:rsidRPr="000E610C">
              <w:rPr>
                <w:rFonts w:ascii="Arial" w:hAnsi="Arial" w:cs="Arial"/>
                <w:color w:val="000000"/>
                <w:sz w:val="20"/>
                <w:szCs w:val="20"/>
              </w:rPr>
              <w:t>Manufacturing</w:t>
            </w:r>
          </w:p>
        </w:tc>
        <w:tc>
          <w:tcPr>
            <w:tcW w:w="1566" w:type="dxa"/>
            <w:shd w:val="clear" w:color="auto" w:fill="auto"/>
            <w:noWrap/>
            <w:vAlign w:val="bottom"/>
          </w:tcPr>
          <w:p w14:paraId="2769D545" w14:textId="77777777" w:rsidR="000E610C" w:rsidRPr="000E610C" w:rsidRDefault="000E610C" w:rsidP="000E610C">
            <w:pPr>
              <w:spacing w:before="120" w:after="40"/>
              <w:ind w:right="176"/>
              <w:jc w:val="right"/>
              <w:rPr>
                <w:rFonts w:ascii="Arial" w:hAnsi="Arial" w:cs="Arial"/>
                <w:sz w:val="20"/>
                <w:szCs w:val="20"/>
                <w:lang w:val="en-GB"/>
              </w:rPr>
            </w:pPr>
            <w:r w:rsidRPr="000E610C">
              <w:rPr>
                <w:rFonts w:ascii="Arial" w:hAnsi="Arial" w:cs="Arial"/>
                <w:sz w:val="20"/>
                <w:szCs w:val="20"/>
                <w:lang w:val="en-GB"/>
              </w:rPr>
              <w:t>17,855</w:t>
            </w:r>
          </w:p>
        </w:tc>
        <w:tc>
          <w:tcPr>
            <w:tcW w:w="1178" w:type="dxa"/>
            <w:shd w:val="clear" w:color="auto" w:fill="auto"/>
            <w:noWrap/>
            <w:vAlign w:val="bottom"/>
          </w:tcPr>
          <w:p w14:paraId="22276F4A" w14:textId="77777777" w:rsidR="000E610C" w:rsidRPr="000E610C" w:rsidRDefault="000E610C" w:rsidP="000E610C">
            <w:pPr>
              <w:spacing w:before="120" w:after="40"/>
              <w:ind w:right="176"/>
              <w:jc w:val="right"/>
              <w:rPr>
                <w:rFonts w:ascii="Arial" w:hAnsi="Arial" w:cs="Arial"/>
                <w:sz w:val="20"/>
                <w:szCs w:val="20"/>
                <w:lang w:val="en-GB"/>
              </w:rPr>
            </w:pPr>
            <w:r w:rsidRPr="000E610C">
              <w:rPr>
                <w:rFonts w:ascii="Arial" w:hAnsi="Arial" w:cs="Arial"/>
                <w:sz w:val="20"/>
                <w:szCs w:val="20"/>
                <w:lang w:val="en-GB"/>
              </w:rPr>
              <w:t>2,058</w:t>
            </w:r>
          </w:p>
        </w:tc>
        <w:tc>
          <w:tcPr>
            <w:tcW w:w="1655" w:type="dxa"/>
            <w:shd w:val="clear" w:color="auto" w:fill="auto"/>
            <w:noWrap/>
            <w:vAlign w:val="bottom"/>
          </w:tcPr>
          <w:p w14:paraId="5DE53EB3" w14:textId="77777777" w:rsidR="000E610C" w:rsidRPr="000E610C" w:rsidRDefault="000E610C" w:rsidP="000E610C">
            <w:pPr>
              <w:spacing w:before="120" w:after="40"/>
              <w:ind w:right="316"/>
              <w:jc w:val="right"/>
              <w:rPr>
                <w:rFonts w:ascii="Arial" w:hAnsi="Arial" w:cs="Arial"/>
                <w:sz w:val="20"/>
                <w:szCs w:val="20"/>
                <w:lang w:val="en-GB"/>
              </w:rPr>
            </w:pPr>
            <w:r w:rsidRPr="000E610C">
              <w:rPr>
                <w:rFonts w:ascii="Arial" w:hAnsi="Arial" w:cs="Arial"/>
                <w:sz w:val="20"/>
                <w:szCs w:val="20"/>
                <w:lang w:val="en-GB"/>
              </w:rPr>
              <w:t>1.8</w:t>
            </w:r>
          </w:p>
        </w:tc>
        <w:tc>
          <w:tcPr>
            <w:tcW w:w="1129" w:type="dxa"/>
            <w:shd w:val="clear" w:color="auto" w:fill="auto"/>
            <w:noWrap/>
            <w:vAlign w:val="bottom"/>
          </w:tcPr>
          <w:p w14:paraId="3EA34A8B" w14:textId="77777777" w:rsidR="000E610C" w:rsidRPr="000E610C" w:rsidRDefault="000E610C" w:rsidP="000E610C">
            <w:pPr>
              <w:spacing w:before="120" w:after="40"/>
              <w:ind w:right="176"/>
              <w:jc w:val="right"/>
              <w:rPr>
                <w:rFonts w:ascii="Arial" w:hAnsi="Arial" w:cs="Arial"/>
                <w:sz w:val="20"/>
                <w:szCs w:val="20"/>
                <w:lang w:val="en-GB"/>
              </w:rPr>
            </w:pPr>
            <w:r w:rsidRPr="000E610C">
              <w:rPr>
                <w:rFonts w:ascii="Arial" w:hAnsi="Arial" w:cs="Arial"/>
                <w:sz w:val="20"/>
                <w:szCs w:val="20"/>
                <w:lang w:val="en-GB"/>
              </w:rPr>
              <w:t>18.1</w:t>
            </w:r>
          </w:p>
        </w:tc>
      </w:tr>
      <w:tr w:rsidR="000E610C" w:rsidRPr="000E610C" w14:paraId="6CA5B935" w14:textId="77777777" w:rsidTr="002F4D0B">
        <w:trPr>
          <w:cantSplit/>
          <w:jc w:val="center"/>
        </w:trPr>
        <w:tc>
          <w:tcPr>
            <w:tcW w:w="3670" w:type="dxa"/>
            <w:shd w:val="clear" w:color="auto" w:fill="auto"/>
            <w:noWrap/>
            <w:vAlign w:val="bottom"/>
            <w:hideMark/>
          </w:tcPr>
          <w:p w14:paraId="691218A0" w14:textId="77777777" w:rsidR="000E610C" w:rsidRPr="000E610C" w:rsidRDefault="000E610C" w:rsidP="000E610C">
            <w:pPr>
              <w:spacing w:before="120" w:after="40"/>
              <w:rPr>
                <w:rFonts w:ascii="Arial" w:hAnsi="Arial" w:cs="Arial"/>
                <w:sz w:val="20"/>
                <w:szCs w:val="20"/>
                <w:lang w:val="en-GB"/>
              </w:rPr>
            </w:pPr>
            <w:r w:rsidRPr="000E610C">
              <w:rPr>
                <w:rFonts w:ascii="Arial" w:hAnsi="Arial" w:cs="Arial"/>
                <w:color w:val="000000"/>
                <w:sz w:val="20"/>
                <w:szCs w:val="20"/>
              </w:rPr>
              <w:t>Construction</w:t>
            </w:r>
          </w:p>
        </w:tc>
        <w:tc>
          <w:tcPr>
            <w:tcW w:w="1566" w:type="dxa"/>
            <w:shd w:val="clear" w:color="auto" w:fill="auto"/>
            <w:noWrap/>
            <w:vAlign w:val="bottom"/>
          </w:tcPr>
          <w:p w14:paraId="7647AA02" w14:textId="77777777" w:rsidR="000E610C" w:rsidRPr="000E610C" w:rsidRDefault="000E610C" w:rsidP="000E610C">
            <w:pPr>
              <w:spacing w:before="120" w:after="40"/>
              <w:ind w:right="176"/>
              <w:jc w:val="right"/>
              <w:rPr>
                <w:rFonts w:ascii="Arial" w:hAnsi="Arial" w:cs="Arial"/>
                <w:sz w:val="20"/>
                <w:szCs w:val="20"/>
                <w:lang w:val="en-GB"/>
              </w:rPr>
            </w:pPr>
            <w:r w:rsidRPr="000E610C">
              <w:rPr>
                <w:rFonts w:ascii="Arial" w:hAnsi="Arial" w:cs="Arial"/>
                <w:sz w:val="20"/>
                <w:szCs w:val="20"/>
                <w:lang w:val="en-GB"/>
              </w:rPr>
              <w:t>14,836</w:t>
            </w:r>
          </w:p>
        </w:tc>
        <w:tc>
          <w:tcPr>
            <w:tcW w:w="1178" w:type="dxa"/>
            <w:shd w:val="clear" w:color="auto" w:fill="auto"/>
            <w:noWrap/>
            <w:vAlign w:val="bottom"/>
          </w:tcPr>
          <w:p w14:paraId="3652008B" w14:textId="77777777" w:rsidR="000E610C" w:rsidRPr="000E610C" w:rsidRDefault="000E610C" w:rsidP="000E610C">
            <w:pPr>
              <w:spacing w:before="120" w:after="40"/>
              <w:ind w:right="176"/>
              <w:jc w:val="right"/>
              <w:rPr>
                <w:rFonts w:ascii="Arial" w:hAnsi="Arial" w:cs="Arial"/>
                <w:sz w:val="20"/>
                <w:szCs w:val="20"/>
                <w:lang w:val="en-GB"/>
              </w:rPr>
            </w:pPr>
            <w:r w:rsidRPr="000E610C">
              <w:rPr>
                <w:rFonts w:ascii="Arial" w:hAnsi="Arial" w:cs="Arial"/>
                <w:sz w:val="20"/>
                <w:szCs w:val="20"/>
                <w:lang w:val="en-GB"/>
              </w:rPr>
              <w:t>1,278</w:t>
            </w:r>
          </w:p>
        </w:tc>
        <w:tc>
          <w:tcPr>
            <w:tcW w:w="1655" w:type="dxa"/>
            <w:shd w:val="clear" w:color="auto" w:fill="auto"/>
            <w:noWrap/>
            <w:vAlign w:val="bottom"/>
          </w:tcPr>
          <w:p w14:paraId="02EBAB0B" w14:textId="77777777" w:rsidR="000E610C" w:rsidRPr="000E610C" w:rsidRDefault="000E610C" w:rsidP="000E610C">
            <w:pPr>
              <w:spacing w:before="120" w:after="40"/>
              <w:ind w:right="316"/>
              <w:jc w:val="right"/>
              <w:rPr>
                <w:rFonts w:ascii="Arial" w:hAnsi="Arial" w:cs="Arial"/>
                <w:sz w:val="20"/>
                <w:szCs w:val="20"/>
                <w:lang w:val="en-GB"/>
              </w:rPr>
            </w:pPr>
            <w:r w:rsidRPr="000E610C">
              <w:rPr>
                <w:rFonts w:ascii="Arial" w:hAnsi="Arial" w:cs="Arial"/>
                <w:sz w:val="20"/>
                <w:szCs w:val="20"/>
                <w:lang w:val="en-GB"/>
              </w:rPr>
              <w:t>-7.2</w:t>
            </w:r>
          </w:p>
        </w:tc>
        <w:tc>
          <w:tcPr>
            <w:tcW w:w="1129" w:type="dxa"/>
            <w:shd w:val="clear" w:color="auto" w:fill="auto"/>
            <w:noWrap/>
            <w:vAlign w:val="bottom"/>
          </w:tcPr>
          <w:p w14:paraId="260D709B" w14:textId="77777777" w:rsidR="000E610C" w:rsidRPr="000E610C" w:rsidRDefault="000E610C" w:rsidP="000E610C">
            <w:pPr>
              <w:spacing w:before="120" w:after="40"/>
              <w:ind w:right="176"/>
              <w:jc w:val="right"/>
              <w:rPr>
                <w:rFonts w:ascii="Arial" w:hAnsi="Arial" w:cs="Arial"/>
                <w:sz w:val="20"/>
                <w:szCs w:val="20"/>
                <w:lang w:val="en-GB"/>
              </w:rPr>
            </w:pPr>
            <w:r w:rsidRPr="000E610C">
              <w:rPr>
                <w:rFonts w:ascii="Arial" w:hAnsi="Arial" w:cs="Arial"/>
                <w:sz w:val="20"/>
                <w:szCs w:val="20"/>
                <w:lang w:val="en-GB"/>
              </w:rPr>
              <w:t>10.0</w:t>
            </w:r>
          </w:p>
        </w:tc>
      </w:tr>
      <w:tr w:rsidR="000E610C" w:rsidRPr="000E610C" w14:paraId="4E8D8D0D" w14:textId="77777777" w:rsidTr="002F4D0B">
        <w:trPr>
          <w:cantSplit/>
          <w:jc w:val="center"/>
        </w:trPr>
        <w:tc>
          <w:tcPr>
            <w:tcW w:w="3670" w:type="dxa"/>
            <w:shd w:val="clear" w:color="auto" w:fill="auto"/>
            <w:noWrap/>
            <w:vAlign w:val="bottom"/>
            <w:hideMark/>
          </w:tcPr>
          <w:p w14:paraId="2CBF215D" w14:textId="77777777" w:rsidR="000E610C" w:rsidRPr="000E610C" w:rsidRDefault="000E610C" w:rsidP="000E610C">
            <w:pPr>
              <w:spacing w:before="120" w:after="40"/>
              <w:rPr>
                <w:rFonts w:ascii="Arial" w:hAnsi="Arial" w:cs="Arial"/>
                <w:sz w:val="20"/>
                <w:szCs w:val="20"/>
                <w:lang w:val="en-GB"/>
              </w:rPr>
            </w:pPr>
            <w:r w:rsidRPr="000E610C">
              <w:rPr>
                <w:rFonts w:ascii="Arial" w:hAnsi="Arial" w:cs="Arial"/>
                <w:color w:val="000000"/>
                <w:sz w:val="20"/>
                <w:szCs w:val="20"/>
              </w:rPr>
              <w:t>Real estate business</w:t>
            </w:r>
          </w:p>
        </w:tc>
        <w:tc>
          <w:tcPr>
            <w:tcW w:w="1566" w:type="dxa"/>
            <w:shd w:val="clear" w:color="auto" w:fill="auto"/>
            <w:noWrap/>
            <w:vAlign w:val="bottom"/>
          </w:tcPr>
          <w:p w14:paraId="3B6FB10C" w14:textId="77777777" w:rsidR="000E610C" w:rsidRPr="000E610C" w:rsidRDefault="000E610C" w:rsidP="000E610C">
            <w:pPr>
              <w:spacing w:before="120" w:after="40"/>
              <w:ind w:right="176"/>
              <w:jc w:val="right"/>
              <w:rPr>
                <w:rFonts w:ascii="Arial" w:hAnsi="Arial" w:cs="Arial"/>
                <w:sz w:val="20"/>
                <w:szCs w:val="20"/>
                <w:lang w:val="en-GB"/>
              </w:rPr>
            </w:pPr>
            <w:r w:rsidRPr="000E610C">
              <w:rPr>
                <w:rFonts w:ascii="Arial" w:hAnsi="Arial" w:cs="Arial"/>
                <w:sz w:val="20"/>
                <w:szCs w:val="20"/>
                <w:lang w:val="en-GB"/>
              </w:rPr>
              <w:t>4,241</w:t>
            </w:r>
          </w:p>
        </w:tc>
        <w:tc>
          <w:tcPr>
            <w:tcW w:w="1178" w:type="dxa"/>
            <w:shd w:val="clear" w:color="auto" w:fill="auto"/>
            <w:noWrap/>
            <w:vAlign w:val="bottom"/>
          </w:tcPr>
          <w:p w14:paraId="46E7DF0B" w14:textId="77777777" w:rsidR="000E610C" w:rsidRPr="000E610C" w:rsidRDefault="000E610C" w:rsidP="000E610C">
            <w:pPr>
              <w:spacing w:before="120" w:after="40"/>
              <w:ind w:right="176"/>
              <w:jc w:val="right"/>
              <w:rPr>
                <w:rFonts w:ascii="Arial" w:hAnsi="Arial" w:cs="Arial"/>
                <w:sz w:val="20"/>
                <w:szCs w:val="20"/>
                <w:lang w:val="en-GB"/>
              </w:rPr>
            </w:pPr>
            <w:r w:rsidRPr="000E610C">
              <w:rPr>
                <w:rFonts w:ascii="Arial" w:hAnsi="Arial" w:cs="Arial"/>
                <w:sz w:val="20"/>
                <w:szCs w:val="20"/>
                <w:lang w:val="en-GB"/>
              </w:rPr>
              <w:t>1,137</w:t>
            </w:r>
          </w:p>
        </w:tc>
        <w:tc>
          <w:tcPr>
            <w:tcW w:w="1655" w:type="dxa"/>
            <w:shd w:val="clear" w:color="auto" w:fill="auto"/>
            <w:noWrap/>
            <w:vAlign w:val="bottom"/>
          </w:tcPr>
          <w:p w14:paraId="48647FFD" w14:textId="77777777" w:rsidR="000E610C" w:rsidRPr="000E610C" w:rsidRDefault="000E610C" w:rsidP="000E610C">
            <w:pPr>
              <w:spacing w:before="120" w:after="40"/>
              <w:ind w:right="316"/>
              <w:jc w:val="right"/>
              <w:rPr>
                <w:rFonts w:ascii="Arial" w:hAnsi="Arial" w:cs="Arial"/>
                <w:sz w:val="20"/>
                <w:szCs w:val="20"/>
                <w:lang w:val="en-GB"/>
              </w:rPr>
            </w:pPr>
            <w:r w:rsidRPr="000E610C">
              <w:rPr>
                <w:rFonts w:ascii="Arial" w:hAnsi="Arial" w:cs="Arial"/>
                <w:sz w:val="20"/>
                <w:szCs w:val="20"/>
                <w:lang w:val="en-GB"/>
              </w:rPr>
              <w:t>-2.6</w:t>
            </w:r>
          </w:p>
        </w:tc>
        <w:tc>
          <w:tcPr>
            <w:tcW w:w="1129" w:type="dxa"/>
            <w:shd w:val="clear" w:color="auto" w:fill="auto"/>
            <w:noWrap/>
            <w:vAlign w:val="bottom"/>
          </w:tcPr>
          <w:p w14:paraId="528EE254" w14:textId="77777777" w:rsidR="000E610C" w:rsidRPr="000E610C" w:rsidRDefault="000E610C" w:rsidP="000E610C">
            <w:pPr>
              <w:spacing w:before="120" w:after="40"/>
              <w:ind w:right="176"/>
              <w:jc w:val="right"/>
              <w:rPr>
                <w:rFonts w:ascii="Arial" w:hAnsi="Arial" w:cs="Arial"/>
                <w:sz w:val="20"/>
                <w:szCs w:val="20"/>
                <w:lang w:val="en-GB"/>
              </w:rPr>
            </w:pPr>
            <w:r w:rsidRPr="000E610C">
              <w:rPr>
                <w:rFonts w:ascii="Arial" w:hAnsi="Arial" w:cs="Arial"/>
                <w:sz w:val="20"/>
                <w:szCs w:val="20"/>
                <w:lang w:val="en-GB"/>
              </w:rPr>
              <w:t>-1.0</w:t>
            </w:r>
          </w:p>
        </w:tc>
      </w:tr>
      <w:tr w:rsidR="000E610C" w:rsidRPr="000E610C" w14:paraId="0C4180B2" w14:textId="77777777" w:rsidTr="002F4D0B">
        <w:trPr>
          <w:cantSplit/>
          <w:jc w:val="center"/>
        </w:trPr>
        <w:tc>
          <w:tcPr>
            <w:tcW w:w="3670" w:type="dxa"/>
            <w:shd w:val="clear" w:color="auto" w:fill="auto"/>
            <w:noWrap/>
            <w:vAlign w:val="bottom"/>
            <w:hideMark/>
          </w:tcPr>
          <w:p w14:paraId="27691214" w14:textId="77777777" w:rsidR="000E610C" w:rsidRPr="000E610C" w:rsidRDefault="000E610C" w:rsidP="000E610C">
            <w:pPr>
              <w:spacing w:before="120" w:after="40"/>
              <w:rPr>
                <w:rFonts w:ascii="Arial" w:hAnsi="Arial" w:cs="Arial"/>
                <w:sz w:val="20"/>
                <w:szCs w:val="20"/>
                <w:lang w:val="en-GB"/>
              </w:rPr>
            </w:pPr>
            <w:r w:rsidRPr="000E610C">
              <w:rPr>
                <w:rFonts w:ascii="Arial" w:hAnsi="Arial" w:cs="Arial"/>
                <w:color w:val="000000"/>
                <w:sz w:val="20"/>
                <w:szCs w:val="20"/>
              </w:rPr>
              <w:t>Transportation and storage</w:t>
            </w:r>
          </w:p>
        </w:tc>
        <w:tc>
          <w:tcPr>
            <w:tcW w:w="1566" w:type="dxa"/>
            <w:shd w:val="clear" w:color="auto" w:fill="auto"/>
            <w:noWrap/>
            <w:vAlign w:val="bottom"/>
          </w:tcPr>
          <w:p w14:paraId="04E74164" w14:textId="77777777" w:rsidR="000E610C" w:rsidRPr="000E610C" w:rsidRDefault="000E610C" w:rsidP="000E610C">
            <w:pPr>
              <w:spacing w:before="120" w:after="40"/>
              <w:ind w:right="176"/>
              <w:jc w:val="right"/>
              <w:rPr>
                <w:rFonts w:ascii="Arial" w:hAnsi="Arial" w:cs="Arial"/>
                <w:sz w:val="20"/>
                <w:szCs w:val="20"/>
                <w:lang w:val="en-GB"/>
              </w:rPr>
            </w:pPr>
            <w:r w:rsidRPr="000E610C">
              <w:rPr>
                <w:rFonts w:ascii="Arial" w:hAnsi="Arial" w:cs="Arial"/>
                <w:sz w:val="20"/>
                <w:szCs w:val="20"/>
                <w:lang w:val="en-GB"/>
              </w:rPr>
              <w:t>7,939</w:t>
            </w:r>
          </w:p>
        </w:tc>
        <w:tc>
          <w:tcPr>
            <w:tcW w:w="1178" w:type="dxa"/>
            <w:shd w:val="clear" w:color="auto" w:fill="auto"/>
            <w:noWrap/>
            <w:vAlign w:val="bottom"/>
          </w:tcPr>
          <w:p w14:paraId="36C44EAE" w14:textId="77777777" w:rsidR="000E610C" w:rsidRPr="000E610C" w:rsidRDefault="000E610C" w:rsidP="000E610C">
            <w:pPr>
              <w:spacing w:before="120" w:after="40"/>
              <w:ind w:right="176"/>
              <w:jc w:val="right"/>
              <w:rPr>
                <w:rFonts w:ascii="Arial" w:hAnsi="Arial" w:cs="Arial"/>
                <w:sz w:val="20"/>
                <w:szCs w:val="20"/>
                <w:lang w:val="en-GB"/>
              </w:rPr>
            </w:pPr>
            <w:r w:rsidRPr="000E610C">
              <w:rPr>
                <w:rFonts w:ascii="Arial" w:hAnsi="Arial" w:cs="Arial"/>
                <w:sz w:val="20"/>
                <w:szCs w:val="20"/>
                <w:lang w:val="en-GB"/>
              </w:rPr>
              <w:t>732</w:t>
            </w:r>
          </w:p>
        </w:tc>
        <w:tc>
          <w:tcPr>
            <w:tcW w:w="1655" w:type="dxa"/>
            <w:shd w:val="clear" w:color="auto" w:fill="auto"/>
            <w:noWrap/>
            <w:vAlign w:val="bottom"/>
          </w:tcPr>
          <w:p w14:paraId="240B2947" w14:textId="77777777" w:rsidR="000E610C" w:rsidRPr="000E610C" w:rsidRDefault="000E610C" w:rsidP="000E610C">
            <w:pPr>
              <w:spacing w:before="120" w:after="40"/>
              <w:ind w:right="316"/>
              <w:jc w:val="right"/>
              <w:rPr>
                <w:rFonts w:ascii="Arial" w:hAnsi="Arial" w:cs="Arial"/>
                <w:sz w:val="20"/>
                <w:szCs w:val="20"/>
                <w:lang w:val="en-GB"/>
              </w:rPr>
            </w:pPr>
            <w:r w:rsidRPr="000E610C">
              <w:rPr>
                <w:rFonts w:ascii="Arial" w:hAnsi="Arial" w:cs="Arial"/>
                <w:sz w:val="20"/>
                <w:szCs w:val="20"/>
                <w:lang w:val="en-GB"/>
              </w:rPr>
              <w:t>8.2</w:t>
            </w:r>
          </w:p>
        </w:tc>
        <w:tc>
          <w:tcPr>
            <w:tcW w:w="1129" w:type="dxa"/>
            <w:shd w:val="clear" w:color="auto" w:fill="auto"/>
            <w:noWrap/>
            <w:vAlign w:val="bottom"/>
          </w:tcPr>
          <w:p w14:paraId="5B3B47E2" w14:textId="77777777" w:rsidR="000E610C" w:rsidRPr="000E610C" w:rsidRDefault="000E610C" w:rsidP="000E610C">
            <w:pPr>
              <w:spacing w:before="120" w:after="40"/>
              <w:ind w:right="176"/>
              <w:jc w:val="right"/>
              <w:rPr>
                <w:rFonts w:ascii="Arial" w:hAnsi="Arial" w:cs="Arial"/>
                <w:sz w:val="20"/>
                <w:szCs w:val="20"/>
                <w:lang w:val="en-GB"/>
              </w:rPr>
            </w:pPr>
            <w:r w:rsidRPr="000E610C">
              <w:rPr>
                <w:rFonts w:ascii="Arial" w:hAnsi="Arial" w:cs="Arial"/>
                <w:sz w:val="20"/>
                <w:szCs w:val="20"/>
                <w:lang w:val="en-GB"/>
              </w:rPr>
              <w:t>13.7</w:t>
            </w:r>
          </w:p>
        </w:tc>
      </w:tr>
      <w:tr w:rsidR="000E610C" w:rsidRPr="000E610C" w14:paraId="3F631D26" w14:textId="77777777" w:rsidTr="002F4D0B">
        <w:trPr>
          <w:cantSplit/>
          <w:jc w:val="center"/>
        </w:trPr>
        <w:tc>
          <w:tcPr>
            <w:tcW w:w="3670" w:type="dxa"/>
            <w:shd w:val="clear" w:color="auto" w:fill="auto"/>
            <w:noWrap/>
            <w:vAlign w:val="bottom"/>
            <w:hideMark/>
          </w:tcPr>
          <w:p w14:paraId="47F2ED1A" w14:textId="77777777" w:rsidR="000E610C" w:rsidRPr="000E610C" w:rsidRDefault="000E610C" w:rsidP="000E610C">
            <w:pPr>
              <w:spacing w:before="120" w:after="40"/>
              <w:rPr>
                <w:rFonts w:ascii="Arial" w:hAnsi="Arial" w:cs="Arial"/>
                <w:sz w:val="20"/>
                <w:szCs w:val="20"/>
                <w:lang w:val="en-GB"/>
              </w:rPr>
            </w:pPr>
            <w:r w:rsidRPr="000E610C">
              <w:rPr>
                <w:rFonts w:ascii="Arial" w:hAnsi="Arial" w:cs="Arial"/>
                <w:color w:val="000000"/>
                <w:sz w:val="20"/>
                <w:szCs w:val="20"/>
              </w:rPr>
              <w:t>Accommodation and catering service</w:t>
            </w:r>
          </w:p>
        </w:tc>
        <w:tc>
          <w:tcPr>
            <w:tcW w:w="1566" w:type="dxa"/>
            <w:shd w:val="clear" w:color="auto" w:fill="auto"/>
            <w:noWrap/>
            <w:vAlign w:val="bottom"/>
          </w:tcPr>
          <w:p w14:paraId="4D7EE060" w14:textId="77777777" w:rsidR="000E610C" w:rsidRPr="000E610C" w:rsidRDefault="000E610C" w:rsidP="000E610C">
            <w:pPr>
              <w:spacing w:before="120" w:after="40"/>
              <w:ind w:right="176"/>
              <w:jc w:val="right"/>
              <w:rPr>
                <w:rFonts w:ascii="Arial" w:hAnsi="Arial" w:cs="Arial"/>
                <w:sz w:val="20"/>
                <w:szCs w:val="20"/>
                <w:lang w:val="en-GB"/>
              </w:rPr>
            </w:pPr>
            <w:r w:rsidRPr="000E610C">
              <w:rPr>
                <w:rFonts w:ascii="Arial" w:hAnsi="Arial" w:cs="Arial"/>
                <w:sz w:val="20"/>
                <w:szCs w:val="20"/>
                <w:lang w:val="en-GB"/>
              </w:rPr>
              <w:t>5,429</w:t>
            </w:r>
          </w:p>
        </w:tc>
        <w:tc>
          <w:tcPr>
            <w:tcW w:w="1178" w:type="dxa"/>
            <w:shd w:val="clear" w:color="auto" w:fill="auto"/>
            <w:noWrap/>
            <w:vAlign w:val="bottom"/>
          </w:tcPr>
          <w:p w14:paraId="1772AC3A" w14:textId="77777777" w:rsidR="000E610C" w:rsidRPr="000E610C" w:rsidRDefault="000E610C" w:rsidP="000E610C">
            <w:pPr>
              <w:spacing w:before="120" w:after="40"/>
              <w:ind w:right="176"/>
              <w:jc w:val="right"/>
              <w:rPr>
                <w:rFonts w:ascii="Arial" w:hAnsi="Arial" w:cs="Arial"/>
                <w:sz w:val="20"/>
                <w:szCs w:val="20"/>
                <w:lang w:val="en-GB"/>
              </w:rPr>
            </w:pPr>
            <w:r w:rsidRPr="000E610C">
              <w:rPr>
                <w:rFonts w:ascii="Arial" w:hAnsi="Arial" w:cs="Arial"/>
                <w:sz w:val="20"/>
                <w:szCs w:val="20"/>
                <w:lang w:val="en-GB"/>
              </w:rPr>
              <w:t>867</w:t>
            </w:r>
          </w:p>
        </w:tc>
        <w:tc>
          <w:tcPr>
            <w:tcW w:w="1655" w:type="dxa"/>
            <w:shd w:val="clear" w:color="auto" w:fill="auto"/>
            <w:noWrap/>
            <w:vAlign w:val="bottom"/>
          </w:tcPr>
          <w:p w14:paraId="2545EF62" w14:textId="77777777" w:rsidR="000E610C" w:rsidRPr="000E610C" w:rsidRDefault="000E610C" w:rsidP="000E610C">
            <w:pPr>
              <w:spacing w:before="120" w:after="40"/>
              <w:ind w:right="316"/>
              <w:jc w:val="right"/>
              <w:rPr>
                <w:rFonts w:ascii="Arial" w:hAnsi="Arial" w:cs="Arial"/>
                <w:sz w:val="20"/>
                <w:szCs w:val="20"/>
                <w:lang w:val="en-GB"/>
              </w:rPr>
            </w:pPr>
            <w:r w:rsidRPr="000E610C">
              <w:rPr>
                <w:rFonts w:ascii="Arial" w:hAnsi="Arial" w:cs="Arial"/>
                <w:sz w:val="20"/>
                <w:szCs w:val="20"/>
                <w:lang w:val="en-GB"/>
              </w:rPr>
              <w:t>-13.4</w:t>
            </w:r>
          </w:p>
        </w:tc>
        <w:tc>
          <w:tcPr>
            <w:tcW w:w="1129" w:type="dxa"/>
            <w:shd w:val="clear" w:color="auto" w:fill="auto"/>
            <w:noWrap/>
            <w:vAlign w:val="bottom"/>
          </w:tcPr>
          <w:p w14:paraId="06FD52EE" w14:textId="77777777" w:rsidR="000E610C" w:rsidRPr="000E610C" w:rsidRDefault="000E610C" w:rsidP="000E610C">
            <w:pPr>
              <w:spacing w:before="120" w:after="40"/>
              <w:ind w:right="176"/>
              <w:jc w:val="right"/>
              <w:rPr>
                <w:rFonts w:ascii="Arial" w:hAnsi="Arial" w:cs="Arial"/>
                <w:sz w:val="20"/>
                <w:szCs w:val="20"/>
                <w:lang w:val="en-GB"/>
              </w:rPr>
            </w:pPr>
            <w:r w:rsidRPr="000E610C">
              <w:rPr>
                <w:rFonts w:ascii="Arial" w:hAnsi="Arial" w:cs="Arial"/>
                <w:sz w:val="20"/>
                <w:szCs w:val="20"/>
                <w:lang w:val="en-GB"/>
              </w:rPr>
              <w:t>3.0</w:t>
            </w:r>
          </w:p>
        </w:tc>
      </w:tr>
      <w:tr w:rsidR="000E610C" w:rsidRPr="000E610C" w14:paraId="30F8D872" w14:textId="77777777" w:rsidTr="002F4D0B">
        <w:trPr>
          <w:cantSplit/>
          <w:jc w:val="center"/>
        </w:trPr>
        <w:tc>
          <w:tcPr>
            <w:tcW w:w="3670" w:type="dxa"/>
            <w:tcBorders>
              <w:bottom w:val="single" w:sz="4" w:space="0" w:color="auto"/>
            </w:tcBorders>
            <w:shd w:val="clear" w:color="auto" w:fill="auto"/>
            <w:noWrap/>
            <w:vAlign w:val="bottom"/>
          </w:tcPr>
          <w:p w14:paraId="5862067B" w14:textId="77777777" w:rsidR="000E610C" w:rsidRPr="000E610C" w:rsidRDefault="000E610C" w:rsidP="000E610C">
            <w:pPr>
              <w:spacing w:before="120" w:after="40"/>
              <w:rPr>
                <w:rFonts w:ascii="Arial" w:hAnsi="Arial" w:cs="Arial"/>
                <w:sz w:val="20"/>
                <w:szCs w:val="20"/>
                <w:lang w:val="en-GB"/>
              </w:rPr>
            </w:pPr>
            <w:r w:rsidRPr="000E610C">
              <w:rPr>
                <w:rFonts w:ascii="Arial" w:hAnsi="Arial" w:cs="Arial"/>
                <w:color w:val="000000"/>
                <w:sz w:val="20"/>
                <w:szCs w:val="20"/>
              </w:rPr>
              <w:t>Production and distribution of electricity, water, gas</w:t>
            </w:r>
          </w:p>
        </w:tc>
        <w:tc>
          <w:tcPr>
            <w:tcW w:w="1566" w:type="dxa"/>
            <w:tcBorders>
              <w:bottom w:val="single" w:sz="4" w:space="0" w:color="auto"/>
            </w:tcBorders>
            <w:shd w:val="clear" w:color="auto" w:fill="auto"/>
            <w:noWrap/>
            <w:vAlign w:val="bottom"/>
          </w:tcPr>
          <w:p w14:paraId="439F880E" w14:textId="77777777" w:rsidR="000E610C" w:rsidRPr="000E610C" w:rsidRDefault="000E610C" w:rsidP="000E610C">
            <w:pPr>
              <w:spacing w:before="120" w:after="40"/>
              <w:ind w:right="176"/>
              <w:jc w:val="right"/>
              <w:rPr>
                <w:rFonts w:ascii="Arial" w:hAnsi="Arial" w:cs="Arial"/>
                <w:sz w:val="20"/>
                <w:szCs w:val="20"/>
                <w:lang w:val="en-GB"/>
              </w:rPr>
            </w:pPr>
            <w:r w:rsidRPr="000E610C">
              <w:rPr>
                <w:rFonts w:ascii="Arial" w:hAnsi="Arial" w:cs="Arial"/>
                <w:sz w:val="20"/>
                <w:szCs w:val="20"/>
                <w:lang w:val="en-GB"/>
              </w:rPr>
              <w:t>1,092</w:t>
            </w:r>
          </w:p>
        </w:tc>
        <w:tc>
          <w:tcPr>
            <w:tcW w:w="1178" w:type="dxa"/>
            <w:tcBorders>
              <w:bottom w:val="single" w:sz="4" w:space="0" w:color="auto"/>
            </w:tcBorders>
            <w:shd w:val="clear" w:color="auto" w:fill="auto"/>
            <w:noWrap/>
            <w:vAlign w:val="bottom"/>
          </w:tcPr>
          <w:p w14:paraId="5A336617" w14:textId="77777777" w:rsidR="000E610C" w:rsidRPr="000E610C" w:rsidRDefault="000E610C" w:rsidP="000E610C">
            <w:pPr>
              <w:spacing w:before="120" w:after="40"/>
              <w:ind w:right="176"/>
              <w:jc w:val="right"/>
              <w:rPr>
                <w:rFonts w:ascii="Arial" w:hAnsi="Arial" w:cs="Arial"/>
                <w:sz w:val="20"/>
                <w:szCs w:val="20"/>
                <w:lang w:val="en-GB"/>
              </w:rPr>
            </w:pPr>
            <w:r w:rsidRPr="000E610C">
              <w:rPr>
                <w:rFonts w:ascii="Arial" w:hAnsi="Arial" w:cs="Arial"/>
                <w:sz w:val="20"/>
                <w:szCs w:val="20"/>
                <w:lang w:val="en-GB"/>
              </w:rPr>
              <w:t>228</w:t>
            </w:r>
          </w:p>
        </w:tc>
        <w:tc>
          <w:tcPr>
            <w:tcW w:w="1655" w:type="dxa"/>
            <w:tcBorders>
              <w:bottom w:val="single" w:sz="4" w:space="0" w:color="auto"/>
            </w:tcBorders>
            <w:shd w:val="clear" w:color="auto" w:fill="auto"/>
            <w:noWrap/>
            <w:vAlign w:val="bottom"/>
          </w:tcPr>
          <w:p w14:paraId="00E05481" w14:textId="77777777" w:rsidR="000E610C" w:rsidRPr="000E610C" w:rsidRDefault="000E610C" w:rsidP="000E610C">
            <w:pPr>
              <w:spacing w:before="120" w:after="40"/>
              <w:ind w:right="316"/>
              <w:jc w:val="right"/>
              <w:rPr>
                <w:rFonts w:ascii="Arial" w:hAnsi="Arial" w:cs="Arial"/>
                <w:sz w:val="20"/>
                <w:szCs w:val="20"/>
                <w:lang w:val="en-GB"/>
              </w:rPr>
            </w:pPr>
            <w:r w:rsidRPr="000E610C">
              <w:rPr>
                <w:rFonts w:ascii="Arial" w:hAnsi="Arial" w:cs="Arial"/>
                <w:sz w:val="20"/>
                <w:szCs w:val="20"/>
                <w:lang w:val="en-GB"/>
              </w:rPr>
              <w:t>5.9</w:t>
            </w:r>
          </w:p>
        </w:tc>
        <w:tc>
          <w:tcPr>
            <w:tcW w:w="1129" w:type="dxa"/>
            <w:tcBorders>
              <w:bottom w:val="single" w:sz="4" w:space="0" w:color="auto"/>
            </w:tcBorders>
            <w:shd w:val="clear" w:color="auto" w:fill="auto"/>
            <w:noWrap/>
            <w:vAlign w:val="bottom"/>
          </w:tcPr>
          <w:p w14:paraId="39168BAA" w14:textId="77777777" w:rsidR="000E610C" w:rsidRPr="000E610C" w:rsidRDefault="000E610C" w:rsidP="000E610C">
            <w:pPr>
              <w:spacing w:before="120" w:after="40"/>
              <w:ind w:right="176"/>
              <w:jc w:val="right"/>
              <w:rPr>
                <w:rFonts w:ascii="Arial" w:hAnsi="Arial" w:cs="Arial"/>
                <w:sz w:val="20"/>
                <w:szCs w:val="20"/>
                <w:lang w:val="en-GB"/>
              </w:rPr>
            </w:pPr>
            <w:r w:rsidRPr="000E610C">
              <w:rPr>
                <w:rFonts w:ascii="Arial" w:hAnsi="Arial" w:cs="Arial"/>
                <w:sz w:val="20"/>
                <w:szCs w:val="20"/>
                <w:lang w:val="en-GB"/>
              </w:rPr>
              <w:t>-14.3</w:t>
            </w:r>
          </w:p>
        </w:tc>
      </w:tr>
    </w:tbl>
    <w:p w14:paraId="22B6678B" w14:textId="77777777" w:rsidR="00220A6B" w:rsidRPr="0029473F" w:rsidRDefault="00220A6B" w:rsidP="00220A6B">
      <w:pPr>
        <w:spacing w:line="276" w:lineRule="auto"/>
        <w:rPr>
          <w:color w:val="000000" w:themeColor="text1"/>
        </w:rPr>
      </w:pPr>
    </w:p>
    <w:p w14:paraId="393D897A" w14:textId="77777777" w:rsidR="000E610C" w:rsidRPr="000E610C" w:rsidRDefault="000E610C" w:rsidP="000E610C">
      <w:pPr>
        <w:spacing w:before="120" w:after="120" w:line="264" w:lineRule="auto"/>
        <w:ind w:firstLine="720"/>
        <w:jc w:val="both"/>
        <w:rPr>
          <w:b/>
          <w:bCs/>
          <w:lang w:val="af-ZA"/>
        </w:rPr>
      </w:pPr>
      <w:r w:rsidRPr="000E610C">
        <w:rPr>
          <w:b/>
          <w:bCs/>
          <w:lang w:val="af-ZA"/>
        </w:rPr>
        <w:t>4. Investment</w:t>
      </w:r>
    </w:p>
    <w:p w14:paraId="08CFCFDC" w14:textId="77777777" w:rsidR="000E610C" w:rsidRPr="000E610C" w:rsidRDefault="000E610C" w:rsidP="000E610C">
      <w:pPr>
        <w:spacing w:before="120" w:after="120" w:line="264" w:lineRule="auto"/>
        <w:ind w:firstLine="720"/>
        <w:jc w:val="both"/>
        <w:rPr>
          <w:bCs/>
          <w:i/>
          <w:lang w:val="en"/>
        </w:rPr>
      </w:pPr>
      <w:r w:rsidRPr="000E610C">
        <w:rPr>
          <w:i/>
          <w:lang w:val="it-IT"/>
        </w:rPr>
        <w:t xml:space="preserve">Investment capital from the State budget continues to be </w:t>
      </w:r>
      <w:r w:rsidRPr="000E610C">
        <w:rPr>
          <w:i/>
          <w:lang w:val="nl-NL"/>
        </w:rPr>
        <w:t xml:space="preserve">focused on and promoted </w:t>
      </w:r>
      <w:r w:rsidRPr="000E610C">
        <w:rPr>
          <w:bCs/>
          <w:i/>
          <w:lang w:val="nl-NL"/>
        </w:rPr>
        <w:t xml:space="preserve">by ministries, branches and localities . </w:t>
      </w:r>
      <w:r w:rsidRPr="000E610C">
        <w:rPr>
          <w:i/>
          <w:lang w:val="it-IT"/>
        </w:rPr>
        <w:t xml:space="preserve">In the eleven months of 2024, investment capital implemented from the State budget is estimated to reach 73.5% of the annual plan, up 2.4% over the same period last year. Foreign direct investment (FDI) implemented in Vietnam in the eleven months of 2024 is estimated at 21.68 billion USD, up 7.1% over the same period last year </w:t>
      </w:r>
      <w:r w:rsidRPr="000E610C">
        <w:rPr>
          <w:i/>
          <w:iCs/>
          <w:lang w:val="de-DE"/>
        </w:rPr>
        <w:t>.</w:t>
      </w:r>
    </w:p>
    <w:p w14:paraId="2765E9CA" w14:textId="77777777" w:rsidR="000E610C" w:rsidRPr="000E610C" w:rsidRDefault="000E610C" w:rsidP="000E610C">
      <w:pPr>
        <w:spacing w:before="120" w:after="120" w:line="264" w:lineRule="auto"/>
        <w:ind w:firstLine="720"/>
        <w:jc w:val="both"/>
        <w:rPr>
          <w:lang w:val="af-ZA"/>
        </w:rPr>
      </w:pPr>
      <w:r w:rsidRPr="000E610C">
        <w:rPr>
          <w:lang w:val="af-ZA"/>
        </w:rPr>
        <w:t>Investment capital implemented from the State budget in November 2024 is estimated at nearly 75.9 trillion VND, up 5.6% over the same period last year, including: Centrally managed capital reached 13.2 trillion VND, up 7.8%; locally managed capital 62.7 trillion VND, up 5.1%. In the eleven months of 2024, investment capital implemented from the State budget is estimated at 572.0 trillion VND, equal to 73.5% of the annual plan and up 2.4% over the same period last year (the same period in 2023 was equal to 76.3% and up 24.3%). Specifically:</w:t>
      </w:r>
    </w:p>
    <w:p w14:paraId="0BC6AD13" w14:textId="77777777" w:rsidR="000E610C" w:rsidRPr="000E610C" w:rsidRDefault="000E610C" w:rsidP="000E610C">
      <w:pPr>
        <w:spacing w:before="120" w:after="120" w:line="264" w:lineRule="auto"/>
        <w:ind w:firstLine="720"/>
        <w:jc w:val="both"/>
        <w:rPr>
          <w:lang w:val="af-ZA"/>
        </w:rPr>
      </w:pPr>
      <w:r w:rsidRPr="000E610C">
        <w:rPr>
          <w:bCs/>
          <w:iCs/>
          <w:lang w:val="af-ZA"/>
        </w:rPr>
        <w:lastRenderedPageBreak/>
        <w:t xml:space="preserve">- </w:t>
      </w:r>
      <w:r w:rsidRPr="000E610C">
        <w:rPr>
          <w:lang w:val="af-ZA"/>
        </w:rPr>
        <w:t>The realized investment capital managed by the Central Government is estimated at 100.1 trillion VND, equal to 79.6% of the annual plan and up 0.5% over the same period last year. Of which, the Ministry of Transport reached 62.7 trillion VND, down 14.0%; the Ministry of Agriculture and Rural Development reached 8.5 trillion VND, up 20.2%; the Ministry of Health reached 998.2 billion VND, up 26.5%; the Ministry of Education and Training reached 950.9 billion VND, up 1.2%; the Ministry of Natural Resources and Environment reached 645.4 billion VND, down 43.7%; the Ministry of Culture, Sports and Tourism reached 599.7 billion VND, down 24.3%; the Ministry of Industry and Trade reached 528.7 billion VND, up 6.6%.</w:t>
      </w:r>
    </w:p>
    <w:p w14:paraId="5FEA5857" w14:textId="77777777" w:rsidR="000E610C" w:rsidRPr="000E610C" w:rsidRDefault="000E610C" w:rsidP="000E610C">
      <w:pPr>
        <w:spacing w:before="120" w:after="120" w:line="264" w:lineRule="auto"/>
        <w:ind w:firstLine="720"/>
        <w:jc w:val="both"/>
        <w:rPr>
          <w:bCs/>
          <w:iCs/>
          <w:lang w:val="af-ZA"/>
        </w:rPr>
      </w:pPr>
      <w:r w:rsidRPr="000E610C">
        <w:rPr>
          <w:bCs/>
          <w:iCs/>
          <w:lang w:val="af-ZA"/>
        </w:rPr>
        <w:t>- Realized investment capital managed by localities is estimated at 471.9 trillion VND, equal to 72.3% of the annual plan and up 2.8% over the same period last year, of which:</w:t>
      </w:r>
    </w:p>
    <w:p w14:paraId="3C4BE26A" w14:textId="77777777" w:rsidR="000E610C" w:rsidRPr="000E610C" w:rsidRDefault="000E610C" w:rsidP="000E610C">
      <w:pPr>
        <w:spacing w:before="120" w:after="120" w:line="264" w:lineRule="auto"/>
        <w:ind w:firstLine="720"/>
        <w:jc w:val="both"/>
        <w:rPr>
          <w:bCs/>
          <w:iCs/>
          <w:lang w:val="af-ZA"/>
        </w:rPr>
      </w:pPr>
      <w:r w:rsidRPr="000E610C">
        <w:rPr>
          <w:bCs/>
          <w:iCs/>
          <w:lang w:val="af-ZA"/>
        </w:rPr>
        <w:t>Provincial State budget capital reached nearly 316.8 trillion VND, equal to 68.5% and increased by 1.2% over the same period in 2023;</w:t>
      </w:r>
    </w:p>
    <w:p w14:paraId="4639CA0F" w14:textId="77777777" w:rsidR="000E610C" w:rsidRPr="000E610C" w:rsidRDefault="000E610C" w:rsidP="000E610C">
      <w:pPr>
        <w:spacing w:before="120" w:after="120" w:line="264" w:lineRule="auto"/>
        <w:ind w:firstLine="720"/>
        <w:jc w:val="both"/>
        <w:rPr>
          <w:rFonts w:eastAsia="Calibri"/>
          <w:bCs/>
          <w:iCs/>
          <w:lang w:val="af-ZA"/>
        </w:rPr>
      </w:pPr>
      <w:r w:rsidRPr="000E610C">
        <w:rPr>
          <w:rFonts w:eastAsia="Calibri"/>
          <w:bCs/>
          <w:iCs/>
          <w:lang w:val="af-ZA"/>
        </w:rPr>
        <w:t>District-level State budget capital reached 133.9 trillion VND, equal to 79.6% and increased by 6.7%;</w:t>
      </w:r>
    </w:p>
    <w:p w14:paraId="32097B37" w14:textId="77777777" w:rsidR="000E610C" w:rsidRPr="000E610C" w:rsidRDefault="000E610C" w:rsidP="000E610C">
      <w:pPr>
        <w:spacing w:before="120" w:after="120" w:line="264" w:lineRule="auto"/>
        <w:ind w:firstLine="720"/>
        <w:jc w:val="both"/>
        <w:rPr>
          <w:bCs/>
          <w:iCs/>
          <w:lang w:val="af-ZA"/>
        </w:rPr>
      </w:pPr>
      <w:r w:rsidRPr="000E610C">
        <w:rPr>
          <w:bCs/>
          <w:iCs/>
          <w:lang w:val="af-ZA"/>
        </w:rPr>
        <w:t>State budget capital at commune level reached 21.2 trillion VND, equal to 96.7% and increased by 3.2%.</w:t>
      </w:r>
    </w:p>
    <w:p w14:paraId="30C8B7AF" w14:textId="77777777" w:rsidR="000E610C" w:rsidRPr="000E610C" w:rsidRDefault="000E610C" w:rsidP="000E610C">
      <w:pPr>
        <w:spacing w:before="120" w:after="120" w:line="264" w:lineRule="auto"/>
        <w:ind w:firstLine="720"/>
        <w:jc w:val="both"/>
        <w:rPr>
          <w:rFonts w:ascii="Arial" w:hAnsi="Arial" w:cs="Arial"/>
          <w:b/>
          <w:bCs/>
          <w:lang w:val="af-ZA"/>
        </w:rPr>
      </w:pPr>
      <w:r w:rsidRPr="000E610C">
        <w:rPr>
          <w:bCs/>
          <w:iCs/>
          <w:lang w:val="af-ZA"/>
        </w:rPr>
        <w:t>Investment capital implemented from the State budget in the first eleven months of 2024 of a number of provinces and centrally run cities is as follows:</w:t>
      </w:r>
    </w:p>
    <w:p w14:paraId="1F3B9216" w14:textId="77777777" w:rsidR="000E610C" w:rsidRPr="000E610C" w:rsidRDefault="000E610C" w:rsidP="000E610C">
      <w:pPr>
        <w:spacing w:line="276" w:lineRule="auto"/>
        <w:jc w:val="center"/>
        <w:rPr>
          <w:rFonts w:ascii="Arial" w:hAnsi="Arial" w:cs="Arial"/>
          <w:b/>
          <w:bCs/>
          <w:sz w:val="24"/>
          <w:szCs w:val="24"/>
          <w:lang w:val="af-ZA"/>
        </w:rPr>
      </w:pPr>
      <w:r w:rsidRPr="000E610C">
        <w:rPr>
          <w:rFonts w:ascii="Arial" w:hAnsi="Arial" w:cs="Arial"/>
          <w:b/>
          <w:bCs/>
          <w:sz w:val="24"/>
          <w:szCs w:val="24"/>
          <w:lang w:val="af-ZA"/>
        </w:rPr>
        <w:t>Figure 6. Investment capital implemented from the State budget</w:t>
      </w:r>
    </w:p>
    <w:p w14:paraId="4B6023D8" w14:textId="77777777" w:rsidR="000E610C" w:rsidRPr="000E610C" w:rsidRDefault="000E610C" w:rsidP="000E610C">
      <w:pPr>
        <w:spacing w:line="276" w:lineRule="auto"/>
        <w:jc w:val="center"/>
        <w:rPr>
          <w:rFonts w:ascii="Arial" w:hAnsi="Arial" w:cs="Arial"/>
          <w:b/>
          <w:bCs/>
          <w:sz w:val="24"/>
          <w:szCs w:val="24"/>
          <w:lang w:val="af-ZA"/>
        </w:rPr>
      </w:pPr>
      <w:r w:rsidRPr="000E610C">
        <w:rPr>
          <w:rFonts w:ascii="Arial" w:hAnsi="Arial" w:cs="Arial"/>
          <w:b/>
          <w:bCs/>
          <w:sz w:val="24"/>
          <w:szCs w:val="24"/>
          <w:lang w:val="af-ZA"/>
        </w:rPr>
        <w:t>May 11, 2023-2024 of some localities</w:t>
      </w:r>
    </w:p>
    <w:p w14:paraId="424BE4BE" w14:textId="77777777" w:rsidR="000E610C" w:rsidRPr="000E610C" w:rsidRDefault="000E610C" w:rsidP="000E610C">
      <w:pPr>
        <w:spacing w:line="276" w:lineRule="auto"/>
        <w:jc w:val="center"/>
        <w:rPr>
          <w:rFonts w:ascii="Arial" w:hAnsi="Arial" w:cs="Arial"/>
          <w:b/>
          <w:bCs/>
          <w:sz w:val="24"/>
          <w:szCs w:val="24"/>
          <w:lang w:val="af-ZA"/>
        </w:rPr>
      </w:pPr>
      <w:r w:rsidRPr="000E610C">
        <w:rPr>
          <w:noProof/>
          <w:lang w:val="en"/>
        </w:rPr>
        <w:drawing>
          <wp:inline distT="0" distB="0" distL="0" distR="0" wp14:anchorId="3707E22C" wp14:editId="447C8F58">
            <wp:extent cx="5943600" cy="3200400"/>
            <wp:effectExtent l="0" t="0" r="0" b="0"/>
            <wp:docPr id="1312980459" name="Chart 1">
              <a:extLst xmlns:a="http://schemas.openxmlformats.org/drawingml/2006/main">
                <a:ext uri="{FF2B5EF4-FFF2-40B4-BE49-F238E27FC236}">
                  <a16:creationId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4932D9A" w14:textId="77777777" w:rsidR="000E610C" w:rsidRPr="000E610C" w:rsidRDefault="000E610C" w:rsidP="000E610C">
      <w:pPr>
        <w:spacing w:line="276" w:lineRule="auto"/>
        <w:jc w:val="center"/>
        <w:rPr>
          <w:rFonts w:ascii="Arial" w:hAnsi="Arial" w:cs="Arial"/>
          <w:b/>
          <w:bCs/>
          <w:sz w:val="24"/>
          <w:szCs w:val="24"/>
          <w:lang w:val="af-ZA"/>
        </w:rPr>
      </w:pPr>
    </w:p>
    <w:p w14:paraId="4D497251" w14:textId="77777777" w:rsidR="000E610C" w:rsidRPr="000E610C" w:rsidRDefault="000E610C" w:rsidP="000E610C">
      <w:pPr>
        <w:spacing w:line="276" w:lineRule="auto"/>
        <w:jc w:val="center"/>
        <w:rPr>
          <w:rFonts w:ascii="Arial" w:hAnsi="Arial" w:cs="Arial"/>
          <w:b/>
          <w:bCs/>
          <w:sz w:val="24"/>
          <w:szCs w:val="24"/>
          <w:lang w:val="af-ZA"/>
        </w:rPr>
      </w:pPr>
    </w:p>
    <w:p w14:paraId="15B3738E" w14:textId="77777777" w:rsidR="000E610C" w:rsidRPr="000E610C" w:rsidRDefault="000E610C" w:rsidP="000E610C">
      <w:pPr>
        <w:spacing w:after="120" w:line="264" w:lineRule="auto"/>
        <w:ind w:firstLine="720"/>
        <w:jc w:val="both"/>
        <w:rPr>
          <w:iCs/>
          <w:spacing w:val="-2"/>
          <w:lang w:val="de-DE"/>
        </w:rPr>
      </w:pPr>
      <w:r w:rsidRPr="000E610C">
        <w:rPr>
          <w:iCs/>
          <w:spacing w:val="-2"/>
          <w:lang w:val="de-DE"/>
        </w:rPr>
        <w:lastRenderedPageBreak/>
        <w:t xml:space="preserve">Total foreign investment capital registered in Vietnam </w:t>
      </w:r>
      <w:r w:rsidRPr="000E610C">
        <w:rPr>
          <w:iCs/>
          <w:spacing w:val="-2"/>
          <w:vertAlign w:val="superscript"/>
          <w:lang w:val="de-DE"/>
        </w:rPr>
        <w:footnoteReference w:id="12"/>
      </w:r>
      <w:r w:rsidRPr="000E610C">
        <w:rPr>
          <w:iCs/>
          <w:spacing w:val="-2"/>
          <w:lang w:val="de-DE"/>
        </w:rPr>
        <w:t>as of November 30, 2024, including: newly registered capital, adjusted registered capital and capital contribution and share purchase value of foreign investors, reached 31.38 billion USD, up 1.0% over the same period last year.</w:t>
      </w:r>
    </w:p>
    <w:p w14:paraId="2064D82B" w14:textId="77777777" w:rsidR="000E610C" w:rsidRPr="000E610C" w:rsidRDefault="000E610C" w:rsidP="000E610C">
      <w:pPr>
        <w:spacing w:before="120" w:after="120"/>
        <w:jc w:val="center"/>
        <w:rPr>
          <w:rFonts w:ascii="Arial" w:hAnsi="Arial" w:cs="Arial"/>
          <w:b/>
          <w:bCs/>
          <w:sz w:val="24"/>
          <w:szCs w:val="24"/>
          <w:lang w:val="de-DE"/>
        </w:rPr>
      </w:pPr>
      <w:r w:rsidRPr="000E610C">
        <w:rPr>
          <w:rFonts w:ascii="Arial" w:hAnsi="Arial" w:cs="Arial"/>
          <w:b/>
          <w:bCs/>
          <w:sz w:val="24"/>
          <w:szCs w:val="24"/>
          <w:lang w:val="de-DE"/>
        </w:rPr>
        <w:t xml:space="preserve">Figure 7. Foreign investment capital registered in Vietnam </w:t>
      </w:r>
      <w:r w:rsidRPr="000E610C">
        <w:rPr>
          <w:rFonts w:ascii="Arial" w:hAnsi="Arial" w:cs="Arial"/>
          <w:b/>
          <w:bCs/>
          <w:sz w:val="24"/>
          <w:szCs w:val="24"/>
          <w:lang w:val="de-DE"/>
        </w:rPr>
        <w:br/>
        <w:t>in 11 months of 2020-2024 (Billion USD)</w:t>
      </w:r>
      <w:r w:rsidRPr="000E610C">
        <w:rPr>
          <w:rFonts w:ascii="Arial" w:hAnsi="Arial" w:cs="Arial"/>
          <w:b/>
          <w:bCs/>
          <w:sz w:val="24"/>
          <w:szCs w:val="24"/>
          <w:vertAlign w:val="superscript"/>
          <w:lang w:val="de-DE"/>
        </w:rPr>
        <w:footnoteReference w:id="13"/>
      </w:r>
    </w:p>
    <w:p w14:paraId="2FE1F1BB" w14:textId="5A3540F9" w:rsidR="000E610C" w:rsidRPr="000E610C" w:rsidRDefault="000E610C" w:rsidP="000E610C">
      <w:pPr>
        <w:spacing w:before="120" w:after="120"/>
        <w:jc w:val="center"/>
        <w:rPr>
          <w:rFonts w:ascii="Arial" w:hAnsi="Arial" w:cs="Arial"/>
          <w:b/>
          <w:bCs/>
          <w:sz w:val="24"/>
          <w:szCs w:val="24"/>
          <w:lang w:val="de-DE"/>
        </w:rPr>
      </w:pPr>
      <w:r w:rsidRPr="000E610C">
        <w:rPr>
          <w:noProof/>
        </w:rPr>
        <w:drawing>
          <wp:inline distT="0" distB="0" distL="0" distR="0" wp14:anchorId="7994093E" wp14:editId="3F338D67">
            <wp:extent cx="5286376" cy="3048000"/>
            <wp:effectExtent l="0" t="0" r="9525" b="0"/>
            <wp:docPr id="1605780564" name="Chart 1605780564">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035B9E" w14:textId="77777777" w:rsidR="000E610C" w:rsidRPr="000E610C" w:rsidRDefault="000E610C" w:rsidP="000E610C">
      <w:pPr>
        <w:spacing w:after="120" w:line="276" w:lineRule="auto"/>
        <w:ind w:firstLine="720"/>
        <w:jc w:val="both"/>
        <w:rPr>
          <w:iCs/>
          <w:spacing w:val="-2"/>
          <w:lang w:val="de-DE"/>
        </w:rPr>
      </w:pPr>
      <w:r w:rsidRPr="000E610C">
        <w:rPr>
          <w:iCs/>
          <w:spacing w:val="-2"/>
          <w:lang w:val="de-DE"/>
        </w:rPr>
        <w:t>- Newly registered capital has 3,035 licensed projects with registered capital reaching 17.39 billion USD, up 1.6% over the same period last year in terms of number of projects and 0.7% in terms of registered capital. Of which, the processing and manufacturing industry is the one with the largest newly licensed foreign direct investment with registered capital reaching 11.47 billion USD, accounting for 66% of the total newly registered capital; real estate business activities reached 3.39 billion USD, accounting for 19.5%; the remaining industries reached 2.52 billion USD, accounting for 14.5%.</w:t>
      </w:r>
    </w:p>
    <w:p w14:paraId="3DDE7738" w14:textId="77777777" w:rsidR="000E610C" w:rsidRPr="000E610C" w:rsidRDefault="000E610C" w:rsidP="000E610C">
      <w:pPr>
        <w:spacing w:after="120" w:line="276" w:lineRule="auto"/>
        <w:ind w:firstLine="720"/>
        <w:jc w:val="both"/>
        <w:rPr>
          <w:iCs/>
          <w:spacing w:val="-2"/>
          <w:lang w:val="de-DE"/>
        </w:rPr>
      </w:pPr>
      <w:r w:rsidRPr="000E610C">
        <w:rPr>
          <w:iCs/>
          <w:spacing w:val="-2"/>
          <w:lang w:val="de-DE"/>
        </w:rPr>
        <w:t>Among the 79 countries and territories with newly licensed investment projects in Vietnam in the first eleven months of 2024, Singapore was the largest investor with 5.78 billion USD, accounting for 33.3% of the total newly registered capital; followed by South Korea with 2.32 billion USD, accounting for 13.4%; China with 2.21 billion USD, accounting for 12.7%; and Hong Kong Special Administrative Region (China) with 1.96 billion USD, accounting for 11.3%.</w:t>
      </w:r>
    </w:p>
    <w:p w14:paraId="1A906960" w14:textId="77777777" w:rsidR="000E610C" w:rsidRPr="000E610C" w:rsidRDefault="000E610C" w:rsidP="000E610C">
      <w:pPr>
        <w:spacing w:after="120" w:line="276" w:lineRule="auto"/>
        <w:ind w:firstLine="720"/>
        <w:jc w:val="both"/>
        <w:rPr>
          <w:iCs/>
          <w:spacing w:val="-2"/>
          <w:lang w:val="de-DE"/>
        </w:rPr>
      </w:pPr>
      <w:r w:rsidRPr="000E610C">
        <w:rPr>
          <w:iCs/>
          <w:spacing w:val="-2"/>
          <w:lang w:val="de-DE"/>
        </w:rPr>
        <w:lastRenderedPageBreak/>
        <w:t>- Adjusted registered capital: 1,350 licensed projects from previous years registered to adjust investment capital by an additional 9.93 billion USD, up 40.7% over the same period last year.</w:t>
      </w:r>
    </w:p>
    <w:p w14:paraId="31274D09" w14:textId="77777777" w:rsidR="000E610C" w:rsidRPr="000E610C" w:rsidRDefault="000E610C" w:rsidP="000E610C">
      <w:pPr>
        <w:spacing w:after="120" w:line="276" w:lineRule="auto"/>
        <w:ind w:firstLine="720"/>
        <w:jc w:val="both"/>
        <w:rPr>
          <w:iCs/>
          <w:spacing w:val="-2"/>
          <w:lang w:val="de-DE"/>
        </w:rPr>
      </w:pPr>
      <w:r w:rsidRPr="000E610C">
        <w:rPr>
          <w:iCs/>
          <w:spacing w:val="-2"/>
          <w:lang w:val="de-DE"/>
        </w:rPr>
        <w:t>If including newly registered capital and adjusted registered capital of licensed projects from previous years, foreign direct investment capital registered in the processing and manufacturing industry reached 19.46 billion USD, accounting for 71.2% of the total newly registered and increased capital; real estate business activities reached 4.60 billion USD, accounting for 16.9%; the remaining industries reached 3.26 billion USD, accounting for 11.9%.</w:t>
      </w:r>
    </w:p>
    <w:p w14:paraId="4BC31ED9" w14:textId="77777777" w:rsidR="000E610C" w:rsidRPr="000E610C" w:rsidRDefault="000E610C" w:rsidP="000E610C">
      <w:pPr>
        <w:spacing w:after="120" w:line="276" w:lineRule="auto"/>
        <w:ind w:firstLine="720"/>
        <w:jc w:val="both"/>
        <w:rPr>
          <w:iCs/>
          <w:spacing w:val="-2"/>
          <w:lang w:val="de-DE"/>
        </w:rPr>
      </w:pPr>
      <w:r w:rsidRPr="000E610C">
        <w:rPr>
          <w:iCs/>
          <w:spacing w:val="-2"/>
          <w:lang w:val="de-DE"/>
        </w:rPr>
        <w:t>- There were 3,029 registered capital contributions and share purchases by foreign investors with a total capital contribution value of 4.06 billion USD, down 39.7% over the same period last year. Of which, 1,131 capital contributions and share purchases increased the charter capital of enterprises with a capital contribution value of 1.85 billion USD; 1,898 foreign investors bought back domestic shares without increasing the charter capital with a value of 2.21 billion USD. Regarding the form of capital contributions and share purchases by foreign investors, the investment capital in real estate business activities reached 1.03 billion USD, accounting for 25.3% of the capital contribution value; professional activities, science and technology reached 774.9 million USD, accounting for 19.1%; the remaining sectors reached 2.26 billion USD, accounting for 55.6%.</w:t>
      </w:r>
    </w:p>
    <w:p w14:paraId="178336BD" w14:textId="77777777" w:rsidR="000E610C" w:rsidRPr="000E610C" w:rsidRDefault="000E610C" w:rsidP="000E610C">
      <w:pPr>
        <w:spacing w:after="120" w:line="276" w:lineRule="auto"/>
        <w:ind w:firstLine="720"/>
        <w:jc w:val="both"/>
        <w:rPr>
          <w:rFonts w:ascii="Arial" w:hAnsi="Arial" w:cs="Arial"/>
          <w:b/>
          <w:bCs/>
          <w:sz w:val="24"/>
          <w:lang w:val="de-DE"/>
        </w:rPr>
      </w:pPr>
      <w:r w:rsidRPr="000E610C">
        <w:rPr>
          <w:i/>
          <w:iCs/>
          <w:lang w:val="de-DE"/>
        </w:rPr>
        <w:t xml:space="preserve">Foreign direct investment implemented in Vietnam </w:t>
      </w:r>
      <w:r w:rsidRPr="000E610C">
        <w:rPr>
          <w:iCs/>
          <w:lang w:val="de-DE"/>
        </w:rPr>
        <w:t>eleven</w:t>
      </w:r>
      <w:r w:rsidRPr="000E610C">
        <w:rPr>
          <w:i/>
          <w:iCs/>
          <w:lang w:val="de-DE"/>
        </w:rPr>
        <w:t xml:space="preserve"> </w:t>
      </w:r>
      <w:r w:rsidRPr="000E610C">
        <w:rPr>
          <w:iCs/>
          <w:lang w:val="de-DE"/>
        </w:rPr>
        <w:t>The estimated FDI in May 2024 was 21.68 billion USD, up 7.1% over the same period last year. Of which: Processing and manufacturing industry reached 17.57 billion USD, accounting for 81% of total realized foreign direct investment; real estate business activities reached 1.66 billion USD, accounting for 7.6%; production and distribution of electricity, gas, hot water, steam and air conditioning reached 887.4 million USD, accounting for 4.1%.</w:t>
      </w:r>
    </w:p>
    <w:p w14:paraId="1FD7A437" w14:textId="77777777" w:rsidR="000E610C" w:rsidRPr="000E610C" w:rsidRDefault="000E610C" w:rsidP="000E610C">
      <w:pPr>
        <w:jc w:val="center"/>
        <w:rPr>
          <w:rFonts w:ascii="Arial" w:hAnsi="Arial" w:cs="Arial"/>
          <w:b/>
          <w:bCs/>
          <w:sz w:val="24"/>
          <w:lang w:val="de-DE"/>
        </w:rPr>
      </w:pPr>
    </w:p>
    <w:p w14:paraId="2EC38442" w14:textId="77777777" w:rsidR="000E610C" w:rsidRPr="000E610C" w:rsidRDefault="000E610C" w:rsidP="000E610C">
      <w:pPr>
        <w:jc w:val="center"/>
        <w:rPr>
          <w:rFonts w:ascii="Arial" w:hAnsi="Arial" w:cs="Arial"/>
          <w:b/>
          <w:bCs/>
          <w:sz w:val="24"/>
          <w:lang w:val="de-DE"/>
        </w:rPr>
      </w:pPr>
      <w:r w:rsidRPr="000E610C">
        <w:rPr>
          <w:rFonts w:ascii="Arial" w:hAnsi="Arial" w:cs="Arial"/>
          <w:b/>
          <w:bCs/>
          <w:sz w:val="24"/>
          <w:lang w:val="de-DE"/>
        </w:rPr>
        <w:t xml:space="preserve">Figure 8. Foreign direct investment realized </w:t>
      </w:r>
      <w:r w:rsidRPr="000E610C">
        <w:rPr>
          <w:rFonts w:ascii="Arial" w:hAnsi="Arial" w:cs="Arial"/>
          <w:b/>
          <w:bCs/>
          <w:sz w:val="24"/>
          <w:lang w:val="de-DE"/>
        </w:rPr>
        <w:br/>
        <w:t xml:space="preserve">in 11 months of 2020-2024 </w:t>
      </w:r>
      <w:r w:rsidRPr="000E610C">
        <w:rPr>
          <w:rFonts w:ascii="Arial" w:hAnsi="Arial"/>
          <w:b/>
          <w:bCs/>
          <w:sz w:val="24"/>
          <w:vertAlign w:val="superscript"/>
          <w:lang w:val="de-DE"/>
        </w:rPr>
        <w:footnoteReference w:id="14"/>
      </w:r>
      <w:r w:rsidRPr="000E610C">
        <w:rPr>
          <w:rFonts w:ascii="Arial" w:hAnsi="Arial" w:cs="Arial"/>
          <w:b/>
          <w:bCs/>
          <w:sz w:val="24"/>
          <w:lang w:val="de-DE"/>
        </w:rPr>
        <w:t>(billion USD)</w:t>
      </w:r>
    </w:p>
    <w:p w14:paraId="1DB5AD3F" w14:textId="77777777" w:rsidR="000E610C" w:rsidRPr="000E610C" w:rsidRDefault="000E610C" w:rsidP="000E610C">
      <w:pPr>
        <w:jc w:val="center"/>
        <w:rPr>
          <w:rFonts w:ascii="Arial" w:hAnsi="Arial" w:cs="Arial"/>
          <w:b/>
          <w:bCs/>
          <w:sz w:val="24"/>
          <w:lang w:val="de-DE"/>
        </w:rPr>
      </w:pPr>
    </w:p>
    <w:p w14:paraId="5DC4187C" w14:textId="77777777" w:rsidR="000E610C" w:rsidRPr="000E610C" w:rsidRDefault="000E610C" w:rsidP="000E610C">
      <w:pPr>
        <w:jc w:val="center"/>
        <w:rPr>
          <w:rFonts w:ascii="Arial" w:hAnsi="Arial" w:cs="Arial"/>
          <w:b/>
          <w:bCs/>
          <w:sz w:val="24"/>
          <w:lang w:val="de-DE"/>
        </w:rPr>
      </w:pPr>
      <w:r w:rsidRPr="000E610C">
        <w:rPr>
          <w:noProof/>
        </w:rPr>
        <w:lastRenderedPageBreak/>
        <w:drawing>
          <wp:inline distT="0" distB="0" distL="0" distR="0" wp14:anchorId="37C48841" wp14:editId="09ABE54E">
            <wp:extent cx="4572000" cy="1733909"/>
            <wp:effectExtent l="0" t="0" r="0" b="0"/>
            <wp:docPr id="1189977298"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EC3BA4" w14:textId="77777777" w:rsidR="000E610C" w:rsidRPr="000E610C" w:rsidRDefault="000E610C" w:rsidP="000E610C">
      <w:pPr>
        <w:jc w:val="center"/>
        <w:rPr>
          <w:rFonts w:ascii="Arial" w:hAnsi="Arial" w:cs="Arial"/>
          <w:b/>
          <w:bCs/>
          <w:sz w:val="24"/>
          <w:lang w:val="de-DE"/>
        </w:rPr>
      </w:pPr>
    </w:p>
    <w:p w14:paraId="6FB8E050" w14:textId="77777777" w:rsidR="000E610C" w:rsidRPr="000E610C" w:rsidRDefault="000E610C" w:rsidP="000E610C">
      <w:pPr>
        <w:jc w:val="center"/>
        <w:rPr>
          <w:rFonts w:ascii="Arial" w:hAnsi="Arial" w:cs="Arial"/>
          <w:b/>
          <w:bCs/>
          <w:sz w:val="24"/>
          <w:lang w:val="de-DE"/>
        </w:rPr>
      </w:pPr>
    </w:p>
    <w:p w14:paraId="22823FD2" w14:textId="77777777" w:rsidR="000E610C" w:rsidRPr="000E610C" w:rsidRDefault="000E610C" w:rsidP="000E610C">
      <w:pPr>
        <w:spacing w:after="120" w:line="276" w:lineRule="auto"/>
        <w:ind w:firstLine="720"/>
        <w:jc w:val="both"/>
        <w:rPr>
          <w:iCs/>
          <w:lang w:val="de-DE"/>
        </w:rPr>
      </w:pPr>
      <w:r w:rsidRPr="000E610C">
        <w:rPr>
          <w:i/>
          <w:iCs/>
          <w:lang w:val="de-DE"/>
        </w:rPr>
        <w:t xml:space="preserve">Vietnam's overseas investment </w:t>
      </w:r>
      <w:r w:rsidRPr="000E610C">
        <w:rPr>
          <w:iCs/>
          <w:lang w:val="de-DE"/>
        </w:rPr>
        <w:t>in the first eleven months of 2024 had 151 projects newly granted investment certificates with a total capital of 555.2 million USD from the Vietnamese side; there were 22 projects adjusting capital with an adjusted capital of 43.5 million USD.</w:t>
      </w:r>
    </w:p>
    <w:p w14:paraId="3B09DCBD" w14:textId="4D563074" w:rsidR="0030332B" w:rsidRPr="000E610C" w:rsidRDefault="000E610C" w:rsidP="000E610C">
      <w:pPr>
        <w:spacing w:after="120" w:line="276" w:lineRule="auto"/>
        <w:ind w:firstLine="720"/>
        <w:jc w:val="both"/>
        <w:rPr>
          <w:iCs/>
          <w:spacing w:val="-4"/>
          <w:lang w:val="de-DE"/>
        </w:rPr>
      </w:pPr>
      <w:r w:rsidRPr="000E610C">
        <w:rPr>
          <w:iCs/>
          <w:spacing w:val="-4"/>
          <w:lang w:val="de-DE"/>
        </w:rPr>
        <w:t xml:space="preserve">In the first eleven months of 2024, Vietnam's total investment capital abroad (newly granted and adjusted capital) reached 598.7 million USD, an increase of 51.6% over the same period last year. Of which: Scientific and technological professional activities reached 200.5 million USD, accounting for 33.5% of total investment capital; processing and manufacturing industry reached 108.8 million USD, accounting for 18.2%; production and distribution of electricity, gas, hot water and air conditioning reached 94.6 million USD, accounting for 15.8%; mining reached 60.7 million USD, accounting for 10.1%; transportation and warehousing reached 38.6 million USD, accounting for 6.5%; wholesale and retail, repair of automobiles, motorcycles, motorbikes and other motor vehicles reached 38.1 million USD, accounting for 6.4%; other services reached 10.4 million USD, accounting for 1.7%. </w:t>
      </w:r>
      <w:r w:rsidRPr="000E610C">
        <w:rPr>
          <w:iCs/>
          <w:lang w:val="de-DE"/>
        </w:rPr>
        <w:t>In the eleven months of 2024, 31 countries and territories received investment from Vietnam, of which: Laos was the leading country with 160.7 million USD, accounting for 26.8% of total investment capital; Indonesia 137.7 million USD, accounting for 23.0%; India 90.1 million USD, accounting for 15.0%; the United States 71.4 million USD, accounting for 11.9%; the Netherlands 54.6 million USD, accounting for 9.1%; Gi-rata 29.4 million USD, accounting for 4.9%; Cambodia 27.6 million USD, accounting for 4.6%; the United Kingdom 20.4 million USD, accounting for 3.4%.</w:t>
      </w:r>
    </w:p>
    <w:p w14:paraId="3B959F92" w14:textId="77777777" w:rsidR="000E610C" w:rsidRPr="000E610C" w:rsidRDefault="000E610C" w:rsidP="000E610C">
      <w:pPr>
        <w:spacing w:after="120" w:line="276" w:lineRule="auto"/>
        <w:ind w:firstLine="720"/>
        <w:jc w:val="both"/>
        <w:rPr>
          <w:b/>
          <w:bCs/>
          <w:lang w:val="de-DE"/>
        </w:rPr>
      </w:pPr>
      <w:bookmarkStart w:id="6" w:name="_Hlk89176061"/>
      <w:bookmarkEnd w:id="5"/>
      <w:r w:rsidRPr="000E610C">
        <w:rPr>
          <w:b/>
          <w:bCs/>
          <w:lang w:val="af-ZA"/>
        </w:rPr>
        <w:t xml:space="preserve">5. </w:t>
      </w:r>
      <w:r w:rsidRPr="000E610C">
        <w:rPr>
          <w:b/>
          <w:bCs/>
          <w:lang w:val="de-DE"/>
        </w:rPr>
        <w:t>State budget revenue and expenditure</w:t>
      </w:r>
      <w:r w:rsidRPr="000E610C">
        <w:rPr>
          <w:b/>
          <w:bCs/>
          <w:vertAlign w:val="superscript"/>
          <w:lang w:val="en-GB"/>
        </w:rPr>
        <w:footnoteReference w:id="15"/>
      </w:r>
    </w:p>
    <w:p w14:paraId="76178644" w14:textId="77777777" w:rsidR="000E610C" w:rsidRPr="000E610C" w:rsidRDefault="000E610C" w:rsidP="000E610C">
      <w:pPr>
        <w:spacing w:after="120" w:line="276" w:lineRule="auto"/>
        <w:ind w:firstLine="720"/>
        <w:jc w:val="both"/>
        <w:rPr>
          <w:b/>
          <w:lang w:val="nl-NL"/>
        </w:rPr>
      </w:pPr>
      <w:r w:rsidRPr="000E610C">
        <w:rPr>
          <w:i/>
          <w:lang w:val="nl-NL"/>
        </w:rPr>
        <w:t xml:space="preserve">State budget revenue in the first eleven months of 2024 was estimated to increase by 16.1% over the same period last yea </w:t>
      </w:r>
      <w:r w:rsidRPr="000E610C">
        <w:rPr>
          <w:i/>
          <w:lang w:val="vi-VN"/>
        </w:rPr>
        <w:t xml:space="preserve">. </w:t>
      </w:r>
      <w:r w:rsidRPr="000E610C">
        <w:rPr>
          <w:i/>
          <w:lang w:val="nl-NL"/>
        </w:rPr>
        <w:t xml:space="preserve">State budget expenditure was estimated to increase by </w:t>
      </w:r>
      <w:r w:rsidRPr="000E610C">
        <w:rPr>
          <w:i/>
          <w:lang w:val="en"/>
        </w:rPr>
        <w:t xml:space="preserve">4.7 </w:t>
      </w:r>
      <w:r w:rsidRPr="000E610C">
        <w:rPr>
          <w:i/>
          <w:lang w:val="nl-NL"/>
        </w:rPr>
        <w:t xml:space="preserve">% over the same period in 2023, ensuring the needs </w:t>
      </w:r>
      <w:r w:rsidRPr="000E610C">
        <w:rPr>
          <w:i/>
          <w:lang w:val="nl-NL"/>
        </w:rPr>
        <w:lastRenderedPageBreak/>
        <w:t>of socio-economic development, national defense, security, State management, payment of due debts as well as timely payment to subjects according to regulations.</w:t>
      </w:r>
      <w:r w:rsidRPr="000E610C">
        <w:rPr>
          <w:b/>
          <w:lang w:val="nl-NL"/>
        </w:rPr>
        <w:t xml:space="preserve"> </w:t>
      </w:r>
    </w:p>
    <w:p w14:paraId="7F86E3EC" w14:textId="77777777" w:rsidR="000E610C" w:rsidRPr="000E610C" w:rsidRDefault="000E610C" w:rsidP="000E610C">
      <w:pPr>
        <w:jc w:val="center"/>
        <w:rPr>
          <w:rFonts w:ascii="Arial" w:hAnsi="Arial" w:cs="Arial"/>
          <w:b/>
          <w:sz w:val="24"/>
          <w:szCs w:val="24"/>
          <w:lang w:val="nl-NL"/>
        </w:rPr>
      </w:pPr>
    </w:p>
    <w:p w14:paraId="74E2D36F" w14:textId="77777777" w:rsidR="000E610C" w:rsidRPr="000E610C" w:rsidRDefault="000E610C" w:rsidP="000E610C">
      <w:pPr>
        <w:jc w:val="center"/>
        <w:rPr>
          <w:rFonts w:ascii="Arial" w:hAnsi="Arial" w:cs="Arial"/>
          <w:b/>
          <w:sz w:val="24"/>
          <w:szCs w:val="24"/>
          <w:lang w:val="nl-NL"/>
        </w:rPr>
      </w:pPr>
    </w:p>
    <w:p w14:paraId="3CD64F85" w14:textId="77777777" w:rsidR="000E610C" w:rsidRPr="000E610C" w:rsidRDefault="000E610C" w:rsidP="000E610C">
      <w:pPr>
        <w:jc w:val="center"/>
        <w:rPr>
          <w:rFonts w:ascii="Arial" w:hAnsi="Arial" w:cs="Arial"/>
          <w:b/>
          <w:sz w:val="24"/>
          <w:szCs w:val="24"/>
          <w:lang w:val="vi-VN"/>
        </w:rPr>
      </w:pPr>
      <w:r w:rsidRPr="000E610C">
        <w:rPr>
          <w:rFonts w:ascii="Arial" w:hAnsi="Arial" w:cs="Arial"/>
          <w:b/>
          <w:sz w:val="24"/>
          <w:szCs w:val="24"/>
          <w:lang w:val="nl-NL"/>
        </w:rPr>
        <w:t>Figure 9. State budget revenue and expenditure for 11 months of 2024</w:t>
      </w:r>
    </w:p>
    <w:p w14:paraId="04B58773" w14:textId="77777777" w:rsidR="000E610C" w:rsidRPr="000E610C" w:rsidRDefault="000E610C" w:rsidP="000E610C">
      <w:pPr>
        <w:jc w:val="center"/>
        <w:rPr>
          <w:rFonts w:ascii="Arial" w:hAnsi="Arial" w:cs="Arial"/>
          <w:b/>
          <w:sz w:val="24"/>
          <w:szCs w:val="24"/>
          <w:lang w:val="vi-VN"/>
        </w:rPr>
      </w:pPr>
      <w:r w:rsidRPr="000E610C">
        <w:rPr>
          <w:rFonts w:ascii="Arial" w:hAnsi="Arial" w:cs="Arial"/>
          <w:b/>
          <w:noProof/>
          <w:sz w:val="24"/>
          <w:szCs w:val="24"/>
        </w:rPr>
        <w:drawing>
          <wp:inline distT="0" distB="0" distL="0" distR="0" wp14:anchorId="250F0335" wp14:editId="21D4A939">
            <wp:extent cx="5699760" cy="2378075"/>
            <wp:effectExtent l="0" t="0" r="0" b="3175"/>
            <wp:docPr id="1926831019" name="Picture 1926831019" descr="A diagram of a balance with money and piggy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31019" name="Picture 1926831019" descr="A diagram of a balance with money and piggy bank&#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99760" cy="2378075"/>
                    </a:xfrm>
                    <a:prstGeom prst="rect">
                      <a:avLst/>
                    </a:prstGeom>
                  </pic:spPr>
                </pic:pic>
              </a:graphicData>
            </a:graphic>
          </wp:inline>
        </w:drawing>
      </w:r>
    </w:p>
    <w:p w14:paraId="4319E9FE" w14:textId="77777777" w:rsidR="000E610C" w:rsidRPr="000E610C" w:rsidRDefault="000E610C" w:rsidP="000E610C">
      <w:pPr>
        <w:spacing w:after="120" w:line="264" w:lineRule="auto"/>
        <w:ind w:firstLine="720"/>
        <w:jc w:val="both"/>
        <w:rPr>
          <w:b/>
          <w:i/>
          <w:lang w:val="it-IT"/>
        </w:rPr>
      </w:pPr>
      <w:r w:rsidRPr="000E610C">
        <w:rPr>
          <w:b/>
          <w:i/>
          <w:lang w:val="it-IT"/>
        </w:rPr>
        <w:t>State budget revenue</w:t>
      </w:r>
    </w:p>
    <w:p w14:paraId="54329D59" w14:textId="77777777" w:rsidR="000E610C" w:rsidRPr="000E610C" w:rsidRDefault="000E610C" w:rsidP="000E610C">
      <w:pPr>
        <w:spacing w:after="120" w:line="264" w:lineRule="auto"/>
        <w:ind w:firstLine="720"/>
        <w:jc w:val="both"/>
        <w:rPr>
          <w:lang w:val="nl-NL"/>
        </w:rPr>
      </w:pPr>
      <w:r w:rsidRPr="000E610C">
        <w:rPr>
          <w:lang w:val="it-IT"/>
        </w:rPr>
        <w:t xml:space="preserve">Total state budget revenue in November 2024 was estimated at </w:t>
      </w:r>
      <w:r w:rsidRPr="000E610C">
        <w:rPr>
          <w:lang w:val="en"/>
        </w:rPr>
        <w:t xml:space="preserve">139.4 </w:t>
      </w:r>
      <w:r w:rsidRPr="000E610C">
        <w:rPr>
          <w:lang w:val="nl-NL"/>
        </w:rPr>
        <w:t>trillion VND</w:t>
      </w:r>
      <w:r w:rsidRPr="000E610C">
        <w:rPr>
          <w:lang w:val="it-IT"/>
        </w:rPr>
        <w:t xml:space="preserve">. Cumulative total state budget revenue in eleven months of 2024 was estimated at </w:t>
      </w:r>
      <w:r w:rsidRPr="000E610C">
        <w:rPr>
          <w:lang w:val="en"/>
        </w:rPr>
        <w:t xml:space="preserve">1,808.5 trillion </w:t>
      </w:r>
      <w:r w:rsidRPr="000E610C">
        <w:rPr>
          <w:lang w:val="vi-VN"/>
        </w:rPr>
        <w:t>VND</w:t>
      </w:r>
      <w:r w:rsidRPr="000E610C">
        <w:rPr>
          <w:lang w:val="it-IT"/>
        </w:rPr>
        <w:t>, equal to 106.3% of the annual estimate and up 16.1% over the same period last year</w:t>
      </w:r>
      <w:r w:rsidRPr="000E610C">
        <w:rPr>
          <w:lang w:val="nl-NL"/>
        </w:rPr>
        <w:t>. In particular, some main revenue items are as follows:</w:t>
      </w:r>
    </w:p>
    <w:p w14:paraId="34CB44A3" w14:textId="77777777" w:rsidR="000E610C" w:rsidRPr="000E610C" w:rsidRDefault="000E610C" w:rsidP="000E610C">
      <w:pPr>
        <w:spacing w:after="120" w:line="288" w:lineRule="auto"/>
        <w:ind w:firstLine="720"/>
        <w:jc w:val="both"/>
        <w:rPr>
          <w:lang w:val="nl-NL"/>
        </w:rPr>
      </w:pPr>
      <w:r w:rsidRPr="000E610C">
        <w:rPr>
          <w:i/>
          <w:lang w:val="nl-NL"/>
        </w:rPr>
        <w:t xml:space="preserve">- Domestic revenue </w:t>
      </w:r>
      <w:r w:rsidRPr="000E610C">
        <w:rPr>
          <w:lang w:val="nl-NL"/>
        </w:rPr>
        <w:t xml:space="preserve">in November 2024 was estimated at 116.7 trillion VND; accumulated revenue in eleven months of 2024 was estimated at 1,506.5 trillion VND, equal to </w:t>
      </w:r>
      <w:r w:rsidRPr="000E610C">
        <w:rPr>
          <w:lang w:val="en"/>
        </w:rPr>
        <w:t xml:space="preserve">104.3 </w:t>
      </w:r>
      <w:r w:rsidRPr="000E610C">
        <w:rPr>
          <w:lang w:val="nl-NL"/>
        </w:rPr>
        <w:t xml:space="preserve">% of the annual estimate and an increase of 16.8% </w:t>
      </w:r>
      <w:r w:rsidRPr="000E610C">
        <w:rPr>
          <w:lang w:val="it-IT"/>
        </w:rPr>
        <w:t>over the same period last year</w:t>
      </w:r>
      <w:r w:rsidRPr="000E610C">
        <w:rPr>
          <w:lang w:val="nl-NL"/>
        </w:rPr>
        <w:t>.</w:t>
      </w:r>
    </w:p>
    <w:p w14:paraId="7514EADE" w14:textId="77777777" w:rsidR="000E610C" w:rsidRPr="000E610C" w:rsidRDefault="000E610C" w:rsidP="000E610C">
      <w:pPr>
        <w:spacing w:after="120" w:line="288" w:lineRule="auto"/>
        <w:ind w:firstLine="720"/>
        <w:jc w:val="both"/>
        <w:rPr>
          <w:lang w:val="nl-NL"/>
        </w:rPr>
      </w:pPr>
      <w:r w:rsidRPr="000E610C">
        <w:rPr>
          <w:i/>
          <w:lang w:val="nl-NL"/>
        </w:rPr>
        <w:t xml:space="preserve">- Revenue from crude oil </w:t>
      </w:r>
      <w:r w:rsidRPr="000E610C">
        <w:rPr>
          <w:lang w:val="nl-NL"/>
        </w:rPr>
        <w:t xml:space="preserve">in November 2024 was estimated at 4.5 trillion VND; accumulated revenue in eleven months of 2024 was estimated at </w:t>
      </w:r>
      <w:r w:rsidRPr="000E610C">
        <w:rPr>
          <w:lang w:val="en"/>
        </w:rPr>
        <w:t xml:space="preserve">52.7 </w:t>
      </w:r>
      <w:r w:rsidRPr="000E610C">
        <w:rPr>
          <w:lang w:val="nl-NL"/>
        </w:rPr>
        <w:t xml:space="preserve">trillion VND, equal </w:t>
      </w:r>
      <w:r w:rsidRPr="000E610C">
        <w:rPr>
          <w:lang w:val="vi-VN"/>
        </w:rPr>
        <w:t xml:space="preserve">to </w:t>
      </w:r>
      <w:r w:rsidRPr="000E610C">
        <w:rPr>
          <w:lang w:val="en"/>
        </w:rPr>
        <w:t xml:space="preserve">114.5 </w:t>
      </w:r>
      <w:r w:rsidRPr="000E610C">
        <w:rPr>
          <w:lang w:val="vi-VN"/>
        </w:rPr>
        <w:t xml:space="preserve">% </w:t>
      </w:r>
      <w:r w:rsidRPr="000E610C">
        <w:rPr>
          <w:lang w:val="nl-NL"/>
        </w:rPr>
        <w:t xml:space="preserve">of the annual estimate and down </w:t>
      </w:r>
      <w:r w:rsidRPr="000E610C">
        <w:rPr>
          <w:lang w:val="vi-VN"/>
        </w:rPr>
        <w:t xml:space="preserve">7.8 </w:t>
      </w:r>
      <w:r w:rsidRPr="000E610C">
        <w:rPr>
          <w:lang w:val="en"/>
        </w:rPr>
        <w:t xml:space="preserve">% </w:t>
      </w:r>
      <w:r w:rsidRPr="000E610C">
        <w:rPr>
          <w:lang w:val="nl-NL"/>
        </w:rPr>
        <w:t xml:space="preserve">over </w:t>
      </w:r>
      <w:r w:rsidRPr="000E610C">
        <w:rPr>
          <w:lang w:val="it-IT"/>
        </w:rPr>
        <w:t>the same period last year</w:t>
      </w:r>
      <w:r w:rsidRPr="000E610C">
        <w:rPr>
          <w:lang w:val="nl-NL"/>
        </w:rPr>
        <w:t>.</w:t>
      </w:r>
    </w:p>
    <w:p w14:paraId="3E8335B1" w14:textId="77777777" w:rsidR="000E610C" w:rsidRPr="000E610C" w:rsidRDefault="000E610C" w:rsidP="000E610C">
      <w:pPr>
        <w:spacing w:after="120" w:line="288" w:lineRule="auto"/>
        <w:ind w:firstLine="720"/>
        <w:jc w:val="both"/>
        <w:rPr>
          <w:b/>
          <w:i/>
          <w:lang w:val="nl-NL"/>
        </w:rPr>
      </w:pPr>
      <w:r w:rsidRPr="000E610C">
        <w:rPr>
          <w:i/>
          <w:lang w:val="nl-NL"/>
        </w:rPr>
        <w:t xml:space="preserve">- Budget revenue from import and export activities </w:t>
      </w:r>
      <w:r w:rsidRPr="000E610C">
        <w:rPr>
          <w:lang w:val="nl-NL"/>
        </w:rPr>
        <w:t xml:space="preserve">in November 2024 was estimated at </w:t>
      </w:r>
      <w:r w:rsidRPr="000E610C">
        <w:rPr>
          <w:lang w:val="en"/>
        </w:rPr>
        <w:t xml:space="preserve">18.1 </w:t>
      </w:r>
      <w:r w:rsidRPr="000E610C">
        <w:rPr>
          <w:lang w:val="nl-NL"/>
        </w:rPr>
        <w:t xml:space="preserve">trillion VND; accumulated revenue in eleven months of 2024 was estimated at 248.6 trillion VND, equal to 121.9% of the annual estimate and an increase of 18.6% </w:t>
      </w:r>
      <w:r w:rsidRPr="000E610C">
        <w:rPr>
          <w:lang w:val="it-IT"/>
        </w:rPr>
        <w:t>over the same period last year</w:t>
      </w:r>
      <w:r w:rsidRPr="000E610C">
        <w:rPr>
          <w:lang w:val="nl-NL"/>
        </w:rPr>
        <w:t>.</w:t>
      </w:r>
    </w:p>
    <w:p w14:paraId="4AAFA8A2" w14:textId="77777777" w:rsidR="000E610C" w:rsidRPr="000E610C" w:rsidRDefault="000E610C" w:rsidP="000E610C">
      <w:pPr>
        <w:spacing w:after="120" w:line="288" w:lineRule="auto"/>
        <w:ind w:firstLine="720"/>
        <w:jc w:val="both"/>
        <w:rPr>
          <w:b/>
          <w:i/>
          <w:lang w:val="nl-NL"/>
        </w:rPr>
      </w:pPr>
      <w:r w:rsidRPr="000E610C">
        <w:rPr>
          <w:b/>
          <w:i/>
          <w:lang w:val="nl-NL"/>
        </w:rPr>
        <w:t>State budget expenditure</w:t>
      </w:r>
    </w:p>
    <w:p w14:paraId="4FE526D1" w14:textId="77777777" w:rsidR="000E610C" w:rsidRPr="000E610C" w:rsidRDefault="000E610C" w:rsidP="000E610C">
      <w:pPr>
        <w:spacing w:after="120" w:line="288" w:lineRule="auto"/>
        <w:ind w:firstLine="720"/>
        <w:jc w:val="both"/>
        <w:rPr>
          <w:spacing w:val="-2"/>
          <w:lang w:val="en"/>
        </w:rPr>
      </w:pPr>
      <w:r w:rsidRPr="000E610C">
        <w:rPr>
          <w:spacing w:val="-2"/>
          <w:lang w:val="nl-NL"/>
        </w:rPr>
        <w:t xml:space="preserve">Total state budget expenditure in November 2024 was estimated at 170.8 trillion VND; accumulated expenditure in eleven months of 2024 was estimated at </w:t>
      </w:r>
      <w:r w:rsidRPr="000E610C">
        <w:rPr>
          <w:spacing w:val="-2"/>
          <w:lang w:val="en"/>
        </w:rPr>
        <w:lastRenderedPageBreak/>
        <w:t xml:space="preserve">1,560.7 </w:t>
      </w:r>
      <w:r w:rsidRPr="000E610C">
        <w:rPr>
          <w:spacing w:val="-2"/>
          <w:lang w:val="nl-NL"/>
        </w:rPr>
        <w:t xml:space="preserve">trillion VND, equal to 73.6% of the annual estimate and up </w:t>
      </w:r>
      <w:r w:rsidRPr="000E610C">
        <w:rPr>
          <w:spacing w:val="-2"/>
          <w:lang w:val="en"/>
        </w:rPr>
        <w:t xml:space="preserve">4.7 </w:t>
      </w:r>
      <w:r w:rsidRPr="000E610C">
        <w:rPr>
          <w:spacing w:val="-2"/>
          <w:lang w:val="nl-NL"/>
        </w:rPr>
        <w:t>% over the same period last year</w:t>
      </w:r>
      <w:r w:rsidRPr="000E610C">
        <w:rPr>
          <w:spacing w:val="-2"/>
          <w:lang w:val="vi-VN"/>
        </w:rPr>
        <w:t xml:space="preserve">. </w:t>
      </w:r>
      <w:r w:rsidRPr="000E610C">
        <w:rPr>
          <w:spacing w:val="-2"/>
          <w:lang w:val="nl-NL"/>
        </w:rPr>
        <w:t>Of which</w:t>
      </w:r>
      <w:r w:rsidRPr="000E610C">
        <w:rPr>
          <w:spacing w:val="-2"/>
          <w:lang w:val="vi-VN"/>
        </w:rPr>
        <w:t xml:space="preserve">, </w:t>
      </w:r>
      <w:r w:rsidRPr="000E610C">
        <w:rPr>
          <w:spacing w:val="-2"/>
          <w:lang w:val="nl-NL"/>
        </w:rPr>
        <w:t xml:space="preserve">regular expenditure in eleven months of 2024 was estimated at 1,055.8 trillion VND, equal to </w:t>
      </w:r>
      <w:r w:rsidRPr="000E610C">
        <w:rPr>
          <w:spacing w:val="-2"/>
          <w:lang w:val="en"/>
        </w:rPr>
        <w:t>83.8</w:t>
      </w:r>
      <w:r w:rsidRPr="000E610C">
        <w:rPr>
          <w:spacing w:val="-2"/>
          <w:lang w:val="nl-NL"/>
        </w:rPr>
        <w:t xml:space="preserve">% of the annual estimate </w:t>
      </w:r>
      <w:r w:rsidRPr="000E610C">
        <w:rPr>
          <w:spacing w:val="-2"/>
          <w:lang w:val="en"/>
        </w:rPr>
        <w:t xml:space="preserve">and </w:t>
      </w:r>
      <w:r w:rsidRPr="000E610C">
        <w:rPr>
          <w:spacing w:val="-2"/>
          <w:lang w:val="nl-NL"/>
        </w:rPr>
        <w:t xml:space="preserve">up 10.8% over the same period last year; development investment expenditure was estimated at nearly 411 trillion VND, equal to 60.7% and down 8.6%; debt interest payment was 91.8 trillion VND, equal to 82.2% and up 6.4 </w:t>
      </w:r>
      <w:r w:rsidRPr="000E610C">
        <w:rPr>
          <w:spacing w:val="-2"/>
          <w:lang w:val="vi-VN"/>
        </w:rPr>
        <w:t>%</w:t>
      </w:r>
      <w:r w:rsidRPr="000E610C">
        <w:rPr>
          <w:spacing w:val="-2"/>
          <w:lang w:val="nl-NL"/>
        </w:rPr>
        <w:t>.</w:t>
      </w:r>
    </w:p>
    <w:bookmarkEnd w:id="6"/>
    <w:p w14:paraId="4C696462" w14:textId="77777777" w:rsidR="000E610C" w:rsidRPr="000E610C" w:rsidRDefault="000E610C" w:rsidP="000E610C">
      <w:pPr>
        <w:spacing w:beforeLines="40" w:before="96" w:afterLines="40" w:after="96" w:line="252" w:lineRule="auto"/>
        <w:ind w:firstLine="567"/>
        <w:jc w:val="both"/>
        <w:rPr>
          <w:b/>
          <w:bCs/>
          <w:lang w:val="nl-NL"/>
        </w:rPr>
      </w:pPr>
      <w:r w:rsidRPr="000E610C">
        <w:rPr>
          <w:b/>
          <w:bCs/>
          <w:lang w:val="nl-NL"/>
        </w:rPr>
        <w:t>6. Trade, prices, transport and tourism</w:t>
      </w:r>
    </w:p>
    <w:p w14:paraId="023CEAB5" w14:textId="77777777" w:rsidR="000E610C" w:rsidRPr="000E610C" w:rsidRDefault="000E610C" w:rsidP="000E610C">
      <w:pPr>
        <w:spacing w:beforeLines="40" w:before="96" w:afterLines="40" w:after="96" w:line="252" w:lineRule="auto"/>
        <w:ind w:firstLine="567"/>
        <w:jc w:val="both"/>
        <w:rPr>
          <w:i/>
          <w:color w:val="000000"/>
          <w:lang w:val="it-IT"/>
        </w:rPr>
      </w:pPr>
      <w:r w:rsidRPr="000E610C">
        <w:rPr>
          <w:b/>
          <w:i/>
          <w:lang w:val="it-IT"/>
        </w:rPr>
        <w:t xml:space="preserve">a) </w:t>
      </w:r>
      <w:r w:rsidRPr="000E610C">
        <w:rPr>
          <w:b/>
          <w:i/>
        </w:rPr>
        <w:t>Retail sales of consumer goods and services</w:t>
      </w:r>
      <w:r w:rsidRPr="000E610C">
        <w:rPr>
          <w:i/>
          <w:color w:val="000000"/>
          <w:lang w:val="it-IT"/>
        </w:rPr>
        <w:t xml:space="preserve"> </w:t>
      </w:r>
    </w:p>
    <w:p w14:paraId="7604D2D4" w14:textId="77777777" w:rsidR="000E610C" w:rsidRPr="000E610C" w:rsidRDefault="000E610C" w:rsidP="000E610C">
      <w:pPr>
        <w:spacing w:beforeLines="40" w:before="96" w:afterLines="40" w:after="96" w:line="252" w:lineRule="auto"/>
        <w:ind w:firstLine="567"/>
        <w:jc w:val="both"/>
        <w:rPr>
          <w:i/>
          <w:color w:val="000000"/>
          <w:lang w:val="it-IT"/>
        </w:rPr>
      </w:pPr>
      <w:r w:rsidRPr="000E610C">
        <w:rPr>
          <w:i/>
          <w:lang w:val="en"/>
        </w:rPr>
        <w:t xml:space="preserve">Solutions to promote domestic market development and stimulate consumer demand in the last months of the year have contributed to promoting growth in the service industry. </w:t>
      </w:r>
      <w:r w:rsidRPr="000E610C">
        <w:rPr>
          <w:i/>
          <w:lang w:val="it-IT"/>
        </w:rPr>
        <w:t xml:space="preserve">The total retail sales of consumer goods and services in 11/2024 </w:t>
      </w:r>
      <w:r w:rsidRPr="000E610C">
        <w:rPr>
          <w:i/>
        </w:rPr>
        <w:t xml:space="preserve">increased by 0.8% compared to the previous and increased by 8.8% </w:t>
      </w:r>
      <w:r w:rsidRPr="000E610C">
        <w:rPr>
          <w:i/>
          <w:color w:val="000000"/>
          <w:lang w:val="it-IT"/>
        </w:rPr>
        <w:t xml:space="preserve">over the same period last year. </w:t>
      </w:r>
      <w:r w:rsidRPr="000E610C">
        <w:rPr>
          <w:rFonts w:ascii="Times New Roman Italic" w:eastAsia="Calibri" w:hAnsi="Times New Roman Italic"/>
          <w:bCs/>
          <w:i/>
          <w:spacing w:val="-6"/>
          <w:kern w:val="2"/>
          <w:lang w:val="it-IT"/>
          <w14:ligatures w14:val="standardContextual"/>
        </w:rPr>
        <w:t>Overall,</w:t>
      </w:r>
      <w:r w:rsidRPr="000E610C">
        <w:rPr>
          <w:i/>
          <w:color w:val="000000"/>
          <w:lang w:val="it-IT"/>
        </w:rPr>
        <w:t xml:space="preserve"> in eleven months  of 2024, the total retail sales of consumer goods and services was estimated to increase by 8.8% over the same period last year, of which </w:t>
      </w:r>
      <w:r w:rsidRPr="000E610C">
        <w:rPr>
          <w:bCs/>
          <w:i/>
          <w:lang w:val="nl-NL"/>
        </w:rPr>
        <w:t xml:space="preserve">revenue from accommodation and food services </w:t>
      </w:r>
      <w:r w:rsidRPr="000E610C">
        <w:rPr>
          <w:i/>
          <w:color w:val="000000"/>
          <w:lang w:val="it-IT"/>
        </w:rPr>
        <w:t>increased by 13.0%, revenue from tourism up to 17.3%.</w:t>
      </w:r>
    </w:p>
    <w:p w14:paraId="32190E3F" w14:textId="77777777" w:rsidR="000E610C" w:rsidRPr="000E610C" w:rsidRDefault="000E610C" w:rsidP="000E610C">
      <w:pPr>
        <w:spacing w:beforeLines="40" w:before="96" w:afterLines="40" w:after="96" w:line="264" w:lineRule="auto"/>
        <w:ind w:firstLine="567"/>
        <w:jc w:val="both"/>
        <w:rPr>
          <w:iCs/>
        </w:rPr>
      </w:pPr>
      <w:r w:rsidRPr="000E610C">
        <w:rPr>
          <w:iCs/>
          <w:lang w:val="it-IT"/>
        </w:rPr>
        <w:t xml:space="preserve">The total retail sales of consumer goods and services </w:t>
      </w:r>
      <w:r w:rsidRPr="000E610C">
        <w:rPr>
          <w:iCs/>
        </w:rPr>
        <w:t xml:space="preserve">at current prices in November 2024 are estimated to reach 562.0 trillion VND, an increase of 8.8% over the same period last year, of which the </w:t>
      </w:r>
      <w:r w:rsidRPr="000E610C">
        <w:rPr>
          <w:bCs/>
          <w:lang w:val="nl-NL"/>
        </w:rPr>
        <w:t>food and foodstuff</w:t>
      </w:r>
      <w:r w:rsidRPr="000E610C">
        <w:rPr>
          <w:iCs/>
        </w:rPr>
        <w:t xml:space="preserve"> group was increased by 11.2%; accommodation and food service revenue increased by 12.9%; tourism revenue increased by 12.5% ​​due to the increase in the number of international visitors to Vietnam and Vietnamese tourists traveling abroad compared to the same period last year.</w:t>
      </w:r>
    </w:p>
    <w:p w14:paraId="064461C7" w14:textId="77777777" w:rsidR="000E610C" w:rsidRPr="000E610C" w:rsidRDefault="000E610C" w:rsidP="000E610C">
      <w:pPr>
        <w:spacing w:beforeLines="40" w:before="96" w:afterLines="40" w:after="96" w:line="264" w:lineRule="auto"/>
        <w:jc w:val="center"/>
        <w:rPr>
          <w:rFonts w:ascii="Arial" w:hAnsi="Arial" w:cs="Arial"/>
          <w:b/>
          <w:bCs/>
          <w:sz w:val="24"/>
          <w:szCs w:val="24"/>
          <w:lang w:val="it-IT"/>
        </w:rPr>
      </w:pPr>
      <w:r w:rsidRPr="000E610C">
        <w:rPr>
          <w:rFonts w:ascii="Arial" w:hAnsi="Arial" w:cs="Arial"/>
          <w:b/>
          <w:sz w:val="24"/>
          <w:szCs w:val="24"/>
          <w:lang w:val="pl-PL"/>
        </w:rPr>
        <w:t>Table 3. The total r</w:t>
      </w:r>
      <w:r w:rsidRPr="000E610C">
        <w:rPr>
          <w:rFonts w:ascii="Arial" w:hAnsi="Arial" w:cs="Arial"/>
          <w:b/>
          <w:bCs/>
          <w:sz w:val="24"/>
          <w:szCs w:val="24"/>
          <w:lang w:val="it-IT"/>
        </w:rPr>
        <w:t xml:space="preserve">etail sales of consumer goods and services </w:t>
      </w:r>
      <w:r w:rsidRPr="000E610C">
        <w:rPr>
          <w:b/>
        </w:rPr>
        <w:t>at current prices</w:t>
      </w:r>
    </w:p>
    <w:p w14:paraId="0867CF6F" w14:textId="77777777" w:rsidR="000E610C" w:rsidRPr="000E610C" w:rsidRDefault="000E610C" w:rsidP="000E610C">
      <w:pPr>
        <w:spacing w:beforeLines="40" w:before="96" w:afterLines="40" w:after="96" w:line="264" w:lineRule="auto"/>
        <w:ind w:firstLine="567"/>
        <w:jc w:val="center"/>
        <w:rPr>
          <w:rFonts w:ascii="Arial" w:hAnsi="Arial" w:cs="Arial"/>
          <w:b/>
          <w:bCs/>
          <w:sz w:val="2"/>
          <w:szCs w:val="20"/>
          <w:lang w:val="it-IT"/>
        </w:rPr>
      </w:pPr>
    </w:p>
    <w:p w14:paraId="118D9B63" w14:textId="77777777" w:rsidR="000E610C" w:rsidRPr="000E610C" w:rsidRDefault="000E610C" w:rsidP="000E610C">
      <w:pPr>
        <w:tabs>
          <w:tab w:val="left" w:pos="2835"/>
        </w:tabs>
        <w:spacing w:beforeLines="40" w:before="96" w:afterLines="40" w:after="96" w:line="264" w:lineRule="auto"/>
        <w:ind w:firstLine="567"/>
        <w:jc w:val="right"/>
        <w:rPr>
          <w:rFonts w:ascii="Arial" w:hAnsi="Arial" w:cs="Arial"/>
          <w:b/>
          <w:bCs/>
          <w:i/>
          <w:sz w:val="12"/>
          <w:szCs w:val="20"/>
        </w:rPr>
      </w:pPr>
      <w:r w:rsidRPr="000E610C">
        <w:rPr>
          <w:rFonts w:ascii="Arial" w:hAnsi="Arial" w:cs="Arial"/>
          <w:b/>
          <w:bCs/>
          <w:i/>
          <w:sz w:val="20"/>
          <w:szCs w:val="20"/>
        </w:rPr>
        <w:t>Trillion VND</w:t>
      </w:r>
    </w:p>
    <w:tbl>
      <w:tblPr>
        <w:tblW w:w="9009" w:type="dxa"/>
        <w:jc w:val="center"/>
        <w:tblLayout w:type="fixed"/>
        <w:tblLook w:val="04A0" w:firstRow="1" w:lastRow="0" w:firstColumn="1" w:lastColumn="0" w:noHBand="0" w:noVBand="1"/>
      </w:tblPr>
      <w:tblGrid>
        <w:gridCol w:w="2949"/>
        <w:gridCol w:w="1402"/>
        <w:gridCol w:w="1720"/>
        <w:gridCol w:w="1486"/>
        <w:gridCol w:w="1452"/>
      </w:tblGrid>
      <w:tr w:rsidR="000E610C" w:rsidRPr="000E610C" w14:paraId="1D677DCA" w14:textId="77777777" w:rsidTr="002F4D0B">
        <w:trPr>
          <w:cantSplit/>
          <w:trHeight w:val="229"/>
          <w:jc w:val="center"/>
        </w:trPr>
        <w:tc>
          <w:tcPr>
            <w:tcW w:w="2949" w:type="dxa"/>
            <w:tcBorders>
              <w:top w:val="single" w:sz="8" w:space="0" w:color="auto"/>
              <w:left w:val="nil"/>
              <w:bottom w:val="nil"/>
              <w:right w:val="nil"/>
            </w:tcBorders>
            <w:vAlign w:val="center"/>
            <w:hideMark/>
          </w:tcPr>
          <w:p w14:paraId="008ED213" w14:textId="77777777" w:rsidR="000E610C" w:rsidRPr="000E610C" w:rsidRDefault="000E610C" w:rsidP="000E610C">
            <w:pPr>
              <w:spacing w:before="20" w:after="20" w:line="276" w:lineRule="auto"/>
              <w:jc w:val="both"/>
              <w:rPr>
                <w:rFonts w:ascii="Arial" w:hAnsi="Arial" w:cs="Arial"/>
                <w:sz w:val="20"/>
                <w:szCs w:val="20"/>
              </w:rPr>
            </w:pPr>
            <w:r w:rsidRPr="000E610C">
              <w:rPr>
                <w:rFonts w:ascii="Arial" w:hAnsi="Arial" w:cs="Arial"/>
                <w:bCs/>
                <w:sz w:val="20"/>
                <w:szCs w:val="20"/>
              </w:rPr>
              <w:t> </w:t>
            </w:r>
          </w:p>
        </w:tc>
        <w:tc>
          <w:tcPr>
            <w:tcW w:w="1402" w:type="dxa"/>
            <w:vMerge w:val="restart"/>
            <w:tcBorders>
              <w:top w:val="single" w:sz="4" w:space="0" w:color="auto"/>
              <w:left w:val="nil"/>
              <w:bottom w:val="single" w:sz="4" w:space="0" w:color="auto"/>
              <w:right w:val="nil"/>
            </w:tcBorders>
            <w:vAlign w:val="center"/>
            <w:hideMark/>
          </w:tcPr>
          <w:p w14:paraId="021DE3B8" w14:textId="77777777" w:rsidR="000E610C" w:rsidRPr="000E610C" w:rsidRDefault="000E610C" w:rsidP="000E610C">
            <w:pPr>
              <w:spacing w:before="60" w:after="60" w:line="276" w:lineRule="auto"/>
              <w:jc w:val="center"/>
              <w:rPr>
                <w:rFonts w:ascii="Arial" w:hAnsi="Arial" w:cs="Arial"/>
                <w:bCs/>
                <w:sz w:val="20"/>
                <w:szCs w:val="20"/>
              </w:rPr>
            </w:pPr>
            <w:r w:rsidRPr="000E610C">
              <w:rPr>
                <w:rFonts w:ascii="Arial" w:hAnsi="Arial" w:cs="Arial"/>
                <w:bCs/>
                <w:sz w:val="20"/>
                <w:szCs w:val="20"/>
              </w:rPr>
              <w:t xml:space="preserve">Estimate </w:t>
            </w:r>
          </w:p>
          <w:p w14:paraId="4FB5C1E4" w14:textId="77777777" w:rsidR="000E610C" w:rsidRPr="000E610C" w:rsidRDefault="000E610C" w:rsidP="000E610C">
            <w:pPr>
              <w:spacing w:before="60" w:after="60" w:line="276" w:lineRule="auto"/>
              <w:jc w:val="center"/>
              <w:rPr>
                <w:rFonts w:ascii="Arial" w:hAnsi="Arial" w:cs="Arial"/>
                <w:bCs/>
                <w:sz w:val="20"/>
                <w:szCs w:val="20"/>
              </w:rPr>
            </w:pPr>
            <w:r w:rsidRPr="000E610C">
              <w:rPr>
                <w:rFonts w:ascii="Arial" w:hAnsi="Arial" w:cs="Arial"/>
                <w:bCs/>
                <w:sz w:val="20"/>
                <w:szCs w:val="20"/>
              </w:rPr>
              <w:t>November</w:t>
            </w:r>
          </w:p>
          <w:p w14:paraId="0ADC2813" w14:textId="77777777" w:rsidR="000E610C" w:rsidRPr="000E610C" w:rsidRDefault="000E610C" w:rsidP="000E610C">
            <w:pPr>
              <w:spacing w:before="20" w:after="20" w:line="276" w:lineRule="auto"/>
              <w:jc w:val="center"/>
              <w:rPr>
                <w:rFonts w:ascii="Arial" w:hAnsi="Arial" w:cs="Arial"/>
                <w:sz w:val="20"/>
                <w:szCs w:val="20"/>
              </w:rPr>
            </w:pPr>
            <w:r w:rsidRPr="000E610C">
              <w:rPr>
                <w:rFonts w:ascii="Arial" w:hAnsi="Arial" w:cs="Arial"/>
                <w:bCs/>
                <w:sz w:val="20"/>
                <w:szCs w:val="20"/>
              </w:rPr>
              <w:t>2024</w:t>
            </w:r>
          </w:p>
        </w:tc>
        <w:tc>
          <w:tcPr>
            <w:tcW w:w="1720" w:type="dxa"/>
            <w:vMerge w:val="restart"/>
            <w:tcBorders>
              <w:top w:val="single" w:sz="4" w:space="0" w:color="auto"/>
              <w:left w:val="nil"/>
              <w:bottom w:val="single" w:sz="4" w:space="0" w:color="auto"/>
              <w:right w:val="nil"/>
            </w:tcBorders>
            <w:vAlign w:val="center"/>
            <w:hideMark/>
          </w:tcPr>
          <w:p w14:paraId="3AFA1CC5" w14:textId="77777777" w:rsidR="000E610C" w:rsidRPr="000E610C" w:rsidRDefault="000E610C" w:rsidP="000E610C">
            <w:pPr>
              <w:spacing w:before="60" w:after="60" w:line="276" w:lineRule="auto"/>
              <w:jc w:val="center"/>
              <w:rPr>
                <w:rFonts w:ascii="Arial" w:hAnsi="Arial" w:cs="Arial"/>
                <w:sz w:val="20"/>
                <w:szCs w:val="20"/>
                <w:lang w:val="pt-BR"/>
              </w:rPr>
            </w:pPr>
            <w:r w:rsidRPr="000E610C">
              <w:rPr>
                <w:rFonts w:ascii="Arial" w:hAnsi="Arial" w:cs="Arial"/>
                <w:bCs/>
                <w:sz w:val="20"/>
                <w:szCs w:val="20"/>
              </w:rPr>
              <w:t xml:space="preserve">Estimate </w:t>
            </w:r>
            <w:r w:rsidRPr="000E610C">
              <w:rPr>
                <w:rFonts w:ascii="Arial" w:hAnsi="Arial" w:cs="Arial"/>
                <w:bCs/>
                <w:sz w:val="20"/>
                <w:szCs w:val="20"/>
              </w:rPr>
              <w:br/>
              <w:t xml:space="preserve">11 months </w:t>
            </w:r>
            <w:r w:rsidRPr="000E610C">
              <w:rPr>
                <w:rFonts w:ascii="Arial" w:hAnsi="Arial" w:cs="Arial"/>
                <w:bCs/>
                <w:sz w:val="20"/>
                <w:szCs w:val="20"/>
              </w:rPr>
              <w:br/>
              <w:t>of 2024</w:t>
            </w:r>
          </w:p>
        </w:tc>
        <w:tc>
          <w:tcPr>
            <w:tcW w:w="2938" w:type="dxa"/>
            <w:gridSpan w:val="2"/>
            <w:vMerge w:val="restart"/>
            <w:tcBorders>
              <w:top w:val="single" w:sz="4" w:space="0" w:color="auto"/>
              <w:left w:val="nil"/>
              <w:bottom w:val="single" w:sz="4" w:space="0" w:color="auto"/>
              <w:right w:val="nil"/>
            </w:tcBorders>
            <w:vAlign w:val="center"/>
            <w:hideMark/>
          </w:tcPr>
          <w:p w14:paraId="282E906D" w14:textId="77777777" w:rsidR="000E610C" w:rsidRPr="000E610C" w:rsidRDefault="000E610C" w:rsidP="000E610C">
            <w:pPr>
              <w:spacing w:before="20" w:after="20" w:line="276" w:lineRule="auto"/>
              <w:jc w:val="center"/>
              <w:rPr>
                <w:rFonts w:ascii="Arial" w:hAnsi="Arial" w:cs="Arial"/>
                <w:sz w:val="20"/>
                <w:szCs w:val="20"/>
                <w:lang w:val="pt-BR"/>
              </w:rPr>
            </w:pPr>
            <w:r w:rsidRPr="000E610C">
              <w:rPr>
                <w:rFonts w:ascii="Arial" w:hAnsi="Arial" w:cs="Arial"/>
                <w:bCs/>
                <w:sz w:val="20"/>
                <w:szCs w:val="20"/>
              </w:rPr>
              <w:t>G</w:t>
            </w:r>
            <w:r w:rsidRPr="000E610C">
              <w:rPr>
                <w:rFonts w:ascii="Arial" w:hAnsi="Arial" w:cs="Arial"/>
                <w:bCs/>
                <w:sz w:val="20"/>
                <w:szCs w:val="20"/>
                <w:lang w:val="vi-VN"/>
              </w:rPr>
              <w:t>rowth rate</w:t>
            </w:r>
            <w:r w:rsidRPr="000E610C">
              <w:rPr>
                <w:rFonts w:ascii="Arial" w:hAnsi="Arial" w:cs="Arial"/>
                <w:bCs/>
                <w:sz w:val="20"/>
                <w:szCs w:val="20"/>
              </w:rPr>
              <w:t xml:space="preserve"> compared to the same period last year (%)</w:t>
            </w:r>
          </w:p>
        </w:tc>
      </w:tr>
      <w:tr w:rsidR="000E610C" w:rsidRPr="000E610C" w14:paraId="6D196FBF" w14:textId="77777777" w:rsidTr="002F4D0B">
        <w:trPr>
          <w:cantSplit/>
          <w:trHeight w:val="193"/>
          <w:jc w:val="center"/>
        </w:trPr>
        <w:tc>
          <w:tcPr>
            <w:tcW w:w="2949" w:type="dxa"/>
            <w:vAlign w:val="center"/>
            <w:hideMark/>
          </w:tcPr>
          <w:p w14:paraId="26518035" w14:textId="77777777" w:rsidR="000E610C" w:rsidRPr="000E610C" w:rsidRDefault="000E610C" w:rsidP="000E610C">
            <w:pPr>
              <w:rPr>
                <w:rFonts w:ascii="Arial" w:hAnsi="Arial" w:cs="Arial"/>
                <w:sz w:val="20"/>
                <w:szCs w:val="20"/>
                <w:lang w:val="pt-BR"/>
              </w:rPr>
            </w:pPr>
          </w:p>
        </w:tc>
        <w:tc>
          <w:tcPr>
            <w:tcW w:w="1402" w:type="dxa"/>
            <w:vMerge/>
            <w:tcBorders>
              <w:top w:val="single" w:sz="4" w:space="0" w:color="auto"/>
              <w:left w:val="nil"/>
              <w:bottom w:val="single" w:sz="4" w:space="0" w:color="auto"/>
              <w:right w:val="nil"/>
            </w:tcBorders>
            <w:vAlign w:val="center"/>
            <w:hideMark/>
          </w:tcPr>
          <w:p w14:paraId="1FB03238" w14:textId="77777777" w:rsidR="000E610C" w:rsidRPr="000E610C" w:rsidRDefault="000E610C" w:rsidP="000E610C">
            <w:pPr>
              <w:spacing w:line="256" w:lineRule="auto"/>
              <w:rPr>
                <w:rFonts w:ascii="Arial" w:hAnsi="Arial" w:cs="Arial"/>
                <w:sz w:val="20"/>
                <w:szCs w:val="20"/>
              </w:rPr>
            </w:pPr>
          </w:p>
        </w:tc>
        <w:tc>
          <w:tcPr>
            <w:tcW w:w="1720" w:type="dxa"/>
            <w:vMerge/>
            <w:tcBorders>
              <w:top w:val="single" w:sz="4" w:space="0" w:color="auto"/>
              <w:left w:val="nil"/>
              <w:bottom w:val="single" w:sz="4" w:space="0" w:color="auto"/>
              <w:right w:val="nil"/>
            </w:tcBorders>
            <w:vAlign w:val="center"/>
            <w:hideMark/>
          </w:tcPr>
          <w:p w14:paraId="45835454" w14:textId="77777777" w:rsidR="000E610C" w:rsidRPr="000E610C" w:rsidRDefault="000E610C" w:rsidP="000E610C">
            <w:pPr>
              <w:spacing w:line="256" w:lineRule="auto"/>
              <w:rPr>
                <w:rFonts w:ascii="Arial" w:hAnsi="Arial" w:cs="Arial"/>
                <w:sz w:val="20"/>
                <w:szCs w:val="20"/>
                <w:lang w:val="pt-BR"/>
              </w:rPr>
            </w:pPr>
          </w:p>
        </w:tc>
        <w:tc>
          <w:tcPr>
            <w:tcW w:w="2938" w:type="dxa"/>
            <w:gridSpan w:val="2"/>
            <w:vMerge/>
            <w:tcBorders>
              <w:top w:val="single" w:sz="4" w:space="0" w:color="auto"/>
              <w:left w:val="nil"/>
              <w:bottom w:val="single" w:sz="4" w:space="0" w:color="auto"/>
              <w:right w:val="nil"/>
            </w:tcBorders>
            <w:vAlign w:val="center"/>
            <w:hideMark/>
          </w:tcPr>
          <w:p w14:paraId="5A46E704" w14:textId="77777777" w:rsidR="000E610C" w:rsidRPr="000E610C" w:rsidRDefault="000E610C" w:rsidP="000E610C">
            <w:pPr>
              <w:spacing w:line="256" w:lineRule="auto"/>
              <w:rPr>
                <w:rFonts w:ascii="Arial" w:hAnsi="Arial" w:cs="Arial"/>
                <w:sz w:val="20"/>
                <w:szCs w:val="20"/>
                <w:lang w:val="pt-BR"/>
              </w:rPr>
            </w:pPr>
          </w:p>
        </w:tc>
      </w:tr>
      <w:tr w:rsidR="000E610C" w:rsidRPr="000E610C" w14:paraId="6348B48C" w14:textId="77777777" w:rsidTr="002F4D0B">
        <w:trPr>
          <w:cantSplit/>
          <w:trHeight w:val="106"/>
          <w:jc w:val="center"/>
        </w:trPr>
        <w:tc>
          <w:tcPr>
            <w:tcW w:w="2949" w:type="dxa"/>
            <w:vAlign w:val="center"/>
            <w:hideMark/>
          </w:tcPr>
          <w:p w14:paraId="03E0F6CA" w14:textId="77777777" w:rsidR="000E610C" w:rsidRPr="000E610C" w:rsidRDefault="000E610C" w:rsidP="000E610C">
            <w:pPr>
              <w:spacing w:line="256" w:lineRule="auto"/>
              <w:rPr>
                <w:rFonts w:ascii="Calibri" w:eastAsia="Calibri" w:hAnsi="Calibri"/>
                <w:sz w:val="20"/>
                <w:szCs w:val="20"/>
              </w:rPr>
            </w:pPr>
          </w:p>
        </w:tc>
        <w:tc>
          <w:tcPr>
            <w:tcW w:w="1402" w:type="dxa"/>
            <w:vMerge/>
            <w:tcBorders>
              <w:top w:val="single" w:sz="4" w:space="0" w:color="auto"/>
              <w:left w:val="nil"/>
              <w:bottom w:val="single" w:sz="4" w:space="0" w:color="auto"/>
              <w:right w:val="nil"/>
            </w:tcBorders>
            <w:vAlign w:val="center"/>
            <w:hideMark/>
          </w:tcPr>
          <w:p w14:paraId="6868555C" w14:textId="77777777" w:rsidR="000E610C" w:rsidRPr="000E610C" w:rsidRDefault="000E610C" w:rsidP="000E610C">
            <w:pPr>
              <w:spacing w:line="256" w:lineRule="auto"/>
              <w:rPr>
                <w:rFonts w:ascii="Arial" w:hAnsi="Arial" w:cs="Arial"/>
                <w:sz w:val="20"/>
                <w:szCs w:val="20"/>
              </w:rPr>
            </w:pPr>
          </w:p>
        </w:tc>
        <w:tc>
          <w:tcPr>
            <w:tcW w:w="1720" w:type="dxa"/>
            <w:vMerge/>
            <w:tcBorders>
              <w:top w:val="single" w:sz="4" w:space="0" w:color="auto"/>
              <w:left w:val="nil"/>
              <w:bottom w:val="single" w:sz="4" w:space="0" w:color="auto"/>
              <w:right w:val="nil"/>
            </w:tcBorders>
            <w:vAlign w:val="center"/>
            <w:hideMark/>
          </w:tcPr>
          <w:p w14:paraId="059F8A2F" w14:textId="77777777" w:rsidR="000E610C" w:rsidRPr="000E610C" w:rsidRDefault="000E610C" w:rsidP="000E610C">
            <w:pPr>
              <w:spacing w:line="256" w:lineRule="auto"/>
              <w:rPr>
                <w:rFonts w:ascii="Arial" w:hAnsi="Arial" w:cs="Arial"/>
                <w:sz w:val="20"/>
                <w:szCs w:val="20"/>
                <w:lang w:val="pt-BR"/>
              </w:rPr>
            </w:pPr>
          </w:p>
        </w:tc>
        <w:tc>
          <w:tcPr>
            <w:tcW w:w="1486" w:type="dxa"/>
            <w:vMerge w:val="restart"/>
            <w:tcBorders>
              <w:top w:val="nil"/>
              <w:left w:val="nil"/>
              <w:bottom w:val="single" w:sz="4" w:space="0" w:color="auto"/>
              <w:right w:val="nil"/>
            </w:tcBorders>
            <w:vAlign w:val="center"/>
            <w:hideMark/>
          </w:tcPr>
          <w:p w14:paraId="5484E5CB" w14:textId="77777777" w:rsidR="000E610C" w:rsidRPr="000E610C" w:rsidRDefault="000E610C" w:rsidP="000E610C">
            <w:pPr>
              <w:spacing w:before="60" w:after="60" w:line="276" w:lineRule="auto"/>
              <w:jc w:val="center"/>
              <w:rPr>
                <w:rFonts w:ascii="Arial" w:hAnsi="Arial" w:cs="Arial"/>
                <w:bCs/>
                <w:sz w:val="20"/>
                <w:szCs w:val="20"/>
              </w:rPr>
            </w:pPr>
            <w:r w:rsidRPr="000E610C">
              <w:rPr>
                <w:rFonts w:ascii="Arial" w:hAnsi="Arial" w:cs="Arial"/>
                <w:bCs/>
                <w:sz w:val="20"/>
                <w:szCs w:val="20"/>
              </w:rPr>
              <w:t>November</w:t>
            </w:r>
          </w:p>
          <w:p w14:paraId="097089D8" w14:textId="77777777" w:rsidR="000E610C" w:rsidRPr="000E610C" w:rsidRDefault="000E610C" w:rsidP="000E610C">
            <w:pPr>
              <w:spacing w:before="60" w:after="60" w:line="276" w:lineRule="auto"/>
              <w:jc w:val="center"/>
              <w:rPr>
                <w:rFonts w:ascii="Arial" w:hAnsi="Arial" w:cs="Arial"/>
                <w:sz w:val="20"/>
                <w:szCs w:val="20"/>
              </w:rPr>
            </w:pPr>
            <w:r w:rsidRPr="000E610C">
              <w:rPr>
                <w:rFonts w:ascii="Arial" w:hAnsi="Arial" w:cs="Arial"/>
                <w:bCs/>
                <w:sz w:val="20"/>
                <w:szCs w:val="20"/>
              </w:rPr>
              <w:t>in 2024</w:t>
            </w:r>
          </w:p>
        </w:tc>
        <w:tc>
          <w:tcPr>
            <w:tcW w:w="1452" w:type="dxa"/>
            <w:vMerge w:val="restart"/>
            <w:tcBorders>
              <w:top w:val="nil"/>
              <w:left w:val="nil"/>
              <w:bottom w:val="single" w:sz="4" w:space="0" w:color="auto"/>
              <w:right w:val="nil"/>
            </w:tcBorders>
            <w:vAlign w:val="center"/>
            <w:hideMark/>
          </w:tcPr>
          <w:p w14:paraId="3D64E8EE" w14:textId="77777777" w:rsidR="000E610C" w:rsidRPr="000E610C" w:rsidRDefault="000E610C" w:rsidP="000E610C">
            <w:pPr>
              <w:spacing w:before="60" w:after="60" w:line="276" w:lineRule="auto"/>
              <w:jc w:val="center"/>
              <w:rPr>
                <w:rFonts w:ascii="Arial" w:hAnsi="Arial" w:cs="Arial"/>
                <w:sz w:val="20"/>
                <w:szCs w:val="20"/>
              </w:rPr>
            </w:pPr>
            <w:r w:rsidRPr="000E610C">
              <w:rPr>
                <w:rFonts w:ascii="Arial" w:hAnsi="Arial" w:cs="Arial"/>
                <w:bCs/>
                <w:sz w:val="20"/>
                <w:szCs w:val="20"/>
              </w:rPr>
              <w:t>11 months</w:t>
            </w:r>
            <w:r w:rsidRPr="000E610C">
              <w:rPr>
                <w:rFonts w:ascii="Arial" w:hAnsi="Arial" w:cs="Arial"/>
                <w:bCs/>
                <w:sz w:val="20"/>
                <w:szCs w:val="20"/>
              </w:rPr>
              <w:br/>
              <w:t>of 2024</w:t>
            </w:r>
          </w:p>
        </w:tc>
      </w:tr>
      <w:tr w:rsidR="000E610C" w:rsidRPr="000E610C" w14:paraId="1B3C9ACE" w14:textId="77777777" w:rsidTr="002F4D0B">
        <w:trPr>
          <w:cantSplit/>
          <w:trHeight w:val="454"/>
          <w:jc w:val="center"/>
        </w:trPr>
        <w:tc>
          <w:tcPr>
            <w:tcW w:w="2949" w:type="dxa"/>
            <w:vAlign w:val="center"/>
            <w:hideMark/>
          </w:tcPr>
          <w:p w14:paraId="774340A3" w14:textId="77777777" w:rsidR="000E610C" w:rsidRPr="000E610C" w:rsidRDefault="000E610C" w:rsidP="000E610C">
            <w:pPr>
              <w:rPr>
                <w:rFonts w:ascii="Arial" w:hAnsi="Arial" w:cs="Arial"/>
                <w:sz w:val="20"/>
                <w:szCs w:val="20"/>
              </w:rPr>
            </w:pPr>
          </w:p>
        </w:tc>
        <w:tc>
          <w:tcPr>
            <w:tcW w:w="1402" w:type="dxa"/>
            <w:vMerge/>
            <w:tcBorders>
              <w:top w:val="single" w:sz="4" w:space="0" w:color="auto"/>
              <w:left w:val="nil"/>
              <w:bottom w:val="single" w:sz="4" w:space="0" w:color="auto"/>
              <w:right w:val="nil"/>
            </w:tcBorders>
            <w:vAlign w:val="center"/>
            <w:hideMark/>
          </w:tcPr>
          <w:p w14:paraId="6A13AEFD" w14:textId="77777777" w:rsidR="000E610C" w:rsidRPr="000E610C" w:rsidRDefault="000E610C" w:rsidP="000E610C">
            <w:pPr>
              <w:spacing w:line="256" w:lineRule="auto"/>
              <w:rPr>
                <w:rFonts w:ascii="Arial" w:hAnsi="Arial" w:cs="Arial"/>
                <w:sz w:val="20"/>
                <w:szCs w:val="20"/>
              </w:rPr>
            </w:pPr>
          </w:p>
        </w:tc>
        <w:tc>
          <w:tcPr>
            <w:tcW w:w="1720" w:type="dxa"/>
            <w:vMerge/>
            <w:tcBorders>
              <w:top w:val="single" w:sz="4" w:space="0" w:color="auto"/>
              <w:left w:val="nil"/>
              <w:bottom w:val="single" w:sz="4" w:space="0" w:color="auto"/>
              <w:right w:val="nil"/>
            </w:tcBorders>
            <w:vAlign w:val="center"/>
            <w:hideMark/>
          </w:tcPr>
          <w:p w14:paraId="102D10D5" w14:textId="77777777" w:rsidR="000E610C" w:rsidRPr="000E610C" w:rsidRDefault="000E610C" w:rsidP="000E610C">
            <w:pPr>
              <w:spacing w:line="256" w:lineRule="auto"/>
              <w:rPr>
                <w:rFonts w:ascii="Arial" w:hAnsi="Arial" w:cs="Arial"/>
                <w:sz w:val="20"/>
                <w:szCs w:val="20"/>
                <w:lang w:val="pt-BR"/>
              </w:rPr>
            </w:pPr>
          </w:p>
        </w:tc>
        <w:tc>
          <w:tcPr>
            <w:tcW w:w="1486" w:type="dxa"/>
            <w:vMerge/>
            <w:tcBorders>
              <w:top w:val="nil"/>
              <w:left w:val="nil"/>
              <w:bottom w:val="single" w:sz="4" w:space="0" w:color="auto"/>
              <w:right w:val="nil"/>
            </w:tcBorders>
            <w:vAlign w:val="center"/>
            <w:hideMark/>
          </w:tcPr>
          <w:p w14:paraId="2BEB6497" w14:textId="77777777" w:rsidR="000E610C" w:rsidRPr="000E610C" w:rsidRDefault="000E610C" w:rsidP="000E610C">
            <w:pPr>
              <w:spacing w:line="256" w:lineRule="auto"/>
              <w:rPr>
                <w:rFonts w:ascii="Arial" w:hAnsi="Arial" w:cs="Arial"/>
                <w:sz w:val="20"/>
                <w:szCs w:val="20"/>
              </w:rPr>
            </w:pPr>
          </w:p>
        </w:tc>
        <w:tc>
          <w:tcPr>
            <w:tcW w:w="1452" w:type="dxa"/>
            <w:vMerge/>
            <w:tcBorders>
              <w:top w:val="nil"/>
              <w:left w:val="nil"/>
              <w:bottom w:val="single" w:sz="4" w:space="0" w:color="auto"/>
              <w:right w:val="nil"/>
            </w:tcBorders>
            <w:vAlign w:val="center"/>
            <w:hideMark/>
          </w:tcPr>
          <w:p w14:paraId="007ECAF4" w14:textId="77777777" w:rsidR="000E610C" w:rsidRPr="000E610C" w:rsidRDefault="000E610C" w:rsidP="000E610C">
            <w:pPr>
              <w:spacing w:line="256" w:lineRule="auto"/>
              <w:rPr>
                <w:rFonts w:ascii="Arial" w:hAnsi="Arial" w:cs="Arial"/>
                <w:sz w:val="20"/>
                <w:szCs w:val="20"/>
              </w:rPr>
            </w:pPr>
          </w:p>
        </w:tc>
      </w:tr>
      <w:tr w:rsidR="000E610C" w:rsidRPr="000E610C" w14:paraId="616DFEFC" w14:textId="77777777" w:rsidTr="002F4D0B">
        <w:trPr>
          <w:cantSplit/>
          <w:trHeight w:val="301"/>
          <w:jc w:val="center"/>
        </w:trPr>
        <w:tc>
          <w:tcPr>
            <w:tcW w:w="2949" w:type="dxa"/>
            <w:vAlign w:val="center"/>
            <w:hideMark/>
          </w:tcPr>
          <w:p w14:paraId="7F0B9219" w14:textId="77777777" w:rsidR="000E610C" w:rsidRPr="000E610C" w:rsidRDefault="000E610C" w:rsidP="000E610C">
            <w:pPr>
              <w:spacing w:before="80" w:after="80" w:line="276" w:lineRule="auto"/>
              <w:rPr>
                <w:rFonts w:ascii="Arial" w:hAnsi="Arial" w:cs="Arial"/>
                <w:b/>
                <w:bCs/>
                <w:sz w:val="20"/>
                <w:szCs w:val="20"/>
              </w:rPr>
            </w:pPr>
            <w:r w:rsidRPr="000E610C">
              <w:rPr>
                <w:rFonts w:ascii="Arial" w:hAnsi="Arial" w:cs="Arial"/>
                <w:b/>
                <w:bCs/>
                <w:color w:val="000000"/>
                <w:sz w:val="20"/>
                <w:szCs w:val="20"/>
              </w:rPr>
              <w:t>Total</w:t>
            </w:r>
          </w:p>
        </w:tc>
        <w:tc>
          <w:tcPr>
            <w:tcW w:w="1402" w:type="dxa"/>
            <w:tcBorders>
              <w:top w:val="single" w:sz="4" w:space="0" w:color="auto"/>
              <w:left w:val="nil"/>
              <w:bottom w:val="nil"/>
              <w:right w:val="nil"/>
            </w:tcBorders>
            <w:vAlign w:val="center"/>
            <w:hideMark/>
          </w:tcPr>
          <w:p w14:paraId="79F0B670" w14:textId="77777777" w:rsidR="000E610C" w:rsidRPr="000E610C" w:rsidRDefault="000E610C" w:rsidP="000E610C">
            <w:pPr>
              <w:spacing w:before="80" w:after="80"/>
              <w:ind w:right="321"/>
              <w:jc w:val="right"/>
              <w:rPr>
                <w:rFonts w:ascii="Arial" w:hAnsi="Arial" w:cs="Arial"/>
                <w:b/>
                <w:bCs/>
                <w:sz w:val="20"/>
                <w:szCs w:val="20"/>
                <w:lang w:val="it-IT"/>
              </w:rPr>
            </w:pPr>
            <w:r w:rsidRPr="000E610C">
              <w:rPr>
                <w:rFonts w:ascii="Arial" w:hAnsi="Arial" w:cs="Arial"/>
                <w:b/>
                <w:bCs/>
                <w:sz w:val="20"/>
                <w:szCs w:val="20"/>
              </w:rPr>
              <w:t>562,0</w:t>
            </w:r>
          </w:p>
        </w:tc>
        <w:tc>
          <w:tcPr>
            <w:tcW w:w="1720" w:type="dxa"/>
            <w:tcBorders>
              <w:top w:val="single" w:sz="4" w:space="0" w:color="auto"/>
              <w:left w:val="nil"/>
              <w:bottom w:val="nil"/>
              <w:right w:val="nil"/>
            </w:tcBorders>
            <w:vAlign w:val="center"/>
            <w:hideMark/>
          </w:tcPr>
          <w:p w14:paraId="2293D7C2" w14:textId="77777777" w:rsidR="000E610C" w:rsidRPr="000E610C" w:rsidRDefault="000E610C" w:rsidP="000E610C">
            <w:pPr>
              <w:spacing w:before="80" w:after="80"/>
              <w:ind w:right="321"/>
              <w:jc w:val="right"/>
              <w:rPr>
                <w:rFonts w:ascii="Arial" w:hAnsi="Arial" w:cs="Arial"/>
                <w:b/>
                <w:bCs/>
                <w:sz w:val="20"/>
                <w:szCs w:val="20"/>
                <w:lang w:val="it-IT"/>
              </w:rPr>
            </w:pPr>
            <w:r w:rsidRPr="000E610C">
              <w:rPr>
                <w:rFonts w:ascii="Arial" w:hAnsi="Arial" w:cs="Arial"/>
                <w:b/>
                <w:bCs/>
                <w:sz w:val="20"/>
                <w:szCs w:val="20"/>
              </w:rPr>
              <w:t>5.822,3</w:t>
            </w:r>
          </w:p>
        </w:tc>
        <w:tc>
          <w:tcPr>
            <w:tcW w:w="1486" w:type="dxa"/>
            <w:tcBorders>
              <w:top w:val="single" w:sz="4" w:space="0" w:color="auto"/>
              <w:left w:val="nil"/>
              <w:bottom w:val="nil"/>
              <w:right w:val="nil"/>
            </w:tcBorders>
            <w:vAlign w:val="center"/>
            <w:hideMark/>
          </w:tcPr>
          <w:p w14:paraId="1CC8E4B4" w14:textId="77777777" w:rsidR="000E610C" w:rsidRPr="000E610C" w:rsidRDefault="000E610C" w:rsidP="000E610C">
            <w:pPr>
              <w:spacing w:before="80" w:after="80"/>
              <w:ind w:right="464"/>
              <w:jc w:val="right"/>
              <w:rPr>
                <w:rFonts w:ascii="Arial" w:hAnsi="Arial" w:cs="Arial"/>
                <w:b/>
                <w:bCs/>
                <w:sz w:val="20"/>
                <w:szCs w:val="20"/>
                <w:lang w:val="it-IT"/>
              </w:rPr>
            </w:pPr>
            <w:r w:rsidRPr="000E610C">
              <w:rPr>
                <w:rFonts w:ascii="Arial" w:hAnsi="Arial" w:cs="Arial"/>
                <w:b/>
                <w:bCs/>
                <w:sz w:val="20"/>
                <w:szCs w:val="20"/>
              </w:rPr>
              <w:t>8,8</w:t>
            </w:r>
          </w:p>
        </w:tc>
        <w:tc>
          <w:tcPr>
            <w:tcW w:w="1452" w:type="dxa"/>
            <w:tcBorders>
              <w:top w:val="single" w:sz="4" w:space="0" w:color="auto"/>
              <w:left w:val="nil"/>
              <w:bottom w:val="nil"/>
              <w:right w:val="nil"/>
            </w:tcBorders>
            <w:vAlign w:val="center"/>
            <w:hideMark/>
          </w:tcPr>
          <w:p w14:paraId="61FA7BD8" w14:textId="77777777" w:rsidR="000E610C" w:rsidRPr="000E610C" w:rsidRDefault="000E610C" w:rsidP="000E610C">
            <w:pPr>
              <w:spacing w:before="80" w:after="80"/>
              <w:ind w:right="464"/>
              <w:jc w:val="right"/>
              <w:rPr>
                <w:rFonts w:ascii="Arial" w:hAnsi="Arial" w:cs="Arial"/>
                <w:b/>
                <w:bCs/>
                <w:sz w:val="20"/>
                <w:szCs w:val="20"/>
                <w:lang w:val="it-IT"/>
              </w:rPr>
            </w:pPr>
            <w:r w:rsidRPr="000E610C">
              <w:rPr>
                <w:rFonts w:ascii="Arial" w:hAnsi="Arial" w:cs="Arial"/>
                <w:b/>
                <w:bCs/>
                <w:sz w:val="20"/>
                <w:szCs w:val="20"/>
              </w:rPr>
              <w:t>8,8</w:t>
            </w:r>
          </w:p>
        </w:tc>
      </w:tr>
      <w:tr w:rsidR="000E610C" w:rsidRPr="000E610C" w14:paraId="0926FFC6" w14:textId="77777777" w:rsidTr="002F4D0B">
        <w:trPr>
          <w:cantSplit/>
          <w:trHeight w:val="260"/>
          <w:jc w:val="center"/>
        </w:trPr>
        <w:tc>
          <w:tcPr>
            <w:tcW w:w="2949" w:type="dxa"/>
            <w:vAlign w:val="center"/>
            <w:hideMark/>
          </w:tcPr>
          <w:p w14:paraId="53DBEA81" w14:textId="77777777" w:rsidR="000E610C" w:rsidRPr="000E610C" w:rsidRDefault="000E610C" w:rsidP="000E610C">
            <w:pPr>
              <w:spacing w:line="276" w:lineRule="auto"/>
              <w:ind w:left="318"/>
              <w:rPr>
                <w:rFonts w:ascii="Arial" w:hAnsi="Arial" w:cs="Arial"/>
                <w:sz w:val="20"/>
                <w:szCs w:val="20"/>
              </w:rPr>
            </w:pPr>
            <w:r w:rsidRPr="000E610C">
              <w:rPr>
                <w:rFonts w:ascii="Arial" w:hAnsi="Arial" w:cs="Arial"/>
                <w:bCs/>
                <w:color w:val="000000"/>
                <w:sz w:val="20"/>
                <w:szCs w:val="20"/>
              </w:rPr>
              <w:t>Retail sale of goods</w:t>
            </w:r>
          </w:p>
        </w:tc>
        <w:tc>
          <w:tcPr>
            <w:tcW w:w="1402" w:type="dxa"/>
            <w:vAlign w:val="center"/>
            <w:hideMark/>
          </w:tcPr>
          <w:p w14:paraId="36C0325A" w14:textId="77777777" w:rsidR="000E610C" w:rsidRPr="000E610C" w:rsidRDefault="000E610C" w:rsidP="000E610C">
            <w:pPr>
              <w:ind w:right="321"/>
              <w:jc w:val="right"/>
              <w:rPr>
                <w:rFonts w:ascii="Arial" w:hAnsi="Arial" w:cs="Arial"/>
                <w:bCs/>
                <w:sz w:val="20"/>
                <w:szCs w:val="20"/>
                <w:lang w:val="it-IT"/>
              </w:rPr>
            </w:pPr>
            <w:r w:rsidRPr="000E610C">
              <w:rPr>
                <w:rFonts w:ascii="Arial" w:hAnsi="Arial" w:cs="Arial"/>
                <w:sz w:val="20"/>
                <w:szCs w:val="20"/>
              </w:rPr>
              <w:t>430,4</w:t>
            </w:r>
          </w:p>
        </w:tc>
        <w:tc>
          <w:tcPr>
            <w:tcW w:w="1720" w:type="dxa"/>
            <w:vAlign w:val="center"/>
            <w:hideMark/>
          </w:tcPr>
          <w:p w14:paraId="06587839" w14:textId="77777777" w:rsidR="000E610C" w:rsidRPr="000E610C" w:rsidRDefault="000E610C" w:rsidP="000E610C">
            <w:pPr>
              <w:ind w:right="321"/>
              <w:jc w:val="right"/>
              <w:rPr>
                <w:rFonts w:ascii="Arial" w:hAnsi="Arial" w:cs="Arial"/>
                <w:bCs/>
                <w:sz w:val="20"/>
                <w:szCs w:val="20"/>
                <w:lang w:val="it-IT"/>
              </w:rPr>
            </w:pPr>
            <w:r w:rsidRPr="000E610C">
              <w:rPr>
                <w:rFonts w:ascii="Arial" w:hAnsi="Arial" w:cs="Arial"/>
                <w:sz w:val="20"/>
                <w:szCs w:val="20"/>
              </w:rPr>
              <w:t>4.487,3</w:t>
            </w:r>
          </w:p>
        </w:tc>
        <w:tc>
          <w:tcPr>
            <w:tcW w:w="1486" w:type="dxa"/>
            <w:vAlign w:val="center"/>
            <w:hideMark/>
          </w:tcPr>
          <w:p w14:paraId="0B08C7CD" w14:textId="77777777" w:rsidR="000E610C" w:rsidRPr="000E610C" w:rsidRDefault="000E610C" w:rsidP="000E610C">
            <w:pPr>
              <w:ind w:right="464"/>
              <w:jc w:val="right"/>
              <w:rPr>
                <w:rFonts w:ascii="Arial" w:hAnsi="Arial" w:cs="Arial"/>
                <w:bCs/>
                <w:sz w:val="20"/>
                <w:szCs w:val="20"/>
                <w:lang w:val="it-IT"/>
              </w:rPr>
            </w:pPr>
            <w:r w:rsidRPr="000E610C">
              <w:rPr>
                <w:rFonts w:ascii="Arial" w:hAnsi="Arial" w:cs="Arial"/>
                <w:sz w:val="20"/>
                <w:szCs w:val="20"/>
              </w:rPr>
              <w:t>8,3</w:t>
            </w:r>
          </w:p>
        </w:tc>
        <w:tc>
          <w:tcPr>
            <w:tcW w:w="1452" w:type="dxa"/>
            <w:vAlign w:val="center"/>
            <w:hideMark/>
          </w:tcPr>
          <w:p w14:paraId="6AE5B393" w14:textId="77777777" w:rsidR="000E610C" w:rsidRPr="000E610C" w:rsidRDefault="000E610C" w:rsidP="000E610C">
            <w:pPr>
              <w:ind w:right="464"/>
              <w:jc w:val="right"/>
              <w:rPr>
                <w:rFonts w:ascii="Arial" w:hAnsi="Arial" w:cs="Arial"/>
                <w:bCs/>
                <w:sz w:val="20"/>
                <w:szCs w:val="20"/>
                <w:lang w:val="it-IT"/>
              </w:rPr>
            </w:pPr>
            <w:r w:rsidRPr="000E610C">
              <w:rPr>
                <w:rFonts w:ascii="Arial" w:hAnsi="Arial" w:cs="Arial"/>
                <w:sz w:val="20"/>
                <w:szCs w:val="20"/>
              </w:rPr>
              <w:t>8,1</w:t>
            </w:r>
          </w:p>
        </w:tc>
      </w:tr>
      <w:tr w:rsidR="000E610C" w:rsidRPr="000E610C" w14:paraId="6BA87398" w14:textId="77777777" w:rsidTr="002F4D0B">
        <w:trPr>
          <w:cantSplit/>
          <w:trHeight w:val="229"/>
          <w:jc w:val="center"/>
        </w:trPr>
        <w:tc>
          <w:tcPr>
            <w:tcW w:w="2949" w:type="dxa"/>
            <w:vAlign w:val="center"/>
            <w:hideMark/>
          </w:tcPr>
          <w:p w14:paraId="382EFBAA" w14:textId="77777777" w:rsidR="000E610C" w:rsidRPr="000E610C" w:rsidRDefault="000E610C" w:rsidP="000E610C">
            <w:pPr>
              <w:spacing w:line="276" w:lineRule="auto"/>
              <w:ind w:left="318"/>
              <w:rPr>
                <w:rFonts w:ascii="Arial" w:hAnsi="Arial" w:cs="Arial"/>
                <w:sz w:val="20"/>
                <w:szCs w:val="20"/>
              </w:rPr>
            </w:pPr>
            <w:r w:rsidRPr="000E610C">
              <w:rPr>
                <w:rFonts w:ascii="Arial" w:hAnsi="Arial" w:cs="Arial"/>
                <w:bCs/>
                <w:color w:val="000000"/>
                <w:sz w:val="20"/>
                <w:szCs w:val="20"/>
              </w:rPr>
              <w:t>Accommodation and catering service</w:t>
            </w:r>
          </w:p>
        </w:tc>
        <w:tc>
          <w:tcPr>
            <w:tcW w:w="1402" w:type="dxa"/>
            <w:vAlign w:val="center"/>
            <w:hideMark/>
          </w:tcPr>
          <w:p w14:paraId="7D796D17" w14:textId="77777777" w:rsidR="000E610C" w:rsidRPr="000E610C" w:rsidRDefault="000E610C" w:rsidP="000E610C">
            <w:pPr>
              <w:ind w:right="321"/>
              <w:jc w:val="right"/>
              <w:rPr>
                <w:rFonts w:ascii="Arial" w:hAnsi="Arial" w:cs="Arial"/>
                <w:bCs/>
                <w:sz w:val="20"/>
                <w:szCs w:val="20"/>
                <w:lang w:val="it-IT"/>
              </w:rPr>
            </w:pPr>
            <w:r w:rsidRPr="000E610C">
              <w:rPr>
                <w:rFonts w:ascii="Arial" w:hAnsi="Arial" w:cs="Arial"/>
                <w:sz w:val="20"/>
                <w:szCs w:val="20"/>
              </w:rPr>
              <w:t>63,7</w:t>
            </w:r>
          </w:p>
        </w:tc>
        <w:tc>
          <w:tcPr>
            <w:tcW w:w="1720" w:type="dxa"/>
            <w:vAlign w:val="center"/>
            <w:hideMark/>
          </w:tcPr>
          <w:p w14:paraId="365AFE5F" w14:textId="77777777" w:rsidR="000E610C" w:rsidRPr="000E610C" w:rsidRDefault="000E610C" w:rsidP="000E610C">
            <w:pPr>
              <w:ind w:right="321"/>
              <w:jc w:val="right"/>
              <w:rPr>
                <w:rFonts w:ascii="Arial" w:hAnsi="Arial" w:cs="Arial"/>
                <w:bCs/>
                <w:sz w:val="20"/>
                <w:szCs w:val="20"/>
                <w:lang w:val="it-IT"/>
              </w:rPr>
            </w:pPr>
            <w:r w:rsidRPr="000E610C">
              <w:rPr>
                <w:rFonts w:ascii="Arial" w:hAnsi="Arial" w:cs="Arial"/>
                <w:sz w:val="20"/>
                <w:szCs w:val="20"/>
              </w:rPr>
              <w:t>669,0</w:t>
            </w:r>
          </w:p>
        </w:tc>
        <w:tc>
          <w:tcPr>
            <w:tcW w:w="1486" w:type="dxa"/>
            <w:vAlign w:val="center"/>
            <w:hideMark/>
          </w:tcPr>
          <w:p w14:paraId="5BDD5575" w14:textId="77777777" w:rsidR="000E610C" w:rsidRPr="000E610C" w:rsidRDefault="000E610C" w:rsidP="000E610C">
            <w:pPr>
              <w:ind w:right="464"/>
              <w:jc w:val="right"/>
              <w:rPr>
                <w:rFonts w:ascii="Arial" w:hAnsi="Arial" w:cs="Arial"/>
                <w:bCs/>
                <w:sz w:val="20"/>
                <w:szCs w:val="20"/>
                <w:lang w:val="it-IT"/>
              </w:rPr>
            </w:pPr>
            <w:r w:rsidRPr="000E610C">
              <w:rPr>
                <w:rFonts w:ascii="Arial" w:hAnsi="Arial" w:cs="Arial"/>
                <w:sz w:val="20"/>
                <w:szCs w:val="20"/>
              </w:rPr>
              <w:t>12,9</w:t>
            </w:r>
          </w:p>
        </w:tc>
        <w:tc>
          <w:tcPr>
            <w:tcW w:w="1452" w:type="dxa"/>
            <w:vAlign w:val="center"/>
            <w:hideMark/>
          </w:tcPr>
          <w:p w14:paraId="55244644" w14:textId="77777777" w:rsidR="000E610C" w:rsidRPr="000E610C" w:rsidRDefault="000E610C" w:rsidP="000E610C">
            <w:pPr>
              <w:ind w:right="464"/>
              <w:jc w:val="right"/>
              <w:rPr>
                <w:rFonts w:ascii="Arial" w:hAnsi="Arial" w:cs="Arial"/>
                <w:bCs/>
                <w:sz w:val="20"/>
                <w:szCs w:val="20"/>
                <w:lang w:val="it-IT"/>
              </w:rPr>
            </w:pPr>
            <w:r w:rsidRPr="000E610C">
              <w:rPr>
                <w:rFonts w:ascii="Arial" w:hAnsi="Arial" w:cs="Arial"/>
                <w:sz w:val="20"/>
                <w:szCs w:val="20"/>
              </w:rPr>
              <w:t>13,0</w:t>
            </w:r>
          </w:p>
        </w:tc>
      </w:tr>
      <w:tr w:rsidR="000E610C" w:rsidRPr="000E610C" w14:paraId="16A2078F" w14:textId="77777777" w:rsidTr="002F4D0B">
        <w:trPr>
          <w:cantSplit/>
          <w:trHeight w:val="229"/>
          <w:jc w:val="center"/>
        </w:trPr>
        <w:tc>
          <w:tcPr>
            <w:tcW w:w="2949" w:type="dxa"/>
            <w:vAlign w:val="center"/>
            <w:hideMark/>
          </w:tcPr>
          <w:p w14:paraId="386786B4" w14:textId="77777777" w:rsidR="000E610C" w:rsidRPr="000E610C" w:rsidRDefault="000E610C" w:rsidP="000E610C">
            <w:pPr>
              <w:spacing w:line="276" w:lineRule="auto"/>
              <w:ind w:left="318"/>
              <w:rPr>
                <w:rFonts w:ascii="Arial" w:hAnsi="Arial" w:cs="Arial"/>
                <w:sz w:val="20"/>
                <w:szCs w:val="20"/>
              </w:rPr>
            </w:pPr>
            <w:r w:rsidRPr="000E610C">
              <w:rPr>
                <w:rFonts w:ascii="Arial" w:hAnsi="Arial" w:cs="Arial"/>
                <w:bCs/>
                <w:color w:val="000000"/>
                <w:sz w:val="20"/>
                <w:szCs w:val="20"/>
              </w:rPr>
              <w:t xml:space="preserve">Tourism revenue </w:t>
            </w:r>
          </w:p>
        </w:tc>
        <w:tc>
          <w:tcPr>
            <w:tcW w:w="1402" w:type="dxa"/>
            <w:vAlign w:val="center"/>
            <w:hideMark/>
          </w:tcPr>
          <w:p w14:paraId="76A78439" w14:textId="77777777" w:rsidR="000E610C" w:rsidRPr="000E610C" w:rsidRDefault="000E610C" w:rsidP="000E610C">
            <w:pPr>
              <w:ind w:right="321"/>
              <w:jc w:val="right"/>
              <w:rPr>
                <w:rFonts w:ascii="Arial" w:hAnsi="Arial" w:cs="Arial"/>
                <w:bCs/>
                <w:sz w:val="20"/>
                <w:szCs w:val="20"/>
                <w:lang w:val="it-IT"/>
              </w:rPr>
            </w:pPr>
            <w:r w:rsidRPr="000E610C">
              <w:rPr>
                <w:rFonts w:ascii="Arial" w:hAnsi="Arial" w:cs="Arial"/>
                <w:sz w:val="20"/>
                <w:szCs w:val="20"/>
              </w:rPr>
              <w:t>5,6</w:t>
            </w:r>
          </w:p>
        </w:tc>
        <w:tc>
          <w:tcPr>
            <w:tcW w:w="1720" w:type="dxa"/>
            <w:vAlign w:val="center"/>
            <w:hideMark/>
          </w:tcPr>
          <w:p w14:paraId="138880EF" w14:textId="77777777" w:rsidR="000E610C" w:rsidRPr="000E610C" w:rsidRDefault="000E610C" w:rsidP="000E610C">
            <w:pPr>
              <w:ind w:right="321"/>
              <w:jc w:val="right"/>
              <w:rPr>
                <w:rFonts w:ascii="Arial" w:hAnsi="Arial" w:cs="Arial"/>
                <w:bCs/>
                <w:sz w:val="20"/>
                <w:szCs w:val="20"/>
                <w:lang w:val="it-IT"/>
              </w:rPr>
            </w:pPr>
            <w:r w:rsidRPr="000E610C">
              <w:rPr>
                <w:rFonts w:ascii="Arial" w:hAnsi="Arial" w:cs="Arial"/>
                <w:sz w:val="20"/>
                <w:szCs w:val="20"/>
              </w:rPr>
              <w:t>57,5</w:t>
            </w:r>
          </w:p>
        </w:tc>
        <w:tc>
          <w:tcPr>
            <w:tcW w:w="1486" w:type="dxa"/>
            <w:vAlign w:val="center"/>
            <w:hideMark/>
          </w:tcPr>
          <w:p w14:paraId="76C71EF9" w14:textId="77777777" w:rsidR="000E610C" w:rsidRPr="000E610C" w:rsidRDefault="000E610C" w:rsidP="000E610C">
            <w:pPr>
              <w:ind w:right="464"/>
              <w:jc w:val="right"/>
              <w:rPr>
                <w:rFonts w:ascii="Arial" w:hAnsi="Arial" w:cs="Arial"/>
                <w:bCs/>
                <w:sz w:val="20"/>
                <w:szCs w:val="20"/>
                <w:lang w:val="it-IT"/>
              </w:rPr>
            </w:pPr>
            <w:r w:rsidRPr="000E610C">
              <w:rPr>
                <w:rFonts w:ascii="Arial" w:hAnsi="Arial" w:cs="Arial"/>
                <w:sz w:val="20"/>
                <w:szCs w:val="20"/>
              </w:rPr>
              <w:t>12,5</w:t>
            </w:r>
          </w:p>
        </w:tc>
        <w:tc>
          <w:tcPr>
            <w:tcW w:w="1452" w:type="dxa"/>
            <w:vAlign w:val="center"/>
            <w:hideMark/>
          </w:tcPr>
          <w:p w14:paraId="4FFC219B" w14:textId="77777777" w:rsidR="000E610C" w:rsidRPr="000E610C" w:rsidRDefault="000E610C" w:rsidP="000E610C">
            <w:pPr>
              <w:ind w:right="464"/>
              <w:jc w:val="right"/>
              <w:rPr>
                <w:rFonts w:ascii="Arial" w:hAnsi="Arial" w:cs="Arial"/>
                <w:bCs/>
                <w:sz w:val="20"/>
                <w:szCs w:val="20"/>
                <w:lang w:val="it-IT"/>
              </w:rPr>
            </w:pPr>
            <w:r w:rsidRPr="000E610C">
              <w:rPr>
                <w:rFonts w:ascii="Arial" w:hAnsi="Arial" w:cs="Arial"/>
                <w:sz w:val="20"/>
                <w:szCs w:val="20"/>
              </w:rPr>
              <w:t>17,3</w:t>
            </w:r>
          </w:p>
        </w:tc>
      </w:tr>
      <w:tr w:rsidR="000E610C" w:rsidRPr="000E610C" w14:paraId="35F38130" w14:textId="77777777" w:rsidTr="002F4D0B">
        <w:trPr>
          <w:cantSplit/>
          <w:trHeight w:val="316"/>
          <w:jc w:val="center"/>
        </w:trPr>
        <w:tc>
          <w:tcPr>
            <w:tcW w:w="2949" w:type="dxa"/>
            <w:tcBorders>
              <w:top w:val="nil"/>
              <w:left w:val="nil"/>
              <w:bottom w:val="single" w:sz="8" w:space="0" w:color="auto"/>
              <w:right w:val="nil"/>
            </w:tcBorders>
            <w:vAlign w:val="center"/>
            <w:hideMark/>
          </w:tcPr>
          <w:p w14:paraId="6108C107" w14:textId="77777777" w:rsidR="000E610C" w:rsidRPr="000E610C" w:rsidRDefault="000E610C" w:rsidP="000E610C">
            <w:pPr>
              <w:spacing w:line="276" w:lineRule="auto"/>
              <w:ind w:left="318"/>
              <w:rPr>
                <w:rFonts w:ascii="Arial" w:hAnsi="Arial" w:cs="Arial"/>
                <w:sz w:val="20"/>
                <w:szCs w:val="20"/>
              </w:rPr>
            </w:pPr>
            <w:r w:rsidRPr="000E610C">
              <w:rPr>
                <w:rFonts w:ascii="Arial" w:hAnsi="Arial" w:cs="Arial"/>
                <w:bCs/>
                <w:color w:val="000000"/>
                <w:sz w:val="20"/>
                <w:szCs w:val="20"/>
              </w:rPr>
              <w:t>Other services</w:t>
            </w:r>
          </w:p>
        </w:tc>
        <w:tc>
          <w:tcPr>
            <w:tcW w:w="1402" w:type="dxa"/>
            <w:tcBorders>
              <w:top w:val="nil"/>
              <w:left w:val="nil"/>
              <w:bottom w:val="single" w:sz="4" w:space="0" w:color="auto"/>
              <w:right w:val="nil"/>
            </w:tcBorders>
            <w:vAlign w:val="center"/>
            <w:hideMark/>
          </w:tcPr>
          <w:p w14:paraId="27E21FB5" w14:textId="77777777" w:rsidR="000E610C" w:rsidRPr="000E610C" w:rsidRDefault="000E610C" w:rsidP="000E610C">
            <w:pPr>
              <w:ind w:right="321"/>
              <w:jc w:val="right"/>
              <w:rPr>
                <w:rFonts w:ascii="Arial" w:hAnsi="Arial" w:cs="Arial"/>
                <w:bCs/>
                <w:sz w:val="20"/>
                <w:szCs w:val="20"/>
                <w:lang w:val="it-IT"/>
              </w:rPr>
            </w:pPr>
            <w:r w:rsidRPr="000E610C">
              <w:rPr>
                <w:rFonts w:ascii="Arial" w:hAnsi="Arial" w:cs="Arial"/>
                <w:sz w:val="20"/>
                <w:szCs w:val="20"/>
              </w:rPr>
              <w:t>62,3</w:t>
            </w:r>
          </w:p>
        </w:tc>
        <w:tc>
          <w:tcPr>
            <w:tcW w:w="1720" w:type="dxa"/>
            <w:tcBorders>
              <w:top w:val="nil"/>
              <w:left w:val="nil"/>
              <w:bottom w:val="single" w:sz="4" w:space="0" w:color="auto"/>
              <w:right w:val="nil"/>
            </w:tcBorders>
            <w:vAlign w:val="center"/>
            <w:hideMark/>
          </w:tcPr>
          <w:p w14:paraId="28E72764" w14:textId="77777777" w:rsidR="000E610C" w:rsidRPr="000E610C" w:rsidRDefault="000E610C" w:rsidP="000E610C">
            <w:pPr>
              <w:ind w:right="321"/>
              <w:jc w:val="right"/>
              <w:rPr>
                <w:rFonts w:ascii="Arial" w:hAnsi="Arial" w:cs="Arial"/>
                <w:bCs/>
                <w:sz w:val="20"/>
                <w:szCs w:val="20"/>
                <w:lang w:val="it-IT"/>
              </w:rPr>
            </w:pPr>
            <w:r w:rsidRPr="000E610C">
              <w:rPr>
                <w:rFonts w:ascii="Arial" w:hAnsi="Arial" w:cs="Arial"/>
                <w:sz w:val="20"/>
                <w:szCs w:val="20"/>
              </w:rPr>
              <w:t>608,5</w:t>
            </w:r>
          </w:p>
        </w:tc>
        <w:tc>
          <w:tcPr>
            <w:tcW w:w="1486" w:type="dxa"/>
            <w:tcBorders>
              <w:top w:val="nil"/>
              <w:left w:val="nil"/>
              <w:bottom w:val="single" w:sz="4" w:space="0" w:color="auto"/>
              <w:right w:val="nil"/>
            </w:tcBorders>
            <w:vAlign w:val="center"/>
            <w:hideMark/>
          </w:tcPr>
          <w:p w14:paraId="46DEE97D" w14:textId="77777777" w:rsidR="000E610C" w:rsidRPr="000E610C" w:rsidRDefault="000E610C" w:rsidP="000E610C">
            <w:pPr>
              <w:ind w:right="464"/>
              <w:jc w:val="right"/>
              <w:rPr>
                <w:rFonts w:ascii="Arial" w:hAnsi="Arial" w:cs="Arial"/>
                <w:bCs/>
                <w:sz w:val="20"/>
                <w:szCs w:val="20"/>
                <w:lang w:val="it-IT"/>
              </w:rPr>
            </w:pPr>
            <w:r w:rsidRPr="000E610C">
              <w:rPr>
                <w:rFonts w:ascii="Arial" w:hAnsi="Arial" w:cs="Arial"/>
                <w:sz w:val="20"/>
                <w:szCs w:val="20"/>
              </w:rPr>
              <w:t>7,7</w:t>
            </w:r>
          </w:p>
        </w:tc>
        <w:tc>
          <w:tcPr>
            <w:tcW w:w="1452" w:type="dxa"/>
            <w:tcBorders>
              <w:top w:val="nil"/>
              <w:left w:val="nil"/>
              <w:bottom w:val="single" w:sz="4" w:space="0" w:color="auto"/>
              <w:right w:val="nil"/>
            </w:tcBorders>
            <w:vAlign w:val="center"/>
            <w:hideMark/>
          </w:tcPr>
          <w:p w14:paraId="70B04928" w14:textId="77777777" w:rsidR="000E610C" w:rsidRPr="000E610C" w:rsidRDefault="000E610C" w:rsidP="000E610C">
            <w:pPr>
              <w:ind w:right="464"/>
              <w:jc w:val="right"/>
              <w:rPr>
                <w:rFonts w:ascii="Arial" w:hAnsi="Arial" w:cs="Arial"/>
                <w:bCs/>
                <w:sz w:val="20"/>
                <w:szCs w:val="20"/>
                <w:lang w:val="it-IT"/>
              </w:rPr>
            </w:pPr>
            <w:r w:rsidRPr="000E610C">
              <w:rPr>
                <w:rFonts w:ascii="Arial" w:hAnsi="Arial" w:cs="Arial"/>
                <w:sz w:val="20"/>
                <w:szCs w:val="20"/>
              </w:rPr>
              <w:t>9,1</w:t>
            </w:r>
          </w:p>
        </w:tc>
      </w:tr>
    </w:tbl>
    <w:p w14:paraId="59AFD971" w14:textId="77777777" w:rsidR="000E610C" w:rsidRPr="000E610C" w:rsidRDefault="000E610C" w:rsidP="000E610C">
      <w:pPr>
        <w:spacing w:beforeLines="50" w:before="120" w:afterLines="40" w:after="96" w:line="264" w:lineRule="auto"/>
        <w:ind w:firstLine="567"/>
        <w:jc w:val="both"/>
        <w:rPr>
          <w:spacing w:val="-4"/>
        </w:rPr>
      </w:pPr>
      <w:r w:rsidRPr="000E610C">
        <w:rPr>
          <w:spacing w:val="-4"/>
        </w:rPr>
        <w:t xml:space="preserve">Generally for eleven </w:t>
      </w:r>
      <w:proofErr w:type="gramStart"/>
      <w:r w:rsidRPr="000E610C">
        <w:rPr>
          <w:spacing w:val="-4"/>
        </w:rPr>
        <w:t>months  of</w:t>
      </w:r>
      <w:proofErr w:type="gramEnd"/>
      <w:r w:rsidRPr="000E610C">
        <w:rPr>
          <w:spacing w:val="-4"/>
        </w:rPr>
        <w:t xml:space="preserve"> 2024, the total retail sales of consumer goods and services at current prices was estimated at 5,822.3 trillion VND, up 8.8% over </w:t>
      </w:r>
      <w:r w:rsidRPr="000E610C">
        <w:rPr>
          <w:spacing w:val="-4"/>
        </w:rPr>
        <w:lastRenderedPageBreak/>
        <w:t>the same period last year (up 9.7% in the same period in 2023), if excluding the price factor, up 5.8% (the same period in 2023 increased by 7.0%).</w:t>
      </w:r>
    </w:p>
    <w:p w14:paraId="4A359712" w14:textId="77777777" w:rsidR="000E610C" w:rsidRPr="000E610C" w:rsidRDefault="000E610C" w:rsidP="000E610C">
      <w:pPr>
        <w:spacing w:beforeLines="40" w:before="96" w:afterLines="40" w:after="96"/>
        <w:jc w:val="center"/>
        <w:rPr>
          <w:rFonts w:ascii="Arial" w:hAnsi="Arial" w:cs="Arial"/>
          <w:b/>
          <w:bCs/>
          <w:sz w:val="24"/>
          <w:szCs w:val="24"/>
        </w:rPr>
      </w:pPr>
      <w:r w:rsidRPr="000E610C">
        <w:rPr>
          <w:rFonts w:ascii="Arial" w:hAnsi="Arial" w:cs="Arial"/>
          <w:b/>
          <w:bCs/>
          <w:sz w:val="24"/>
          <w:szCs w:val="24"/>
        </w:rPr>
        <w:t xml:space="preserve">Figure 11. Total retail sales of </w:t>
      </w:r>
      <w:r w:rsidRPr="000E610C">
        <w:rPr>
          <w:rFonts w:ascii="Arial" w:hAnsi="Arial" w:cs="Arial"/>
          <w:b/>
          <w:sz w:val="24"/>
          <w:szCs w:val="24"/>
        </w:rPr>
        <w:t xml:space="preserve">consumer </w:t>
      </w:r>
      <w:r w:rsidRPr="000E610C">
        <w:rPr>
          <w:rFonts w:ascii="Arial" w:hAnsi="Arial" w:cs="Arial"/>
          <w:b/>
          <w:bCs/>
          <w:sz w:val="24"/>
          <w:szCs w:val="24"/>
        </w:rPr>
        <w:t xml:space="preserve">goods and service </w:t>
      </w:r>
      <w:r w:rsidRPr="000E610C">
        <w:rPr>
          <w:rFonts w:ascii="Arial" w:hAnsi="Arial" w:cs="Arial"/>
          <w:b/>
          <w:bCs/>
          <w:sz w:val="24"/>
          <w:szCs w:val="24"/>
        </w:rPr>
        <w:br/>
        <w:t>in 11 months of 2020-2024</w:t>
      </w:r>
    </w:p>
    <w:p w14:paraId="04F17146" w14:textId="77777777" w:rsidR="000E610C" w:rsidRPr="000E610C" w:rsidRDefault="000E610C" w:rsidP="000E610C">
      <w:pPr>
        <w:spacing w:beforeLines="40" w:before="96" w:afterLines="40" w:after="96"/>
        <w:jc w:val="center"/>
        <w:rPr>
          <w:rFonts w:ascii="Arial" w:hAnsi="Arial" w:cs="Arial"/>
          <w:b/>
          <w:bCs/>
          <w:sz w:val="24"/>
          <w:szCs w:val="24"/>
        </w:rPr>
      </w:pPr>
      <w:r w:rsidRPr="000E610C">
        <w:rPr>
          <w:noProof/>
          <w14:ligatures w14:val="standardContextual"/>
        </w:rPr>
        <w:drawing>
          <wp:inline distT="0" distB="0" distL="0" distR="0" wp14:anchorId="1C802B41" wp14:editId="7C082DAF">
            <wp:extent cx="4886325" cy="2743200"/>
            <wp:effectExtent l="0" t="0" r="9525" b="0"/>
            <wp:docPr id="1617174708" name="Chart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D9334D7" w14:textId="77777777" w:rsidR="000E610C" w:rsidRPr="000E610C" w:rsidRDefault="000E610C" w:rsidP="000E6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40" w:before="96" w:afterLines="40" w:after="96" w:line="264" w:lineRule="auto"/>
        <w:ind w:firstLine="567"/>
        <w:jc w:val="center"/>
        <w:rPr>
          <w:bCs/>
          <w:i/>
          <w:sz w:val="14"/>
          <w:lang w:val="nl-NL"/>
        </w:rPr>
      </w:pPr>
    </w:p>
    <w:p w14:paraId="535EEE9A" w14:textId="77777777" w:rsidR="000E610C" w:rsidRPr="000E610C" w:rsidRDefault="000E610C" w:rsidP="000E6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40" w:before="96" w:afterLines="40" w:after="96" w:line="276" w:lineRule="auto"/>
        <w:ind w:firstLine="567"/>
        <w:jc w:val="both"/>
        <w:rPr>
          <w:bCs/>
        </w:rPr>
      </w:pPr>
      <w:r w:rsidRPr="000E610C">
        <w:rPr>
          <w:bCs/>
          <w:i/>
          <w:lang w:val="nl-NL"/>
        </w:rPr>
        <w:t>Retail sales of goods</w:t>
      </w:r>
      <w:r w:rsidRPr="000E610C">
        <w:rPr>
          <w:bCs/>
          <w:lang w:val="nl-NL"/>
        </w:rPr>
        <w:t xml:space="preserve"> in eleven months  of 2024 were estimated at </w:t>
      </w:r>
      <w:r w:rsidRPr="000E610C">
        <w:rPr>
          <w:bCs/>
          <w:shd w:val="clear" w:color="auto" w:fill="FFFFFF"/>
          <w:lang w:val="nl-NL"/>
        </w:rPr>
        <w:t xml:space="preserve">4,487.3 </w:t>
      </w:r>
      <w:r w:rsidRPr="000E610C">
        <w:rPr>
          <w:bCs/>
          <w:lang w:val="nl-NL"/>
        </w:rPr>
        <w:t xml:space="preserve">trillion VND, accounting for 77.1% of the total retail sales of consumer goods and services and up 8.1% over the same period last year. In which, food and foodstuffs increased by 10.8%; household appliances, tools and equipment increased by 5.9%; garment increased by 8.1%; means of transport (except for cars) rose up </w:t>
      </w:r>
      <w:r w:rsidRPr="000E610C">
        <w:rPr>
          <w:bCs/>
          <w:shd w:val="clear" w:color="auto" w:fill="FFFFFF"/>
          <w:lang w:val="nl-NL"/>
        </w:rPr>
        <w:t xml:space="preserve">7.4%; </w:t>
      </w:r>
      <w:r w:rsidRPr="000E610C">
        <w:rPr>
          <w:bCs/>
          <w:lang w:val="nl-NL"/>
        </w:rPr>
        <w:t xml:space="preserve">cultural and educational products increased by </w:t>
      </w:r>
      <w:r w:rsidRPr="000E610C">
        <w:rPr>
          <w:bCs/>
          <w:shd w:val="clear" w:color="auto" w:fill="FFFFFF"/>
          <w:lang w:val="nl-NL"/>
        </w:rPr>
        <w:t xml:space="preserve">5.6%. </w:t>
      </w:r>
      <w:r w:rsidRPr="000E610C">
        <w:rPr>
          <w:bCs/>
          <w:lang w:val="nl-NL"/>
        </w:rPr>
        <w:t>Retail sales of goods in the first five months of this year compared to the same period last year of some localities was as follows:</w:t>
      </w:r>
      <w:r w:rsidRPr="000E610C">
        <w:rPr>
          <w:bCs/>
          <w:lang w:val="it-IT"/>
        </w:rPr>
        <w:t xml:space="preserve"> </w:t>
      </w:r>
      <w:r w:rsidRPr="000E610C">
        <w:rPr>
          <w:bCs/>
          <w:lang w:val="en"/>
        </w:rPr>
        <w:t>Hai Phong increased by 9.5%; Quang Ninh increased by 9.3%; Da Nang increased by 7.4%; Ha Noi increased by 6.5%; Ho Chi Minh City increased by 5.2%.</w:t>
      </w:r>
    </w:p>
    <w:p w14:paraId="7BF46342" w14:textId="77777777" w:rsidR="000E610C" w:rsidRPr="000E610C" w:rsidRDefault="000E610C" w:rsidP="000E6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40" w:before="96" w:afterLines="40" w:after="96" w:line="276" w:lineRule="auto"/>
        <w:ind w:firstLine="567"/>
        <w:jc w:val="both"/>
        <w:rPr>
          <w:bCs/>
          <w:spacing w:val="-4"/>
        </w:rPr>
      </w:pPr>
      <w:r w:rsidRPr="000E610C">
        <w:rPr>
          <w:bCs/>
          <w:i/>
          <w:spacing w:val="-4"/>
          <w:lang w:val="nl-NL"/>
        </w:rPr>
        <w:t>Revenue from accommodation and catering services</w:t>
      </w:r>
      <w:r w:rsidRPr="000E610C">
        <w:rPr>
          <w:bCs/>
          <w:spacing w:val="-4"/>
          <w:lang w:val="nl-NL"/>
        </w:rPr>
        <w:t xml:space="preserve"> in eleven months of 2024 was estimated at </w:t>
      </w:r>
      <w:r w:rsidRPr="000E610C">
        <w:rPr>
          <w:bCs/>
          <w:spacing w:val="-4"/>
          <w:shd w:val="clear" w:color="auto" w:fill="FFFFFF"/>
          <w:lang w:val="nl-NL"/>
        </w:rPr>
        <w:t xml:space="preserve">669.0 </w:t>
      </w:r>
      <w:r w:rsidRPr="000E610C">
        <w:rPr>
          <w:bCs/>
          <w:spacing w:val="-4"/>
          <w:lang w:val="nl-NL"/>
        </w:rPr>
        <w:t xml:space="preserve">trillion VND, accounting for </w:t>
      </w:r>
      <w:r w:rsidRPr="000E610C">
        <w:rPr>
          <w:bCs/>
          <w:spacing w:val="-4"/>
          <w:shd w:val="clear" w:color="auto" w:fill="FFFFFF"/>
          <w:lang w:val="nl-NL"/>
        </w:rPr>
        <w:t>11.5</w:t>
      </w:r>
      <w:r w:rsidRPr="000E610C">
        <w:rPr>
          <w:bCs/>
          <w:spacing w:val="-4"/>
          <w:lang w:val="nl-NL"/>
        </w:rPr>
        <w:t xml:space="preserve">% and up </w:t>
      </w:r>
      <w:r w:rsidRPr="000E610C">
        <w:rPr>
          <w:bCs/>
          <w:spacing w:val="-4"/>
          <w:shd w:val="clear" w:color="auto" w:fill="FFFFFF"/>
          <w:lang w:val="nl-NL"/>
        </w:rPr>
        <w:t>13.0</w:t>
      </w:r>
      <w:r w:rsidRPr="000E610C">
        <w:rPr>
          <w:bCs/>
          <w:spacing w:val="-4"/>
          <w:lang w:val="nl-NL"/>
        </w:rPr>
        <w:t xml:space="preserve">% over the same period last year. Revenue in eleven months  of 2024 compared to the same period last year of some localities </w:t>
      </w:r>
      <w:r w:rsidRPr="000E610C">
        <w:rPr>
          <w:bCs/>
          <w:lang w:val="nl-NL"/>
        </w:rPr>
        <w:t>was</w:t>
      </w:r>
      <w:r w:rsidRPr="000E610C">
        <w:rPr>
          <w:bCs/>
          <w:spacing w:val="-4"/>
          <w:lang w:val="nl-NL"/>
        </w:rPr>
        <w:t xml:space="preserve"> as follows: </w:t>
      </w:r>
      <w:r w:rsidRPr="000E610C">
        <w:rPr>
          <w:bCs/>
          <w:spacing w:val="-4"/>
          <w:lang w:val="en"/>
        </w:rPr>
        <w:t>Khanh Hoa increased by 17.0%; Hai Phong increased by 13.2%; Can Tho increased by 12.6%; Ha Noi increased by 10.7%; Ho Chi Minh City increased by 9.4%; Binh Duong increased by 8.3%.</w:t>
      </w:r>
    </w:p>
    <w:p w14:paraId="726C6587" w14:textId="3C0A2C24" w:rsidR="000E610C" w:rsidRPr="000E610C" w:rsidRDefault="000E610C" w:rsidP="000E6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40" w:before="96" w:afterLines="40" w:after="96" w:line="276" w:lineRule="auto"/>
        <w:ind w:firstLine="567"/>
        <w:jc w:val="both"/>
        <w:rPr>
          <w:bCs/>
        </w:rPr>
      </w:pPr>
      <w:r w:rsidRPr="000E610C">
        <w:rPr>
          <w:bCs/>
          <w:i/>
          <w:lang w:val="nl-NL"/>
        </w:rPr>
        <w:t>Tourism revenue</w:t>
      </w:r>
      <w:r w:rsidRPr="000E610C">
        <w:rPr>
          <w:bCs/>
          <w:lang w:val="nl-NL"/>
        </w:rPr>
        <w:t xml:space="preserve"> in eleven months  of 2024 was estimated at 57.5 trillion VND, accounting for 1.0% and up 17.3% over the same period last year</w:t>
      </w:r>
      <w:r w:rsidRPr="000E610C">
        <w:rPr>
          <w:rFonts w:ascii="inherit" w:hAnsi="inherit" w:cs="Courier New"/>
          <w:color w:val="1F1F1F"/>
          <w:sz w:val="42"/>
          <w:szCs w:val="42"/>
          <w:lang w:val="en"/>
        </w:rPr>
        <w:t xml:space="preserve"> </w:t>
      </w:r>
      <w:r w:rsidRPr="000E610C">
        <w:rPr>
          <w:bCs/>
          <w:lang w:val="en"/>
        </w:rPr>
        <w:t>because right from the beginning of the year, localities have actively promoted tourism promotion activities, increasing the attraction of domestic and international visitors</w:t>
      </w:r>
      <w:r w:rsidRPr="000E610C">
        <w:rPr>
          <w:bCs/>
          <w:lang w:val="nl-NL"/>
        </w:rPr>
        <w:t xml:space="preserve">. The revenue of some localities in eleven months of 2024 compared to the same period last year was as follows: </w:t>
      </w:r>
      <w:r w:rsidRPr="000E610C">
        <w:rPr>
          <w:bCs/>
          <w:lang w:val="en"/>
        </w:rPr>
        <w:t xml:space="preserve">Can Tho increased by 31.2%; Ho Chi Minh </w:t>
      </w:r>
      <w:r w:rsidRPr="000E610C">
        <w:rPr>
          <w:bCs/>
          <w:lang w:val="en"/>
        </w:rPr>
        <w:lastRenderedPageBreak/>
        <w:t>City increased by 17.7%; Khanh Hoa increased by 16.6%; Ha Noi and Binh Dinh both increased by 12.6%; Vung Tau increased by 8.1%.</w:t>
      </w:r>
    </w:p>
    <w:p w14:paraId="437FE4FA" w14:textId="77777777" w:rsidR="000E610C" w:rsidRPr="000E610C" w:rsidRDefault="000E610C" w:rsidP="000E6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40" w:before="96" w:afterLines="40" w:after="96" w:line="276" w:lineRule="auto"/>
        <w:ind w:firstLine="567"/>
        <w:jc w:val="both"/>
        <w:rPr>
          <w:bCs/>
        </w:rPr>
      </w:pPr>
      <w:r w:rsidRPr="000E610C">
        <w:rPr>
          <w:bCs/>
          <w:i/>
          <w:lang w:val="nl-NL"/>
        </w:rPr>
        <w:t>Other service revenue</w:t>
      </w:r>
      <w:r w:rsidRPr="000E610C">
        <w:rPr>
          <w:bCs/>
          <w:lang w:val="nl-NL"/>
        </w:rPr>
        <w:t xml:space="preserve"> in eleven months  of 2024 was estimated at </w:t>
      </w:r>
      <w:r w:rsidRPr="000E610C">
        <w:rPr>
          <w:lang w:val="nl-NL"/>
        </w:rPr>
        <w:t xml:space="preserve">608.5 </w:t>
      </w:r>
      <w:r w:rsidRPr="000E610C">
        <w:rPr>
          <w:bCs/>
          <w:lang w:val="nl-NL"/>
        </w:rPr>
        <w:t xml:space="preserve">trillion VND, accounting for </w:t>
      </w:r>
      <w:r w:rsidRPr="000E610C">
        <w:rPr>
          <w:lang w:val="nl-NL"/>
        </w:rPr>
        <w:t>10.4</w:t>
      </w:r>
      <w:r w:rsidRPr="000E610C">
        <w:rPr>
          <w:bCs/>
          <w:lang w:val="nl-NL"/>
        </w:rPr>
        <w:t xml:space="preserve">% and up </w:t>
      </w:r>
      <w:r w:rsidRPr="000E610C">
        <w:rPr>
          <w:lang w:val="nl-NL"/>
        </w:rPr>
        <w:t>9.1</w:t>
      </w:r>
      <w:r w:rsidRPr="000E610C">
        <w:rPr>
          <w:bCs/>
          <w:lang w:val="nl-NL"/>
        </w:rPr>
        <w:t xml:space="preserve">% over the same period last year. Revenue in eleven months  of 2024 of some localities was as follows: </w:t>
      </w:r>
      <w:r w:rsidRPr="000E610C">
        <w:rPr>
          <w:bCs/>
          <w:lang w:val="en"/>
        </w:rPr>
        <w:t>Binh Thuan increased by 22.5%; Can Tho increased by 12.0%; Hanoi increased by 8.5%.</w:t>
      </w:r>
    </w:p>
    <w:p w14:paraId="35575AA8" w14:textId="77777777" w:rsidR="000E610C" w:rsidRPr="000E610C" w:rsidRDefault="000E610C" w:rsidP="000E610C">
      <w:pPr>
        <w:tabs>
          <w:tab w:val="left" w:pos="900"/>
        </w:tabs>
        <w:spacing w:before="40" w:after="40" w:line="288" w:lineRule="auto"/>
        <w:ind w:firstLine="562"/>
        <w:jc w:val="both"/>
        <w:rPr>
          <w:b/>
          <w:bCs/>
          <w:i/>
          <w:iCs/>
        </w:rPr>
      </w:pPr>
      <w:r w:rsidRPr="000E610C">
        <w:rPr>
          <w:b/>
          <w:bCs/>
          <w:i/>
          <w:iCs/>
          <w:color w:val="000000"/>
          <w:lang w:val="de-DE"/>
        </w:rPr>
        <w:t xml:space="preserve">b) </w:t>
      </w:r>
      <w:r w:rsidRPr="000E610C">
        <w:rPr>
          <w:b/>
          <w:bCs/>
          <w:i/>
          <w:iCs/>
        </w:rPr>
        <w:t>Export and import of goods</w:t>
      </w:r>
      <w:r w:rsidRPr="000E610C">
        <w:rPr>
          <w:b/>
          <w:bCs/>
          <w:i/>
          <w:iCs/>
          <w:vertAlign w:val="superscript"/>
        </w:rPr>
        <w:footnoteReference w:id="16"/>
      </w:r>
    </w:p>
    <w:p w14:paraId="733DA277" w14:textId="77777777" w:rsidR="000E610C" w:rsidRPr="000E610C" w:rsidRDefault="000E610C" w:rsidP="000E610C">
      <w:pPr>
        <w:tabs>
          <w:tab w:val="left" w:pos="900"/>
          <w:tab w:val="left" w:pos="9475"/>
        </w:tabs>
        <w:spacing w:before="120" w:after="120" w:line="288" w:lineRule="auto"/>
        <w:ind w:right="119" w:firstLine="567"/>
        <w:jc w:val="both"/>
        <w:rPr>
          <w:rFonts w:ascii="Times New Roman Italic" w:hAnsi="Times New Roman Italic"/>
          <w:i/>
          <w:lang w:val="es-NI"/>
        </w:rPr>
      </w:pPr>
      <w:r w:rsidRPr="000E610C">
        <w:rPr>
          <w:rFonts w:ascii="Times New Roman Italic" w:hAnsi="Times New Roman Italic"/>
          <w:i/>
          <w:lang w:val="de-DE"/>
        </w:rPr>
        <w:t>Total export and import turnover of goods</w:t>
      </w:r>
      <w:r w:rsidRPr="000E610C">
        <w:rPr>
          <w:rFonts w:ascii="Times New Roman Italic" w:hAnsi="Times New Roman Italic"/>
          <w:i/>
          <w:iCs/>
          <w:vertAlign w:val="superscript"/>
        </w:rPr>
        <w:footnoteReference w:id="17"/>
      </w:r>
      <w:r w:rsidRPr="000E610C">
        <w:rPr>
          <w:rFonts w:ascii="Times New Roman Italic" w:hAnsi="Times New Roman Italic"/>
          <w:i/>
          <w:lang w:val="de-DE"/>
        </w:rPr>
        <w:t xml:space="preserve"> in 11/2024 was estimated at 64.4 billion USD, down 4.1% over the previous month and up 9.0% over the same period last year. Generally, in eleven months of 2024, the total export and import turnover of goods reached 715.55 billion USD, up 15.4% over the same period last year, of which exports increased by 14.4%; imports increased by 16.4%</w:t>
      </w:r>
      <w:r w:rsidRPr="000E610C">
        <w:rPr>
          <w:rFonts w:ascii="Times New Roman Italic" w:hAnsi="Times New Roman Italic"/>
          <w:i/>
          <w:vertAlign w:val="superscript"/>
          <w:lang w:val="de-DE"/>
        </w:rPr>
        <w:footnoteReference w:id="18"/>
      </w:r>
      <w:r w:rsidRPr="000E610C">
        <w:rPr>
          <w:rFonts w:ascii="Times New Roman Italic" w:hAnsi="Times New Roman Italic"/>
          <w:i/>
          <w:lang w:val="de-DE"/>
        </w:rPr>
        <w:t>. The trade balance of goods had a surplus of 24.31 billion USD.</w:t>
      </w:r>
      <w:r w:rsidRPr="000E610C">
        <w:rPr>
          <w:rFonts w:ascii="Times New Roman Italic" w:hAnsi="Times New Roman Italic"/>
          <w:i/>
          <w:lang w:val="es-NI"/>
        </w:rPr>
        <w:t xml:space="preserve"> </w:t>
      </w:r>
    </w:p>
    <w:p w14:paraId="1E8E9B5B" w14:textId="77777777" w:rsidR="000E610C" w:rsidRPr="000E610C" w:rsidRDefault="000E610C" w:rsidP="000E610C">
      <w:pPr>
        <w:tabs>
          <w:tab w:val="left" w:pos="900"/>
          <w:tab w:val="left" w:pos="9475"/>
        </w:tabs>
        <w:spacing w:before="240" w:after="240" w:line="288" w:lineRule="auto"/>
        <w:jc w:val="center"/>
        <w:rPr>
          <w:rFonts w:ascii="Arial" w:hAnsi="Arial" w:cs="Arial"/>
          <w:b/>
          <w:bCs/>
          <w:sz w:val="24"/>
          <w:szCs w:val="24"/>
          <w:lang w:val="es-NI"/>
        </w:rPr>
      </w:pPr>
      <w:r w:rsidRPr="000E610C">
        <w:rPr>
          <w:rFonts w:ascii="Arial" w:hAnsi="Arial" w:cs="Arial"/>
          <w:b/>
          <w:bCs/>
          <w:sz w:val="24"/>
          <w:szCs w:val="24"/>
          <w:lang w:val="es-NI"/>
        </w:rPr>
        <w:t>Figure 11. Import and export of goods in 11 months of 2024</w:t>
      </w:r>
    </w:p>
    <w:p w14:paraId="5FEAA9BB" w14:textId="77777777" w:rsidR="000E610C" w:rsidRPr="000E610C" w:rsidRDefault="000E610C" w:rsidP="000E610C">
      <w:pPr>
        <w:tabs>
          <w:tab w:val="left" w:pos="900"/>
          <w:tab w:val="left" w:pos="9475"/>
        </w:tabs>
        <w:spacing w:before="240" w:after="240" w:line="288" w:lineRule="auto"/>
        <w:jc w:val="center"/>
        <w:rPr>
          <w:rFonts w:ascii="Calibri" w:hAnsi="Calibri" w:cs="Calibri"/>
          <w:iCs/>
          <w:spacing w:val="2"/>
          <w:sz w:val="22"/>
          <w:szCs w:val="22"/>
          <w:lang w:val="es-NI"/>
        </w:rPr>
      </w:pPr>
      <w:r w:rsidRPr="000E610C">
        <w:rPr>
          <w:rFonts w:ascii="Calibri" w:hAnsi="Calibri" w:cs="Calibri"/>
          <w:noProof/>
          <w:sz w:val="22"/>
          <w:szCs w:val="22"/>
          <w:lang w:val="en-GB"/>
        </w:rPr>
        <w:drawing>
          <wp:inline distT="0" distB="0" distL="0" distR="0" wp14:anchorId="2049282C" wp14:editId="3196F5EE">
            <wp:extent cx="5473614" cy="1784350"/>
            <wp:effectExtent l="0" t="0" r="0" b="6350"/>
            <wp:docPr id="15671894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89419"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474716" cy="1784709"/>
                    </a:xfrm>
                    <a:prstGeom prst="rect">
                      <a:avLst/>
                    </a:prstGeom>
                  </pic:spPr>
                </pic:pic>
              </a:graphicData>
            </a:graphic>
          </wp:inline>
        </w:drawing>
      </w:r>
    </w:p>
    <w:p w14:paraId="487E4333" w14:textId="77777777" w:rsidR="000E610C" w:rsidRPr="000E610C" w:rsidRDefault="000E610C" w:rsidP="000E610C">
      <w:pPr>
        <w:tabs>
          <w:tab w:val="left" w:pos="900"/>
          <w:tab w:val="left" w:pos="9475"/>
        </w:tabs>
        <w:spacing w:before="40" w:after="40" w:line="278" w:lineRule="auto"/>
        <w:ind w:right="119" w:firstLine="567"/>
        <w:jc w:val="both"/>
        <w:rPr>
          <w:rFonts w:ascii="Calibri" w:hAnsi="Calibri"/>
          <w:b/>
          <w:bCs/>
          <w:i/>
          <w:iCs/>
          <w:color w:val="000000"/>
          <w:sz w:val="2"/>
          <w:szCs w:val="4"/>
          <w:lang w:val="de-DE"/>
        </w:rPr>
      </w:pPr>
    </w:p>
    <w:p w14:paraId="2EE4D452" w14:textId="77777777" w:rsidR="000E610C" w:rsidRPr="000E610C" w:rsidRDefault="000E610C" w:rsidP="000E610C">
      <w:pPr>
        <w:tabs>
          <w:tab w:val="left" w:pos="900"/>
        </w:tabs>
        <w:spacing w:after="40" w:line="288" w:lineRule="auto"/>
        <w:ind w:firstLine="561"/>
        <w:jc w:val="both"/>
        <w:rPr>
          <w:b/>
          <w:bCs/>
          <w:i/>
          <w:iCs/>
        </w:rPr>
      </w:pPr>
      <w:r w:rsidRPr="000E610C">
        <w:rPr>
          <w:b/>
          <w:bCs/>
          <w:i/>
          <w:iCs/>
        </w:rPr>
        <w:t>Export of goods</w:t>
      </w:r>
    </w:p>
    <w:p w14:paraId="1BB20AA2" w14:textId="77777777" w:rsidR="000E610C" w:rsidRPr="000E610C" w:rsidRDefault="000E610C" w:rsidP="000E610C">
      <w:pPr>
        <w:tabs>
          <w:tab w:val="num" w:pos="0"/>
          <w:tab w:val="left" w:pos="9475"/>
        </w:tabs>
        <w:spacing w:beforeLines="40" w:before="96" w:afterLines="40" w:after="96" w:line="288" w:lineRule="auto"/>
        <w:ind w:right="6" w:firstLine="567"/>
        <w:jc w:val="both"/>
        <w:rPr>
          <w:bCs/>
          <w:lang w:val="de-DE"/>
        </w:rPr>
      </w:pPr>
      <w:r w:rsidRPr="000E610C">
        <w:rPr>
          <w:bCs/>
        </w:rPr>
        <w:t>Preliminary export turnover of goods in</w:t>
      </w:r>
      <w:r w:rsidRPr="000E610C">
        <w:rPr>
          <w:bCs/>
          <w:lang w:val="de-DE"/>
        </w:rPr>
        <w:t xml:space="preserve"> 10/2024 reached USD 35.63 billion</w:t>
      </w:r>
      <w:r w:rsidRPr="000E610C">
        <w:rPr>
          <w:bCs/>
          <w:vertAlign w:val="superscript"/>
          <w:lang w:val="de-DE"/>
        </w:rPr>
        <w:footnoteReference w:id="19"/>
      </w:r>
      <w:r w:rsidRPr="000E610C">
        <w:rPr>
          <w:bCs/>
          <w:lang w:val="de-DE"/>
        </w:rPr>
        <w:t>.</w:t>
      </w:r>
    </w:p>
    <w:p w14:paraId="184EAF36" w14:textId="77777777" w:rsidR="000E610C" w:rsidRPr="000E610C" w:rsidRDefault="000E610C" w:rsidP="000E610C">
      <w:pPr>
        <w:tabs>
          <w:tab w:val="num" w:pos="0"/>
          <w:tab w:val="left" w:pos="9475"/>
        </w:tabs>
        <w:spacing w:beforeLines="40" w:before="96" w:afterLines="40" w:after="96" w:line="288" w:lineRule="auto"/>
        <w:ind w:right="6" w:firstLine="567"/>
        <w:jc w:val="both"/>
        <w:rPr>
          <w:bCs/>
        </w:rPr>
      </w:pPr>
      <w:r w:rsidRPr="000E610C">
        <w:rPr>
          <w:bCs/>
          <w:i/>
          <w:iCs/>
        </w:rPr>
        <w:t xml:space="preserve">Preliminary export turnover of goods in 11/2024 </w:t>
      </w:r>
      <w:r w:rsidRPr="000E610C">
        <w:rPr>
          <w:bCs/>
          <w:lang w:val="de-DE"/>
        </w:rPr>
        <w:t xml:space="preserve">reached 33.73 billion USD, down 5.3% over the previous month. </w:t>
      </w:r>
      <w:r w:rsidRPr="000E610C">
        <w:rPr>
          <w:bCs/>
        </w:rPr>
        <w:t xml:space="preserve">Of which, the domestic economic sector gained 9.85 billion USD, decreased by 4.3%; the FDI sector (including crude oil) </w:t>
      </w:r>
      <w:r w:rsidRPr="000E610C">
        <w:rPr>
          <w:bCs/>
        </w:rPr>
        <w:lastRenderedPageBreak/>
        <w:t>reached 23.88 billion USD, decreased by 5.7%. Compared to the same period last year, export turnover of goods in November increased by 8.2%, of which the domestic economic sector increased by 13.4%, the FDI sector (including crude oil) increased by 6.1%.</w:t>
      </w:r>
    </w:p>
    <w:p w14:paraId="1DA4739A" w14:textId="77777777" w:rsidR="000E610C" w:rsidRPr="000E610C" w:rsidRDefault="000E610C" w:rsidP="000E610C">
      <w:pPr>
        <w:tabs>
          <w:tab w:val="num" w:pos="0"/>
          <w:tab w:val="left" w:pos="9475"/>
        </w:tabs>
        <w:spacing w:beforeLines="40" w:before="96" w:afterLines="40" w:after="96" w:line="288" w:lineRule="auto"/>
        <w:ind w:right="6" w:firstLine="567"/>
        <w:jc w:val="both"/>
        <w:rPr>
          <w:iCs/>
          <w:lang w:val="de-DE"/>
        </w:rPr>
      </w:pPr>
      <w:proofErr w:type="gramStart"/>
      <w:r w:rsidRPr="000E610C">
        <w:rPr>
          <w:i/>
          <w:iCs/>
        </w:rPr>
        <w:t>Generally</w:t>
      </w:r>
      <w:proofErr w:type="gramEnd"/>
      <w:r w:rsidRPr="000E610C">
        <w:rPr>
          <w:i/>
          <w:iCs/>
        </w:rPr>
        <w:t xml:space="preserve"> in</w:t>
      </w:r>
      <w:r w:rsidRPr="000E610C">
        <w:rPr>
          <w:i/>
          <w:iCs/>
          <w:lang w:val="de-DE"/>
        </w:rPr>
        <w:t xml:space="preserve"> eleven months of 2024</w:t>
      </w:r>
      <w:r w:rsidRPr="000E610C">
        <w:rPr>
          <w:iCs/>
          <w:lang w:val="de-DE"/>
        </w:rPr>
        <w:t>, p</w:t>
      </w:r>
      <w:r w:rsidRPr="000E610C">
        <w:rPr>
          <w:bCs/>
        </w:rPr>
        <w:t>reliminary</w:t>
      </w:r>
      <w:r w:rsidRPr="000E610C">
        <w:rPr>
          <w:iCs/>
        </w:rPr>
        <w:t xml:space="preserve"> export turnover reached 369.93 billion</w:t>
      </w:r>
      <w:r w:rsidRPr="000E610C">
        <w:rPr>
          <w:bCs/>
          <w:iCs/>
        </w:rPr>
        <w:t xml:space="preserve"> USD</w:t>
      </w:r>
      <w:r w:rsidRPr="000E610C">
        <w:rPr>
          <w:iCs/>
        </w:rPr>
        <w:t xml:space="preserve">, increased by 14.4% over </w:t>
      </w:r>
      <w:r w:rsidRPr="000E610C">
        <w:rPr>
          <w:bCs/>
          <w:iCs/>
        </w:rPr>
        <w:t>the same period last year</w:t>
      </w:r>
      <w:r w:rsidRPr="000E610C">
        <w:rPr>
          <w:iCs/>
        </w:rPr>
        <w:t xml:space="preserve">. Of which, the domestic economic sector </w:t>
      </w:r>
      <w:r w:rsidRPr="000E610C">
        <w:rPr>
          <w:bCs/>
          <w:iCs/>
        </w:rPr>
        <w:t>was</w:t>
      </w:r>
      <w:r w:rsidRPr="000E610C">
        <w:rPr>
          <w:iCs/>
        </w:rPr>
        <w:t xml:space="preserve"> 103.88 billion USD, went up 20.0%, accounting for 28.1% of total export turnover; the FDI sector (including crude oil) attained 266.05 billion USD, increased by 12.4%, sharing 71.9%.</w:t>
      </w:r>
      <w:r w:rsidRPr="000E610C">
        <w:rPr>
          <w:iCs/>
          <w:lang w:val="de-DE"/>
        </w:rPr>
        <w:t xml:space="preserve"> </w:t>
      </w:r>
    </w:p>
    <w:p w14:paraId="48F38B46" w14:textId="77777777" w:rsidR="000E610C" w:rsidRPr="000E610C" w:rsidRDefault="000E610C" w:rsidP="000E610C">
      <w:pPr>
        <w:tabs>
          <w:tab w:val="num" w:pos="0"/>
        </w:tabs>
        <w:spacing w:beforeLines="40" w:before="96" w:afterLines="40" w:after="96" w:line="288" w:lineRule="auto"/>
        <w:ind w:right="6" w:firstLine="567"/>
        <w:jc w:val="both"/>
        <w:rPr>
          <w:b/>
          <w:bCs/>
          <w:lang w:val="es-NI"/>
        </w:rPr>
      </w:pPr>
      <w:r w:rsidRPr="000E610C">
        <w:rPr>
          <w:i/>
          <w:iCs/>
          <w:lang w:val="de-DE"/>
        </w:rPr>
        <w:t>In eleven months of 2024</w:t>
      </w:r>
      <w:r w:rsidRPr="000E610C">
        <w:rPr>
          <w:lang w:val="de-DE"/>
        </w:rPr>
        <w:t xml:space="preserve">, </w:t>
      </w:r>
      <w:r w:rsidRPr="000E610C">
        <w:t>there were 36 products with export turnover of over 1 billion USD, contributing 94.1% to the total export turnover (7 products with export turnover of over 10 billion USD, accounting for 66.5%).</w:t>
      </w:r>
      <w:r w:rsidRPr="000E610C">
        <w:rPr>
          <w:lang w:val="de-DE"/>
        </w:rPr>
        <w:t xml:space="preserve"> </w:t>
      </w:r>
    </w:p>
    <w:p w14:paraId="4232DC57" w14:textId="77777777" w:rsidR="000E610C" w:rsidRPr="000E610C" w:rsidRDefault="000E610C" w:rsidP="000E610C">
      <w:pPr>
        <w:tabs>
          <w:tab w:val="num" w:pos="0"/>
          <w:tab w:val="left" w:pos="9475"/>
        </w:tabs>
        <w:spacing w:beforeLines="40" w:before="96" w:afterLines="40" w:after="96" w:line="264" w:lineRule="auto"/>
        <w:ind w:right="119" w:firstLine="567"/>
        <w:jc w:val="center"/>
        <w:rPr>
          <w:rFonts w:ascii="Arial" w:hAnsi="Arial" w:cs="Arial"/>
          <w:b/>
          <w:sz w:val="24"/>
          <w:szCs w:val="20"/>
          <w:lang w:val="pl-PL"/>
        </w:rPr>
      </w:pPr>
      <w:r w:rsidRPr="000E610C">
        <w:rPr>
          <w:rFonts w:ascii="Arial" w:hAnsi="Arial" w:cs="Arial"/>
          <w:b/>
          <w:sz w:val="24"/>
          <w:szCs w:val="20"/>
          <w:lang w:val="pl-PL"/>
        </w:rPr>
        <w:t>Table 4. Value of some export products in 11 months of 2024</w:t>
      </w:r>
    </w:p>
    <w:tbl>
      <w:tblPr>
        <w:tblStyle w:val="TableGrid1"/>
        <w:tblW w:w="9711" w:type="dxa"/>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92"/>
        <w:gridCol w:w="1657"/>
        <w:gridCol w:w="3162"/>
      </w:tblGrid>
      <w:tr w:rsidR="000E610C" w:rsidRPr="000E610C" w14:paraId="1E923B63" w14:textId="77777777" w:rsidTr="002F4D0B">
        <w:trPr>
          <w:trHeight w:val="781"/>
        </w:trPr>
        <w:tc>
          <w:tcPr>
            <w:tcW w:w="4892" w:type="dxa"/>
          </w:tcPr>
          <w:p w14:paraId="343BBC44" w14:textId="77777777" w:rsidR="000E610C" w:rsidRPr="000E610C" w:rsidRDefault="000E610C" w:rsidP="000E610C">
            <w:pPr>
              <w:tabs>
                <w:tab w:val="num" w:pos="0"/>
                <w:tab w:val="left" w:pos="9475"/>
              </w:tabs>
              <w:spacing w:before="40" w:after="40" w:line="288" w:lineRule="auto"/>
              <w:ind w:right="119"/>
              <w:jc w:val="right"/>
              <w:rPr>
                <w:rFonts w:ascii="Arial" w:hAnsi="Arial" w:cs="Arial"/>
                <w:b/>
                <w:bCs/>
                <w:i/>
                <w:iCs/>
                <w:sz w:val="20"/>
                <w:szCs w:val="20"/>
                <w:lang w:val="en"/>
              </w:rPr>
            </w:pPr>
          </w:p>
        </w:tc>
        <w:tc>
          <w:tcPr>
            <w:tcW w:w="1657" w:type="dxa"/>
            <w:tcBorders>
              <w:top w:val="single" w:sz="4" w:space="0" w:color="auto"/>
              <w:bottom w:val="single" w:sz="4" w:space="0" w:color="auto"/>
            </w:tcBorders>
          </w:tcPr>
          <w:p w14:paraId="72B23B31" w14:textId="77777777" w:rsidR="000E610C" w:rsidRPr="000E610C" w:rsidRDefault="000E610C" w:rsidP="000E610C">
            <w:pPr>
              <w:spacing w:before="40" w:after="40" w:line="288" w:lineRule="auto"/>
              <w:jc w:val="center"/>
              <w:rPr>
                <w:rFonts w:ascii="Arial" w:hAnsi="Arial" w:cs="Arial"/>
                <w:color w:val="000000"/>
                <w:sz w:val="20"/>
                <w:szCs w:val="20"/>
                <w:lang w:val="en"/>
              </w:rPr>
            </w:pPr>
            <w:r w:rsidRPr="000E610C">
              <w:rPr>
                <w:rFonts w:ascii="Arial" w:hAnsi="Arial" w:cs="Arial"/>
                <w:color w:val="000000"/>
                <w:sz w:val="20"/>
                <w:szCs w:val="20"/>
              </w:rPr>
              <w:t>Value</w:t>
            </w:r>
          </w:p>
          <w:p w14:paraId="3A95B35F" w14:textId="77777777" w:rsidR="000E610C" w:rsidRPr="000E610C" w:rsidRDefault="000E610C" w:rsidP="000E610C">
            <w:pPr>
              <w:spacing w:before="40" w:after="40" w:line="288" w:lineRule="auto"/>
              <w:jc w:val="center"/>
              <w:rPr>
                <w:rFonts w:ascii="Arial" w:hAnsi="Arial" w:cs="Arial"/>
                <w:b/>
                <w:bCs/>
                <w:i/>
                <w:iCs/>
                <w:sz w:val="20"/>
                <w:szCs w:val="20"/>
                <w:lang w:val="en"/>
              </w:rPr>
            </w:pPr>
            <w:r w:rsidRPr="000E610C">
              <w:rPr>
                <w:rFonts w:ascii="Arial" w:hAnsi="Arial" w:cs="Arial"/>
                <w:i/>
                <w:iCs/>
                <w:color w:val="000000"/>
                <w:sz w:val="20"/>
                <w:szCs w:val="20"/>
              </w:rPr>
              <w:t>(Mill. USD)</w:t>
            </w:r>
          </w:p>
        </w:tc>
        <w:tc>
          <w:tcPr>
            <w:tcW w:w="3162" w:type="dxa"/>
            <w:tcBorders>
              <w:top w:val="single" w:sz="4" w:space="0" w:color="auto"/>
              <w:bottom w:val="single" w:sz="4" w:space="0" w:color="auto"/>
            </w:tcBorders>
          </w:tcPr>
          <w:p w14:paraId="1C0F24FF" w14:textId="77777777" w:rsidR="000E610C" w:rsidRPr="000E610C" w:rsidRDefault="000E610C" w:rsidP="000E610C">
            <w:pPr>
              <w:spacing w:before="40" w:after="40" w:line="288" w:lineRule="auto"/>
              <w:jc w:val="center"/>
              <w:rPr>
                <w:rFonts w:ascii="Arial" w:hAnsi="Arial" w:cs="Arial"/>
                <w:sz w:val="20"/>
                <w:szCs w:val="20"/>
              </w:rPr>
            </w:pPr>
            <w:r w:rsidRPr="000E610C">
              <w:rPr>
                <w:rFonts w:ascii="Arial" w:hAnsi="Arial" w:cs="Arial"/>
                <w:sz w:val="20"/>
                <w:szCs w:val="20"/>
                <w:lang w:val="en"/>
              </w:rPr>
              <w:t xml:space="preserve">Growth </w:t>
            </w:r>
            <w:proofErr w:type="gramStart"/>
            <w:r w:rsidRPr="000E610C">
              <w:rPr>
                <w:rFonts w:ascii="Arial" w:hAnsi="Arial" w:cs="Arial"/>
                <w:sz w:val="20"/>
                <w:szCs w:val="20"/>
                <w:lang w:val="en"/>
              </w:rPr>
              <w:t>rate</w:t>
            </w:r>
            <w:proofErr w:type="gramEnd"/>
            <w:r w:rsidRPr="000E610C">
              <w:rPr>
                <w:rFonts w:ascii="Arial" w:hAnsi="Arial" w:cs="Arial"/>
                <w:sz w:val="20"/>
                <w:szCs w:val="20"/>
                <w:lang w:val="en"/>
              </w:rPr>
              <w:t xml:space="preserve"> </w:t>
            </w:r>
            <w:r w:rsidRPr="000E610C">
              <w:rPr>
                <w:rFonts w:ascii="Arial" w:hAnsi="Arial" w:cs="Arial"/>
                <w:sz w:val="20"/>
                <w:szCs w:val="20"/>
              </w:rPr>
              <w:t>compare to</w:t>
            </w:r>
          </w:p>
          <w:p w14:paraId="0C0B0A2E" w14:textId="77777777" w:rsidR="000E610C" w:rsidRPr="000E610C" w:rsidRDefault="000E610C" w:rsidP="000E610C">
            <w:pPr>
              <w:spacing w:before="40" w:after="40" w:line="288" w:lineRule="auto"/>
              <w:jc w:val="center"/>
              <w:rPr>
                <w:rFonts w:ascii="Arial" w:hAnsi="Arial" w:cs="Arial"/>
                <w:sz w:val="20"/>
                <w:szCs w:val="20"/>
                <w:lang w:val="en"/>
              </w:rPr>
            </w:pPr>
            <w:r w:rsidRPr="000E610C">
              <w:rPr>
                <w:rFonts w:ascii="Arial" w:hAnsi="Arial" w:cs="Arial"/>
                <w:sz w:val="20"/>
                <w:szCs w:val="20"/>
              </w:rPr>
              <w:t xml:space="preserve">the same period last year </w:t>
            </w:r>
            <w:r w:rsidRPr="000E610C">
              <w:rPr>
                <w:rFonts w:ascii="Arial" w:hAnsi="Arial" w:cs="Arial"/>
                <w:i/>
                <w:iCs/>
                <w:sz w:val="20"/>
                <w:szCs w:val="20"/>
              </w:rPr>
              <w:t>(%)</w:t>
            </w:r>
          </w:p>
        </w:tc>
      </w:tr>
      <w:tr w:rsidR="000E610C" w:rsidRPr="000E610C" w14:paraId="332F75A9" w14:textId="77777777" w:rsidTr="002F4D0B">
        <w:trPr>
          <w:trHeight w:val="426"/>
        </w:trPr>
        <w:tc>
          <w:tcPr>
            <w:tcW w:w="4892" w:type="dxa"/>
          </w:tcPr>
          <w:p w14:paraId="6AFD130A" w14:textId="77777777" w:rsidR="000E610C" w:rsidRPr="000E610C" w:rsidRDefault="000E610C" w:rsidP="000E610C">
            <w:pPr>
              <w:spacing w:before="40" w:after="40" w:line="288" w:lineRule="auto"/>
              <w:rPr>
                <w:rFonts w:ascii="Arial" w:hAnsi="Arial" w:cs="Arial"/>
                <w:b/>
                <w:bCs/>
                <w:color w:val="000000"/>
                <w:sz w:val="20"/>
                <w:szCs w:val="20"/>
                <w:lang w:val="en"/>
              </w:rPr>
            </w:pPr>
            <w:r w:rsidRPr="000E610C">
              <w:rPr>
                <w:rFonts w:ascii="Arial" w:hAnsi="Arial" w:cs="Arial"/>
                <w:b/>
                <w:bCs/>
                <w:sz w:val="20"/>
                <w:szCs w:val="20"/>
                <w:lang w:val="en"/>
              </w:rPr>
              <w:t>Items with a value of over 10 billion USD</w:t>
            </w:r>
          </w:p>
        </w:tc>
        <w:tc>
          <w:tcPr>
            <w:tcW w:w="1657" w:type="dxa"/>
            <w:tcBorders>
              <w:top w:val="single" w:sz="4" w:space="0" w:color="auto"/>
            </w:tcBorders>
          </w:tcPr>
          <w:p w14:paraId="09D04AD1" w14:textId="77777777" w:rsidR="000E610C" w:rsidRPr="000E610C" w:rsidRDefault="000E610C" w:rsidP="000E610C">
            <w:pPr>
              <w:tabs>
                <w:tab w:val="num" w:pos="0"/>
                <w:tab w:val="left" w:pos="9475"/>
              </w:tabs>
              <w:spacing w:before="40" w:after="40" w:line="288" w:lineRule="auto"/>
              <w:ind w:right="119"/>
              <w:jc w:val="right"/>
              <w:rPr>
                <w:rFonts w:ascii="Arial" w:hAnsi="Arial" w:cs="Arial"/>
                <w:b/>
                <w:bCs/>
                <w:i/>
                <w:iCs/>
                <w:sz w:val="20"/>
                <w:szCs w:val="20"/>
                <w:lang w:val="en"/>
              </w:rPr>
            </w:pPr>
          </w:p>
        </w:tc>
        <w:tc>
          <w:tcPr>
            <w:tcW w:w="3162" w:type="dxa"/>
            <w:tcBorders>
              <w:top w:val="single" w:sz="4" w:space="0" w:color="auto"/>
            </w:tcBorders>
          </w:tcPr>
          <w:p w14:paraId="16D2E1DC" w14:textId="77777777" w:rsidR="000E610C" w:rsidRPr="000E610C" w:rsidRDefault="000E610C" w:rsidP="000E610C">
            <w:pPr>
              <w:tabs>
                <w:tab w:val="num" w:pos="0"/>
                <w:tab w:val="left" w:pos="9475"/>
              </w:tabs>
              <w:spacing w:before="40" w:after="40" w:line="288" w:lineRule="auto"/>
              <w:ind w:right="119"/>
              <w:jc w:val="right"/>
              <w:rPr>
                <w:rFonts w:ascii="Arial" w:hAnsi="Arial" w:cs="Arial"/>
                <w:b/>
                <w:bCs/>
                <w:i/>
                <w:iCs/>
                <w:sz w:val="20"/>
                <w:szCs w:val="20"/>
                <w:lang w:val="en"/>
              </w:rPr>
            </w:pPr>
          </w:p>
        </w:tc>
      </w:tr>
      <w:tr w:rsidR="000E610C" w:rsidRPr="000E610C" w14:paraId="61FE7C48" w14:textId="77777777" w:rsidTr="002F4D0B">
        <w:trPr>
          <w:trHeight w:val="408"/>
        </w:trPr>
        <w:tc>
          <w:tcPr>
            <w:tcW w:w="4892" w:type="dxa"/>
            <w:vAlign w:val="center"/>
          </w:tcPr>
          <w:p w14:paraId="3EC1ABD6" w14:textId="77777777" w:rsidR="000E610C" w:rsidRPr="000E610C" w:rsidRDefault="000E610C" w:rsidP="000E610C">
            <w:pPr>
              <w:spacing w:before="40" w:after="40" w:line="288" w:lineRule="auto"/>
              <w:ind w:firstLine="171"/>
              <w:rPr>
                <w:rFonts w:ascii="Arial" w:hAnsi="Arial" w:cs="Arial"/>
                <w:sz w:val="20"/>
                <w:szCs w:val="20"/>
                <w:lang w:val="en"/>
              </w:rPr>
            </w:pPr>
            <w:r w:rsidRPr="000E610C">
              <w:rPr>
                <w:rFonts w:ascii="Arial" w:hAnsi="Arial" w:cs="Arial"/>
                <w:sz w:val="20"/>
                <w:szCs w:val="20"/>
                <w:lang w:val="en"/>
              </w:rPr>
              <w:t>Electronic goods, computers and their parts</w:t>
            </w:r>
          </w:p>
        </w:tc>
        <w:tc>
          <w:tcPr>
            <w:tcW w:w="1657" w:type="dxa"/>
            <w:vAlign w:val="bottom"/>
          </w:tcPr>
          <w:p w14:paraId="26EA099C" w14:textId="77777777" w:rsidR="000E610C" w:rsidRPr="000E610C" w:rsidRDefault="000E610C" w:rsidP="000E610C">
            <w:pPr>
              <w:spacing w:before="40" w:after="40" w:line="288" w:lineRule="auto"/>
              <w:ind w:right="317"/>
              <w:jc w:val="right"/>
              <w:rPr>
                <w:rFonts w:ascii="Arial" w:hAnsi="Arial" w:cs="Arial"/>
                <w:sz w:val="20"/>
                <w:szCs w:val="20"/>
                <w:lang w:val="en"/>
              </w:rPr>
            </w:pPr>
            <w:r w:rsidRPr="000E610C">
              <w:rPr>
                <w:rFonts w:ascii="Arial" w:hAnsi="Arial" w:cs="Arial"/>
                <w:sz w:val="20"/>
                <w:szCs w:val="20"/>
                <w:lang w:val="en-GB"/>
              </w:rPr>
              <w:t>65</w:t>
            </w:r>
            <w:r w:rsidRPr="000E610C">
              <w:rPr>
                <w:rFonts w:ascii="Arial" w:hAnsi="Arial" w:cs="Arial"/>
                <w:sz w:val="20"/>
                <w:szCs w:val="20"/>
              </w:rPr>
              <w:t>,</w:t>
            </w:r>
            <w:r w:rsidRPr="000E610C">
              <w:rPr>
                <w:rFonts w:ascii="Arial" w:hAnsi="Arial" w:cs="Arial"/>
                <w:sz w:val="20"/>
                <w:szCs w:val="20"/>
                <w:lang w:val="en-GB"/>
              </w:rPr>
              <w:t>227</w:t>
            </w:r>
          </w:p>
        </w:tc>
        <w:tc>
          <w:tcPr>
            <w:tcW w:w="3162" w:type="dxa"/>
            <w:vAlign w:val="bottom"/>
          </w:tcPr>
          <w:p w14:paraId="7B7F697B" w14:textId="77777777" w:rsidR="000E610C" w:rsidRPr="000E610C" w:rsidRDefault="000E610C" w:rsidP="000E610C">
            <w:pPr>
              <w:tabs>
                <w:tab w:val="left" w:pos="1735"/>
              </w:tabs>
              <w:spacing w:before="40" w:after="40" w:line="288" w:lineRule="auto"/>
              <w:ind w:right="1063"/>
              <w:jc w:val="right"/>
              <w:rPr>
                <w:rFonts w:ascii="Arial" w:hAnsi="Arial" w:cs="Arial"/>
                <w:sz w:val="20"/>
                <w:szCs w:val="20"/>
                <w:lang w:val="en"/>
              </w:rPr>
            </w:pPr>
            <w:r w:rsidRPr="000E610C">
              <w:rPr>
                <w:rFonts w:ascii="Arial" w:hAnsi="Arial" w:cs="Arial"/>
                <w:sz w:val="20"/>
                <w:szCs w:val="20"/>
                <w:lang w:val="en-GB"/>
              </w:rPr>
              <w:t>26.3</w:t>
            </w:r>
          </w:p>
        </w:tc>
      </w:tr>
      <w:tr w:rsidR="000E610C" w:rsidRPr="000E610C" w14:paraId="1CA81E88" w14:textId="77777777" w:rsidTr="002F4D0B">
        <w:trPr>
          <w:trHeight w:val="426"/>
        </w:trPr>
        <w:tc>
          <w:tcPr>
            <w:tcW w:w="4892" w:type="dxa"/>
            <w:vAlign w:val="center"/>
          </w:tcPr>
          <w:p w14:paraId="7AF2C5DF" w14:textId="77777777" w:rsidR="000E610C" w:rsidRPr="000E610C" w:rsidRDefault="000E610C" w:rsidP="000E610C">
            <w:pPr>
              <w:spacing w:before="40" w:after="40" w:line="288" w:lineRule="auto"/>
              <w:ind w:firstLine="171"/>
              <w:rPr>
                <w:rFonts w:ascii="Arial" w:hAnsi="Arial" w:cs="Arial"/>
                <w:sz w:val="20"/>
                <w:szCs w:val="20"/>
                <w:lang w:val="en"/>
              </w:rPr>
            </w:pPr>
            <w:r w:rsidRPr="000E610C">
              <w:rPr>
                <w:rFonts w:ascii="Arial" w:hAnsi="Arial" w:cs="Arial"/>
                <w:sz w:val="20"/>
                <w:szCs w:val="20"/>
                <w:lang w:val="en"/>
              </w:rPr>
              <w:t xml:space="preserve">Phones all of kinds and their parts </w:t>
            </w:r>
          </w:p>
        </w:tc>
        <w:tc>
          <w:tcPr>
            <w:tcW w:w="1657" w:type="dxa"/>
            <w:vAlign w:val="bottom"/>
          </w:tcPr>
          <w:p w14:paraId="4E9DF58B" w14:textId="77777777" w:rsidR="000E610C" w:rsidRPr="000E610C" w:rsidRDefault="000E610C" w:rsidP="000E610C">
            <w:pPr>
              <w:spacing w:before="40" w:after="40" w:line="288" w:lineRule="auto"/>
              <w:ind w:right="317"/>
              <w:jc w:val="right"/>
              <w:rPr>
                <w:rFonts w:ascii="Arial" w:hAnsi="Arial" w:cs="Arial"/>
                <w:sz w:val="20"/>
                <w:szCs w:val="20"/>
                <w:lang w:val="en"/>
              </w:rPr>
            </w:pPr>
            <w:r w:rsidRPr="000E610C">
              <w:rPr>
                <w:rFonts w:ascii="Arial" w:hAnsi="Arial" w:cs="Arial"/>
                <w:sz w:val="20"/>
                <w:szCs w:val="20"/>
                <w:lang w:val="en-GB"/>
              </w:rPr>
              <w:t>50</w:t>
            </w:r>
            <w:r w:rsidRPr="000E610C">
              <w:rPr>
                <w:rFonts w:ascii="Arial" w:hAnsi="Arial" w:cs="Arial"/>
                <w:sz w:val="20"/>
                <w:szCs w:val="20"/>
              </w:rPr>
              <w:t>,</w:t>
            </w:r>
            <w:r w:rsidRPr="000E610C">
              <w:rPr>
                <w:rFonts w:ascii="Arial" w:hAnsi="Arial" w:cs="Arial"/>
                <w:sz w:val="20"/>
                <w:szCs w:val="20"/>
                <w:lang w:val="en-GB"/>
              </w:rPr>
              <w:t>242</w:t>
            </w:r>
          </w:p>
        </w:tc>
        <w:tc>
          <w:tcPr>
            <w:tcW w:w="3162" w:type="dxa"/>
            <w:vAlign w:val="bottom"/>
          </w:tcPr>
          <w:p w14:paraId="1CE1C751" w14:textId="77777777" w:rsidR="000E610C" w:rsidRPr="000E610C" w:rsidRDefault="000E610C" w:rsidP="000E610C">
            <w:pPr>
              <w:tabs>
                <w:tab w:val="left" w:pos="1735"/>
              </w:tabs>
              <w:spacing w:before="40" w:after="40" w:line="288" w:lineRule="auto"/>
              <w:ind w:right="1063"/>
              <w:jc w:val="right"/>
              <w:rPr>
                <w:rFonts w:ascii="Arial" w:hAnsi="Arial" w:cs="Arial"/>
                <w:sz w:val="20"/>
                <w:szCs w:val="20"/>
                <w:lang w:val="en"/>
              </w:rPr>
            </w:pPr>
            <w:r w:rsidRPr="000E610C">
              <w:rPr>
                <w:rFonts w:ascii="Arial" w:hAnsi="Arial" w:cs="Arial"/>
                <w:sz w:val="20"/>
                <w:szCs w:val="20"/>
                <w:lang w:val="en-GB"/>
              </w:rPr>
              <w:t>3.2</w:t>
            </w:r>
          </w:p>
        </w:tc>
      </w:tr>
      <w:tr w:rsidR="000E610C" w:rsidRPr="000E610C" w14:paraId="595611AF" w14:textId="77777777" w:rsidTr="002F4D0B">
        <w:trPr>
          <w:trHeight w:val="408"/>
        </w:trPr>
        <w:tc>
          <w:tcPr>
            <w:tcW w:w="4892" w:type="dxa"/>
            <w:tcBorders>
              <w:bottom w:val="nil"/>
            </w:tcBorders>
            <w:vAlign w:val="center"/>
          </w:tcPr>
          <w:p w14:paraId="78A81268" w14:textId="77777777" w:rsidR="000E610C" w:rsidRPr="000E610C" w:rsidRDefault="000E610C" w:rsidP="000E610C">
            <w:pPr>
              <w:spacing w:before="40" w:after="40" w:line="288" w:lineRule="auto"/>
              <w:ind w:firstLine="171"/>
              <w:rPr>
                <w:rFonts w:ascii="Arial" w:hAnsi="Arial" w:cs="Arial"/>
                <w:sz w:val="20"/>
                <w:szCs w:val="20"/>
                <w:lang w:val="en"/>
              </w:rPr>
            </w:pPr>
            <w:r w:rsidRPr="000E610C">
              <w:rPr>
                <w:rFonts w:ascii="Arial" w:hAnsi="Arial" w:cs="Arial"/>
                <w:sz w:val="20"/>
                <w:szCs w:val="20"/>
                <w:lang w:val="en"/>
              </w:rPr>
              <w:t>Machinery, instrument, accessory</w:t>
            </w:r>
          </w:p>
        </w:tc>
        <w:tc>
          <w:tcPr>
            <w:tcW w:w="1657" w:type="dxa"/>
            <w:tcBorders>
              <w:bottom w:val="nil"/>
            </w:tcBorders>
            <w:vAlign w:val="bottom"/>
          </w:tcPr>
          <w:p w14:paraId="62D7192A" w14:textId="77777777" w:rsidR="000E610C" w:rsidRPr="000E610C" w:rsidRDefault="000E610C" w:rsidP="000E610C">
            <w:pPr>
              <w:spacing w:before="40" w:after="40" w:line="288" w:lineRule="auto"/>
              <w:ind w:right="320" w:firstLine="171"/>
              <w:jc w:val="right"/>
              <w:rPr>
                <w:rFonts w:ascii="Arial" w:hAnsi="Arial" w:cs="Arial"/>
                <w:sz w:val="20"/>
                <w:szCs w:val="20"/>
                <w:lang w:val="en"/>
              </w:rPr>
            </w:pPr>
            <w:r w:rsidRPr="000E610C">
              <w:rPr>
                <w:rFonts w:ascii="Arial" w:hAnsi="Arial" w:cs="Arial"/>
                <w:sz w:val="20"/>
                <w:szCs w:val="20"/>
                <w:lang w:val="en-GB"/>
              </w:rPr>
              <w:t>47</w:t>
            </w:r>
            <w:r w:rsidRPr="000E610C">
              <w:rPr>
                <w:rFonts w:ascii="Arial" w:hAnsi="Arial" w:cs="Arial"/>
                <w:sz w:val="20"/>
                <w:szCs w:val="20"/>
              </w:rPr>
              <w:t>,</w:t>
            </w:r>
            <w:r w:rsidRPr="000E610C">
              <w:rPr>
                <w:rFonts w:ascii="Arial" w:hAnsi="Arial" w:cs="Arial"/>
                <w:sz w:val="20"/>
                <w:szCs w:val="20"/>
                <w:lang w:val="en-GB"/>
              </w:rPr>
              <w:t>806</w:t>
            </w:r>
          </w:p>
        </w:tc>
        <w:tc>
          <w:tcPr>
            <w:tcW w:w="3162" w:type="dxa"/>
            <w:tcBorders>
              <w:bottom w:val="nil"/>
            </w:tcBorders>
            <w:vAlign w:val="bottom"/>
          </w:tcPr>
          <w:p w14:paraId="70ED43FC" w14:textId="77777777" w:rsidR="000E610C" w:rsidRPr="000E610C" w:rsidRDefault="000E610C" w:rsidP="000E610C">
            <w:pPr>
              <w:tabs>
                <w:tab w:val="left" w:pos="1735"/>
              </w:tabs>
              <w:spacing w:before="40" w:after="40" w:line="288" w:lineRule="auto"/>
              <w:ind w:right="1063"/>
              <w:jc w:val="right"/>
              <w:rPr>
                <w:rFonts w:ascii="Arial" w:hAnsi="Arial" w:cs="Arial"/>
                <w:sz w:val="20"/>
                <w:szCs w:val="20"/>
                <w:lang w:val="en"/>
              </w:rPr>
            </w:pPr>
            <w:r w:rsidRPr="000E610C">
              <w:rPr>
                <w:rFonts w:ascii="Arial" w:hAnsi="Arial" w:cs="Arial"/>
                <w:sz w:val="20"/>
                <w:szCs w:val="20"/>
                <w:lang w:val="en-GB"/>
              </w:rPr>
              <w:t>21.6</w:t>
            </w:r>
          </w:p>
        </w:tc>
      </w:tr>
      <w:tr w:rsidR="000E610C" w:rsidRPr="000E610C" w14:paraId="50F63A34" w14:textId="77777777" w:rsidTr="002F4D0B">
        <w:trPr>
          <w:trHeight w:val="408"/>
        </w:trPr>
        <w:tc>
          <w:tcPr>
            <w:tcW w:w="4892" w:type="dxa"/>
            <w:tcBorders>
              <w:top w:val="nil"/>
              <w:bottom w:val="nil"/>
            </w:tcBorders>
            <w:vAlign w:val="center"/>
          </w:tcPr>
          <w:p w14:paraId="55F13938" w14:textId="77777777" w:rsidR="000E610C" w:rsidRPr="000E610C" w:rsidRDefault="000E610C" w:rsidP="000E610C">
            <w:pPr>
              <w:spacing w:before="40" w:after="40" w:line="288" w:lineRule="auto"/>
              <w:ind w:firstLine="171"/>
              <w:rPr>
                <w:rFonts w:ascii="Arial" w:hAnsi="Arial" w:cs="Arial"/>
                <w:sz w:val="20"/>
                <w:szCs w:val="20"/>
                <w:lang w:val="en"/>
              </w:rPr>
            </w:pPr>
            <w:r w:rsidRPr="000E610C">
              <w:rPr>
                <w:rFonts w:ascii="Arial" w:hAnsi="Arial" w:cs="Arial"/>
                <w:sz w:val="20"/>
                <w:szCs w:val="20"/>
                <w:lang w:val="en"/>
              </w:rPr>
              <w:t>Textiles and garments</w:t>
            </w:r>
          </w:p>
        </w:tc>
        <w:tc>
          <w:tcPr>
            <w:tcW w:w="1657" w:type="dxa"/>
            <w:tcBorders>
              <w:top w:val="nil"/>
              <w:bottom w:val="nil"/>
            </w:tcBorders>
            <w:vAlign w:val="bottom"/>
          </w:tcPr>
          <w:p w14:paraId="222D0099" w14:textId="77777777" w:rsidR="000E610C" w:rsidRPr="000E610C" w:rsidRDefault="000E610C" w:rsidP="000E610C">
            <w:pPr>
              <w:spacing w:before="40" w:after="40" w:line="288" w:lineRule="auto"/>
              <w:ind w:right="317"/>
              <w:jc w:val="right"/>
              <w:rPr>
                <w:rFonts w:ascii="Arial" w:hAnsi="Arial" w:cs="Arial"/>
                <w:sz w:val="20"/>
                <w:szCs w:val="20"/>
                <w:lang w:val="en"/>
              </w:rPr>
            </w:pPr>
            <w:r w:rsidRPr="000E610C">
              <w:rPr>
                <w:rFonts w:ascii="Arial" w:hAnsi="Arial" w:cs="Arial"/>
                <w:sz w:val="20"/>
                <w:szCs w:val="20"/>
                <w:lang w:val="en-GB"/>
              </w:rPr>
              <w:t>33</w:t>
            </w:r>
            <w:r w:rsidRPr="000E610C">
              <w:rPr>
                <w:rFonts w:ascii="Arial" w:hAnsi="Arial" w:cs="Arial"/>
                <w:sz w:val="20"/>
                <w:szCs w:val="20"/>
              </w:rPr>
              <w:t>,</w:t>
            </w:r>
            <w:r w:rsidRPr="000E610C">
              <w:rPr>
                <w:rFonts w:ascii="Arial" w:hAnsi="Arial" w:cs="Arial"/>
                <w:sz w:val="20"/>
                <w:szCs w:val="20"/>
                <w:lang w:val="en-GB"/>
              </w:rPr>
              <w:t>651</w:t>
            </w:r>
          </w:p>
        </w:tc>
        <w:tc>
          <w:tcPr>
            <w:tcW w:w="3162" w:type="dxa"/>
            <w:tcBorders>
              <w:top w:val="nil"/>
              <w:bottom w:val="nil"/>
            </w:tcBorders>
            <w:vAlign w:val="bottom"/>
          </w:tcPr>
          <w:p w14:paraId="337CAC99" w14:textId="77777777" w:rsidR="000E610C" w:rsidRPr="000E610C" w:rsidRDefault="000E610C" w:rsidP="000E610C">
            <w:pPr>
              <w:tabs>
                <w:tab w:val="left" w:pos="1735"/>
              </w:tabs>
              <w:spacing w:before="40" w:after="40" w:line="288" w:lineRule="auto"/>
              <w:ind w:right="1063"/>
              <w:jc w:val="right"/>
              <w:rPr>
                <w:rFonts w:ascii="Arial" w:hAnsi="Arial" w:cs="Arial"/>
                <w:sz w:val="20"/>
                <w:szCs w:val="20"/>
                <w:lang w:val="en"/>
              </w:rPr>
            </w:pPr>
            <w:r w:rsidRPr="000E610C">
              <w:rPr>
                <w:rFonts w:ascii="Arial" w:hAnsi="Arial" w:cs="Arial"/>
                <w:sz w:val="20"/>
                <w:szCs w:val="20"/>
                <w:lang w:val="en-GB"/>
              </w:rPr>
              <w:t>10.6</w:t>
            </w:r>
          </w:p>
        </w:tc>
      </w:tr>
      <w:tr w:rsidR="000E610C" w:rsidRPr="000E610C" w14:paraId="62BA537B" w14:textId="77777777" w:rsidTr="002F4D0B">
        <w:trPr>
          <w:trHeight w:val="408"/>
        </w:trPr>
        <w:tc>
          <w:tcPr>
            <w:tcW w:w="4892" w:type="dxa"/>
            <w:tcBorders>
              <w:top w:val="nil"/>
              <w:bottom w:val="nil"/>
            </w:tcBorders>
            <w:vAlign w:val="center"/>
          </w:tcPr>
          <w:p w14:paraId="1123C7D1" w14:textId="77777777" w:rsidR="000E610C" w:rsidRPr="000E610C" w:rsidRDefault="000E610C" w:rsidP="000E610C">
            <w:pPr>
              <w:spacing w:before="40" w:after="40" w:line="288" w:lineRule="auto"/>
              <w:ind w:firstLine="171"/>
              <w:rPr>
                <w:rFonts w:ascii="Arial" w:hAnsi="Arial" w:cs="Arial"/>
                <w:sz w:val="20"/>
                <w:szCs w:val="20"/>
                <w:lang w:val="en"/>
              </w:rPr>
            </w:pPr>
            <w:r w:rsidRPr="000E610C">
              <w:rPr>
                <w:rFonts w:ascii="Arial" w:hAnsi="Arial" w:cs="Arial"/>
                <w:sz w:val="20"/>
                <w:szCs w:val="20"/>
                <w:lang w:val="en"/>
              </w:rPr>
              <w:t>Footwear</w:t>
            </w:r>
          </w:p>
        </w:tc>
        <w:tc>
          <w:tcPr>
            <w:tcW w:w="1657" w:type="dxa"/>
            <w:tcBorders>
              <w:top w:val="nil"/>
              <w:bottom w:val="nil"/>
            </w:tcBorders>
            <w:vAlign w:val="bottom"/>
          </w:tcPr>
          <w:p w14:paraId="24B5581F" w14:textId="77777777" w:rsidR="000E610C" w:rsidRPr="000E610C" w:rsidRDefault="000E610C" w:rsidP="000E610C">
            <w:pPr>
              <w:spacing w:before="40" w:after="40" w:line="288" w:lineRule="auto"/>
              <w:ind w:right="317"/>
              <w:jc w:val="right"/>
              <w:rPr>
                <w:rFonts w:ascii="Arial" w:hAnsi="Arial" w:cs="Arial"/>
                <w:sz w:val="20"/>
                <w:szCs w:val="20"/>
                <w:lang w:val="en"/>
              </w:rPr>
            </w:pPr>
            <w:r w:rsidRPr="000E610C">
              <w:rPr>
                <w:rFonts w:ascii="Arial" w:hAnsi="Arial" w:cs="Arial"/>
                <w:sz w:val="20"/>
                <w:szCs w:val="20"/>
                <w:lang w:val="en-GB"/>
              </w:rPr>
              <w:t>20</w:t>
            </w:r>
            <w:r w:rsidRPr="000E610C">
              <w:rPr>
                <w:rFonts w:ascii="Arial" w:hAnsi="Arial" w:cs="Arial"/>
                <w:sz w:val="20"/>
                <w:szCs w:val="20"/>
              </w:rPr>
              <w:t>,</w:t>
            </w:r>
            <w:r w:rsidRPr="000E610C">
              <w:rPr>
                <w:rFonts w:ascii="Arial" w:hAnsi="Arial" w:cs="Arial"/>
                <w:sz w:val="20"/>
                <w:szCs w:val="20"/>
                <w:lang w:val="en-GB"/>
              </w:rPr>
              <w:t>759</w:t>
            </w:r>
          </w:p>
        </w:tc>
        <w:tc>
          <w:tcPr>
            <w:tcW w:w="3162" w:type="dxa"/>
            <w:tcBorders>
              <w:top w:val="nil"/>
              <w:bottom w:val="nil"/>
            </w:tcBorders>
            <w:vAlign w:val="bottom"/>
          </w:tcPr>
          <w:p w14:paraId="5C0263C5" w14:textId="77777777" w:rsidR="000E610C" w:rsidRPr="000E610C" w:rsidRDefault="000E610C" w:rsidP="000E610C">
            <w:pPr>
              <w:tabs>
                <w:tab w:val="left" w:pos="1735"/>
              </w:tabs>
              <w:spacing w:before="40" w:after="40" w:line="288" w:lineRule="auto"/>
              <w:ind w:right="1063"/>
              <w:jc w:val="right"/>
              <w:rPr>
                <w:rFonts w:ascii="Arial" w:hAnsi="Arial" w:cs="Arial"/>
                <w:sz w:val="20"/>
                <w:szCs w:val="20"/>
                <w:lang w:val="en"/>
              </w:rPr>
            </w:pPr>
            <w:r w:rsidRPr="000E610C">
              <w:rPr>
                <w:rFonts w:ascii="Arial" w:hAnsi="Arial" w:cs="Arial"/>
                <w:sz w:val="20"/>
                <w:szCs w:val="20"/>
                <w:lang w:val="en-GB"/>
              </w:rPr>
              <w:t>12.9</w:t>
            </w:r>
          </w:p>
        </w:tc>
      </w:tr>
      <w:tr w:rsidR="000E610C" w:rsidRPr="000E610C" w14:paraId="71B7E236" w14:textId="77777777" w:rsidTr="002F4D0B">
        <w:trPr>
          <w:trHeight w:val="408"/>
        </w:trPr>
        <w:tc>
          <w:tcPr>
            <w:tcW w:w="4892" w:type="dxa"/>
            <w:tcBorders>
              <w:top w:val="nil"/>
              <w:bottom w:val="nil"/>
            </w:tcBorders>
            <w:vAlign w:val="center"/>
          </w:tcPr>
          <w:p w14:paraId="21218A80" w14:textId="77777777" w:rsidR="000E610C" w:rsidRPr="000E610C" w:rsidRDefault="000E610C" w:rsidP="000E610C">
            <w:pPr>
              <w:spacing w:before="40" w:after="40" w:line="288" w:lineRule="auto"/>
              <w:ind w:firstLine="171"/>
              <w:rPr>
                <w:rFonts w:ascii="Arial" w:hAnsi="Arial" w:cs="Arial"/>
                <w:sz w:val="20"/>
                <w:szCs w:val="20"/>
                <w:lang w:val="en"/>
              </w:rPr>
            </w:pPr>
            <w:r w:rsidRPr="000E610C">
              <w:rPr>
                <w:rFonts w:ascii="Arial" w:hAnsi="Arial" w:cs="Arial"/>
                <w:sz w:val="20"/>
                <w:szCs w:val="20"/>
                <w:lang w:val="en"/>
              </w:rPr>
              <w:t>Wood and products</w:t>
            </w:r>
          </w:p>
        </w:tc>
        <w:tc>
          <w:tcPr>
            <w:tcW w:w="1657" w:type="dxa"/>
            <w:tcBorders>
              <w:top w:val="nil"/>
              <w:bottom w:val="nil"/>
            </w:tcBorders>
            <w:vAlign w:val="bottom"/>
          </w:tcPr>
          <w:p w14:paraId="1ECB0ACC" w14:textId="77777777" w:rsidR="000E610C" w:rsidRPr="000E610C" w:rsidRDefault="000E610C" w:rsidP="000E610C">
            <w:pPr>
              <w:spacing w:before="40" w:after="40" w:line="288" w:lineRule="auto"/>
              <w:ind w:right="317"/>
              <w:jc w:val="right"/>
              <w:rPr>
                <w:rFonts w:ascii="Arial" w:hAnsi="Arial" w:cs="Arial"/>
                <w:sz w:val="20"/>
                <w:szCs w:val="20"/>
                <w:lang w:val="en"/>
              </w:rPr>
            </w:pPr>
            <w:r w:rsidRPr="000E610C">
              <w:rPr>
                <w:rFonts w:ascii="Arial" w:hAnsi="Arial" w:cs="Arial"/>
                <w:sz w:val="20"/>
                <w:szCs w:val="20"/>
                <w:lang w:val="en-GB"/>
              </w:rPr>
              <w:t>14</w:t>
            </w:r>
            <w:r w:rsidRPr="000E610C">
              <w:rPr>
                <w:rFonts w:ascii="Arial" w:hAnsi="Arial" w:cs="Arial"/>
                <w:sz w:val="20"/>
                <w:szCs w:val="20"/>
              </w:rPr>
              <w:t>,</w:t>
            </w:r>
            <w:r w:rsidRPr="000E610C">
              <w:rPr>
                <w:rFonts w:ascii="Arial" w:hAnsi="Arial" w:cs="Arial"/>
                <w:sz w:val="20"/>
                <w:szCs w:val="20"/>
                <w:lang w:val="en-GB"/>
              </w:rPr>
              <w:t>700</w:t>
            </w:r>
          </w:p>
        </w:tc>
        <w:tc>
          <w:tcPr>
            <w:tcW w:w="3162" w:type="dxa"/>
            <w:tcBorders>
              <w:top w:val="nil"/>
              <w:bottom w:val="nil"/>
            </w:tcBorders>
            <w:vAlign w:val="bottom"/>
          </w:tcPr>
          <w:p w14:paraId="6E69F3B9" w14:textId="77777777" w:rsidR="000E610C" w:rsidRPr="000E610C" w:rsidRDefault="000E610C" w:rsidP="000E610C">
            <w:pPr>
              <w:tabs>
                <w:tab w:val="left" w:pos="1735"/>
              </w:tabs>
              <w:spacing w:before="40" w:after="40" w:line="288" w:lineRule="auto"/>
              <w:ind w:right="1063"/>
              <w:jc w:val="right"/>
              <w:rPr>
                <w:rFonts w:ascii="Arial" w:hAnsi="Arial" w:cs="Arial"/>
                <w:sz w:val="20"/>
                <w:szCs w:val="20"/>
                <w:lang w:val="en"/>
              </w:rPr>
            </w:pPr>
            <w:r w:rsidRPr="000E610C">
              <w:rPr>
                <w:rFonts w:ascii="Arial" w:hAnsi="Arial" w:cs="Arial"/>
                <w:sz w:val="20"/>
                <w:szCs w:val="20"/>
                <w:lang w:val="en-GB"/>
              </w:rPr>
              <w:t>21.2</w:t>
            </w:r>
          </w:p>
        </w:tc>
      </w:tr>
      <w:tr w:rsidR="000E610C" w:rsidRPr="000E610C" w14:paraId="186A439C" w14:textId="77777777" w:rsidTr="002F4D0B">
        <w:trPr>
          <w:trHeight w:val="408"/>
        </w:trPr>
        <w:tc>
          <w:tcPr>
            <w:tcW w:w="4892" w:type="dxa"/>
            <w:tcBorders>
              <w:top w:val="nil"/>
              <w:bottom w:val="single" w:sz="4" w:space="0" w:color="auto"/>
            </w:tcBorders>
            <w:vAlign w:val="center"/>
          </w:tcPr>
          <w:p w14:paraId="366E21F0" w14:textId="77777777" w:rsidR="000E610C" w:rsidRPr="000E610C" w:rsidRDefault="000E610C" w:rsidP="000E610C">
            <w:pPr>
              <w:spacing w:before="40" w:after="40" w:line="288" w:lineRule="auto"/>
              <w:ind w:firstLine="171"/>
              <w:rPr>
                <w:rFonts w:ascii="Arial" w:hAnsi="Arial" w:cs="Arial"/>
                <w:sz w:val="20"/>
                <w:szCs w:val="20"/>
                <w:lang w:val="en"/>
              </w:rPr>
            </w:pPr>
            <w:r w:rsidRPr="000E610C">
              <w:rPr>
                <w:rFonts w:ascii="Arial" w:hAnsi="Arial" w:cs="Arial"/>
                <w:sz w:val="20"/>
                <w:szCs w:val="20"/>
                <w:lang w:val="en"/>
              </w:rPr>
              <w:t>Means of transport and components</w:t>
            </w:r>
          </w:p>
        </w:tc>
        <w:tc>
          <w:tcPr>
            <w:tcW w:w="1657" w:type="dxa"/>
            <w:tcBorders>
              <w:top w:val="nil"/>
              <w:bottom w:val="single" w:sz="4" w:space="0" w:color="auto"/>
            </w:tcBorders>
            <w:vAlign w:val="bottom"/>
          </w:tcPr>
          <w:p w14:paraId="3A18B274" w14:textId="77777777" w:rsidR="000E610C" w:rsidRPr="000E610C" w:rsidRDefault="000E610C" w:rsidP="000E610C">
            <w:pPr>
              <w:spacing w:before="40" w:after="40" w:line="288" w:lineRule="auto"/>
              <w:ind w:right="317"/>
              <w:jc w:val="right"/>
              <w:rPr>
                <w:rFonts w:ascii="Arial" w:hAnsi="Arial" w:cs="Arial"/>
                <w:sz w:val="20"/>
                <w:szCs w:val="20"/>
                <w:lang w:val="en-GB"/>
              </w:rPr>
            </w:pPr>
            <w:r w:rsidRPr="000E610C">
              <w:rPr>
                <w:rFonts w:ascii="Arial" w:hAnsi="Arial" w:cs="Arial"/>
                <w:sz w:val="20"/>
                <w:szCs w:val="20"/>
                <w:lang w:val="en-GB"/>
              </w:rPr>
              <w:t>13</w:t>
            </w:r>
            <w:r w:rsidRPr="000E610C">
              <w:rPr>
                <w:rFonts w:ascii="Arial" w:hAnsi="Arial" w:cs="Arial"/>
                <w:sz w:val="20"/>
                <w:szCs w:val="20"/>
              </w:rPr>
              <w:t>,</w:t>
            </w:r>
            <w:r w:rsidRPr="000E610C">
              <w:rPr>
                <w:rFonts w:ascii="Arial" w:hAnsi="Arial" w:cs="Arial"/>
                <w:sz w:val="20"/>
                <w:szCs w:val="20"/>
                <w:lang w:val="en-GB"/>
              </w:rPr>
              <w:t>765</w:t>
            </w:r>
          </w:p>
        </w:tc>
        <w:tc>
          <w:tcPr>
            <w:tcW w:w="3162" w:type="dxa"/>
            <w:tcBorders>
              <w:top w:val="nil"/>
              <w:bottom w:val="single" w:sz="4" w:space="0" w:color="auto"/>
            </w:tcBorders>
            <w:vAlign w:val="bottom"/>
          </w:tcPr>
          <w:p w14:paraId="6082E3CE" w14:textId="77777777" w:rsidR="000E610C" w:rsidRPr="000E610C" w:rsidRDefault="000E610C" w:rsidP="000E610C">
            <w:pPr>
              <w:tabs>
                <w:tab w:val="left" w:pos="1735"/>
              </w:tabs>
              <w:spacing w:before="40" w:after="40" w:line="288" w:lineRule="auto"/>
              <w:ind w:right="1063"/>
              <w:jc w:val="right"/>
              <w:rPr>
                <w:rFonts w:ascii="Arial" w:hAnsi="Arial" w:cs="Arial"/>
                <w:sz w:val="20"/>
                <w:szCs w:val="20"/>
                <w:lang w:val="en-GB"/>
              </w:rPr>
            </w:pPr>
            <w:r w:rsidRPr="000E610C">
              <w:rPr>
                <w:rFonts w:ascii="Arial" w:hAnsi="Arial" w:cs="Arial"/>
                <w:sz w:val="20"/>
                <w:szCs w:val="20"/>
                <w:lang w:val="en-GB"/>
              </w:rPr>
              <w:t>6.0</w:t>
            </w:r>
          </w:p>
        </w:tc>
      </w:tr>
    </w:tbl>
    <w:p w14:paraId="3FB06F1F" w14:textId="77777777" w:rsidR="000E610C" w:rsidRPr="000E610C" w:rsidRDefault="000E610C" w:rsidP="000E610C">
      <w:pPr>
        <w:tabs>
          <w:tab w:val="num" w:pos="0"/>
          <w:tab w:val="left" w:pos="9475"/>
        </w:tabs>
        <w:spacing w:beforeLines="40" w:before="96" w:afterLines="40" w:after="96" w:line="264" w:lineRule="auto"/>
        <w:ind w:right="119" w:firstLine="567"/>
        <w:jc w:val="right"/>
        <w:rPr>
          <w:rFonts w:ascii="Arial" w:hAnsi="Arial" w:cs="Arial"/>
          <w:b/>
          <w:bCs/>
          <w:i/>
          <w:iCs/>
          <w:sz w:val="2"/>
          <w:szCs w:val="20"/>
          <w:lang w:val="es-NI"/>
        </w:rPr>
      </w:pPr>
    </w:p>
    <w:p w14:paraId="6EA3BB9F" w14:textId="77777777" w:rsidR="000E610C" w:rsidRPr="000E610C" w:rsidRDefault="000E610C" w:rsidP="000E610C">
      <w:pPr>
        <w:spacing w:beforeLines="40" w:before="96" w:afterLines="40" w:after="96" w:line="264" w:lineRule="auto"/>
        <w:jc w:val="both"/>
        <w:rPr>
          <w:rFonts w:eastAsia="Batang"/>
          <w:bCs/>
          <w:iCs/>
          <w:lang w:val="en-GB"/>
        </w:rPr>
      </w:pPr>
      <w:r w:rsidRPr="000E610C">
        <w:rPr>
          <w:rFonts w:ascii="Calibri" w:hAnsi="Calibri" w:cs="Calibri"/>
          <w:noProof/>
          <w:sz w:val="22"/>
          <w:szCs w:val="22"/>
        </w:rPr>
        <mc:AlternateContent>
          <mc:Choice Requires="wps">
            <w:drawing>
              <wp:anchor distT="0" distB="0" distL="114300" distR="114300" simplePos="0" relativeHeight="251677696" behindDoc="0" locked="0" layoutInCell="1" allowOverlap="1" wp14:anchorId="07656C0E" wp14:editId="58EEF83A">
                <wp:simplePos x="0" y="0"/>
                <wp:positionH relativeFrom="column">
                  <wp:posOffset>24765</wp:posOffset>
                </wp:positionH>
                <wp:positionV relativeFrom="paragraph">
                  <wp:posOffset>64135</wp:posOffset>
                </wp:positionV>
                <wp:extent cx="3476625" cy="2190750"/>
                <wp:effectExtent l="0" t="0" r="9525" b="0"/>
                <wp:wrapSquare wrapText="bothSides"/>
                <wp:docPr id="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190750"/>
                        </a:xfrm>
                        <a:prstGeom prst="rect">
                          <a:avLst/>
                        </a:prstGeom>
                        <a:solidFill>
                          <a:srgbClr val="FFFFFF"/>
                        </a:solidFill>
                        <a:ln w="9525">
                          <a:noFill/>
                          <a:miter lim="800000"/>
                          <a:headEnd/>
                          <a:tailEnd/>
                        </a:ln>
                      </wps:spPr>
                      <wps:txbx>
                        <w:txbxContent>
                          <w:p w14:paraId="2396B0CE" w14:textId="77777777" w:rsidR="000E610C" w:rsidRPr="004B4D22" w:rsidRDefault="000E610C" w:rsidP="000E610C">
                            <w:pPr>
                              <w:spacing w:line="264" w:lineRule="auto"/>
                              <w:jc w:val="center"/>
                              <w:rPr>
                                <w:rFonts w:ascii="Arial" w:hAnsi="Arial" w:cs="Arial"/>
                                <w:b/>
                                <w:bCs/>
                                <w:sz w:val="24"/>
                                <w:szCs w:val="24"/>
                              </w:rPr>
                            </w:pPr>
                            <w:r w:rsidRPr="004B4D22">
                              <w:rPr>
                                <w:rFonts w:ascii="Arial" w:hAnsi="Arial" w:cs="Arial"/>
                                <w:b/>
                                <w:bCs/>
                                <w:sz w:val="24"/>
                                <w:szCs w:val="24"/>
                              </w:rPr>
                              <w:t>Figure 1</w:t>
                            </w:r>
                            <w:r>
                              <w:rPr>
                                <w:rFonts w:ascii="Arial" w:hAnsi="Arial" w:cs="Arial"/>
                                <w:b/>
                                <w:bCs/>
                                <w:sz w:val="24"/>
                                <w:szCs w:val="24"/>
                              </w:rPr>
                              <w:t>2</w:t>
                            </w:r>
                            <w:r w:rsidRPr="004B4D22">
                              <w:rPr>
                                <w:rFonts w:ascii="Arial" w:hAnsi="Arial" w:cs="Arial"/>
                                <w:b/>
                                <w:bCs/>
                                <w:sz w:val="24"/>
                                <w:szCs w:val="24"/>
                              </w:rPr>
                              <w:t>. Structure of exported groups</w:t>
                            </w:r>
                          </w:p>
                          <w:p w14:paraId="67099A5D" w14:textId="77777777" w:rsidR="000E610C" w:rsidRPr="004B4D22" w:rsidRDefault="000E610C" w:rsidP="000E610C">
                            <w:pPr>
                              <w:spacing w:line="264" w:lineRule="auto"/>
                              <w:jc w:val="center"/>
                              <w:rPr>
                                <w:rFonts w:ascii="Arial" w:hAnsi="Arial" w:cs="Arial"/>
                                <w:b/>
                                <w:bCs/>
                                <w:sz w:val="24"/>
                                <w:szCs w:val="24"/>
                              </w:rPr>
                            </w:pPr>
                            <w:r w:rsidRPr="004B4D22">
                              <w:rPr>
                                <w:rFonts w:ascii="Arial" w:hAnsi="Arial" w:cs="Arial"/>
                                <w:b/>
                                <w:bCs/>
                                <w:sz w:val="24"/>
                                <w:szCs w:val="24"/>
                              </w:rPr>
                              <w:t xml:space="preserve">in </w:t>
                            </w:r>
                            <w:r>
                              <w:rPr>
                                <w:rFonts w:ascii="Arial" w:hAnsi="Arial" w:cs="Arial"/>
                                <w:b/>
                                <w:bCs/>
                                <w:sz w:val="24"/>
                                <w:szCs w:val="24"/>
                              </w:rPr>
                              <w:t>11 months</w:t>
                            </w:r>
                            <w:r w:rsidRPr="004B4D22">
                              <w:rPr>
                                <w:rFonts w:ascii="Arial" w:hAnsi="Arial" w:cs="Arial"/>
                                <w:b/>
                                <w:bCs/>
                                <w:sz w:val="24"/>
                                <w:szCs w:val="24"/>
                              </w:rPr>
                              <w:t xml:space="preserve"> of 2024</w:t>
                            </w:r>
                          </w:p>
                          <w:p w14:paraId="7673BF38" w14:textId="77777777" w:rsidR="000E610C" w:rsidRDefault="000E610C" w:rsidP="000E610C">
                            <w:pPr>
                              <w:ind w:left="-142"/>
                              <w:jc w:val="center"/>
                              <w:rPr>
                                <w:rFonts w:ascii="Arial" w:hAnsi="Arial" w:cs="Arial"/>
                                <w:sz w:val="24"/>
                                <w:szCs w:val="24"/>
                              </w:rPr>
                            </w:pPr>
                            <w:r w:rsidRPr="00A35DD4">
                              <w:rPr>
                                <w:noProof/>
                              </w:rPr>
                              <w:drawing>
                                <wp:inline distT="0" distB="0" distL="0" distR="0" wp14:anchorId="517BB497" wp14:editId="11CBD867">
                                  <wp:extent cx="3395345" cy="1713230"/>
                                  <wp:effectExtent l="0" t="0" r="0" b="1270"/>
                                  <wp:docPr id="1684934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5345" cy="1713230"/>
                                          </a:xfrm>
                                          <a:prstGeom prst="rect">
                                            <a:avLst/>
                                          </a:prstGeom>
                                          <a:noFill/>
                                          <a:ln>
                                            <a:noFill/>
                                          </a:ln>
                                        </pic:spPr>
                                      </pic:pic>
                                    </a:graphicData>
                                  </a:graphic>
                                </wp:inline>
                              </w:drawing>
                            </w:r>
                          </w:p>
                        </w:txbxContent>
                      </wps:txbx>
                      <wps:bodyPr rot="0" vertOverflow="clip" horzOverflow="clip"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07656C0E" id="_x0000_t202" coordsize="21600,21600" o:spt="202" path="m,l,21600r21600,l21600,xe">
                <v:stroke joinstyle="miter"/>
                <v:path gradientshapeok="t" o:connecttype="rect"/>
              </v:shapetype>
              <v:shape id="Text Box 11" o:spid="_x0000_s1026" type="#_x0000_t202" style="position:absolute;left:0;text-align:left;margin-left:1.95pt;margin-top:5.05pt;width:273.7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" stroked="f">
                <v:textbox inset="1mm,1mm,1mm,1mm">
                  <w:txbxContent>
                    <w:p w14:paraId="2396B0CE" w14:textId="77777777" w:rsidR="000E610C" w:rsidRPr="004B4D22" w:rsidRDefault="000E610C" w:rsidP="000E610C">
                      <w:pPr>
                        <w:spacing w:line="264" w:lineRule="auto"/>
                        <w:jc w:val="center"/>
                        <w:rPr>
                          <w:rFonts w:ascii="Arial" w:hAnsi="Arial" w:cs="Arial"/>
                          <w:b/>
                          <w:bCs/>
                          <w:sz w:val="24"/>
                          <w:szCs w:val="24"/>
                        </w:rPr>
                      </w:pPr>
                      <w:r w:rsidRPr="004B4D22">
                        <w:rPr>
                          <w:rFonts w:ascii="Arial" w:hAnsi="Arial" w:cs="Arial"/>
                          <w:b/>
                          <w:bCs/>
                          <w:sz w:val="24"/>
                          <w:szCs w:val="24"/>
                        </w:rPr>
                        <w:t>Figure 1</w:t>
                      </w:r>
                      <w:r>
                        <w:rPr>
                          <w:rFonts w:ascii="Arial" w:hAnsi="Arial" w:cs="Arial"/>
                          <w:b/>
                          <w:bCs/>
                          <w:sz w:val="24"/>
                          <w:szCs w:val="24"/>
                        </w:rPr>
                        <w:t>2</w:t>
                      </w:r>
                      <w:r w:rsidRPr="004B4D22">
                        <w:rPr>
                          <w:rFonts w:ascii="Arial" w:hAnsi="Arial" w:cs="Arial"/>
                          <w:b/>
                          <w:bCs/>
                          <w:sz w:val="24"/>
                          <w:szCs w:val="24"/>
                        </w:rPr>
                        <w:t>. Structure of exported groups</w:t>
                      </w:r>
                    </w:p>
                    <w:p w14:paraId="67099A5D" w14:textId="77777777" w:rsidR="000E610C" w:rsidRPr="004B4D22" w:rsidRDefault="000E610C" w:rsidP="000E610C">
                      <w:pPr>
                        <w:spacing w:line="264" w:lineRule="auto"/>
                        <w:jc w:val="center"/>
                        <w:rPr>
                          <w:rFonts w:ascii="Arial" w:hAnsi="Arial" w:cs="Arial"/>
                          <w:b/>
                          <w:bCs/>
                          <w:sz w:val="24"/>
                          <w:szCs w:val="24"/>
                        </w:rPr>
                      </w:pPr>
                      <w:r w:rsidRPr="004B4D22">
                        <w:rPr>
                          <w:rFonts w:ascii="Arial" w:hAnsi="Arial" w:cs="Arial"/>
                          <w:b/>
                          <w:bCs/>
                          <w:sz w:val="24"/>
                          <w:szCs w:val="24"/>
                        </w:rPr>
                        <w:t xml:space="preserve">in </w:t>
                      </w:r>
                      <w:r>
                        <w:rPr>
                          <w:rFonts w:ascii="Arial" w:hAnsi="Arial" w:cs="Arial"/>
                          <w:b/>
                          <w:bCs/>
                          <w:sz w:val="24"/>
                          <w:szCs w:val="24"/>
                        </w:rPr>
                        <w:t>11 months</w:t>
                      </w:r>
                      <w:r w:rsidRPr="004B4D22">
                        <w:rPr>
                          <w:rFonts w:ascii="Arial" w:hAnsi="Arial" w:cs="Arial"/>
                          <w:b/>
                          <w:bCs/>
                          <w:sz w:val="24"/>
                          <w:szCs w:val="24"/>
                        </w:rPr>
                        <w:t xml:space="preserve"> of 2024</w:t>
                      </w:r>
                    </w:p>
                    <w:p w14:paraId="7673BF38" w14:textId="77777777" w:rsidR="000E610C" w:rsidRDefault="000E610C" w:rsidP="000E610C">
                      <w:pPr>
                        <w:ind w:left="-142"/>
                        <w:jc w:val="center"/>
                        <w:rPr>
                          <w:rFonts w:ascii="Arial" w:hAnsi="Arial" w:cs="Arial"/>
                          <w:sz w:val="24"/>
                          <w:szCs w:val="24"/>
                        </w:rPr>
                      </w:pPr>
                      <w:r w:rsidRPr="00A35DD4">
                        <w:rPr>
                          <w:noProof/>
                        </w:rPr>
                        <w:drawing>
                          <wp:inline distT="0" distB="0" distL="0" distR="0" wp14:anchorId="517BB497" wp14:editId="11CBD867">
                            <wp:extent cx="3395345" cy="1713230"/>
                            <wp:effectExtent l="0" t="0" r="0" b="1270"/>
                            <wp:docPr id="1684934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5345" cy="1713230"/>
                                    </a:xfrm>
                                    <a:prstGeom prst="rect">
                                      <a:avLst/>
                                    </a:prstGeom>
                                    <a:noFill/>
                                    <a:ln>
                                      <a:noFill/>
                                    </a:ln>
                                  </pic:spPr>
                                </pic:pic>
                              </a:graphicData>
                            </a:graphic>
                          </wp:inline>
                        </w:drawing>
                      </w:r>
                    </w:p>
                  </w:txbxContent>
                </v:textbox>
                <w10:wrap type="square"/>
              </v:shape>
            </w:pict>
          </mc:Fallback>
        </mc:AlternateContent>
      </w:r>
      <w:r w:rsidRPr="000E610C">
        <w:rPr>
          <w:rFonts w:eastAsia="Batang"/>
          <w:bCs/>
          <w:i/>
          <w:iCs/>
          <w:noProof/>
        </w:rPr>
        <w:t>Regarding the structure of exported groups in</w:t>
      </w:r>
      <w:r w:rsidRPr="000E610C">
        <w:rPr>
          <w:rFonts w:eastAsia="Batang"/>
          <w:bCs/>
          <w:i/>
          <w:noProof/>
          <w:lang w:val="en"/>
        </w:rPr>
        <w:t xml:space="preserve"> eleven months of 2024, </w:t>
      </w:r>
      <w:r w:rsidRPr="000E610C">
        <w:rPr>
          <w:rFonts w:eastAsia="Batang"/>
          <w:bCs/>
          <w:iCs/>
          <w:noProof/>
          <w:lang w:val="en"/>
        </w:rPr>
        <w:t xml:space="preserve">the group of fuels and minerals </w:t>
      </w:r>
      <w:r w:rsidRPr="000E610C">
        <w:rPr>
          <w:rFonts w:eastAsia="Batang"/>
          <w:bCs/>
          <w:iCs/>
          <w:noProof/>
        </w:rPr>
        <w:t>was estimated at 3.89 billion USD,</w:t>
      </w:r>
      <w:r w:rsidRPr="000E610C">
        <w:rPr>
          <w:rFonts w:eastAsia="Batang"/>
          <w:bCs/>
          <w:iCs/>
          <w:noProof/>
          <w:lang w:val="en"/>
        </w:rPr>
        <w:t xml:space="preserve"> accounting for </w:t>
      </w:r>
      <w:r w:rsidRPr="000E610C">
        <w:rPr>
          <w:rFonts w:eastAsia="Batang"/>
          <w:bCs/>
          <w:iCs/>
          <w:noProof/>
          <w:lang w:val="vi-VN"/>
        </w:rPr>
        <w:t>1</w:t>
      </w:r>
      <w:r w:rsidRPr="000E610C">
        <w:rPr>
          <w:rFonts w:eastAsia="Batang"/>
          <w:bCs/>
          <w:iCs/>
          <w:noProof/>
        </w:rPr>
        <w:t>.1</w:t>
      </w:r>
      <w:r w:rsidRPr="000E610C">
        <w:rPr>
          <w:rFonts w:eastAsia="Batang"/>
          <w:bCs/>
          <w:iCs/>
          <w:noProof/>
          <w:lang w:val="en"/>
        </w:rPr>
        <w:t xml:space="preserve">%; the group of processing industry </w:t>
      </w:r>
      <w:r w:rsidRPr="000E610C">
        <w:rPr>
          <w:rFonts w:eastAsia="Batang"/>
          <w:bCs/>
          <w:iCs/>
          <w:noProof/>
        </w:rPr>
        <w:t>was estimated at 325.52 billion USD,</w:t>
      </w:r>
      <w:r w:rsidRPr="000E610C">
        <w:rPr>
          <w:rFonts w:eastAsia="Batang"/>
          <w:bCs/>
          <w:iCs/>
          <w:noProof/>
          <w:lang w:val="en"/>
        </w:rPr>
        <w:t xml:space="preserve"> accounting for </w:t>
      </w:r>
      <w:r w:rsidRPr="000E610C">
        <w:rPr>
          <w:rFonts w:eastAsia="Batang"/>
          <w:bCs/>
          <w:iCs/>
          <w:noProof/>
          <w:lang w:val="vi-VN"/>
        </w:rPr>
        <w:t>8</w:t>
      </w:r>
      <w:r w:rsidRPr="000E610C">
        <w:rPr>
          <w:rFonts w:eastAsia="Batang"/>
          <w:bCs/>
          <w:iCs/>
          <w:noProof/>
        </w:rPr>
        <w:t>8.0</w:t>
      </w:r>
      <w:r w:rsidRPr="000E610C">
        <w:rPr>
          <w:rFonts w:eastAsia="Batang"/>
          <w:bCs/>
          <w:iCs/>
          <w:noProof/>
          <w:lang w:val="en"/>
        </w:rPr>
        <w:t xml:space="preserve">%;  agricultural and forestry products </w:t>
      </w:r>
      <w:r w:rsidRPr="000E610C">
        <w:rPr>
          <w:rFonts w:eastAsia="Batang"/>
          <w:bCs/>
          <w:iCs/>
          <w:noProof/>
        </w:rPr>
        <w:t>was estimated at 31.35 billion USD,</w:t>
      </w:r>
      <w:r w:rsidRPr="000E610C">
        <w:rPr>
          <w:rFonts w:eastAsia="Batang"/>
          <w:bCs/>
          <w:iCs/>
          <w:noProof/>
          <w:lang w:val="en"/>
        </w:rPr>
        <w:t xml:space="preserve"> accounting for 8.4%; the group of fishery products </w:t>
      </w:r>
      <w:r w:rsidRPr="000E610C">
        <w:rPr>
          <w:rFonts w:eastAsia="Batang"/>
          <w:bCs/>
          <w:iCs/>
          <w:noProof/>
        </w:rPr>
        <w:t>was estimated at 9.17 billion USD,</w:t>
      </w:r>
      <w:r w:rsidRPr="000E610C">
        <w:rPr>
          <w:rFonts w:eastAsia="Batang"/>
          <w:bCs/>
          <w:iCs/>
          <w:noProof/>
          <w:lang w:val="en"/>
        </w:rPr>
        <w:t xml:space="preserve"> accounting for 2.5%.</w:t>
      </w:r>
    </w:p>
    <w:p w14:paraId="1A61A7EB" w14:textId="77777777" w:rsidR="000E610C" w:rsidRPr="000E610C" w:rsidRDefault="000E610C" w:rsidP="000E610C">
      <w:pPr>
        <w:tabs>
          <w:tab w:val="left" w:pos="900"/>
          <w:tab w:val="left" w:pos="9475"/>
        </w:tabs>
        <w:spacing w:beforeLines="40" w:before="96" w:afterLines="40" w:after="96" w:line="264" w:lineRule="auto"/>
        <w:ind w:right="6" w:firstLine="567"/>
        <w:jc w:val="both"/>
        <w:rPr>
          <w:b/>
          <w:bCs/>
          <w:i/>
          <w:sz w:val="2"/>
          <w:lang w:val="de-DE"/>
        </w:rPr>
      </w:pPr>
    </w:p>
    <w:p w14:paraId="2F739E3D" w14:textId="77777777" w:rsidR="000E610C" w:rsidRPr="000E610C" w:rsidRDefault="000E610C" w:rsidP="000E610C">
      <w:pPr>
        <w:tabs>
          <w:tab w:val="num" w:pos="0"/>
          <w:tab w:val="left" w:pos="9475"/>
        </w:tabs>
        <w:spacing w:beforeLines="40" w:before="96" w:afterLines="40" w:after="96" w:line="259" w:lineRule="auto"/>
        <w:ind w:right="6" w:firstLine="567"/>
        <w:jc w:val="both"/>
        <w:rPr>
          <w:b/>
          <w:bCs/>
          <w:i/>
          <w:iCs/>
          <w:lang w:val="de-DE"/>
        </w:rPr>
      </w:pPr>
      <w:r w:rsidRPr="000E610C">
        <w:rPr>
          <w:b/>
          <w:bCs/>
          <w:i/>
          <w:iCs/>
          <w:lang w:val="de-DE"/>
        </w:rPr>
        <w:lastRenderedPageBreak/>
        <w:t>Import of goods</w:t>
      </w:r>
    </w:p>
    <w:p w14:paraId="018A6906" w14:textId="77777777" w:rsidR="000E610C" w:rsidRPr="000E610C" w:rsidRDefault="000E610C" w:rsidP="000E610C">
      <w:pPr>
        <w:tabs>
          <w:tab w:val="num" w:pos="0"/>
          <w:tab w:val="left" w:pos="9475"/>
        </w:tabs>
        <w:spacing w:beforeLines="40" w:before="96" w:afterLines="40" w:after="96" w:line="259" w:lineRule="auto"/>
        <w:ind w:right="6" w:firstLine="567"/>
        <w:jc w:val="both"/>
        <w:rPr>
          <w:lang w:val="en"/>
        </w:rPr>
      </w:pPr>
      <w:r w:rsidRPr="000E610C">
        <w:rPr>
          <w:bCs/>
        </w:rPr>
        <w:t xml:space="preserve">Preliminary import turnover of goods </w:t>
      </w:r>
      <w:r w:rsidRPr="000E610C">
        <w:rPr>
          <w:bCs/>
          <w:lang w:val="de-DE"/>
        </w:rPr>
        <w:t>in 10/2024 reached 33.6 billion USD</w:t>
      </w:r>
      <w:r w:rsidRPr="000E610C">
        <w:rPr>
          <w:bCs/>
          <w:vertAlign w:val="superscript"/>
          <w:lang w:val="de-DE"/>
        </w:rPr>
        <w:footnoteReference w:id="20"/>
      </w:r>
      <w:r w:rsidRPr="000E610C">
        <w:rPr>
          <w:bCs/>
          <w:lang w:val="de-DE"/>
        </w:rPr>
        <w:t>.</w:t>
      </w:r>
    </w:p>
    <w:p w14:paraId="35EBBD02" w14:textId="77777777" w:rsidR="000E610C" w:rsidRPr="000E610C" w:rsidRDefault="000E610C" w:rsidP="000E610C">
      <w:pPr>
        <w:tabs>
          <w:tab w:val="num" w:pos="0"/>
          <w:tab w:val="left" w:pos="9475"/>
        </w:tabs>
        <w:spacing w:beforeLines="40" w:before="96" w:afterLines="40" w:after="96" w:line="259" w:lineRule="auto"/>
        <w:ind w:right="6" w:firstLine="567"/>
        <w:jc w:val="both"/>
        <w:rPr>
          <w:bCs/>
          <w:spacing w:val="-2"/>
        </w:rPr>
      </w:pPr>
      <w:r w:rsidRPr="000E610C">
        <w:rPr>
          <w:bCs/>
          <w:i/>
          <w:iCs/>
        </w:rPr>
        <w:t xml:space="preserve">Preliminary import turnover of goods </w:t>
      </w:r>
      <w:r w:rsidRPr="000E610C">
        <w:rPr>
          <w:bCs/>
          <w:i/>
          <w:iCs/>
          <w:lang w:val="de-DE"/>
        </w:rPr>
        <w:t>in</w:t>
      </w:r>
      <w:r w:rsidRPr="000E610C">
        <w:rPr>
          <w:bCs/>
          <w:lang w:val="de-DE"/>
        </w:rPr>
        <w:t xml:space="preserve"> </w:t>
      </w:r>
      <w:r w:rsidRPr="000E610C">
        <w:rPr>
          <w:bCs/>
          <w:i/>
          <w:iCs/>
          <w:spacing w:val="-2"/>
          <w:lang w:val="de-DE"/>
        </w:rPr>
        <w:t xml:space="preserve">11/2024 </w:t>
      </w:r>
      <w:r w:rsidRPr="000E610C">
        <w:rPr>
          <w:bCs/>
          <w:spacing w:val="-2"/>
        </w:rPr>
        <w:t>reached 32.67 billion USD, decreased by 2.8% over the previous month. Of which the domestic economic sector gained 12.38 billion USD, decreased by 2.4%; the FDI sector reached 20.29 billion USD, decreased by 3.0%. Compared to the same period last year, the import turnover of goods in November increased by 9.8%, of which the domestic economic sector increased by 15.2%; the FDI sector increased by 6.8%.</w:t>
      </w:r>
      <w:r w:rsidRPr="000E610C">
        <w:rPr>
          <w:spacing w:val="-2"/>
          <w:lang w:val="de-DE"/>
        </w:rPr>
        <w:t xml:space="preserve"> </w:t>
      </w:r>
    </w:p>
    <w:p w14:paraId="2FBEC78D" w14:textId="77777777" w:rsidR="000E610C" w:rsidRPr="000E610C" w:rsidRDefault="000E610C" w:rsidP="000E610C">
      <w:pPr>
        <w:tabs>
          <w:tab w:val="num" w:pos="0"/>
          <w:tab w:val="left" w:pos="9475"/>
        </w:tabs>
        <w:spacing w:beforeLines="40" w:before="96" w:afterLines="40" w:after="96" w:line="259" w:lineRule="auto"/>
        <w:ind w:right="6" w:firstLine="567"/>
        <w:jc w:val="both"/>
        <w:rPr>
          <w:bCs/>
          <w:lang w:val="de-DE"/>
        </w:rPr>
      </w:pPr>
      <w:proofErr w:type="gramStart"/>
      <w:r w:rsidRPr="000E610C">
        <w:rPr>
          <w:i/>
          <w:iCs/>
        </w:rPr>
        <w:t>Generally</w:t>
      </w:r>
      <w:proofErr w:type="gramEnd"/>
      <w:r w:rsidRPr="000E610C">
        <w:rPr>
          <w:i/>
          <w:iCs/>
        </w:rPr>
        <w:t xml:space="preserve"> in</w:t>
      </w:r>
      <w:r w:rsidRPr="000E610C">
        <w:rPr>
          <w:i/>
          <w:iCs/>
          <w:lang w:val="de-DE"/>
        </w:rPr>
        <w:t xml:space="preserve"> eleven months of 2024</w:t>
      </w:r>
      <w:r w:rsidRPr="000E610C">
        <w:rPr>
          <w:lang w:val="de-DE"/>
        </w:rPr>
        <w:t>, p</w:t>
      </w:r>
      <w:r w:rsidRPr="000E610C">
        <w:rPr>
          <w:bCs/>
        </w:rPr>
        <w:t xml:space="preserve">reliminary import turnover of goods </w:t>
      </w:r>
      <w:r w:rsidRPr="000E610C">
        <w:rPr>
          <w:bCs/>
          <w:spacing w:val="-2"/>
        </w:rPr>
        <w:t>reached 345.62</w:t>
      </w:r>
      <w:r w:rsidRPr="000E610C">
        <w:t xml:space="preserve"> billion</w:t>
      </w:r>
      <w:r w:rsidRPr="000E610C">
        <w:rPr>
          <w:bCs/>
        </w:rPr>
        <w:t xml:space="preserve"> USD,</w:t>
      </w:r>
      <w:r w:rsidRPr="000E610C">
        <w:t xml:space="preserve"> increased by 16.4% over </w:t>
      </w:r>
      <w:r w:rsidRPr="000E610C">
        <w:rPr>
          <w:bCs/>
        </w:rPr>
        <w:t>the same period last year</w:t>
      </w:r>
      <w:r w:rsidRPr="000E610C">
        <w:t>. Of which the domestic economic sector reached 126.05 billion</w:t>
      </w:r>
      <w:r w:rsidRPr="000E610C">
        <w:rPr>
          <w:bCs/>
        </w:rPr>
        <w:t xml:space="preserve"> USD,</w:t>
      </w:r>
      <w:r w:rsidRPr="000E610C">
        <w:t xml:space="preserve"> went up 18.5%; the FDI sector gained 219.57 billion USD, up 15.2%.</w:t>
      </w:r>
      <w:r w:rsidRPr="000E610C">
        <w:rPr>
          <w:bCs/>
          <w:lang w:val="de-DE"/>
        </w:rPr>
        <w:t xml:space="preserve"> </w:t>
      </w:r>
    </w:p>
    <w:p w14:paraId="44FA38A6" w14:textId="77777777" w:rsidR="000E610C" w:rsidRPr="000E610C" w:rsidRDefault="000E610C" w:rsidP="000E610C">
      <w:pPr>
        <w:tabs>
          <w:tab w:val="left" w:pos="9475"/>
        </w:tabs>
        <w:spacing w:beforeLines="40" w:before="96" w:afterLines="40" w:after="96" w:line="259" w:lineRule="auto"/>
        <w:ind w:right="6" w:firstLine="567"/>
        <w:jc w:val="both"/>
        <w:rPr>
          <w:spacing w:val="-2"/>
        </w:rPr>
      </w:pPr>
      <w:r w:rsidRPr="000E610C">
        <w:rPr>
          <w:i/>
          <w:iCs/>
          <w:spacing w:val="-2"/>
          <w:lang w:val="en"/>
        </w:rPr>
        <w:t>In eleven months of 2024</w:t>
      </w:r>
      <w:r w:rsidRPr="000E610C">
        <w:rPr>
          <w:spacing w:val="-2"/>
          <w:lang w:val="en"/>
        </w:rPr>
        <w:t xml:space="preserve">, there are 44 </w:t>
      </w:r>
      <w:r w:rsidRPr="000E610C">
        <w:rPr>
          <w:spacing w:val="-2"/>
        </w:rPr>
        <w:t xml:space="preserve">imported products with a turnover of over 1 billion USD, accounting for 92.6% of total import turnover (5 products with import turnover of over 10 billion USD, accounting for 51.4%). </w:t>
      </w:r>
    </w:p>
    <w:p w14:paraId="4E5C1CA2" w14:textId="77777777" w:rsidR="000E610C" w:rsidRPr="000E610C" w:rsidRDefault="000E610C" w:rsidP="000E610C">
      <w:pPr>
        <w:tabs>
          <w:tab w:val="left" w:pos="9475"/>
        </w:tabs>
        <w:spacing w:before="240" w:after="240" w:line="264" w:lineRule="auto"/>
        <w:ind w:right="6" w:firstLine="567"/>
        <w:jc w:val="center"/>
        <w:rPr>
          <w:rFonts w:ascii="Arial" w:hAnsi="Arial" w:cs="Arial"/>
          <w:b/>
          <w:sz w:val="24"/>
          <w:szCs w:val="20"/>
          <w:lang w:val="pl-PL"/>
        </w:rPr>
      </w:pPr>
      <w:r w:rsidRPr="000E610C">
        <w:rPr>
          <w:rFonts w:ascii="Arial" w:hAnsi="Arial" w:cs="Arial"/>
          <w:b/>
          <w:sz w:val="24"/>
          <w:szCs w:val="20"/>
          <w:lang w:val="pl-PL"/>
        </w:rPr>
        <w:t>Table 5. Value of some imported goods in 11 months of 2024</w:t>
      </w:r>
    </w:p>
    <w:tbl>
      <w:tblPr>
        <w:tblW w:w="9393" w:type="dxa"/>
        <w:tblLook w:val="04A0" w:firstRow="1" w:lastRow="0" w:firstColumn="1" w:lastColumn="0" w:noHBand="0" w:noVBand="1"/>
      </w:tblPr>
      <w:tblGrid>
        <w:gridCol w:w="276"/>
        <w:gridCol w:w="4209"/>
        <w:gridCol w:w="1963"/>
        <w:gridCol w:w="2945"/>
      </w:tblGrid>
      <w:tr w:rsidR="000E610C" w:rsidRPr="000E610C" w14:paraId="57FE8429" w14:textId="77777777" w:rsidTr="002F4D0B">
        <w:trPr>
          <w:trHeight w:val="317"/>
        </w:trPr>
        <w:tc>
          <w:tcPr>
            <w:tcW w:w="276" w:type="dxa"/>
            <w:tcBorders>
              <w:top w:val="single" w:sz="4" w:space="0" w:color="auto"/>
              <w:left w:val="nil"/>
              <w:bottom w:val="nil"/>
              <w:right w:val="nil"/>
            </w:tcBorders>
            <w:shd w:val="clear" w:color="auto" w:fill="auto"/>
            <w:noWrap/>
            <w:vAlign w:val="center"/>
            <w:hideMark/>
          </w:tcPr>
          <w:p w14:paraId="3EC35502" w14:textId="77777777" w:rsidR="000E610C" w:rsidRPr="000E610C" w:rsidRDefault="000E610C" w:rsidP="000E610C">
            <w:pPr>
              <w:spacing w:before="40" w:after="40" w:line="288" w:lineRule="auto"/>
              <w:rPr>
                <w:rFonts w:ascii="Arial" w:hAnsi="Arial" w:cs="Arial"/>
                <w:sz w:val="20"/>
                <w:szCs w:val="20"/>
                <w:lang w:val="en"/>
              </w:rPr>
            </w:pPr>
            <w:r w:rsidRPr="000E610C">
              <w:rPr>
                <w:rFonts w:ascii="Arial" w:hAnsi="Arial" w:cs="Arial"/>
                <w:sz w:val="20"/>
                <w:szCs w:val="20"/>
                <w:lang w:val="en"/>
              </w:rPr>
              <w:t> </w:t>
            </w:r>
          </w:p>
        </w:tc>
        <w:tc>
          <w:tcPr>
            <w:tcW w:w="4209" w:type="dxa"/>
            <w:tcBorders>
              <w:top w:val="single" w:sz="4" w:space="0" w:color="auto"/>
              <w:left w:val="nil"/>
              <w:bottom w:val="nil"/>
              <w:right w:val="nil"/>
            </w:tcBorders>
            <w:shd w:val="clear" w:color="auto" w:fill="auto"/>
            <w:noWrap/>
            <w:vAlign w:val="center"/>
            <w:hideMark/>
          </w:tcPr>
          <w:p w14:paraId="66A1059E" w14:textId="77777777" w:rsidR="000E610C" w:rsidRPr="000E610C" w:rsidRDefault="000E610C" w:rsidP="000E610C">
            <w:pPr>
              <w:spacing w:before="40" w:after="40" w:line="288" w:lineRule="auto"/>
              <w:jc w:val="center"/>
              <w:rPr>
                <w:rFonts w:ascii="Arial" w:hAnsi="Arial" w:cs="Arial"/>
                <w:sz w:val="20"/>
                <w:szCs w:val="20"/>
                <w:lang w:val="en"/>
              </w:rPr>
            </w:pPr>
            <w:r w:rsidRPr="000E610C">
              <w:rPr>
                <w:rFonts w:ascii="Arial" w:hAnsi="Arial" w:cs="Arial"/>
                <w:sz w:val="20"/>
                <w:szCs w:val="20"/>
                <w:lang w:val="en"/>
              </w:rPr>
              <w:t> </w:t>
            </w:r>
          </w:p>
        </w:tc>
        <w:tc>
          <w:tcPr>
            <w:tcW w:w="1963" w:type="dxa"/>
            <w:tcBorders>
              <w:top w:val="single" w:sz="4" w:space="0" w:color="auto"/>
              <w:left w:val="nil"/>
            </w:tcBorders>
            <w:shd w:val="clear" w:color="auto" w:fill="auto"/>
            <w:vAlign w:val="center"/>
            <w:hideMark/>
          </w:tcPr>
          <w:p w14:paraId="4A615AB6" w14:textId="77777777" w:rsidR="000E610C" w:rsidRPr="000E610C" w:rsidRDefault="000E610C" w:rsidP="000E610C">
            <w:pPr>
              <w:spacing w:before="40" w:after="40" w:line="288" w:lineRule="auto"/>
              <w:jc w:val="center"/>
              <w:rPr>
                <w:rFonts w:ascii="Arial" w:hAnsi="Arial" w:cs="Arial"/>
                <w:sz w:val="20"/>
                <w:szCs w:val="20"/>
                <w:lang w:val="en"/>
              </w:rPr>
            </w:pPr>
            <w:r w:rsidRPr="000E610C">
              <w:rPr>
                <w:rFonts w:ascii="Arial" w:hAnsi="Arial" w:cs="Arial"/>
                <w:sz w:val="20"/>
                <w:szCs w:val="20"/>
                <w:lang w:val="en"/>
              </w:rPr>
              <w:t>Value</w:t>
            </w:r>
          </w:p>
        </w:tc>
        <w:tc>
          <w:tcPr>
            <w:tcW w:w="2945" w:type="dxa"/>
            <w:tcBorders>
              <w:top w:val="single" w:sz="4" w:space="0" w:color="auto"/>
            </w:tcBorders>
            <w:shd w:val="clear" w:color="auto" w:fill="auto"/>
            <w:vAlign w:val="center"/>
            <w:hideMark/>
          </w:tcPr>
          <w:p w14:paraId="13E1C991" w14:textId="77777777" w:rsidR="000E610C" w:rsidRPr="000E610C" w:rsidRDefault="000E610C" w:rsidP="000E610C">
            <w:pPr>
              <w:spacing w:before="40" w:after="40" w:line="288" w:lineRule="auto"/>
              <w:jc w:val="center"/>
              <w:rPr>
                <w:rFonts w:ascii="Arial" w:hAnsi="Arial" w:cs="Arial"/>
                <w:sz w:val="20"/>
                <w:szCs w:val="20"/>
                <w:lang w:val="en"/>
              </w:rPr>
            </w:pPr>
            <w:r w:rsidRPr="000E610C">
              <w:rPr>
                <w:rFonts w:ascii="Arial" w:hAnsi="Arial" w:cs="Arial"/>
                <w:sz w:val="20"/>
                <w:szCs w:val="20"/>
                <w:lang w:val="en"/>
              </w:rPr>
              <w:t xml:space="preserve">Growth </w:t>
            </w:r>
            <w:proofErr w:type="gramStart"/>
            <w:r w:rsidRPr="000E610C">
              <w:rPr>
                <w:rFonts w:ascii="Arial" w:hAnsi="Arial" w:cs="Arial"/>
                <w:sz w:val="20"/>
                <w:szCs w:val="20"/>
                <w:lang w:val="en"/>
              </w:rPr>
              <w:t>rate</w:t>
            </w:r>
            <w:proofErr w:type="gramEnd"/>
            <w:r w:rsidRPr="000E610C">
              <w:rPr>
                <w:rFonts w:ascii="Arial" w:hAnsi="Arial" w:cs="Arial"/>
                <w:sz w:val="20"/>
                <w:szCs w:val="20"/>
                <w:lang w:val="en"/>
              </w:rPr>
              <w:t xml:space="preserve"> compare to</w:t>
            </w:r>
          </w:p>
        </w:tc>
      </w:tr>
      <w:tr w:rsidR="000E610C" w:rsidRPr="000E610C" w14:paraId="0EAC87E1" w14:textId="77777777" w:rsidTr="002F4D0B">
        <w:trPr>
          <w:trHeight w:val="152"/>
        </w:trPr>
        <w:tc>
          <w:tcPr>
            <w:tcW w:w="276" w:type="dxa"/>
            <w:tcBorders>
              <w:top w:val="nil"/>
              <w:left w:val="nil"/>
              <w:bottom w:val="nil"/>
              <w:right w:val="nil"/>
            </w:tcBorders>
            <w:shd w:val="clear" w:color="auto" w:fill="auto"/>
            <w:noWrap/>
            <w:vAlign w:val="center"/>
            <w:hideMark/>
          </w:tcPr>
          <w:p w14:paraId="5A20F37B" w14:textId="77777777" w:rsidR="000E610C" w:rsidRPr="000E610C" w:rsidRDefault="000E610C" w:rsidP="000E610C">
            <w:pPr>
              <w:spacing w:before="40" w:after="40" w:line="288" w:lineRule="auto"/>
              <w:jc w:val="center"/>
              <w:rPr>
                <w:rFonts w:ascii="Arial" w:hAnsi="Arial" w:cs="Arial"/>
                <w:color w:val="000000"/>
                <w:sz w:val="20"/>
                <w:szCs w:val="20"/>
                <w:lang w:val="en"/>
              </w:rPr>
            </w:pPr>
          </w:p>
        </w:tc>
        <w:tc>
          <w:tcPr>
            <w:tcW w:w="4209" w:type="dxa"/>
            <w:tcBorders>
              <w:top w:val="nil"/>
              <w:left w:val="nil"/>
              <w:bottom w:val="nil"/>
              <w:right w:val="nil"/>
            </w:tcBorders>
            <w:shd w:val="clear" w:color="auto" w:fill="auto"/>
            <w:noWrap/>
            <w:vAlign w:val="center"/>
            <w:hideMark/>
          </w:tcPr>
          <w:p w14:paraId="3D29A6AD" w14:textId="77777777" w:rsidR="000E610C" w:rsidRPr="000E610C" w:rsidRDefault="000E610C" w:rsidP="000E610C">
            <w:pPr>
              <w:spacing w:before="40" w:after="40" w:line="288" w:lineRule="auto"/>
              <w:rPr>
                <w:rFonts w:ascii="Arial" w:hAnsi="Arial" w:cs="Arial"/>
                <w:sz w:val="20"/>
                <w:szCs w:val="20"/>
                <w:lang w:val="en"/>
              </w:rPr>
            </w:pPr>
          </w:p>
        </w:tc>
        <w:tc>
          <w:tcPr>
            <w:tcW w:w="1963" w:type="dxa"/>
            <w:tcBorders>
              <w:top w:val="nil"/>
              <w:left w:val="nil"/>
              <w:bottom w:val="single" w:sz="4" w:space="0" w:color="auto"/>
            </w:tcBorders>
            <w:shd w:val="clear" w:color="auto" w:fill="auto"/>
            <w:vAlign w:val="center"/>
            <w:hideMark/>
          </w:tcPr>
          <w:p w14:paraId="01EC1165" w14:textId="77777777" w:rsidR="000E610C" w:rsidRPr="000E610C" w:rsidRDefault="000E610C" w:rsidP="000E610C">
            <w:pPr>
              <w:spacing w:before="40" w:after="40" w:line="288" w:lineRule="auto"/>
              <w:jc w:val="center"/>
              <w:rPr>
                <w:rFonts w:ascii="Arial" w:hAnsi="Arial" w:cs="Arial"/>
                <w:sz w:val="20"/>
                <w:szCs w:val="20"/>
                <w:lang w:val="en"/>
              </w:rPr>
            </w:pPr>
            <w:r w:rsidRPr="000E610C">
              <w:rPr>
                <w:rFonts w:ascii="Arial" w:hAnsi="Arial" w:cs="Arial"/>
                <w:i/>
                <w:iCs/>
                <w:sz w:val="20"/>
                <w:szCs w:val="20"/>
                <w:lang w:val="en"/>
              </w:rPr>
              <w:t>(Mill. USD)</w:t>
            </w:r>
          </w:p>
        </w:tc>
        <w:tc>
          <w:tcPr>
            <w:tcW w:w="2945" w:type="dxa"/>
            <w:tcBorders>
              <w:top w:val="nil"/>
              <w:bottom w:val="single" w:sz="4" w:space="0" w:color="auto"/>
            </w:tcBorders>
            <w:shd w:val="clear" w:color="auto" w:fill="auto"/>
            <w:vAlign w:val="center"/>
            <w:hideMark/>
          </w:tcPr>
          <w:p w14:paraId="5863FB4C" w14:textId="77777777" w:rsidR="000E610C" w:rsidRPr="000E610C" w:rsidRDefault="000E610C" w:rsidP="000E610C">
            <w:pPr>
              <w:spacing w:before="40" w:after="40" w:line="288" w:lineRule="auto"/>
              <w:jc w:val="center"/>
              <w:rPr>
                <w:rFonts w:ascii="Arial" w:hAnsi="Arial" w:cs="Arial"/>
                <w:sz w:val="20"/>
                <w:szCs w:val="20"/>
                <w:lang w:val="en"/>
              </w:rPr>
            </w:pPr>
            <w:r w:rsidRPr="000E610C">
              <w:rPr>
                <w:rFonts w:ascii="Arial" w:hAnsi="Arial" w:cs="Arial"/>
                <w:sz w:val="20"/>
                <w:szCs w:val="20"/>
                <w:lang w:val="en"/>
              </w:rPr>
              <w:t xml:space="preserve">the same period last year </w:t>
            </w:r>
            <w:r w:rsidRPr="000E610C">
              <w:rPr>
                <w:rFonts w:ascii="Arial" w:hAnsi="Arial" w:cs="Arial"/>
                <w:i/>
                <w:iCs/>
                <w:sz w:val="20"/>
                <w:szCs w:val="20"/>
                <w:lang w:val="en"/>
              </w:rPr>
              <w:t>(%)</w:t>
            </w:r>
          </w:p>
        </w:tc>
      </w:tr>
      <w:tr w:rsidR="000E610C" w:rsidRPr="000E610C" w14:paraId="791334F5" w14:textId="77777777" w:rsidTr="002F4D0B">
        <w:trPr>
          <w:trHeight w:val="317"/>
        </w:trPr>
        <w:tc>
          <w:tcPr>
            <w:tcW w:w="4485" w:type="dxa"/>
            <w:gridSpan w:val="2"/>
            <w:tcBorders>
              <w:top w:val="nil"/>
              <w:left w:val="nil"/>
              <w:bottom w:val="nil"/>
              <w:right w:val="nil"/>
            </w:tcBorders>
            <w:shd w:val="clear" w:color="auto" w:fill="auto"/>
            <w:noWrap/>
            <w:vAlign w:val="center"/>
            <w:hideMark/>
          </w:tcPr>
          <w:p w14:paraId="0BE5711F" w14:textId="77777777" w:rsidR="000E610C" w:rsidRPr="000E610C" w:rsidRDefault="000E610C" w:rsidP="000E610C">
            <w:pPr>
              <w:spacing w:before="40" w:after="40" w:line="288" w:lineRule="auto"/>
              <w:rPr>
                <w:rFonts w:ascii="Arial" w:hAnsi="Arial" w:cs="Arial"/>
                <w:b/>
                <w:bCs/>
                <w:color w:val="000000"/>
                <w:sz w:val="20"/>
                <w:szCs w:val="20"/>
                <w:lang w:val="en"/>
              </w:rPr>
            </w:pPr>
            <w:r w:rsidRPr="000E610C">
              <w:rPr>
                <w:rFonts w:ascii="Arial" w:hAnsi="Arial" w:cs="Arial"/>
                <w:b/>
                <w:bCs/>
                <w:sz w:val="20"/>
                <w:szCs w:val="20"/>
                <w:lang w:val="en"/>
              </w:rPr>
              <w:t>Items with a value of over 10 billion USD</w:t>
            </w:r>
          </w:p>
        </w:tc>
        <w:tc>
          <w:tcPr>
            <w:tcW w:w="1963" w:type="dxa"/>
            <w:tcBorders>
              <w:top w:val="nil"/>
              <w:left w:val="nil"/>
              <w:bottom w:val="nil"/>
              <w:right w:val="nil"/>
            </w:tcBorders>
            <w:shd w:val="clear" w:color="auto" w:fill="auto"/>
            <w:noWrap/>
            <w:vAlign w:val="center"/>
            <w:hideMark/>
          </w:tcPr>
          <w:p w14:paraId="7C317671" w14:textId="77777777" w:rsidR="000E610C" w:rsidRPr="000E610C" w:rsidRDefault="000E610C" w:rsidP="000E610C">
            <w:pPr>
              <w:spacing w:before="40" w:after="40" w:line="288" w:lineRule="auto"/>
              <w:rPr>
                <w:rFonts w:ascii="Arial" w:hAnsi="Arial" w:cs="Arial"/>
                <w:sz w:val="20"/>
                <w:szCs w:val="20"/>
                <w:lang w:val="en"/>
              </w:rPr>
            </w:pPr>
          </w:p>
        </w:tc>
        <w:tc>
          <w:tcPr>
            <w:tcW w:w="2945" w:type="dxa"/>
            <w:tcBorders>
              <w:top w:val="nil"/>
              <w:left w:val="nil"/>
              <w:bottom w:val="nil"/>
              <w:right w:val="nil"/>
            </w:tcBorders>
            <w:shd w:val="clear" w:color="auto" w:fill="auto"/>
            <w:noWrap/>
            <w:vAlign w:val="center"/>
            <w:hideMark/>
          </w:tcPr>
          <w:p w14:paraId="1099D87F" w14:textId="77777777" w:rsidR="000E610C" w:rsidRPr="000E610C" w:rsidRDefault="000E610C" w:rsidP="000E610C">
            <w:pPr>
              <w:spacing w:before="40" w:after="40" w:line="288" w:lineRule="auto"/>
              <w:rPr>
                <w:rFonts w:ascii="Arial" w:hAnsi="Arial" w:cs="Arial"/>
                <w:sz w:val="20"/>
                <w:szCs w:val="20"/>
                <w:lang w:val="en"/>
              </w:rPr>
            </w:pPr>
          </w:p>
        </w:tc>
      </w:tr>
      <w:tr w:rsidR="000E610C" w:rsidRPr="000E610C" w14:paraId="05372790" w14:textId="77777777" w:rsidTr="002F4D0B">
        <w:trPr>
          <w:trHeight w:val="317"/>
        </w:trPr>
        <w:tc>
          <w:tcPr>
            <w:tcW w:w="276" w:type="dxa"/>
            <w:tcBorders>
              <w:top w:val="nil"/>
              <w:left w:val="nil"/>
              <w:right w:val="nil"/>
            </w:tcBorders>
            <w:shd w:val="clear" w:color="auto" w:fill="auto"/>
            <w:noWrap/>
            <w:vAlign w:val="center"/>
            <w:hideMark/>
          </w:tcPr>
          <w:p w14:paraId="70E39D60" w14:textId="77777777" w:rsidR="000E610C" w:rsidRPr="000E610C" w:rsidRDefault="000E610C" w:rsidP="000E610C">
            <w:pPr>
              <w:spacing w:before="40" w:after="40" w:line="288" w:lineRule="auto"/>
              <w:jc w:val="right"/>
              <w:rPr>
                <w:rFonts w:ascii="Arial" w:hAnsi="Arial" w:cs="Arial"/>
                <w:sz w:val="20"/>
                <w:szCs w:val="20"/>
                <w:lang w:val="en"/>
              </w:rPr>
            </w:pPr>
          </w:p>
        </w:tc>
        <w:tc>
          <w:tcPr>
            <w:tcW w:w="4209" w:type="dxa"/>
            <w:tcBorders>
              <w:top w:val="nil"/>
              <w:left w:val="nil"/>
              <w:right w:val="nil"/>
            </w:tcBorders>
            <w:shd w:val="clear" w:color="auto" w:fill="auto"/>
            <w:noWrap/>
            <w:vAlign w:val="bottom"/>
            <w:hideMark/>
          </w:tcPr>
          <w:p w14:paraId="67196E2C" w14:textId="77777777" w:rsidR="000E610C" w:rsidRPr="000E610C" w:rsidRDefault="000E610C" w:rsidP="000E610C">
            <w:pPr>
              <w:spacing w:before="40" w:after="40" w:line="288" w:lineRule="auto"/>
              <w:rPr>
                <w:rFonts w:ascii="Arial" w:hAnsi="Arial" w:cs="Arial"/>
                <w:sz w:val="20"/>
                <w:szCs w:val="20"/>
                <w:lang w:val="en"/>
              </w:rPr>
            </w:pPr>
            <w:r w:rsidRPr="000E610C">
              <w:rPr>
                <w:rFonts w:ascii="Arial" w:hAnsi="Arial" w:cs="Arial"/>
                <w:sz w:val="20"/>
                <w:szCs w:val="20"/>
                <w:lang w:val="en"/>
              </w:rPr>
              <w:t>Electronic devices, computers and their parts</w:t>
            </w:r>
          </w:p>
        </w:tc>
        <w:tc>
          <w:tcPr>
            <w:tcW w:w="1963" w:type="dxa"/>
            <w:tcBorders>
              <w:top w:val="nil"/>
              <w:left w:val="nil"/>
              <w:right w:val="nil"/>
            </w:tcBorders>
            <w:shd w:val="clear" w:color="auto" w:fill="auto"/>
            <w:noWrap/>
            <w:vAlign w:val="bottom"/>
            <w:hideMark/>
          </w:tcPr>
          <w:p w14:paraId="55A48964" w14:textId="77777777" w:rsidR="000E610C" w:rsidRPr="000E610C" w:rsidRDefault="000E610C" w:rsidP="000E610C">
            <w:pPr>
              <w:spacing w:before="40" w:after="40" w:line="288" w:lineRule="auto"/>
              <w:ind w:right="458"/>
              <w:jc w:val="right"/>
              <w:rPr>
                <w:rFonts w:ascii="Arial" w:hAnsi="Arial" w:cs="Arial"/>
                <w:sz w:val="20"/>
                <w:szCs w:val="20"/>
                <w:lang w:val="en"/>
              </w:rPr>
            </w:pPr>
            <w:r w:rsidRPr="000E610C">
              <w:rPr>
                <w:rFonts w:ascii="Arial" w:hAnsi="Arial" w:cs="Arial"/>
                <w:sz w:val="20"/>
                <w:szCs w:val="20"/>
                <w:lang w:val="en-GB"/>
              </w:rPr>
              <w:t>97,731</w:t>
            </w:r>
          </w:p>
        </w:tc>
        <w:tc>
          <w:tcPr>
            <w:tcW w:w="2945" w:type="dxa"/>
            <w:tcBorders>
              <w:top w:val="nil"/>
              <w:left w:val="nil"/>
              <w:right w:val="nil"/>
            </w:tcBorders>
            <w:shd w:val="clear" w:color="auto" w:fill="auto"/>
            <w:noWrap/>
            <w:vAlign w:val="bottom"/>
          </w:tcPr>
          <w:p w14:paraId="2437A163" w14:textId="77777777" w:rsidR="000E610C" w:rsidRPr="000E610C" w:rsidRDefault="000E610C" w:rsidP="000E610C">
            <w:pPr>
              <w:spacing w:before="40" w:after="40" w:line="288" w:lineRule="auto"/>
              <w:ind w:right="1068"/>
              <w:jc w:val="right"/>
              <w:rPr>
                <w:rFonts w:ascii="Arial" w:hAnsi="Arial" w:cs="Arial"/>
                <w:sz w:val="20"/>
                <w:szCs w:val="20"/>
                <w:lang w:val="en"/>
              </w:rPr>
            </w:pPr>
            <w:r w:rsidRPr="000E610C">
              <w:rPr>
                <w:rFonts w:ascii="Arial" w:hAnsi="Arial" w:cs="Arial"/>
                <w:sz w:val="20"/>
                <w:szCs w:val="20"/>
                <w:lang w:val="en-GB"/>
              </w:rPr>
              <w:t>22.4</w:t>
            </w:r>
          </w:p>
        </w:tc>
      </w:tr>
      <w:tr w:rsidR="000E610C" w:rsidRPr="000E610C" w14:paraId="2C6B2C02" w14:textId="77777777" w:rsidTr="002F4D0B">
        <w:trPr>
          <w:trHeight w:val="317"/>
        </w:trPr>
        <w:tc>
          <w:tcPr>
            <w:tcW w:w="276" w:type="dxa"/>
            <w:tcBorders>
              <w:top w:val="nil"/>
              <w:left w:val="nil"/>
              <w:bottom w:val="nil"/>
              <w:right w:val="nil"/>
            </w:tcBorders>
            <w:shd w:val="clear" w:color="auto" w:fill="auto"/>
            <w:noWrap/>
            <w:vAlign w:val="center"/>
            <w:hideMark/>
          </w:tcPr>
          <w:p w14:paraId="2FF57590" w14:textId="77777777" w:rsidR="000E610C" w:rsidRPr="000E610C" w:rsidRDefault="000E610C" w:rsidP="000E610C">
            <w:pPr>
              <w:spacing w:before="40" w:after="40" w:line="288" w:lineRule="auto"/>
              <w:rPr>
                <w:rFonts w:ascii="Arial" w:hAnsi="Arial" w:cs="Arial"/>
                <w:sz w:val="20"/>
                <w:szCs w:val="20"/>
                <w:lang w:val="en"/>
              </w:rPr>
            </w:pPr>
          </w:p>
        </w:tc>
        <w:tc>
          <w:tcPr>
            <w:tcW w:w="4209" w:type="dxa"/>
            <w:tcBorders>
              <w:top w:val="nil"/>
              <w:left w:val="nil"/>
              <w:bottom w:val="nil"/>
              <w:right w:val="nil"/>
            </w:tcBorders>
            <w:shd w:val="clear" w:color="auto" w:fill="auto"/>
            <w:noWrap/>
            <w:vAlign w:val="bottom"/>
            <w:hideMark/>
          </w:tcPr>
          <w:p w14:paraId="76ABDC44" w14:textId="77777777" w:rsidR="000E610C" w:rsidRPr="000E610C" w:rsidRDefault="000E610C" w:rsidP="000E610C">
            <w:pPr>
              <w:spacing w:before="40" w:after="40" w:line="288" w:lineRule="auto"/>
              <w:rPr>
                <w:rFonts w:ascii="Arial" w:hAnsi="Arial" w:cs="Arial"/>
                <w:sz w:val="20"/>
                <w:szCs w:val="20"/>
                <w:lang w:val="en"/>
              </w:rPr>
            </w:pPr>
            <w:r w:rsidRPr="000E610C">
              <w:rPr>
                <w:rFonts w:ascii="Arial" w:hAnsi="Arial" w:cs="Arial"/>
                <w:sz w:val="20"/>
                <w:szCs w:val="20"/>
                <w:lang w:val="en"/>
              </w:rPr>
              <w:t>Machinery, instrument, accessory</w:t>
            </w:r>
          </w:p>
        </w:tc>
        <w:tc>
          <w:tcPr>
            <w:tcW w:w="1963" w:type="dxa"/>
            <w:tcBorders>
              <w:top w:val="nil"/>
              <w:left w:val="nil"/>
              <w:bottom w:val="nil"/>
              <w:right w:val="nil"/>
            </w:tcBorders>
            <w:shd w:val="clear" w:color="auto" w:fill="auto"/>
            <w:noWrap/>
            <w:vAlign w:val="bottom"/>
            <w:hideMark/>
          </w:tcPr>
          <w:p w14:paraId="3A2E1D6E" w14:textId="77777777" w:rsidR="000E610C" w:rsidRPr="000E610C" w:rsidRDefault="000E610C" w:rsidP="000E610C">
            <w:pPr>
              <w:spacing w:before="40" w:after="40" w:line="288" w:lineRule="auto"/>
              <w:ind w:right="458" w:firstLine="28"/>
              <w:jc w:val="right"/>
              <w:rPr>
                <w:rFonts w:ascii="Arial" w:hAnsi="Arial" w:cs="Arial"/>
                <w:sz w:val="20"/>
                <w:szCs w:val="20"/>
                <w:lang w:val="en"/>
              </w:rPr>
            </w:pPr>
            <w:r w:rsidRPr="000E610C">
              <w:rPr>
                <w:rFonts w:ascii="Arial" w:hAnsi="Arial" w:cs="Arial"/>
                <w:sz w:val="20"/>
                <w:szCs w:val="20"/>
                <w:lang w:val="en-GB"/>
              </w:rPr>
              <w:t>44,209</w:t>
            </w:r>
          </w:p>
        </w:tc>
        <w:tc>
          <w:tcPr>
            <w:tcW w:w="2945" w:type="dxa"/>
            <w:tcBorders>
              <w:top w:val="nil"/>
              <w:left w:val="nil"/>
              <w:bottom w:val="nil"/>
              <w:right w:val="nil"/>
            </w:tcBorders>
            <w:shd w:val="clear" w:color="auto" w:fill="auto"/>
            <w:noWrap/>
            <w:vAlign w:val="bottom"/>
          </w:tcPr>
          <w:p w14:paraId="162BE133" w14:textId="77777777" w:rsidR="000E610C" w:rsidRPr="000E610C" w:rsidRDefault="000E610C" w:rsidP="000E610C">
            <w:pPr>
              <w:spacing w:before="40" w:after="40" w:line="288" w:lineRule="auto"/>
              <w:ind w:right="1068"/>
              <w:jc w:val="right"/>
              <w:rPr>
                <w:rFonts w:ascii="Arial" w:hAnsi="Arial" w:cs="Arial"/>
                <w:sz w:val="20"/>
                <w:szCs w:val="20"/>
                <w:lang w:val="en"/>
              </w:rPr>
            </w:pPr>
            <w:r w:rsidRPr="000E610C">
              <w:rPr>
                <w:rFonts w:ascii="Arial" w:hAnsi="Arial" w:cs="Arial"/>
                <w:sz w:val="20"/>
                <w:szCs w:val="20"/>
                <w:lang w:val="en-GB"/>
              </w:rPr>
              <w:t>17.3</w:t>
            </w:r>
          </w:p>
        </w:tc>
      </w:tr>
      <w:tr w:rsidR="000E610C" w:rsidRPr="000E610C" w14:paraId="7A3B5F34" w14:textId="77777777" w:rsidTr="002F4D0B">
        <w:trPr>
          <w:trHeight w:val="317"/>
        </w:trPr>
        <w:tc>
          <w:tcPr>
            <w:tcW w:w="276" w:type="dxa"/>
            <w:tcBorders>
              <w:top w:val="nil"/>
              <w:left w:val="nil"/>
              <w:bottom w:val="nil"/>
              <w:right w:val="nil"/>
            </w:tcBorders>
            <w:shd w:val="clear" w:color="auto" w:fill="auto"/>
            <w:noWrap/>
            <w:vAlign w:val="center"/>
          </w:tcPr>
          <w:p w14:paraId="26841155" w14:textId="77777777" w:rsidR="000E610C" w:rsidRPr="000E610C" w:rsidRDefault="000E610C" w:rsidP="000E610C">
            <w:pPr>
              <w:spacing w:before="40" w:after="40" w:line="288" w:lineRule="auto"/>
              <w:rPr>
                <w:rFonts w:ascii="Arial" w:hAnsi="Arial" w:cs="Arial"/>
                <w:sz w:val="20"/>
                <w:szCs w:val="20"/>
                <w:lang w:val="en"/>
              </w:rPr>
            </w:pPr>
          </w:p>
        </w:tc>
        <w:tc>
          <w:tcPr>
            <w:tcW w:w="4209" w:type="dxa"/>
            <w:tcBorders>
              <w:top w:val="nil"/>
              <w:left w:val="nil"/>
              <w:bottom w:val="nil"/>
              <w:right w:val="nil"/>
            </w:tcBorders>
            <w:shd w:val="clear" w:color="auto" w:fill="auto"/>
            <w:noWrap/>
            <w:vAlign w:val="bottom"/>
          </w:tcPr>
          <w:p w14:paraId="3399C418" w14:textId="77777777" w:rsidR="000E610C" w:rsidRPr="000E610C" w:rsidRDefault="000E610C" w:rsidP="000E610C">
            <w:pPr>
              <w:spacing w:before="40" w:after="40" w:line="288" w:lineRule="auto"/>
              <w:rPr>
                <w:rFonts w:ascii="Arial" w:hAnsi="Arial" w:cs="Arial"/>
                <w:sz w:val="20"/>
                <w:szCs w:val="20"/>
                <w:lang w:val="en"/>
              </w:rPr>
            </w:pPr>
            <w:r w:rsidRPr="000E610C">
              <w:rPr>
                <w:rFonts w:ascii="Arial" w:hAnsi="Arial" w:cs="Arial"/>
                <w:sz w:val="20"/>
                <w:szCs w:val="20"/>
                <w:lang w:val="en"/>
              </w:rPr>
              <w:t>Fabrics</w:t>
            </w:r>
          </w:p>
        </w:tc>
        <w:tc>
          <w:tcPr>
            <w:tcW w:w="1963" w:type="dxa"/>
            <w:tcBorders>
              <w:top w:val="nil"/>
              <w:left w:val="nil"/>
              <w:bottom w:val="nil"/>
              <w:right w:val="nil"/>
            </w:tcBorders>
            <w:shd w:val="clear" w:color="auto" w:fill="auto"/>
            <w:noWrap/>
            <w:vAlign w:val="bottom"/>
          </w:tcPr>
          <w:p w14:paraId="2D049ADF" w14:textId="77777777" w:rsidR="000E610C" w:rsidRPr="000E610C" w:rsidRDefault="000E610C" w:rsidP="000E610C">
            <w:pPr>
              <w:spacing w:before="40" w:after="40" w:line="288" w:lineRule="auto"/>
              <w:ind w:right="458" w:firstLine="28"/>
              <w:jc w:val="right"/>
              <w:rPr>
                <w:rFonts w:ascii="Arial" w:hAnsi="Arial" w:cs="Arial"/>
                <w:sz w:val="20"/>
                <w:szCs w:val="20"/>
                <w:lang w:val="en-GB"/>
              </w:rPr>
            </w:pPr>
            <w:r w:rsidRPr="000E610C">
              <w:rPr>
                <w:rFonts w:ascii="Arial" w:hAnsi="Arial" w:cs="Arial"/>
                <w:sz w:val="20"/>
                <w:szCs w:val="20"/>
                <w:lang w:val="en-GB"/>
              </w:rPr>
              <w:t>13,573</w:t>
            </w:r>
          </w:p>
        </w:tc>
        <w:tc>
          <w:tcPr>
            <w:tcW w:w="2945" w:type="dxa"/>
            <w:tcBorders>
              <w:top w:val="nil"/>
              <w:left w:val="nil"/>
              <w:bottom w:val="nil"/>
              <w:right w:val="nil"/>
            </w:tcBorders>
            <w:shd w:val="clear" w:color="auto" w:fill="auto"/>
            <w:noWrap/>
            <w:vAlign w:val="bottom"/>
          </w:tcPr>
          <w:p w14:paraId="24B621CC" w14:textId="77777777" w:rsidR="000E610C" w:rsidRPr="000E610C" w:rsidRDefault="000E610C" w:rsidP="000E610C">
            <w:pPr>
              <w:spacing w:before="40" w:after="40" w:line="288" w:lineRule="auto"/>
              <w:ind w:right="1068"/>
              <w:jc w:val="right"/>
              <w:rPr>
                <w:rFonts w:ascii="Arial" w:hAnsi="Arial" w:cs="Arial"/>
                <w:sz w:val="20"/>
                <w:szCs w:val="20"/>
                <w:lang w:val="en-GB"/>
              </w:rPr>
            </w:pPr>
            <w:r w:rsidRPr="000E610C">
              <w:rPr>
                <w:rFonts w:ascii="Arial" w:hAnsi="Arial" w:cs="Arial"/>
                <w:sz w:val="20"/>
                <w:szCs w:val="20"/>
                <w:lang w:val="en-GB"/>
              </w:rPr>
              <w:t>14.3</w:t>
            </w:r>
          </w:p>
        </w:tc>
      </w:tr>
      <w:tr w:rsidR="000E610C" w:rsidRPr="000E610C" w14:paraId="6BAA9821" w14:textId="77777777" w:rsidTr="002F4D0B">
        <w:trPr>
          <w:trHeight w:val="317"/>
        </w:trPr>
        <w:tc>
          <w:tcPr>
            <w:tcW w:w="276" w:type="dxa"/>
            <w:tcBorders>
              <w:top w:val="nil"/>
              <w:left w:val="nil"/>
              <w:bottom w:val="nil"/>
              <w:right w:val="nil"/>
            </w:tcBorders>
            <w:shd w:val="clear" w:color="auto" w:fill="auto"/>
            <w:noWrap/>
            <w:vAlign w:val="center"/>
          </w:tcPr>
          <w:p w14:paraId="52C054C3" w14:textId="77777777" w:rsidR="000E610C" w:rsidRPr="000E610C" w:rsidRDefault="000E610C" w:rsidP="000E610C">
            <w:pPr>
              <w:spacing w:before="40" w:after="40" w:line="288" w:lineRule="auto"/>
              <w:rPr>
                <w:rFonts w:ascii="Arial" w:hAnsi="Arial" w:cs="Arial"/>
                <w:sz w:val="20"/>
                <w:szCs w:val="20"/>
                <w:lang w:val="en"/>
              </w:rPr>
            </w:pPr>
          </w:p>
        </w:tc>
        <w:tc>
          <w:tcPr>
            <w:tcW w:w="4209" w:type="dxa"/>
            <w:tcBorders>
              <w:top w:val="nil"/>
              <w:left w:val="nil"/>
              <w:bottom w:val="nil"/>
              <w:right w:val="nil"/>
            </w:tcBorders>
            <w:shd w:val="clear" w:color="auto" w:fill="auto"/>
            <w:noWrap/>
            <w:vAlign w:val="bottom"/>
          </w:tcPr>
          <w:p w14:paraId="378094E2" w14:textId="77777777" w:rsidR="000E610C" w:rsidRPr="000E610C" w:rsidRDefault="000E610C" w:rsidP="000E610C">
            <w:pPr>
              <w:spacing w:before="40" w:after="40" w:line="288" w:lineRule="auto"/>
              <w:rPr>
                <w:rFonts w:ascii="Arial" w:hAnsi="Arial" w:cs="Arial"/>
                <w:sz w:val="20"/>
                <w:szCs w:val="20"/>
                <w:lang w:val="en"/>
              </w:rPr>
            </w:pPr>
            <w:r w:rsidRPr="000E610C">
              <w:rPr>
                <w:rFonts w:ascii="Arial" w:hAnsi="Arial" w:cs="Arial"/>
                <w:sz w:val="20"/>
                <w:szCs w:val="20"/>
                <w:lang w:val="en"/>
              </w:rPr>
              <w:t>Iron, steel</w:t>
            </w:r>
          </w:p>
        </w:tc>
        <w:tc>
          <w:tcPr>
            <w:tcW w:w="1963" w:type="dxa"/>
            <w:tcBorders>
              <w:top w:val="nil"/>
              <w:left w:val="nil"/>
              <w:bottom w:val="nil"/>
              <w:right w:val="nil"/>
            </w:tcBorders>
            <w:shd w:val="clear" w:color="auto" w:fill="auto"/>
            <w:noWrap/>
            <w:vAlign w:val="bottom"/>
          </w:tcPr>
          <w:p w14:paraId="5ADC65FC" w14:textId="77777777" w:rsidR="000E610C" w:rsidRPr="000E610C" w:rsidRDefault="000E610C" w:rsidP="000E610C">
            <w:pPr>
              <w:spacing w:before="40" w:after="40" w:line="288" w:lineRule="auto"/>
              <w:ind w:right="458" w:firstLine="28"/>
              <w:jc w:val="right"/>
              <w:rPr>
                <w:rFonts w:ascii="Arial" w:hAnsi="Arial" w:cs="Arial"/>
                <w:sz w:val="20"/>
                <w:szCs w:val="20"/>
                <w:lang w:val="en-GB"/>
              </w:rPr>
            </w:pPr>
            <w:r w:rsidRPr="000E610C">
              <w:rPr>
                <w:rFonts w:ascii="Arial" w:hAnsi="Arial" w:cs="Arial"/>
                <w:sz w:val="20"/>
                <w:szCs w:val="20"/>
                <w:lang w:val="en-GB"/>
              </w:rPr>
              <w:t>11,506</w:t>
            </w:r>
          </w:p>
        </w:tc>
        <w:tc>
          <w:tcPr>
            <w:tcW w:w="2945" w:type="dxa"/>
            <w:tcBorders>
              <w:top w:val="nil"/>
              <w:left w:val="nil"/>
              <w:bottom w:val="nil"/>
              <w:right w:val="nil"/>
            </w:tcBorders>
            <w:shd w:val="clear" w:color="auto" w:fill="auto"/>
            <w:noWrap/>
            <w:vAlign w:val="bottom"/>
          </w:tcPr>
          <w:p w14:paraId="5441641D" w14:textId="77777777" w:rsidR="000E610C" w:rsidRPr="000E610C" w:rsidRDefault="000E610C" w:rsidP="000E610C">
            <w:pPr>
              <w:spacing w:before="40" w:after="40" w:line="288" w:lineRule="auto"/>
              <w:ind w:right="1068"/>
              <w:jc w:val="right"/>
              <w:rPr>
                <w:rFonts w:ascii="Arial" w:hAnsi="Arial" w:cs="Arial"/>
                <w:sz w:val="20"/>
                <w:szCs w:val="20"/>
                <w:lang w:val="en-GB"/>
              </w:rPr>
            </w:pPr>
            <w:r w:rsidRPr="000E610C">
              <w:rPr>
                <w:rFonts w:ascii="Arial" w:hAnsi="Arial" w:cs="Arial"/>
                <w:sz w:val="20"/>
                <w:szCs w:val="20"/>
                <w:lang w:val="en-GB"/>
              </w:rPr>
              <w:t>20.3</w:t>
            </w:r>
          </w:p>
        </w:tc>
      </w:tr>
      <w:tr w:rsidR="000E610C" w:rsidRPr="000E610C" w14:paraId="0426DCBB" w14:textId="77777777" w:rsidTr="002F4D0B">
        <w:trPr>
          <w:trHeight w:val="317"/>
        </w:trPr>
        <w:tc>
          <w:tcPr>
            <w:tcW w:w="276" w:type="dxa"/>
            <w:tcBorders>
              <w:top w:val="nil"/>
              <w:left w:val="nil"/>
              <w:bottom w:val="nil"/>
              <w:right w:val="nil"/>
            </w:tcBorders>
            <w:shd w:val="clear" w:color="auto" w:fill="auto"/>
            <w:noWrap/>
            <w:vAlign w:val="center"/>
          </w:tcPr>
          <w:p w14:paraId="0A9B23E6" w14:textId="77777777" w:rsidR="000E610C" w:rsidRPr="000E610C" w:rsidRDefault="000E610C" w:rsidP="000E610C">
            <w:pPr>
              <w:spacing w:before="40" w:after="40" w:line="288" w:lineRule="auto"/>
              <w:rPr>
                <w:rFonts w:ascii="Arial" w:hAnsi="Arial" w:cs="Arial"/>
                <w:sz w:val="20"/>
                <w:szCs w:val="20"/>
                <w:lang w:val="en"/>
              </w:rPr>
            </w:pPr>
          </w:p>
        </w:tc>
        <w:tc>
          <w:tcPr>
            <w:tcW w:w="4209" w:type="dxa"/>
            <w:tcBorders>
              <w:top w:val="nil"/>
              <w:left w:val="nil"/>
              <w:bottom w:val="single" w:sz="4" w:space="0" w:color="auto"/>
              <w:right w:val="nil"/>
            </w:tcBorders>
            <w:shd w:val="clear" w:color="auto" w:fill="auto"/>
            <w:noWrap/>
            <w:vAlign w:val="bottom"/>
          </w:tcPr>
          <w:p w14:paraId="7CBCF668" w14:textId="77777777" w:rsidR="000E610C" w:rsidRPr="000E610C" w:rsidRDefault="000E610C" w:rsidP="000E610C">
            <w:pPr>
              <w:spacing w:before="40" w:after="40" w:line="288" w:lineRule="auto"/>
              <w:rPr>
                <w:rFonts w:ascii="Arial" w:hAnsi="Arial" w:cs="Arial"/>
                <w:sz w:val="20"/>
                <w:szCs w:val="20"/>
                <w:lang w:val="en"/>
              </w:rPr>
            </w:pPr>
            <w:r w:rsidRPr="000E610C">
              <w:rPr>
                <w:rFonts w:ascii="Arial" w:hAnsi="Arial" w:cs="Arial"/>
                <w:sz w:val="20"/>
                <w:szCs w:val="20"/>
                <w:lang w:val="en"/>
              </w:rPr>
              <w:t>Plastics</w:t>
            </w:r>
          </w:p>
        </w:tc>
        <w:tc>
          <w:tcPr>
            <w:tcW w:w="1963" w:type="dxa"/>
            <w:tcBorders>
              <w:top w:val="nil"/>
              <w:left w:val="nil"/>
              <w:bottom w:val="single" w:sz="4" w:space="0" w:color="auto"/>
              <w:right w:val="nil"/>
            </w:tcBorders>
            <w:shd w:val="clear" w:color="auto" w:fill="auto"/>
            <w:noWrap/>
            <w:vAlign w:val="bottom"/>
          </w:tcPr>
          <w:p w14:paraId="7845FB66" w14:textId="77777777" w:rsidR="000E610C" w:rsidRPr="000E610C" w:rsidRDefault="000E610C" w:rsidP="000E610C">
            <w:pPr>
              <w:spacing w:before="40" w:after="40" w:line="288" w:lineRule="auto"/>
              <w:ind w:right="458" w:firstLine="28"/>
              <w:jc w:val="right"/>
              <w:rPr>
                <w:rFonts w:ascii="Arial" w:hAnsi="Arial" w:cs="Arial"/>
                <w:sz w:val="20"/>
                <w:szCs w:val="20"/>
                <w:lang w:val="en-GB"/>
              </w:rPr>
            </w:pPr>
            <w:r w:rsidRPr="000E610C">
              <w:rPr>
                <w:rFonts w:ascii="Arial" w:hAnsi="Arial" w:cs="Arial"/>
                <w:sz w:val="20"/>
                <w:szCs w:val="20"/>
                <w:lang w:val="en-GB"/>
              </w:rPr>
              <w:t>10,604</w:t>
            </w:r>
          </w:p>
        </w:tc>
        <w:tc>
          <w:tcPr>
            <w:tcW w:w="2945" w:type="dxa"/>
            <w:tcBorders>
              <w:top w:val="nil"/>
              <w:left w:val="nil"/>
              <w:bottom w:val="single" w:sz="4" w:space="0" w:color="auto"/>
              <w:right w:val="nil"/>
            </w:tcBorders>
            <w:shd w:val="clear" w:color="auto" w:fill="auto"/>
            <w:noWrap/>
            <w:vAlign w:val="bottom"/>
          </w:tcPr>
          <w:p w14:paraId="2FCA6F91" w14:textId="77777777" w:rsidR="000E610C" w:rsidRPr="000E610C" w:rsidRDefault="000E610C" w:rsidP="000E610C">
            <w:pPr>
              <w:spacing w:before="40" w:after="40" w:line="288" w:lineRule="auto"/>
              <w:ind w:right="1068"/>
              <w:jc w:val="right"/>
              <w:rPr>
                <w:rFonts w:ascii="Arial" w:hAnsi="Arial" w:cs="Arial"/>
                <w:sz w:val="20"/>
                <w:szCs w:val="20"/>
                <w:lang w:val="en-GB"/>
              </w:rPr>
            </w:pPr>
            <w:r w:rsidRPr="000E610C">
              <w:rPr>
                <w:rFonts w:ascii="Arial" w:hAnsi="Arial" w:cs="Arial"/>
                <w:sz w:val="20"/>
                <w:szCs w:val="20"/>
                <w:lang w:val="en-GB"/>
              </w:rPr>
              <w:t>18.4</w:t>
            </w:r>
          </w:p>
        </w:tc>
      </w:tr>
    </w:tbl>
    <w:p w14:paraId="61EE973F" w14:textId="77777777" w:rsidR="000E610C" w:rsidRPr="000E610C" w:rsidRDefault="000E610C" w:rsidP="000E610C">
      <w:pPr>
        <w:tabs>
          <w:tab w:val="num" w:pos="0"/>
          <w:tab w:val="left" w:pos="9475"/>
        </w:tabs>
        <w:spacing w:beforeLines="40" w:before="96" w:afterLines="40" w:after="96" w:line="264" w:lineRule="auto"/>
        <w:ind w:right="187" w:firstLine="567"/>
        <w:jc w:val="right"/>
        <w:rPr>
          <w:rFonts w:ascii="Arial" w:hAnsi="Arial" w:cs="Arial"/>
          <w:b/>
          <w:bCs/>
          <w:i/>
          <w:iCs/>
          <w:sz w:val="2"/>
          <w:szCs w:val="20"/>
        </w:rPr>
      </w:pPr>
      <w:r w:rsidRPr="000E610C">
        <w:rPr>
          <w:rFonts w:ascii="Calibri" w:hAnsi="Calibri" w:cs="Calibri"/>
          <w:noProof/>
          <w:sz w:val="22"/>
          <w:szCs w:val="22"/>
        </w:rPr>
        <mc:AlternateContent>
          <mc:Choice Requires="wps">
            <w:drawing>
              <wp:anchor distT="0" distB="0" distL="114300" distR="114300" simplePos="0" relativeHeight="251680768" behindDoc="0" locked="0" layoutInCell="1" allowOverlap="1" wp14:anchorId="62B5AA2D" wp14:editId="6E4E69C5">
                <wp:simplePos x="0" y="0"/>
                <wp:positionH relativeFrom="column">
                  <wp:posOffset>81915</wp:posOffset>
                </wp:positionH>
                <wp:positionV relativeFrom="paragraph">
                  <wp:posOffset>170815</wp:posOffset>
                </wp:positionV>
                <wp:extent cx="3248025" cy="2725420"/>
                <wp:effectExtent l="0" t="0" r="9525" b="0"/>
                <wp:wrapSquare wrapText="bothSides"/>
                <wp:docPr id="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725420"/>
                        </a:xfrm>
                        <a:prstGeom prst="rect">
                          <a:avLst/>
                        </a:prstGeom>
                        <a:solidFill>
                          <a:srgbClr val="FFFFFF"/>
                        </a:solidFill>
                        <a:ln w="9525">
                          <a:noFill/>
                          <a:miter lim="800000"/>
                          <a:headEnd/>
                          <a:tailEnd/>
                        </a:ln>
                      </wps:spPr>
                      <wps:txbx>
                        <w:txbxContent>
                          <w:p w14:paraId="5439AF33" w14:textId="77777777" w:rsidR="000E610C" w:rsidRPr="004B4D22" w:rsidRDefault="000E610C" w:rsidP="000E610C">
                            <w:pPr>
                              <w:spacing w:before="40" w:after="40" w:line="288" w:lineRule="auto"/>
                              <w:ind w:left="-284"/>
                              <w:jc w:val="center"/>
                              <w:rPr>
                                <w:rFonts w:ascii="Arial" w:hAnsi="Arial" w:cs="Arial"/>
                                <w:b/>
                                <w:bCs/>
                                <w:sz w:val="24"/>
                                <w:szCs w:val="24"/>
                              </w:rPr>
                            </w:pPr>
                            <w:r w:rsidRPr="004B4D22">
                              <w:rPr>
                                <w:rFonts w:ascii="Arial" w:hAnsi="Arial" w:cs="Arial"/>
                                <w:b/>
                                <w:bCs/>
                                <w:sz w:val="24"/>
                                <w:szCs w:val="24"/>
                              </w:rPr>
                              <w:t xml:space="preserve">Figure </w:t>
                            </w:r>
                            <w:r>
                              <w:rPr>
                                <w:rFonts w:ascii="Arial" w:hAnsi="Arial" w:cs="Arial"/>
                                <w:b/>
                                <w:bCs/>
                                <w:sz w:val="24"/>
                                <w:szCs w:val="24"/>
                              </w:rPr>
                              <w:t>13</w:t>
                            </w:r>
                            <w:r w:rsidRPr="004B4D22">
                              <w:rPr>
                                <w:rFonts w:ascii="Arial" w:hAnsi="Arial" w:cs="Arial"/>
                                <w:b/>
                                <w:bCs/>
                                <w:sz w:val="24"/>
                                <w:szCs w:val="24"/>
                              </w:rPr>
                              <w:t>. Structure of imported groups</w:t>
                            </w:r>
                          </w:p>
                          <w:p w14:paraId="440311D1" w14:textId="77777777" w:rsidR="000E610C" w:rsidRPr="004B4D22" w:rsidRDefault="000E610C" w:rsidP="000E610C">
                            <w:pPr>
                              <w:spacing w:before="40" w:after="40" w:line="288" w:lineRule="auto"/>
                              <w:ind w:left="-284"/>
                              <w:jc w:val="center"/>
                              <w:rPr>
                                <w:rFonts w:ascii="Arial" w:hAnsi="Arial" w:cs="Arial"/>
                                <w:b/>
                                <w:bCs/>
                                <w:sz w:val="24"/>
                                <w:szCs w:val="24"/>
                              </w:rPr>
                            </w:pPr>
                            <w:r w:rsidRPr="004B4D22">
                              <w:rPr>
                                <w:rFonts w:ascii="Arial" w:hAnsi="Arial" w:cs="Arial"/>
                                <w:b/>
                                <w:bCs/>
                                <w:sz w:val="24"/>
                                <w:szCs w:val="24"/>
                              </w:rPr>
                              <w:t xml:space="preserve">in </w:t>
                            </w:r>
                            <w:r>
                              <w:rPr>
                                <w:rFonts w:ascii="Arial" w:hAnsi="Arial" w:cs="Arial"/>
                                <w:b/>
                                <w:bCs/>
                                <w:sz w:val="24"/>
                                <w:szCs w:val="24"/>
                              </w:rPr>
                              <w:t>11 months</w:t>
                            </w:r>
                            <w:r w:rsidRPr="004B4D22">
                              <w:rPr>
                                <w:rFonts w:ascii="Arial" w:hAnsi="Arial" w:cs="Arial"/>
                                <w:b/>
                                <w:bCs/>
                                <w:sz w:val="24"/>
                                <w:szCs w:val="24"/>
                              </w:rPr>
                              <w:t xml:space="preserve"> of 2024</w:t>
                            </w:r>
                          </w:p>
                          <w:p w14:paraId="44CF540B" w14:textId="77777777" w:rsidR="000E610C" w:rsidRDefault="000E610C" w:rsidP="000E610C">
                            <w:pPr>
                              <w:ind w:left="-142"/>
                              <w:jc w:val="right"/>
                              <w:rPr>
                                <w:rFonts w:ascii="Arial" w:hAnsi="Arial" w:cs="Arial"/>
                                <w:sz w:val="24"/>
                                <w:szCs w:val="24"/>
                              </w:rPr>
                            </w:pPr>
                            <w:r w:rsidRPr="00767FAA">
                              <w:rPr>
                                <w:noProof/>
                              </w:rPr>
                              <w:drawing>
                                <wp:inline distT="0" distB="0" distL="0" distR="0" wp14:anchorId="60D81105" wp14:editId="5C11E3A7">
                                  <wp:extent cx="3056255" cy="2014855"/>
                                  <wp:effectExtent l="0" t="0" r="0" b="4445"/>
                                  <wp:docPr id="10206504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6255" cy="2014855"/>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5AA2D" id="Text Box 9" o:spid="_x0000_s1027" type="#_x0000_t202" style="position:absolute;left:0;text-align:left;margin-left:6.45pt;margin-top:13.45pt;width:255.75pt;height:21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" stroked="f">
                <v:textbox>
                  <w:txbxContent>
                    <w:p w14:paraId="5439AF33" w14:textId="77777777" w:rsidR="000E610C" w:rsidRPr="004B4D22" w:rsidRDefault="000E610C" w:rsidP="000E610C">
                      <w:pPr>
                        <w:spacing w:before="40" w:after="40" w:line="288" w:lineRule="auto"/>
                        <w:ind w:left="-284"/>
                        <w:jc w:val="center"/>
                        <w:rPr>
                          <w:rFonts w:ascii="Arial" w:hAnsi="Arial" w:cs="Arial"/>
                          <w:b/>
                          <w:bCs/>
                          <w:sz w:val="24"/>
                          <w:szCs w:val="24"/>
                        </w:rPr>
                      </w:pPr>
                      <w:r w:rsidRPr="004B4D22">
                        <w:rPr>
                          <w:rFonts w:ascii="Arial" w:hAnsi="Arial" w:cs="Arial"/>
                          <w:b/>
                          <w:bCs/>
                          <w:sz w:val="24"/>
                          <w:szCs w:val="24"/>
                        </w:rPr>
                        <w:t xml:space="preserve">Figure </w:t>
                      </w:r>
                      <w:r>
                        <w:rPr>
                          <w:rFonts w:ascii="Arial" w:hAnsi="Arial" w:cs="Arial"/>
                          <w:b/>
                          <w:bCs/>
                          <w:sz w:val="24"/>
                          <w:szCs w:val="24"/>
                        </w:rPr>
                        <w:t>13</w:t>
                      </w:r>
                      <w:r w:rsidRPr="004B4D22">
                        <w:rPr>
                          <w:rFonts w:ascii="Arial" w:hAnsi="Arial" w:cs="Arial"/>
                          <w:b/>
                          <w:bCs/>
                          <w:sz w:val="24"/>
                          <w:szCs w:val="24"/>
                        </w:rPr>
                        <w:t>. Structure of imported groups</w:t>
                      </w:r>
                    </w:p>
                    <w:p w14:paraId="440311D1" w14:textId="77777777" w:rsidR="000E610C" w:rsidRPr="004B4D22" w:rsidRDefault="000E610C" w:rsidP="000E610C">
                      <w:pPr>
                        <w:spacing w:before="40" w:after="40" w:line="288" w:lineRule="auto"/>
                        <w:ind w:left="-284"/>
                        <w:jc w:val="center"/>
                        <w:rPr>
                          <w:rFonts w:ascii="Arial" w:hAnsi="Arial" w:cs="Arial"/>
                          <w:b/>
                          <w:bCs/>
                          <w:sz w:val="24"/>
                          <w:szCs w:val="24"/>
                        </w:rPr>
                      </w:pPr>
                      <w:r w:rsidRPr="004B4D22">
                        <w:rPr>
                          <w:rFonts w:ascii="Arial" w:hAnsi="Arial" w:cs="Arial"/>
                          <w:b/>
                          <w:bCs/>
                          <w:sz w:val="24"/>
                          <w:szCs w:val="24"/>
                        </w:rPr>
                        <w:t xml:space="preserve">in </w:t>
                      </w:r>
                      <w:r>
                        <w:rPr>
                          <w:rFonts w:ascii="Arial" w:hAnsi="Arial" w:cs="Arial"/>
                          <w:b/>
                          <w:bCs/>
                          <w:sz w:val="24"/>
                          <w:szCs w:val="24"/>
                        </w:rPr>
                        <w:t>11 months</w:t>
                      </w:r>
                      <w:r w:rsidRPr="004B4D22">
                        <w:rPr>
                          <w:rFonts w:ascii="Arial" w:hAnsi="Arial" w:cs="Arial"/>
                          <w:b/>
                          <w:bCs/>
                          <w:sz w:val="24"/>
                          <w:szCs w:val="24"/>
                        </w:rPr>
                        <w:t xml:space="preserve"> of 2024</w:t>
                      </w:r>
                    </w:p>
                    <w:p w14:paraId="44CF540B" w14:textId="77777777" w:rsidR="000E610C" w:rsidRDefault="000E610C" w:rsidP="000E610C">
                      <w:pPr>
                        <w:ind w:left="-142"/>
                        <w:jc w:val="right"/>
                        <w:rPr>
                          <w:rFonts w:ascii="Arial" w:hAnsi="Arial" w:cs="Arial"/>
                          <w:sz w:val="24"/>
                          <w:szCs w:val="24"/>
                        </w:rPr>
                      </w:pPr>
                      <w:r w:rsidRPr="00767FAA">
                        <w:rPr>
                          <w:noProof/>
                        </w:rPr>
                        <w:drawing>
                          <wp:inline distT="0" distB="0" distL="0" distR="0" wp14:anchorId="60D81105" wp14:editId="5C11E3A7">
                            <wp:extent cx="3056255" cy="2014855"/>
                            <wp:effectExtent l="0" t="0" r="0" b="4445"/>
                            <wp:docPr id="10206504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6255" cy="2014855"/>
                                    </a:xfrm>
                                    <a:prstGeom prst="rect">
                                      <a:avLst/>
                                    </a:prstGeom>
                                    <a:noFill/>
                                    <a:ln>
                                      <a:noFill/>
                                    </a:ln>
                                  </pic:spPr>
                                </pic:pic>
                              </a:graphicData>
                            </a:graphic>
                          </wp:inline>
                        </w:drawing>
                      </w:r>
                    </w:p>
                  </w:txbxContent>
                </v:textbox>
                <w10:wrap type="square"/>
              </v:shape>
            </w:pict>
          </mc:Fallback>
        </mc:AlternateContent>
      </w:r>
    </w:p>
    <w:p w14:paraId="192D3743" w14:textId="77777777" w:rsidR="000E610C" w:rsidRPr="000E610C" w:rsidRDefault="000E610C" w:rsidP="000E610C">
      <w:pPr>
        <w:tabs>
          <w:tab w:val="left" w:pos="9475"/>
        </w:tabs>
        <w:spacing w:beforeLines="40" w:before="96" w:afterLines="40" w:after="96" w:line="259" w:lineRule="auto"/>
        <w:ind w:right="6"/>
        <w:jc w:val="both"/>
        <w:rPr>
          <w:rFonts w:eastAsia="Batang"/>
          <w:b/>
          <w:bCs/>
          <w:spacing w:val="-6"/>
          <w:lang w:val="en-GB"/>
        </w:rPr>
      </w:pPr>
      <w:r w:rsidRPr="000E610C">
        <w:rPr>
          <w:rFonts w:eastAsia="Batang"/>
          <w:i/>
          <w:iCs/>
          <w:noProof/>
          <w:spacing w:val="-6"/>
        </w:rPr>
        <w:t xml:space="preserve">Regarding the structure of imported groups </w:t>
      </w:r>
      <w:r w:rsidRPr="000E610C">
        <w:rPr>
          <w:rFonts w:eastAsia="Batang"/>
          <w:bCs/>
          <w:i/>
          <w:iCs/>
          <w:spacing w:val="-6"/>
        </w:rPr>
        <w:t xml:space="preserve">in eleven months of 2024, </w:t>
      </w:r>
      <w:r w:rsidRPr="000E610C">
        <w:rPr>
          <w:rFonts w:eastAsia="Batang"/>
          <w:bCs/>
          <w:spacing w:val="-6"/>
        </w:rPr>
        <w:t xml:space="preserve">the group of production materials was estimated at 323.72 billion USD, accounted for 93.7%, in which the group of machinery, equipment, tools spare parts accounted for 47.4%; raw materials, fuel and materials accounted for 46.2%. The group of consumer products was </w:t>
      </w:r>
      <w:r w:rsidRPr="000E610C">
        <w:rPr>
          <w:rFonts w:eastAsia="Batang"/>
          <w:bCs/>
          <w:spacing w:val="-6"/>
        </w:rPr>
        <w:lastRenderedPageBreak/>
        <w:t>estimated at 21.9 billion USD, accounted for 6.3%.</w:t>
      </w:r>
    </w:p>
    <w:p w14:paraId="76ADC3FA" w14:textId="77777777" w:rsidR="000E610C" w:rsidRPr="000E610C" w:rsidRDefault="000E610C" w:rsidP="000E610C">
      <w:pPr>
        <w:tabs>
          <w:tab w:val="num" w:pos="0"/>
          <w:tab w:val="left" w:pos="9475"/>
        </w:tabs>
        <w:spacing w:beforeLines="100" w:before="240" w:afterLines="100" w:after="240" w:line="264" w:lineRule="auto"/>
        <w:ind w:right="6" w:firstLine="567"/>
        <w:jc w:val="both"/>
        <w:rPr>
          <w:i/>
          <w:spacing w:val="-2"/>
        </w:rPr>
      </w:pPr>
      <w:r w:rsidRPr="000E610C">
        <w:rPr>
          <w:bCs/>
          <w:i/>
          <w:spacing w:val="-2"/>
          <w:lang w:val="en"/>
        </w:rPr>
        <w:t xml:space="preserve">Regarding the export and import market of goods in eleven months of 2024, </w:t>
      </w:r>
      <w:r w:rsidRPr="000E610C">
        <w:rPr>
          <w:bCs/>
          <w:iCs/>
          <w:spacing w:val="-2"/>
          <w:lang w:val="en"/>
        </w:rPr>
        <w:t>the United States was the Viet Nam's largest export market with a turnover of 108.9 billion USD.</w:t>
      </w:r>
      <w:r w:rsidRPr="000E610C">
        <w:rPr>
          <w:bCs/>
          <w:iCs/>
          <w:spacing w:val="-2"/>
        </w:rPr>
        <w:t xml:space="preserve"> China remained the largest import market of Viet Nam with a turnover of 130.2 billion USD. </w:t>
      </w:r>
      <w:r w:rsidRPr="000E610C">
        <w:rPr>
          <w:bCs/>
          <w:iCs/>
          <w:spacing w:val="-2"/>
          <w:lang w:val="en"/>
        </w:rPr>
        <w:t>In eleven months of 2024, the trade surplus to the United States reached 95.4 billion USD, up 26.7% over the same period last year; the trade surplus to the EU 32.0 billion USD, up 21.1%; the trade surplus to Japan was 2.6 billion USD, up 70.0%; the trade deficit from China was 75.0 billion USD, went up 67.7%; the trade deficit from Korea was 27.7 billion USD, went up 5.2%; the trade deficit from ASEAN was 8.5 billion USD, increased by 13.3%.</w:t>
      </w:r>
    </w:p>
    <w:p w14:paraId="03444855" w14:textId="77777777" w:rsidR="000E610C" w:rsidRPr="000E610C" w:rsidRDefault="000E610C" w:rsidP="000E610C">
      <w:pPr>
        <w:tabs>
          <w:tab w:val="num" w:pos="0"/>
          <w:tab w:val="left" w:pos="9475"/>
        </w:tabs>
        <w:spacing w:beforeLines="40" w:before="96" w:afterLines="40" w:after="96" w:line="264" w:lineRule="auto"/>
        <w:ind w:right="6" w:firstLine="567"/>
        <w:jc w:val="center"/>
        <w:rPr>
          <w:rFonts w:ascii="Arial" w:hAnsi="Arial" w:cs="Arial"/>
          <w:b/>
          <w:iCs/>
          <w:sz w:val="24"/>
          <w:szCs w:val="24"/>
          <w:lang w:val="en-GB"/>
        </w:rPr>
      </w:pPr>
      <w:r w:rsidRPr="000E610C">
        <w:rPr>
          <w:rFonts w:ascii="Arial" w:hAnsi="Arial" w:cs="Arial"/>
          <w:b/>
          <w:iCs/>
          <w:sz w:val="24"/>
          <w:szCs w:val="24"/>
          <w:lang w:val="en"/>
        </w:rPr>
        <w:t xml:space="preserve">Figure 14. Major </w:t>
      </w:r>
      <w:proofErr w:type="gramStart"/>
      <w:r w:rsidRPr="000E610C">
        <w:rPr>
          <w:rFonts w:ascii="Arial" w:hAnsi="Arial" w:cs="Arial"/>
          <w:b/>
          <w:iCs/>
          <w:sz w:val="24"/>
          <w:szCs w:val="24"/>
          <w:lang w:val="en"/>
        </w:rPr>
        <w:t>commodity</w:t>
      </w:r>
      <w:proofErr w:type="gramEnd"/>
      <w:r w:rsidRPr="000E610C">
        <w:rPr>
          <w:rFonts w:ascii="Arial" w:hAnsi="Arial" w:cs="Arial"/>
          <w:b/>
          <w:iCs/>
          <w:sz w:val="24"/>
          <w:szCs w:val="24"/>
          <w:lang w:val="en"/>
        </w:rPr>
        <w:t xml:space="preserve"> import and export markets </w:t>
      </w:r>
      <w:r w:rsidRPr="000E610C">
        <w:rPr>
          <w:rFonts w:ascii="Arial" w:hAnsi="Arial" w:cs="Arial"/>
          <w:b/>
          <w:iCs/>
          <w:sz w:val="24"/>
          <w:szCs w:val="24"/>
          <w:lang w:val="en"/>
        </w:rPr>
        <w:br/>
        <w:t xml:space="preserve"> in 11 months of 2024</w:t>
      </w:r>
    </w:p>
    <w:tbl>
      <w:tblPr>
        <w:tblStyle w:val="TableGrid2"/>
        <w:tblW w:w="92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8"/>
        <w:gridCol w:w="604"/>
        <w:gridCol w:w="2212"/>
        <w:gridCol w:w="2770"/>
        <w:gridCol w:w="1413"/>
        <w:gridCol w:w="523"/>
      </w:tblGrid>
      <w:tr w:rsidR="000E610C" w:rsidRPr="000E610C" w14:paraId="4E082346" w14:textId="77777777" w:rsidTr="002F4D0B">
        <w:trPr>
          <w:trHeight w:val="3989"/>
          <w:jc w:val="center"/>
        </w:trPr>
        <w:tc>
          <w:tcPr>
            <w:tcW w:w="4564" w:type="dxa"/>
            <w:gridSpan w:val="3"/>
            <w:hideMark/>
          </w:tcPr>
          <w:p w14:paraId="6D9797C1" w14:textId="77777777" w:rsidR="000E610C" w:rsidRPr="000E610C" w:rsidRDefault="000E610C" w:rsidP="000E610C">
            <w:pPr>
              <w:tabs>
                <w:tab w:val="num" w:pos="0"/>
                <w:tab w:val="left" w:pos="9475"/>
              </w:tabs>
              <w:spacing w:beforeLines="40" w:before="96" w:afterLines="40" w:after="96" w:line="264" w:lineRule="auto"/>
              <w:ind w:right="-118"/>
              <w:jc w:val="both"/>
              <w:rPr>
                <w:rFonts w:ascii="Calibri" w:hAnsi="Calibri" w:cs="Calibri"/>
                <w:iCs/>
              </w:rPr>
            </w:pPr>
            <w:r w:rsidRPr="000E610C">
              <w:rPr>
                <w:rFonts w:ascii="Calibri" w:hAnsi="Calibri" w:cs="Calibri"/>
                <w:noProof/>
                <w:sz w:val="22"/>
                <w:szCs w:val="22"/>
                <w:lang w:val="en-GB"/>
              </w:rPr>
              <w:drawing>
                <wp:inline distT="0" distB="0" distL="0" distR="0" wp14:anchorId="513C9A35" wp14:editId="1CF4D5F9">
                  <wp:extent cx="2813050" cy="2312670"/>
                  <wp:effectExtent l="0" t="0" r="6350" b="11430"/>
                  <wp:docPr id="121046773" name="Chart 1">
                    <a:extLst xmlns:a="http://schemas.openxmlformats.org/drawingml/2006/main">
                      <a:ext uri="{FF2B5EF4-FFF2-40B4-BE49-F238E27FC236}">
                        <a16:creationId xmlns:a16="http://schemas.microsoft.com/office/drawing/2014/main" id="{44D50716-56FF-4985-B386-1B9125899A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706" w:type="dxa"/>
            <w:gridSpan w:val="3"/>
            <w:hideMark/>
          </w:tcPr>
          <w:p w14:paraId="6BA5ADC4" w14:textId="77777777" w:rsidR="000E610C" w:rsidRPr="000E610C" w:rsidRDefault="000E610C" w:rsidP="000E610C">
            <w:pPr>
              <w:tabs>
                <w:tab w:val="num" w:pos="-134"/>
                <w:tab w:val="left" w:pos="9475"/>
              </w:tabs>
              <w:spacing w:beforeLines="40" w:before="96" w:afterLines="40" w:after="96" w:line="264" w:lineRule="auto"/>
              <w:ind w:right="6" w:hanging="134"/>
              <w:jc w:val="both"/>
              <w:rPr>
                <w:iCs/>
              </w:rPr>
            </w:pPr>
            <w:r w:rsidRPr="000E610C">
              <w:rPr>
                <w:rFonts w:ascii="Calibri" w:hAnsi="Calibri" w:cs="Calibri"/>
                <w:noProof/>
                <w:sz w:val="22"/>
                <w:szCs w:val="22"/>
                <w:lang w:val="en-GB"/>
              </w:rPr>
              <w:drawing>
                <wp:inline distT="0" distB="0" distL="0" distR="0" wp14:anchorId="77C16874" wp14:editId="51D1106B">
                  <wp:extent cx="2851150" cy="2312670"/>
                  <wp:effectExtent l="0" t="0" r="6350" b="11430"/>
                  <wp:docPr id="1812495399" name="Chart 1">
                    <a:extLst xmlns:a="http://schemas.openxmlformats.org/drawingml/2006/main">
                      <a:ext uri="{FF2B5EF4-FFF2-40B4-BE49-F238E27FC236}">
                        <a16:creationId xmlns:a16="http://schemas.microsoft.com/office/drawing/2014/main" id="{6679D1D4-83B8-4932-992B-50028A3F5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0E610C" w:rsidRPr="000E610C" w14:paraId="5A0D617E" w14:textId="77777777" w:rsidTr="002F4D0B">
        <w:trPr>
          <w:gridAfter w:val="1"/>
          <w:wAfter w:w="523" w:type="dxa"/>
          <w:trHeight w:val="160"/>
          <w:jc w:val="center"/>
        </w:trPr>
        <w:tc>
          <w:tcPr>
            <w:tcW w:w="1748" w:type="dxa"/>
          </w:tcPr>
          <w:p w14:paraId="293E2400" w14:textId="77777777" w:rsidR="000E610C" w:rsidRPr="000E610C" w:rsidRDefault="000E610C" w:rsidP="000E610C">
            <w:pPr>
              <w:spacing w:beforeLines="40" w:before="96" w:afterLines="40" w:after="96" w:line="264" w:lineRule="auto"/>
              <w:ind w:firstLine="567"/>
              <w:jc w:val="both"/>
              <w:rPr>
                <w:b/>
                <w:bCs/>
                <w:i/>
                <w:iCs/>
              </w:rPr>
            </w:pPr>
          </w:p>
        </w:tc>
        <w:tc>
          <w:tcPr>
            <w:tcW w:w="604" w:type="dxa"/>
          </w:tcPr>
          <w:p w14:paraId="4FF7D93C" w14:textId="77777777" w:rsidR="000E610C" w:rsidRPr="000E610C" w:rsidRDefault="000E610C" w:rsidP="000E610C">
            <w:pPr>
              <w:spacing w:beforeLines="40" w:before="96" w:afterLines="40" w:after="96" w:line="264" w:lineRule="auto"/>
              <w:ind w:firstLine="567"/>
              <w:jc w:val="both"/>
              <w:rPr>
                <w:b/>
                <w:bCs/>
                <w:i/>
                <w:iCs/>
                <w:color w:val="FF0000"/>
              </w:rPr>
            </w:pPr>
          </w:p>
        </w:tc>
        <w:tc>
          <w:tcPr>
            <w:tcW w:w="2212" w:type="dxa"/>
            <w:hideMark/>
          </w:tcPr>
          <w:p w14:paraId="7255A657" w14:textId="77777777" w:rsidR="000E610C" w:rsidRPr="000E610C" w:rsidRDefault="000E610C" w:rsidP="000E610C">
            <w:pPr>
              <w:spacing w:beforeLines="40" w:before="96" w:afterLines="40" w:after="96" w:line="264" w:lineRule="auto"/>
              <w:ind w:firstLine="567"/>
              <w:jc w:val="both"/>
              <w:rPr>
                <w:b/>
                <w:bCs/>
                <w:i/>
                <w:iCs/>
              </w:rPr>
            </w:pPr>
            <w:r w:rsidRPr="000E610C">
              <w:rPr>
                <w:noProof/>
                <w:lang w:val="en-US"/>
              </w:rPr>
              <mc:AlternateContent>
                <mc:Choice Requires="wps">
                  <w:drawing>
                    <wp:anchor distT="0" distB="0" distL="114300" distR="114300" simplePos="0" relativeHeight="251678720" behindDoc="0" locked="0" layoutInCell="1" allowOverlap="1" wp14:anchorId="5C6FB076" wp14:editId="43D185AB">
                      <wp:simplePos x="0" y="0"/>
                      <wp:positionH relativeFrom="column">
                        <wp:posOffset>98425</wp:posOffset>
                      </wp:positionH>
                      <wp:positionV relativeFrom="paragraph">
                        <wp:posOffset>36195</wp:posOffset>
                      </wp:positionV>
                      <wp:extent cx="125730" cy="90170"/>
                      <wp:effectExtent l="0" t="0" r="0" b="0"/>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7894F" id="Rectangle 7" o:spid="_x0000_s1026" style="position:absolute;margin-left:7.75pt;margin-top:2.85pt;width:9.9pt;height: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" fillcolor="#c00000" stroked="f" strokeweight="1pt"/>
                  </w:pict>
                </mc:Fallback>
              </mc:AlternateContent>
            </w:r>
            <w:r w:rsidRPr="000E610C">
              <w:rPr>
                <w:rFonts w:ascii="Arial" w:hAnsi="Arial" w:cs="Arial"/>
                <w:b/>
                <w:bCs/>
                <w:iCs/>
                <w:sz w:val="16"/>
                <w:szCs w:val="16"/>
              </w:rPr>
              <w:t>Export of goods</w:t>
            </w:r>
          </w:p>
        </w:tc>
        <w:tc>
          <w:tcPr>
            <w:tcW w:w="2770" w:type="dxa"/>
            <w:hideMark/>
          </w:tcPr>
          <w:p w14:paraId="5ADB45C0" w14:textId="77777777" w:rsidR="000E610C" w:rsidRPr="000E610C" w:rsidRDefault="000E610C" w:rsidP="000E610C">
            <w:pPr>
              <w:spacing w:beforeLines="40" w:before="96" w:afterLines="40" w:after="96" w:line="264" w:lineRule="auto"/>
              <w:ind w:firstLine="567"/>
              <w:jc w:val="both"/>
              <w:rPr>
                <w:b/>
                <w:bCs/>
                <w:i/>
                <w:iCs/>
              </w:rPr>
            </w:pPr>
            <w:r w:rsidRPr="000E610C">
              <w:rPr>
                <w:noProof/>
                <w:lang w:val="en-US"/>
              </w:rPr>
              <mc:AlternateContent>
                <mc:Choice Requires="wps">
                  <w:drawing>
                    <wp:anchor distT="0" distB="0" distL="114300" distR="114300" simplePos="0" relativeHeight="251679744" behindDoc="0" locked="0" layoutInCell="1" allowOverlap="1" wp14:anchorId="5801D30D" wp14:editId="590A8312">
                      <wp:simplePos x="0" y="0"/>
                      <wp:positionH relativeFrom="column">
                        <wp:posOffset>109855</wp:posOffset>
                      </wp:positionH>
                      <wp:positionV relativeFrom="paragraph">
                        <wp:posOffset>36195</wp:posOffset>
                      </wp:positionV>
                      <wp:extent cx="125730" cy="90170"/>
                      <wp:effectExtent l="0" t="0" r="26670" b="24130"/>
                      <wp:wrapNone/>
                      <wp:docPr id="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cap="flat" cmpd="sng" algn="ctr">
                                <a:solidFill>
                                  <a:srgbClr val="E7E6E6">
                                    <a:lumMod val="25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7A80F" id="Rectangle 6" o:spid="_x0000_s1026" style="position:absolute;margin-left:8.65pt;margin-top:2.85pt;width:9.9pt;height:7.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" fillcolor="yellow" strokecolor="#3b3838" strokeweight=".5pt">
                      <v:path arrowok="t"/>
                    </v:rect>
                  </w:pict>
                </mc:Fallback>
              </mc:AlternateContent>
            </w:r>
            <w:r w:rsidRPr="000E610C">
              <w:rPr>
                <w:rFonts w:ascii="Arial" w:hAnsi="Arial" w:cs="Arial"/>
                <w:b/>
                <w:bCs/>
                <w:iCs/>
                <w:sz w:val="16"/>
                <w:szCs w:val="16"/>
              </w:rPr>
              <w:t>Import of goods</w:t>
            </w:r>
          </w:p>
        </w:tc>
        <w:tc>
          <w:tcPr>
            <w:tcW w:w="1413" w:type="dxa"/>
          </w:tcPr>
          <w:p w14:paraId="290FB131" w14:textId="77777777" w:rsidR="000E610C" w:rsidRPr="000E610C" w:rsidRDefault="000E610C" w:rsidP="000E610C">
            <w:pPr>
              <w:spacing w:beforeLines="40" w:before="96" w:afterLines="40" w:after="96" w:line="264" w:lineRule="auto"/>
              <w:ind w:firstLine="567"/>
              <w:jc w:val="both"/>
              <w:rPr>
                <w:b/>
                <w:bCs/>
                <w:i/>
                <w:iCs/>
              </w:rPr>
            </w:pPr>
          </w:p>
        </w:tc>
      </w:tr>
    </w:tbl>
    <w:p w14:paraId="4E61FD8F" w14:textId="77777777" w:rsidR="000E610C" w:rsidRPr="000E610C" w:rsidRDefault="000E610C" w:rsidP="000E610C">
      <w:pPr>
        <w:spacing w:beforeLines="40" w:before="96" w:afterLines="40" w:after="96" w:line="264" w:lineRule="auto"/>
        <w:ind w:firstLine="567"/>
        <w:jc w:val="both"/>
        <w:rPr>
          <w:iCs/>
          <w:lang w:val="en-GB"/>
        </w:rPr>
      </w:pPr>
      <w:r w:rsidRPr="000E610C">
        <w:rPr>
          <w:i/>
        </w:rPr>
        <w:t>The preliminary trade balance of goods</w:t>
      </w:r>
      <w:r w:rsidRPr="000E610C">
        <w:rPr>
          <w:iCs/>
        </w:rPr>
        <w:t xml:space="preserve"> in October</w:t>
      </w:r>
      <w:r w:rsidRPr="000E610C">
        <w:rPr>
          <w:iCs/>
          <w:lang w:val="en"/>
        </w:rPr>
        <w:t xml:space="preserve"> had a trade surplus of 2.03 billion USD</w:t>
      </w:r>
      <w:r w:rsidRPr="000E610C">
        <w:rPr>
          <w:vertAlign w:val="superscript"/>
          <w:lang w:val="en"/>
        </w:rPr>
        <w:footnoteReference w:id="21"/>
      </w:r>
      <w:r w:rsidRPr="000E610C">
        <w:rPr>
          <w:iCs/>
          <w:lang w:val="en"/>
        </w:rPr>
        <w:t xml:space="preserve">; the ten-month trade surplus was 23.25 billion USD; and the preliminary trade surplus in November was 1.06 billion USD. </w:t>
      </w:r>
      <w:proofErr w:type="gramStart"/>
      <w:r w:rsidRPr="000E610C">
        <w:rPr>
          <w:iCs/>
          <w:lang w:val="en"/>
        </w:rPr>
        <w:t>Generally</w:t>
      </w:r>
      <w:proofErr w:type="gramEnd"/>
      <w:r w:rsidRPr="000E610C">
        <w:rPr>
          <w:iCs/>
          <w:lang w:val="en"/>
        </w:rPr>
        <w:t xml:space="preserve"> in eleven months of 2024, the preliminary trade balance of goods had a trade surplus of 24.31 billion USD (in the same period last year, the trade surplus of 26.2 billion USD). Of which, the domestic economic sector has a trade deficit of 22.17 billion USD; the FDI sector (including crude oil) had a trade surplus of 46.48 billion USD.</w:t>
      </w:r>
    </w:p>
    <w:p w14:paraId="08CAC75D" w14:textId="77777777" w:rsidR="00E86317" w:rsidRPr="00E86317" w:rsidRDefault="00E86317" w:rsidP="00E86317">
      <w:pPr>
        <w:spacing w:before="100" w:beforeAutospacing="1" w:after="120" w:afterAutospacing="1" w:line="264" w:lineRule="auto"/>
        <w:ind w:firstLine="720"/>
        <w:jc w:val="both"/>
        <w:rPr>
          <w:rFonts w:eastAsia="Calibri"/>
          <w:b/>
          <w:bCs/>
          <w:i/>
          <w:iCs/>
          <w:lang w:val="nl-NL" w:eastAsia="x-none"/>
        </w:rPr>
      </w:pPr>
      <w:r w:rsidRPr="00E86317">
        <w:rPr>
          <w:rFonts w:eastAsia="Calibri"/>
          <w:b/>
          <w:bCs/>
          <w:i/>
          <w:iCs/>
          <w:lang w:val="nl-NL" w:eastAsia="x-none"/>
        </w:rPr>
        <w:t>c) Consumer price index, gold price index and US dollar price index</w:t>
      </w:r>
    </w:p>
    <w:p w14:paraId="664EE62B" w14:textId="77777777" w:rsidR="00E86317" w:rsidRPr="00E86317" w:rsidRDefault="00E86317" w:rsidP="00E86317">
      <w:pPr>
        <w:spacing w:before="100" w:beforeAutospacing="1" w:after="120" w:afterAutospacing="1" w:line="264" w:lineRule="auto"/>
        <w:ind w:firstLine="720"/>
        <w:jc w:val="both"/>
        <w:rPr>
          <w:rFonts w:eastAsia="Calibri"/>
          <w:i/>
          <w:iCs/>
          <w:lang w:val="nl-NL" w:eastAsia="x-none"/>
        </w:rPr>
      </w:pPr>
      <w:r w:rsidRPr="00E86317">
        <w:rPr>
          <w:rFonts w:eastAsia="Calibri"/>
          <w:i/>
          <w:iCs/>
          <w:lang w:val="nl-NL" w:eastAsia="x-none"/>
        </w:rPr>
        <w:t xml:space="preserve">The increase in household electricity price index, rental housing price and housing maintenance materials are the main reasons why the consumer price </w:t>
      </w:r>
      <w:r w:rsidRPr="00E86317">
        <w:rPr>
          <w:rFonts w:eastAsia="Calibri"/>
          <w:i/>
          <w:iCs/>
          <w:lang w:val="nl-NL" w:eastAsia="x-none"/>
        </w:rPr>
        <w:lastRenderedPageBreak/>
        <w:t xml:space="preserve">index (CPI) in November 2024 increased by 0.13% compared to the previous month. Compared to December 2023, November CPI increased by 2.65% and compared to the same period last year increased by 2.77%. </w:t>
      </w:r>
    </w:p>
    <w:p w14:paraId="7BE0EB7A" w14:textId="77777777" w:rsidR="00E86317" w:rsidRPr="00E86317" w:rsidRDefault="00E86317" w:rsidP="00E86317">
      <w:pPr>
        <w:spacing w:before="100" w:beforeAutospacing="1" w:after="120" w:afterAutospacing="1" w:line="264" w:lineRule="auto"/>
        <w:ind w:firstLine="720"/>
        <w:jc w:val="both"/>
        <w:rPr>
          <w:rFonts w:eastAsia="Calibri"/>
          <w:i/>
          <w:iCs/>
          <w:lang w:val="nl-NL" w:eastAsia="x-none"/>
        </w:rPr>
      </w:pPr>
      <w:r w:rsidRPr="00E86317">
        <w:rPr>
          <w:rFonts w:eastAsia="Calibri"/>
          <w:i/>
          <w:iCs/>
          <w:lang w:val="nl-NL" w:eastAsia="x-none"/>
        </w:rPr>
        <w:t>On average in the eleven months of 2024, CPI increased by 3.69% over the same period last year; Core inflation increased by 2.7%.</w:t>
      </w:r>
    </w:p>
    <w:p w14:paraId="7EB6A665" w14:textId="77777777" w:rsidR="00E86317" w:rsidRPr="00E86317" w:rsidRDefault="00E86317" w:rsidP="00E86317">
      <w:pPr>
        <w:spacing w:after="120" w:line="264" w:lineRule="auto"/>
        <w:ind w:firstLine="720"/>
        <w:jc w:val="both"/>
        <w:rPr>
          <w:rFonts w:eastAsia="Calibri"/>
          <w:lang w:val="nl-NL" w:eastAsia="x-none"/>
        </w:rPr>
      </w:pPr>
      <w:r w:rsidRPr="00E86317">
        <w:rPr>
          <w:rFonts w:eastAsia="Calibri"/>
          <w:lang w:val="nl-NL" w:eastAsia="x-none"/>
        </w:rPr>
        <w:t>In the 0.13% increase in CPI in November 2024 compared to the previous month, there were 08 groups of goods and services with increased price indexes and 03 groups of goods with decreased price indexes.</w:t>
      </w:r>
    </w:p>
    <w:p w14:paraId="401A734B" w14:textId="77777777" w:rsidR="00E86317" w:rsidRPr="00E86317" w:rsidRDefault="00E86317" w:rsidP="00E86317">
      <w:pPr>
        <w:spacing w:after="120" w:line="264" w:lineRule="auto"/>
        <w:ind w:firstLine="720"/>
        <w:jc w:val="both"/>
        <w:rPr>
          <w:rFonts w:ascii="Arial" w:eastAsia="Calibri" w:hAnsi="Arial" w:cs="Arial"/>
          <w:b/>
          <w:bCs/>
          <w:iCs/>
          <w:sz w:val="24"/>
          <w:szCs w:val="24"/>
          <w:lang w:eastAsia="x-none"/>
        </w:rPr>
      </w:pPr>
      <w:r w:rsidRPr="00E86317">
        <w:rPr>
          <w:rFonts w:ascii="Arial" w:hAnsi="Arial" w:cs="Arial"/>
          <w:b/>
          <w:lang w:val="nl-NL"/>
        </w:rPr>
        <w:t xml:space="preserve">Figure 15. </w:t>
      </w:r>
      <w:r w:rsidRPr="00E86317">
        <w:rPr>
          <w:rFonts w:ascii="Arial" w:eastAsia="Calibri" w:hAnsi="Arial" w:cs="Arial"/>
          <w:b/>
          <w:bCs/>
          <w:iCs/>
          <w:sz w:val="24"/>
          <w:szCs w:val="24"/>
          <w:lang w:val="vi-VN" w:eastAsia="x-none"/>
        </w:rPr>
        <w:t xml:space="preserve">CPI growth rate in </w:t>
      </w:r>
      <w:r w:rsidRPr="00E86317">
        <w:rPr>
          <w:rFonts w:ascii="Arial" w:eastAsia="Calibri" w:hAnsi="Arial" w:cs="Arial"/>
          <w:b/>
          <w:bCs/>
          <w:iCs/>
          <w:sz w:val="24"/>
          <w:szCs w:val="24"/>
          <w:lang w:eastAsia="x-none"/>
        </w:rPr>
        <w:t>10/</w:t>
      </w:r>
      <w:r w:rsidRPr="00E86317">
        <w:rPr>
          <w:rFonts w:ascii="Arial" w:eastAsia="Calibri" w:hAnsi="Arial" w:cs="Arial"/>
          <w:b/>
          <w:bCs/>
          <w:iCs/>
          <w:sz w:val="24"/>
          <w:szCs w:val="24"/>
          <w:lang w:val="vi-VN" w:eastAsia="x-none"/>
        </w:rPr>
        <w:t>2024 compared to the previous month</w:t>
      </w:r>
    </w:p>
    <w:p w14:paraId="51C5CECD" w14:textId="77777777" w:rsidR="00E86317" w:rsidRPr="00E86317" w:rsidRDefault="00E86317" w:rsidP="00E86317">
      <w:pPr>
        <w:spacing w:after="120" w:line="264" w:lineRule="auto"/>
        <w:rPr>
          <w:rFonts w:ascii="Arial" w:eastAsia="Calibri" w:hAnsi="Arial" w:cs="Arial"/>
          <w:b/>
          <w:bCs/>
          <w:iCs/>
          <w:sz w:val="24"/>
          <w:szCs w:val="24"/>
          <w:lang w:eastAsia="x-none"/>
        </w:rPr>
      </w:pPr>
      <w:r w:rsidRPr="00E86317">
        <w:rPr>
          <w:noProof/>
          <w14:ligatures w14:val="standardContextual"/>
        </w:rPr>
        <w:drawing>
          <wp:inline distT="0" distB="0" distL="0" distR="0" wp14:anchorId="460D91A2" wp14:editId="1198CD65">
            <wp:extent cx="5972175" cy="3747135"/>
            <wp:effectExtent l="0" t="0" r="9525" b="5715"/>
            <wp:docPr id="1592943583"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C9B5E0C" w14:textId="77777777" w:rsidR="00E86317" w:rsidRPr="00E86317" w:rsidRDefault="00E86317" w:rsidP="00E86317">
      <w:pPr>
        <w:spacing w:before="60" w:after="20" w:line="252" w:lineRule="auto"/>
        <w:jc w:val="center"/>
        <w:rPr>
          <w:rFonts w:ascii="Arial" w:eastAsia="Calibri" w:hAnsi="Arial" w:cs="Arial"/>
          <w:b/>
          <w:sz w:val="24"/>
          <w:szCs w:val="24"/>
          <w:lang w:val="nl-NL" w:eastAsia="x-none"/>
        </w:rPr>
      </w:pPr>
    </w:p>
    <w:p w14:paraId="5F73C873" w14:textId="77777777" w:rsidR="00E86317" w:rsidRPr="00E86317" w:rsidRDefault="00E86317" w:rsidP="00E86317">
      <w:pPr>
        <w:tabs>
          <w:tab w:val="left" w:pos="993"/>
        </w:tabs>
        <w:spacing w:after="120" w:line="252" w:lineRule="auto"/>
        <w:ind w:firstLine="720"/>
        <w:jc w:val="both"/>
        <w:rPr>
          <w:rFonts w:eastAsia="Calibri"/>
          <w:lang w:val="es-NI" w:eastAsia="x-none"/>
        </w:rPr>
      </w:pPr>
      <w:r w:rsidRPr="00E86317">
        <w:rPr>
          <w:rFonts w:eastAsia="Calibri"/>
          <w:lang w:val="es-NI" w:eastAsia="x-none"/>
        </w:rPr>
        <w:t>(1) Eight groups of goods and services with increased price indexes include:</w:t>
      </w:r>
    </w:p>
    <w:p w14:paraId="77DDD8AA" w14:textId="77777777" w:rsidR="00E86317" w:rsidRPr="00E86317" w:rsidRDefault="00E86317" w:rsidP="00E86317">
      <w:pPr>
        <w:spacing w:after="120" w:line="252" w:lineRule="auto"/>
        <w:ind w:firstLine="720"/>
        <w:jc w:val="both"/>
        <w:rPr>
          <w:color w:val="000000"/>
          <w:lang w:val="nl-NL"/>
        </w:rPr>
      </w:pPr>
      <w:r w:rsidRPr="00E86317">
        <w:rPr>
          <w:i/>
          <w:iCs/>
          <w:color w:val="000000"/>
          <w:lang w:val="nl-NL"/>
        </w:rPr>
        <w:t>- The group of housing, electricity and water, fuel and construction materials</w:t>
      </w:r>
      <w:r w:rsidRPr="00E86317">
        <w:rPr>
          <w:color w:val="000000"/>
          <w:lang w:val="nl-NL"/>
        </w:rPr>
        <w:t xml:space="preserve"> increased the highest with an increase of 0.87%, mainly increasing in the following items: Kerosene prices increased by 3.57% compared to the previous month due to the effects of price adjustments during the month; Gas prices increase by 2.25% because from 01/11/2024, domestic gas prices are adjusted to increase according to world gas prices; Housing repair service prices increased by 0.62% due to increased demand at the end of the year; House rental prices increased by 0.45% due to high prices for buying and selling real estate and apartments; The price of housing maintenance materials increased by 0.28% due </w:t>
      </w:r>
      <w:r w:rsidRPr="00E86317">
        <w:rPr>
          <w:color w:val="000000"/>
          <w:lang w:val="nl-NL"/>
        </w:rPr>
        <w:lastRenderedPageBreak/>
        <w:t>to the increase in cement and steel prices in the context of increased electricity, coal and packaging prices; Domestic electricity prices increased by 2.03% compared to last month due to Vietnam Electricity Group (EVN) adjusting the average retail electricity price from October 11, 2024. In the opposite direction, domestic water prices decreased by 0.43% due to the transition to winter weather, so consumer demand decreased.</w:t>
      </w:r>
    </w:p>
    <w:p w14:paraId="14CDD963" w14:textId="77777777" w:rsidR="00E86317" w:rsidRPr="00E86317" w:rsidRDefault="00E86317" w:rsidP="00E86317">
      <w:pPr>
        <w:spacing w:after="120" w:line="252" w:lineRule="auto"/>
        <w:ind w:firstLine="720"/>
        <w:jc w:val="both"/>
        <w:rPr>
          <w:bCs/>
          <w:lang w:val="nl-NL"/>
        </w:rPr>
      </w:pPr>
      <w:r w:rsidRPr="00E86317">
        <w:rPr>
          <w:bCs/>
          <w:i/>
          <w:iCs/>
          <w:lang w:val="nl-NL"/>
        </w:rPr>
        <w:t>- Other goods and services</w:t>
      </w:r>
      <w:r w:rsidRPr="00E86317">
        <w:rPr>
          <w:bCs/>
          <w:lang w:val="nl-NL"/>
        </w:rPr>
        <w:t xml:space="preserve"> increased by 0.29%, of which: Jewelry prices increased by 2.35% according to domestic gold prices; watch repair increased by 0.12%; personal care services increased by 0.1%; Environmental sanitation services increased by 0.07%.</w:t>
      </w:r>
    </w:p>
    <w:p w14:paraId="38196689" w14:textId="77777777" w:rsidR="00E86317" w:rsidRPr="00E86317" w:rsidRDefault="00E86317" w:rsidP="00E86317">
      <w:pPr>
        <w:spacing w:after="120" w:line="252" w:lineRule="auto"/>
        <w:ind w:firstLine="720"/>
        <w:jc w:val="both"/>
        <w:rPr>
          <w:bCs/>
          <w:lang w:val="nl-NL"/>
        </w:rPr>
      </w:pPr>
      <w:r w:rsidRPr="00E86317">
        <w:rPr>
          <w:bCs/>
          <w:i/>
          <w:iCs/>
          <w:lang w:val="nl-NL"/>
        </w:rPr>
        <w:t>- The beverage and cigarette</w:t>
      </w:r>
      <w:r w:rsidRPr="00E86317">
        <w:rPr>
          <w:bCs/>
          <w:lang w:val="nl-NL"/>
        </w:rPr>
        <w:t xml:space="preserve"> </w:t>
      </w:r>
      <w:r w:rsidRPr="00E86317">
        <w:rPr>
          <w:bCs/>
          <w:i/>
          <w:iCs/>
          <w:lang w:val="nl-NL"/>
        </w:rPr>
        <w:t>group</w:t>
      </w:r>
      <w:r w:rsidRPr="00E86317">
        <w:rPr>
          <w:bCs/>
          <w:lang w:val="nl-NL"/>
        </w:rPr>
        <w:t xml:space="preserve"> increased by 0.26%, mainly due to the increase in raw material prices for beverage production and the US dollar exchange rate. Specifically: Fruit juice prices increased by 0.52%; carbonated beverages increased by 0.45%; mineral water increased by 0.42%; smoking increased by 0.33%; all kinds of alcohol increased by 0.29%; All kinds of beer increased by 0.1%.</w:t>
      </w:r>
    </w:p>
    <w:p w14:paraId="417F58C1" w14:textId="77777777" w:rsidR="00E86317" w:rsidRPr="00E86317" w:rsidRDefault="00E86317" w:rsidP="00E86317">
      <w:pPr>
        <w:spacing w:after="120" w:line="252" w:lineRule="auto"/>
        <w:ind w:firstLine="720"/>
        <w:jc w:val="both"/>
        <w:rPr>
          <w:lang w:val="nl-NL"/>
        </w:rPr>
      </w:pPr>
      <w:r w:rsidRPr="00E86317">
        <w:rPr>
          <w:i/>
          <w:iCs/>
          <w:lang w:val="nl-NL"/>
        </w:rPr>
        <w:t>- The garment, hat and footwear group</w:t>
      </w:r>
      <w:r w:rsidRPr="00E86317">
        <w:rPr>
          <w:lang w:val="nl-NL"/>
        </w:rPr>
        <w:t xml:space="preserve"> increased by 0.21% due to increased labor costs, material costs and shopping needs when the weather changes. In particular, the price of shoe and sandals services increased by 0.5%; fabrics of all kinds increased by 0.41%; Garment services increased by 0.27%; Ready-made clothes increased by 0.23%; Headwear increased by 0.22%.</w:t>
      </w:r>
    </w:p>
    <w:p w14:paraId="4D7CCCCA" w14:textId="77777777" w:rsidR="00E86317" w:rsidRPr="00E86317" w:rsidRDefault="00E86317" w:rsidP="00E86317">
      <w:pPr>
        <w:spacing w:after="120" w:line="252" w:lineRule="auto"/>
        <w:ind w:firstLine="720"/>
        <w:jc w:val="both"/>
        <w:rPr>
          <w:lang w:val="nl-NL"/>
        </w:rPr>
      </w:pPr>
      <w:r w:rsidRPr="00E86317">
        <w:rPr>
          <w:i/>
          <w:iCs/>
          <w:lang w:val="nl-NL"/>
        </w:rPr>
        <w:t>- Culture, entertainment and tourism</w:t>
      </w:r>
      <w:r w:rsidRPr="00E86317">
        <w:rPr>
          <w:lang w:val="nl-NL"/>
        </w:rPr>
        <w:t xml:space="preserve"> </w:t>
      </w:r>
      <w:r w:rsidRPr="00E86317">
        <w:rPr>
          <w:i/>
          <w:iCs/>
          <w:lang w:val="nl-NL"/>
        </w:rPr>
        <w:t>group</w:t>
      </w:r>
      <w:r w:rsidRPr="00E86317">
        <w:rPr>
          <w:lang w:val="nl-NL"/>
        </w:rPr>
        <w:t xml:space="preserve"> increased by 0.2%, focusing mainly on items such as newspapers of all kinds, increasing by 0.66%; watching movies and music increased by 0.47%; ornamental plants and flowers increased by 0.41%; Sports services increased by 0.29%; Children's toys increased by 0.18%.</w:t>
      </w:r>
    </w:p>
    <w:p w14:paraId="47C931B5" w14:textId="77777777" w:rsidR="00E86317" w:rsidRPr="00E86317" w:rsidRDefault="00E86317" w:rsidP="00E86317">
      <w:pPr>
        <w:spacing w:after="120" w:line="252" w:lineRule="auto"/>
        <w:ind w:firstLine="720"/>
        <w:jc w:val="both"/>
        <w:rPr>
          <w:rFonts w:eastAsia="Calibri"/>
          <w:lang w:val="nl-NL" w:eastAsia="x-none"/>
        </w:rPr>
      </w:pPr>
      <w:r w:rsidRPr="00E86317">
        <w:rPr>
          <w:rFonts w:eastAsia="Calibri"/>
          <w:i/>
          <w:iCs/>
          <w:lang w:val="nl-NL" w:eastAsia="x-none"/>
        </w:rPr>
        <w:t>- The education group</w:t>
      </w:r>
      <w:r w:rsidRPr="00E86317">
        <w:rPr>
          <w:rFonts w:eastAsia="Calibri"/>
          <w:lang w:val="nl-NL" w:eastAsia="x-none"/>
        </w:rPr>
        <w:t xml:space="preserve"> increased by 0.11%, of which the price of educational services increased by 0.11% due to some private preschools, colleges, vocational schools, intermediate schools, universities, and postgraduate schools increasing tuition. In addition, Thai Nguyen and Dong Thap have tuition exemption and reduction policies to support people. In addition, the price of paper products increased by 0.28%; Prices of stationery and other school supplies increased by 0.23%; Pen prices increased by 0.18%.</w:t>
      </w:r>
    </w:p>
    <w:p w14:paraId="0C84BBCF" w14:textId="77777777" w:rsidR="00E86317" w:rsidRPr="00E86317" w:rsidRDefault="00E86317" w:rsidP="00E86317">
      <w:pPr>
        <w:spacing w:after="120" w:line="252" w:lineRule="auto"/>
        <w:ind w:firstLine="720"/>
        <w:jc w:val="both"/>
        <w:rPr>
          <w:bCs/>
          <w:lang w:val="nl-NL"/>
        </w:rPr>
      </w:pPr>
      <w:r w:rsidRPr="00E86317">
        <w:rPr>
          <w:bCs/>
          <w:i/>
          <w:iCs/>
          <w:lang w:val="nl-NL"/>
        </w:rPr>
        <w:t>- Household appliances and equipment group</w:t>
      </w:r>
      <w:r w:rsidRPr="00E86317">
        <w:rPr>
          <w:bCs/>
          <w:lang w:val="nl-NL"/>
        </w:rPr>
        <w:t xml:space="preserve"> increased by 0.08% due to increased consumer demand during the wedding season and the weather turning to winter. Of which, prices of plastic and rubber products increased by 0.51%; Rent of household appliances increased by 0.49%; gas stove increased by 0.32%; Other electrical appliances and beds, cabinets, tables and chairs all increased by 0.29%; Bathroom water heaters and kitchen equipment both increased by 0.23%; home appliance repair services increased by 0.18%; electrical voltage stabilizer </w:t>
      </w:r>
      <w:r w:rsidRPr="00E86317">
        <w:rPr>
          <w:bCs/>
          <w:lang w:val="nl-NL"/>
        </w:rPr>
        <w:lastRenderedPageBreak/>
        <w:t>increased by 0.14%; Waiter hiring increased by 0.11%; home textiles increased by 0.1%; Glass, porcelain, and porcelain products increased by 0.18%.</w:t>
      </w:r>
    </w:p>
    <w:p w14:paraId="5B259983" w14:textId="77777777" w:rsidR="00E86317" w:rsidRPr="00E86317" w:rsidRDefault="00E86317" w:rsidP="00E86317">
      <w:pPr>
        <w:spacing w:after="120" w:line="252" w:lineRule="auto"/>
        <w:ind w:firstLine="720"/>
        <w:jc w:val="both"/>
        <w:rPr>
          <w:rFonts w:eastAsia="Calibri"/>
          <w:bCs/>
          <w:lang w:val="nl-NL" w:eastAsia="x-none"/>
        </w:rPr>
      </w:pPr>
      <w:r w:rsidRPr="00E86317">
        <w:rPr>
          <w:rFonts w:eastAsia="Calibri"/>
          <w:bCs/>
          <w:i/>
          <w:iCs/>
          <w:lang w:val="nl-NL" w:eastAsia="x-none"/>
        </w:rPr>
        <w:t>- Medicines and health care services group</w:t>
      </w:r>
      <w:r w:rsidRPr="00E86317">
        <w:rPr>
          <w:rFonts w:eastAsia="Calibri"/>
          <w:bCs/>
          <w:lang w:val="nl-NL" w:eastAsia="x-none"/>
        </w:rPr>
        <w:t xml:space="preserve"> increased by 0.05% due to seasonal changes, flu and respiratory diseases increased, leading to increased demand for pain relievers, fever reducers, respiratory tract drugs, vitamins and minerals. quality of the people increases. Of which, pain relievers and antipyretics increased by 0.27%; Gastrointestinal drugs increased by 0.12%; Cardiovascular drugs and vitamin and mineral drugs both increased by 0.07%.</w:t>
      </w:r>
    </w:p>
    <w:p w14:paraId="4C7F21F6" w14:textId="77777777" w:rsidR="00E86317" w:rsidRPr="00E86317" w:rsidRDefault="00E86317" w:rsidP="00E86317">
      <w:pPr>
        <w:tabs>
          <w:tab w:val="left" w:pos="993"/>
        </w:tabs>
        <w:spacing w:after="120" w:line="252" w:lineRule="auto"/>
        <w:ind w:firstLine="720"/>
        <w:jc w:val="both"/>
        <w:rPr>
          <w:rFonts w:eastAsia="Calibri"/>
          <w:lang w:val="es-NI" w:eastAsia="x-none"/>
        </w:rPr>
      </w:pPr>
      <w:r w:rsidRPr="00E86317">
        <w:rPr>
          <w:rFonts w:eastAsia="Calibri"/>
          <w:lang w:val="es-NI" w:eastAsia="x-none"/>
        </w:rPr>
        <w:t>(2) Three groups of goods and services with decreasing price index include:</w:t>
      </w:r>
    </w:p>
    <w:p w14:paraId="4446BF5F" w14:textId="77777777" w:rsidR="00E86317" w:rsidRPr="00E86317" w:rsidRDefault="00E86317" w:rsidP="00E86317">
      <w:pPr>
        <w:spacing w:after="120" w:line="252" w:lineRule="auto"/>
        <w:ind w:firstLine="720"/>
        <w:jc w:val="both"/>
        <w:rPr>
          <w:rFonts w:eastAsia="Calibri"/>
          <w:lang w:val="nl-NL" w:eastAsia="x-none"/>
        </w:rPr>
      </w:pPr>
      <w:r w:rsidRPr="00E86317">
        <w:rPr>
          <w:rFonts w:eastAsia="Calibri"/>
          <w:i/>
          <w:iCs/>
          <w:lang w:val="nl-NL" w:eastAsia="x-none"/>
        </w:rPr>
        <w:t>- Transportation group</w:t>
      </w:r>
      <w:r w:rsidRPr="00E86317">
        <w:rPr>
          <w:rFonts w:eastAsia="Calibri"/>
          <w:lang w:val="nl-NL" w:eastAsia="x-none"/>
        </w:rPr>
        <w:t xml:space="preserve"> decreased by 0.07% due to: Passenger transport prices by air decreased by 11.04%; Passenger transport by rail decreased by 4.1% due to reduced demand from people; Gasoline prices decreased by 0.14% compared to last month; Used car prices decreased by 0.13%; New car prices decreased by 0.04%. In addition, there were a number of commodity price increases: Diesel oil price increased by 2.96% due to the impact of price adjustments during the month; Lubricant prices increased by 0.1%; Motorcycle repair prices increased by 1.03% compared to the previous month; bicycle repair increased by 0.55%; Other motorbike spare parts increased by 0.27%; Motorcycle tires and tubes increased by 0.25%; motorbikes increased by 0.24%; Bicycle tires and tubes increased by 0.21%; Other bicycle accessories increased by 0.15%; bicycles increased by 0.14%.</w:t>
      </w:r>
    </w:p>
    <w:p w14:paraId="692873A7" w14:textId="77777777" w:rsidR="00E86317" w:rsidRPr="00E86317" w:rsidRDefault="00E86317" w:rsidP="00E86317">
      <w:pPr>
        <w:spacing w:after="120" w:line="252" w:lineRule="auto"/>
        <w:ind w:firstLine="720"/>
        <w:jc w:val="both"/>
        <w:rPr>
          <w:rFonts w:eastAsia="Calibri"/>
          <w:iCs/>
          <w:lang w:val="x-none" w:eastAsia="x-none"/>
        </w:rPr>
      </w:pPr>
      <w:r w:rsidRPr="00E86317">
        <w:rPr>
          <w:rFonts w:eastAsia="Calibri"/>
          <w:i/>
          <w:lang w:val="x-none" w:eastAsia="x-none"/>
        </w:rPr>
        <w:t>- The food and foodstuff service group</w:t>
      </w:r>
      <w:r w:rsidRPr="00E86317">
        <w:rPr>
          <w:rFonts w:eastAsia="Calibri"/>
          <w:iCs/>
          <w:lang w:val="x-none" w:eastAsia="x-none"/>
        </w:rPr>
        <w:t xml:space="preserve"> decreased by 0.22%, of which: Food</w:t>
      </w:r>
      <w:r w:rsidRPr="00E86317">
        <w:rPr>
          <w:rFonts w:eastAsia="Calibri"/>
          <w:iCs/>
          <w:vertAlign w:val="superscript"/>
          <w:lang w:val="x-none" w:eastAsia="x-none"/>
        </w:rPr>
        <w:footnoteReference w:id="22"/>
      </w:r>
      <w:r w:rsidRPr="00E86317">
        <w:rPr>
          <w:rFonts w:eastAsia="Calibri"/>
          <w:iCs/>
          <w:lang w:val="x-none" w:eastAsia="x-none"/>
        </w:rPr>
        <w:t xml:space="preserve">  group price index increased by 0.33%; food decreased by 0.5%</w:t>
      </w:r>
      <w:r w:rsidRPr="00E86317">
        <w:rPr>
          <w:rFonts w:eastAsia="Calibri"/>
          <w:iCs/>
          <w:vertAlign w:val="superscript"/>
          <w:lang w:val="x-none" w:eastAsia="x-none"/>
        </w:rPr>
        <w:footnoteReference w:id="23"/>
      </w:r>
      <w:r w:rsidRPr="00E86317">
        <w:rPr>
          <w:rFonts w:eastAsia="Calibri"/>
          <w:iCs/>
          <w:lang w:val="x-none" w:eastAsia="x-none"/>
        </w:rPr>
        <w:t xml:space="preserve"> (contributing to CPI decreasing by 0.1 percentage point); The group eating out at home</w:t>
      </w:r>
      <w:r w:rsidRPr="00E86317">
        <w:rPr>
          <w:rFonts w:eastAsia="Calibri"/>
          <w:iCs/>
          <w:vertAlign w:val="superscript"/>
          <w:lang w:val="x-none" w:eastAsia="x-none"/>
        </w:rPr>
        <w:footnoteReference w:id="24"/>
      </w:r>
      <w:r w:rsidRPr="00E86317">
        <w:rPr>
          <w:rFonts w:eastAsia="Calibri"/>
          <w:iCs/>
          <w:lang w:val="x-none" w:eastAsia="x-none"/>
        </w:rPr>
        <w:t xml:space="preserve"> increased by 0.26%.</w:t>
      </w:r>
    </w:p>
    <w:p w14:paraId="4FE9CD32" w14:textId="77777777" w:rsidR="00E86317" w:rsidRPr="00E86317" w:rsidRDefault="00E86317" w:rsidP="00E86317">
      <w:pPr>
        <w:spacing w:after="120" w:line="252" w:lineRule="auto"/>
        <w:ind w:firstLine="720"/>
        <w:jc w:val="both"/>
        <w:rPr>
          <w:rFonts w:eastAsia="Calibri"/>
          <w:bCs/>
          <w:lang w:val="nl-NL" w:eastAsia="x-none"/>
        </w:rPr>
      </w:pPr>
      <w:r w:rsidRPr="00E86317">
        <w:rPr>
          <w:rFonts w:eastAsia="Calibri"/>
          <w:bCs/>
          <w:i/>
          <w:iCs/>
          <w:lang w:val="nl-NL" w:eastAsia="x-none"/>
        </w:rPr>
        <w:t>- Postal and telecommunications group</w:t>
      </w:r>
      <w:r w:rsidRPr="00E86317">
        <w:rPr>
          <w:rFonts w:eastAsia="Calibri"/>
          <w:bCs/>
          <w:lang w:val="nl-NL" w:eastAsia="x-none"/>
        </w:rPr>
        <w:t xml:space="preserve"> decreased by 0.3%, of which: Price of regular mobile phones decreased by 0.99%; prices of smart mobile phones and tablets decreased by 0.46%; landline phone prices decreased by 0.04%; smartphone and tablet accessories decreased by 0.03%. On the contrary, phone repair prices increased by 0.47% due to increased labor costs.</w:t>
      </w:r>
    </w:p>
    <w:p w14:paraId="5771D6D9" w14:textId="77777777" w:rsidR="00E86317" w:rsidRPr="00E86317" w:rsidRDefault="00E86317" w:rsidP="00E86317">
      <w:pPr>
        <w:spacing w:after="120" w:line="252" w:lineRule="auto"/>
        <w:ind w:firstLine="720"/>
        <w:jc w:val="both"/>
        <w:rPr>
          <w:rFonts w:eastAsia="Calibri"/>
          <w:color w:val="000000"/>
          <w:lang w:val="pl-PL" w:eastAsia="x-none"/>
        </w:rPr>
      </w:pPr>
      <w:r w:rsidRPr="00E86317">
        <w:rPr>
          <w:rFonts w:eastAsia="Calibri"/>
          <w:i/>
          <w:iCs/>
          <w:color w:val="000000"/>
          <w:lang w:val="pl-PL" w:eastAsia="x-none"/>
        </w:rPr>
        <w:lastRenderedPageBreak/>
        <w:t>Core inflation</w:t>
      </w:r>
      <w:r w:rsidRPr="00E86317">
        <w:rPr>
          <w:rFonts w:eastAsia="Calibri"/>
          <w:sz w:val="24"/>
          <w:szCs w:val="24"/>
          <w:vertAlign w:val="superscript"/>
          <w:lang w:val="x-none" w:eastAsia="x-none"/>
        </w:rPr>
        <w:footnoteReference w:id="25"/>
      </w:r>
      <w:r w:rsidRPr="00E86317">
        <w:rPr>
          <w:rFonts w:eastAsia="Calibri"/>
          <w:color w:val="000000"/>
          <w:lang w:val="pl-PL" w:eastAsia="x-none"/>
        </w:rPr>
        <w:t xml:space="preserve"> in November 2024 increased by 0.24% over the previous month and increased by 2.77% over the same period last year.</w:t>
      </w:r>
    </w:p>
    <w:p w14:paraId="454C1AF3" w14:textId="77777777" w:rsidR="00E86317" w:rsidRPr="00E86317" w:rsidRDefault="00E86317" w:rsidP="00E86317">
      <w:pPr>
        <w:spacing w:after="120" w:line="252" w:lineRule="auto"/>
        <w:ind w:firstLine="720"/>
        <w:jc w:val="both"/>
        <w:rPr>
          <w:rFonts w:eastAsia="Calibri"/>
          <w:color w:val="000000"/>
          <w:lang w:eastAsia="x-none"/>
        </w:rPr>
      </w:pPr>
      <w:r w:rsidRPr="00E86317">
        <w:rPr>
          <w:rFonts w:eastAsia="Calibri"/>
          <w:color w:val="000000"/>
          <w:lang w:val="vi-VN" w:eastAsia="x-none"/>
        </w:rPr>
        <w:t>On average in the eleven months of 2024, core inflation will increase by 2.7% over the same period in 2023, lower than the general average CPI increase (3.69%), mainly due to food and electricity prices. Living expenses, educational services, and medical services are factors that increase CPI but belong to the group of goods that are excluded from the list of basic inflation calculations.</w:t>
      </w:r>
    </w:p>
    <w:p w14:paraId="13B2A722" w14:textId="77777777" w:rsidR="00E86317" w:rsidRPr="00E86317" w:rsidRDefault="00E86317" w:rsidP="00E86317">
      <w:pPr>
        <w:spacing w:after="120" w:line="252" w:lineRule="auto"/>
        <w:ind w:firstLine="720"/>
        <w:jc w:val="both"/>
        <w:rPr>
          <w:rFonts w:eastAsia="Calibri"/>
          <w:color w:val="000000"/>
          <w:lang w:val="de-DE" w:eastAsia="x-none"/>
        </w:rPr>
      </w:pPr>
      <w:r w:rsidRPr="00E86317">
        <w:rPr>
          <w:rFonts w:eastAsia="Calibri"/>
          <w:color w:val="000000"/>
          <w:lang w:val="de-DE" w:eastAsia="x-none"/>
        </w:rPr>
        <w:t>Domestic gold prices fluctuate in the same direction as world gold prices. As of 27/11/2024, the average world gold price is at 2,696.8 USD/ounce, an increase of 0.12% compared to October 2024. In early November 2024, world gold prices decreased significantly after Republican candidate Donald Trump won the US presidential election because investors adjusted their portfolios and waited for economic policies. new from the President-elect. However, this decrease only lasted for a short time, gold prices quickly recovered in the following weeks due to factors such as geopolitical tensions and expectations of interest rate reduction from the US Federal Reserve. (FED).</w:t>
      </w:r>
    </w:p>
    <w:p w14:paraId="47C2886F" w14:textId="77777777" w:rsidR="00E86317" w:rsidRPr="00E86317" w:rsidRDefault="00E86317" w:rsidP="00E86317">
      <w:pPr>
        <w:spacing w:after="120" w:line="252" w:lineRule="auto"/>
        <w:ind w:firstLine="720"/>
        <w:jc w:val="both"/>
        <w:rPr>
          <w:color w:val="000000"/>
          <w:lang w:val="de-DE"/>
        </w:rPr>
      </w:pPr>
      <w:r w:rsidRPr="00E86317">
        <w:rPr>
          <w:color w:val="000000"/>
          <w:lang w:val="de-DE"/>
        </w:rPr>
        <w:t>Domestically, the gold price index in November 2024 increased by 2.26% compared to the previous month; increased by 32.91% compared to December 2023 and increased by 38.2% compared to the same period last year; On average in the eleven months of 2024, the gold price index increased by 28.42%.</w:t>
      </w:r>
    </w:p>
    <w:p w14:paraId="0CF8F64D" w14:textId="77777777" w:rsidR="00E86317" w:rsidRPr="00E86317" w:rsidRDefault="00E86317" w:rsidP="00E86317">
      <w:pPr>
        <w:jc w:val="both"/>
      </w:pPr>
      <w:r w:rsidRPr="00E86317">
        <w:tab/>
        <w:t>As of 27/11/2024, the US dollar price index on the international market reached 105.47 points, up 2.52% over the previous month due to expectations about the FED's monetary policy and data. The positive US economy, along with escalating geopolitical tensions in some countries, has increased demand for the USD as a safe asset. Domestically, the average US dollar price on the free market fluctuates around 25,483 VND/USD. The US dollar price index in November 2024 increased by 1.76% compared to the previous month; an increase of 4.22% compared to December 2023 and an increase of 3.63% compared to the same period last year; The average increase in the eleven months of 2024 is 4.97%.</w:t>
      </w:r>
    </w:p>
    <w:p w14:paraId="38EF46EF" w14:textId="77777777" w:rsidR="00114A48" w:rsidRPr="0058653F" w:rsidRDefault="00114A48" w:rsidP="00114A48">
      <w:pPr>
        <w:spacing w:after="40" w:line="276" w:lineRule="auto"/>
        <w:ind w:firstLine="567"/>
        <w:jc w:val="both"/>
        <w:rPr>
          <w:bCs/>
          <w:i/>
          <w:lang w:val="it-IT"/>
        </w:rPr>
      </w:pPr>
      <w:r w:rsidRPr="0058653F">
        <w:rPr>
          <w:b/>
          <w:bCs/>
          <w:i/>
          <w:iCs/>
          <w:lang w:val="nl-NL"/>
        </w:rPr>
        <w:t xml:space="preserve">d) </w:t>
      </w:r>
      <w:r w:rsidRPr="0058653F">
        <w:rPr>
          <w:b/>
          <w:bCs/>
          <w:i/>
          <w:iCs/>
          <w:lang w:val="fr-FR"/>
        </w:rPr>
        <w:t>Transport</w:t>
      </w:r>
      <w:r w:rsidRPr="0058653F">
        <w:rPr>
          <w:bCs/>
          <w:i/>
          <w:lang w:val="it-IT"/>
        </w:rPr>
        <w:t xml:space="preserve"> </w:t>
      </w:r>
    </w:p>
    <w:p w14:paraId="747BCD99" w14:textId="77777777" w:rsidR="00E86317" w:rsidRPr="00E86317" w:rsidRDefault="00E86317" w:rsidP="00E86317">
      <w:pPr>
        <w:spacing w:beforeLines="40" w:before="96" w:afterLines="40" w:after="96" w:line="264" w:lineRule="auto"/>
        <w:ind w:firstLine="567"/>
        <w:jc w:val="both"/>
        <w:rPr>
          <w:rFonts w:ascii="Times New Roman Italic" w:eastAsia="Calibri" w:hAnsi="Times New Roman Italic"/>
          <w:bCs/>
          <w:i/>
          <w:kern w:val="2"/>
          <w14:ligatures w14:val="standardContextual"/>
        </w:rPr>
      </w:pPr>
      <w:r w:rsidRPr="00E86317">
        <w:rPr>
          <w:rFonts w:ascii="Times New Roman Italic" w:eastAsia="Calibri" w:hAnsi="Times New Roman Italic"/>
          <w:bCs/>
          <w:i/>
          <w:kern w:val="2"/>
          <w:lang w:val="en"/>
          <w14:ligatures w14:val="standardContextual"/>
        </w:rPr>
        <w:t>Transport activities in November grew positively, meeting the travel needs of domestic people as well as international visitors to Vietnam, serving increased production, consumption, and import and export in the last months of the year</w:t>
      </w:r>
      <w:r w:rsidRPr="00E86317">
        <w:rPr>
          <w:rFonts w:ascii="Times New Roman Italic" w:eastAsia="Calibri" w:hAnsi="Times New Roman Italic"/>
          <w:bCs/>
          <w:i/>
          <w:kern w:val="2"/>
          <w:lang w:val="it-IT"/>
          <w14:ligatures w14:val="standardContextual"/>
        </w:rPr>
        <w:t xml:space="preserve">. Compared to the same period last year, passenger transport </w:t>
      </w:r>
      <w:r w:rsidRPr="00E86317">
        <w:rPr>
          <w:i/>
          <w:lang w:val="pl-PL"/>
        </w:rPr>
        <w:t xml:space="preserve">in 11/2024 </w:t>
      </w:r>
      <w:r w:rsidRPr="00E86317">
        <w:rPr>
          <w:rFonts w:ascii="Times New Roman Italic" w:eastAsia="Calibri" w:hAnsi="Times New Roman Italic"/>
          <w:bCs/>
          <w:i/>
          <w:kern w:val="2"/>
          <w:lang w:val="it-IT"/>
          <w14:ligatures w14:val="standardContextual"/>
        </w:rPr>
        <w:t>increased by 10.4% of passenger carried and increased by 12.0% of  passenger traffic; freight transport increased by 13.5% of  freight carried and up 14.4% of freight traffic.</w:t>
      </w:r>
    </w:p>
    <w:p w14:paraId="4C8B5B2C" w14:textId="77777777" w:rsidR="00E86317" w:rsidRPr="00E86317" w:rsidRDefault="00E86317" w:rsidP="00E86317">
      <w:pPr>
        <w:spacing w:beforeLines="40" w:before="96" w:afterLines="40" w:after="96" w:line="264" w:lineRule="auto"/>
        <w:ind w:firstLine="567"/>
        <w:jc w:val="both"/>
        <w:rPr>
          <w:rFonts w:ascii="Times New Roman Italic" w:eastAsia="Calibri" w:hAnsi="Times New Roman Italic"/>
          <w:bCs/>
          <w:i/>
          <w:kern w:val="2"/>
          <w:lang w:val="it-IT"/>
          <w14:ligatures w14:val="standardContextual"/>
        </w:rPr>
      </w:pPr>
      <w:r w:rsidRPr="00E86317">
        <w:rPr>
          <w:rFonts w:ascii="Times New Roman Italic" w:eastAsia="Calibri" w:hAnsi="Times New Roman Italic"/>
          <w:bCs/>
          <w:i/>
          <w:kern w:val="2"/>
          <w:lang w:val="it-IT"/>
          <w14:ligatures w14:val="standardContextual"/>
        </w:rPr>
        <w:lastRenderedPageBreak/>
        <w:t xml:space="preserve">Overall, in eleven months  of 2024, passenger carried increased by 8.2% and passenger traffic up 11.6% over the same period last year; freight carried increased by 14.1% and freight traffic up 11.5%. </w:t>
      </w:r>
    </w:p>
    <w:p w14:paraId="193572BD" w14:textId="77777777" w:rsidR="00E86317" w:rsidRPr="00E86317" w:rsidRDefault="00E86317" w:rsidP="00E86317">
      <w:pPr>
        <w:tabs>
          <w:tab w:val="left" w:pos="567"/>
        </w:tabs>
        <w:spacing w:beforeLines="40" w:before="96" w:afterLines="40" w:after="96" w:line="276" w:lineRule="auto"/>
        <w:ind w:firstLine="567"/>
        <w:jc w:val="both"/>
        <w:rPr>
          <w:lang w:val="pl-PL"/>
        </w:rPr>
      </w:pPr>
      <w:r w:rsidRPr="00E86317">
        <w:rPr>
          <w:i/>
          <w:lang w:val="pl-PL"/>
        </w:rPr>
        <w:t>Passenger transport</w:t>
      </w:r>
      <w:r w:rsidRPr="00E86317">
        <w:rPr>
          <w:lang w:val="pl-PL"/>
        </w:rPr>
        <w:t xml:space="preserve"> in 11/2024 was estimated at </w:t>
      </w:r>
      <w:r w:rsidRPr="00E86317">
        <w:rPr>
          <w:lang w:val="nl-NL"/>
        </w:rPr>
        <w:t xml:space="preserve">464.7 </w:t>
      </w:r>
      <w:r w:rsidRPr="00E86317">
        <w:rPr>
          <w:lang w:val="pl-PL"/>
        </w:rPr>
        <w:t xml:space="preserve">million passengers, increased by 2.5% and passenger traffic was </w:t>
      </w:r>
      <w:r w:rsidRPr="00E86317">
        <w:rPr>
          <w:lang w:val="nl-NL"/>
        </w:rPr>
        <w:t xml:space="preserve">23.8 </w:t>
      </w:r>
      <w:r w:rsidRPr="00E86317">
        <w:rPr>
          <w:lang w:val="pl-PL"/>
        </w:rPr>
        <w:t xml:space="preserve">billion passengers-kilometers, increased by 3.5% over the previous month. In eleven months of 2024, passenger carried was estimated at </w:t>
      </w:r>
      <w:r w:rsidRPr="00E86317">
        <w:rPr>
          <w:lang w:val="nl-NL"/>
        </w:rPr>
        <w:t xml:space="preserve">4,596.7 </w:t>
      </w:r>
      <w:r w:rsidRPr="00E86317">
        <w:rPr>
          <w:lang w:val="pl-PL"/>
        </w:rPr>
        <w:t xml:space="preserve">million passengers, up </w:t>
      </w:r>
      <w:r w:rsidRPr="00E86317">
        <w:rPr>
          <w:lang w:val="nl-NL"/>
        </w:rPr>
        <w:t>8.2</w:t>
      </w:r>
      <w:r w:rsidRPr="00E86317">
        <w:rPr>
          <w:lang w:val="pl-PL"/>
        </w:rPr>
        <w:t xml:space="preserve">% over the same period last year and passenger traffic was </w:t>
      </w:r>
      <w:r w:rsidRPr="00E86317">
        <w:rPr>
          <w:lang w:val="nl-NL"/>
        </w:rPr>
        <w:t xml:space="preserve">250.9 </w:t>
      </w:r>
      <w:r w:rsidRPr="00E86317">
        <w:rPr>
          <w:lang w:val="pl-PL"/>
        </w:rPr>
        <w:t xml:space="preserve">billion passengers.km, increased by </w:t>
      </w:r>
      <w:r w:rsidRPr="00E86317">
        <w:rPr>
          <w:lang w:val="nl-NL"/>
        </w:rPr>
        <w:t>11.6</w:t>
      </w:r>
      <w:r w:rsidRPr="00E86317">
        <w:rPr>
          <w:lang w:val="pl-PL"/>
        </w:rPr>
        <w:t>%. Of which, domestic transport reached 4,578.4</w:t>
      </w:r>
      <w:r w:rsidRPr="00E86317">
        <w:rPr>
          <w:lang w:val="nl-NL"/>
        </w:rPr>
        <w:t xml:space="preserve"> </w:t>
      </w:r>
      <w:r w:rsidRPr="00E86317">
        <w:rPr>
          <w:lang w:val="pl-PL"/>
        </w:rPr>
        <w:t xml:space="preserve">million passengers, up </w:t>
      </w:r>
      <w:r w:rsidRPr="00E86317">
        <w:rPr>
          <w:lang w:val="nl-NL"/>
        </w:rPr>
        <w:t>8.1</w:t>
      </w:r>
      <w:r w:rsidRPr="00E86317">
        <w:rPr>
          <w:lang w:val="pl-PL"/>
        </w:rPr>
        <w:t xml:space="preserve">% over the same period last year and </w:t>
      </w:r>
      <w:r w:rsidRPr="00E86317">
        <w:rPr>
          <w:lang w:val="nl-NL"/>
        </w:rPr>
        <w:t xml:space="preserve">203.6 </w:t>
      </w:r>
      <w:r w:rsidRPr="00E86317">
        <w:rPr>
          <w:lang w:val="pl-PL"/>
        </w:rPr>
        <w:t xml:space="preserve">billion passengers-kilometers, up </w:t>
      </w:r>
      <w:r w:rsidRPr="00E86317">
        <w:rPr>
          <w:lang w:val="nl-NL"/>
        </w:rPr>
        <w:t>11.4</w:t>
      </w:r>
      <w:r w:rsidRPr="00E86317">
        <w:rPr>
          <w:lang w:val="pl-PL"/>
        </w:rPr>
        <w:t xml:space="preserve">%; overseas transport reached </w:t>
      </w:r>
      <w:r w:rsidRPr="00E86317">
        <w:rPr>
          <w:lang w:val="nl-NL"/>
        </w:rPr>
        <w:t xml:space="preserve">18.3 </w:t>
      </w:r>
      <w:r w:rsidRPr="00E86317">
        <w:rPr>
          <w:lang w:val="pl-PL"/>
        </w:rPr>
        <w:t xml:space="preserve">million passengers, increased by 29.6% and </w:t>
      </w:r>
      <w:r w:rsidRPr="00E86317">
        <w:rPr>
          <w:lang w:val="nl-NL"/>
        </w:rPr>
        <w:t xml:space="preserve">47.3 </w:t>
      </w:r>
      <w:r w:rsidRPr="00E86317">
        <w:rPr>
          <w:lang w:val="pl-PL"/>
        </w:rPr>
        <w:t xml:space="preserve">billion passengers-kilometers, </w:t>
      </w:r>
      <w:r w:rsidRPr="00E86317">
        <w:rPr>
          <w:lang w:val="nl-NL"/>
        </w:rPr>
        <w:t>up 12.7% compared to</w:t>
      </w:r>
      <w:r w:rsidRPr="00E86317">
        <w:rPr>
          <w:lang w:val="pl-PL"/>
        </w:rPr>
        <w:t xml:space="preserve"> the same period last year. </w:t>
      </w:r>
    </w:p>
    <w:p w14:paraId="327F88A3" w14:textId="77777777" w:rsidR="00E86317" w:rsidRPr="00E86317" w:rsidRDefault="00E86317" w:rsidP="00E86317">
      <w:pPr>
        <w:spacing w:beforeLines="40" w:before="96" w:afterLines="40" w:after="96" w:line="264" w:lineRule="auto"/>
        <w:jc w:val="center"/>
        <w:rPr>
          <w:rFonts w:ascii="Arial" w:hAnsi="Arial" w:cs="Arial"/>
          <w:b/>
          <w:bCs/>
          <w:sz w:val="24"/>
          <w:szCs w:val="24"/>
        </w:rPr>
      </w:pPr>
      <w:r w:rsidRPr="00E86317">
        <w:rPr>
          <w:rFonts w:ascii="Arial" w:hAnsi="Arial" w:cs="Arial"/>
          <w:b/>
          <w:bCs/>
          <w:iCs/>
          <w:sz w:val="24"/>
          <w:szCs w:val="24"/>
        </w:rPr>
        <w:t xml:space="preserve">Table </w:t>
      </w:r>
      <w:proofErr w:type="gramStart"/>
      <w:r w:rsidRPr="00E86317">
        <w:rPr>
          <w:rFonts w:ascii="Arial" w:hAnsi="Arial" w:cs="Arial"/>
          <w:b/>
          <w:bCs/>
          <w:iCs/>
          <w:sz w:val="24"/>
          <w:szCs w:val="24"/>
        </w:rPr>
        <w:t>6</w:t>
      </w:r>
      <w:r w:rsidRPr="00E86317">
        <w:rPr>
          <w:rFonts w:ascii="Arial" w:hAnsi="Arial" w:cs="Arial" w:hint="eastAsia"/>
          <w:b/>
          <w:bCs/>
          <w:iCs/>
          <w:sz w:val="24"/>
          <w:szCs w:val="24"/>
        </w:rPr>
        <w:t> </w:t>
      </w:r>
      <w:r w:rsidRPr="00E86317">
        <w:rPr>
          <w:rFonts w:ascii="Arial" w:hAnsi="Arial" w:cs="Arial"/>
          <w:b/>
          <w:bCs/>
          <w:iCs/>
          <w:sz w:val="24"/>
          <w:szCs w:val="24"/>
        </w:rPr>
        <w:t>:</w:t>
      </w:r>
      <w:proofErr w:type="gramEnd"/>
      <w:r w:rsidRPr="00E86317">
        <w:rPr>
          <w:rFonts w:ascii="Arial" w:hAnsi="Arial" w:cs="Arial"/>
          <w:b/>
          <w:bCs/>
          <w:iCs/>
          <w:sz w:val="24"/>
          <w:szCs w:val="24"/>
        </w:rPr>
        <w:t xml:space="preserve"> Passengers transport in 11 months of 2024 </w:t>
      </w:r>
      <w:r w:rsidRPr="00E86317">
        <w:rPr>
          <w:rFonts w:ascii="Arial" w:hAnsi="Arial" w:cs="Arial"/>
          <w:b/>
          <w:bCs/>
          <w:iCs/>
          <w:sz w:val="24"/>
          <w:szCs w:val="24"/>
        </w:rPr>
        <w:br/>
      </w:r>
      <w:r w:rsidRPr="00E86317">
        <w:rPr>
          <w:rFonts w:ascii="Arial" w:hAnsi="Arial" w:cs="Arial"/>
          <w:b/>
          <w:bCs/>
          <w:sz w:val="24"/>
          <w:szCs w:val="24"/>
        </w:rPr>
        <w:t>by types of transport</w:t>
      </w:r>
    </w:p>
    <w:tbl>
      <w:tblPr>
        <w:tblW w:w="9236" w:type="dxa"/>
        <w:jc w:val="center"/>
        <w:tblBorders>
          <w:top w:val="single" w:sz="4" w:space="0" w:color="auto"/>
        </w:tblBorders>
        <w:tblLook w:val="04A0" w:firstRow="1" w:lastRow="0" w:firstColumn="1" w:lastColumn="0" w:noHBand="0" w:noVBand="1"/>
      </w:tblPr>
      <w:tblGrid>
        <w:gridCol w:w="1887"/>
        <w:gridCol w:w="1886"/>
        <w:gridCol w:w="2394"/>
        <w:gridCol w:w="1666"/>
        <w:gridCol w:w="1403"/>
      </w:tblGrid>
      <w:tr w:rsidR="00E86317" w:rsidRPr="00E86317" w14:paraId="75D009EE" w14:textId="77777777" w:rsidTr="002F4D0B">
        <w:trPr>
          <w:trHeight w:val="378"/>
          <w:jc w:val="center"/>
        </w:trPr>
        <w:tc>
          <w:tcPr>
            <w:tcW w:w="1887" w:type="dxa"/>
            <w:vAlign w:val="center"/>
            <w:hideMark/>
          </w:tcPr>
          <w:p w14:paraId="61A9B618" w14:textId="77777777" w:rsidR="00E86317" w:rsidRPr="00E86317" w:rsidRDefault="00E86317" w:rsidP="00E86317">
            <w:pPr>
              <w:spacing w:before="40" w:after="40"/>
              <w:ind w:firstLine="567"/>
              <w:rPr>
                <w:rFonts w:ascii="Times New Roman Bold" w:hAnsi="Times New Roman Bold"/>
                <w:b/>
                <w:bCs/>
              </w:rPr>
            </w:pPr>
          </w:p>
        </w:tc>
        <w:tc>
          <w:tcPr>
            <w:tcW w:w="4280" w:type="dxa"/>
            <w:gridSpan w:val="2"/>
            <w:tcBorders>
              <w:top w:val="single" w:sz="4" w:space="0" w:color="auto"/>
              <w:bottom w:val="single" w:sz="4" w:space="0" w:color="auto"/>
            </w:tcBorders>
            <w:vAlign w:val="center"/>
            <w:hideMark/>
          </w:tcPr>
          <w:p w14:paraId="46BBB19A" w14:textId="77777777" w:rsidR="00E86317" w:rsidRPr="00E86317" w:rsidRDefault="00E86317" w:rsidP="00E86317">
            <w:pPr>
              <w:spacing w:before="40" w:after="40"/>
              <w:ind w:firstLine="205"/>
              <w:jc w:val="center"/>
              <w:rPr>
                <w:rFonts w:ascii="Arial" w:hAnsi="Arial" w:cs="Arial"/>
                <w:sz w:val="20"/>
                <w:szCs w:val="20"/>
                <w:lang w:eastAsia="vi-VN"/>
              </w:rPr>
            </w:pPr>
            <w:r w:rsidRPr="00E86317">
              <w:rPr>
                <w:rFonts w:ascii="Arial" w:hAnsi="Arial" w:cs="Arial"/>
                <w:iCs/>
                <w:sz w:val="20"/>
                <w:szCs w:val="20"/>
                <w:lang w:eastAsia="vi-VN"/>
              </w:rPr>
              <w:t>Number of passengers</w:t>
            </w:r>
          </w:p>
        </w:tc>
        <w:tc>
          <w:tcPr>
            <w:tcW w:w="3069" w:type="dxa"/>
            <w:gridSpan w:val="2"/>
            <w:tcBorders>
              <w:top w:val="single" w:sz="4" w:space="0" w:color="auto"/>
              <w:bottom w:val="single" w:sz="4" w:space="0" w:color="auto"/>
            </w:tcBorders>
            <w:vAlign w:val="center"/>
            <w:hideMark/>
          </w:tcPr>
          <w:p w14:paraId="29993697" w14:textId="77777777" w:rsidR="00E86317" w:rsidRPr="00E86317" w:rsidRDefault="00E86317" w:rsidP="00E86317">
            <w:pPr>
              <w:spacing w:before="40" w:after="40"/>
              <w:ind w:firstLine="77"/>
              <w:jc w:val="center"/>
              <w:rPr>
                <w:rFonts w:ascii="Arial" w:hAnsi="Arial" w:cs="Arial"/>
                <w:color w:val="000000"/>
                <w:sz w:val="20"/>
                <w:szCs w:val="20"/>
                <w:lang w:eastAsia="vi-VN"/>
              </w:rPr>
            </w:pPr>
            <w:r w:rsidRPr="00E86317">
              <w:rPr>
                <w:rFonts w:ascii="Arial" w:hAnsi="Arial" w:cs="Arial"/>
                <w:color w:val="000000"/>
                <w:sz w:val="20"/>
                <w:szCs w:val="20"/>
                <w:lang w:eastAsia="vi-VN"/>
              </w:rPr>
              <w:t>Growth rate compared to the same period last year (%)</w:t>
            </w:r>
          </w:p>
        </w:tc>
      </w:tr>
      <w:tr w:rsidR="00E86317" w:rsidRPr="00E86317" w14:paraId="40CB82F1" w14:textId="77777777" w:rsidTr="002F4D0B">
        <w:trPr>
          <w:trHeight w:val="376"/>
          <w:jc w:val="center"/>
        </w:trPr>
        <w:tc>
          <w:tcPr>
            <w:tcW w:w="1887" w:type="dxa"/>
            <w:vAlign w:val="center"/>
            <w:hideMark/>
          </w:tcPr>
          <w:p w14:paraId="4919EFD0" w14:textId="77777777" w:rsidR="00E86317" w:rsidRPr="00E86317" w:rsidRDefault="00E86317" w:rsidP="00E86317">
            <w:pPr>
              <w:spacing w:before="40" w:after="40"/>
              <w:ind w:firstLine="567"/>
              <w:rPr>
                <w:rFonts w:ascii="Arial" w:hAnsi="Arial" w:cs="Arial"/>
                <w:color w:val="000000"/>
                <w:sz w:val="20"/>
                <w:szCs w:val="20"/>
                <w:lang w:eastAsia="vi-VN"/>
              </w:rPr>
            </w:pPr>
          </w:p>
        </w:tc>
        <w:tc>
          <w:tcPr>
            <w:tcW w:w="1886" w:type="dxa"/>
            <w:tcBorders>
              <w:top w:val="single" w:sz="4" w:space="0" w:color="auto"/>
              <w:bottom w:val="single" w:sz="4" w:space="0" w:color="auto"/>
            </w:tcBorders>
            <w:vAlign w:val="center"/>
            <w:hideMark/>
          </w:tcPr>
          <w:p w14:paraId="0311DE40" w14:textId="77777777" w:rsidR="00E86317" w:rsidRPr="00E86317" w:rsidRDefault="00E86317" w:rsidP="00E86317">
            <w:pPr>
              <w:spacing w:before="40" w:after="40"/>
              <w:jc w:val="center"/>
              <w:rPr>
                <w:rFonts w:ascii="Arial" w:hAnsi="Arial" w:cs="Arial"/>
                <w:sz w:val="20"/>
                <w:szCs w:val="20"/>
                <w:lang w:eastAsia="vi-VN"/>
              </w:rPr>
            </w:pPr>
            <w:r w:rsidRPr="00E86317">
              <w:rPr>
                <w:rFonts w:ascii="Arial" w:hAnsi="Arial" w:cs="Arial"/>
                <w:sz w:val="20"/>
                <w:szCs w:val="20"/>
                <w:lang w:eastAsia="vi-VN"/>
              </w:rPr>
              <w:t>Carried</w:t>
            </w:r>
            <w:r w:rsidRPr="00E86317">
              <w:rPr>
                <w:rFonts w:ascii="Arial" w:hAnsi="Arial" w:cs="Arial"/>
                <w:sz w:val="20"/>
                <w:szCs w:val="20"/>
                <w:lang w:eastAsia="vi-VN"/>
              </w:rPr>
              <w:br/>
              <w:t>(Mill. passengers)</w:t>
            </w:r>
          </w:p>
        </w:tc>
        <w:tc>
          <w:tcPr>
            <w:tcW w:w="2394" w:type="dxa"/>
            <w:tcBorders>
              <w:top w:val="single" w:sz="4" w:space="0" w:color="auto"/>
              <w:bottom w:val="single" w:sz="4" w:space="0" w:color="auto"/>
            </w:tcBorders>
            <w:vAlign w:val="center"/>
            <w:hideMark/>
          </w:tcPr>
          <w:p w14:paraId="5F87EF00" w14:textId="77777777" w:rsidR="00E86317" w:rsidRPr="00E86317" w:rsidRDefault="00E86317" w:rsidP="00E86317">
            <w:pPr>
              <w:spacing w:before="40" w:after="40"/>
              <w:ind w:hanging="214"/>
              <w:jc w:val="center"/>
              <w:rPr>
                <w:rFonts w:ascii="Arial" w:hAnsi="Arial" w:cs="Arial"/>
                <w:sz w:val="20"/>
                <w:szCs w:val="20"/>
                <w:lang w:eastAsia="vi-VN"/>
              </w:rPr>
            </w:pPr>
            <w:r w:rsidRPr="00E86317">
              <w:rPr>
                <w:rFonts w:ascii="Arial" w:hAnsi="Arial" w:cs="Arial"/>
                <w:sz w:val="20"/>
                <w:szCs w:val="20"/>
                <w:lang w:eastAsia="vi-VN"/>
              </w:rPr>
              <w:t>Traffic</w:t>
            </w:r>
            <w:r w:rsidRPr="00E86317">
              <w:rPr>
                <w:rFonts w:ascii="Arial" w:hAnsi="Arial" w:cs="Arial"/>
                <w:sz w:val="20"/>
                <w:szCs w:val="20"/>
                <w:lang w:eastAsia="vi-VN"/>
              </w:rPr>
              <w:br/>
              <w:t>(Bill. passengers-km)</w:t>
            </w:r>
          </w:p>
        </w:tc>
        <w:tc>
          <w:tcPr>
            <w:tcW w:w="1666" w:type="dxa"/>
            <w:tcBorders>
              <w:top w:val="single" w:sz="4" w:space="0" w:color="auto"/>
              <w:bottom w:val="single" w:sz="4" w:space="0" w:color="auto"/>
            </w:tcBorders>
            <w:vAlign w:val="center"/>
            <w:hideMark/>
          </w:tcPr>
          <w:p w14:paraId="7CE8C437" w14:textId="77777777" w:rsidR="00E86317" w:rsidRPr="00E86317" w:rsidRDefault="00E86317" w:rsidP="00E86317">
            <w:pPr>
              <w:spacing w:before="40" w:after="40"/>
              <w:jc w:val="center"/>
              <w:rPr>
                <w:rFonts w:ascii="Arial" w:hAnsi="Arial" w:cs="Arial"/>
                <w:sz w:val="20"/>
                <w:szCs w:val="20"/>
                <w:lang w:eastAsia="vi-VN"/>
              </w:rPr>
            </w:pPr>
            <w:bookmarkStart w:id="7" w:name="_Hlk116907733"/>
            <w:r w:rsidRPr="00E86317">
              <w:rPr>
                <w:rFonts w:ascii="Arial" w:hAnsi="Arial" w:cs="Arial"/>
                <w:sz w:val="20"/>
                <w:szCs w:val="20"/>
                <w:lang w:eastAsia="vi-VN"/>
              </w:rPr>
              <w:t>Carried</w:t>
            </w:r>
            <w:bookmarkEnd w:id="7"/>
          </w:p>
        </w:tc>
        <w:tc>
          <w:tcPr>
            <w:tcW w:w="1403" w:type="dxa"/>
            <w:tcBorders>
              <w:top w:val="single" w:sz="4" w:space="0" w:color="auto"/>
              <w:bottom w:val="single" w:sz="4" w:space="0" w:color="auto"/>
            </w:tcBorders>
            <w:vAlign w:val="center"/>
            <w:hideMark/>
          </w:tcPr>
          <w:p w14:paraId="08BC746F" w14:textId="77777777" w:rsidR="00E86317" w:rsidRPr="00E86317" w:rsidRDefault="00E86317" w:rsidP="00E86317">
            <w:pPr>
              <w:spacing w:before="40" w:after="40"/>
              <w:ind w:hanging="138"/>
              <w:jc w:val="center"/>
              <w:rPr>
                <w:rFonts w:ascii="Arial" w:hAnsi="Arial" w:cs="Arial"/>
                <w:sz w:val="20"/>
                <w:szCs w:val="20"/>
                <w:lang w:eastAsia="vi-VN"/>
              </w:rPr>
            </w:pPr>
            <w:r w:rsidRPr="00E86317">
              <w:rPr>
                <w:rFonts w:ascii="Arial" w:hAnsi="Arial" w:cs="Arial"/>
                <w:sz w:val="20"/>
                <w:szCs w:val="20"/>
                <w:lang w:eastAsia="vi-VN"/>
              </w:rPr>
              <w:t>Traffic</w:t>
            </w:r>
          </w:p>
        </w:tc>
      </w:tr>
      <w:tr w:rsidR="00E86317" w:rsidRPr="00E86317" w14:paraId="1E0D101C" w14:textId="77777777" w:rsidTr="002F4D0B">
        <w:trPr>
          <w:trHeight w:val="250"/>
          <w:jc w:val="center"/>
        </w:trPr>
        <w:tc>
          <w:tcPr>
            <w:tcW w:w="1887" w:type="dxa"/>
            <w:noWrap/>
            <w:vAlign w:val="center"/>
            <w:hideMark/>
          </w:tcPr>
          <w:p w14:paraId="5A6B2F5E" w14:textId="77777777" w:rsidR="00E86317" w:rsidRPr="00E86317" w:rsidRDefault="00E86317" w:rsidP="00E86317">
            <w:pPr>
              <w:spacing w:before="100" w:after="40"/>
              <w:ind w:firstLine="142"/>
              <w:jc w:val="both"/>
              <w:rPr>
                <w:rFonts w:ascii="Arial" w:hAnsi="Arial" w:cs="Arial"/>
                <w:b/>
                <w:bCs/>
                <w:sz w:val="20"/>
                <w:szCs w:val="20"/>
                <w:lang w:eastAsia="vi-VN"/>
              </w:rPr>
            </w:pPr>
            <w:r w:rsidRPr="00E86317">
              <w:rPr>
                <w:rFonts w:ascii="Arial" w:hAnsi="Arial" w:cs="Arial"/>
                <w:b/>
                <w:bCs/>
                <w:sz w:val="20"/>
                <w:szCs w:val="20"/>
                <w:lang w:eastAsia="vi-VN"/>
              </w:rPr>
              <w:t>Total</w:t>
            </w:r>
          </w:p>
        </w:tc>
        <w:tc>
          <w:tcPr>
            <w:tcW w:w="1886" w:type="dxa"/>
            <w:tcBorders>
              <w:top w:val="single" w:sz="4" w:space="0" w:color="auto"/>
            </w:tcBorders>
            <w:shd w:val="clear" w:color="auto" w:fill="auto"/>
            <w:noWrap/>
            <w:vAlign w:val="center"/>
            <w:hideMark/>
          </w:tcPr>
          <w:p w14:paraId="5D04FE7E" w14:textId="77777777" w:rsidR="00E86317" w:rsidRPr="00E86317" w:rsidRDefault="00E86317" w:rsidP="00E86317">
            <w:pPr>
              <w:spacing w:before="40" w:after="40" w:line="257" w:lineRule="auto"/>
              <w:ind w:right="502"/>
              <w:jc w:val="right"/>
              <w:rPr>
                <w:rFonts w:ascii="Arial" w:hAnsi="Arial" w:cs="Arial"/>
                <w:b/>
                <w:bCs/>
                <w:sz w:val="20"/>
                <w:szCs w:val="20"/>
                <w14:ligatures w14:val="standardContextual"/>
              </w:rPr>
            </w:pPr>
            <w:r w:rsidRPr="00E86317">
              <w:rPr>
                <w:rFonts w:ascii="Arial" w:hAnsi="Arial" w:cs="Arial"/>
                <w:b/>
                <w:bCs/>
                <w:color w:val="000000"/>
                <w:kern w:val="2"/>
                <w:sz w:val="20"/>
                <w:szCs w:val="20"/>
                <w14:ligatures w14:val="standardContextual"/>
              </w:rPr>
              <w:t>4,596.7</w:t>
            </w:r>
          </w:p>
        </w:tc>
        <w:tc>
          <w:tcPr>
            <w:tcW w:w="2394" w:type="dxa"/>
            <w:tcBorders>
              <w:top w:val="single" w:sz="4" w:space="0" w:color="auto"/>
            </w:tcBorders>
            <w:shd w:val="clear" w:color="auto" w:fill="auto"/>
            <w:noWrap/>
            <w:vAlign w:val="center"/>
            <w:hideMark/>
          </w:tcPr>
          <w:p w14:paraId="23A3FD58" w14:textId="77777777" w:rsidR="00E86317" w:rsidRPr="00E86317" w:rsidRDefault="00E86317" w:rsidP="00E86317">
            <w:pPr>
              <w:spacing w:before="40" w:after="40" w:line="257" w:lineRule="auto"/>
              <w:ind w:right="957"/>
              <w:jc w:val="right"/>
              <w:rPr>
                <w:rFonts w:ascii="Arial" w:hAnsi="Arial" w:cs="Arial"/>
                <w:b/>
                <w:bCs/>
                <w:sz w:val="20"/>
                <w:szCs w:val="20"/>
                <w14:ligatures w14:val="standardContextual"/>
              </w:rPr>
            </w:pPr>
            <w:r w:rsidRPr="00E86317">
              <w:rPr>
                <w:rFonts w:ascii="Arial" w:hAnsi="Arial" w:cs="Arial"/>
                <w:b/>
                <w:bCs/>
                <w:color w:val="000000"/>
                <w:kern w:val="2"/>
                <w:sz w:val="20"/>
                <w:szCs w:val="20"/>
                <w14:ligatures w14:val="standardContextual"/>
              </w:rPr>
              <w:t>250.9</w:t>
            </w:r>
          </w:p>
        </w:tc>
        <w:tc>
          <w:tcPr>
            <w:tcW w:w="1666" w:type="dxa"/>
            <w:tcBorders>
              <w:top w:val="single" w:sz="4" w:space="0" w:color="auto"/>
            </w:tcBorders>
            <w:shd w:val="clear" w:color="auto" w:fill="auto"/>
            <w:noWrap/>
            <w:vAlign w:val="center"/>
            <w:hideMark/>
          </w:tcPr>
          <w:p w14:paraId="653ADD14" w14:textId="77777777" w:rsidR="00E86317" w:rsidRPr="00E86317" w:rsidRDefault="00E86317" w:rsidP="00E86317">
            <w:pPr>
              <w:spacing w:before="40" w:after="40" w:line="257" w:lineRule="auto"/>
              <w:ind w:right="502"/>
              <w:jc w:val="right"/>
              <w:rPr>
                <w:rFonts w:ascii="Arial" w:hAnsi="Arial" w:cs="Arial"/>
                <w:b/>
                <w:bCs/>
                <w:sz w:val="20"/>
                <w:szCs w:val="20"/>
                <w14:ligatures w14:val="standardContextual"/>
              </w:rPr>
            </w:pPr>
            <w:r w:rsidRPr="00E86317">
              <w:rPr>
                <w:rFonts w:ascii="Arial" w:hAnsi="Arial" w:cs="Arial"/>
                <w:b/>
                <w:bCs/>
                <w:color w:val="000000"/>
                <w:kern w:val="2"/>
                <w:sz w:val="20"/>
                <w:szCs w:val="20"/>
                <w14:ligatures w14:val="standardContextual"/>
              </w:rPr>
              <w:t>8.2</w:t>
            </w:r>
          </w:p>
        </w:tc>
        <w:tc>
          <w:tcPr>
            <w:tcW w:w="1403" w:type="dxa"/>
            <w:tcBorders>
              <w:top w:val="single" w:sz="4" w:space="0" w:color="auto"/>
            </w:tcBorders>
            <w:shd w:val="clear" w:color="auto" w:fill="auto"/>
            <w:noWrap/>
            <w:vAlign w:val="center"/>
            <w:hideMark/>
          </w:tcPr>
          <w:p w14:paraId="1E402661" w14:textId="77777777" w:rsidR="00E86317" w:rsidRPr="00E86317" w:rsidRDefault="00E86317" w:rsidP="00E86317">
            <w:pPr>
              <w:spacing w:before="40" w:after="40" w:line="257" w:lineRule="auto"/>
              <w:ind w:right="502"/>
              <w:jc w:val="right"/>
              <w:rPr>
                <w:rFonts w:ascii="Arial" w:hAnsi="Arial" w:cs="Arial"/>
                <w:b/>
                <w:bCs/>
                <w:sz w:val="20"/>
                <w:szCs w:val="20"/>
                <w14:ligatures w14:val="standardContextual"/>
              </w:rPr>
            </w:pPr>
            <w:r w:rsidRPr="00E86317">
              <w:rPr>
                <w:rFonts w:ascii="Arial" w:hAnsi="Arial" w:cs="Arial"/>
                <w:b/>
                <w:bCs/>
                <w:color w:val="000000"/>
                <w:kern w:val="2"/>
                <w:sz w:val="20"/>
                <w:szCs w:val="20"/>
                <w14:ligatures w14:val="standardContextual"/>
              </w:rPr>
              <w:t>11.6</w:t>
            </w:r>
          </w:p>
        </w:tc>
      </w:tr>
      <w:tr w:rsidR="00E86317" w:rsidRPr="00E86317" w14:paraId="3A031F71" w14:textId="77777777" w:rsidTr="002F4D0B">
        <w:trPr>
          <w:trHeight w:val="212"/>
          <w:jc w:val="center"/>
        </w:trPr>
        <w:tc>
          <w:tcPr>
            <w:tcW w:w="1887" w:type="dxa"/>
            <w:noWrap/>
            <w:vAlign w:val="center"/>
            <w:hideMark/>
          </w:tcPr>
          <w:p w14:paraId="762FD6D6" w14:textId="77777777" w:rsidR="00E86317" w:rsidRPr="00E86317" w:rsidRDefault="00E86317" w:rsidP="00E86317">
            <w:pPr>
              <w:tabs>
                <w:tab w:val="left" w:pos="407"/>
              </w:tabs>
              <w:spacing w:before="40" w:after="40"/>
              <w:ind w:firstLine="142"/>
              <w:jc w:val="both"/>
              <w:rPr>
                <w:rFonts w:ascii="Arial" w:hAnsi="Arial" w:cs="Arial"/>
                <w:sz w:val="20"/>
                <w:szCs w:val="20"/>
                <w:lang w:eastAsia="vi-VN"/>
              </w:rPr>
            </w:pPr>
            <w:proofErr w:type="gramStart"/>
            <w:r w:rsidRPr="00E86317">
              <w:rPr>
                <w:rFonts w:ascii="Arial" w:hAnsi="Arial" w:cs="Arial"/>
                <w:sz w:val="20"/>
                <w:szCs w:val="20"/>
                <w:lang w:eastAsia="vi-VN"/>
              </w:rPr>
              <w:t>Rail way</w:t>
            </w:r>
            <w:proofErr w:type="gramEnd"/>
          </w:p>
        </w:tc>
        <w:tc>
          <w:tcPr>
            <w:tcW w:w="1886" w:type="dxa"/>
            <w:shd w:val="clear" w:color="auto" w:fill="auto"/>
            <w:noWrap/>
            <w:vAlign w:val="center"/>
            <w:hideMark/>
          </w:tcPr>
          <w:p w14:paraId="2451D9B0" w14:textId="77777777" w:rsidR="00E86317" w:rsidRPr="00E86317" w:rsidRDefault="00E86317" w:rsidP="00E86317">
            <w:pPr>
              <w:spacing w:before="40" w:after="40" w:line="257" w:lineRule="auto"/>
              <w:ind w:right="502"/>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6.6</w:t>
            </w:r>
          </w:p>
        </w:tc>
        <w:tc>
          <w:tcPr>
            <w:tcW w:w="2394" w:type="dxa"/>
            <w:shd w:val="clear" w:color="auto" w:fill="auto"/>
            <w:noWrap/>
            <w:vAlign w:val="center"/>
            <w:hideMark/>
          </w:tcPr>
          <w:p w14:paraId="7318F7D8" w14:textId="77777777" w:rsidR="00E86317" w:rsidRPr="00E86317" w:rsidRDefault="00E86317" w:rsidP="00E86317">
            <w:pPr>
              <w:spacing w:before="40" w:after="40" w:line="257" w:lineRule="auto"/>
              <w:ind w:right="957"/>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2.5</w:t>
            </w:r>
          </w:p>
        </w:tc>
        <w:tc>
          <w:tcPr>
            <w:tcW w:w="1666" w:type="dxa"/>
            <w:shd w:val="clear" w:color="auto" w:fill="auto"/>
            <w:noWrap/>
            <w:vAlign w:val="center"/>
            <w:hideMark/>
          </w:tcPr>
          <w:p w14:paraId="1FE9218A" w14:textId="77777777" w:rsidR="00E86317" w:rsidRPr="00E86317" w:rsidRDefault="00E86317" w:rsidP="00E86317">
            <w:pPr>
              <w:spacing w:before="40" w:after="40" w:line="257" w:lineRule="auto"/>
              <w:ind w:right="502"/>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17.3</w:t>
            </w:r>
          </w:p>
        </w:tc>
        <w:tc>
          <w:tcPr>
            <w:tcW w:w="1403" w:type="dxa"/>
            <w:shd w:val="clear" w:color="auto" w:fill="auto"/>
            <w:noWrap/>
            <w:vAlign w:val="center"/>
            <w:hideMark/>
          </w:tcPr>
          <w:p w14:paraId="4DB87F94" w14:textId="77777777" w:rsidR="00E86317" w:rsidRPr="00E86317" w:rsidRDefault="00E86317" w:rsidP="00E86317">
            <w:pPr>
              <w:spacing w:before="40" w:after="40" w:line="257" w:lineRule="auto"/>
              <w:ind w:right="502"/>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22.0</w:t>
            </w:r>
          </w:p>
        </w:tc>
      </w:tr>
      <w:tr w:rsidR="00E86317" w:rsidRPr="00E86317" w14:paraId="6C334A5E" w14:textId="77777777" w:rsidTr="002F4D0B">
        <w:trPr>
          <w:trHeight w:val="212"/>
          <w:jc w:val="center"/>
        </w:trPr>
        <w:tc>
          <w:tcPr>
            <w:tcW w:w="1887" w:type="dxa"/>
            <w:noWrap/>
            <w:vAlign w:val="center"/>
            <w:hideMark/>
          </w:tcPr>
          <w:p w14:paraId="24DA0141" w14:textId="77777777" w:rsidR="00E86317" w:rsidRPr="00E86317" w:rsidRDefault="00E86317" w:rsidP="00E86317">
            <w:pPr>
              <w:tabs>
                <w:tab w:val="left" w:pos="407"/>
              </w:tabs>
              <w:spacing w:before="40" w:after="40"/>
              <w:ind w:firstLine="142"/>
              <w:jc w:val="both"/>
              <w:rPr>
                <w:rFonts w:ascii="Arial" w:hAnsi="Arial" w:cs="Arial"/>
                <w:sz w:val="20"/>
                <w:szCs w:val="20"/>
                <w:lang w:eastAsia="vi-VN"/>
              </w:rPr>
            </w:pPr>
            <w:r w:rsidRPr="00E86317">
              <w:rPr>
                <w:rFonts w:ascii="Arial" w:hAnsi="Arial" w:cs="Arial"/>
                <w:sz w:val="20"/>
                <w:szCs w:val="20"/>
                <w:lang w:eastAsia="vi-VN"/>
              </w:rPr>
              <w:t>Sea way</w:t>
            </w:r>
          </w:p>
        </w:tc>
        <w:tc>
          <w:tcPr>
            <w:tcW w:w="1886" w:type="dxa"/>
            <w:shd w:val="clear" w:color="auto" w:fill="auto"/>
            <w:noWrap/>
            <w:vAlign w:val="center"/>
            <w:hideMark/>
          </w:tcPr>
          <w:p w14:paraId="5A6ECDDD" w14:textId="77777777" w:rsidR="00E86317" w:rsidRPr="00E86317" w:rsidRDefault="00E86317" w:rsidP="00E86317">
            <w:pPr>
              <w:spacing w:before="40" w:after="40" w:line="257" w:lineRule="auto"/>
              <w:ind w:right="502"/>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11.1</w:t>
            </w:r>
          </w:p>
        </w:tc>
        <w:tc>
          <w:tcPr>
            <w:tcW w:w="2394" w:type="dxa"/>
            <w:shd w:val="clear" w:color="auto" w:fill="auto"/>
            <w:noWrap/>
            <w:vAlign w:val="center"/>
            <w:hideMark/>
          </w:tcPr>
          <w:p w14:paraId="67DC7A6A" w14:textId="77777777" w:rsidR="00E86317" w:rsidRPr="00E86317" w:rsidRDefault="00E86317" w:rsidP="00E86317">
            <w:pPr>
              <w:spacing w:before="40" w:after="40" w:line="257" w:lineRule="auto"/>
              <w:ind w:right="957"/>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0.8</w:t>
            </w:r>
          </w:p>
        </w:tc>
        <w:tc>
          <w:tcPr>
            <w:tcW w:w="1666" w:type="dxa"/>
            <w:shd w:val="clear" w:color="auto" w:fill="auto"/>
            <w:noWrap/>
            <w:vAlign w:val="center"/>
            <w:hideMark/>
          </w:tcPr>
          <w:p w14:paraId="10511A43" w14:textId="77777777" w:rsidR="00E86317" w:rsidRPr="00E86317" w:rsidRDefault="00E86317" w:rsidP="00E86317">
            <w:pPr>
              <w:spacing w:before="40" w:after="40" w:line="257" w:lineRule="auto"/>
              <w:ind w:right="502"/>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6.2</w:t>
            </w:r>
          </w:p>
        </w:tc>
        <w:tc>
          <w:tcPr>
            <w:tcW w:w="1403" w:type="dxa"/>
            <w:shd w:val="clear" w:color="auto" w:fill="auto"/>
            <w:noWrap/>
            <w:vAlign w:val="center"/>
            <w:hideMark/>
          </w:tcPr>
          <w:p w14:paraId="12694972" w14:textId="77777777" w:rsidR="00E86317" w:rsidRPr="00E86317" w:rsidRDefault="00E86317" w:rsidP="00E86317">
            <w:pPr>
              <w:spacing w:before="40" w:after="40" w:line="257" w:lineRule="auto"/>
              <w:ind w:right="502"/>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12.6</w:t>
            </w:r>
          </w:p>
        </w:tc>
      </w:tr>
      <w:tr w:rsidR="00E86317" w:rsidRPr="00E86317" w14:paraId="5DF14767" w14:textId="77777777" w:rsidTr="002F4D0B">
        <w:trPr>
          <w:trHeight w:val="212"/>
          <w:jc w:val="center"/>
        </w:trPr>
        <w:tc>
          <w:tcPr>
            <w:tcW w:w="1887" w:type="dxa"/>
            <w:noWrap/>
            <w:vAlign w:val="center"/>
            <w:hideMark/>
          </w:tcPr>
          <w:p w14:paraId="06B8DB95" w14:textId="77777777" w:rsidR="00E86317" w:rsidRPr="00E86317" w:rsidRDefault="00E86317" w:rsidP="00E86317">
            <w:pPr>
              <w:tabs>
                <w:tab w:val="left" w:pos="407"/>
              </w:tabs>
              <w:spacing w:before="40" w:after="40"/>
              <w:ind w:firstLine="142"/>
              <w:jc w:val="both"/>
              <w:rPr>
                <w:rFonts w:ascii="Arial" w:hAnsi="Arial" w:cs="Arial"/>
                <w:sz w:val="20"/>
                <w:szCs w:val="20"/>
                <w:lang w:eastAsia="vi-VN"/>
              </w:rPr>
            </w:pPr>
            <w:r w:rsidRPr="00E86317">
              <w:rPr>
                <w:rFonts w:ascii="Arial" w:hAnsi="Arial" w:cs="Arial"/>
                <w:sz w:val="20"/>
                <w:szCs w:val="20"/>
                <w:lang w:eastAsia="vi-VN"/>
              </w:rPr>
              <w:t>Inland water way</w:t>
            </w:r>
          </w:p>
        </w:tc>
        <w:tc>
          <w:tcPr>
            <w:tcW w:w="1886" w:type="dxa"/>
            <w:shd w:val="clear" w:color="auto" w:fill="auto"/>
            <w:noWrap/>
            <w:vAlign w:val="center"/>
            <w:hideMark/>
          </w:tcPr>
          <w:p w14:paraId="7CCC981A" w14:textId="77777777" w:rsidR="00E86317" w:rsidRPr="00E86317" w:rsidRDefault="00E86317" w:rsidP="00E86317">
            <w:pPr>
              <w:spacing w:before="40" w:after="40" w:line="257" w:lineRule="auto"/>
              <w:ind w:right="502"/>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322.2</w:t>
            </w:r>
          </w:p>
        </w:tc>
        <w:tc>
          <w:tcPr>
            <w:tcW w:w="2394" w:type="dxa"/>
            <w:shd w:val="clear" w:color="auto" w:fill="auto"/>
            <w:noWrap/>
            <w:vAlign w:val="center"/>
            <w:hideMark/>
          </w:tcPr>
          <w:p w14:paraId="4FF40765" w14:textId="77777777" w:rsidR="00E86317" w:rsidRPr="00E86317" w:rsidRDefault="00E86317" w:rsidP="00E86317">
            <w:pPr>
              <w:spacing w:before="40" w:after="40" w:line="257" w:lineRule="auto"/>
              <w:ind w:right="957"/>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7.3</w:t>
            </w:r>
          </w:p>
        </w:tc>
        <w:tc>
          <w:tcPr>
            <w:tcW w:w="1666" w:type="dxa"/>
            <w:shd w:val="clear" w:color="auto" w:fill="auto"/>
            <w:noWrap/>
            <w:vAlign w:val="center"/>
            <w:hideMark/>
          </w:tcPr>
          <w:p w14:paraId="5FCC8189" w14:textId="77777777" w:rsidR="00E86317" w:rsidRPr="00E86317" w:rsidRDefault="00E86317" w:rsidP="00E86317">
            <w:pPr>
              <w:spacing w:before="40" w:after="40" w:line="257" w:lineRule="auto"/>
              <w:ind w:right="502"/>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10.1</w:t>
            </w:r>
          </w:p>
        </w:tc>
        <w:tc>
          <w:tcPr>
            <w:tcW w:w="1403" w:type="dxa"/>
            <w:shd w:val="clear" w:color="auto" w:fill="auto"/>
            <w:noWrap/>
            <w:vAlign w:val="center"/>
            <w:hideMark/>
          </w:tcPr>
          <w:p w14:paraId="4392486D" w14:textId="77777777" w:rsidR="00E86317" w:rsidRPr="00E86317" w:rsidRDefault="00E86317" w:rsidP="00E86317">
            <w:pPr>
              <w:spacing w:before="40" w:after="40" w:line="257" w:lineRule="auto"/>
              <w:ind w:right="502"/>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17.0</w:t>
            </w:r>
          </w:p>
        </w:tc>
      </w:tr>
      <w:tr w:rsidR="00E86317" w:rsidRPr="00E86317" w14:paraId="3946F121" w14:textId="77777777" w:rsidTr="002F4D0B">
        <w:trPr>
          <w:trHeight w:val="212"/>
          <w:jc w:val="center"/>
        </w:trPr>
        <w:tc>
          <w:tcPr>
            <w:tcW w:w="1887" w:type="dxa"/>
            <w:tcBorders>
              <w:bottom w:val="nil"/>
            </w:tcBorders>
            <w:noWrap/>
            <w:vAlign w:val="center"/>
            <w:hideMark/>
          </w:tcPr>
          <w:p w14:paraId="0C4D110A" w14:textId="77777777" w:rsidR="00E86317" w:rsidRPr="00E86317" w:rsidRDefault="00E86317" w:rsidP="00E86317">
            <w:pPr>
              <w:tabs>
                <w:tab w:val="left" w:pos="407"/>
              </w:tabs>
              <w:spacing w:before="40" w:after="40"/>
              <w:ind w:firstLine="142"/>
              <w:jc w:val="both"/>
              <w:rPr>
                <w:rFonts w:ascii="Arial" w:hAnsi="Arial" w:cs="Arial"/>
                <w:sz w:val="20"/>
                <w:szCs w:val="20"/>
                <w:lang w:eastAsia="vi-VN"/>
              </w:rPr>
            </w:pPr>
            <w:r w:rsidRPr="00E86317">
              <w:rPr>
                <w:rFonts w:ascii="Arial" w:hAnsi="Arial" w:cs="Arial"/>
                <w:sz w:val="20"/>
                <w:szCs w:val="20"/>
                <w:lang w:eastAsia="vi-VN"/>
              </w:rPr>
              <w:t>Road</w:t>
            </w:r>
          </w:p>
        </w:tc>
        <w:tc>
          <w:tcPr>
            <w:tcW w:w="1886" w:type="dxa"/>
            <w:tcBorders>
              <w:bottom w:val="nil"/>
            </w:tcBorders>
            <w:shd w:val="clear" w:color="auto" w:fill="auto"/>
            <w:noWrap/>
            <w:vAlign w:val="center"/>
            <w:hideMark/>
          </w:tcPr>
          <w:p w14:paraId="03935F37" w14:textId="77777777" w:rsidR="00E86317" w:rsidRPr="00E86317" w:rsidRDefault="00E86317" w:rsidP="00E86317">
            <w:pPr>
              <w:spacing w:before="40" w:after="40" w:line="257" w:lineRule="auto"/>
              <w:ind w:right="502"/>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4,209.1</w:t>
            </w:r>
          </w:p>
        </w:tc>
        <w:tc>
          <w:tcPr>
            <w:tcW w:w="2394" w:type="dxa"/>
            <w:tcBorders>
              <w:bottom w:val="nil"/>
            </w:tcBorders>
            <w:shd w:val="clear" w:color="auto" w:fill="auto"/>
            <w:noWrap/>
            <w:vAlign w:val="center"/>
            <w:hideMark/>
          </w:tcPr>
          <w:p w14:paraId="47B86565" w14:textId="77777777" w:rsidR="00E86317" w:rsidRPr="00E86317" w:rsidRDefault="00E86317" w:rsidP="00E86317">
            <w:pPr>
              <w:spacing w:before="40" w:after="40" w:line="257" w:lineRule="auto"/>
              <w:ind w:right="957"/>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159.8</w:t>
            </w:r>
          </w:p>
        </w:tc>
        <w:tc>
          <w:tcPr>
            <w:tcW w:w="1666" w:type="dxa"/>
            <w:tcBorders>
              <w:bottom w:val="nil"/>
            </w:tcBorders>
            <w:shd w:val="clear" w:color="auto" w:fill="auto"/>
            <w:noWrap/>
            <w:vAlign w:val="center"/>
            <w:hideMark/>
          </w:tcPr>
          <w:p w14:paraId="0816B82D" w14:textId="77777777" w:rsidR="00E86317" w:rsidRPr="00E86317" w:rsidRDefault="00E86317" w:rsidP="00E86317">
            <w:pPr>
              <w:spacing w:before="40" w:after="40" w:line="257" w:lineRule="auto"/>
              <w:ind w:right="502"/>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8.3</w:t>
            </w:r>
          </w:p>
        </w:tc>
        <w:tc>
          <w:tcPr>
            <w:tcW w:w="1403" w:type="dxa"/>
            <w:tcBorders>
              <w:bottom w:val="nil"/>
            </w:tcBorders>
            <w:shd w:val="clear" w:color="auto" w:fill="auto"/>
            <w:noWrap/>
            <w:vAlign w:val="center"/>
            <w:hideMark/>
          </w:tcPr>
          <w:p w14:paraId="6AA439B6" w14:textId="77777777" w:rsidR="00E86317" w:rsidRPr="00E86317" w:rsidRDefault="00E86317" w:rsidP="00E86317">
            <w:pPr>
              <w:spacing w:before="40" w:after="40" w:line="257" w:lineRule="auto"/>
              <w:ind w:right="502"/>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12.6</w:t>
            </w:r>
          </w:p>
        </w:tc>
      </w:tr>
      <w:tr w:rsidR="00E86317" w:rsidRPr="00E86317" w14:paraId="79D46E72" w14:textId="77777777" w:rsidTr="002F4D0B">
        <w:trPr>
          <w:trHeight w:val="245"/>
          <w:jc w:val="center"/>
        </w:trPr>
        <w:tc>
          <w:tcPr>
            <w:tcW w:w="1887" w:type="dxa"/>
            <w:tcBorders>
              <w:top w:val="nil"/>
              <w:bottom w:val="single" w:sz="4" w:space="0" w:color="auto"/>
            </w:tcBorders>
            <w:noWrap/>
            <w:vAlign w:val="center"/>
            <w:hideMark/>
          </w:tcPr>
          <w:p w14:paraId="719D5C0C" w14:textId="77777777" w:rsidR="00E86317" w:rsidRPr="00E86317" w:rsidRDefault="00E86317" w:rsidP="00E86317">
            <w:pPr>
              <w:tabs>
                <w:tab w:val="left" w:pos="407"/>
              </w:tabs>
              <w:spacing w:before="40" w:after="40"/>
              <w:ind w:firstLine="142"/>
              <w:jc w:val="both"/>
              <w:rPr>
                <w:rFonts w:ascii="Arial" w:hAnsi="Arial" w:cs="Arial"/>
                <w:sz w:val="20"/>
                <w:szCs w:val="20"/>
                <w:lang w:eastAsia="vi-VN"/>
              </w:rPr>
            </w:pPr>
            <w:r w:rsidRPr="00E86317">
              <w:rPr>
                <w:rFonts w:ascii="Arial" w:hAnsi="Arial" w:cs="Arial"/>
                <w:sz w:val="20"/>
                <w:szCs w:val="20"/>
                <w:lang w:eastAsia="vi-VN"/>
              </w:rPr>
              <w:t xml:space="preserve">Airway </w:t>
            </w:r>
          </w:p>
        </w:tc>
        <w:tc>
          <w:tcPr>
            <w:tcW w:w="1886" w:type="dxa"/>
            <w:tcBorders>
              <w:top w:val="nil"/>
              <w:bottom w:val="single" w:sz="4" w:space="0" w:color="auto"/>
            </w:tcBorders>
            <w:shd w:val="clear" w:color="auto" w:fill="auto"/>
            <w:noWrap/>
            <w:vAlign w:val="center"/>
            <w:hideMark/>
          </w:tcPr>
          <w:p w14:paraId="3CE12921" w14:textId="77777777" w:rsidR="00E86317" w:rsidRPr="00E86317" w:rsidRDefault="00E86317" w:rsidP="00E86317">
            <w:pPr>
              <w:spacing w:before="40" w:after="40" w:line="257" w:lineRule="auto"/>
              <w:ind w:right="502"/>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47.7</w:t>
            </w:r>
          </w:p>
        </w:tc>
        <w:tc>
          <w:tcPr>
            <w:tcW w:w="2394" w:type="dxa"/>
            <w:tcBorders>
              <w:top w:val="nil"/>
              <w:bottom w:val="single" w:sz="4" w:space="0" w:color="auto"/>
            </w:tcBorders>
            <w:shd w:val="clear" w:color="auto" w:fill="auto"/>
            <w:noWrap/>
            <w:vAlign w:val="center"/>
            <w:hideMark/>
          </w:tcPr>
          <w:p w14:paraId="24F398B4" w14:textId="77777777" w:rsidR="00E86317" w:rsidRPr="00E86317" w:rsidRDefault="00E86317" w:rsidP="00E86317">
            <w:pPr>
              <w:spacing w:before="40" w:after="40" w:line="257" w:lineRule="auto"/>
              <w:ind w:right="957"/>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80.5</w:t>
            </w:r>
          </w:p>
        </w:tc>
        <w:tc>
          <w:tcPr>
            <w:tcW w:w="1666" w:type="dxa"/>
            <w:tcBorders>
              <w:top w:val="nil"/>
              <w:bottom w:val="single" w:sz="4" w:space="0" w:color="auto"/>
            </w:tcBorders>
            <w:shd w:val="clear" w:color="auto" w:fill="auto"/>
            <w:noWrap/>
            <w:vAlign w:val="center"/>
            <w:hideMark/>
          </w:tcPr>
          <w:p w14:paraId="3035F055" w14:textId="77777777" w:rsidR="00E86317" w:rsidRPr="00E86317" w:rsidRDefault="00E86317" w:rsidP="00E86317">
            <w:pPr>
              <w:spacing w:before="40" w:after="40" w:line="257" w:lineRule="auto"/>
              <w:ind w:right="502"/>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-7.3</w:t>
            </w:r>
          </w:p>
        </w:tc>
        <w:tc>
          <w:tcPr>
            <w:tcW w:w="1403" w:type="dxa"/>
            <w:tcBorders>
              <w:top w:val="nil"/>
              <w:bottom w:val="single" w:sz="4" w:space="0" w:color="auto"/>
            </w:tcBorders>
            <w:shd w:val="clear" w:color="auto" w:fill="auto"/>
            <w:noWrap/>
            <w:vAlign w:val="center"/>
            <w:hideMark/>
          </w:tcPr>
          <w:p w14:paraId="2051B689" w14:textId="77777777" w:rsidR="00E86317" w:rsidRPr="00E86317" w:rsidRDefault="00E86317" w:rsidP="00E86317">
            <w:pPr>
              <w:spacing w:before="40" w:after="40" w:line="257" w:lineRule="auto"/>
              <w:ind w:right="502"/>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9.0</w:t>
            </w:r>
          </w:p>
        </w:tc>
      </w:tr>
    </w:tbl>
    <w:p w14:paraId="659E12F5" w14:textId="77777777" w:rsidR="00E86317" w:rsidRPr="00E86317" w:rsidRDefault="00E86317" w:rsidP="00E86317">
      <w:pPr>
        <w:spacing w:beforeLines="40" w:before="96" w:afterLines="40" w:after="96" w:line="264" w:lineRule="auto"/>
        <w:ind w:firstLine="142"/>
        <w:jc w:val="both"/>
        <w:rPr>
          <w:bCs/>
          <w:i/>
          <w:iCs/>
          <w:sz w:val="8"/>
          <w:lang w:val="fr-FR"/>
        </w:rPr>
      </w:pPr>
    </w:p>
    <w:p w14:paraId="7C4A3178" w14:textId="77777777" w:rsidR="00E86317" w:rsidRPr="00E86317" w:rsidRDefault="00E86317" w:rsidP="00E86317">
      <w:pPr>
        <w:spacing w:beforeLines="40" w:before="96" w:afterLines="40" w:after="96" w:line="293" w:lineRule="auto"/>
        <w:ind w:firstLine="567"/>
        <w:jc w:val="both"/>
        <w:rPr>
          <w:color w:val="000000"/>
        </w:rPr>
      </w:pPr>
      <w:r w:rsidRPr="00E86317">
        <w:rPr>
          <w:i/>
          <w:lang w:val="pl-PL"/>
        </w:rPr>
        <w:t>Freight transport</w:t>
      </w:r>
      <w:r w:rsidRPr="00E86317">
        <w:rPr>
          <w:lang w:val="pl-PL"/>
        </w:rPr>
        <w:t xml:space="preserve"> in 11/2024 was estimated at </w:t>
      </w:r>
      <w:bookmarkStart w:id="8" w:name="_Hlk149633736"/>
      <w:r w:rsidRPr="00E86317">
        <w:t xml:space="preserve">246.2 </w:t>
      </w:r>
      <w:bookmarkEnd w:id="8"/>
      <w:r w:rsidRPr="00E86317">
        <w:rPr>
          <w:lang w:val="pl-PL"/>
        </w:rPr>
        <w:t xml:space="preserve">million tons of </w:t>
      </w:r>
      <w:r w:rsidRPr="00E86317">
        <w:rPr>
          <w:color w:val="000000"/>
        </w:rPr>
        <w:t>freight carried</w:t>
      </w:r>
      <w:r w:rsidRPr="00E86317">
        <w:rPr>
          <w:lang w:val="pl-PL"/>
        </w:rPr>
        <w:t xml:space="preserve">, increased by </w:t>
      </w:r>
      <w:r w:rsidRPr="00E86317">
        <w:t>1.1</w:t>
      </w:r>
      <w:r w:rsidRPr="00E86317">
        <w:rPr>
          <w:lang w:val="pl-PL"/>
        </w:rPr>
        <w:t xml:space="preserve">% and </w:t>
      </w:r>
      <w:bookmarkStart w:id="9" w:name="_Hlk149633763"/>
      <w:r w:rsidRPr="00E86317">
        <w:t xml:space="preserve">49.6 </w:t>
      </w:r>
      <w:bookmarkEnd w:id="9"/>
      <w:r w:rsidRPr="00E86317">
        <w:rPr>
          <w:lang w:val="pl-PL"/>
        </w:rPr>
        <w:t xml:space="preserve">billion tons.km </w:t>
      </w:r>
      <w:r w:rsidRPr="00E86317">
        <w:rPr>
          <w:color w:val="000000"/>
        </w:rPr>
        <w:t>of freight traffic</w:t>
      </w:r>
      <w:r w:rsidRPr="00E86317">
        <w:rPr>
          <w:lang w:val="pl-PL"/>
        </w:rPr>
        <w:t>, increased by 2.6% over the previous month</w:t>
      </w:r>
      <w:r w:rsidRPr="00E86317">
        <w:t xml:space="preserve">. </w:t>
      </w:r>
      <w:r w:rsidRPr="00E86317">
        <w:rPr>
          <w:lang w:val="pl-PL"/>
        </w:rPr>
        <w:t>Generally for eleven months of 2024, fre</w:t>
      </w:r>
      <w:bookmarkStart w:id="10" w:name="_Hlk149633786"/>
      <w:r w:rsidRPr="00E86317">
        <w:rPr>
          <w:lang w:val="pl-PL"/>
        </w:rPr>
        <w:t xml:space="preserve">ight transport was estimated at </w:t>
      </w:r>
      <w:r w:rsidRPr="00E86317">
        <w:t xml:space="preserve">2,420.4 </w:t>
      </w:r>
      <w:bookmarkEnd w:id="10"/>
      <w:r w:rsidRPr="00E86317">
        <w:rPr>
          <w:lang w:val="pl-PL"/>
        </w:rPr>
        <w:t xml:space="preserve">million tons of </w:t>
      </w:r>
      <w:r w:rsidRPr="00E86317">
        <w:rPr>
          <w:color w:val="000000"/>
        </w:rPr>
        <w:t>freight carried</w:t>
      </w:r>
      <w:r w:rsidRPr="00E86317">
        <w:rPr>
          <w:lang w:val="pl-PL"/>
        </w:rPr>
        <w:t xml:space="preserve">, up </w:t>
      </w:r>
      <w:r w:rsidRPr="00E86317">
        <w:t>14.1</w:t>
      </w:r>
      <w:r w:rsidRPr="00E86317">
        <w:rPr>
          <w:lang w:val="pl-PL"/>
        </w:rPr>
        <w:t xml:space="preserve">% over the same period last year and </w:t>
      </w:r>
      <w:r w:rsidRPr="00E86317">
        <w:t xml:space="preserve">493.5 </w:t>
      </w:r>
      <w:r w:rsidRPr="00E86317">
        <w:rPr>
          <w:lang w:val="pl-PL"/>
        </w:rPr>
        <w:t xml:space="preserve">billion tons.km </w:t>
      </w:r>
      <w:r w:rsidRPr="00E86317">
        <w:rPr>
          <w:color w:val="000000"/>
        </w:rPr>
        <w:t>of freight traffic</w:t>
      </w:r>
      <w:r w:rsidRPr="00E86317">
        <w:rPr>
          <w:lang w:val="pl-PL"/>
        </w:rPr>
        <w:t xml:space="preserve">, an increase of 11.5%. Of which, domestic transport reached </w:t>
      </w:r>
      <w:r w:rsidRPr="00E86317">
        <w:t xml:space="preserve">2,376.4 </w:t>
      </w:r>
      <w:r w:rsidRPr="00E86317">
        <w:rPr>
          <w:lang w:val="pl-PL"/>
        </w:rPr>
        <w:t xml:space="preserve">million tons of </w:t>
      </w:r>
      <w:r w:rsidRPr="00E86317">
        <w:rPr>
          <w:color w:val="000000"/>
        </w:rPr>
        <w:t>freight carried</w:t>
      </w:r>
      <w:r w:rsidRPr="00E86317">
        <w:rPr>
          <w:lang w:val="pl-PL"/>
        </w:rPr>
        <w:t xml:space="preserve">, up </w:t>
      </w:r>
      <w:r w:rsidRPr="00E86317">
        <w:t>14.3</w:t>
      </w:r>
      <w:r w:rsidRPr="00E86317">
        <w:rPr>
          <w:lang w:val="pl-PL"/>
        </w:rPr>
        <w:t xml:space="preserve">% and </w:t>
      </w:r>
      <w:r w:rsidRPr="00E86317">
        <w:t xml:space="preserve">303.6 </w:t>
      </w:r>
      <w:r w:rsidRPr="00E86317">
        <w:rPr>
          <w:lang w:val="pl-PL"/>
        </w:rPr>
        <w:t xml:space="preserve">billion tons.km of </w:t>
      </w:r>
      <w:r w:rsidRPr="00E86317">
        <w:rPr>
          <w:color w:val="000000"/>
        </w:rPr>
        <w:t>freight traffic</w:t>
      </w:r>
      <w:r w:rsidRPr="00E86317">
        <w:rPr>
          <w:lang w:val="pl-PL"/>
        </w:rPr>
        <w:t xml:space="preserve">, up </w:t>
      </w:r>
      <w:r w:rsidRPr="00E86317">
        <w:t>9.2</w:t>
      </w:r>
      <w:r w:rsidRPr="00E86317">
        <w:rPr>
          <w:lang w:val="pl-PL"/>
        </w:rPr>
        <w:t xml:space="preserve">%; overseas transport reached </w:t>
      </w:r>
      <w:r w:rsidRPr="00E86317">
        <w:t xml:space="preserve">44.0 </w:t>
      </w:r>
      <w:r w:rsidRPr="00E86317">
        <w:rPr>
          <w:lang w:val="pl-PL"/>
        </w:rPr>
        <w:t xml:space="preserve">million </w:t>
      </w:r>
      <w:r w:rsidRPr="00E86317">
        <w:rPr>
          <w:color w:val="000000"/>
        </w:rPr>
        <w:t xml:space="preserve">tons of freight carried, up 5.9% and 189.9 billion tons.km of freight traffic, up 15.4%. </w:t>
      </w:r>
    </w:p>
    <w:p w14:paraId="4558BB16" w14:textId="77777777" w:rsidR="00E86317" w:rsidRPr="00E86317" w:rsidRDefault="00E86317" w:rsidP="00E86317">
      <w:pPr>
        <w:spacing w:beforeLines="40" w:before="96" w:afterLines="40" w:after="96" w:line="264" w:lineRule="auto"/>
        <w:jc w:val="center"/>
        <w:rPr>
          <w:b/>
          <w:bCs/>
          <w:sz w:val="2"/>
          <w:lang w:val="pt-BR"/>
        </w:rPr>
      </w:pPr>
      <w:r w:rsidRPr="00E86317">
        <w:rPr>
          <w:rFonts w:ascii="Arial" w:hAnsi="Arial" w:cs="Arial"/>
          <w:b/>
          <w:bCs/>
          <w:iCs/>
          <w:sz w:val="24"/>
          <w:szCs w:val="24"/>
        </w:rPr>
        <w:t>Table 7. Carriage of freight in 11 months of 2024</w:t>
      </w:r>
      <w:r w:rsidRPr="00E86317">
        <w:rPr>
          <w:rFonts w:ascii="Arial" w:hAnsi="Arial" w:cs="Arial"/>
          <w:b/>
          <w:bCs/>
          <w:iCs/>
          <w:sz w:val="24"/>
          <w:szCs w:val="24"/>
        </w:rPr>
        <w:br/>
        <w:t>by types of transport</w:t>
      </w:r>
    </w:p>
    <w:tbl>
      <w:tblPr>
        <w:tblW w:w="9167" w:type="dxa"/>
        <w:tblInd w:w="284" w:type="dxa"/>
        <w:tblLook w:val="04A0" w:firstRow="1" w:lastRow="0" w:firstColumn="1" w:lastColumn="0" w:noHBand="0" w:noVBand="1"/>
      </w:tblPr>
      <w:tblGrid>
        <w:gridCol w:w="2158"/>
        <w:gridCol w:w="1811"/>
        <w:gridCol w:w="1843"/>
        <w:gridCol w:w="1795"/>
        <w:gridCol w:w="1560"/>
      </w:tblGrid>
      <w:tr w:rsidR="00E86317" w:rsidRPr="00E86317" w14:paraId="59261C75" w14:textId="77777777" w:rsidTr="002F4D0B">
        <w:trPr>
          <w:trHeight w:val="580"/>
        </w:trPr>
        <w:tc>
          <w:tcPr>
            <w:tcW w:w="2158" w:type="dxa"/>
            <w:tcBorders>
              <w:top w:val="single" w:sz="8" w:space="0" w:color="auto"/>
              <w:left w:val="nil"/>
              <w:bottom w:val="nil"/>
              <w:right w:val="nil"/>
            </w:tcBorders>
            <w:shd w:val="clear" w:color="auto" w:fill="auto"/>
            <w:vAlign w:val="center"/>
            <w:hideMark/>
          </w:tcPr>
          <w:p w14:paraId="780E0372" w14:textId="77777777" w:rsidR="00E86317" w:rsidRPr="00E86317" w:rsidRDefault="00E86317" w:rsidP="00E86317">
            <w:pPr>
              <w:rPr>
                <w:rFonts w:ascii="Arial" w:hAnsi="Arial" w:cs="Arial"/>
                <w:color w:val="000000"/>
                <w:sz w:val="20"/>
                <w:szCs w:val="20"/>
              </w:rPr>
            </w:pPr>
            <w:r w:rsidRPr="00E86317">
              <w:rPr>
                <w:rFonts w:ascii="Arial" w:hAnsi="Arial" w:cs="Arial"/>
                <w:color w:val="000000"/>
                <w:sz w:val="20"/>
                <w:szCs w:val="20"/>
              </w:rPr>
              <w:t> </w:t>
            </w:r>
          </w:p>
        </w:tc>
        <w:tc>
          <w:tcPr>
            <w:tcW w:w="3654" w:type="dxa"/>
            <w:gridSpan w:val="2"/>
            <w:tcBorders>
              <w:top w:val="single" w:sz="8" w:space="0" w:color="auto"/>
              <w:left w:val="nil"/>
              <w:bottom w:val="single" w:sz="8" w:space="0" w:color="auto"/>
              <w:right w:val="nil"/>
            </w:tcBorders>
            <w:shd w:val="clear" w:color="auto" w:fill="auto"/>
            <w:vAlign w:val="center"/>
            <w:hideMark/>
          </w:tcPr>
          <w:p w14:paraId="4CA71F0E" w14:textId="77777777" w:rsidR="00E86317" w:rsidRPr="00E86317" w:rsidRDefault="00E86317" w:rsidP="00E86317">
            <w:pPr>
              <w:jc w:val="center"/>
              <w:rPr>
                <w:rFonts w:ascii="Arial" w:hAnsi="Arial" w:cs="Arial"/>
                <w:color w:val="000000"/>
                <w:sz w:val="20"/>
                <w:szCs w:val="20"/>
              </w:rPr>
            </w:pPr>
            <w:r w:rsidRPr="00E86317">
              <w:rPr>
                <w:rFonts w:ascii="Arial" w:hAnsi="Arial" w:cs="Arial"/>
                <w:color w:val="000000"/>
                <w:sz w:val="20"/>
                <w:szCs w:val="20"/>
              </w:rPr>
              <w:t>Quantity of goods</w:t>
            </w:r>
          </w:p>
        </w:tc>
        <w:tc>
          <w:tcPr>
            <w:tcW w:w="3355" w:type="dxa"/>
            <w:gridSpan w:val="2"/>
            <w:tcBorders>
              <w:top w:val="single" w:sz="8" w:space="0" w:color="auto"/>
              <w:left w:val="nil"/>
              <w:bottom w:val="single" w:sz="8" w:space="0" w:color="auto"/>
              <w:right w:val="nil"/>
            </w:tcBorders>
            <w:shd w:val="clear" w:color="auto" w:fill="auto"/>
            <w:vAlign w:val="center"/>
            <w:hideMark/>
          </w:tcPr>
          <w:p w14:paraId="425F32A1" w14:textId="77777777" w:rsidR="00E86317" w:rsidRPr="00E86317" w:rsidRDefault="00E86317" w:rsidP="00E86317">
            <w:pPr>
              <w:jc w:val="center"/>
              <w:rPr>
                <w:rFonts w:ascii="Arial" w:hAnsi="Arial" w:cs="Arial"/>
                <w:color w:val="000000"/>
                <w:sz w:val="20"/>
                <w:szCs w:val="20"/>
              </w:rPr>
            </w:pPr>
            <w:r w:rsidRPr="00E86317">
              <w:rPr>
                <w:rFonts w:ascii="Arial" w:hAnsi="Arial" w:cs="Arial"/>
                <w:color w:val="000000"/>
                <w:sz w:val="20"/>
                <w:szCs w:val="20"/>
              </w:rPr>
              <w:t xml:space="preserve">Growth rate compared to the </w:t>
            </w:r>
            <w:r w:rsidRPr="00E86317">
              <w:rPr>
                <w:rFonts w:ascii="Arial" w:hAnsi="Arial" w:cs="Arial"/>
                <w:color w:val="000000"/>
                <w:sz w:val="20"/>
                <w:szCs w:val="20"/>
              </w:rPr>
              <w:br/>
              <w:t>same period last year (%)</w:t>
            </w:r>
          </w:p>
        </w:tc>
      </w:tr>
      <w:tr w:rsidR="00E86317" w:rsidRPr="00E86317" w14:paraId="33E9D072" w14:textId="77777777" w:rsidTr="002F4D0B">
        <w:trPr>
          <w:trHeight w:val="372"/>
        </w:trPr>
        <w:tc>
          <w:tcPr>
            <w:tcW w:w="2158" w:type="dxa"/>
            <w:vMerge w:val="restart"/>
            <w:tcBorders>
              <w:top w:val="nil"/>
              <w:left w:val="nil"/>
              <w:bottom w:val="nil"/>
              <w:right w:val="nil"/>
            </w:tcBorders>
            <w:shd w:val="clear" w:color="auto" w:fill="auto"/>
            <w:vAlign w:val="center"/>
            <w:hideMark/>
          </w:tcPr>
          <w:p w14:paraId="261EA9C5" w14:textId="77777777" w:rsidR="00E86317" w:rsidRPr="00E86317" w:rsidRDefault="00E86317" w:rsidP="00E86317">
            <w:pPr>
              <w:jc w:val="center"/>
              <w:rPr>
                <w:rFonts w:ascii="Arial" w:hAnsi="Arial" w:cs="Arial"/>
                <w:color w:val="000000"/>
                <w:sz w:val="20"/>
                <w:szCs w:val="20"/>
              </w:rPr>
            </w:pPr>
          </w:p>
        </w:tc>
        <w:tc>
          <w:tcPr>
            <w:tcW w:w="1811" w:type="dxa"/>
            <w:tcBorders>
              <w:top w:val="nil"/>
              <w:left w:val="nil"/>
              <w:bottom w:val="nil"/>
              <w:right w:val="nil"/>
            </w:tcBorders>
            <w:shd w:val="clear" w:color="auto" w:fill="auto"/>
            <w:vAlign w:val="center"/>
            <w:hideMark/>
          </w:tcPr>
          <w:p w14:paraId="0163A850" w14:textId="77777777" w:rsidR="00E86317" w:rsidRPr="00E86317" w:rsidRDefault="00E86317" w:rsidP="00E86317">
            <w:pPr>
              <w:jc w:val="center"/>
              <w:rPr>
                <w:rFonts w:ascii="Arial" w:hAnsi="Arial" w:cs="Arial"/>
                <w:color w:val="000000"/>
                <w:sz w:val="20"/>
                <w:szCs w:val="20"/>
              </w:rPr>
            </w:pPr>
            <w:r w:rsidRPr="00E86317">
              <w:rPr>
                <w:rFonts w:ascii="Arial" w:hAnsi="Arial" w:cs="Arial"/>
                <w:color w:val="000000"/>
                <w:sz w:val="20"/>
                <w:szCs w:val="20"/>
                <w:lang w:eastAsia="vi-VN"/>
              </w:rPr>
              <w:t>Carried</w:t>
            </w:r>
          </w:p>
        </w:tc>
        <w:tc>
          <w:tcPr>
            <w:tcW w:w="1843" w:type="dxa"/>
            <w:tcBorders>
              <w:top w:val="nil"/>
              <w:left w:val="nil"/>
              <w:bottom w:val="nil"/>
              <w:right w:val="nil"/>
            </w:tcBorders>
            <w:shd w:val="clear" w:color="auto" w:fill="auto"/>
            <w:vAlign w:val="center"/>
            <w:hideMark/>
          </w:tcPr>
          <w:p w14:paraId="673CABF3" w14:textId="77777777" w:rsidR="00E86317" w:rsidRPr="00E86317" w:rsidRDefault="00E86317" w:rsidP="00E86317">
            <w:pPr>
              <w:jc w:val="center"/>
              <w:rPr>
                <w:rFonts w:ascii="Arial" w:hAnsi="Arial" w:cs="Arial"/>
                <w:color w:val="000000"/>
                <w:sz w:val="20"/>
                <w:szCs w:val="20"/>
              </w:rPr>
            </w:pPr>
            <w:r w:rsidRPr="00E86317">
              <w:rPr>
                <w:rFonts w:ascii="Arial" w:hAnsi="Arial" w:cs="Arial"/>
                <w:color w:val="000000"/>
                <w:sz w:val="20"/>
                <w:szCs w:val="20"/>
                <w:lang w:eastAsia="vi-VN"/>
              </w:rPr>
              <w:t>Traffic</w:t>
            </w:r>
          </w:p>
        </w:tc>
        <w:tc>
          <w:tcPr>
            <w:tcW w:w="1795" w:type="dxa"/>
            <w:vMerge w:val="restart"/>
            <w:tcBorders>
              <w:top w:val="nil"/>
              <w:left w:val="nil"/>
              <w:bottom w:val="single" w:sz="4" w:space="0" w:color="000000"/>
              <w:right w:val="nil"/>
            </w:tcBorders>
            <w:shd w:val="clear" w:color="auto" w:fill="auto"/>
            <w:vAlign w:val="center"/>
            <w:hideMark/>
          </w:tcPr>
          <w:p w14:paraId="1D9D6D89" w14:textId="77777777" w:rsidR="00E86317" w:rsidRPr="00E86317" w:rsidRDefault="00E86317" w:rsidP="00E86317">
            <w:pPr>
              <w:jc w:val="center"/>
              <w:rPr>
                <w:rFonts w:ascii="Arial" w:hAnsi="Arial" w:cs="Arial"/>
                <w:color w:val="000000"/>
                <w:sz w:val="20"/>
                <w:szCs w:val="20"/>
              </w:rPr>
            </w:pPr>
            <w:r w:rsidRPr="00E86317">
              <w:rPr>
                <w:rFonts w:ascii="Arial" w:hAnsi="Arial" w:cs="Arial"/>
                <w:color w:val="000000"/>
                <w:sz w:val="20"/>
                <w:szCs w:val="20"/>
                <w:lang w:eastAsia="vi-VN"/>
              </w:rPr>
              <w:t>Carried</w:t>
            </w:r>
          </w:p>
        </w:tc>
        <w:tc>
          <w:tcPr>
            <w:tcW w:w="1560" w:type="dxa"/>
            <w:vMerge w:val="restart"/>
            <w:tcBorders>
              <w:top w:val="nil"/>
              <w:left w:val="nil"/>
              <w:bottom w:val="single" w:sz="4" w:space="0" w:color="000000"/>
              <w:right w:val="nil"/>
            </w:tcBorders>
            <w:shd w:val="clear" w:color="auto" w:fill="auto"/>
            <w:vAlign w:val="center"/>
            <w:hideMark/>
          </w:tcPr>
          <w:p w14:paraId="3B7FE10F" w14:textId="77777777" w:rsidR="00E86317" w:rsidRPr="00E86317" w:rsidRDefault="00E86317" w:rsidP="00E86317">
            <w:pPr>
              <w:jc w:val="center"/>
              <w:rPr>
                <w:rFonts w:ascii="Arial" w:hAnsi="Arial" w:cs="Arial"/>
                <w:color w:val="000000"/>
                <w:sz w:val="20"/>
                <w:szCs w:val="20"/>
              </w:rPr>
            </w:pPr>
            <w:r w:rsidRPr="00E86317">
              <w:rPr>
                <w:rFonts w:ascii="Arial" w:hAnsi="Arial" w:cs="Arial"/>
                <w:color w:val="000000"/>
                <w:sz w:val="20"/>
                <w:szCs w:val="20"/>
                <w:lang w:eastAsia="vi-VN"/>
              </w:rPr>
              <w:t>Traffic</w:t>
            </w:r>
          </w:p>
        </w:tc>
      </w:tr>
      <w:tr w:rsidR="00E86317" w:rsidRPr="00E86317" w14:paraId="64715D5B" w14:textId="77777777" w:rsidTr="002F4D0B">
        <w:trPr>
          <w:trHeight w:val="165"/>
        </w:trPr>
        <w:tc>
          <w:tcPr>
            <w:tcW w:w="2158" w:type="dxa"/>
            <w:vMerge/>
            <w:tcBorders>
              <w:top w:val="nil"/>
              <w:left w:val="nil"/>
              <w:bottom w:val="nil"/>
              <w:right w:val="nil"/>
            </w:tcBorders>
            <w:vAlign w:val="center"/>
            <w:hideMark/>
          </w:tcPr>
          <w:p w14:paraId="2BEE70A5" w14:textId="77777777" w:rsidR="00E86317" w:rsidRPr="00E86317" w:rsidRDefault="00E86317" w:rsidP="00E86317">
            <w:pPr>
              <w:rPr>
                <w:rFonts w:ascii="Arial" w:hAnsi="Arial" w:cs="Arial"/>
                <w:color w:val="000000"/>
                <w:sz w:val="20"/>
                <w:szCs w:val="20"/>
              </w:rPr>
            </w:pPr>
          </w:p>
        </w:tc>
        <w:tc>
          <w:tcPr>
            <w:tcW w:w="1811" w:type="dxa"/>
            <w:tcBorders>
              <w:top w:val="nil"/>
              <w:left w:val="nil"/>
              <w:bottom w:val="single" w:sz="4" w:space="0" w:color="auto"/>
              <w:right w:val="nil"/>
            </w:tcBorders>
            <w:shd w:val="clear" w:color="auto" w:fill="auto"/>
            <w:vAlign w:val="center"/>
            <w:hideMark/>
          </w:tcPr>
          <w:p w14:paraId="75642B80" w14:textId="77777777" w:rsidR="00E86317" w:rsidRPr="00E86317" w:rsidRDefault="00E86317" w:rsidP="00E86317">
            <w:pPr>
              <w:jc w:val="center"/>
              <w:rPr>
                <w:rFonts w:ascii="Arial" w:hAnsi="Arial" w:cs="Arial"/>
                <w:color w:val="000000"/>
                <w:sz w:val="20"/>
                <w:szCs w:val="20"/>
              </w:rPr>
            </w:pPr>
            <w:r w:rsidRPr="00E86317">
              <w:rPr>
                <w:rFonts w:ascii="Arial" w:hAnsi="Arial" w:cs="Arial"/>
                <w:color w:val="000000"/>
                <w:sz w:val="20"/>
                <w:szCs w:val="20"/>
              </w:rPr>
              <w:t>(Mill. tons)</w:t>
            </w:r>
          </w:p>
        </w:tc>
        <w:tc>
          <w:tcPr>
            <w:tcW w:w="1843" w:type="dxa"/>
            <w:tcBorders>
              <w:top w:val="nil"/>
              <w:left w:val="nil"/>
              <w:bottom w:val="single" w:sz="4" w:space="0" w:color="auto"/>
              <w:right w:val="nil"/>
            </w:tcBorders>
            <w:shd w:val="clear" w:color="auto" w:fill="auto"/>
            <w:vAlign w:val="center"/>
            <w:hideMark/>
          </w:tcPr>
          <w:p w14:paraId="1EE5CB3B" w14:textId="77777777" w:rsidR="00E86317" w:rsidRPr="00E86317" w:rsidRDefault="00E86317" w:rsidP="00E86317">
            <w:pPr>
              <w:jc w:val="center"/>
              <w:rPr>
                <w:rFonts w:ascii="Arial" w:hAnsi="Arial" w:cs="Arial"/>
                <w:color w:val="000000"/>
                <w:sz w:val="20"/>
                <w:szCs w:val="20"/>
              </w:rPr>
            </w:pPr>
            <w:r w:rsidRPr="00E86317">
              <w:rPr>
                <w:rFonts w:ascii="Arial" w:hAnsi="Arial" w:cs="Arial"/>
                <w:color w:val="000000"/>
                <w:sz w:val="20"/>
                <w:szCs w:val="20"/>
              </w:rPr>
              <w:t>(Bill. tons-km)</w:t>
            </w:r>
          </w:p>
        </w:tc>
        <w:tc>
          <w:tcPr>
            <w:tcW w:w="1795" w:type="dxa"/>
            <w:vMerge/>
            <w:tcBorders>
              <w:top w:val="nil"/>
              <w:left w:val="nil"/>
              <w:bottom w:val="single" w:sz="4" w:space="0" w:color="000000"/>
              <w:right w:val="nil"/>
            </w:tcBorders>
            <w:vAlign w:val="center"/>
            <w:hideMark/>
          </w:tcPr>
          <w:p w14:paraId="70B2687A" w14:textId="77777777" w:rsidR="00E86317" w:rsidRPr="00E86317" w:rsidRDefault="00E86317" w:rsidP="00E86317">
            <w:pPr>
              <w:jc w:val="center"/>
              <w:rPr>
                <w:rFonts w:ascii="Arial" w:hAnsi="Arial" w:cs="Arial"/>
                <w:color w:val="000000"/>
                <w:sz w:val="20"/>
                <w:szCs w:val="20"/>
              </w:rPr>
            </w:pPr>
          </w:p>
        </w:tc>
        <w:tc>
          <w:tcPr>
            <w:tcW w:w="1560" w:type="dxa"/>
            <w:vMerge/>
            <w:tcBorders>
              <w:top w:val="nil"/>
              <w:left w:val="nil"/>
              <w:bottom w:val="single" w:sz="4" w:space="0" w:color="000000"/>
              <w:right w:val="nil"/>
            </w:tcBorders>
            <w:vAlign w:val="center"/>
            <w:hideMark/>
          </w:tcPr>
          <w:p w14:paraId="075F0C8E" w14:textId="77777777" w:rsidR="00E86317" w:rsidRPr="00E86317" w:rsidRDefault="00E86317" w:rsidP="00E86317">
            <w:pPr>
              <w:jc w:val="right"/>
              <w:rPr>
                <w:rFonts w:ascii="Arial" w:hAnsi="Arial" w:cs="Arial"/>
                <w:color w:val="000000"/>
                <w:sz w:val="20"/>
                <w:szCs w:val="20"/>
              </w:rPr>
            </w:pPr>
          </w:p>
        </w:tc>
      </w:tr>
      <w:tr w:rsidR="00E86317" w:rsidRPr="00E86317" w14:paraId="730CE5FC" w14:textId="77777777" w:rsidTr="002F4D0B">
        <w:trPr>
          <w:cantSplit/>
          <w:trHeight w:val="372"/>
        </w:trPr>
        <w:tc>
          <w:tcPr>
            <w:tcW w:w="2158" w:type="dxa"/>
            <w:tcBorders>
              <w:top w:val="nil"/>
              <w:left w:val="nil"/>
              <w:bottom w:val="nil"/>
              <w:right w:val="nil"/>
            </w:tcBorders>
            <w:shd w:val="clear" w:color="auto" w:fill="auto"/>
            <w:noWrap/>
            <w:vAlign w:val="center"/>
            <w:hideMark/>
          </w:tcPr>
          <w:p w14:paraId="6C17479E" w14:textId="77777777" w:rsidR="00E86317" w:rsidRPr="00E86317" w:rsidRDefault="00E86317" w:rsidP="00E86317">
            <w:pPr>
              <w:rPr>
                <w:rFonts w:ascii="Arial" w:hAnsi="Arial" w:cs="Arial"/>
                <w:b/>
                <w:bCs/>
                <w:color w:val="000000"/>
                <w:sz w:val="20"/>
                <w:szCs w:val="20"/>
              </w:rPr>
            </w:pPr>
            <w:r w:rsidRPr="00E86317">
              <w:rPr>
                <w:rFonts w:ascii="Arial" w:hAnsi="Arial" w:cs="Arial"/>
                <w:b/>
                <w:bCs/>
                <w:color w:val="000000"/>
                <w:sz w:val="20"/>
                <w:szCs w:val="20"/>
              </w:rPr>
              <w:lastRenderedPageBreak/>
              <w:t>Total</w:t>
            </w:r>
          </w:p>
        </w:tc>
        <w:tc>
          <w:tcPr>
            <w:tcW w:w="1811" w:type="dxa"/>
            <w:tcBorders>
              <w:top w:val="nil"/>
              <w:left w:val="nil"/>
              <w:bottom w:val="nil"/>
              <w:right w:val="nil"/>
            </w:tcBorders>
            <w:shd w:val="clear" w:color="auto" w:fill="auto"/>
            <w:noWrap/>
            <w:vAlign w:val="center"/>
            <w:hideMark/>
          </w:tcPr>
          <w:p w14:paraId="54237740" w14:textId="77777777" w:rsidR="00E86317" w:rsidRPr="00E86317" w:rsidRDefault="00E86317" w:rsidP="00E86317">
            <w:pPr>
              <w:spacing w:beforeLines="40" w:before="96"/>
              <w:ind w:right="447"/>
              <w:jc w:val="right"/>
              <w:rPr>
                <w:rFonts w:ascii="Arial" w:hAnsi="Arial" w:cs="Arial"/>
                <w:b/>
                <w:bCs/>
                <w:sz w:val="20"/>
                <w:szCs w:val="20"/>
                <w14:ligatures w14:val="standardContextual"/>
              </w:rPr>
            </w:pPr>
            <w:r w:rsidRPr="00E86317">
              <w:rPr>
                <w:rFonts w:ascii="Arial" w:hAnsi="Arial" w:cs="Arial"/>
                <w:b/>
                <w:bCs/>
                <w:color w:val="000000"/>
                <w:kern w:val="2"/>
                <w:sz w:val="20"/>
                <w:szCs w:val="20"/>
                <w14:ligatures w14:val="standardContextual"/>
              </w:rPr>
              <w:t>2,420.4</w:t>
            </w:r>
          </w:p>
        </w:tc>
        <w:tc>
          <w:tcPr>
            <w:tcW w:w="1843" w:type="dxa"/>
            <w:tcBorders>
              <w:top w:val="nil"/>
              <w:left w:val="nil"/>
              <w:bottom w:val="nil"/>
              <w:right w:val="nil"/>
            </w:tcBorders>
            <w:shd w:val="clear" w:color="auto" w:fill="auto"/>
            <w:noWrap/>
            <w:vAlign w:val="center"/>
            <w:hideMark/>
          </w:tcPr>
          <w:p w14:paraId="6FA2C004" w14:textId="77777777" w:rsidR="00E86317" w:rsidRPr="00E86317" w:rsidRDefault="00E86317" w:rsidP="00E86317">
            <w:pPr>
              <w:spacing w:beforeLines="40" w:before="96"/>
              <w:ind w:right="447"/>
              <w:jc w:val="right"/>
              <w:rPr>
                <w:rFonts w:ascii="Arial" w:hAnsi="Arial" w:cs="Arial"/>
                <w:b/>
                <w:bCs/>
                <w:sz w:val="20"/>
                <w:szCs w:val="20"/>
                <w14:ligatures w14:val="standardContextual"/>
              </w:rPr>
            </w:pPr>
            <w:r w:rsidRPr="00E86317">
              <w:rPr>
                <w:rFonts w:ascii="Arial" w:hAnsi="Arial" w:cs="Arial"/>
                <w:b/>
                <w:bCs/>
                <w:color w:val="000000"/>
                <w:kern w:val="2"/>
                <w:sz w:val="20"/>
                <w:szCs w:val="20"/>
                <w14:ligatures w14:val="standardContextual"/>
              </w:rPr>
              <w:t>493.5</w:t>
            </w:r>
          </w:p>
        </w:tc>
        <w:tc>
          <w:tcPr>
            <w:tcW w:w="1795" w:type="dxa"/>
            <w:tcBorders>
              <w:top w:val="nil"/>
              <w:left w:val="nil"/>
              <w:bottom w:val="nil"/>
              <w:right w:val="nil"/>
            </w:tcBorders>
            <w:shd w:val="clear" w:color="auto" w:fill="auto"/>
            <w:noWrap/>
            <w:vAlign w:val="center"/>
          </w:tcPr>
          <w:p w14:paraId="51AD5DA0" w14:textId="77777777" w:rsidR="00E86317" w:rsidRPr="00E86317" w:rsidRDefault="00E86317" w:rsidP="00E86317">
            <w:pPr>
              <w:spacing w:beforeLines="40" w:before="96"/>
              <w:ind w:right="447"/>
              <w:jc w:val="right"/>
              <w:rPr>
                <w:rFonts w:ascii="Arial" w:hAnsi="Arial" w:cs="Arial"/>
                <w:b/>
                <w:bCs/>
                <w:sz w:val="20"/>
                <w:szCs w:val="20"/>
                <w14:ligatures w14:val="standardContextual"/>
              </w:rPr>
            </w:pPr>
            <w:r w:rsidRPr="00E86317">
              <w:rPr>
                <w:rFonts w:ascii="Arial" w:hAnsi="Arial" w:cs="Arial"/>
                <w:b/>
                <w:bCs/>
                <w:color w:val="000000"/>
                <w:kern w:val="2"/>
                <w:sz w:val="20"/>
                <w:szCs w:val="20"/>
                <w14:ligatures w14:val="standardContextual"/>
              </w:rPr>
              <w:t>14.1</w:t>
            </w:r>
          </w:p>
        </w:tc>
        <w:tc>
          <w:tcPr>
            <w:tcW w:w="1560" w:type="dxa"/>
            <w:tcBorders>
              <w:top w:val="nil"/>
              <w:left w:val="nil"/>
              <w:bottom w:val="nil"/>
              <w:right w:val="nil"/>
            </w:tcBorders>
            <w:shd w:val="clear" w:color="auto" w:fill="auto"/>
            <w:noWrap/>
            <w:vAlign w:val="center"/>
            <w:hideMark/>
          </w:tcPr>
          <w:p w14:paraId="02EDACDA" w14:textId="77777777" w:rsidR="00E86317" w:rsidRPr="00E86317" w:rsidRDefault="00E86317" w:rsidP="00E86317">
            <w:pPr>
              <w:spacing w:beforeLines="40" w:before="96"/>
              <w:ind w:right="447"/>
              <w:jc w:val="right"/>
              <w:rPr>
                <w:rFonts w:ascii="Arial" w:hAnsi="Arial" w:cs="Arial"/>
                <w:b/>
                <w:bCs/>
                <w:sz w:val="20"/>
                <w:szCs w:val="20"/>
                <w14:ligatures w14:val="standardContextual"/>
              </w:rPr>
            </w:pPr>
            <w:r w:rsidRPr="00E86317">
              <w:rPr>
                <w:rFonts w:ascii="Arial" w:hAnsi="Arial" w:cs="Arial"/>
                <w:b/>
                <w:bCs/>
                <w:color w:val="000000"/>
                <w:kern w:val="2"/>
                <w:sz w:val="20"/>
                <w:szCs w:val="20"/>
                <w14:ligatures w14:val="standardContextual"/>
              </w:rPr>
              <w:t>11.5</w:t>
            </w:r>
          </w:p>
        </w:tc>
      </w:tr>
      <w:tr w:rsidR="00E86317" w:rsidRPr="00E86317" w14:paraId="113BC0A6" w14:textId="77777777" w:rsidTr="002F4D0B">
        <w:trPr>
          <w:cantSplit/>
          <w:trHeight w:val="372"/>
        </w:trPr>
        <w:tc>
          <w:tcPr>
            <w:tcW w:w="2158" w:type="dxa"/>
            <w:tcBorders>
              <w:top w:val="nil"/>
              <w:left w:val="nil"/>
              <w:bottom w:val="nil"/>
              <w:right w:val="nil"/>
            </w:tcBorders>
            <w:shd w:val="clear" w:color="auto" w:fill="auto"/>
            <w:noWrap/>
            <w:vAlign w:val="center"/>
            <w:hideMark/>
          </w:tcPr>
          <w:p w14:paraId="50DFD6A1" w14:textId="1976094E" w:rsidR="00E86317" w:rsidRPr="00E86317" w:rsidRDefault="00E86317" w:rsidP="00E86317">
            <w:pPr>
              <w:ind w:firstLine="319"/>
              <w:rPr>
                <w:rFonts w:ascii="Arial" w:hAnsi="Arial" w:cs="Arial"/>
                <w:color w:val="000000"/>
                <w:sz w:val="20"/>
                <w:szCs w:val="20"/>
              </w:rPr>
            </w:pPr>
            <w:r w:rsidRPr="00E86317">
              <w:rPr>
                <w:rFonts w:ascii="Arial" w:hAnsi="Arial" w:cs="Arial"/>
                <w:color w:val="000000"/>
                <w:sz w:val="20"/>
                <w:szCs w:val="20"/>
                <w:lang w:eastAsia="vi-VN"/>
              </w:rPr>
              <w:t>Railway</w:t>
            </w:r>
          </w:p>
        </w:tc>
        <w:tc>
          <w:tcPr>
            <w:tcW w:w="1811" w:type="dxa"/>
            <w:tcBorders>
              <w:top w:val="nil"/>
              <w:left w:val="nil"/>
              <w:bottom w:val="nil"/>
              <w:right w:val="nil"/>
            </w:tcBorders>
            <w:shd w:val="clear" w:color="auto" w:fill="auto"/>
            <w:noWrap/>
            <w:vAlign w:val="center"/>
            <w:hideMark/>
          </w:tcPr>
          <w:p w14:paraId="3639C66A" w14:textId="77777777" w:rsidR="00E86317" w:rsidRPr="00E86317" w:rsidRDefault="00E86317" w:rsidP="00E86317">
            <w:pPr>
              <w:spacing w:beforeLines="40" w:before="96"/>
              <w:ind w:right="447"/>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4.6</w:t>
            </w:r>
          </w:p>
        </w:tc>
        <w:tc>
          <w:tcPr>
            <w:tcW w:w="1843" w:type="dxa"/>
            <w:tcBorders>
              <w:top w:val="nil"/>
              <w:left w:val="nil"/>
              <w:bottom w:val="nil"/>
              <w:right w:val="nil"/>
            </w:tcBorders>
            <w:shd w:val="clear" w:color="auto" w:fill="auto"/>
            <w:noWrap/>
            <w:vAlign w:val="center"/>
            <w:hideMark/>
          </w:tcPr>
          <w:p w14:paraId="617DA7DF" w14:textId="77777777" w:rsidR="00E86317" w:rsidRPr="00E86317" w:rsidRDefault="00E86317" w:rsidP="00E86317">
            <w:pPr>
              <w:spacing w:beforeLines="40" w:before="96"/>
              <w:ind w:right="447"/>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3.5</w:t>
            </w:r>
          </w:p>
        </w:tc>
        <w:tc>
          <w:tcPr>
            <w:tcW w:w="1795" w:type="dxa"/>
            <w:tcBorders>
              <w:top w:val="nil"/>
              <w:left w:val="nil"/>
              <w:bottom w:val="nil"/>
              <w:right w:val="nil"/>
            </w:tcBorders>
            <w:shd w:val="clear" w:color="auto" w:fill="auto"/>
            <w:noWrap/>
            <w:vAlign w:val="center"/>
          </w:tcPr>
          <w:p w14:paraId="2C9E0E46" w14:textId="77777777" w:rsidR="00E86317" w:rsidRPr="00E86317" w:rsidRDefault="00E86317" w:rsidP="00E86317">
            <w:pPr>
              <w:spacing w:beforeLines="40" w:before="96"/>
              <w:ind w:right="447"/>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9.4</w:t>
            </w:r>
          </w:p>
        </w:tc>
        <w:tc>
          <w:tcPr>
            <w:tcW w:w="1560" w:type="dxa"/>
            <w:tcBorders>
              <w:top w:val="nil"/>
              <w:left w:val="nil"/>
              <w:bottom w:val="nil"/>
              <w:right w:val="nil"/>
            </w:tcBorders>
            <w:shd w:val="clear" w:color="auto" w:fill="auto"/>
            <w:noWrap/>
            <w:vAlign w:val="center"/>
            <w:hideMark/>
          </w:tcPr>
          <w:p w14:paraId="46965B5C" w14:textId="77777777" w:rsidR="00E86317" w:rsidRPr="00E86317" w:rsidRDefault="00E86317" w:rsidP="00E86317">
            <w:pPr>
              <w:spacing w:beforeLines="40" w:before="96"/>
              <w:ind w:right="447"/>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3.5</w:t>
            </w:r>
          </w:p>
        </w:tc>
      </w:tr>
      <w:tr w:rsidR="00E86317" w:rsidRPr="00E86317" w14:paraId="2BDCFE72" w14:textId="77777777" w:rsidTr="002F4D0B">
        <w:trPr>
          <w:cantSplit/>
          <w:trHeight w:val="372"/>
        </w:trPr>
        <w:tc>
          <w:tcPr>
            <w:tcW w:w="2158" w:type="dxa"/>
            <w:tcBorders>
              <w:top w:val="nil"/>
              <w:left w:val="nil"/>
              <w:bottom w:val="nil"/>
              <w:right w:val="nil"/>
            </w:tcBorders>
            <w:shd w:val="clear" w:color="auto" w:fill="auto"/>
            <w:noWrap/>
            <w:vAlign w:val="center"/>
            <w:hideMark/>
          </w:tcPr>
          <w:p w14:paraId="3C5A6D2F" w14:textId="77777777" w:rsidR="00E86317" w:rsidRPr="00E86317" w:rsidRDefault="00E86317" w:rsidP="00E86317">
            <w:pPr>
              <w:ind w:firstLine="319"/>
              <w:rPr>
                <w:rFonts w:ascii="Arial" w:hAnsi="Arial" w:cs="Arial"/>
                <w:color w:val="000000"/>
                <w:sz w:val="20"/>
                <w:szCs w:val="20"/>
              </w:rPr>
            </w:pPr>
            <w:r w:rsidRPr="00E86317">
              <w:rPr>
                <w:rFonts w:ascii="Arial" w:hAnsi="Arial" w:cs="Arial"/>
                <w:color w:val="000000"/>
                <w:sz w:val="20"/>
                <w:szCs w:val="20"/>
                <w:lang w:eastAsia="vi-VN"/>
              </w:rPr>
              <w:t>Sea way</w:t>
            </w:r>
          </w:p>
        </w:tc>
        <w:tc>
          <w:tcPr>
            <w:tcW w:w="1811" w:type="dxa"/>
            <w:tcBorders>
              <w:top w:val="nil"/>
              <w:left w:val="nil"/>
              <w:bottom w:val="nil"/>
              <w:right w:val="nil"/>
            </w:tcBorders>
            <w:shd w:val="clear" w:color="auto" w:fill="auto"/>
            <w:noWrap/>
            <w:vAlign w:val="center"/>
            <w:hideMark/>
          </w:tcPr>
          <w:p w14:paraId="741B657C" w14:textId="77777777" w:rsidR="00E86317" w:rsidRPr="00E86317" w:rsidRDefault="00E86317" w:rsidP="00E86317">
            <w:pPr>
              <w:spacing w:beforeLines="40" w:before="96"/>
              <w:ind w:right="447"/>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122.5</w:t>
            </w:r>
          </w:p>
        </w:tc>
        <w:tc>
          <w:tcPr>
            <w:tcW w:w="1843" w:type="dxa"/>
            <w:tcBorders>
              <w:top w:val="nil"/>
              <w:left w:val="nil"/>
              <w:bottom w:val="nil"/>
              <w:right w:val="nil"/>
            </w:tcBorders>
            <w:shd w:val="clear" w:color="auto" w:fill="auto"/>
            <w:noWrap/>
            <w:vAlign w:val="center"/>
            <w:hideMark/>
          </w:tcPr>
          <w:p w14:paraId="5A1135D7" w14:textId="77777777" w:rsidR="00E86317" w:rsidRPr="00E86317" w:rsidRDefault="00E86317" w:rsidP="00E86317">
            <w:pPr>
              <w:spacing w:beforeLines="40" w:before="96"/>
              <w:ind w:right="447"/>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249.2</w:t>
            </w:r>
          </w:p>
        </w:tc>
        <w:tc>
          <w:tcPr>
            <w:tcW w:w="1795" w:type="dxa"/>
            <w:tcBorders>
              <w:top w:val="nil"/>
              <w:left w:val="nil"/>
              <w:bottom w:val="nil"/>
              <w:right w:val="nil"/>
            </w:tcBorders>
            <w:shd w:val="clear" w:color="auto" w:fill="auto"/>
            <w:noWrap/>
            <w:vAlign w:val="center"/>
          </w:tcPr>
          <w:p w14:paraId="614B533E" w14:textId="77777777" w:rsidR="00E86317" w:rsidRPr="00E86317" w:rsidRDefault="00E86317" w:rsidP="00E86317">
            <w:pPr>
              <w:spacing w:beforeLines="40" w:before="96"/>
              <w:ind w:right="447"/>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16.0</w:t>
            </w:r>
          </w:p>
        </w:tc>
        <w:tc>
          <w:tcPr>
            <w:tcW w:w="1560" w:type="dxa"/>
            <w:tcBorders>
              <w:top w:val="nil"/>
              <w:left w:val="nil"/>
              <w:bottom w:val="nil"/>
              <w:right w:val="nil"/>
            </w:tcBorders>
            <w:shd w:val="clear" w:color="auto" w:fill="auto"/>
            <w:noWrap/>
            <w:vAlign w:val="center"/>
            <w:hideMark/>
          </w:tcPr>
          <w:p w14:paraId="21C55F12" w14:textId="77777777" w:rsidR="00E86317" w:rsidRPr="00E86317" w:rsidRDefault="00E86317" w:rsidP="00E86317">
            <w:pPr>
              <w:spacing w:beforeLines="40" w:before="96"/>
              <w:ind w:right="447"/>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9.8</w:t>
            </w:r>
          </w:p>
        </w:tc>
      </w:tr>
      <w:tr w:rsidR="00E86317" w:rsidRPr="00E86317" w14:paraId="0E888998" w14:textId="77777777" w:rsidTr="002F4D0B">
        <w:trPr>
          <w:cantSplit/>
          <w:trHeight w:val="372"/>
        </w:trPr>
        <w:tc>
          <w:tcPr>
            <w:tcW w:w="2158" w:type="dxa"/>
            <w:tcBorders>
              <w:top w:val="nil"/>
              <w:left w:val="nil"/>
              <w:bottom w:val="nil"/>
              <w:right w:val="nil"/>
            </w:tcBorders>
            <w:shd w:val="clear" w:color="auto" w:fill="auto"/>
            <w:noWrap/>
            <w:vAlign w:val="center"/>
            <w:hideMark/>
          </w:tcPr>
          <w:p w14:paraId="581A2B23" w14:textId="77777777" w:rsidR="00E86317" w:rsidRPr="00E86317" w:rsidRDefault="00E86317" w:rsidP="00E86317">
            <w:pPr>
              <w:ind w:firstLine="319"/>
              <w:rPr>
                <w:rFonts w:ascii="Arial" w:hAnsi="Arial" w:cs="Arial"/>
                <w:color w:val="000000"/>
                <w:sz w:val="20"/>
                <w:szCs w:val="20"/>
              </w:rPr>
            </w:pPr>
            <w:r w:rsidRPr="00E86317">
              <w:rPr>
                <w:rFonts w:ascii="Arial" w:hAnsi="Arial" w:cs="Arial"/>
                <w:color w:val="000000"/>
                <w:sz w:val="20"/>
                <w:szCs w:val="20"/>
                <w:lang w:eastAsia="vi-VN"/>
              </w:rPr>
              <w:t>Inland water way</w:t>
            </w:r>
          </w:p>
        </w:tc>
        <w:tc>
          <w:tcPr>
            <w:tcW w:w="1811" w:type="dxa"/>
            <w:tcBorders>
              <w:top w:val="nil"/>
              <w:left w:val="nil"/>
              <w:bottom w:val="nil"/>
              <w:right w:val="nil"/>
            </w:tcBorders>
            <w:shd w:val="clear" w:color="auto" w:fill="auto"/>
            <w:noWrap/>
            <w:vAlign w:val="center"/>
            <w:hideMark/>
          </w:tcPr>
          <w:p w14:paraId="7EF5C1BE" w14:textId="77777777" w:rsidR="00E86317" w:rsidRPr="00E86317" w:rsidRDefault="00E86317" w:rsidP="00E86317">
            <w:pPr>
              <w:spacing w:beforeLines="40" w:before="96"/>
              <w:ind w:right="447"/>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482.3</w:t>
            </w:r>
          </w:p>
        </w:tc>
        <w:tc>
          <w:tcPr>
            <w:tcW w:w="1843" w:type="dxa"/>
            <w:tcBorders>
              <w:top w:val="nil"/>
              <w:left w:val="nil"/>
              <w:bottom w:val="nil"/>
              <w:right w:val="nil"/>
            </w:tcBorders>
            <w:shd w:val="clear" w:color="auto" w:fill="auto"/>
            <w:noWrap/>
            <w:vAlign w:val="center"/>
            <w:hideMark/>
          </w:tcPr>
          <w:p w14:paraId="351682AC" w14:textId="77777777" w:rsidR="00E86317" w:rsidRPr="00E86317" w:rsidRDefault="00E86317" w:rsidP="00E86317">
            <w:pPr>
              <w:spacing w:beforeLines="40" w:before="96"/>
              <w:ind w:right="447"/>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109.9</w:t>
            </w:r>
          </w:p>
        </w:tc>
        <w:tc>
          <w:tcPr>
            <w:tcW w:w="1795" w:type="dxa"/>
            <w:tcBorders>
              <w:top w:val="nil"/>
              <w:left w:val="nil"/>
              <w:bottom w:val="nil"/>
              <w:right w:val="nil"/>
            </w:tcBorders>
            <w:shd w:val="clear" w:color="auto" w:fill="auto"/>
            <w:noWrap/>
            <w:vAlign w:val="center"/>
          </w:tcPr>
          <w:p w14:paraId="3B9FC2A6" w14:textId="77777777" w:rsidR="00E86317" w:rsidRPr="00E86317" w:rsidRDefault="00E86317" w:rsidP="00E86317">
            <w:pPr>
              <w:spacing w:beforeLines="40" w:before="96"/>
              <w:ind w:right="447"/>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10.7</w:t>
            </w:r>
          </w:p>
        </w:tc>
        <w:tc>
          <w:tcPr>
            <w:tcW w:w="1560" w:type="dxa"/>
            <w:tcBorders>
              <w:top w:val="nil"/>
              <w:left w:val="nil"/>
              <w:bottom w:val="nil"/>
              <w:right w:val="nil"/>
            </w:tcBorders>
            <w:shd w:val="clear" w:color="auto" w:fill="auto"/>
            <w:noWrap/>
            <w:vAlign w:val="center"/>
            <w:hideMark/>
          </w:tcPr>
          <w:p w14:paraId="7AFB1CB0" w14:textId="77777777" w:rsidR="00E86317" w:rsidRPr="00E86317" w:rsidRDefault="00E86317" w:rsidP="00E86317">
            <w:pPr>
              <w:spacing w:beforeLines="40" w:before="96"/>
              <w:ind w:right="447"/>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11.5</w:t>
            </w:r>
          </w:p>
        </w:tc>
      </w:tr>
      <w:tr w:rsidR="00E86317" w:rsidRPr="00E86317" w14:paraId="77647528" w14:textId="77777777" w:rsidTr="002F4D0B">
        <w:trPr>
          <w:cantSplit/>
          <w:trHeight w:val="372"/>
        </w:trPr>
        <w:tc>
          <w:tcPr>
            <w:tcW w:w="2158" w:type="dxa"/>
            <w:tcBorders>
              <w:top w:val="nil"/>
              <w:left w:val="nil"/>
              <w:bottom w:val="nil"/>
              <w:right w:val="nil"/>
            </w:tcBorders>
            <w:shd w:val="clear" w:color="auto" w:fill="auto"/>
            <w:noWrap/>
            <w:vAlign w:val="center"/>
            <w:hideMark/>
          </w:tcPr>
          <w:p w14:paraId="27135739" w14:textId="77777777" w:rsidR="00E86317" w:rsidRPr="00E86317" w:rsidRDefault="00E86317" w:rsidP="00E86317">
            <w:pPr>
              <w:ind w:firstLine="319"/>
              <w:rPr>
                <w:rFonts w:ascii="Arial" w:hAnsi="Arial" w:cs="Arial"/>
                <w:color w:val="000000"/>
                <w:sz w:val="20"/>
                <w:szCs w:val="20"/>
              </w:rPr>
            </w:pPr>
            <w:r w:rsidRPr="00E86317">
              <w:rPr>
                <w:rFonts w:ascii="Arial" w:hAnsi="Arial" w:cs="Arial"/>
                <w:color w:val="000000"/>
                <w:sz w:val="20"/>
                <w:szCs w:val="20"/>
                <w:lang w:eastAsia="vi-VN"/>
              </w:rPr>
              <w:t>Road</w:t>
            </w:r>
          </w:p>
        </w:tc>
        <w:tc>
          <w:tcPr>
            <w:tcW w:w="1811" w:type="dxa"/>
            <w:tcBorders>
              <w:top w:val="nil"/>
              <w:left w:val="nil"/>
              <w:bottom w:val="nil"/>
              <w:right w:val="nil"/>
            </w:tcBorders>
            <w:shd w:val="clear" w:color="auto" w:fill="auto"/>
            <w:noWrap/>
            <w:vAlign w:val="center"/>
            <w:hideMark/>
          </w:tcPr>
          <w:p w14:paraId="2C05F8BB" w14:textId="77777777" w:rsidR="00E86317" w:rsidRPr="00E86317" w:rsidRDefault="00E86317" w:rsidP="00E86317">
            <w:pPr>
              <w:spacing w:beforeLines="40" w:before="96"/>
              <w:ind w:right="447"/>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1,810.6</w:t>
            </w:r>
          </w:p>
        </w:tc>
        <w:tc>
          <w:tcPr>
            <w:tcW w:w="1843" w:type="dxa"/>
            <w:tcBorders>
              <w:top w:val="nil"/>
              <w:left w:val="nil"/>
              <w:bottom w:val="nil"/>
              <w:right w:val="nil"/>
            </w:tcBorders>
            <w:shd w:val="clear" w:color="auto" w:fill="auto"/>
            <w:noWrap/>
            <w:vAlign w:val="center"/>
            <w:hideMark/>
          </w:tcPr>
          <w:p w14:paraId="7C23DB4C" w14:textId="77777777" w:rsidR="00E86317" w:rsidRPr="00E86317" w:rsidRDefault="00E86317" w:rsidP="00E86317">
            <w:pPr>
              <w:spacing w:beforeLines="40" w:before="96"/>
              <w:ind w:right="447"/>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122.1</w:t>
            </w:r>
          </w:p>
        </w:tc>
        <w:tc>
          <w:tcPr>
            <w:tcW w:w="1795" w:type="dxa"/>
            <w:tcBorders>
              <w:top w:val="nil"/>
              <w:left w:val="nil"/>
              <w:bottom w:val="nil"/>
              <w:right w:val="nil"/>
            </w:tcBorders>
            <w:shd w:val="clear" w:color="auto" w:fill="auto"/>
            <w:noWrap/>
            <w:vAlign w:val="center"/>
          </w:tcPr>
          <w:p w14:paraId="06A0E9C0" w14:textId="77777777" w:rsidR="00E86317" w:rsidRPr="00E86317" w:rsidRDefault="00E86317" w:rsidP="00E86317">
            <w:pPr>
              <w:spacing w:beforeLines="40" w:before="96"/>
              <w:ind w:right="447"/>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14.9</w:t>
            </w:r>
          </w:p>
        </w:tc>
        <w:tc>
          <w:tcPr>
            <w:tcW w:w="1560" w:type="dxa"/>
            <w:tcBorders>
              <w:top w:val="nil"/>
              <w:left w:val="nil"/>
              <w:bottom w:val="nil"/>
              <w:right w:val="nil"/>
            </w:tcBorders>
            <w:shd w:val="clear" w:color="auto" w:fill="auto"/>
            <w:noWrap/>
            <w:vAlign w:val="center"/>
            <w:hideMark/>
          </w:tcPr>
          <w:p w14:paraId="66341708" w14:textId="77777777" w:rsidR="00E86317" w:rsidRPr="00E86317" w:rsidRDefault="00E86317" w:rsidP="00E86317">
            <w:pPr>
              <w:spacing w:beforeLines="40" w:before="96"/>
              <w:ind w:right="447"/>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15.0</w:t>
            </w:r>
          </w:p>
        </w:tc>
      </w:tr>
      <w:tr w:rsidR="00E86317" w:rsidRPr="00E86317" w14:paraId="194A8CEB" w14:textId="77777777" w:rsidTr="002F4D0B">
        <w:trPr>
          <w:cantSplit/>
          <w:trHeight w:val="372"/>
        </w:trPr>
        <w:tc>
          <w:tcPr>
            <w:tcW w:w="2158" w:type="dxa"/>
            <w:tcBorders>
              <w:top w:val="nil"/>
              <w:left w:val="nil"/>
              <w:bottom w:val="single" w:sz="4" w:space="0" w:color="auto"/>
              <w:right w:val="nil"/>
            </w:tcBorders>
            <w:shd w:val="clear" w:color="auto" w:fill="auto"/>
            <w:noWrap/>
            <w:vAlign w:val="center"/>
            <w:hideMark/>
          </w:tcPr>
          <w:p w14:paraId="63EF64E8" w14:textId="77777777" w:rsidR="00E86317" w:rsidRPr="00E86317" w:rsidRDefault="00E86317" w:rsidP="00E86317">
            <w:pPr>
              <w:ind w:firstLine="319"/>
              <w:rPr>
                <w:rFonts w:ascii="Arial" w:hAnsi="Arial" w:cs="Arial"/>
                <w:color w:val="000000"/>
                <w:sz w:val="20"/>
                <w:szCs w:val="20"/>
              </w:rPr>
            </w:pPr>
            <w:r w:rsidRPr="00E86317">
              <w:rPr>
                <w:rFonts w:ascii="Arial" w:hAnsi="Arial" w:cs="Arial"/>
                <w:color w:val="000000"/>
                <w:sz w:val="20"/>
                <w:szCs w:val="20"/>
                <w:lang w:eastAsia="vi-VN"/>
              </w:rPr>
              <w:t xml:space="preserve">Airway </w:t>
            </w:r>
          </w:p>
        </w:tc>
        <w:tc>
          <w:tcPr>
            <w:tcW w:w="1811" w:type="dxa"/>
            <w:tcBorders>
              <w:top w:val="nil"/>
              <w:left w:val="nil"/>
              <w:bottom w:val="single" w:sz="4" w:space="0" w:color="auto"/>
              <w:right w:val="nil"/>
            </w:tcBorders>
            <w:shd w:val="clear" w:color="auto" w:fill="auto"/>
            <w:noWrap/>
            <w:vAlign w:val="center"/>
            <w:hideMark/>
          </w:tcPr>
          <w:p w14:paraId="71FF0F57" w14:textId="77777777" w:rsidR="00E86317" w:rsidRPr="00E86317" w:rsidRDefault="00E86317" w:rsidP="00E86317">
            <w:pPr>
              <w:spacing w:beforeLines="40" w:before="96"/>
              <w:ind w:right="447"/>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0.4</w:t>
            </w:r>
          </w:p>
        </w:tc>
        <w:tc>
          <w:tcPr>
            <w:tcW w:w="1843" w:type="dxa"/>
            <w:tcBorders>
              <w:top w:val="nil"/>
              <w:left w:val="nil"/>
              <w:bottom w:val="single" w:sz="4" w:space="0" w:color="auto"/>
              <w:right w:val="nil"/>
            </w:tcBorders>
            <w:shd w:val="clear" w:color="auto" w:fill="auto"/>
            <w:noWrap/>
            <w:vAlign w:val="center"/>
            <w:hideMark/>
          </w:tcPr>
          <w:p w14:paraId="60FC6E7F" w14:textId="77777777" w:rsidR="00E86317" w:rsidRPr="00E86317" w:rsidRDefault="00E86317" w:rsidP="00E86317">
            <w:pPr>
              <w:spacing w:beforeLines="40" w:before="96"/>
              <w:ind w:right="447"/>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8.8</w:t>
            </w:r>
          </w:p>
        </w:tc>
        <w:tc>
          <w:tcPr>
            <w:tcW w:w="1795" w:type="dxa"/>
            <w:tcBorders>
              <w:top w:val="nil"/>
              <w:left w:val="nil"/>
              <w:bottom w:val="single" w:sz="4" w:space="0" w:color="auto"/>
              <w:right w:val="nil"/>
            </w:tcBorders>
            <w:shd w:val="clear" w:color="auto" w:fill="auto"/>
            <w:noWrap/>
            <w:vAlign w:val="center"/>
          </w:tcPr>
          <w:p w14:paraId="4F27DB92" w14:textId="77777777" w:rsidR="00E86317" w:rsidRPr="00E86317" w:rsidRDefault="00E86317" w:rsidP="00E86317">
            <w:pPr>
              <w:spacing w:beforeLines="40" w:before="96"/>
              <w:ind w:right="447"/>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39.1</w:t>
            </w:r>
          </w:p>
        </w:tc>
        <w:tc>
          <w:tcPr>
            <w:tcW w:w="1560" w:type="dxa"/>
            <w:tcBorders>
              <w:top w:val="nil"/>
              <w:left w:val="nil"/>
              <w:bottom w:val="single" w:sz="4" w:space="0" w:color="auto"/>
              <w:right w:val="nil"/>
            </w:tcBorders>
            <w:shd w:val="clear" w:color="auto" w:fill="auto"/>
            <w:noWrap/>
            <w:vAlign w:val="center"/>
            <w:hideMark/>
          </w:tcPr>
          <w:p w14:paraId="471F5D49" w14:textId="77777777" w:rsidR="00E86317" w:rsidRPr="00E86317" w:rsidRDefault="00E86317" w:rsidP="00E86317">
            <w:pPr>
              <w:spacing w:beforeLines="40" w:before="96"/>
              <w:ind w:right="447"/>
              <w:jc w:val="right"/>
              <w:rPr>
                <w:rFonts w:ascii="Arial" w:hAnsi="Arial" w:cs="Arial"/>
                <w:sz w:val="20"/>
                <w:szCs w:val="20"/>
                <w14:ligatures w14:val="standardContextual"/>
              </w:rPr>
            </w:pPr>
            <w:r w:rsidRPr="00E86317">
              <w:rPr>
                <w:rFonts w:ascii="Arial" w:hAnsi="Arial" w:cs="Arial"/>
                <w:color w:val="000000"/>
                <w:kern w:val="2"/>
                <w:sz w:val="20"/>
                <w:szCs w:val="20"/>
                <w14:ligatures w14:val="standardContextual"/>
              </w:rPr>
              <w:t>18.1</w:t>
            </w:r>
          </w:p>
        </w:tc>
      </w:tr>
    </w:tbl>
    <w:p w14:paraId="7D858EE9" w14:textId="77777777" w:rsidR="00114A48" w:rsidRPr="0058653F" w:rsidRDefault="00114A48" w:rsidP="00114A48">
      <w:pPr>
        <w:spacing w:after="120" w:line="276" w:lineRule="auto"/>
        <w:jc w:val="center"/>
        <w:rPr>
          <w:rFonts w:ascii="Arial" w:hAnsi="Arial" w:cs="Arial"/>
          <w:b/>
          <w:bCs/>
          <w:sz w:val="2"/>
          <w:szCs w:val="24"/>
          <w:lang w:val="fr-FR"/>
        </w:rPr>
      </w:pPr>
    </w:p>
    <w:p w14:paraId="07C87431" w14:textId="77777777" w:rsidR="00114A48" w:rsidRPr="0058653F" w:rsidRDefault="00114A48" w:rsidP="00114A48">
      <w:pPr>
        <w:pStyle w:val="NormalWeb"/>
        <w:shd w:val="clear" w:color="auto" w:fill="FFFFFF"/>
        <w:tabs>
          <w:tab w:val="left" w:pos="6540"/>
        </w:tabs>
        <w:spacing w:before="0" w:beforeAutospacing="0" w:after="0" w:afterAutospacing="0" w:line="276" w:lineRule="auto"/>
        <w:rPr>
          <w:b/>
          <w:bCs/>
          <w:sz w:val="2"/>
          <w:szCs w:val="28"/>
          <w:lang w:val="pt-BR"/>
        </w:rPr>
      </w:pPr>
    </w:p>
    <w:p w14:paraId="301E2370" w14:textId="77777777" w:rsidR="00114A48" w:rsidRPr="0058653F" w:rsidRDefault="00114A48" w:rsidP="00114A48">
      <w:pPr>
        <w:spacing w:after="120" w:line="276" w:lineRule="auto"/>
        <w:jc w:val="center"/>
        <w:rPr>
          <w:rFonts w:ascii="Arial" w:hAnsi="Arial" w:cs="Arial"/>
          <w:b/>
          <w:bCs/>
          <w:sz w:val="2"/>
          <w:szCs w:val="24"/>
          <w:lang w:val="fr-FR"/>
        </w:rPr>
      </w:pPr>
    </w:p>
    <w:p w14:paraId="0F425CE7" w14:textId="77777777" w:rsidR="00114A48" w:rsidRPr="0058653F" w:rsidRDefault="00114A48" w:rsidP="00114A48">
      <w:pPr>
        <w:pStyle w:val="NormalWeb"/>
        <w:shd w:val="clear" w:color="auto" w:fill="FFFFFF"/>
        <w:tabs>
          <w:tab w:val="left" w:pos="6540"/>
        </w:tabs>
        <w:spacing w:before="0" w:beforeAutospacing="0" w:after="0" w:afterAutospacing="0" w:line="276" w:lineRule="auto"/>
        <w:rPr>
          <w:b/>
          <w:bCs/>
          <w:sz w:val="2"/>
          <w:szCs w:val="28"/>
          <w:lang w:val="pt-BR"/>
        </w:rPr>
      </w:pPr>
    </w:p>
    <w:p w14:paraId="394AA9EE" w14:textId="77777777" w:rsidR="00E86317" w:rsidRPr="00E86317" w:rsidRDefault="00E86317" w:rsidP="00E86317">
      <w:pPr>
        <w:spacing w:beforeLines="40" w:before="96" w:afterLines="40" w:after="96" w:line="293" w:lineRule="auto"/>
        <w:ind w:firstLine="567"/>
        <w:jc w:val="both"/>
        <w:rPr>
          <w:b/>
          <w:bCs/>
          <w:i/>
        </w:rPr>
      </w:pPr>
      <w:r w:rsidRPr="00E86317">
        <w:rPr>
          <w:b/>
          <w:bCs/>
          <w:i/>
          <w:iCs/>
          <w:lang w:val="pt-BR"/>
        </w:rPr>
        <w:t xml:space="preserve">đ) </w:t>
      </w:r>
      <w:r w:rsidRPr="00E86317">
        <w:rPr>
          <w:rFonts w:ascii="Times New Roman Bold Italic" w:hAnsi="Times New Roman Bold Italic"/>
          <w:b/>
          <w:i/>
          <w:iCs/>
        </w:rPr>
        <w:t>International visitors to Viet Nam</w:t>
      </w:r>
      <w:r w:rsidRPr="00E86317">
        <w:rPr>
          <w:rFonts w:ascii="Times New Roman Bold Italic" w:eastAsia="DengXian Light" w:hAnsi="Times New Roman Bold Italic"/>
          <w:b/>
          <w:i/>
          <w:iCs/>
          <w:vertAlign w:val="superscript"/>
        </w:rPr>
        <w:footnoteReference w:id="26"/>
      </w:r>
    </w:p>
    <w:p w14:paraId="0065E7A8" w14:textId="77777777" w:rsidR="00E86317" w:rsidRPr="00E86317" w:rsidRDefault="00E86317" w:rsidP="00E86317">
      <w:pPr>
        <w:shd w:val="clear" w:color="auto" w:fill="FFFFFF"/>
        <w:spacing w:beforeLines="40" w:before="96" w:afterLines="40" w:after="96" w:line="293" w:lineRule="auto"/>
        <w:ind w:firstLine="567"/>
        <w:jc w:val="both"/>
        <w:rPr>
          <w:i/>
          <w:iCs/>
        </w:rPr>
      </w:pPr>
      <w:r w:rsidRPr="00E86317">
        <w:rPr>
          <w:i/>
          <w:iCs/>
        </w:rPr>
        <w:t>Favorable visa policies, enhanced tourism promotion programs, and prestigious tourism awards presented by international organizations have attracted an increasing number of international visitors to Vietnam.</w:t>
      </w:r>
    </w:p>
    <w:p w14:paraId="6074C37D" w14:textId="3179842A" w:rsidR="00E86317" w:rsidRPr="00E86317" w:rsidRDefault="00E86317" w:rsidP="00E86317">
      <w:pPr>
        <w:shd w:val="clear" w:color="auto" w:fill="FFFFFF"/>
        <w:spacing w:beforeLines="40" w:before="96" w:afterLines="40" w:after="96" w:line="293" w:lineRule="auto"/>
        <w:ind w:firstLine="567"/>
        <w:jc w:val="both"/>
      </w:pPr>
      <w:r w:rsidRPr="00E86317">
        <w:t>In 11/2024</w:t>
      </w:r>
      <w:r w:rsidRPr="00E86317">
        <w:rPr>
          <w:rFonts w:eastAsia="DengXian Light"/>
          <w:vertAlign w:val="superscript"/>
          <w:lang w:val="fr-FR"/>
        </w:rPr>
        <w:footnoteReference w:id="27"/>
      </w:r>
      <w:r w:rsidRPr="00E86317">
        <w:t xml:space="preserve">, the number of international visitors to Viet Nam reached 1.7 million, </w:t>
      </w:r>
      <w:bookmarkStart w:id="11" w:name="_Hlk149633866"/>
      <w:r w:rsidRPr="00E86317">
        <w:t xml:space="preserve">increased by 38.8% </w:t>
      </w:r>
      <w:bookmarkEnd w:id="11"/>
      <w:r w:rsidRPr="00E86317">
        <w:t xml:space="preserve">compared to the same period last year. In eleven </w:t>
      </w:r>
      <w:r w:rsidRPr="00E86317">
        <w:t>months of</w:t>
      </w:r>
      <w:r w:rsidRPr="00E86317">
        <w:t xml:space="preserve"> </w:t>
      </w:r>
      <w:r w:rsidRPr="00E86317">
        <w:t>2024, international</w:t>
      </w:r>
      <w:r w:rsidRPr="00E86317">
        <w:t xml:space="preserve"> visitors to our country reached</w:t>
      </w:r>
      <w:bookmarkStart w:id="12" w:name="_Hlk149633887"/>
      <w:r w:rsidRPr="00E86317">
        <w:t xml:space="preserve"> nearly 15.8 million arrivals</w:t>
      </w:r>
      <w:bookmarkEnd w:id="12"/>
      <w:r w:rsidRPr="00E86317">
        <w:t>, up 41.0% compared to the same period last year.</w:t>
      </w:r>
    </w:p>
    <w:p w14:paraId="3930B886" w14:textId="1D23B729" w:rsidR="00E86317" w:rsidRDefault="00E86317" w:rsidP="00E86317">
      <w:pPr>
        <w:shd w:val="clear" w:color="auto" w:fill="FFFFFF"/>
        <w:spacing w:beforeLines="40" w:before="96" w:afterLines="40" w:after="96" w:line="300" w:lineRule="auto"/>
        <w:ind w:firstLine="567"/>
        <w:jc w:val="both"/>
      </w:pPr>
      <w:r w:rsidRPr="00E86317">
        <w:t>Out of a total of nearly 15.8 million international arrivals to Viet Nam in eleven months  of this year, arrivals by air reached nearly 13.4 million arrivals, accounting for 84.5% of international arrivals to Viet Nam and up 36.4% over the same period last year; by road reached 2.2</w:t>
      </w:r>
      <w:r w:rsidRPr="00E86317">
        <w:rPr>
          <w:bCs/>
          <w:lang w:val="pt-BR" w:eastAsia="en-GB"/>
        </w:rPr>
        <w:t xml:space="preserve"> </w:t>
      </w:r>
      <w:r w:rsidRPr="00E86317">
        <w:t xml:space="preserve">million arrivals, accounting for 14.1% and up 67.4%; by sea reached </w:t>
      </w:r>
      <w:r w:rsidRPr="00E86317">
        <w:rPr>
          <w:bCs/>
          <w:lang w:val="pt-BR" w:eastAsia="en-GB"/>
        </w:rPr>
        <w:t xml:space="preserve">221.2 </w:t>
      </w:r>
      <w:r w:rsidRPr="00E86317">
        <w:t>thousand arrivals, accounting for 1.4% and up 151.7% .</w:t>
      </w:r>
    </w:p>
    <w:p w14:paraId="0853D0B8" w14:textId="77777777" w:rsidR="00E86317" w:rsidRDefault="00E86317" w:rsidP="00E86317">
      <w:pPr>
        <w:shd w:val="clear" w:color="auto" w:fill="FFFFFF"/>
        <w:spacing w:beforeLines="40" w:before="96" w:afterLines="40" w:after="96" w:line="300" w:lineRule="auto"/>
        <w:ind w:firstLine="567"/>
        <w:jc w:val="both"/>
      </w:pPr>
    </w:p>
    <w:p w14:paraId="0BBC6DA4" w14:textId="77777777" w:rsidR="00E86317" w:rsidRDefault="00E86317" w:rsidP="00E86317">
      <w:pPr>
        <w:shd w:val="clear" w:color="auto" w:fill="FFFFFF"/>
        <w:spacing w:beforeLines="40" w:before="96" w:afterLines="40" w:after="96" w:line="300" w:lineRule="auto"/>
        <w:ind w:firstLine="567"/>
        <w:jc w:val="both"/>
      </w:pPr>
    </w:p>
    <w:p w14:paraId="25189B92" w14:textId="77777777" w:rsidR="00E86317" w:rsidRDefault="00E86317" w:rsidP="00E86317">
      <w:pPr>
        <w:shd w:val="clear" w:color="auto" w:fill="FFFFFF"/>
        <w:spacing w:beforeLines="40" w:before="96" w:afterLines="40" w:after="96" w:line="300" w:lineRule="auto"/>
        <w:ind w:firstLine="567"/>
        <w:jc w:val="both"/>
      </w:pPr>
    </w:p>
    <w:p w14:paraId="0DE3D184" w14:textId="77777777" w:rsidR="00E86317" w:rsidRDefault="00E86317" w:rsidP="00E86317">
      <w:pPr>
        <w:shd w:val="clear" w:color="auto" w:fill="FFFFFF"/>
        <w:spacing w:beforeLines="40" w:before="96" w:afterLines="40" w:after="96" w:line="300" w:lineRule="auto"/>
        <w:ind w:firstLine="567"/>
        <w:jc w:val="both"/>
      </w:pPr>
    </w:p>
    <w:p w14:paraId="5399B021" w14:textId="77777777" w:rsidR="00E86317" w:rsidRDefault="00E86317" w:rsidP="00E86317">
      <w:pPr>
        <w:shd w:val="clear" w:color="auto" w:fill="FFFFFF"/>
        <w:spacing w:beforeLines="40" w:before="96" w:afterLines="40" w:after="96" w:line="300" w:lineRule="auto"/>
        <w:ind w:firstLine="567"/>
        <w:jc w:val="both"/>
      </w:pPr>
    </w:p>
    <w:p w14:paraId="7E6F108C" w14:textId="77777777" w:rsidR="00E86317" w:rsidRDefault="00E86317" w:rsidP="00E86317">
      <w:pPr>
        <w:shd w:val="clear" w:color="auto" w:fill="FFFFFF"/>
        <w:spacing w:beforeLines="40" w:before="96" w:afterLines="40" w:after="96" w:line="300" w:lineRule="auto"/>
        <w:ind w:firstLine="567"/>
        <w:jc w:val="both"/>
      </w:pPr>
    </w:p>
    <w:p w14:paraId="35BE35C9" w14:textId="77777777" w:rsidR="00E86317" w:rsidRDefault="00E86317" w:rsidP="00E86317">
      <w:pPr>
        <w:shd w:val="clear" w:color="auto" w:fill="FFFFFF"/>
        <w:spacing w:beforeLines="40" w:before="96" w:afterLines="40" w:after="96" w:line="300" w:lineRule="auto"/>
        <w:ind w:firstLine="567"/>
        <w:jc w:val="both"/>
      </w:pPr>
    </w:p>
    <w:p w14:paraId="0257FE06" w14:textId="77777777" w:rsidR="00E86317" w:rsidRDefault="00E86317" w:rsidP="00E86317">
      <w:pPr>
        <w:shd w:val="clear" w:color="auto" w:fill="FFFFFF"/>
        <w:spacing w:beforeLines="40" w:before="96" w:afterLines="40" w:after="96" w:line="300" w:lineRule="auto"/>
        <w:ind w:firstLine="567"/>
        <w:jc w:val="both"/>
      </w:pPr>
    </w:p>
    <w:p w14:paraId="43F01BA1" w14:textId="77777777" w:rsidR="00E86317" w:rsidRPr="00E86317" w:rsidRDefault="00E86317" w:rsidP="00E86317">
      <w:pPr>
        <w:shd w:val="clear" w:color="auto" w:fill="FFFFFF"/>
        <w:spacing w:beforeLines="40" w:before="96" w:afterLines="40" w:after="96" w:line="300" w:lineRule="auto"/>
        <w:ind w:firstLine="567"/>
        <w:jc w:val="both"/>
      </w:pPr>
    </w:p>
    <w:p w14:paraId="14571C08" w14:textId="77777777" w:rsidR="00E86317" w:rsidRPr="00E86317" w:rsidRDefault="00E86317" w:rsidP="00E86317">
      <w:pPr>
        <w:spacing w:beforeLines="40" w:before="96" w:afterLines="40" w:after="96" w:line="264" w:lineRule="auto"/>
        <w:jc w:val="center"/>
        <w:rPr>
          <w:rFonts w:ascii="Arial" w:hAnsi="Arial" w:cs="Arial"/>
          <w:b/>
          <w:bCs/>
          <w:iCs/>
          <w:sz w:val="24"/>
          <w:szCs w:val="24"/>
        </w:rPr>
      </w:pPr>
      <w:r w:rsidRPr="00E86317">
        <w:rPr>
          <w:rFonts w:ascii="Arial" w:hAnsi="Arial" w:cs="Arial"/>
          <w:b/>
          <w:bCs/>
          <w:iCs/>
          <w:sz w:val="24"/>
          <w:szCs w:val="24"/>
        </w:rPr>
        <w:lastRenderedPageBreak/>
        <w:t xml:space="preserve">Figure 17. International visitors to Viet Nam in 11 months </w:t>
      </w:r>
      <w:r w:rsidRPr="00E86317">
        <w:rPr>
          <w:rFonts w:ascii="Arial" w:hAnsi="Arial" w:cs="Arial"/>
          <w:b/>
          <w:bCs/>
          <w:iCs/>
          <w:sz w:val="24"/>
          <w:szCs w:val="24"/>
        </w:rPr>
        <w:br/>
        <w:t>of 2024 by territories</w:t>
      </w:r>
    </w:p>
    <w:p w14:paraId="6CDB26C3" w14:textId="77777777" w:rsidR="00E86317" w:rsidRPr="00E86317" w:rsidRDefault="00E86317" w:rsidP="00E86317">
      <w:r w:rsidRPr="00E86317">
        <w:rPr>
          <w:noProof/>
        </w:rPr>
        <w:drawing>
          <wp:inline distT="0" distB="0" distL="0" distR="0" wp14:anchorId="2E6AE819" wp14:editId="518F3C11">
            <wp:extent cx="5972175" cy="2990850"/>
            <wp:effectExtent l="0" t="0" r="9525" b="0"/>
            <wp:docPr id="174293322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33220" name="Picture 1" descr="A screenshot of a graph&#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175" cy="2990850"/>
                    </a:xfrm>
                    <a:prstGeom prst="rect">
                      <a:avLst/>
                    </a:prstGeom>
                    <a:noFill/>
                    <a:ln>
                      <a:noFill/>
                    </a:ln>
                  </pic:spPr>
                </pic:pic>
              </a:graphicData>
            </a:graphic>
          </wp:inline>
        </w:drawing>
      </w:r>
    </w:p>
    <w:p w14:paraId="1DD00E16" w14:textId="77777777" w:rsidR="00E86317" w:rsidRPr="00E86317" w:rsidRDefault="00E86317" w:rsidP="00E86317">
      <w:pPr>
        <w:spacing w:line="288" w:lineRule="auto"/>
        <w:ind w:firstLine="720"/>
        <w:jc w:val="both"/>
        <w:rPr>
          <w:rFonts w:eastAsia="Calibri"/>
          <w:b/>
        </w:rPr>
      </w:pPr>
      <w:r w:rsidRPr="00E86317">
        <w:rPr>
          <w:rFonts w:eastAsia="Calibri"/>
          <w:b/>
        </w:rPr>
        <w:t>7. Some social situations</w:t>
      </w:r>
    </w:p>
    <w:p w14:paraId="51B918C4" w14:textId="77777777" w:rsidR="00E86317" w:rsidRPr="00E86317" w:rsidRDefault="00E86317" w:rsidP="00E86317">
      <w:pPr>
        <w:spacing w:line="288" w:lineRule="auto"/>
        <w:ind w:firstLine="720"/>
        <w:jc w:val="both"/>
        <w:rPr>
          <w:rFonts w:eastAsia="Calibri"/>
          <w:b/>
          <w:i/>
        </w:rPr>
      </w:pPr>
      <w:r w:rsidRPr="00E86317">
        <w:rPr>
          <w:rFonts w:eastAsia="Calibri"/>
          <w:b/>
          <w:i/>
        </w:rPr>
        <w:t xml:space="preserve">a) Residential life </w:t>
      </w:r>
    </w:p>
    <w:p w14:paraId="44F7E893" w14:textId="77777777" w:rsidR="00E86317" w:rsidRPr="00E86317" w:rsidRDefault="00E86317" w:rsidP="00E86317">
      <w:pPr>
        <w:spacing w:line="288" w:lineRule="auto"/>
        <w:ind w:firstLine="720"/>
        <w:jc w:val="both"/>
        <w:rPr>
          <w:rFonts w:eastAsia="Calibri"/>
        </w:rPr>
      </w:pPr>
      <w:r w:rsidRPr="00E86317">
        <w:rPr>
          <w:rFonts w:eastAsia="Calibri"/>
        </w:rPr>
        <w:t>According to the survey on the living situation of households in November 2024, the proportion of households assessed to have income during the month remained unchanged and increased compared to the same period last year was 96.2% (an increase of 0.8 percentage points). percent compared to the October 2024 reporting period and an increase of 2.0 percentage points compared to the same period last year); The proportion of households assessed to have reduced income and unknown compared to the same month in 2023 is 3.8%.</w:t>
      </w:r>
    </w:p>
    <w:p w14:paraId="75A23347" w14:textId="77777777" w:rsidR="00E86317" w:rsidRPr="00E86317" w:rsidRDefault="00E86317" w:rsidP="00E86317">
      <w:pPr>
        <w:spacing w:line="288" w:lineRule="auto"/>
        <w:ind w:firstLine="720"/>
        <w:jc w:val="both"/>
        <w:rPr>
          <w:rFonts w:eastAsia="Calibri"/>
        </w:rPr>
      </w:pPr>
      <w:r w:rsidRPr="00E86317">
        <w:rPr>
          <w:rFonts w:eastAsia="Calibri"/>
        </w:rPr>
        <w:t>Households whose income in November decreased compared to the same period last year identified the main reasons</w:t>
      </w:r>
      <w:r w:rsidRPr="00E86317">
        <w:rPr>
          <w:rFonts w:eastAsia="Calibri"/>
          <w:bCs/>
          <w:snapToGrid w:val="0"/>
          <w:spacing w:val="-4"/>
          <w:vertAlign w:val="superscript"/>
          <w:lang w:val="nl-NL"/>
        </w:rPr>
        <w:footnoteReference w:id="28"/>
      </w:r>
      <w:r w:rsidRPr="00E86317">
        <w:rPr>
          <w:rFonts w:eastAsia="Calibri"/>
        </w:rPr>
        <w:t xml:space="preserve"> as: Some household members lost their jobs or temporarily quit their jobs (rate of 46.6%); due to the decrease in the scale of household production and business activities (25.3%); due to increased input costs for household production and business activities (20.6%); due to the decrease in selling prices of products from household production and business activities (17.4%); due to the impact of natural disasters (10.6%).</w:t>
      </w:r>
    </w:p>
    <w:p w14:paraId="6A962FDD" w14:textId="77777777" w:rsidR="00E86317" w:rsidRPr="00E86317" w:rsidRDefault="00E86317" w:rsidP="00E86317">
      <w:pPr>
        <w:spacing w:line="288" w:lineRule="auto"/>
        <w:ind w:firstLine="720"/>
        <w:jc w:val="both"/>
        <w:rPr>
          <w:rFonts w:eastAsia="Calibri"/>
        </w:rPr>
      </w:pPr>
      <w:r w:rsidRPr="00E86317">
        <w:rPr>
          <w:rFonts w:eastAsia="Calibri"/>
        </w:rPr>
        <w:t xml:space="preserve">In the eleven months of 2024, 31.5% of households reported experiencing at least one event that negatively affected family life, an increase of 0.4 percentage points compared to the October 2024 reporting period. and a decrease of 0.4 percentage points compared to the November 2023 reporting period. Among the households negatively affected by the events: 30.0% of households are suffering from the effects of rising prices of goods and services; 3.2% of households are </w:t>
      </w:r>
      <w:r w:rsidRPr="00E86317">
        <w:rPr>
          <w:rFonts w:eastAsia="Calibri"/>
        </w:rPr>
        <w:lastRenderedPageBreak/>
        <w:t>negatively affected by natural disasters; 2.5% of households are negatively affected by epidemics on humans and 2.0% of households are negatively affected by epidemics on livestock and crops.</w:t>
      </w:r>
    </w:p>
    <w:p w14:paraId="1EB721E8" w14:textId="77777777" w:rsidR="00E86317" w:rsidRPr="00E86317" w:rsidRDefault="00E86317" w:rsidP="00E86317">
      <w:pPr>
        <w:spacing w:line="288" w:lineRule="auto"/>
        <w:ind w:firstLine="720"/>
        <w:jc w:val="both"/>
        <w:rPr>
          <w:rFonts w:eastAsia="Calibri"/>
        </w:rPr>
      </w:pPr>
      <w:r w:rsidRPr="00E86317">
        <w:rPr>
          <w:rFonts w:eastAsia="Calibri"/>
        </w:rPr>
        <w:t>In the eleven months of 2024, 12.8% of interviewed households received assistance from various sources of support. Of which, the proportion of households receiving assistance from relatives is 8.5%; from local programs and policies is 4.8%; from general national programs and policies is 4.6%; from charitable activities of other organizations and individuals is 1.8% and from other sources is 0.02%.</w:t>
      </w:r>
    </w:p>
    <w:p w14:paraId="729C74FB" w14:textId="77777777" w:rsidR="00E86317" w:rsidRDefault="00E86317" w:rsidP="00E86317">
      <w:pPr>
        <w:spacing w:line="288" w:lineRule="auto"/>
        <w:ind w:firstLine="720"/>
        <w:jc w:val="both"/>
        <w:rPr>
          <w:rFonts w:eastAsia="Calibri"/>
        </w:rPr>
      </w:pPr>
      <w:r w:rsidRPr="00E86317">
        <w:rPr>
          <w:rFonts w:eastAsia="Calibri"/>
        </w:rPr>
        <w:t>The work of ensuring social security is always carried out promptly and effectively by all levels and sectors. According to a report from the Ministry of Labor, War Invalids and Social Affairs, in eleven months of this year, the Government, ministries, branches and localities have supported people with nearly 21.8 thousand tons of rice, of which: Supported 10.4 thousand tons of rice for hunger relief on the occasion of the Lunar New Year Giap Thin for 693.4 thousand people; supporting more than 5.9 thousand tons of rice to relieve hunger in 2024 for 396.3 thousand people; Localities have developed plans and proactively arranged local budgets and socialization resources to support nearly 5 thousand tons of rice for poor, near-poor households and people in difficult circumstances.</w:t>
      </w:r>
    </w:p>
    <w:p w14:paraId="6FDD2EFE" w14:textId="77777777" w:rsidR="00E86317" w:rsidRPr="00E86317" w:rsidRDefault="00E86317" w:rsidP="00E86317">
      <w:pPr>
        <w:tabs>
          <w:tab w:val="left" w:pos="0"/>
          <w:tab w:val="left" w:pos="720"/>
        </w:tabs>
        <w:spacing w:after="120" w:line="259" w:lineRule="auto"/>
        <w:ind w:firstLine="720"/>
        <w:jc w:val="both"/>
        <w:rPr>
          <w:b/>
          <w:bCs/>
          <w:i/>
          <w:iCs/>
          <w:lang w:val="nl-NL"/>
        </w:rPr>
      </w:pPr>
      <w:r w:rsidRPr="00E86317">
        <w:rPr>
          <w:b/>
          <w:bCs/>
          <w:i/>
          <w:iCs/>
          <w:lang w:val="nl-NL"/>
        </w:rPr>
        <w:t>b) Disease situation and food poisoning</w:t>
      </w:r>
    </w:p>
    <w:p w14:paraId="1360B64B" w14:textId="77777777" w:rsidR="00E86317" w:rsidRPr="00E86317" w:rsidRDefault="00E86317" w:rsidP="00E86317">
      <w:pPr>
        <w:spacing w:after="120" w:line="259" w:lineRule="auto"/>
        <w:ind w:firstLine="720"/>
        <w:jc w:val="both"/>
        <w:rPr>
          <w:lang w:val="de-DE"/>
        </w:rPr>
      </w:pPr>
      <w:r w:rsidRPr="00E86317">
        <w:rPr>
          <w:lang w:val="de-DE"/>
        </w:rPr>
        <w:t>According to a report from the Ministry of Health, in the month (from October 19th to November 18th, 2024), the whole country had 20,334 cases of dengue fever (03 deaths); 11,256 cases of hand, foot and mouth disease; 7,159 cases of typhus suspected of measles (01 death); 04 deaths due to rabies; 139 cases of viral encephalitis; 07 cases of meningococcal meningitis. In the eleven months of 2024, the whole country had 114.9 thousand cases of dengue fever (18 deaths); 67.9 thousand cases of hand, foot and mouth disease; 14.3 thousand cases of typhus suspected of measles (04 deaths); 74 deaths due to rabies; 532 cases of viral encephalitis (06 deaths); 22 cases of meningococcal meningitis; 10 cases of diphtheria (01 death); 01 case of influenza A and died.</w:t>
      </w:r>
    </w:p>
    <w:p w14:paraId="003E2401" w14:textId="77777777" w:rsidR="00E86317" w:rsidRPr="00E86317" w:rsidRDefault="00E86317" w:rsidP="00E86317">
      <w:pPr>
        <w:spacing w:after="120" w:line="259" w:lineRule="auto"/>
        <w:ind w:firstLine="720"/>
        <w:jc w:val="both"/>
        <w:rPr>
          <w:lang w:val="de-DE"/>
        </w:rPr>
      </w:pPr>
      <w:r w:rsidRPr="00E86317">
        <w:rPr>
          <w:lang w:val="de-DE"/>
        </w:rPr>
        <w:t>The total number of people living with HIV in the country as of November 18th, 2024 was 245.5 thousand people; The number of deaths due to HIV/AIDS was 115.9 thousand people.</w:t>
      </w:r>
    </w:p>
    <w:p w14:paraId="6AF7FC26" w14:textId="77777777" w:rsidR="00E86317" w:rsidRPr="00E86317" w:rsidRDefault="00E86317" w:rsidP="00E86317">
      <w:pPr>
        <w:spacing w:after="120" w:line="259" w:lineRule="auto"/>
        <w:ind w:firstLine="720"/>
        <w:jc w:val="both"/>
        <w:rPr>
          <w:lang w:val="de-DE"/>
        </w:rPr>
      </w:pPr>
      <w:r w:rsidRPr="00E86317">
        <w:rPr>
          <w:lang w:val="de-DE"/>
        </w:rPr>
        <w:t>Regarding food poisoning, in November 2024, there were 05 cases with 178 people being poisoned, causing 01 death. In the eleven months of 2024 (from December 19th, 2023 to November 18th, 2024), there were 104 cases nationwide with 3,739 people being poisoned (13 people died).</w:t>
      </w:r>
    </w:p>
    <w:p w14:paraId="46912A14" w14:textId="77777777" w:rsidR="00E86317" w:rsidRPr="00E86317" w:rsidRDefault="00E86317" w:rsidP="00E86317">
      <w:pPr>
        <w:spacing w:after="120" w:line="259" w:lineRule="auto"/>
        <w:ind w:firstLine="720"/>
        <w:jc w:val="both"/>
        <w:outlineLvl w:val="0"/>
        <w:rPr>
          <w:b/>
          <w:i/>
          <w:lang w:val="nl-NL"/>
        </w:rPr>
      </w:pPr>
      <w:r w:rsidRPr="00E86317">
        <w:rPr>
          <w:b/>
          <w:bCs/>
          <w:i/>
          <w:iCs/>
          <w:lang w:val="pl-PL"/>
        </w:rPr>
        <w:lastRenderedPageBreak/>
        <w:t xml:space="preserve">c) </w:t>
      </w:r>
      <w:r w:rsidRPr="00E86317">
        <w:rPr>
          <w:b/>
          <w:i/>
          <w:lang w:val="nl-NL"/>
        </w:rPr>
        <w:t>Sports activities</w:t>
      </w:r>
    </w:p>
    <w:p w14:paraId="4A081543" w14:textId="77777777" w:rsidR="00E86317" w:rsidRPr="00E86317" w:rsidRDefault="00E86317" w:rsidP="00E86317">
      <w:pPr>
        <w:spacing w:after="120" w:line="259" w:lineRule="auto"/>
        <w:ind w:firstLine="720"/>
        <w:jc w:val="both"/>
        <w:rPr>
          <w:bCs/>
          <w:lang w:val="nl-NL"/>
        </w:rPr>
      </w:pPr>
      <w:r w:rsidRPr="00E86317">
        <w:rPr>
          <w:bCs/>
          <w:lang w:val="nl-NL"/>
        </w:rPr>
        <w:t>Regarding the mass sports movement, some outstanding activities taking place this month in Hanoi include: Women's Football National Cup 2024; VnExpress Marathon Hanoi Midnight 2024 - Hyundai Thanh Cong Cup with the participation of 10,000 athletes; National Artistic Gymnastics Championship 2024 from November 19-25th, 2024; National Shooting Championship 2024 from November 8-21st, 2024; National Team Petanque Championship 2024 from November 6-15th, 2024.</w:t>
      </w:r>
    </w:p>
    <w:p w14:paraId="0FB12D24" w14:textId="05D43C57" w:rsidR="00E86317" w:rsidRPr="00E86317" w:rsidRDefault="00E86317" w:rsidP="00E86317">
      <w:pPr>
        <w:spacing w:after="120" w:line="259" w:lineRule="auto"/>
        <w:ind w:firstLine="720"/>
        <w:jc w:val="both"/>
        <w:rPr>
          <w:bCs/>
          <w:lang w:val="nl-NL"/>
        </w:rPr>
      </w:pPr>
      <w:r w:rsidRPr="00E86317">
        <w:rPr>
          <w:bCs/>
          <w:lang w:val="nl-NL"/>
        </w:rPr>
        <w:t>Regarding high-performance sports, in November, a number of outstanding events took place such as: The Vietnamese women's Futsal team won the championship at the 2024 Southeast Asian Women's Futsal tournament starting from November 16-21st, 2024 in the Philippines; Vietnam youth chess team won 02 bronze medals at the 2024 World Youth Chess Tournament from November 14-26th, 2024 in Italy; Vietnam e-Sports team won the silver medal in Mobile Alliance at the 2024 Asian Esports Games (AEG) tournament from November 25th to December 2nd, 2024 in Thailand; the Vietnamese Table Tennis team won the women's singles gold medal for the first time, in addition to winning 03 silver medals and 02 bronze medals at the 2024 Southeast Asian Table Tennis Championship from November 19-24th, 2024 in Thailand; Vietnam Futsal team won the silver medal at the 2024 Southeast Asia Futsal Championship from November 2-10th, 2024 in Thailand; The Vietnamese Bodybuilding team won 10 gold medals, 05 silver medals and 11 bronze medals, excellently reaching first place in the entire group at the 2024 World Bodybuilding and Fitness Championship from November 5-11st, 2024 in Maldives.</w:t>
      </w:r>
    </w:p>
    <w:p w14:paraId="7740A7C2" w14:textId="77777777" w:rsidR="00E86317" w:rsidRPr="00E86317" w:rsidRDefault="00E86317" w:rsidP="00E86317">
      <w:pPr>
        <w:spacing w:line="288" w:lineRule="auto"/>
        <w:ind w:firstLine="720"/>
        <w:jc w:val="both"/>
        <w:rPr>
          <w:rFonts w:eastAsia="Calibri"/>
          <w:b/>
          <w:i/>
        </w:rPr>
      </w:pPr>
      <w:r w:rsidRPr="00E86317">
        <w:rPr>
          <w:rFonts w:eastAsia="Calibri"/>
          <w:b/>
          <w:i/>
        </w:rPr>
        <w:t>d) Traffic accident</w:t>
      </w:r>
      <w:r w:rsidRPr="00E86317">
        <w:rPr>
          <w:rFonts w:eastAsia="Calibri"/>
          <w:b/>
          <w:bCs/>
          <w:i/>
          <w:iCs/>
          <w:vertAlign w:val="superscript"/>
        </w:rPr>
        <w:footnoteReference w:id="29"/>
      </w:r>
      <w:r w:rsidRPr="00E86317">
        <w:rPr>
          <w:rFonts w:eastAsia="Calibri"/>
          <w:b/>
          <w:i/>
        </w:rPr>
        <w:t xml:space="preserve"> </w:t>
      </w:r>
    </w:p>
    <w:p w14:paraId="0670B0F2" w14:textId="77777777" w:rsidR="00E86317" w:rsidRPr="00E86317" w:rsidRDefault="00E86317" w:rsidP="00E86317">
      <w:pPr>
        <w:spacing w:line="288" w:lineRule="auto"/>
        <w:ind w:firstLine="720"/>
        <w:jc w:val="both"/>
        <w:rPr>
          <w:rFonts w:eastAsia="Calibri"/>
        </w:rPr>
      </w:pPr>
      <w:r w:rsidRPr="00E86317">
        <w:rPr>
          <w:rFonts w:eastAsia="Calibri"/>
        </w:rPr>
        <w:t>In November (from October 26 to November 25, 2024), there were 1,994 traffic accidents nationwide, killing 918 people and injuring 1,459 people. Compared to October 2024, the number of traffic accidents increased by 7.8%; number of deaths increased by 2.5%; The number of injured people increased by 8.3%. Compared to the same period in 2023, the number of traffic accidents decreased by 18.1%; number of deaths decreased by 13.0%; The number of injured people decreased by 23.8%.</w:t>
      </w:r>
    </w:p>
    <w:p w14:paraId="2C40E3F2" w14:textId="77777777" w:rsidR="00E86317" w:rsidRPr="00E86317" w:rsidRDefault="00E86317" w:rsidP="00E86317">
      <w:pPr>
        <w:spacing w:line="288" w:lineRule="auto"/>
        <w:ind w:firstLine="720"/>
        <w:jc w:val="both"/>
        <w:rPr>
          <w:rFonts w:eastAsia="Calibri"/>
        </w:rPr>
      </w:pPr>
      <w:r w:rsidRPr="00E86317">
        <w:rPr>
          <w:rFonts w:eastAsia="Calibri"/>
        </w:rPr>
        <w:t xml:space="preserve">In the eleven months of 2024, there were 21,453 traffic accidents nationwide, killing 9,940 people and injuring 15,896 people. Compared to the same period last year, the number of traffic accidents increased by 2.7%; number of deaths decreased by 8.6%; The number of injured people increased by 8.5%. </w:t>
      </w:r>
      <w:r w:rsidRPr="00E86317">
        <w:rPr>
          <w:rFonts w:eastAsia="Calibri"/>
        </w:rPr>
        <w:lastRenderedPageBreak/>
        <w:t>On average, every day in the eleven months of 2024, there will be 64 traffic accidents nationwide, killing 30 people and injuring 47 people.</w:t>
      </w:r>
    </w:p>
    <w:p w14:paraId="50757EF3" w14:textId="77777777" w:rsidR="00E86317" w:rsidRPr="00E86317" w:rsidRDefault="00E86317" w:rsidP="00E86317">
      <w:pPr>
        <w:spacing w:line="288" w:lineRule="auto"/>
        <w:ind w:firstLine="720"/>
        <w:jc w:val="both"/>
        <w:rPr>
          <w:rFonts w:eastAsia="Calibri"/>
          <w:b/>
          <w:i/>
        </w:rPr>
      </w:pPr>
      <w:r w:rsidRPr="00E86317">
        <w:rPr>
          <w:rFonts w:eastAsia="Calibri"/>
          <w:b/>
          <w:i/>
        </w:rPr>
        <w:t>d) Damage caused by natural disasters</w:t>
      </w:r>
      <w:r w:rsidRPr="00E86317">
        <w:rPr>
          <w:rFonts w:eastAsia="Calibri"/>
          <w:b/>
          <w:bCs/>
          <w:i/>
          <w:vertAlign w:val="superscript"/>
          <w:lang w:val="pl-PL"/>
        </w:rPr>
        <w:footnoteReference w:id="30"/>
      </w:r>
      <w:r w:rsidRPr="00E86317">
        <w:rPr>
          <w:rFonts w:eastAsia="Calibri"/>
          <w:b/>
          <w:i/>
        </w:rPr>
        <w:t xml:space="preserve"> </w:t>
      </w:r>
    </w:p>
    <w:p w14:paraId="4694076B" w14:textId="77777777" w:rsidR="00E86317" w:rsidRPr="00E86317" w:rsidRDefault="00E86317" w:rsidP="00E86317">
      <w:pPr>
        <w:spacing w:line="288" w:lineRule="auto"/>
        <w:ind w:firstLine="720"/>
        <w:jc w:val="both"/>
        <w:rPr>
          <w:rFonts w:eastAsia="Calibri"/>
        </w:rPr>
      </w:pPr>
      <w:r w:rsidRPr="00E86317">
        <w:rPr>
          <w:rFonts w:eastAsia="Calibri"/>
        </w:rPr>
        <w:t>Damage caused by natural disasters in November was mainly due to the impact of heavy rains, floods, and inundation, killing 16 people and injuring 49 people; 36.8 thousand houses collapsed, swept away and damaged; Nearly 384.5 thousand cattle and poultry died; Nearly 2.9 thousand hectares of rice and crops were flooded and damaged; The total value of property damage caused by natural disasters in the month was 1,383.8 billion VND, 4.3 times higher than the same period last year. In total for the eleven months of this year, natural disasters left 541 people dead or missing, and 2,189 people injured; 299.1 thousand houses collapsed and damaged; Nearly 5.3 million cattle and poultry died; 92.2 thousand hectares of crops and 314.8 thousand hectares of rice were flooded and damaged; The total value of property damage is estimated at 84,345.1 billion VND, more than 19.1 times higher than the same period in 2023.</w:t>
      </w:r>
    </w:p>
    <w:p w14:paraId="37ED773A" w14:textId="77777777" w:rsidR="00E86317" w:rsidRPr="00E86317" w:rsidRDefault="00E86317" w:rsidP="00E86317">
      <w:pPr>
        <w:spacing w:line="288" w:lineRule="auto"/>
        <w:ind w:firstLine="720"/>
        <w:jc w:val="both"/>
        <w:rPr>
          <w:rFonts w:eastAsia="Calibri"/>
          <w:b/>
          <w:i/>
        </w:rPr>
      </w:pPr>
      <w:r w:rsidRPr="00E86317">
        <w:rPr>
          <w:rFonts w:eastAsia="Calibri"/>
          <w:b/>
          <w:i/>
        </w:rPr>
        <w:t>e) Environmental protection and fire and explosion prevention</w:t>
      </w:r>
    </w:p>
    <w:p w14:paraId="2C03C05E" w14:textId="77777777" w:rsidR="00E86317" w:rsidRPr="00E86317" w:rsidRDefault="00E86317" w:rsidP="00E86317">
      <w:pPr>
        <w:spacing w:line="288" w:lineRule="auto"/>
        <w:ind w:firstLine="720"/>
        <w:jc w:val="both"/>
        <w:rPr>
          <w:rFonts w:eastAsia="Calibri"/>
        </w:rPr>
      </w:pPr>
      <w:r w:rsidRPr="00E86317">
        <w:rPr>
          <w:rFonts w:eastAsia="Calibri"/>
        </w:rPr>
        <w:t>During the month (from October 18 to November 17, 2024)</w:t>
      </w:r>
      <w:r w:rsidRPr="00E86317">
        <w:rPr>
          <w:rFonts w:eastAsia="Calibri"/>
          <w:vertAlign w:val="superscript"/>
          <w:lang w:val="de-DE"/>
        </w:rPr>
        <w:t xml:space="preserve"> </w:t>
      </w:r>
      <w:r w:rsidRPr="00E86317">
        <w:rPr>
          <w:rFonts w:eastAsia="Calibri"/>
          <w:vertAlign w:val="superscript"/>
          <w:lang w:val="de-DE"/>
        </w:rPr>
        <w:footnoteReference w:id="31"/>
      </w:r>
      <w:r w:rsidRPr="00E86317">
        <w:rPr>
          <w:rFonts w:eastAsia="Calibri"/>
        </w:rPr>
        <w:t>, authorities discovered 978 cases of environmental violations in 49/63 localities</w:t>
      </w:r>
      <w:r w:rsidRPr="00E86317">
        <w:rPr>
          <w:rFonts w:eastAsia="Calibri"/>
          <w:noProof/>
          <w:vertAlign w:val="superscript"/>
        </w:rPr>
        <w:footnoteReference w:id="32"/>
      </w:r>
      <w:r w:rsidRPr="00E86317">
        <w:rPr>
          <w:rFonts w:eastAsia="Calibri"/>
        </w:rPr>
        <w:t xml:space="preserve">, of which 940 cases were handled with a total fine of 26.3 billion VND. VND, down 11.6% over the previous month and up 26.1% over the same period last year. In the eleven months of this year, the authorities detected 20,260 cases of environmental violations, of which 18,623 cases were handled with a total fine of 280.9 billion VND, an increase of 6.1% over the same period last year. </w:t>
      </w:r>
    </w:p>
    <w:p w14:paraId="26F796E3" w14:textId="77777777" w:rsidR="00E86317" w:rsidRPr="00E86317" w:rsidRDefault="00E86317" w:rsidP="00E86317">
      <w:pPr>
        <w:spacing w:line="288" w:lineRule="auto"/>
        <w:ind w:firstLine="720"/>
        <w:jc w:val="both"/>
        <w:rPr>
          <w:rFonts w:eastAsia="Calibri"/>
        </w:rPr>
      </w:pPr>
      <w:r w:rsidRPr="00E86317">
        <w:rPr>
          <w:rFonts w:eastAsia="Calibri"/>
        </w:rPr>
        <w:t>During the month (from October 15 to November 14, 2024)</w:t>
      </w:r>
      <w:r w:rsidRPr="00E86317">
        <w:rPr>
          <w:rFonts w:eastAsia="Calibri"/>
          <w:vertAlign w:val="superscript"/>
          <w:lang w:val="de-DE"/>
        </w:rPr>
        <w:t xml:space="preserve"> </w:t>
      </w:r>
      <w:r w:rsidRPr="00E86317">
        <w:rPr>
          <w:rFonts w:eastAsia="Calibri"/>
          <w:vertAlign w:val="superscript"/>
          <w:lang w:val="de-DE"/>
        </w:rPr>
        <w:footnoteReference w:id="33"/>
      </w:r>
      <w:r w:rsidRPr="00E86317">
        <w:rPr>
          <w:rFonts w:eastAsia="Calibri"/>
        </w:rPr>
        <w:t>, there were 297 fires and explosions nationwide, killing 7 people and injuring 16 people, with estimated damage of 86.2 billion VND, a decrease of 42.8%. compared to last month and nearly 3 times higher than the same period last year. In the eleven months of this year, there were 3,772 fires and explosions nationwide, killing 96 people and injuring 111 people, with an estimated loss of 454.3 billion VND, an increase of 11.2% over the same period. last year./.</w:t>
      </w:r>
    </w:p>
    <w:p w14:paraId="13B12E1B" w14:textId="783B0EB0" w:rsidR="00677D50" w:rsidRPr="00F4690A" w:rsidRDefault="00677D50" w:rsidP="00E92F7A">
      <w:pPr>
        <w:spacing w:after="120" w:line="264" w:lineRule="auto"/>
        <w:ind w:firstLine="567"/>
        <w:jc w:val="both"/>
        <w:rPr>
          <w:rStyle w:val="normalchar"/>
          <w:b/>
          <w:bCs/>
          <w:i/>
          <w:sz w:val="2"/>
          <w:lang w:val="nl-NL"/>
        </w:rPr>
      </w:pPr>
    </w:p>
    <w:p w14:paraId="792ABAA2" w14:textId="77777777" w:rsidR="00222D6D" w:rsidRPr="00F4690A" w:rsidRDefault="00222D6D" w:rsidP="00726B8D"/>
    <w:sectPr w:rsidR="00222D6D" w:rsidRPr="00F4690A" w:rsidSect="006F23DB">
      <w:headerReference w:type="default" r:id="rId27"/>
      <w:pgSz w:w="11907" w:h="16840" w:code="9"/>
      <w:pgMar w:top="1134" w:right="1134" w:bottom="1134" w:left="1701" w:header="567"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D1F258" w14:textId="77777777" w:rsidR="00F4690A" w:rsidRDefault="00F4690A" w:rsidP="00677D50">
      <w:r>
        <w:separator/>
      </w:r>
    </w:p>
  </w:endnote>
  <w:endnote w:type="continuationSeparator" w:id="0">
    <w:p w14:paraId="0E624F7B" w14:textId="77777777" w:rsidR="00F4690A" w:rsidRDefault="00F4690A" w:rsidP="00677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VnArialH">
    <w:altName w:val="Courier New"/>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imes New Roman Italic">
    <w:panose1 w:val="02020503050405090304"/>
    <w:charset w:val="00"/>
    <w:family w:val="roman"/>
    <w:notTrueType/>
    <w:pitch w:val="default"/>
  </w:font>
  <w:font w:name="inheri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 New Roman Bold">
    <w:panose1 w:val="00000000000000000000"/>
    <w:charset w:val="00"/>
    <w:family w:val="roman"/>
    <w:notTrueType/>
    <w:pitch w:val="default"/>
  </w:font>
  <w:font w:name="Times New Roman Bold Italic">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B6B2EB" w14:textId="77777777" w:rsidR="00F4690A" w:rsidRDefault="00F4690A" w:rsidP="00677D50">
      <w:r>
        <w:separator/>
      </w:r>
    </w:p>
  </w:footnote>
  <w:footnote w:type="continuationSeparator" w:id="0">
    <w:p w14:paraId="1A648DE0" w14:textId="77777777" w:rsidR="00F4690A" w:rsidRDefault="00F4690A" w:rsidP="00677D50">
      <w:r>
        <w:continuationSeparator/>
      </w:r>
    </w:p>
  </w:footnote>
  <w:footnote w:id="1">
    <w:p w14:paraId="0CCF5EF0" w14:textId="77777777" w:rsidR="000E610C" w:rsidRPr="00FC383C" w:rsidRDefault="000E610C" w:rsidP="000E610C">
      <w:pPr>
        <w:pStyle w:val="FootnoteText"/>
        <w:spacing w:after="60"/>
        <w:ind w:left="142" w:hanging="142"/>
        <w:jc w:val="both"/>
        <w:rPr>
          <w:lang w:val="en-US"/>
        </w:rPr>
      </w:pPr>
      <w:r w:rsidRPr="00FC383C">
        <w:rPr>
          <w:rStyle w:val="FootnoteReference"/>
        </w:rPr>
        <w:footnoteRef/>
      </w:r>
      <w:r w:rsidRPr="00FC383C">
        <w:t xml:space="preserve"> </w:t>
      </w:r>
      <w:r w:rsidRPr="00E45A88">
        <w:t xml:space="preserve">Raising buffaloes and cows for meat has decreased mainly due to difficult farming conditions, high farming costs, and low profits, leading to a decrease in the number of animals. However, the dairy herd </w:t>
      </w:r>
      <w:r>
        <w:rPr>
          <w:lang w:val="en-US"/>
        </w:rPr>
        <w:t>wa</w:t>
      </w:r>
      <w:r w:rsidRPr="00E45A88">
        <w:t>s still growing steadily.</w:t>
      </w:r>
    </w:p>
  </w:footnote>
  <w:footnote w:id="2">
    <w:p w14:paraId="0DAE2F72" w14:textId="77777777" w:rsidR="000E610C" w:rsidRPr="00892D90" w:rsidRDefault="000E610C" w:rsidP="000E610C">
      <w:pPr>
        <w:pStyle w:val="FootnoteText"/>
        <w:spacing w:after="40"/>
        <w:ind w:left="142" w:hanging="142"/>
        <w:rPr>
          <w:lang w:val="en-GB"/>
        </w:rPr>
      </w:pPr>
      <w:r>
        <w:rPr>
          <w:rStyle w:val="FootnoteReference"/>
        </w:rPr>
        <w:footnoteRef/>
      </w:r>
      <w:r>
        <w:t xml:space="preserve"> </w:t>
      </w:r>
      <w:r w:rsidRPr="00127A4D">
        <w:rPr>
          <w:lang w:val="en-GB"/>
        </w:rPr>
        <w:t>Because some provinces have plans to reduce the area of ​​newly planted forests such as Son La and Lao Cai, some provinces have low areas of newly planted forests such as Kon Tum province at 64.2%; Binh Dinh at 62.0% of the same period last year.</w:t>
      </w:r>
    </w:p>
  </w:footnote>
  <w:footnote w:id="3">
    <w:p w14:paraId="6E5ED572" w14:textId="77777777" w:rsidR="000E610C" w:rsidRPr="004302EF" w:rsidRDefault="000E610C" w:rsidP="000E610C">
      <w:pPr>
        <w:pStyle w:val="FootnoteText"/>
        <w:spacing w:after="40"/>
        <w:ind w:left="198" w:hanging="198"/>
      </w:pPr>
      <w:r w:rsidRPr="004302EF">
        <w:rPr>
          <w:rStyle w:val="FootnoteReference"/>
        </w:rPr>
        <w:footnoteRef/>
      </w:r>
      <w:r w:rsidRPr="004302EF">
        <w:t xml:space="preserve"> </w:t>
      </w:r>
      <w:r w:rsidRPr="003D0EF6">
        <w:t xml:space="preserve">Data from the Ministry of Agriculture and Rural Development as of </w:t>
      </w:r>
      <w:r w:rsidRPr="00127A4D">
        <w:t>November</w:t>
      </w:r>
      <w:r w:rsidRPr="003D0EF6">
        <w:t xml:space="preserve"> 15, 2024.</w:t>
      </w:r>
    </w:p>
  </w:footnote>
  <w:footnote w:id="4">
    <w:p w14:paraId="472F569F" w14:textId="77777777" w:rsidR="000E610C" w:rsidRPr="00F03BCB" w:rsidRDefault="000E610C" w:rsidP="000E610C">
      <w:pPr>
        <w:pStyle w:val="FootnoteText"/>
        <w:spacing w:after="40"/>
        <w:ind w:left="142" w:hanging="142"/>
        <w:rPr>
          <w:lang w:val="en-US"/>
        </w:rPr>
      </w:pPr>
      <w:r w:rsidRPr="00F03BCB">
        <w:rPr>
          <w:rStyle w:val="FootnoteReference"/>
        </w:rPr>
        <w:footnoteRef/>
      </w:r>
      <w:r w:rsidRPr="00F03BCB">
        <w:t xml:space="preserve"> </w:t>
      </w:r>
      <w:hyperlink r:id="rId1" w:history="1">
        <w:r w:rsidRPr="00F03BCB">
          <w:rPr>
            <w:rStyle w:val="Hyperlink"/>
          </w:rPr>
          <w:t>http://agromonitor.vn</w:t>
        </w:r>
        <w:r w:rsidRPr="00F03BCB">
          <w:rPr>
            <w:rStyle w:val="Hyperlink"/>
            <w:lang w:val="en-US"/>
          </w:rPr>
          <w:t>/post/485181</w:t>
        </w:r>
      </w:hyperlink>
      <w:r>
        <w:rPr>
          <w:lang w:val="en-US"/>
        </w:rPr>
        <w:t xml:space="preserve">: </w:t>
      </w:r>
      <w:r w:rsidRPr="00272DBE">
        <w:rPr>
          <w:lang w:val="en-US"/>
        </w:rPr>
        <w:t>The price of raw pangasius fish in the Mekong Delta increased in the first half of Novembe</w:t>
      </w:r>
      <w:r>
        <w:rPr>
          <w:lang w:val="en-US"/>
        </w:rPr>
        <w:t>r 2024, exceeding VND 28,000/kg</w:t>
      </w:r>
      <w:r w:rsidRPr="00F03BCB">
        <w:rPr>
          <w:lang w:val="en-US"/>
        </w:rPr>
        <w:t>.</w:t>
      </w:r>
    </w:p>
  </w:footnote>
  <w:footnote w:id="5">
    <w:p w14:paraId="7E1AF44A" w14:textId="77777777" w:rsidR="000E610C" w:rsidRPr="00F03BCB" w:rsidRDefault="000E610C" w:rsidP="000E610C">
      <w:pPr>
        <w:pStyle w:val="BodyTextIndent"/>
        <w:spacing w:after="40"/>
        <w:ind w:left="142" w:hanging="142"/>
        <w:jc w:val="both"/>
        <w:rPr>
          <w:spacing w:val="-4"/>
          <w:sz w:val="20"/>
          <w:szCs w:val="20"/>
          <w:lang w:val="vi-VN"/>
        </w:rPr>
      </w:pPr>
      <w:r w:rsidRPr="00F03BCB">
        <w:rPr>
          <w:rStyle w:val="FootnoteReference"/>
          <w:sz w:val="20"/>
          <w:szCs w:val="20"/>
        </w:rPr>
        <w:footnoteRef/>
      </w:r>
      <w:r w:rsidRPr="00F03BCB">
        <w:rPr>
          <w:spacing w:val="-4"/>
          <w:sz w:val="20"/>
          <w:szCs w:val="20"/>
        </w:rPr>
        <w:t xml:space="preserve"> </w:t>
      </w:r>
      <w:hyperlink r:id="rId2" w:history="1">
        <w:r w:rsidRPr="00F03BCB">
          <w:rPr>
            <w:rStyle w:val="Hyperlink"/>
            <w:spacing w:val="-4"/>
            <w:sz w:val="20"/>
            <w:szCs w:val="20"/>
            <w:lang w:val="vi-VN"/>
          </w:rPr>
          <w:t>https://agromonitor.vn/post/483998</w:t>
        </w:r>
      </w:hyperlink>
      <w:r w:rsidRPr="00F03BCB">
        <w:rPr>
          <w:spacing w:val="-4"/>
          <w:sz w:val="20"/>
          <w:szCs w:val="20"/>
        </w:rPr>
        <w:t>:</w:t>
      </w:r>
      <w:r w:rsidRPr="00F03BCB">
        <w:rPr>
          <w:spacing w:val="-4"/>
          <w:sz w:val="20"/>
          <w:szCs w:val="20"/>
          <w:lang w:val="vi-VN"/>
        </w:rPr>
        <w:t xml:space="preserve"> </w:t>
      </w:r>
      <w:r w:rsidRPr="00A74C43">
        <w:rPr>
          <w:spacing w:val="-4"/>
          <w:sz w:val="20"/>
          <w:szCs w:val="20"/>
          <w:lang w:val="en-GB"/>
        </w:rPr>
        <w:t>As of mid-November 2024, in the Mekong Delta provinces, the price of white-leg shrimp increased continuously for 6 weeks, averaging from 2,000 VND/kg -</w:t>
      </w:r>
      <w:r>
        <w:rPr>
          <w:spacing w:val="-4"/>
          <w:sz w:val="20"/>
          <w:szCs w:val="20"/>
          <w:lang w:val="en-GB"/>
        </w:rPr>
        <w:t xml:space="preserve"> 5,000 VND/kg depending on size</w:t>
      </w:r>
      <w:r w:rsidRPr="00F03BCB">
        <w:rPr>
          <w:spacing w:val="-4"/>
          <w:sz w:val="20"/>
          <w:szCs w:val="20"/>
          <w:lang w:val="it-IT"/>
        </w:rPr>
        <w:t>.</w:t>
      </w:r>
    </w:p>
  </w:footnote>
  <w:footnote w:id="6">
    <w:p w14:paraId="6B1AB59D" w14:textId="77777777" w:rsidR="000E610C" w:rsidRPr="0028391A" w:rsidRDefault="000E610C" w:rsidP="000E610C">
      <w:pPr>
        <w:pStyle w:val="FootnoteText"/>
        <w:spacing w:after="40"/>
        <w:ind w:left="142" w:hanging="142"/>
        <w:jc w:val="both"/>
        <w:rPr>
          <w:lang w:val="en-US"/>
        </w:rPr>
      </w:pPr>
      <w:r w:rsidRPr="00F03BCB">
        <w:rPr>
          <w:rStyle w:val="FootnoteReference"/>
        </w:rPr>
        <w:footnoteRef/>
      </w:r>
      <w:r w:rsidRPr="00F03BCB">
        <w:t xml:space="preserve"> </w:t>
      </w:r>
      <w:r>
        <w:rPr>
          <w:lang w:val="de-DE"/>
        </w:rPr>
        <w:t>T</w:t>
      </w:r>
      <w:r w:rsidRPr="00616620">
        <w:rPr>
          <w:lang w:val="de-DE"/>
        </w:rPr>
        <w:t xml:space="preserve">he caught fishery </w:t>
      </w:r>
      <w:r w:rsidRPr="00487239">
        <w:rPr>
          <w:bCs/>
          <w:spacing w:val="2"/>
          <w:lang w:val="pt-BR"/>
        </w:rPr>
        <w:t>production</w:t>
      </w:r>
      <w:r w:rsidRPr="00A74C43">
        <w:rPr>
          <w:lang w:val="en-US"/>
        </w:rPr>
        <w:t xml:space="preserve"> increased due to favorable weather and lower gasoline and oil prices. The price of DO 0.05S-II oil on November 21, </w:t>
      </w:r>
      <w:proofErr w:type="gramStart"/>
      <w:r w:rsidRPr="00A74C43">
        <w:rPr>
          <w:lang w:val="en-US"/>
        </w:rPr>
        <w:t>2024</w:t>
      </w:r>
      <w:proofErr w:type="gramEnd"/>
      <w:r w:rsidRPr="00A74C43">
        <w:rPr>
          <w:lang w:val="en-US"/>
        </w:rPr>
        <w:t xml:space="preserve"> was VND 18,500/liter, down VND 1,780/liter compared to the same period last year.</w:t>
      </w:r>
    </w:p>
  </w:footnote>
  <w:footnote w:id="7">
    <w:p w14:paraId="75EF12A8" w14:textId="77777777" w:rsidR="000E610C" w:rsidRPr="00037D01" w:rsidRDefault="000E610C" w:rsidP="000E610C">
      <w:pPr>
        <w:spacing w:after="40"/>
        <w:ind w:left="142" w:hanging="142"/>
        <w:jc w:val="both"/>
        <w:rPr>
          <w:sz w:val="20"/>
          <w:szCs w:val="20"/>
        </w:rPr>
      </w:pPr>
      <w:r w:rsidRPr="008A78CB">
        <w:rPr>
          <w:rStyle w:val="FootnoteReference"/>
          <w:rFonts w:eastAsia="Calibri"/>
          <w:sz w:val="20"/>
          <w:szCs w:val="20"/>
        </w:rPr>
        <w:footnoteRef/>
      </w:r>
      <w:r w:rsidRPr="008A78CB">
        <w:rPr>
          <w:sz w:val="20"/>
          <w:szCs w:val="20"/>
        </w:rPr>
        <w:t xml:space="preserve"> </w:t>
      </w:r>
      <w:r w:rsidRPr="00D62AE5">
        <w:rPr>
          <w:sz w:val="20"/>
          <w:szCs w:val="20"/>
        </w:rPr>
        <w:t>The growth rates of the industrial production index for the first eleven months of the years 2020–2024 compared to the same period of the previous year were 3.0%, 4.2%, 8.4%, 0.9%, and 8.4%, respectively.</w:t>
      </w:r>
    </w:p>
  </w:footnote>
  <w:footnote w:id="8">
    <w:p w14:paraId="6FABBB5A" w14:textId="77777777" w:rsidR="000E610C" w:rsidRPr="005B1766" w:rsidRDefault="000E610C" w:rsidP="000E610C">
      <w:pPr>
        <w:pStyle w:val="FootnoteText"/>
        <w:spacing w:after="40"/>
        <w:ind w:left="142" w:hanging="142"/>
        <w:jc w:val="both"/>
        <w:rPr>
          <w:color w:val="FF0000"/>
          <w:spacing w:val="-4"/>
          <w:lang w:val="en-US"/>
        </w:rPr>
      </w:pPr>
      <w:r w:rsidRPr="005B1766">
        <w:rPr>
          <w:rStyle w:val="FootnoteReference"/>
        </w:rPr>
        <w:footnoteRef/>
      </w:r>
      <w:r w:rsidRPr="005B1766">
        <w:t xml:space="preserve"> </w:t>
      </w:r>
      <w:r w:rsidRPr="00D62AE5">
        <w:rPr>
          <w:spacing w:val="2"/>
        </w:rPr>
        <w:t>The growth/decline rates of the Industrial Production Index (IIP) in November 2024 compared to the previous month for several provinces with large industrial scales are as follows: Quang Ninh increased by 9.5%; Binh Duong by 7.6%; Bac Ninh by 5.6%; Vinh Long by 3.6%; Hai Duong by 3.3%; Can Tho by 3.1%; Hai Phong by 3.0%; Bac Giang by 2.1%; Quang Ngai by 1.8%; Ho Chi Minh City by 1.7%; Dong Nai by 1.1%. On the other hand, Da Nang decreased by 1.8%; Quang Nam by 2.4%; and Ba Ria-Vung Tau by 7.8%.</w:t>
      </w:r>
    </w:p>
  </w:footnote>
  <w:footnote w:id="9">
    <w:p w14:paraId="2A3F6382" w14:textId="77777777" w:rsidR="000E610C" w:rsidRPr="00CD011A" w:rsidRDefault="000E610C" w:rsidP="000E610C">
      <w:pPr>
        <w:pStyle w:val="FootnoteText"/>
        <w:spacing w:before="20" w:after="20"/>
        <w:ind w:left="142" w:hanging="142"/>
        <w:jc w:val="both"/>
        <w:rPr>
          <w:lang w:val="de-DE"/>
        </w:rPr>
      </w:pPr>
      <w:r w:rsidRPr="00956239">
        <w:rPr>
          <w:rStyle w:val="FootnoteReference"/>
          <w:spacing w:val="-2"/>
        </w:rPr>
        <w:footnoteRef/>
      </w:r>
      <w:r w:rsidRPr="00956239">
        <w:rPr>
          <w:spacing w:val="-2"/>
          <w:lang w:val="de-DE"/>
        </w:rPr>
        <w:t xml:space="preserve"> </w:t>
      </w:r>
      <w:r w:rsidRPr="00CD011A">
        <w:rPr>
          <w:lang w:val="de-DE"/>
        </w:rPr>
        <w:t>Localities have a high production index of the processing and manufacturing industry in the first eleven months of 2024 compared to the same period last year: Phu Tho increased by 42.1%; Lai Chau increased by 39.9%; Bac Giang increased by 28.3%; Quang Nam increased by 20.7%; Thanh Hoa increased by 19.3%. Localities have a high production index of the electricity production and distribution industry: Khanh Hoa increased by 148.5%; Dien Bien increased by 51.4%; Cao Bang increased by 49.8%; Tra Vinh increased by 46.5%; Lai Chau increased by 39.6%; Son La increased by 36.4%. Localities with a high increase in the production index of the declared industry: Cao Bang increased by 27.0%;  Thanh Hoa increased by 13.6%; Quang Nam increased by 11.2%.</w:t>
      </w:r>
    </w:p>
  </w:footnote>
  <w:footnote w:id="10">
    <w:p w14:paraId="5CD936C9" w14:textId="77777777" w:rsidR="000E610C" w:rsidRPr="00CD011A" w:rsidRDefault="000E610C" w:rsidP="000E610C">
      <w:pPr>
        <w:pStyle w:val="FootnoteText"/>
        <w:spacing w:before="20" w:after="20"/>
        <w:ind w:left="142" w:hanging="142"/>
        <w:jc w:val="both"/>
        <w:rPr>
          <w:spacing w:val="-2"/>
          <w:lang w:val="de-DE"/>
        </w:rPr>
      </w:pPr>
      <w:r w:rsidRPr="00956239">
        <w:rPr>
          <w:rStyle w:val="FootnoteReference"/>
        </w:rPr>
        <w:footnoteRef/>
      </w:r>
      <w:r w:rsidRPr="00956239">
        <w:rPr>
          <w:lang w:val="de-DE"/>
        </w:rPr>
        <w:t xml:space="preserve"> </w:t>
      </w:r>
      <w:r w:rsidRPr="00CD011A">
        <w:rPr>
          <w:spacing w:val="-2"/>
          <w:lang w:val="de-DE"/>
        </w:rPr>
        <w:t>Localities with a low or decreased production index of the processing and manufacturing industry in the first eleven months of 2024 compared to the same period last year are: Dak Nong increased by 3.1%; Quang Tri increased by 3.0%; Ha Tinh decreased by 4.8%; Gia Lai decreased by 1.1%; Quang Ngai decreased by 0.9%. Localities with low or decreased indicators of the electricity production and distribution industry: Quang Tri increased by 3.0%; Bac Lieu increased by 2.2%; Lang Son decreased by 14.8%; Quang Ngai decreased by 5.8%; Gia Lai decreased by 4.8%; Lam Dong decreased by 3.9%.</w:t>
      </w:r>
    </w:p>
    <w:p w14:paraId="14179E94" w14:textId="77777777" w:rsidR="000E610C" w:rsidRPr="005B2669" w:rsidRDefault="000E610C" w:rsidP="000E610C">
      <w:pPr>
        <w:pStyle w:val="FootnoteText"/>
        <w:spacing w:before="20" w:after="20"/>
        <w:ind w:left="142" w:hanging="142"/>
        <w:jc w:val="both"/>
        <w:rPr>
          <w:spacing w:val="-2"/>
          <w:lang w:val="de-DE"/>
        </w:rPr>
      </w:pPr>
      <w:r w:rsidRPr="00CD011A">
        <w:rPr>
          <w:spacing w:val="-2"/>
          <w:lang w:val="de-DE"/>
        </w:rPr>
        <w:t xml:space="preserve">  </w:t>
      </w:r>
    </w:p>
  </w:footnote>
  <w:footnote w:id="11">
    <w:p w14:paraId="2D715A6A" w14:textId="77777777" w:rsidR="000E610C" w:rsidRPr="00444341" w:rsidRDefault="000E610C" w:rsidP="000E610C">
      <w:pPr>
        <w:jc w:val="both"/>
        <w:rPr>
          <w:sz w:val="20"/>
          <w:szCs w:val="20"/>
        </w:rPr>
      </w:pPr>
      <w:r w:rsidRPr="00444341">
        <w:rPr>
          <w:sz w:val="20"/>
          <w:szCs w:val="20"/>
          <w:vertAlign w:val="superscript"/>
        </w:rPr>
        <w:footnoteRef/>
      </w:r>
      <w:r>
        <w:rPr>
          <w:sz w:val="20"/>
          <w:szCs w:val="20"/>
        </w:rPr>
        <w:t xml:space="preserve"> </w:t>
      </w:r>
      <w:r w:rsidRPr="00444341">
        <w:rPr>
          <w:sz w:val="20"/>
          <w:szCs w:val="20"/>
        </w:rPr>
        <w:t xml:space="preserve">Source: National Business Registration Information System, Department of Business Registration Management, Ministry of Planning and Investment, received </w:t>
      </w:r>
      <w:r>
        <w:rPr>
          <w:sz w:val="20"/>
          <w:szCs w:val="20"/>
        </w:rPr>
        <w:t>December</w:t>
      </w:r>
      <w:r w:rsidRPr="00444341">
        <w:rPr>
          <w:sz w:val="20"/>
          <w:szCs w:val="20"/>
        </w:rPr>
        <w:t xml:space="preserve"> </w:t>
      </w:r>
      <w:r>
        <w:rPr>
          <w:sz w:val="20"/>
          <w:szCs w:val="20"/>
        </w:rPr>
        <w:t>02</w:t>
      </w:r>
      <w:r>
        <w:rPr>
          <w:sz w:val="20"/>
          <w:szCs w:val="20"/>
          <w:vertAlign w:val="superscript"/>
        </w:rPr>
        <w:t>n</w:t>
      </w:r>
      <w:r w:rsidRPr="00444341">
        <w:rPr>
          <w:sz w:val="20"/>
          <w:szCs w:val="20"/>
          <w:vertAlign w:val="superscript"/>
        </w:rPr>
        <w:t>d</w:t>
      </w:r>
      <w:r w:rsidRPr="00444341">
        <w:rPr>
          <w:sz w:val="20"/>
          <w:szCs w:val="20"/>
        </w:rPr>
        <w:t xml:space="preserve">, 2024. Implementing Decree No. 62/2024/ND-CP dated June </w:t>
      </w:r>
      <w:r>
        <w:rPr>
          <w:sz w:val="20"/>
          <w:szCs w:val="20"/>
        </w:rPr>
        <w:t>0</w:t>
      </w:r>
      <w:r w:rsidRPr="00444341">
        <w:rPr>
          <w:sz w:val="20"/>
          <w:szCs w:val="20"/>
        </w:rPr>
        <w:t>7</w:t>
      </w:r>
      <w:r>
        <w:rPr>
          <w:sz w:val="20"/>
          <w:szCs w:val="20"/>
          <w:vertAlign w:val="superscript"/>
        </w:rPr>
        <w:t>th</w:t>
      </w:r>
      <w:r w:rsidRPr="00444341">
        <w:rPr>
          <w:sz w:val="20"/>
          <w:szCs w:val="20"/>
        </w:rPr>
        <w:t xml:space="preserve">, 2024 of the Government (effective from August </w:t>
      </w:r>
      <w:r>
        <w:rPr>
          <w:sz w:val="20"/>
          <w:szCs w:val="20"/>
        </w:rPr>
        <w:t>0</w:t>
      </w:r>
      <w:r w:rsidRPr="00444341">
        <w:rPr>
          <w:sz w:val="20"/>
          <w:szCs w:val="20"/>
        </w:rPr>
        <w:t>1</w:t>
      </w:r>
      <w:r>
        <w:rPr>
          <w:sz w:val="20"/>
          <w:szCs w:val="20"/>
          <w:vertAlign w:val="superscript"/>
        </w:rPr>
        <w:t>st</w:t>
      </w:r>
      <w:r w:rsidRPr="00444341">
        <w:rPr>
          <w:sz w:val="20"/>
          <w:szCs w:val="20"/>
        </w:rPr>
        <w:t xml:space="preserve">, 2024), the data period on business registration in the month is calculated from the 1st to the last day of the reporting month. Particularly for time indicators (enterprises returning to operations, enterprises </w:t>
      </w:r>
      <w:proofErr w:type="gramStart"/>
      <w:r w:rsidRPr="00444341">
        <w:rPr>
          <w:sz w:val="20"/>
          <w:szCs w:val="20"/>
        </w:rPr>
        <w:t>temporarily suspending</w:t>
      </w:r>
      <w:proofErr w:type="gramEnd"/>
      <w:r w:rsidRPr="00444341">
        <w:rPr>
          <w:sz w:val="20"/>
          <w:szCs w:val="20"/>
        </w:rPr>
        <w:t xml:space="preserve"> business for a limited period of time, enterprises temporarily suspending operations awaiting dissolution procedures), the data period is the months before the time. August </w:t>
      </w:r>
      <w:r>
        <w:rPr>
          <w:sz w:val="20"/>
          <w:szCs w:val="20"/>
        </w:rPr>
        <w:t>0</w:t>
      </w:r>
      <w:r w:rsidRPr="00444341">
        <w:rPr>
          <w:sz w:val="20"/>
          <w:szCs w:val="20"/>
        </w:rPr>
        <w:t>1</w:t>
      </w:r>
      <w:r>
        <w:rPr>
          <w:sz w:val="20"/>
          <w:szCs w:val="20"/>
          <w:vertAlign w:val="superscript"/>
        </w:rPr>
        <w:t>st</w:t>
      </w:r>
      <w:r w:rsidRPr="00444341">
        <w:rPr>
          <w:sz w:val="20"/>
          <w:szCs w:val="20"/>
        </w:rPr>
        <w:t>, 2024 is calculated from the 21</w:t>
      </w:r>
      <w:r w:rsidRPr="00444341">
        <w:rPr>
          <w:sz w:val="20"/>
          <w:szCs w:val="20"/>
          <w:vertAlign w:val="superscript"/>
        </w:rPr>
        <w:t>st</w:t>
      </w:r>
      <w:r w:rsidRPr="00444341">
        <w:rPr>
          <w:sz w:val="20"/>
          <w:szCs w:val="20"/>
        </w:rPr>
        <w:t xml:space="preserve"> of the month preceding the reporting month to the 20</w:t>
      </w:r>
      <w:r w:rsidRPr="00444341">
        <w:rPr>
          <w:sz w:val="20"/>
          <w:szCs w:val="20"/>
          <w:vertAlign w:val="superscript"/>
        </w:rPr>
        <w:t>th</w:t>
      </w:r>
      <w:r w:rsidRPr="00444341">
        <w:rPr>
          <w:sz w:val="20"/>
          <w:szCs w:val="20"/>
        </w:rPr>
        <w:t xml:space="preserve"> of the reporting month.</w:t>
      </w:r>
    </w:p>
  </w:footnote>
  <w:footnote w:id="12">
    <w:p w14:paraId="2288A3F3" w14:textId="6C5028AC" w:rsidR="000E610C" w:rsidRPr="002B7D04" w:rsidRDefault="000E610C" w:rsidP="000E610C">
      <w:pPr>
        <w:pStyle w:val="FootnoteText"/>
        <w:rPr>
          <w:lang w:val="en-US"/>
        </w:rPr>
      </w:pPr>
      <w:r>
        <w:rPr>
          <w:rStyle w:val="FootnoteReference"/>
        </w:rPr>
        <w:footnoteRef/>
      </w:r>
      <w:r>
        <w:t xml:space="preserve"> </w:t>
      </w:r>
      <w:r w:rsidRPr="00267C26">
        <w:rPr>
          <w:lang w:val="en-US"/>
        </w:rPr>
        <w:t xml:space="preserve">According to the newspaper fox belong to Department Head private water </w:t>
      </w:r>
      <w:r w:rsidRPr="00267C26">
        <w:rPr>
          <w:lang w:val="en-US"/>
        </w:rPr>
        <w:t>outside,</w:t>
      </w:r>
      <w:r w:rsidRPr="00267C26">
        <w:rPr>
          <w:lang w:val="en-US"/>
        </w:rPr>
        <w:t xml:space="preserve"> Ministry Plan plan and Head </w:t>
      </w:r>
      <w:r w:rsidRPr="00267C26">
        <w:rPr>
          <w:lang w:val="en-US"/>
        </w:rPr>
        <w:t>think,</w:t>
      </w:r>
      <w:r w:rsidRPr="00267C26">
        <w:rPr>
          <w:lang w:val="en-US"/>
        </w:rPr>
        <w:t xml:space="preserve"> receive December 1, 2024.</w:t>
      </w:r>
    </w:p>
  </w:footnote>
  <w:footnote w:id="13">
    <w:p w14:paraId="6F06671C" w14:textId="73D23606" w:rsidR="000E610C" w:rsidRPr="00F92F75" w:rsidRDefault="000E610C" w:rsidP="000E610C">
      <w:pPr>
        <w:pStyle w:val="FootnoteText"/>
        <w:rPr>
          <w:lang w:val="en-US"/>
        </w:rPr>
      </w:pPr>
      <w:r w:rsidRPr="00F92F75">
        <w:rPr>
          <w:rStyle w:val="FootnoteReference"/>
        </w:rPr>
        <w:footnoteRef/>
      </w:r>
      <w:r w:rsidRPr="00F92F75">
        <w:t xml:space="preserve"> </w:t>
      </w:r>
      <w:r w:rsidRPr="00F92F75">
        <w:rPr>
          <w:lang w:val="en-US"/>
        </w:rPr>
        <w:t>evil</w:t>
      </w:r>
      <w:r w:rsidRPr="00F92F75">
        <w:t xml:space="preserve">​ 2020-2022​​ arrive out of stock 11/20 </w:t>
      </w:r>
      <w:r w:rsidRPr="00F92F75">
        <w:t>year,</w:t>
      </w:r>
      <w:r w:rsidRPr="00F92F75">
        <w:t xml:space="preserve"> </w:t>
      </w:r>
      <w:r w:rsidRPr="00F92F75">
        <w:rPr>
          <w:lang w:val="en-US"/>
        </w:rPr>
        <w:t>2023 and​ year 2024​ arrive end of 11/30</w:t>
      </w:r>
    </w:p>
  </w:footnote>
  <w:footnote w:id="14">
    <w:p w14:paraId="63AE8219" w14:textId="77777777" w:rsidR="000E610C" w:rsidRPr="00F92F75" w:rsidRDefault="000E610C" w:rsidP="000E610C">
      <w:pPr>
        <w:pStyle w:val="FootnoteText"/>
        <w:rPr>
          <w:lang w:val="en-US"/>
        </w:rPr>
      </w:pPr>
      <w:r w:rsidRPr="00F92F75">
        <w:rPr>
          <w:rStyle w:val="FootnoteReference"/>
        </w:rPr>
        <w:footnoteRef/>
      </w:r>
      <w:r w:rsidRPr="00F92F75">
        <w:t xml:space="preserve"> </w:t>
      </w:r>
      <w:r w:rsidRPr="00F92F75">
        <w:rPr>
          <w:lang w:val="en-US"/>
        </w:rPr>
        <w:t>evil</w:t>
      </w:r>
      <w:r w:rsidRPr="00F92F75">
        <w:t xml:space="preserve">​ 2020-2022​​ arrive end 20/1 </w:t>
      </w:r>
      <w:r>
        <w:rPr>
          <w:lang w:val="en-US"/>
        </w:rPr>
        <w:t>1</w:t>
      </w:r>
      <w:r w:rsidRPr="00F92F75">
        <w:t xml:space="preserve"> every </w:t>
      </w:r>
      <w:r>
        <w:rPr>
          <w:lang w:val="en-US"/>
        </w:rPr>
        <w:t>year</w:t>
      </w:r>
      <w:r w:rsidRPr="00F92F75">
        <w:t>​​</w:t>
      </w:r>
      <w:r w:rsidRPr="00F92F75">
        <w:rPr>
          <w:lang w:val="en-US"/>
        </w:rPr>
        <w:t>​</w:t>
      </w:r>
      <w:r w:rsidRPr="00F92F75">
        <w:t xml:space="preserve"> </w:t>
      </w:r>
      <w:r w:rsidRPr="00F92F75">
        <w:rPr>
          <w:lang w:val="en-US"/>
        </w:rPr>
        <w:t>2023 and​ year 2024​ arrive end of 11/30</w:t>
      </w:r>
    </w:p>
  </w:footnote>
  <w:footnote w:id="15">
    <w:p w14:paraId="70E079FC" w14:textId="77777777" w:rsidR="000E610C" w:rsidRDefault="000E610C" w:rsidP="000E610C">
      <w:pPr>
        <w:pStyle w:val="FootnoteText"/>
        <w:ind w:left="198" w:hanging="198"/>
        <w:jc w:val="both"/>
        <w:rPr>
          <w:lang w:val="vi-VN"/>
        </w:rPr>
      </w:pPr>
      <w:r>
        <w:rPr>
          <w:rStyle w:val="FootnoteReference"/>
        </w:rPr>
        <w:footnoteRef/>
      </w:r>
      <w:r>
        <w:rPr>
          <w:lang w:val="vi-VN"/>
        </w:rPr>
        <w:t xml:space="preserve">According to Report </w:t>
      </w:r>
      <w:r>
        <w:rPr>
          <w:lang w:val="en-US"/>
        </w:rPr>
        <w:t xml:space="preserve">No. 324/BC-BTC </w:t>
      </w:r>
      <w:r>
        <w:rPr>
          <w:lang w:val="vi-VN"/>
        </w:rPr>
        <w:t xml:space="preserve">dated January </w:t>
      </w:r>
      <w:proofErr w:type="gramStart"/>
      <w:r>
        <w:rPr>
          <w:lang w:val="en-US"/>
        </w:rPr>
        <w:t>26 ,</w:t>
      </w:r>
      <w:proofErr w:type="gramEnd"/>
      <w:r>
        <w:rPr>
          <w:lang w:val="en-US"/>
        </w:rPr>
        <w:t xml:space="preserve"> 2024 </w:t>
      </w:r>
      <w:r>
        <w:rPr>
          <w:lang w:val="vi-VN"/>
        </w:rPr>
        <w:t>of the Ministry of Finance.</w:t>
      </w:r>
    </w:p>
  </w:footnote>
  <w:footnote w:id="16">
    <w:p w14:paraId="03533238" w14:textId="77777777" w:rsidR="000E610C" w:rsidRPr="00334A03" w:rsidRDefault="000E610C" w:rsidP="000E610C">
      <w:pPr>
        <w:pStyle w:val="FootnoteText"/>
        <w:ind w:left="142" w:hanging="142"/>
        <w:jc w:val="both"/>
        <w:rPr>
          <w:lang w:val="en-US"/>
        </w:rPr>
      </w:pPr>
      <w:r w:rsidRPr="00334A03">
        <w:rPr>
          <w:rStyle w:val="FootnoteReference"/>
        </w:rPr>
        <w:footnoteRef/>
      </w:r>
      <w:r w:rsidRPr="00334A03">
        <w:t xml:space="preserve"> </w:t>
      </w:r>
      <w:r w:rsidRPr="00334A03">
        <w:t>The value of export turnover is calculated at F.O.B price and import turnover is calculated at C.I.F price (including transportation and insurance costs of imported goods).</w:t>
      </w:r>
    </w:p>
  </w:footnote>
  <w:footnote w:id="17">
    <w:p w14:paraId="29BA384E" w14:textId="77777777" w:rsidR="000E610C" w:rsidRPr="00334A03" w:rsidRDefault="000E610C" w:rsidP="000E610C">
      <w:pPr>
        <w:pStyle w:val="FootnoteText"/>
        <w:ind w:left="142" w:hanging="142"/>
        <w:jc w:val="both"/>
        <w:rPr>
          <w:lang w:val="en-US"/>
        </w:rPr>
      </w:pPr>
      <w:r w:rsidRPr="00334A03">
        <w:rPr>
          <w:rStyle w:val="FootnoteReference"/>
        </w:rPr>
        <w:footnoteRef/>
      </w:r>
      <w:r w:rsidRPr="00334A03">
        <w:t xml:space="preserve"> </w:t>
      </w:r>
      <w:r w:rsidRPr="00334A03">
        <w:t xml:space="preserve">Total turnover and value of preliminary export and import goods in </w:t>
      </w:r>
      <w:r>
        <w:t>Novem</w:t>
      </w:r>
      <w:r w:rsidRPr="00334A03">
        <w:t xml:space="preserve">ber 2024 provided by the General Department of Customs on </w:t>
      </w:r>
      <w:r>
        <w:t>Dec</w:t>
      </w:r>
      <w:r w:rsidRPr="00334A03">
        <w:t>ember 3, 2024.</w:t>
      </w:r>
    </w:p>
  </w:footnote>
  <w:footnote w:id="18">
    <w:p w14:paraId="680ED763" w14:textId="77777777" w:rsidR="000E610C" w:rsidRPr="00334A03" w:rsidRDefault="000E610C" w:rsidP="000E610C">
      <w:pPr>
        <w:pStyle w:val="FootnoteText"/>
        <w:ind w:left="142" w:hanging="142"/>
        <w:jc w:val="both"/>
      </w:pPr>
      <w:r w:rsidRPr="00334A03">
        <w:rPr>
          <w:rStyle w:val="FootnoteReference"/>
        </w:rPr>
        <w:footnoteRef/>
      </w:r>
      <w:r w:rsidRPr="00334A03">
        <w:t xml:space="preserve"> </w:t>
      </w:r>
      <w:r w:rsidRPr="00334A03">
        <w:t xml:space="preserve">Total import and export turnover of goods in </w:t>
      </w:r>
      <w:r>
        <w:t>eleven</w:t>
      </w:r>
      <w:r w:rsidRPr="00334A03">
        <w:t xml:space="preserve"> months of 2023 reached </w:t>
      </w:r>
      <w:r>
        <w:t>620</w:t>
      </w:r>
      <w:r w:rsidRPr="00334A03">
        <w:t>.</w:t>
      </w:r>
      <w:r>
        <w:t>2</w:t>
      </w:r>
      <w:r w:rsidRPr="00334A03">
        <w:t xml:space="preserve"> billion USD, down </w:t>
      </w:r>
      <w:r>
        <w:t>9.5</w:t>
      </w:r>
      <w:r w:rsidRPr="00334A03">
        <w:t xml:space="preserve">% over the same period last year, of which exports reached </w:t>
      </w:r>
      <w:r>
        <w:t>323.2</w:t>
      </w:r>
      <w:r w:rsidRPr="00334A03">
        <w:t xml:space="preserve"> billion USD, down </w:t>
      </w:r>
      <w:r>
        <w:t>5.7</w:t>
      </w:r>
      <w:r w:rsidRPr="00334A03">
        <w:t>%; imports reached 2</w:t>
      </w:r>
      <w:r>
        <w:t>9</w:t>
      </w:r>
      <w:r w:rsidRPr="00334A03">
        <w:t>7.</w:t>
      </w:r>
      <w:r>
        <w:t>0</w:t>
      </w:r>
      <w:r w:rsidRPr="00334A03">
        <w:t xml:space="preserve"> billion USD, down 1</w:t>
      </w:r>
      <w:r>
        <w:t>3</w:t>
      </w:r>
      <w:r w:rsidRPr="00334A03">
        <w:t>.</w:t>
      </w:r>
      <w:r>
        <w:t>3</w:t>
      </w:r>
      <w:r w:rsidRPr="00334A03">
        <w:t>%.</w:t>
      </w:r>
    </w:p>
  </w:footnote>
  <w:footnote w:id="19">
    <w:p w14:paraId="1C69D3A6" w14:textId="77777777" w:rsidR="000E610C" w:rsidRPr="00334A03" w:rsidRDefault="000E610C" w:rsidP="000E610C">
      <w:pPr>
        <w:pStyle w:val="FootnoteText"/>
        <w:ind w:left="142" w:hanging="142"/>
        <w:jc w:val="both"/>
        <w:rPr>
          <w:lang w:val="en-US"/>
        </w:rPr>
      </w:pPr>
      <w:r w:rsidRPr="00334A03">
        <w:rPr>
          <w:rStyle w:val="FootnoteReference"/>
        </w:rPr>
        <w:footnoteRef/>
      </w:r>
      <w:r w:rsidRPr="00334A03">
        <w:t xml:space="preserve"> </w:t>
      </w:r>
      <w:r>
        <w:t>47</w:t>
      </w:r>
      <w:r w:rsidRPr="00334A03">
        <w:t xml:space="preserve"> million USD higher than the figure sent by the General Department of Customs to the General Statistics Office on </w:t>
      </w:r>
      <w:r>
        <w:t>November</w:t>
      </w:r>
      <w:r w:rsidRPr="00334A03">
        <w:t xml:space="preserve"> 3, 2024</w:t>
      </w:r>
    </w:p>
  </w:footnote>
  <w:footnote w:id="20">
    <w:p w14:paraId="22E94340" w14:textId="77777777" w:rsidR="000E610C" w:rsidRPr="00B372C3" w:rsidRDefault="000E610C" w:rsidP="000E610C">
      <w:pPr>
        <w:pStyle w:val="FootnoteText"/>
        <w:jc w:val="both"/>
        <w:rPr>
          <w:lang w:val="en-US"/>
        </w:rPr>
      </w:pPr>
      <w:r>
        <w:rPr>
          <w:rStyle w:val="FootnoteReference"/>
        </w:rPr>
        <w:footnoteRef/>
      </w:r>
      <w:r>
        <w:t xml:space="preserve"> </w:t>
      </w:r>
      <w:r w:rsidRPr="001A31AE">
        <w:rPr>
          <w:spacing w:val="-6"/>
        </w:rPr>
        <w:t xml:space="preserve">The same as the figure sent by the General Department of Customs to the General Statistics Office on </w:t>
      </w:r>
      <w:r>
        <w:rPr>
          <w:spacing w:val="-6"/>
        </w:rPr>
        <w:t>December</w:t>
      </w:r>
      <w:r w:rsidRPr="001A31AE">
        <w:rPr>
          <w:spacing w:val="-6"/>
        </w:rPr>
        <w:t xml:space="preserve"> 3, 2024</w:t>
      </w:r>
      <w:r>
        <w:rPr>
          <w:spacing w:val="-6"/>
        </w:rPr>
        <w:t>.</w:t>
      </w:r>
    </w:p>
  </w:footnote>
  <w:footnote w:id="21">
    <w:p w14:paraId="69C5ADB6" w14:textId="77777777" w:rsidR="000E610C" w:rsidRPr="004C7CF5" w:rsidRDefault="000E610C" w:rsidP="000E610C">
      <w:pPr>
        <w:pStyle w:val="FootnoteText"/>
        <w:ind w:left="720" w:hanging="720"/>
        <w:jc w:val="both"/>
        <w:rPr>
          <w:lang w:val="vi-VN"/>
        </w:rPr>
      </w:pPr>
      <w:r w:rsidRPr="004C7CF5">
        <w:rPr>
          <w:rStyle w:val="FootnoteReference"/>
        </w:rPr>
        <w:footnoteRef/>
      </w:r>
      <w:r w:rsidRPr="004C7CF5">
        <w:rPr>
          <w:lang w:val="vi-VN"/>
        </w:rPr>
        <w:t xml:space="preserve"> </w:t>
      </w:r>
      <w:r w:rsidRPr="00375B26">
        <w:rPr>
          <w:lang w:val="en-US"/>
        </w:rPr>
        <w:t xml:space="preserve">Preliminary trade surplus </w:t>
      </w:r>
      <w:r>
        <w:rPr>
          <w:lang w:val="en-US"/>
        </w:rPr>
        <w:t>in Octo</w:t>
      </w:r>
      <w:r w:rsidRPr="00375B26">
        <w:rPr>
          <w:lang w:val="en-US"/>
        </w:rPr>
        <w:t xml:space="preserve">ber report </w:t>
      </w:r>
      <w:r>
        <w:rPr>
          <w:lang w:val="en-US"/>
        </w:rPr>
        <w:t>was</w:t>
      </w:r>
      <w:r w:rsidRPr="00375B26">
        <w:rPr>
          <w:lang w:val="en-US"/>
        </w:rPr>
        <w:t xml:space="preserve"> 2.</w:t>
      </w:r>
      <w:r>
        <w:rPr>
          <w:lang w:val="en-US"/>
        </w:rPr>
        <w:t>0</w:t>
      </w:r>
      <w:r w:rsidRPr="00375B26">
        <w:rPr>
          <w:lang w:val="en-US"/>
        </w:rPr>
        <w:t xml:space="preserve"> billion USD.</w:t>
      </w:r>
    </w:p>
  </w:footnote>
  <w:footnote w:id="22">
    <w:p w14:paraId="2E0C517E" w14:textId="77777777" w:rsidR="00E86317" w:rsidRPr="00C3243C" w:rsidRDefault="00E86317" w:rsidP="00E86317">
      <w:pPr>
        <w:pStyle w:val="FootnoteText"/>
        <w:ind w:left="198" w:hanging="198"/>
        <w:jc w:val="both"/>
        <w:rPr>
          <w:lang w:val="en-US"/>
        </w:rPr>
      </w:pPr>
      <w:r>
        <w:rPr>
          <w:rStyle w:val="FootnoteReference"/>
        </w:rPr>
        <w:footnoteRef/>
      </w:r>
      <w:r>
        <w:t xml:space="preserve"> </w:t>
      </w:r>
      <w:r w:rsidRPr="00702B0A">
        <w:t>Domestic rice prices increased along with export rice prices when rice demand in other countries continued to be high due to adverse weather, intense heat, and continuous storms in many parts of the world. Price index of rice group increased by 0.36% (Delicious ordinary rice increased by 0.44%; regular ordinary rice increased by 0.34%; sticky rice increased by 0.4%). Besides, some food items increased in price in November, such as corn price increased by 0.58%; cornstarch increased by 0.57%; Wheat flour increased by 0.46%; instant cereals increased by 0.4%; bread increased by 0.32%; Potatoes increased by 0.05%.</w:t>
      </w:r>
    </w:p>
  </w:footnote>
  <w:footnote w:id="23">
    <w:p w14:paraId="299F1249" w14:textId="77777777" w:rsidR="00E86317" w:rsidRPr="00C3243C" w:rsidRDefault="00E86317" w:rsidP="00E86317">
      <w:pPr>
        <w:pStyle w:val="FootnoteText"/>
        <w:ind w:left="198" w:hanging="198"/>
        <w:jc w:val="both"/>
        <w:rPr>
          <w:lang w:val="en-US"/>
        </w:rPr>
      </w:pPr>
      <w:r>
        <w:rPr>
          <w:rStyle w:val="FootnoteReference"/>
        </w:rPr>
        <w:footnoteRef/>
      </w:r>
      <w:r>
        <w:t xml:space="preserve"> </w:t>
      </w:r>
      <w:r w:rsidRPr="00702B0A">
        <w:t>Pork prices decreased by 0.45% due to complicated developments of African swine fever in some localities; Poultry meat prices decreased by 0.08%; Prices of fresh, dried and processed vegetables decreased by 4.1%. On the contrary, some items' prices increased compared to the previous month: Fresh seafood prices increased by 0.32%; Prices of milk, butter, and cheese increased by 0.3%; tea, coffee, cocoa increased by 0.28%; seasonings increased by 0.27%; cakes, jams, and candy increased by 0.15%.</w:t>
      </w:r>
    </w:p>
  </w:footnote>
  <w:footnote w:id="24">
    <w:p w14:paraId="568D473F" w14:textId="77777777" w:rsidR="00E86317" w:rsidRPr="00702B0A" w:rsidRDefault="00E86317" w:rsidP="00E86317">
      <w:pPr>
        <w:pStyle w:val="FootnoteText"/>
        <w:ind w:left="142" w:hanging="142"/>
        <w:rPr>
          <w:lang w:val="en-US"/>
        </w:rPr>
      </w:pPr>
      <w:r>
        <w:rPr>
          <w:rStyle w:val="FootnoteReference"/>
        </w:rPr>
        <w:footnoteRef/>
      </w:r>
      <w:r>
        <w:t xml:space="preserve"> </w:t>
      </w:r>
      <w:r w:rsidRPr="00702B0A">
        <w:t>The price of takeout fast food increased by 0.4% compared to the previous month; Drink prices outside the home increased by 0.37%; The price of eating out at home increased by 0.22%.</w:t>
      </w:r>
    </w:p>
  </w:footnote>
  <w:footnote w:id="25">
    <w:p w14:paraId="04F315BB" w14:textId="77777777" w:rsidR="00E86317" w:rsidRPr="00FC383C" w:rsidRDefault="00E86317" w:rsidP="00E86317">
      <w:pPr>
        <w:pStyle w:val="FootnoteText"/>
        <w:spacing w:before="20" w:after="20"/>
        <w:ind w:left="142" w:hanging="142"/>
        <w:jc w:val="both"/>
      </w:pPr>
      <w:r w:rsidRPr="00FC383C">
        <w:rPr>
          <w:rStyle w:val="FootnoteReference"/>
        </w:rPr>
        <w:footnoteRef/>
      </w:r>
      <w:r>
        <w:t xml:space="preserve"> </w:t>
      </w:r>
      <w:r w:rsidRPr="00FC383C">
        <w:t>CPI after excluding food, fresh food, energy and state-managed goods including medical services and education.</w:t>
      </w:r>
    </w:p>
  </w:footnote>
  <w:footnote w:id="26">
    <w:p w14:paraId="5CB21E68" w14:textId="77777777" w:rsidR="00E86317" w:rsidRDefault="00E86317" w:rsidP="00E86317">
      <w:pPr>
        <w:pStyle w:val="FootnoteText"/>
        <w:jc w:val="both"/>
        <w:rPr>
          <w:sz w:val="18"/>
          <w:szCs w:val="18"/>
        </w:rPr>
      </w:pPr>
      <w:r>
        <w:rPr>
          <w:rStyle w:val="FootnoteReference"/>
        </w:rPr>
        <w:footnoteRef/>
      </w:r>
      <w:r>
        <w:rPr>
          <w:spacing w:val="2"/>
        </w:rPr>
        <w:t xml:space="preserve"> </w:t>
      </w:r>
      <w:r>
        <w:rPr>
          <w:spacing w:val="2"/>
        </w:rPr>
        <w:t xml:space="preserve">According to the report of the Border Gate Department, the Border Guard Command, the Ministry of National Defense and the Immigration Department </w:t>
      </w:r>
      <w:r w:rsidRPr="008A7BD1">
        <w:rPr>
          <w:spacing w:val="2"/>
        </w:rPr>
        <w:t xml:space="preserve">on </w:t>
      </w:r>
      <w:r>
        <w:rPr>
          <w:spacing w:val="2"/>
        </w:rPr>
        <w:t>November</w:t>
      </w:r>
      <w:r w:rsidRPr="008A7BD1">
        <w:rPr>
          <w:spacing w:val="2"/>
        </w:rPr>
        <w:t xml:space="preserve"> 27, 2024.</w:t>
      </w:r>
    </w:p>
  </w:footnote>
  <w:footnote w:id="27">
    <w:p w14:paraId="384566DB" w14:textId="77777777" w:rsidR="00E86317" w:rsidRPr="00672651" w:rsidRDefault="00E86317" w:rsidP="00E86317">
      <w:pPr>
        <w:pStyle w:val="FootnoteText"/>
        <w:rPr>
          <w:lang w:val="en-US"/>
        </w:rPr>
      </w:pPr>
      <w:r>
        <w:rPr>
          <w:rStyle w:val="FootnoteReference"/>
        </w:rPr>
        <w:footnoteRef/>
      </w:r>
      <w:r>
        <w:t xml:space="preserve"> </w:t>
      </w:r>
      <w:r>
        <w:rPr>
          <w:lang w:val="en-US"/>
        </w:rPr>
        <w:t>T</w:t>
      </w:r>
      <w:r>
        <w:rPr>
          <w:lang w:val="nl-NL"/>
        </w:rPr>
        <w:t xml:space="preserve">he reporting period was from September 26, </w:t>
      </w:r>
      <w:proofErr w:type="gramStart"/>
      <w:r>
        <w:rPr>
          <w:lang w:val="nl-NL"/>
        </w:rPr>
        <w:t>2024</w:t>
      </w:r>
      <w:proofErr w:type="gramEnd"/>
      <w:r>
        <w:rPr>
          <w:lang w:val="nl-NL"/>
        </w:rPr>
        <w:t xml:space="preserve"> to November 25, 2024.</w:t>
      </w:r>
    </w:p>
  </w:footnote>
  <w:footnote w:id="28">
    <w:p w14:paraId="036459E9" w14:textId="77777777" w:rsidR="00E86317" w:rsidRPr="00FC383C" w:rsidRDefault="00E86317" w:rsidP="00E86317">
      <w:pPr>
        <w:pStyle w:val="FootnoteText"/>
        <w:rPr>
          <w:lang w:val="nl-NL"/>
        </w:rPr>
      </w:pPr>
      <w:r w:rsidRPr="00FC383C">
        <w:rPr>
          <w:rStyle w:val="FootnoteReference"/>
        </w:rPr>
        <w:footnoteRef/>
      </w:r>
      <w:r w:rsidRPr="00FC383C">
        <w:t xml:space="preserve"> </w:t>
      </w:r>
      <w:r w:rsidRPr="00285FAC">
        <w:t>A household can choose many reasons to reduce income.</w:t>
      </w:r>
    </w:p>
  </w:footnote>
  <w:footnote w:id="29">
    <w:p w14:paraId="3BD9F226" w14:textId="77777777" w:rsidR="00E86317" w:rsidRPr="00F92F75" w:rsidRDefault="00E86317" w:rsidP="00E86317">
      <w:pPr>
        <w:pStyle w:val="FootnoteText"/>
        <w:ind w:left="198" w:hanging="198"/>
        <w:jc w:val="both"/>
        <w:rPr>
          <w:lang w:val="vi-VN"/>
        </w:rPr>
      </w:pPr>
      <w:r w:rsidRPr="00F92F75">
        <w:rPr>
          <w:rStyle w:val="FootnoteReference"/>
        </w:rPr>
        <w:footnoteRef/>
      </w:r>
      <w:r w:rsidRPr="00F92F75">
        <w:rPr>
          <w:lang w:val="vi-VN"/>
        </w:rPr>
        <w:t xml:space="preserve"> </w:t>
      </w:r>
      <w:r w:rsidRPr="00285FAC">
        <w:rPr>
          <w:lang w:val="vi-VN"/>
        </w:rPr>
        <w:t>According to a quick report from the Office of the Ministry of Public Security and the Vietnam Maritime Administration (Ministry of Transport) on November 29, 2024.</w:t>
      </w:r>
    </w:p>
  </w:footnote>
  <w:footnote w:id="30">
    <w:p w14:paraId="332B5F9E" w14:textId="77777777" w:rsidR="00E86317" w:rsidRPr="00335DC4" w:rsidRDefault="00E86317" w:rsidP="00E86317">
      <w:pPr>
        <w:pStyle w:val="FootnoteText"/>
        <w:spacing w:after="40"/>
        <w:ind w:left="198" w:hanging="198"/>
        <w:jc w:val="both"/>
        <w:rPr>
          <w:spacing w:val="-2"/>
        </w:rPr>
      </w:pPr>
      <w:r w:rsidRPr="00FC383C">
        <w:rPr>
          <w:rStyle w:val="FootnoteReference"/>
        </w:rPr>
        <w:footnoteRef/>
      </w:r>
      <w:r w:rsidRPr="00FC383C">
        <w:t xml:space="preserve"> </w:t>
      </w:r>
      <w:r w:rsidRPr="00A61655">
        <w:t>Summary of reports from 63 Departments of Agriculture and Rural Development, reporting period from October 19 to November 18, 2024.</w:t>
      </w:r>
    </w:p>
  </w:footnote>
  <w:footnote w:id="31">
    <w:p w14:paraId="21FFF2A3" w14:textId="77777777" w:rsidR="00E86317" w:rsidRPr="00A61655" w:rsidRDefault="00E86317" w:rsidP="00E86317">
      <w:pPr>
        <w:pStyle w:val="FootnoteText"/>
        <w:spacing w:after="40"/>
        <w:ind w:left="198" w:hanging="198"/>
        <w:jc w:val="both"/>
      </w:pPr>
      <w:r w:rsidRPr="00335DC4">
        <w:rPr>
          <w:rStyle w:val="FootnoteReference"/>
        </w:rPr>
        <w:footnoteRef/>
      </w:r>
      <w:r w:rsidRPr="00335DC4">
        <w:t xml:space="preserve"> </w:t>
      </w:r>
      <w:r>
        <w:t>According to a report from the Department of Natural Resources and Environment, the Police of provinces and centrally run cities Department of General Statistics.</w:t>
      </w:r>
    </w:p>
  </w:footnote>
  <w:footnote w:id="32">
    <w:p w14:paraId="730C2091" w14:textId="77777777" w:rsidR="00E86317" w:rsidRPr="00B412FD" w:rsidRDefault="00E86317" w:rsidP="00E86317">
      <w:pPr>
        <w:tabs>
          <w:tab w:val="left" w:pos="426"/>
          <w:tab w:val="left" w:pos="900"/>
        </w:tabs>
        <w:spacing w:after="40"/>
        <w:ind w:left="198" w:hanging="198"/>
        <w:jc w:val="both"/>
        <w:rPr>
          <w:sz w:val="20"/>
          <w:szCs w:val="20"/>
        </w:rPr>
      </w:pPr>
      <w:r w:rsidRPr="00335DC4">
        <w:rPr>
          <w:rStyle w:val="FootnoteReference"/>
          <w:sz w:val="20"/>
          <w:szCs w:val="20"/>
        </w:rPr>
        <w:footnoteRef/>
      </w:r>
      <w:r w:rsidRPr="00A61655">
        <w:rPr>
          <w:noProof/>
          <w:sz w:val="20"/>
          <w:szCs w:val="20"/>
        </w:rPr>
        <w:t>There are 14 localities with no environmental violations detected in November 2024: Lao Cai, Bac Giang, Khanh Hoa, Ninh Thuan, Kon Tum, Dak Nong, Lam Dong, Long An, Tien Giang, Dong Thap, An Giang, Can Tho, Hau Giang and Soc Trang.</w:t>
      </w:r>
    </w:p>
  </w:footnote>
  <w:footnote w:id="33">
    <w:p w14:paraId="334A5436" w14:textId="77777777" w:rsidR="00E86317" w:rsidRPr="00C274F1" w:rsidRDefault="00E86317" w:rsidP="00E86317">
      <w:pPr>
        <w:pStyle w:val="FootnoteText"/>
        <w:spacing w:after="40"/>
        <w:ind w:left="198" w:hanging="198"/>
        <w:rPr>
          <w:color w:val="FF0000"/>
        </w:rPr>
      </w:pPr>
      <w:r w:rsidRPr="00335DC4">
        <w:rPr>
          <w:rStyle w:val="FootnoteReference"/>
        </w:rPr>
        <w:footnoteRef/>
      </w:r>
      <w:r w:rsidRPr="00335DC4">
        <w:t xml:space="preserve"> </w:t>
      </w:r>
      <w:r w:rsidRPr="00A61655">
        <w:t>According to a quick report from the Ministry of Public Security dated November 23,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EF328" w14:textId="0FBD3A84" w:rsidR="00F4690A" w:rsidRPr="00AC7FFB" w:rsidRDefault="00F4690A">
    <w:pPr>
      <w:pStyle w:val="Header"/>
      <w:jc w:val="center"/>
      <w:rPr>
        <w:sz w:val="26"/>
        <w:szCs w:val="26"/>
      </w:rPr>
    </w:pPr>
    <w:r w:rsidRPr="00AC7FFB">
      <w:rPr>
        <w:sz w:val="26"/>
        <w:szCs w:val="26"/>
      </w:rPr>
      <w:fldChar w:fldCharType="begin"/>
    </w:r>
    <w:r w:rsidRPr="00AC7FFB">
      <w:rPr>
        <w:sz w:val="26"/>
        <w:szCs w:val="26"/>
      </w:rPr>
      <w:instrText xml:space="preserve"> PAGE   \* MERGEFORMAT </w:instrText>
    </w:r>
    <w:r w:rsidRPr="00AC7FFB">
      <w:rPr>
        <w:sz w:val="26"/>
        <w:szCs w:val="26"/>
      </w:rPr>
      <w:fldChar w:fldCharType="separate"/>
    </w:r>
    <w:r w:rsidR="00FA5F98">
      <w:rPr>
        <w:noProof/>
        <w:sz w:val="26"/>
        <w:szCs w:val="26"/>
      </w:rPr>
      <w:t>2</w:t>
    </w:r>
    <w:r w:rsidR="00FA5F98">
      <w:rPr>
        <w:noProof/>
        <w:sz w:val="26"/>
        <w:szCs w:val="26"/>
      </w:rPr>
      <w:t>1</w:t>
    </w:r>
    <w:r w:rsidRPr="00AC7FFB">
      <w:rPr>
        <w:sz w:val="26"/>
        <w:szCs w:val="26"/>
      </w:rPr>
      <w:fldChar w:fldCharType="end"/>
    </w:r>
  </w:p>
  <w:p w14:paraId="57233147" w14:textId="77777777" w:rsidR="00F4690A" w:rsidRDefault="00F469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2B20F8"/>
    <w:multiLevelType w:val="hybridMultilevel"/>
    <w:tmpl w:val="49DCEC6A"/>
    <w:lvl w:ilvl="0" w:tplc="AC7EED9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20326867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hideSpellingErrors/>
  <w:proofState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D50"/>
    <w:rsid w:val="00010454"/>
    <w:rsid w:val="000263BF"/>
    <w:rsid w:val="00034929"/>
    <w:rsid w:val="000466F3"/>
    <w:rsid w:val="000806C2"/>
    <w:rsid w:val="00095E79"/>
    <w:rsid w:val="000E610C"/>
    <w:rsid w:val="000F2B52"/>
    <w:rsid w:val="00103C6D"/>
    <w:rsid w:val="0010537A"/>
    <w:rsid w:val="00105CE0"/>
    <w:rsid w:val="00114A48"/>
    <w:rsid w:val="00117F87"/>
    <w:rsid w:val="001217EC"/>
    <w:rsid w:val="00126277"/>
    <w:rsid w:val="001350B6"/>
    <w:rsid w:val="00135490"/>
    <w:rsid w:val="00135A2A"/>
    <w:rsid w:val="0014448B"/>
    <w:rsid w:val="0015153E"/>
    <w:rsid w:val="00184536"/>
    <w:rsid w:val="001858E1"/>
    <w:rsid w:val="00190B40"/>
    <w:rsid w:val="001B168C"/>
    <w:rsid w:val="001C3388"/>
    <w:rsid w:val="001D6003"/>
    <w:rsid w:val="001F102B"/>
    <w:rsid w:val="00220A6B"/>
    <w:rsid w:val="00222D6D"/>
    <w:rsid w:val="002253A1"/>
    <w:rsid w:val="00226608"/>
    <w:rsid w:val="00237672"/>
    <w:rsid w:val="00250CAF"/>
    <w:rsid w:val="00252551"/>
    <w:rsid w:val="00252842"/>
    <w:rsid w:val="0027039C"/>
    <w:rsid w:val="00270872"/>
    <w:rsid w:val="00272614"/>
    <w:rsid w:val="00281140"/>
    <w:rsid w:val="0028197D"/>
    <w:rsid w:val="00290BC2"/>
    <w:rsid w:val="002929DC"/>
    <w:rsid w:val="002A2795"/>
    <w:rsid w:val="002C4147"/>
    <w:rsid w:val="002D2A65"/>
    <w:rsid w:val="002D3ACC"/>
    <w:rsid w:val="002E04A9"/>
    <w:rsid w:val="002E0C1B"/>
    <w:rsid w:val="0030254F"/>
    <w:rsid w:val="0030332B"/>
    <w:rsid w:val="0031663B"/>
    <w:rsid w:val="00330C5F"/>
    <w:rsid w:val="003479B9"/>
    <w:rsid w:val="0035515F"/>
    <w:rsid w:val="00366935"/>
    <w:rsid w:val="00366DA6"/>
    <w:rsid w:val="003740F9"/>
    <w:rsid w:val="003B0496"/>
    <w:rsid w:val="003B5C97"/>
    <w:rsid w:val="003D2347"/>
    <w:rsid w:val="003E26D1"/>
    <w:rsid w:val="003E71C8"/>
    <w:rsid w:val="003F1CF3"/>
    <w:rsid w:val="0041055B"/>
    <w:rsid w:val="004149DF"/>
    <w:rsid w:val="00415F29"/>
    <w:rsid w:val="00421297"/>
    <w:rsid w:val="00427AA7"/>
    <w:rsid w:val="004449AC"/>
    <w:rsid w:val="00462767"/>
    <w:rsid w:val="00463D77"/>
    <w:rsid w:val="00465E38"/>
    <w:rsid w:val="004745EB"/>
    <w:rsid w:val="0048590F"/>
    <w:rsid w:val="00487009"/>
    <w:rsid w:val="00494AF2"/>
    <w:rsid w:val="004955ED"/>
    <w:rsid w:val="0049791F"/>
    <w:rsid w:val="004C32CD"/>
    <w:rsid w:val="004E37EA"/>
    <w:rsid w:val="004E7FD1"/>
    <w:rsid w:val="004F22D2"/>
    <w:rsid w:val="0050083D"/>
    <w:rsid w:val="005128E7"/>
    <w:rsid w:val="00540FB0"/>
    <w:rsid w:val="0054231A"/>
    <w:rsid w:val="00550812"/>
    <w:rsid w:val="00552BC7"/>
    <w:rsid w:val="00555F8F"/>
    <w:rsid w:val="00580B15"/>
    <w:rsid w:val="00582B8A"/>
    <w:rsid w:val="005854C0"/>
    <w:rsid w:val="005B07A7"/>
    <w:rsid w:val="005B21CF"/>
    <w:rsid w:val="005D5078"/>
    <w:rsid w:val="005F19EC"/>
    <w:rsid w:val="005F1CE6"/>
    <w:rsid w:val="00603DA2"/>
    <w:rsid w:val="00606044"/>
    <w:rsid w:val="0061625C"/>
    <w:rsid w:val="00627C49"/>
    <w:rsid w:val="00647585"/>
    <w:rsid w:val="00651C86"/>
    <w:rsid w:val="006740E0"/>
    <w:rsid w:val="00675CC3"/>
    <w:rsid w:val="00677D50"/>
    <w:rsid w:val="00682538"/>
    <w:rsid w:val="006901DC"/>
    <w:rsid w:val="00691FC7"/>
    <w:rsid w:val="006A1B6C"/>
    <w:rsid w:val="006A3E99"/>
    <w:rsid w:val="006C083F"/>
    <w:rsid w:val="006C1D0A"/>
    <w:rsid w:val="006C4720"/>
    <w:rsid w:val="006D0373"/>
    <w:rsid w:val="006E332B"/>
    <w:rsid w:val="006F23DB"/>
    <w:rsid w:val="006F4397"/>
    <w:rsid w:val="00703AC3"/>
    <w:rsid w:val="007072A6"/>
    <w:rsid w:val="00710EB7"/>
    <w:rsid w:val="00715C5D"/>
    <w:rsid w:val="00726B8D"/>
    <w:rsid w:val="00740F97"/>
    <w:rsid w:val="0074499D"/>
    <w:rsid w:val="00765B09"/>
    <w:rsid w:val="007750EF"/>
    <w:rsid w:val="00777EBF"/>
    <w:rsid w:val="00781A12"/>
    <w:rsid w:val="007828F3"/>
    <w:rsid w:val="00792038"/>
    <w:rsid w:val="007A0A2C"/>
    <w:rsid w:val="007A77EE"/>
    <w:rsid w:val="007B47E6"/>
    <w:rsid w:val="007D1F0F"/>
    <w:rsid w:val="007D42A5"/>
    <w:rsid w:val="00803F9E"/>
    <w:rsid w:val="00807504"/>
    <w:rsid w:val="0081354C"/>
    <w:rsid w:val="00827A41"/>
    <w:rsid w:val="0084278F"/>
    <w:rsid w:val="0085059D"/>
    <w:rsid w:val="00855663"/>
    <w:rsid w:val="008608B5"/>
    <w:rsid w:val="0086148A"/>
    <w:rsid w:val="008717AC"/>
    <w:rsid w:val="008756F9"/>
    <w:rsid w:val="00883303"/>
    <w:rsid w:val="00891B35"/>
    <w:rsid w:val="00891CD2"/>
    <w:rsid w:val="008A6AB5"/>
    <w:rsid w:val="008A78CB"/>
    <w:rsid w:val="008B57D0"/>
    <w:rsid w:val="008C1BB1"/>
    <w:rsid w:val="008E6809"/>
    <w:rsid w:val="008F3E33"/>
    <w:rsid w:val="00901E6C"/>
    <w:rsid w:val="009077B2"/>
    <w:rsid w:val="00913C88"/>
    <w:rsid w:val="00925173"/>
    <w:rsid w:val="00932E4B"/>
    <w:rsid w:val="009569FB"/>
    <w:rsid w:val="009835A1"/>
    <w:rsid w:val="009C697E"/>
    <w:rsid w:val="009D274D"/>
    <w:rsid w:val="009D2A47"/>
    <w:rsid w:val="009E3E06"/>
    <w:rsid w:val="009E4FE5"/>
    <w:rsid w:val="009E550D"/>
    <w:rsid w:val="009E723F"/>
    <w:rsid w:val="009F7E53"/>
    <w:rsid w:val="00A04145"/>
    <w:rsid w:val="00A0648C"/>
    <w:rsid w:val="00A23799"/>
    <w:rsid w:val="00A31D19"/>
    <w:rsid w:val="00A718AB"/>
    <w:rsid w:val="00AA13C9"/>
    <w:rsid w:val="00AD3EAE"/>
    <w:rsid w:val="00AD6EBB"/>
    <w:rsid w:val="00AE7496"/>
    <w:rsid w:val="00AF366E"/>
    <w:rsid w:val="00AF6C10"/>
    <w:rsid w:val="00B03433"/>
    <w:rsid w:val="00B05CD3"/>
    <w:rsid w:val="00B171DB"/>
    <w:rsid w:val="00B2453E"/>
    <w:rsid w:val="00B67A4C"/>
    <w:rsid w:val="00B71637"/>
    <w:rsid w:val="00BB08DB"/>
    <w:rsid w:val="00BB386B"/>
    <w:rsid w:val="00BC1DB5"/>
    <w:rsid w:val="00BC3020"/>
    <w:rsid w:val="00BD409F"/>
    <w:rsid w:val="00BD5270"/>
    <w:rsid w:val="00BE40EF"/>
    <w:rsid w:val="00BF4BCA"/>
    <w:rsid w:val="00C043FC"/>
    <w:rsid w:val="00C05018"/>
    <w:rsid w:val="00C12D2D"/>
    <w:rsid w:val="00C13F4C"/>
    <w:rsid w:val="00C150AF"/>
    <w:rsid w:val="00C21D2B"/>
    <w:rsid w:val="00C27F43"/>
    <w:rsid w:val="00C315FF"/>
    <w:rsid w:val="00C35F20"/>
    <w:rsid w:val="00C46807"/>
    <w:rsid w:val="00C469AE"/>
    <w:rsid w:val="00C46F70"/>
    <w:rsid w:val="00C55FB4"/>
    <w:rsid w:val="00C63F45"/>
    <w:rsid w:val="00C7183D"/>
    <w:rsid w:val="00C862DA"/>
    <w:rsid w:val="00CA4393"/>
    <w:rsid w:val="00CB4A3F"/>
    <w:rsid w:val="00CC5894"/>
    <w:rsid w:val="00CD2C9D"/>
    <w:rsid w:val="00CD2F01"/>
    <w:rsid w:val="00CE33E6"/>
    <w:rsid w:val="00CF3947"/>
    <w:rsid w:val="00CF5445"/>
    <w:rsid w:val="00CF761D"/>
    <w:rsid w:val="00D064D4"/>
    <w:rsid w:val="00D158FB"/>
    <w:rsid w:val="00D3334B"/>
    <w:rsid w:val="00D71E40"/>
    <w:rsid w:val="00D74AB2"/>
    <w:rsid w:val="00D75BE7"/>
    <w:rsid w:val="00D80269"/>
    <w:rsid w:val="00D810E4"/>
    <w:rsid w:val="00D811E9"/>
    <w:rsid w:val="00D85ED9"/>
    <w:rsid w:val="00D96FCE"/>
    <w:rsid w:val="00DA5D42"/>
    <w:rsid w:val="00DB6E86"/>
    <w:rsid w:val="00DB72BB"/>
    <w:rsid w:val="00DC10EA"/>
    <w:rsid w:val="00DC45AD"/>
    <w:rsid w:val="00DC6CDE"/>
    <w:rsid w:val="00DC7225"/>
    <w:rsid w:val="00DE7867"/>
    <w:rsid w:val="00DF76BD"/>
    <w:rsid w:val="00E108E1"/>
    <w:rsid w:val="00E15FE7"/>
    <w:rsid w:val="00E20E3F"/>
    <w:rsid w:val="00E268B2"/>
    <w:rsid w:val="00E41E49"/>
    <w:rsid w:val="00E519E3"/>
    <w:rsid w:val="00E77D38"/>
    <w:rsid w:val="00E82DED"/>
    <w:rsid w:val="00E83325"/>
    <w:rsid w:val="00E86317"/>
    <w:rsid w:val="00E92F7A"/>
    <w:rsid w:val="00E973AB"/>
    <w:rsid w:val="00EA4680"/>
    <w:rsid w:val="00EB0081"/>
    <w:rsid w:val="00EC5EE8"/>
    <w:rsid w:val="00EF2394"/>
    <w:rsid w:val="00F06660"/>
    <w:rsid w:val="00F0737E"/>
    <w:rsid w:val="00F20515"/>
    <w:rsid w:val="00F4479E"/>
    <w:rsid w:val="00F4690A"/>
    <w:rsid w:val="00F47749"/>
    <w:rsid w:val="00F5295C"/>
    <w:rsid w:val="00F81B16"/>
    <w:rsid w:val="00F87669"/>
    <w:rsid w:val="00F925E7"/>
    <w:rsid w:val="00FA5F98"/>
    <w:rsid w:val="00FB7622"/>
    <w:rsid w:val="00FC0969"/>
    <w:rsid w:val="00FD6521"/>
    <w:rsid w:val="00FE233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0CE6BB7"/>
  <w15:chartTrackingRefBased/>
  <w15:docId w15:val="{F88BB761-C846-4C0D-8ECF-95A949CD1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D50"/>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677D50"/>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unhideWhenUsed/>
    <w:qFormat/>
    <w:rsid w:val="009D274D"/>
    <w:pPr>
      <w:keepNext/>
      <w:spacing w:before="240" w:after="60"/>
      <w:outlineLvl w:val="1"/>
    </w:pPr>
    <w:rPr>
      <w:rFonts w:ascii="Calibri Light" w:hAnsi="Calibri Light"/>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7D50"/>
    <w:rPr>
      <w:rFonts w:ascii="Cambria" w:eastAsia="Times New Roman" w:hAnsi="Cambria" w:cs="Times New Roman"/>
      <w:b/>
      <w:bCs/>
      <w:kern w:val="32"/>
      <w:sz w:val="32"/>
      <w:szCs w:val="32"/>
      <w:lang w:val="x-none" w:eastAsia="x-none"/>
    </w:rPr>
  </w:style>
  <w:style w:type="character" w:styleId="Strong">
    <w:name w:val="Strong"/>
    <w:qFormat/>
    <w:rsid w:val="00677D50"/>
    <w:rPr>
      <w:b/>
      <w:bCs/>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677D50"/>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677D50"/>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677D50"/>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677D50"/>
    <w:pPr>
      <w:spacing w:before="100" w:beforeAutospacing="1" w:after="100" w:afterAutospacing="1"/>
    </w:pPr>
    <w:rPr>
      <w:rFonts w:eastAsia="Calibri"/>
      <w:sz w:val="24"/>
      <w:szCs w:val="24"/>
      <w:lang w:val="x-none" w:eastAsia="x-none"/>
    </w:rPr>
  </w:style>
  <w:style w:type="character" w:customStyle="1" w:styleId="normalchar">
    <w:name w:val="normal__char"/>
    <w:basedOn w:val="DefaultParagraphFont"/>
    <w:rsid w:val="00677D50"/>
  </w:style>
  <w:style w:type="paragraph" w:styleId="Header">
    <w:name w:val="header"/>
    <w:basedOn w:val="Normal"/>
    <w:link w:val="HeaderChar"/>
    <w:uiPriority w:val="99"/>
    <w:rsid w:val="00677D50"/>
    <w:pPr>
      <w:tabs>
        <w:tab w:val="center" w:pos="4680"/>
        <w:tab w:val="right" w:pos="9360"/>
      </w:tabs>
    </w:pPr>
    <w:rPr>
      <w:rFonts w:eastAsia="Calibri"/>
      <w:lang w:val="x-none" w:eastAsia="x-none"/>
    </w:rPr>
  </w:style>
  <w:style w:type="character" w:customStyle="1" w:styleId="HeaderChar">
    <w:name w:val="Header Char"/>
    <w:basedOn w:val="DefaultParagraphFont"/>
    <w:link w:val="Header"/>
    <w:uiPriority w:val="99"/>
    <w:rsid w:val="00677D50"/>
    <w:rPr>
      <w:rFonts w:ascii="Times New Roman" w:eastAsia="Calibri" w:hAnsi="Times New Roman" w:cs="Times New Roman"/>
      <w:sz w:val="28"/>
      <w:szCs w:val="28"/>
      <w:lang w:val="x-none" w:eastAsia="x-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677D50"/>
    <w:pPr>
      <w:spacing w:after="200" w:line="276" w:lineRule="auto"/>
      <w:ind w:left="720"/>
      <w:contextualSpacing/>
    </w:pPr>
    <w:rPr>
      <w:rFonts w:eastAsia="Calibri"/>
    </w:rPr>
  </w:style>
  <w:style w:type="paragraph" w:customStyle="1" w:styleId="Normal1">
    <w:name w:val="Normal1"/>
    <w:basedOn w:val="Normal"/>
    <w:qFormat/>
    <w:rsid w:val="00677D50"/>
    <w:pPr>
      <w:spacing w:before="100" w:beforeAutospacing="1" w:after="100" w:afterAutospacing="1"/>
    </w:pPr>
    <w:rPr>
      <w:rFonts w:ascii="Calibri" w:hAnsi="Calibri" w:cs="Calibri"/>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677D50"/>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677D50"/>
    <w:rPr>
      <w:rFonts w:ascii="Times New Roman" w:eastAsia="Calibri" w:hAnsi="Times New Roman" w:cs="Times New Roman"/>
      <w:sz w:val="24"/>
      <w:szCs w:val="24"/>
      <w:lang w:val="x-none" w:eastAsia="x-none"/>
    </w:rPr>
  </w:style>
  <w:style w:type="character" w:styleId="CommentReference">
    <w:name w:val="annotation reference"/>
    <w:basedOn w:val="DefaultParagraphFont"/>
    <w:uiPriority w:val="99"/>
    <w:semiHidden/>
    <w:unhideWhenUsed/>
    <w:rsid w:val="00677D50"/>
    <w:rPr>
      <w:sz w:val="16"/>
      <w:szCs w:val="16"/>
    </w:rPr>
  </w:style>
  <w:style w:type="paragraph" w:styleId="CommentText">
    <w:name w:val="annotation text"/>
    <w:basedOn w:val="Normal"/>
    <w:link w:val="CommentTextChar"/>
    <w:uiPriority w:val="99"/>
    <w:unhideWhenUsed/>
    <w:rsid w:val="00677D50"/>
    <w:rPr>
      <w:sz w:val="20"/>
      <w:szCs w:val="20"/>
      <w:lang w:val="vi-VN"/>
    </w:rPr>
  </w:style>
  <w:style w:type="character" w:customStyle="1" w:styleId="CommentTextChar">
    <w:name w:val="Comment Text Char"/>
    <w:basedOn w:val="DefaultParagraphFont"/>
    <w:link w:val="CommentText"/>
    <w:uiPriority w:val="99"/>
    <w:rsid w:val="00677D50"/>
    <w:rPr>
      <w:rFonts w:ascii="Times New Roman" w:eastAsia="Times New Roman" w:hAnsi="Times New Roman" w:cs="Times New Roman"/>
      <w:sz w:val="20"/>
      <w:szCs w:val="20"/>
      <w:lang w:val="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677D50"/>
    <w:rPr>
      <w:rFonts w:ascii="Times New Roman" w:eastAsia="Calibri" w:hAnsi="Times New Roman" w:cs="Times New Roman"/>
      <w:sz w:val="28"/>
      <w:szCs w:val="28"/>
    </w:rPr>
  </w:style>
  <w:style w:type="paragraph" w:customStyle="1" w:styleId="Normal11">
    <w:name w:val="Normal11"/>
    <w:basedOn w:val="Normal"/>
    <w:rsid w:val="00677D50"/>
    <w:pPr>
      <w:spacing w:before="100" w:beforeAutospacing="1" w:after="100" w:afterAutospacing="1"/>
    </w:pPr>
    <w:rPr>
      <w:rFonts w:ascii="Calibri" w:hAnsi="Calibri" w:cs="Calibri"/>
      <w:sz w:val="24"/>
      <w:szCs w:val="24"/>
    </w:rPr>
  </w:style>
  <w:style w:type="paragraph" w:styleId="BalloonText">
    <w:name w:val="Balloon Text"/>
    <w:basedOn w:val="Normal"/>
    <w:link w:val="BalloonTextChar"/>
    <w:uiPriority w:val="99"/>
    <w:semiHidden/>
    <w:unhideWhenUsed/>
    <w:rsid w:val="00677D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D50"/>
    <w:rPr>
      <w:rFonts w:ascii="Segoe UI" w:eastAsia="Times New Roman" w:hAnsi="Segoe UI" w:cs="Segoe UI"/>
      <w:sz w:val="18"/>
      <w:szCs w:val="18"/>
    </w:rPr>
  </w:style>
  <w:style w:type="table" w:styleId="TableGrid">
    <w:name w:val="Table Grid"/>
    <w:basedOn w:val="TableNormal"/>
    <w:uiPriority w:val="39"/>
    <w:rsid w:val="00A718A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9D274D"/>
    <w:pPr>
      <w:spacing w:before="100" w:beforeAutospacing="1" w:after="100" w:afterAutospacing="1"/>
    </w:pPr>
    <w:rPr>
      <w:rFonts w:ascii="Calibri" w:hAnsi="Calibri" w:cs="Calibri"/>
      <w:sz w:val="24"/>
      <w:szCs w:val="24"/>
    </w:rPr>
  </w:style>
  <w:style w:type="character" w:customStyle="1" w:styleId="Heading2Char">
    <w:name w:val="Heading 2 Char"/>
    <w:basedOn w:val="DefaultParagraphFont"/>
    <w:link w:val="Heading2"/>
    <w:uiPriority w:val="9"/>
    <w:rsid w:val="009D274D"/>
    <w:rPr>
      <w:rFonts w:ascii="Calibri Light" w:eastAsia="Times New Roman" w:hAnsi="Calibri Light" w:cs="Times New Roman"/>
      <w:b/>
      <w:bCs/>
      <w:i/>
      <w:iCs/>
      <w:sz w:val="28"/>
      <w:szCs w:val="28"/>
    </w:rPr>
  </w:style>
  <w:style w:type="paragraph" w:styleId="BodyTextIndent">
    <w:name w:val="Body Text Indent"/>
    <w:basedOn w:val="Normal"/>
    <w:link w:val="BodyTextIndentChar"/>
    <w:unhideWhenUsed/>
    <w:rsid w:val="009D274D"/>
    <w:pPr>
      <w:spacing w:after="120"/>
      <w:ind w:left="360"/>
    </w:pPr>
    <w:rPr>
      <w:lang w:val="x-none" w:eastAsia="x-none"/>
    </w:rPr>
  </w:style>
  <w:style w:type="character" w:customStyle="1" w:styleId="BodyTextIndentChar">
    <w:name w:val="Body Text Indent Char"/>
    <w:basedOn w:val="DefaultParagraphFont"/>
    <w:link w:val="BodyTextIndent"/>
    <w:rsid w:val="009D274D"/>
    <w:rPr>
      <w:rFonts w:ascii="Times New Roman" w:eastAsia="Times New Roman" w:hAnsi="Times New Roman" w:cs="Times New Roman"/>
      <w:sz w:val="28"/>
      <w:szCs w:val="28"/>
      <w:lang w:val="x-none" w:eastAsia="x-none"/>
    </w:rPr>
  </w:style>
  <w:style w:type="character" w:customStyle="1" w:styleId="fontstyle01">
    <w:name w:val="fontstyle01"/>
    <w:rsid w:val="009D274D"/>
    <w:rPr>
      <w:rFonts w:ascii="Times New Roman" w:hAnsi="Times New Roman" w:cs="Times New Roman" w:hint="default"/>
      <w:color w:val="000000"/>
      <w:sz w:val="28"/>
    </w:rPr>
  </w:style>
  <w:style w:type="paragraph" w:styleId="CommentSubject">
    <w:name w:val="annotation subject"/>
    <w:basedOn w:val="CommentText"/>
    <w:next w:val="CommentText"/>
    <w:link w:val="CommentSubjectChar"/>
    <w:uiPriority w:val="99"/>
    <w:semiHidden/>
    <w:unhideWhenUsed/>
    <w:rsid w:val="00D80269"/>
    <w:rPr>
      <w:b/>
      <w:bCs/>
      <w:lang w:val="en-US"/>
    </w:rPr>
  </w:style>
  <w:style w:type="character" w:customStyle="1" w:styleId="CommentSubjectChar">
    <w:name w:val="Comment Subject Char"/>
    <w:basedOn w:val="CommentTextChar"/>
    <w:link w:val="CommentSubject"/>
    <w:uiPriority w:val="99"/>
    <w:semiHidden/>
    <w:rsid w:val="00D80269"/>
    <w:rPr>
      <w:rFonts w:ascii="Times New Roman" w:eastAsia="Times New Roman" w:hAnsi="Times New Roman" w:cs="Times New Roman"/>
      <w:b/>
      <w:bCs/>
      <w:sz w:val="20"/>
      <w:szCs w:val="20"/>
      <w:lang w:val="vi-VN"/>
    </w:rPr>
  </w:style>
  <w:style w:type="paragraph" w:styleId="Revision">
    <w:name w:val="Revision"/>
    <w:hidden/>
    <w:uiPriority w:val="99"/>
    <w:semiHidden/>
    <w:rsid w:val="00D80269"/>
    <w:pPr>
      <w:spacing w:after="0" w:line="240" w:lineRule="auto"/>
    </w:pPr>
    <w:rPr>
      <w:rFonts w:ascii="Times New Roman" w:eastAsia="Times New Roman" w:hAnsi="Times New Roman" w:cs="Times New Roman"/>
      <w:sz w:val="28"/>
      <w:szCs w:val="28"/>
    </w:rPr>
  </w:style>
  <w:style w:type="character" w:customStyle="1" w:styleId="a21">
    <w:name w:val="a21"/>
    <w:rsid w:val="001858E1"/>
    <w:rPr>
      <w:rFonts w:ascii="Arial" w:hAnsi="Arial" w:cs="Arial" w:hint="default"/>
      <w:strike w:val="0"/>
      <w:dstrike w:val="0"/>
      <w:sz w:val="20"/>
      <w:szCs w:val="20"/>
      <w:u w:val="none"/>
      <w:effect w:val="none"/>
    </w:rPr>
  </w:style>
  <w:style w:type="paragraph" w:styleId="List3">
    <w:name w:val="List 3"/>
    <w:basedOn w:val="Normal"/>
    <w:rsid w:val="006D0373"/>
    <w:pPr>
      <w:spacing w:before="100" w:beforeAutospacing="1" w:after="100" w:afterAutospacing="1"/>
    </w:pPr>
    <w:rPr>
      <w:rFonts w:eastAsia="MS Mincho"/>
      <w:sz w:val="24"/>
      <w:szCs w:val="24"/>
      <w:lang w:val="vi-VN"/>
    </w:rPr>
  </w:style>
  <w:style w:type="paragraph" w:styleId="HTMLPreformatted">
    <w:name w:val="HTML Preformatted"/>
    <w:basedOn w:val="Normal"/>
    <w:link w:val="HTMLPreformattedChar"/>
    <w:uiPriority w:val="99"/>
    <w:unhideWhenUsed/>
    <w:rsid w:val="00095E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95E79"/>
    <w:rPr>
      <w:rFonts w:ascii="Courier New" w:eastAsia="Times New Roman" w:hAnsi="Courier New" w:cs="Courier New"/>
      <w:sz w:val="20"/>
      <w:szCs w:val="20"/>
    </w:rPr>
  </w:style>
  <w:style w:type="character" w:styleId="Hyperlink">
    <w:name w:val="Hyperlink"/>
    <w:basedOn w:val="DefaultParagraphFont"/>
    <w:uiPriority w:val="99"/>
    <w:unhideWhenUsed/>
    <w:rsid w:val="000E610C"/>
    <w:rPr>
      <w:color w:val="0563C1" w:themeColor="hyperlink"/>
      <w:u w:val="single"/>
    </w:rPr>
  </w:style>
  <w:style w:type="table" w:customStyle="1" w:styleId="TableGrid1">
    <w:name w:val="Table Grid1"/>
    <w:basedOn w:val="TableNormal"/>
    <w:next w:val="TableGrid"/>
    <w:uiPriority w:val="39"/>
    <w:rsid w:val="000E610C"/>
    <w:pPr>
      <w:spacing w:after="0" w:line="240" w:lineRule="auto"/>
    </w:pPr>
    <w:rPr>
      <w:rFonts w:ascii="Calibri" w:eastAsia="Calibri" w:hAnsi="Calibri" w:cs="Times New Roman"/>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locked/>
    <w:rsid w:val="000E610C"/>
    <w:pPr>
      <w:spacing w:after="0" w:line="240" w:lineRule="auto"/>
    </w:pPr>
    <w:rPr>
      <w:rFonts w:ascii="Calibri" w:eastAsia="Calibri" w:hAnsi="Calibri" w:cs="Times New Roman"/>
      <w:lang w:val="e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9741931">
      <w:bodyDiv w:val="1"/>
      <w:marLeft w:val="0"/>
      <w:marRight w:val="0"/>
      <w:marTop w:val="0"/>
      <w:marBottom w:val="0"/>
      <w:divBdr>
        <w:top w:val="none" w:sz="0" w:space="0" w:color="auto"/>
        <w:left w:val="none" w:sz="0" w:space="0" w:color="auto"/>
        <w:bottom w:val="none" w:sz="0" w:space="0" w:color="auto"/>
        <w:right w:val="none" w:sz="0" w:space="0" w:color="auto"/>
      </w:divBdr>
    </w:div>
    <w:div w:id="714475529">
      <w:bodyDiv w:val="1"/>
      <w:marLeft w:val="0"/>
      <w:marRight w:val="0"/>
      <w:marTop w:val="0"/>
      <w:marBottom w:val="0"/>
      <w:divBdr>
        <w:top w:val="none" w:sz="0" w:space="0" w:color="auto"/>
        <w:left w:val="none" w:sz="0" w:space="0" w:color="auto"/>
        <w:bottom w:val="none" w:sz="0" w:space="0" w:color="auto"/>
        <w:right w:val="none" w:sz="0" w:space="0" w:color="auto"/>
      </w:divBdr>
    </w:div>
    <w:div w:id="994383889">
      <w:bodyDiv w:val="1"/>
      <w:marLeft w:val="0"/>
      <w:marRight w:val="0"/>
      <w:marTop w:val="0"/>
      <w:marBottom w:val="0"/>
      <w:divBdr>
        <w:top w:val="none" w:sz="0" w:space="0" w:color="auto"/>
        <w:left w:val="none" w:sz="0" w:space="0" w:color="auto"/>
        <w:bottom w:val="none" w:sz="0" w:space="0" w:color="auto"/>
        <w:right w:val="none" w:sz="0" w:space="0" w:color="auto"/>
      </w:divBdr>
      <w:divsChild>
        <w:div w:id="1609312631">
          <w:marLeft w:val="0"/>
          <w:marRight w:val="0"/>
          <w:marTop w:val="0"/>
          <w:marBottom w:val="0"/>
          <w:divBdr>
            <w:top w:val="none" w:sz="0" w:space="0" w:color="auto"/>
            <w:left w:val="none" w:sz="0" w:space="0" w:color="auto"/>
            <w:bottom w:val="none" w:sz="0" w:space="0" w:color="auto"/>
            <w:right w:val="none" w:sz="0" w:space="0" w:color="auto"/>
          </w:divBdr>
        </w:div>
        <w:div w:id="42221033">
          <w:marLeft w:val="0"/>
          <w:marRight w:val="0"/>
          <w:marTop w:val="0"/>
          <w:marBottom w:val="0"/>
          <w:divBdr>
            <w:top w:val="none" w:sz="0" w:space="0" w:color="auto"/>
            <w:left w:val="none" w:sz="0" w:space="0" w:color="auto"/>
            <w:bottom w:val="none" w:sz="0" w:space="0" w:color="auto"/>
            <w:right w:val="none" w:sz="0" w:space="0" w:color="auto"/>
          </w:divBdr>
          <w:divsChild>
            <w:div w:id="354615636">
              <w:marLeft w:val="0"/>
              <w:marRight w:val="165"/>
              <w:marTop w:val="150"/>
              <w:marBottom w:val="0"/>
              <w:divBdr>
                <w:top w:val="none" w:sz="0" w:space="0" w:color="auto"/>
                <w:left w:val="none" w:sz="0" w:space="0" w:color="auto"/>
                <w:bottom w:val="none" w:sz="0" w:space="0" w:color="auto"/>
                <w:right w:val="none" w:sz="0" w:space="0" w:color="auto"/>
              </w:divBdr>
              <w:divsChild>
                <w:div w:id="2108890008">
                  <w:marLeft w:val="0"/>
                  <w:marRight w:val="0"/>
                  <w:marTop w:val="0"/>
                  <w:marBottom w:val="0"/>
                  <w:divBdr>
                    <w:top w:val="none" w:sz="0" w:space="0" w:color="auto"/>
                    <w:left w:val="none" w:sz="0" w:space="0" w:color="auto"/>
                    <w:bottom w:val="none" w:sz="0" w:space="0" w:color="auto"/>
                    <w:right w:val="none" w:sz="0" w:space="0" w:color="auto"/>
                  </w:divBdr>
                  <w:divsChild>
                    <w:div w:id="112180662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9774">
          <w:marLeft w:val="0"/>
          <w:marRight w:val="0"/>
          <w:marTop w:val="0"/>
          <w:marBottom w:val="0"/>
          <w:divBdr>
            <w:top w:val="none" w:sz="0" w:space="0" w:color="auto"/>
            <w:left w:val="none" w:sz="0" w:space="0" w:color="auto"/>
            <w:bottom w:val="none" w:sz="0" w:space="0" w:color="auto"/>
            <w:right w:val="none" w:sz="0" w:space="0" w:color="auto"/>
          </w:divBdr>
          <w:divsChild>
            <w:div w:id="1297687476">
              <w:marLeft w:val="0"/>
              <w:marRight w:val="0"/>
              <w:marTop w:val="0"/>
              <w:marBottom w:val="0"/>
              <w:divBdr>
                <w:top w:val="none" w:sz="0" w:space="0" w:color="auto"/>
                <w:left w:val="none" w:sz="0" w:space="0" w:color="auto"/>
                <w:bottom w:val="none" w:sz="0" w:space="0" w:color="auto"/>
                <w:right w:val="none" w:sz="0" w:space="0" w:color="auto"/>
              </w:divBdr>
              <w:divsChild>
                <w:div w:id="417942158">
                  <w:marLeft w:val="0"/>
                  <w:marRight w:val="0"/>
                  <w:marTop w:val="0"/>
                  <w:marBottom w:val="0"/>
                  <w:divBdr>
                    <w:top w:val="none" w:sz="0" w:space="0" w:color="auto"/>
                    <w:left w:val="none" w:sz="0" w:space="0" w:color="auto"/>
                    <w:bottom w:val="none" w:sz="0" w:space="0" w:color="auto"/>
                    <w:right w:val="none" w:sz="0" w:space="0" w:color="auto"/>
                  </w:divBdr>
                  <w:divsChild>
                    <w:div w:id="494536168">
                      <w:marLeft w:val="0"/>
                      <w:marRight w:val="0"/>
                      <w:marTop w:val="0"/>
                      <w:marBottom w:val="0"/>
                      <w:divBdr>
                        <w:top w:val="none" w:sz="0" w:space="0" w:color="auto"/>
                        <w:left w:val="none" w:sz="0" w:space="0" w:color="auto"/>
                        <w:bottom w:val="none" w:sz="0" w:space="0" w:color="auto"/>
                        <w:right w:val="none" w:sz="0" w:space="0" w:color="auto"/>
                      </w:divBdr>
                      <w:divsChild>
                        <w:div w:id="808547644">
                          <w:marLeft w:val="0"/>
                          <w:marRight w:val="0"/>
                          <w:marTop w:val="0"/>
                          <w:marBottom w:val="0"/>
                          <w:divBdr>
                            <w:top w:val="none" w:sz="0" w:space="0" w:color="auto"/>
                            <w:left w:val="none" w:sz="0" w:space="0" w:color="auto"/>
                            <w:bottom w:val="none" w:sz="0" w:space="0" w:color="auto"/>
                            <w:right w:val="none" w:sz="0" w:space="0" w:color="auto"/>
                          </w:divBdr>
                          <w:divsChild>
                            <w:div w:id="350764765">
                              <w:marLeft w:val="0"/>
                              <w:marRight w:val="0"/>
                              <w:marTop w:val="0"/>
                              <w:marBottom w:val="0"/>
                              <w:divBdr>
                                <w:top w:val="none" w:sz="0" w:space="0" w:color="auto"/>
                                <w:left w:val="none" w:sz="0" w:space="0" w:color="auto"/>
                                <w:bottom w:val="none" w:sz="0" w:space="0" w:color="auto"/>
                                <w:right w:val="none" w:sz="0" w:space="0" w:color="auto"/>
                              </w:divBdr>
                              <w:divsChild>
                                <w:div w:id="792751739">
                                  <w:marLeft w:val="0"/>
                                  <w:marRight w:val="0"/>
                                  <w:marTop w:val="0"/>
                                  <w:marBottom w:val="0"/>
                                  <w:divBdr>
                                    <w:top w:val="none" w:sz="0" w:space="0" w:color="auto"/>
                                    <w:left w:val="none" w:sz="0" w:space="0" w:color="auto"/>
                                    <w:bottom w:val="none" w:sz="0" w:space="0" w:color="auto"/>
                                    <w:right w:val="none" w:sz="0" w:space="0" w:color="auto"/>
                                  </w:divBdr>
                                  <w:divsChild>
                                    <w:div w:id="259608975">
                                      <w:marLeft w:val="0"/>
                                      <w:marRight w:val="0"/>
                                      <w:marTop w:val="0"/>
                                      <w:marBottom w:val="0"/>
                                      <w:divBdr>
                                        <w:top w:val="none" w:sz="0" w:space="0" w:color="auto"/>
                                        <w:left w:val="none" w:sz="0" w:space="0" w:color="auto"/>
                                        <w:bottom w:val="none" w:sz="0" w:space="0" w:color="auto"/>
                                        <w:right w:val="none" w:sz="0" w:space="0" w:color="auto"/>
                                      </w:divBdr>
                                    </w:div>
                                    <w:div w:id="327637320">
                                      <w:marLeft w:val="0"/>
                                      <w:marRight w:val="0"/>
                                      <w:marTop w:val="0"/>
                                      <w:marBottom w:val="0"/>
                                      <w:divBdr>
                                        <w:top w:val="none" w:sz="0" w:space="0" w:color="auto"/>
                                        <w:left w:val="none" w:sz="0" w:space="0" w:color="auto"/>
                                        <w:bottom w:val="none" w:sz="0" w:space="0" w:color="auto"/>
                                        <w:right w:val="none" w:sz="0" w:space="0" w:color="auto"/>
                                      </w:divBdr>
                                      <w:divsChild>
                                        <w:div w:id="964970291">
                                          <w:marLeft w:val="0"/>
                                          <w:marRight w:val="165"/>
                                          <w:marTop w:val="150"/>
                                          <w:marBottom w:val="0"/>
                                          <w:divBdr>
                                            <w:top w:val="none" w:sz="0" w:space="0" w:color="auto"/>
                                            <w:left w:val="none" w:sz="0" w:space="0" w:color="auto"/>
                                            <w:bottom w:val="none" w:sz="0" w:space="0" w:color="auto"/>
                                            <w:right w:val="none" w:sz="0" w:space="0" w:color="auto"/>
                                          </w:divBdr>
                                          <w:divsChild>
                                            <w:div w:id="760029655">
                                              <w:marLeft w:val="0"/>
                                              <w:marRight w:val="0"/>
                                              <w:marTop w:val="0"/>
                                              <w:marBottom w:val="0"/>
                                              <w:divBdr>
                                                <w:top w:val="none" w:sz="0" w:space="0" w:color="auto"/>
                                                <w:left w:val="none" w:sz="0" w:space="0" w:color="auto"/>
                                                <w:bottom w:val="none" w:sz="0" w:space="0" w:color="auto"/>
                                                <w:right w:val="none" w:sz="0" w:space="0" w:color="auto"/>
                                              </w:divBdr>
                                              <w:divsChild>
                                                <w:div w:id="16830106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2242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9.sv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5.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1.wmf"/><Relationship Id="rId27"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agromonitor.vn/post/483998" TargetMode="External"/><Relationship Id="rId1" Type="http://schemas.openxmlformats.org/officeDocument/2006/relationships/hyperlink" Target="http://agromonitor.vn/post/485181"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anhtu\OneDrive\Desktop\N&#258;M%202024%20PHUONG\Th&#225;ng%2011.2024\Bi&#7875;u%20&#273;&#7891;%20th&#225;ng%20ti&#7871;ng%20T5%202024.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btphuong\Desktop\Ph&#432;&#7907;ng%202024\B&#225;o%20c&#225;o%20th&#225;ng\Th&#225;ng%2011%20n&#259;m%202024\bi&#7875;u%20&#273;&#7891;%20FDI%20T11%20202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nhtu\OneDrive\Desktop\N&#258;M%202024%20PHUONG\THNGA%205%202024\bi&#7875;u%20&#273;&#7891;%20FDI%20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gsofs05\tkth02\01%20Bao%20cao%20thang\2024\Thang%2011\Chuy&#234;n%20vi&#234;n\&#272;&#244;&#768;%20thi&#803;%20t&#244;&#777;ng%20m&#432;&#769;c%2011.2024.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02%20BAO%20CAO\NAM2024\Th&#225;ng%2011.2024\V&#7909;%20TH\Bi&#7875;u%20&#273;&#7891;%20XNK%20T11.2024.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02%20BAO%20CAO\NAM2024\Th&#225;ng%2011.2024\V&#7909;%20TH\Bi&#7875;u%20&#273;&#7891;%20XNK%20T11.2024.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BAO%20CAO%20THANG\Loi%20van\2024\T11\&#273;&#7891;%20th&#7883;%20gi&#225;%20CP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701543582866915E-2"/>
          <c:y val="0.12987603202472423"/>
          <c:w val="0.89996767604437333"/>
          <c:h val="0.66574137320055682"/>
        </c:manualLayout>
      </c:layout>
      <c:barChart>
        <c:barDir val="col"/>
        <c:grouping val="clustered"/>
        <c:varyColors val="0"/>
        <c:ser>
          <c:idx val="0"/>
          <c:order val="0"/>
          <c:tx>
            <c:strRef>
              <c:f>'Hình 7. Địa phương'!$D$4</c:f>
              <c:strCache>
                <c:ptCount val="1"/>
                <c:pt idx="0">
                  <c:v> In the 11 months of 2023</c:v>
                </c:pt>
              </c:strCache>
            </c:strRef>
          </c:tx>
          <c:spPr>
            <a:solidFill>
              <a:srgbClr val="CFB09D"/>
            </a:solidFill>
            <a:ln>
              <a:noFill/>
            </a:ln>
            <a:effectLst/>
          </c:spPr>
          <c:invertIfNegative val="0"/>
          <c:cat>
            <c:strRef>
              <c:f>'Hình 7. Địa phương'!$C$5:$C$13</c:f>
              <c:strCache>
                <c:ptCount val="9"/>
                <c:pt idx="0">
                  <c:v>Ha Noi</c:v>
                </c:pt>
                <c:pt idx="1">
                  <c:v>Ho Chi Minh City</c:v>
                </c:pt>
                <c:pt idx="2">
                  <c:v>Binh Duong</c:v>
                </c:pt>
                <c:pt idx="3">
                  <c:v>Hai Phong</c:v>
                </c:pt>
                <c:pt idx="4">
                  <c:v>Ba Ria 
- Vung Tau</c:v>
                </c:pt>
                <c:pt idx="5">
                  <c:v>Hung Yen</c:v>
                </c:pt>
                <c:pt idx="6">
                  <c:v>Dong Nai</c:v>
                </c:pt>
                <c:pt idx="7">
                  <c:v>Quang Ninh</c:v>
                </c:pt>
                <c:pt idx="8">
                  <c:v>Thanh Hoa</c:v>
                </c:pt>
              </c:strCache>
            </c:strRef>
          </c:cat>
          <c:val>
            <c:numRef>
              <c:f>'Hình 7. Địa phương'!$D$5:$D$13</c:f>
              <c:numCache>
                <c:formatCode>0.0</c:formatCode>
                <c:ptCount val="9"/>
                <c:pt idx="0">
                  <c:v>45099.112999999998</c:v>
                </c:pt>
                <c:pt idx="1">
                  <c:v>42028.862999999998</c:v>
                </c:pt>
                <c:pt idx="2">
                  <c:v>16715.682000000001</c:v>
                </c:pt>
                <c:pt idx="3">
                  <c:v>18103.654999999999</c:v>
                </c:pt>
                <c:pt idx="4">
                  <c:v>14170.729999999998</c:v>
                </c:pt>
                <c:pt idx="5">
                  <c:v>13322.197</c:v>
                </c:pt>
                <c:pt idx="6">
                  <c:v>9518.5419999999995</c:v>
                </c:pt>
                <c:pt idx="7">
                  <c:v>11527.96</c:v>
                </c:pt>
                <c:pt idx="8">
                  <c:v>9854.1329999999998</c:v>
                </c:pt>
              </c:numCache>
            </c:numRef>
          </c:val>
          <c:extLst>
            <c:ext xmlns:c16="http://schemas.microsoft.com/office/drawing/2014/chart" uri="{C3380CC4-5D6E-409C-BE32-E72D297353CC}">
              <c16:uniqueId val="{00000000-6C9B-4926-84E4-ADFD80A075AA}"/>
            </c:ext>
          </c:extLst>
        </c:ser>
        <c:ser>
          <c:idx val="1"/>
          <c:order val="1"/>
          <c:tx>
            <c:strRef>
              <c:f>'Hình 7. Địa phương'!$E$4</c:f>
              <c:strCache>
                <c:ptCount val="1"/>
                <c:pt idx="0">
                  <c:v>In the 11 months of 2024</c:v>
                </c:pt>
              </c:strCache>
            </c:strRef>
          </c:tx>
          <c:spPr>
            <a:solidFill>
              <a:srgbClr val="C84863"/>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15:layout>
                    <c:manualLayout>
                      <c:w val="6.9322774883644189E-2"/>
                      <c:h val="4.0407368607268748E-2"/>
                    </c:manualLayout>
                  </c15:layout>
                </c:ext>
                <c:ext xmlns:c16="http://schemas.microsoft.com/office/drawing/2014/chart" uri="{C3380CC4-5D6E-409C-BE32-E72D297353CC}">
                  <c16:uniqueId val="{00000001-6C9B-4926-84E4-ADFD80A075AA}"/>
                </c:ext>
              </c:extLst>
            </c:dLbl>
            <c:dLbl>
              <c:idx val="2"/>
              <c:layout>
                <c:manualLayout>
                  <c:x val="1.3714284068777314E-2"/>
                  <c:y val="-2.56065526966733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9B-4926-84E4-ADFD80A075AA}"/>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Ha Noi</c:v>
                </c:pt>
                <c:pt idx="1">
                  <c:v>Ho Chi Minh City</c:v>
                </c:pt>
                <c:pt idx="2">
                  <c:v>Binh Duong</c:v>
                </c:pt>
                <c:pt idx="3">
                  <c:v>Hai Phong</c:v>
                </c:pt>
                <c:pt idx="4">
                  <c:v>Ba Ria 
- Vung Tau</c:v>
                </c:pt>
                <c:pt idx="5">
                  <c:v>Hung Yen</c:v>
                </c:pt>
                <c:pt idx="6">
                  <c:v>Dong Nai</c:v>
                </c:pt>
                <c:pt idx="7">
                  <c:v>Quang Ninh</c:v>
                </c:pt>
                <c:pt idx="8">
                  <c:v>Thanh Hoa</c:v>
                </c:pt>
              </c:strCache>
            </c:strRef>
          </c:cat>
          <c:val>
            <c:numRef>
              <c:f>'Hình 7. Địa phương'!$E$5:$E$13</c:f>
              <c:numCache>
                <c:formatCode>0.0</c:formatCode>
                <c:ptCount val="9"/>
                <c:pt idx="0">
                  <c:v>62315.877</c:v>
                </c:pt>
                <c:pt idx="1">
                  <c:v>40653.504000000001</c:v>
                </c:pt>
                <c:pt idx="2">
                  <c:v>17997.452000000001</c:v>
                </c:pt>
                <c:pt idx="3">
                  <c:v>16842.126</c:v>
                </c:pt>
                <c:pt idx="4">
                  <c:v>15878.703049999998</c:v>
                </c:pt>
                <c:pt idx="5">
                  <c:v>14232.383</c:v>
                </c:pt>
                <c:pt idx="6">
                  <c:v>13859.941999999999</c:v>
                </c:pt>
                <c:pt idx="7">
                  <c:v>12186.291999999999</c:v>
                </c:pt>
                <c:pt idx="8">
                  <c:v>11696.691999999999</c:v>
                </c:pt>
              </c:numCache>
            </c:numRef>
          </c:val>
          <c:extLst>
            <c:ext xmlns:c16="http://schemas.microsoft.com/office/drawing/2014/chart" uri="{C3380CC4-5D6E-409C-BE32-E72D297353CC}">
              <c16:uniqueId val="{00000003-6C9B-4926-84E4-ADFD80A075AA}"/>
            </c:ext>
          </c:extLst>
        </c:ser>
        <c:dLbls>
          <c:showLegendKey val="0"/>
          <c:showVal val="0"/>
          <c:showCatName val="0"/>
          <c:showSerName val="0"/>
          <c:showPercent val="0"/>
          <c:showBubbleSize val="0"/>
        </c:dLbls>
        <c:gapWidth val="36"/>
        <c:axId val="1071631488"/>
        <c:axId val="1071632032"/>
      </c:barChart>
      <c:catAx>
        <c:axId val="1071631488"/>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1632032"/>
        <c:crosses val="autoZero"/>
        <c:auto val="1"/>
        <c:lblAlgn val="ctr"/>
        <c:lblOffset val="100"/>
        <c:noMultiLvlLbl val="0"/>
      </c:catAx>
      <c:valAx>
        <c:axId val="107163203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071631488"/>
        <c:crosses val="autoZero"/>
        <c:crossBetween val="between"/>
      </c:valAx>
      <c:spPr>
        <a:noFill/>
        <a:ln>
          <a:noFill/>
        </a:ln>
        <a:effectLst/>
      </c:spPr>
    </c:plotArea>
    <c:legend>
      <c:legendPos val="b"/>
      <c:layout>
        <c:manualLayout>
          <c:xMode val="edge"/>
          <c:yMode val="edge"/>
          <c:x val="9.8974536306017394E-2"/>
          <c:y val="0.8907966715509098"/>
          <c:w val="0.79532792856957735"/>
          <c:h val="3.967039066464467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'[biểu đồ FDI T11 2024.xlsx]04. FDI SO SANH '!$A$16</c:f>
              <c:strCache>
                <c:ptCount val="1"/>
                <c:pt idx="0">
                  <c:v>Register capital</c:v>
                </c:pt>
              </c:strCache>
            </c:strRef>
          </c:tx>
          <c:invertIfNegative val="0"/>
          <c:dLbls>
            <c:dLbl>
              <c:idx val="0"/>
              <c:layout>
                <c:manualLayout>
                  <c:x val="-2.8828823375408787E-2"/>
                  <c:y val="-7.638800644811996E-17"/>
                </c:manualLayout>
              </c:layout>
              <c:tx>
                <c:rich>
                  <a:bodyPr/>
                  <a:lstStyle/>
                  <a:p>
                    <a:r>
                      <a:rPr lang="en-US"/>
                      <a:t>13,56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B31-448D-B774-EFD52FF42E0C}"/>
                </c:ext>
              </c:extLst>
            </c:dLbl>
            <c:dLbl>
              <c:idx val="1"/>
              <c:tx>
                <c:rich>
                  <a:bodyPr/>
                  <a:lstStyle/>
                  <a:p>
                    <a:r>
                      <a:rPr lang="en-US"/>
                      <a:t>14,06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B31-448D-B774-EFD52FF42E0C}"/>
                </c:ext>
              </c:extLst>
            </c:dLbl>
            <c:dLbl>
              <c:idx val="2"/>
              <c:tx>
                <c:rich>
                  <a:bodyPr/>
                  <a:lstStyle/>
                  <a:p>
                    <a:r>
                      <a:rPr lang="en-US"/>
                      <a:t>11,52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B31-448D-B774-EFD52FF42E0C}"/>
                </c:ext>
              </c:extLst>
            </c:dLbl>
            <c:dLbl>
              <c:idx val="3"/>
              <c:layout>
                <c:manualLayout>
                  <c:x val="-1.9219215583605901E-2"/>
                  <c:y val="-3.819400322405998E-17"/>
                </c:manualLayout>
              </c:layout>
              <c:tx>
                <c:rich>
                  <a:bodyPr/>
                  <a:lstStyle/>
                  <a:p>
                    <a:r>
                      <a:rPr lang="en-US"/>
                      <a:t>17,27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B31-448D-B774-EFD52FF42E0C}"/>
                </c:ext>
              </c:extLst>
            </c:dLbl>
            <c:dLbl>
              <c:idx val="4"/>
              <c:tx>
                <c:rich>
                  <a:bodyPr/>
                  <a:lstStyle/>
                  <a:p>
                    <a:r>
                      <a:rPr lang="en-US"/>
                      <a:t>17,39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B31-448D-B774-EFD52FF42E0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'[biểu đồ FDI T11 2024.xlsx]04. FDI SO SANH '!$B$15:$F$15</c:f>
              <c:numCache>
                <c:formatCode>General</c:formatCode>
                <c:ptCount val="5"/>
                <c:pt idx="0">
                  <c:v>2020</c:v>
                </c:pt>
                <c:pt idx="1">
                  <c:v>2021</c:v>
                </c:pt>
                <c:pt idx="2">
                  <c:v>2022</c:v>
                </c:pt>
                <c:pt idx="3">
                  <c:v>2023</c:v>
                </c:pt>
                <c:pt idx="4">
                  <c:v>2024</c:v>
                </c:pt>
              </c:numCache>
            </c:numRef>
          </c:cat>
          <c:val>
            <c:numRef>
              <c:f>'[biểu đồ FDI T11 2024.xlsx]04. FDI SO SANH '!$B$16:$F$16</c:f>
              <c:numCache>
                <c:formatCode>0.00</c:formatCode>
                <c:ptCount val="5"/>
                <c:pt idx="0">
                  <c:v>13.559236399</c:v>
                </c:pt>
                <c:pt idx="1">
                  <c:v>14.057753528659999</c:v>
                </c:pt>
                <c:pt idx="2">
                  <c:v>11.521124461189995</c:v>
                </c:pt>
                <c:pt idx="3">
                  <c:v>17.273936603379994</c:v>
                </c:pt>
                <c:pt idx="4">
                  <c:v>17.387185001999992</c:v>
                </c:pt>
              </c:numCache>
            </c:numRef>
          </c:val>
          <c:extLst>
            <c:ext xmlns:c16="http://schemas.microsoft.com/office/drawing/2014/chart" uri="{C3380CC4-5D6E-409C-BE32-E72D297353CC}">
              <c16:uniqueId val="{00000005-1B31-448D-B774-EFD52FF42E0C}"/>
            </c:ext>
          </c:extLst>
        </c:ser>
        <c:ser>
          <c:idx val="1"/>
          <c:order val="1"/>
          <c:tx>
            <c:strRef>
              <c:f>'[biểu đồ FDI T11 2024.xlsx]04. FDI SO SANH '!$A$17</c:f>
              <c:strCache>
                <c:ptCount val="1"/>
                <c:pt idx="0">
                  <c:v>Newly register capital</c:v>
                </c:pt>
              </c:strCache>
            </c:strRef>
          </c:tx>
          <c:invertIfNegative val="0"/>
          <c:dLbls>
            <c:dLbl>
              <c:idx val="0"/>
              <c:tx>
                <c:rich>
                  <a:bodyPr/>
                  <a:lstStyle/>
                  <a:p>
                    <a:r>
                      <a:rPr lang="en-US"/>
                      <a:t>6,33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B31-448D-B774-EFD52FF42E0C}"/>
                </c:ext>
              </c:extLst>
            </c:dLbl>
            <c:dLbl>
              <c:idx val="1"/>
              <c:layout>
                <c:manualLayout>
                  <c:x val="3.6036029219260982E-2"/>
                  <c:y val="-7.638800644811996E-17"/>
                </c:manualLayout>
              </c:layout>
              <c:tx>
                <c:rich>
                  <a:bodyPr/>
                  <a:lstStyle/>
                  <a:p>
                    <a:r>
                      <a:rPr lang="en-US"/>
                      <a:t>8,02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1B31-448D-B774-EFD52FF42E0C}"/>
                </c:ext>
              </c:extLst>
            </c:dLbl>
            <c:dLbl>
              <c:idx val="2"/>
              <c:layout>
                <c:manualLayout>
                  <c:x val="-2.8828823375408787E-2"/>
                  <c:y val="-3.819400322405998E-17"/>
                </c:manualLayout>
              </c:layout>
              <c:tx>
                <c:rich>
                  <a:bodyPr wrap="square" lIns="38100" tIns="19050" rIns="38100" bIns="19050" anchor="ctr">
                    <a:noAutofit/>
                  </a:bodyPr>
                  <a:lstStyle/>
                  <a:p>
                    <a:pPr>
                      <a:defRPr/>
                    </a:pPr>
                    <a:r>
                      <a:rPr lang="en-US"/>
                      <a:t>9,54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7.2240226574878524E-2"/>
                      <c:h val="6.3354330708661422E-2"/>
                    </c:manualLayout>
                  </c15:layout>
                  <c15:showDataLabelsRange val="0"/>
                </c:ext>
                <c:ext xmlns:c16="http://schemas.microsoft.com/office/drawing/2014/chart" uri="{C3380CC4-5D6E-409C-BE32-E72D297353CC}">
                  <c16:uniqueId val="{00000008-1B31-448D-B774-EFD52FF42E0C}"/>
                </c:ext>
              </c:extLst>
            </c:dLbl>
            <c:dLbl>
              <c:idx val="3"/>
              <c:layout>
                <c:manualLayout>
                  <c:x val="7.207205843852202E-3"/>
                  <c:y val="0"/>
                </c:manualLayout>
              </c:layout>
              <c:tx>
                <c:rich>
                  <a:bodyPr/>
                  <a:lstStyle/>
                  <a:p>
                    <a:r>
                      <a:rPr lang="en-US"/>
                      <a:t>7,06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B31-448D-B774-EFD52FF42E0C}"/>
                </c:ext>
              </c:extLst>
            </c:dLbl>
            <c:dLbl>
              <c:idx val="4"/>
              <c:tx>
                <c:rich>
                  <a:bodyPr/>
                  <a:lstStyle/>
                  <a:p>
                    <a:r>
                      <a:rPr lang="en-US"/>
                      <a:t>9,93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B31-448D-B774-EFD52FF42E0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'[biểu đồ FDI T11 2024.xlsx]04. FDI SO SANH '!$B$15:$F$15</c:f>
              <c:numCache>
                <c:formatCode>General</c:formatCode>
                <c:ptCount val="5"/>
                <c:pt idx="0">
                  <c:v>2020</c:v>
                </c:pt>
                <c:pt idx="1">
                  <c:v>2021</c:v>
                </c:pt>
                <c:pt idx="2">
                  <c:v>2022</c:v>
                </c:pt>
                <c:pt idx="3">
                  <c:v>2023</c:v>
                </c:pt>
                <c:pt idx="4">
                  <c:v>2024</c:v>
                </c:pt>
              </c:numCache>
            </c:numRef>
          </c:cat>
          <c:val>
            <c:numRef>
              <c:f>'[biểu đồ FDI T11 2024.xlsx]04. FDI SO SANH '!$B$17:$F$17</c:f>
              <c:numCache>
                <c:formatCode>0.00</c:formatCode>
                <c:ptCount val="5"/>
                <c:pt idx="0">
                  <c:v>6.333412268630001</c:v>
                </c:pt>
                <c:pt idx="1">
                  <c:v>8.0218116528131258</c:v>
                </c:pt>
                <c:pt idx="2">
                  <c:v>9.5359460126887523</c:v>
                </c:pt>
                <c:pt idx="3">
                  <c:v>7.0606370731158519</c:v>
                </c:pt>
                <c:pt idx="4">
                  <c:v>9.9317590687958877</c:v>
                </c:pt>
              </c:numCache>
            </c:numRef>
          </c:val>
          <c:extLst>
            <c:ext xmlns:c16="http://schemas.microsoft.com/office/drawing/2014/chart" uri="{C3380CC4-5D6E-409C-BE32-E72D297353CC}">
              <c16:uniqueId val="{0000000B-1B31-448D-B774-EFD52FF42E0C}"/>
            </c:ext>
          </c:extLst>
        </c:ser>
        <c:ser>
          <c:idx val="2"/>
          <c:order val="2"/>
          <c:tx>
            <c:strRef>
              <c:f>'[biểu đồ FDI T11 2024.xlsx]04. FDI SO SANH '!$A$18</c:f>
              <c:strCache>
                <c:ptCount val="1"/>
                <c:pt idx="0">
                  <c:v>Adjust register capital</c:v>
                </c:pt>
              </c:strCache>
            </c:strRef>
          </c:tx>
          <c:invertIfNegative val="0"/>
          <c:dLbls>
            <c:dLbl>
              <c:idx val="0"/>
              <c:tx>
                <c:rich>
                  <a:bodyPr/>
                  <a:lstStyle/>
                  <a:p>
                    <a:r>
                      <a:rPr lang="en-US"/>
                      <a:t>6,54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1B31-448D-B774-EFD52FF42E0C}"/>
                </c:ext>
              </c:extLst>
            </c:dLbl>
            <c:dLbl>
              <c:idx val="1"/>
              <c:tx>
                <c:rich>
                  <a:bodyPr/>
                  <a:lstStyle/>
                  <a:p>
                    <a:r>
                      <a:rPr lang="en-US" baseline="0"/>
                      <a:t>4,38</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1B31-448D-B774-EFD52FF42E0C}"/>
                </c:ext>
              </c:extLst>
            </c:dLbl>
            <c:dLbl>
              <c:idx val="2"/>
              <c:layout>
                <c:manualLayout>
                  <c:x val="-1.2012009739753662E-2"/>
                  <c:y val="-3.819400322405998E-17"/>
                </c:manualLayout>
              </c:layout>
              <c:tx>
                <c:rich>
                  <a:bodyPr/>
                  <a:lstStyle/>
                  <a:p>
                    <a:r>
                      <a:rPr lang="en-US"/>
                      <a:t>4,08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1B31-448D-B774-EFD52FF42E0C}"/>
                </c:ext>
              </c:extLst>
            </c:dLbl>
            <c:dLbl>
              <c:idx val="3"/>
              <c:tx>
                <c:rich>
                  <a:bodyPr wrap="square" lIns="38100" tIns="19050" rIns="38100" bIns="19050" anchor="ctr">
                    <a:noAutofit/>
                  </a:bodyPr>
                  <a:lstStyle/>
                  <a:p>
                    <a:pPr>
                      <a:defRPr/>
                    </a:pPr>
                    <a:r>
                      <a:rPr lang="en-US"/>
                      <a:t>6,74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F-1B31-448D-B774-EFD52FF42E0C}"/>
                </c:ext>
              </c:extLst>
            </c:dLbl>
            <c:dLbl>
              <c:idx val="4"/>
              <c:layout>
                <c:manualLayout>
                  <c:x val="2.4024019479507323E-2"/>
                  <c:y val="0"/>
                </c:manualLayout>
              </c:layout>
              <c:tx>
                <c:rich>
                  <a:bodyPr/>
                  <a:lstStyle/>
                  <a:p>
                    <a:r>
                      <a:rPr lang="en-US"/>
                      <a:t> 4,06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1B31-448D-B774-EFD52FF42E0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'[biểu đồ FDI T11 2024.xlsx]04. FDI SO SANH '!$B$15:$F$15</c:f>
              <c:numCache>
                <c:formatCode>General</c:formatCode>
                <c:ptCount val="5"/>
                <c:pt idx="0">
                  <c:v>2020</c:v>
                </c:pt>
                <c:pt idx="1">
                  <c:v>2021</c:v>
                </c:pt>
                <c:pt idx="2">
                  <c:v>2022</c:v>
                </c:pt>
                <c:pt idx="3">
                  <c:v>2023</c:v>
                </c:pt>
                <c:pt idx="4">
                  <c:v>2024</c:v>
                </c:pt>
              </c:numCache>
            </c:numRef>
          </c:cat>
          <c:val>
            <c:numRef>
              <c:f>'[biểu đồ FDI T11 2024.xlsx]04. FDI SO SANH '!$B$18:$F$18</c:f>
              <c:numCache>
                <c:formatCode>0.00</c:formatCode>
                <c:ptCount val="5"/>
                <c:pt idx="0">
                  <c:v>6.5396050897071349</c:v>
                </c:pt>
                <c:pt idx="1">
                  <c:v>4.3831517401630418</c:v>
                </c:pt>
                <c:pt idx="2">
                  <c:v>4.0781715694799994</c:v>
                </c:pt>
                <c:pt idx="3">
                  <c:v>6.7348597343279764</c:v>
                </c:pt>
                <c:pt idx="4">
                  <c:v>4.0593142223912615</c:v>
                </c:pt>
              </c:numCache>
            </c:numRef>
          </c:val>
          <c:extLst>
            <c:ext xmlns:c16="http://schemas.microsoft.com/office/drawing/2014/chart" uri="{C3380CC4-5D6E-409C-BE32-E72D297353CC}">
              <c16:uniqueId val="{00000011-1B31-448D-B774-EFD52FF42E0C}"/>
            </c:ext>
          </c:extLst>
        </c:ser>
        <c:dLbls>
          <c:showLegendKey val="0"/>
          <c:showVal val="0"/>
          <c:showCatName val="0"/>
          <c:showSerName val="0"/>
          <c:showPercent val="0"/>
          <c:showBubbleSize val="0"/>
        </c:dLbls>
        <c:gapWidth val="150"/>
        <c:overlap val="100"/>
        <c:axId val="-1874218784"/>
        <c:axId val="-1874232928"/>
      </c:barChart>
      <c:catAx>
        <c:axId val="-1874218784"/>
        <c:scaling>
          <c:orientation val="minMax"/>
        </c:scaling>
        <c:delete val="0"/>
        <c:axPos val="l"/>
        <c:numFmt formatCode="General" sourceLinked="1"/>
        <c:majorTickMark val="out"/>
        <c:minorTickMark val="none"/>
        <c:tickLblPos val="nextTo"/>
        <c:crossAx val="-1874232928"/>
        <c:crosses val="autoZero"/>
        <c:auto val="1"/>
        <c:lblAlgn val="ctr"/>
        <c:lblOffset val="100"/>
        <c:noMultiLvlLbl val="0"/>
      </c:catAx>
      <c:valAx>
        <c:axId val="-1874232928"/>
        <c:scaling>
          <c:orientation val="minMax"/>
        </c:scaling>
        <c:delete val="0"/>
        <c:axPos val="b"/>
        <c:majorGridlines/>
        <c:numFmt formatCode="0.00" sourceLinked="1"/>
        <c:majorTickMark val="out"/>
        <c:minorTickMark val="none"/>
        <c:tickLblPos val="nextTo"/>
        <c:crossAx val="-1874218784"/>
        <c:crosses val="autoZero"/>
        <c:crossBetween val="between"/>
      </c:valAx>
    </c:plotArea>
    <c:legend>
      <c:legendPos val="b"/>
      <c:overlay val="0"/>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2020</c:v>
                </c:pt>
                <c:pt idx="1">
                  <c:v>2021</c:v>
                </c:pt>
                <c:pt idx="2">
                  <c:v>2022</c:v>
                </c:pt>
                <c:pt idx="3">
                  <c:v>2023</c:v>
                </c:pt>
                <c:pt idx="4">
                  <c:v>2024</c:v>
                </c:pt>
              </c:numCache>
            </c:numRef>
          </c:cat>
          <c:val>
            <c:numRef>
              <c:f>Sheet1!$B$5:$F$5</c:f>
              <c:numCache>
                <c:formatCode>0.00</c:formatCode>
                <c:ptCount val="5"/>
                <c:pt idx="0">
                  <c:v>17.850000000000001</c:v>
                </c:pt>
                <c:pt idx="1">
                  <c:v>17.100000000000001</c:v>
                </c:pt>
                <c:pt idx="2">
                  <c:v>19.684200000000001</c:v>
                </c:pt>
                <c:pt idx="3">
                  <c:v>20.25</c:v>
                </c:pt>
                <c:pt idx="4">
                  <c:v>21.68</c:v>
                </c:pt>
              </c:numCache>
            </c:numRef>
          </c:val>
          <c:extLst>
            <c:ext xmlns:c16="http://schemas.microsoft.com/office/drawing/2014/chart" uri="{C3380CC4-5D6E-409C-BE32-E72D297353CC}">
              <c16:uniqueId val="{00000000-40A9-434F-838B-AEF9E8E19AE0}"/>
            </c:ext>
          </c:extLst>
        </c:ser>
        <c:dLbls>
          <c:showLegendKey val="0"/>
          <c:showVal val="0"/>
          <c:showCatName val="0"/>
          <c:showSerName val="0"/>
          <c:showPercent val="0"/>
          <c:showBubbleSize val="0"/>
        </c:dLbls>
        <c:gapWidth val="219"/>
        <c:overlap val="-27"/>
        <c:axId val="78863872"/>
        <c:axId val="111044864"/>
      </c:barChart>
      <c:catAx>
        <c:axId val="788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1044864"/>
        <c:crosses val="autoZero"/>
        <c:auto val="1"/>
        <c:lblAlgn val="ctr"/>
        <c:lblOffset val="100"/>
        <c:noMultiLvlLbl val="0"/>
      </c:catAx>
      <c:valAx>
        <c:axId val="11104486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78863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EN!$A$4</c:f>
              <c:strCache>
                <c:ptCount val="1"/>
                <c:pt idx="0">
                  <c:v>Total (Trillion dongs)</c:v>
                </c:pt>
              </c:strCache>
            </c:strRef>
          </c:tx>
          <c:spPr>
            <a:solidFill>
              <a:schemeClr val="accent2">
                <a:lumMod val="60000"/>
                <a:lumOff val="40000"/>
              </a:schemeClr>
            </a:solidFill>
            <a:ln>
              <a:noFill/>
            </a:ln>
            <a:effectLst/>
          </c:spPr>
          <c:invertIfNegative val="0"/>
          <c:dLbls>
            <c:dLbl>
              <c:idx val="2"/>
              <c:layout>
                <c:manualLayout>
                  <c:x val="1.81936322287199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F0-473C-A4D3-89AC40455E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EN!$B$3:$F$3</c:f>
              <c:numCache>
                <c:formatCode>General</c:formatCode>
                <c:ptCount val="5"/>
                <c:pt idx="0">
                  <c:v>2020</c:v>
                </c:pt>
                <c:pt idx="1">
                  <c:v>2021</c:v>
                </c:pt>
                <c:pt idx="2">
                  <c:v>2022</c:v>
                </c:pt>
                <c:pt idx="3">
                  <c:v>2023</c:v>
                </c:pt>
                <c:pt idx="4">
                  <c:v>2024</c:v>
                </c:pt>
              </c:numCache>
            </c:numRef>
          </c:cat>
          <c:val>
            <c:numRef>
              <c:f>EN!$B$4:$F$4</c:f>
              <c:numCache>
                <c:formatCode>0.0</c:formatCode>
                <c:ptCount val="5"/>
                <c:pt idx="0">
                  <c:v>4405.7570561194407</c:v>
                </c:pt>
                <c:pt idx="1">
                  <c:v>3998.1706655380467</c:v>
                </c:pt>
                <c:pt idx="2">
                  <c:v>4879.5755214866958</c:v>
                </c:pt>
                <c:pt idx="3">
                  <c:v>5350.5354318260706</c:v>
                </c:pt>
                <c:pt idx="4">
                  <c:v>5822.2784005492276</c:v>
                </c:pt>
              </c:numCache>
            </c:numRef>
          </c:val>
          <c:extLst>
            <c:ext xmlns:c16="http://schemas.microsoft.com/office/drawing/2014/chart" uri="{C3380CC4-5D6E-409C-BE32-E72D297353CC}">
              <c16:uniqueId val="{00000001-01F0-473C-A4D3-89AC40455E86}"/>
            </c:ext>
          </c:extLst>
        </c:ser>
        <c:dLbls>
          <c:showLegendKey val="0"/>
          <c:showVal val="0"/>
          <c:showCatName val="0"/>
          <c:showSerName val="0"/>
          <c:showPercent val="0"/>
          <c:showBubbleSize val="0"/>
        </c:dLbls>
        <c:gapWidth val="122"/>
        <c:overlap val="-27"/>
        <c:axId val="167844352"/>
        <c:axId val="116812032"/>
      </c:barChart>
      <c:lineChart>
        <c:grouping val="stacked"/>
        <c:varyColors val="0"/>
        <c:ser>
          <c:idx val="1"/>
          <c:order val="1"/>
          <c:tx>
            <c:strRef>
              <c:f>EN!$A$5</c:f>
              <c:strCache>
                <c:ptCount val="1"/>
                <c:pt idx="0">
                  <c:v>Growth rate over the same period last year (%)</c:v>
                </c:pt>
              </c:strCache>
            </c:strRef>
          </c:tx>
          <c:spPr>
            <a:ln w="28575" cap="rnd">
              <a:solidFill>
                <a:srgbClr val="002060"/>
              </a:solidFill>
              <a:round/>
            </a:ln>
            <a:effectLst/>
          </c:spPr>
          <c:marker>
            <c:symbol val="circle"/>
            <c:size val="5"/>
            <c:spPr>
              <a:solidFill>
                <a:srgbClr val="002060"/>
              </a:solidFill>
              <a:ln w="9525">
                <a:noFill/>
              </a:ln>
              <a:effectLst/>
            </c:spPr>
          </c:marker>
          <c:dLbls>
            <c:dLbl>
              <c:idx val="0"/>
              <c:layout>
                <c:manualLayout>
                  <c:x val="-4.1585445094217049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F0-473C-A4D3-89AC40455E86}"/>
                </c:ext>
              </c:extLst>
            </c:dLbl>
            <c:dLbl>
              <c:idx val="1"/>
              <c:layout>
                <c:manualLayout>
                  <c:x val="-4.158544509421707E-2"/>
                  <c:y val="6.4814814814814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F0-473C-A4D3-89AC40455E86}"/>
                </c:ext>
              </c:extLst>
            </c:dLbl>
            <c:dLbl>
              <c:idx val="2"/>
              <c:layout>
                <c:manualLayout>
                  <c:x val="-4.6783625730994149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F0-473C-A4D3-89AC40455E86}"/>
                </c:ext>
              </c:extLst>
            </c:dLbl>
            <c:dLbl>
              <c:idx val="3"/>
              <c:layout>
                <c:manualLayout>
                  <c:x val="-3.6111111111111212E-2"/>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F0-473C-A4D3-89AC40455E86}"/>
                </c:ext>
              </c:extLst>
            </c:dLbl>
            <c:dLbl>
              <c:idx val="4"/>
              <c:layout>
                <c:manualLayout>
                  <c:x val="-3.8986354775828458E-2"/>
                  <c:y val="5.5555555555555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1F0-473C-A4D3-89AC40455E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EN!$B$3:$F$3</c:f>
              <c:numCache>
                <c:formatCode>General</c:formatCode>
                <c:ptCount val="5"/>
                <c:pt idx="0">
                  <c:v>2020</c:v>
                </c:pt>
                <c:pt idx="1">
                  <c:v>2021</c:v>
                </c:pt>
                <c:pt idx="2">
                  <c:v>2022</c:v>
                </c:pt>
                <c:pt idx="3">
                  <c:v>2023</c:v>
                </c:pt>
                <c:pt idx="4">
                  <c:v>2024</c:v>
                </c:pt>
              </c:numCache>
            </c:numRef>
          </c:cat>
          <c:val>
            <c:numRef>
              <c:f>EN!$B$5:$F$5</c:f>
              <c:numCache>
                <c:formatCode>0.0</c:formatCode>
                <c:ptCount val="5"/>
                <c:pt idx="0">
                  <c:v>-2.2624568188251288</c:v>
                </c:pt>
                <c:pt idx="1">
                  <c:v>-9.2512225569785045</c:v>
                </c:pt>
                <c:pt idx="2">
                  <c:v>22.045203411296498</c:v>
                </c:pt>
                <c:pt idx="3">
                  <c:v>9.651657367849964</c:v>
                </c:pt>
                <c:pt idx="4">
                  <c:v>8.8167431976458772</c:v>
                </c:pt>
              </c:numCache>
            </c:numRef>
          </c:val>
          <c:smooth val="0"/>
          <c:extLst>
            <c:ext xmlns:c16="http://schemas.microsoft.com/office/drawing/2014/chart" uri="{C3380CC4-5D6E-409C-BE32-E72D297353CC}">
              <c16:uniqueId val="{00000007-01F0-473C-A4D3-89AC40455E86}"/>
            </c:ext>
          </c:extLst>
        </c:ser>
        <c:dLbls>
          <c:showLegendKey val="0"/>
          <c:showVal val="0"/>
          <c:showCatName val="0"/>
          <c:showSerName val="0"/>
          <c:showPercent val="0"/>
          <c:showBubbleSize val="0"/>
        </c:dLbls>
        <c:marker val="1"/>
        <c:smooth val="0"/>
        <c:axId val="116867072"/>
        <c:axId val="116812608"/>
      </c:lineChart>
      <c:catAx>
        <c:axId val="16784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6812032"/>
        <c:crosses val="autoZero"/>
        <c:auto val="1"/>
        <c:lblAlgn val="ctr"/>
        <c:lblOffset val="100"/>
        <c:noMultiLvlLbl val="0"/>
      </c:catAx>
      <c:valAx>
        <c:axId val="1168120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844352"/>
        <c:crosses val="autoZero"/>
        <c:crossBetween val="between"/>
      </c:valAx>
      <c:valAx>
        <c:axId val="11681260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867072"/>
        <c:crosses val="max"/>
        <c:crossBetween val="between"/>
      </c:valAx>
      <c:catAx>
        <c:axId val="116867072"/>
        <c:scaling>
          <c:orientation val="minMax"/>
        </c:scaling>
        <c:delete val="1"/>
        <c:axPos val="b"/>
        <c:numFmt formatCode="General" sourceLinked="1"/>
        <c:majorTickMark val="out"/>
        <c:minorTickMark val="none"/>
        <c:tickLblPos val="nextTo"/>
        <c:crossAx val="1168126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800" b="1" i="0" baseline="0">
                <a:solidFill>
                  <a:sysClr val="windowText" lastClr="000000"/>
                </a:solidFill>
                <a:effectLst/>
                <a:latin typeface="Arial" panose="020B0604020202020204" pitchFamily="34" charset="0"/>
                <a:cs typeface="Arial" panose="020B0604020202020204" pitchFamily="34" charset="0"/>
              </a:rPr>
              <a:t>Export and import turnover of goods</a:t>
            </a:r>
          </a:p>
          <a:p>
            <a:pPr>
              <a:defRPr sz="800">
                <a:solidFill>
                  <a:sysClr val="windowText" lastClr="000000"/>
                </a:solidFill>
                <a:latin typeface="Arial" panose="020B0604020202020204" pitchFamily="34" charset="0"/>
                <a:cs typeface="Arial" panose="020B0604020202020204" pitchFamily="34" charset="0"/>
              </a:defRPr>
            </a:pPr>
            <a:r>
              <a:rPr lang="en-US" sz="800" b="1" i="0" baseline="0">
                <a:solidFill>
                  <a:sysClr val="windowText" lastClr="000000"/>
                </a:solidFill>
                <a:effectLst/>
                <a:latin typeface="Arial" panose="020B0604020202020204" pitchFamily="34" charset="0"/>
                <a:cs typeface="Arial" panose="020B0604020202020204" pitchFamily="34" charset="0"/>
              </a:rPr>
              <a:t>(Billion USD)</a:t>
            </a:r>
          </a:p>
        </c:rich>
      </c:tx>
      <c:overlay val="0"/>
      <c:spPr>
        <a:noFill/>
        <a:ln>
          <a:no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dLbl>
              <c:idx val="0"/>
              <c:tx>
                <c:rich>
                  <a:bodyPr/>
                  <a:lstStyle/>
                  <a:p>
                    <a:r>
                      <a:rPr lang="en-US"/>
                      <a:t>55.2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075-448A-A0E7-F973E1E76D6B}"/>
                </c:ext>
              </c:extLst>
            </c:dLbl>
            <c:dLbl>
              <c:idx val="1"/>
              <c:tx>
                <c:rich>
                  <a:bodyPr/>
                  <a:lstStyle/>
                  <a:p>
                    <a:r>
                      <a:rPr lang="en-US"/>
                      <a:t>108.9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075-448A-A0E7-F973E1E76D6B}"/>
                </c:ext>
              </c:extLst>
            </c:dLbl>
            <c:dLbl>
              <c:idx val="2"/>
              <c:tx>
                <c:rich>
                  <a:bodyPr/>
                  <a:lstStyle/>
                  <a:p>
                    <a:r>
                      <a:rPr lang="en-US"/>
                      <a:t>33.7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075-448A-A0E7-F973E1E76D6B}"/>
                </c:ext>
              </c:extLst>
            </c:dLbl>
            <c:dLbl>
              <c:idx val="3"/>
              <c:tx>
                <c:rich>
                  <a:bodyPr/>
                  <a:lstStyle/>
                  <a:p>
                    <a:r>
                      <a:rPr lang="en-US"/>
                      <a:t>23.4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075-448A-A0E7-F973E1E76D6B}"/>
                </c:ext>
              </c:extLst>
            </c:dLbl>
            <c:dLbl>
              <c:idx val="4"/>
              <c:tx>
                <c:rich>
                  <a:bodyPr/>
                  <a:lstStyle/>
                  <a:p>
                    <a:r>
                      <a:rPr lang="en-US"/>
                      <a:t>47.3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075-448A-A0E7-F973E1E76D6B}"/>
                </c:ext>
              </c:extLst>
            </c:dLbl>
            <c:dLbl>
              <c:idx val="5"/>
              <c:tx>
                <c:rich>
                  <a:bodyPr/>
                  <a:lstStyle/>
                  <a:p>
                    <a:r>
                      <a:rPr lang="en-US"/>
                      <a:t>22.3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075-448A-A0E7-F973E1E76D6B}"/>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EN'!$B$3:$B$8</c:f>
              <c:numCache>
                <c:formatCode>0.0</c:formatCode>
                <c:ptCount val="6"/>
                <c:pt idx="0">
                  <c:v>55.19</c:v>
                </c:pt>
                <c:pt idx="1">
                  <c:v>108.91</c:v>
                </c:pt>
                <c:pt idx="2">
                  <c:v>33.747</c:v>
                </c:pt>
                <c:pt idx="3">
                  <c:v>23.37</c:v>
                </c:pt>
                <c:pt idx="4">
                  <c:v>47.32</c:v>
                </c:pt>
                <c:pt idx="5">
                  <c:v>22.34</c:v>
                </c:pt>
              </c:numCache>
            </c:numRef>
          </c:val>
          <c:extLst>
            <c:ext xmlns:c16="http://schemas.microsoft.com/office/drawing/2014/chart" uri="{C3380CC4-5D6E-409C-BE32-E72D297353CC}">
              <c16:uniqueId val="{00000006-7075-448A-A0E7-F973E1E76D6B}"/>
            </c:ext>
          </c:extLst>
        </c:ser>
        <c:ser>
          <c:idx val="1"/>
          <c:order val="1"/>
          <c:tx>
            <c:v>Nhập khẩu hàng hóa</c:v>
          </c:tx>
          <c:spPr>
            <a:solidFill>
              <a:srgbClr val="FFFF00"/>
            </a:solidFill>
            <a:ln w="3175">
              <a:solidFill>
                <a:schemeClr val="bg2">
                  <a:lumMod val="25000"/>
                </a:schemeClr>
              </a:solidFill>
            </a:ln>
            <a:effectLst/>
          </c:spPr>
          <c:invertIfNegative val="0"/>
          <c:dLbls>
            <c:dLbl>
              <c:idx val="0"/>
              <c:tx>
                <c:rich>
                  <a:bodyPr/>
                  <a:lstStyle/>
                  <a:p>
                    <a:r>
                      <a:rPr lang="en-US"/>
                      <a:t>130.2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075-448A-A0E7-F973E1E76D6B}"/>
                </c:ext>
              </c:extLst>
            </c:dLbl>
            <c:dLbl>
              <c:idx val="1"/>
              <c:layout>
                <c:manualLayout>
                  <c:x val="-4.1384021552028873E-17"/>
                  <c:y val="3.7804788404745306E-3"/>
                </c:manualLayout>
              </c:layout>
              <c:tx>
                <c:rich>
                  <a:bodyPr/>
                  <a:lstStyle/>
                  <a:p>
                    <a:r>
                      <a:rPr lang="en-US"/>
                      <a:t>13.5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075-448A-A0E7-F973E1E76D6B}"/>
                </c:ext>
              </c:extLst>
            </c:dLbl>
            <c:dLbl>
              <c:idx val="2"/>
              <c:tx>
                <c:rich>
                  <a:bodyPr/>
                  <a:lstStyle/>
                  <a:p>
                    <a:r>
                      <a:rPr lang="en-US"/>
                      <a:t>42.3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075-448A-A0E7-F973E1E76D6B}"/>
                </c:ext>
              </c:extLst>
            </c:dLbl>
            <c:dLbl>
              <c:idx val="3"/>
              <c:tx>
                <c:rich>
                  <a:bodyPr/>
                  <a:lstStyle/>
                  <a:p>
                    <a:r>
                      <a:rPr lang="en-US"/>
                      <a:t>51.1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7075-448A-A0E7-F973E1E76D6B}"/>
                </c:ext>
              </c:extLst>
            </c:dLbl>
            <c:dLbl>
              <c:idx val="4"/>
              <c:tx>
                <c:rich>
                  <a:bodyPr/>
                  <a:lstStyle/>
                  <a:p>
                    <a:r>
                      <a:rPr lang="en-US"/>
                      <a:t>15.3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7075-448A-A0E7-F973E1E76D6B}"/>
                </c:ext>
              </c:extLst>
            </c:dLbl>
            <c:dLbl>
              <c:idx val="5"/>
              <c:tx>
                <c:rich>
                  <a:bodyPr/>
                  <a:lstStyle/>
                  <a:p>
                    <a:r>
                      <a:rPr lang="en-US"/>
                      <a:t>19.7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7075-448A-A0E7-F973E1E76D6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EN'!$D$3:$D$8</c:f>
              <c:numCache>
                <c:formatCode>0.0</c:formatCode>
                <c:ptCount val="6"/>
                <c:pt idx="0">
                  <c:v>130.19999999999999</c:v>
                </c:pt>
                <c:pt idx="1">
                  <c:v>13.49</c:v>
                </c:pt>
                <c:pt idx="2">
                  <c:v>42.25</c:v>
                </c:pt>
                <c:pt idx="3">
                  <c:v>51.11</c:v>
                </c:pt>
                <c:pt idx="4">
                  <c:v>15.33</c:v>
                </c:pt>
                <c:pt idx="5">
                  <c:v>19.71</c:v>
                </c:pt>
              </c:numCache>
            </c:numRef>
          </c:val>
          <c:extLst>
            <c:ext xmlns:c16="http://schemas.microsoft.com/office/drawing/2014/chart" uri="{C3380CC4-5D6E-409C-BE32-E72D297353CC}">
              <c16:uniqueId val="{0000000D-7075-448A-A0E7-F973E1E76D6B}"/>
            </c:ext>
          </c:extLst>
        </c:ser>
        <c:dLbls>
          <c:showLegendKey val="0"/>
          <c:showVal val="0"/>
          <c:showCatName val="0"/>
          <c:showSerName val="0"/>
          <c:showPercent val="0"/>
          <c:showBubbleSize val="0"/>
        </c:dLbls>
        <c:gapWidth val="75"/>
        <c:overlap val="100"/>
        <c:axId val="319683056"/>
        <c:axId val="319688048"/>
      </c:barChart>
      <c:catAx>
        <c:axId val="31968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9688048"/>
        <c:crosses val="autoZero"/>
        <c:auto val="1"/>
        <c:lblAlgn val="ctr"/>
        <c:lblOffset val="100"/>
        <c:noMultiLvlLbl val="0"/>
      </c:catAx>
      <c:valAx>
        <c:axId val="31968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Arial "/>
                <a:ea typeface="+mn-ea"/>
                <a:cs typeface="+mn-cs"/>
              </a:defRPr>
            </a:pPr>
            <a:endParaRPr lang="en-US"/>
          </a:p>
        </c:txPr>
        <c:crossAx val="319683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800" b="1" i="0" baseline="0">
                <a:solidFill>
                  <a:sysClr val="windowText" lastClr="000000"/>
                </a:solidFill>
                <a:effectLst/>
                <a:latin typeface="Arial" panose="020B0604020202020204" pitchFamily="34" charset="0"/>
                <a:cs typeface="Arial" panose="020B0604020202020204" pitchFamily="34" charset="0"/>
              </a:rPr>
              <a:t>Growth rate of exports and imports of goods over the same period last year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tx>
                <c:rich>
                  <a:bodyPr/>
                  <a:lstStyle/>
                  <a:p>
                    <a:r>
                      <a:rPr lang="en-US"/>
                      <a:t>-0.9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235-4B61-ABBB-DD44187D48FA}"/>
                </c:ext>
              </c:extLst>
            </c:dLbl>
            <c:dLbl>
              <c:idx val="1"/>
              <c:tx>
                <c:rich>
                  <a:bodyPr/>
                  <a:lstStyle/>
                  <a:p>
                    <a:r>
                      <a:rPr lang="en-US"/>
                      <a:t>23.9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235-4B61-ABBB-DD44187D48FA}"/>
                </c:ext>
              </c:extLst>
            </c:dLbl>
            <c:dLbl>
              <c:idx val="2"/>
              <c:layout>
                <c:manualLayout>
                  <c:x val="-1.3363028953229399E-2"/>
                  <c:y val="2.1965952773201538E-2"/>
                </c:manualLayout>
              </c:layout>
              <c:tx>
                <c:rich>
                  <a:bodyPr/>
                  <a:lstStyle/>
                  <a:p>
                    <a:r>
                      <a:rPr lang="en-US"/>
                      <a:t>13.4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235-4B61-ABBB-DD44187D48FA}"/>
                </c:ext>
              </c:extLst>
            </c:dLbl>
            <c:dLbl>
              <c:idx val="3"/>
              <c:tx>
                <c:rich>
                  <a:bodyPr/>
                  <a:lstStyle/>
                  <a:p>
                    <a:r>
                      <a:rPr lang="en-US"/>
                      <a:t>8.7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235-4B61-ABBB-DD44187D48FA}"/>
                </c:ext>
              </c:extLst>
            </c:dLbl>
            <c:dLbl>
              <c:idx val="4"/>
              <c:tx>
                <c:rich>
                  <a:bodyPr/>
                  <a:lstStyle/>
                  <a:p>
                    <a:r>
                      <a:rPr lang="en-US"/>
                      <a:t>18.1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235-4B61-ABBB-DD44187D48FA}"/>
                </c:ext>
              </c:extLst>
            </c:dLbl>
            <c:dLbl>
              <c:idx val="5"/>
              <c:tx>
                <c:rich>
                  <a:bodyPr/>
                  <a:lstStyle/>
                  <a:p>
                    <a:r>
                      <a:rPr lang="en-US"/>
                      <a:t>4.8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235-4B61-ABBB-DD44187D48F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EN'!$C$3:$C$8</c:f>
              <c:numCache>
                <c:formatCode>0.0</c:formatCode>
                <c:ptCount val="6"/>
                <c:pt idx="0" formatCode="General">
                  <c:v>-0.9</c:v>
                </c:pt>
                <c:pt idx="1">
                  <c:v>23.9</c:v>
                </c:pt>
                <c:pt idx="2">
                  <c:v>13.4</c:v>
                </c:pt>
                <c:pt idx="3">
                  <c:v>8.6999999999999993</c:v>
                </c:pt>
                <c:pt idx="4" formatCode="General">
                  <c:v>18.100000000000001</c:v>
                </c:pt>
                <c:pt idx="5">
                  <c:v>4.8</c:v>
                </c:pt>
              </c:numCache>
            </c:numRef>
          </c:val>
          <c:extLst>
            <c:ext xmlns:c16="http://schemas.microsoft.com/office/drawing/2014/chart" uri="{C3380CC4-5D6E-409C-BE32-E72D297353CC}">
              <c16:uniqueId val="{00000006-3235-4B61-ABBB-DD44187D48FA}"/>
            </c:ext>
          </c:extLst>
        </c:ser>
        <c:ser>
          <c:idx val="1"/>
          <c:order val="1"/>
          <c:tx>
            <c:v>Nhập khẩu hàng hóa</c:v>
          </c:tx>
          <c:spPr>
            <a:solidFill>
              <a:srgbClr val="FFFF00"/>
            </a:solidFill>
            <a:ln w="3175">
              <a:solidFill>
                <a:schemeClr val="bg2">
                  <a:lumMod val="25000"/>
                </a:schemeClr>
              </a:solidFill>
            </a:ln>
            <a:effectLst/>
          </c:spPr>
          <c:invertIfNegative val="0"/>
          <c:dLbls>
            <c:dLbl>
              <c:idx val="0"/>
              <c:tx>
                <c:rich>
                  <a:bodyPr/>
                  <a:lstStyle/>
                  <a:p>
                    <a:r>
                      <a:rPr lang="en-US"/>
                      <a:t>29.7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235-4B61-ABBB-DD44187D48FA}"/>
                </c:ext>
              </c:extLst>
            </c:dLbl>
            <c:dLbl>
              <c:idx val="1"/>
              <c:layout>
                <c:manualLayout>
                  <c:x val="3.5813458100346151E-4"/>
                  <c:y val="-3.7866857551896922E-3"/>
                </c:manualLayout>
              </c:layout>
              <c:tx>
                <c:rich>
                  <a:bodyPr/>
                  <a:lstStyle/>
                  <a:p>
                    <a:r>
                      <a:rPr lang="en-US"/>
                      <a:t>7.3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3235-4B61-ABBB-DD44187D48FA}"/>
                </c:ext>
              </c:extLst>
            </c:dLbl>
            <c:dLbl>
              <c:idx val="2"/>
              <c:layout>
                <c:manualLayout>
                  <c:x val="4.4543429844097994E-3"/>
                  <c:y val="0"/>
                </c:manualLayout>
              </c:layout>
              <c:tx>
                <c:rich>
                  <a:bodyPr/>
                  <a:lstStyle/>
                  <a:p>
                    <a:r>
                      <a:rPr lang="en-US"/>
                      <a:t>13.4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235-4B61-ABBB-DD44187D48FA}"/>
                </c:ext>
              </c:extLst>
            </c:dLbl>
            <c:dLbl>
              <c:idx val="3"/>
              <c:tx>
                <c:rich>
                  <a:bodyPr/>
                  <a:lstStyle/>
                  <a:p>
                    <a:r>
                      <a:rPr lang="en-US"/>
                      <a:t>6.8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3235-4B61-ABBB-DD44187D48FA}"/>
                </c:ext>
              </c:extLst>
            </c:dLbl>
            <c:dLbl>
              <c:idx val="4"/>
              <c:layout>
                <c:manualLayout>
                  <c:x val="7.6045627376424927E-3"/>
                  <c:y val="1.1364829396325458E-2"/>
                </c:manualLayout>
              </c:layout>
              <c:tx>
                <c:rich>
                  <a:bodyPr/>
                  <a:lstStyle/>
                  <a:p>
                    <a:r>
                      <a:rPr lang="en-US"/>
                      <a:t>12.4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3235-4B61-ABBB-DD44187D48FA}"/>
                </c:ext>
              </c:extLst>
            </c:dLbl>
            <c:dLbl>
              <c:idx val="5"/>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3235-4B61-ABBB-DD44187D48F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EN'!$E$3:$E$8</c:f>
              <c:numCache>
                <c:formatCode>General</c:formatCode>
                <c:ptCount val="6"/>
                <c:pt idx="0" formatCode="0.0">
                  <c:v>29.7</c:v>
                </c:pt>
                <c:pt idx="1">
                  <c:v>7.3</c:v>
                </c:pt>
                <c:pt idx="2">
                  <c:v>13.4</c:v>
                </c:pt>
                <c:pt idx="3">
                  <c:v>6.8</c:v>
                </c:pt>
                <c:pt idx="4" formatCode="0.0">
                  <c:v>12.4</c:v>
                </c:pt>
                <c:pt idx="5" formatCode="0.0">
                  <c:v>-0.3</c:v>
                </c:pt>
              </c:numCache>
            </c:numRef>
          </c:val>
          <c:extLst>
            <c:ext xmlns:c16="http://schemas.microsoft.com/office/drawing/2014/chart" uri="{C3380CC4-5D6E-409C-BE32-E72D297353CC}">
              <c16:uniqueId val="{0000000D-3235-4B61-ABBB-DD44187D48FA}"/>
            </c:ext>
          </c:extLst>
        </c:ser>
        <c:dLbls>
          <c:showLegendKey val="0"/>
          <c:showVal val="0"/>
          <c:showCatName val="0"/>
          <c:showSerName val="0"/>
          <c:showPercent val="0"/>
          <c:showBubbleSize val="0"/>
        </c:dLbls>
        <c:gapWidth val="50"/>
        <c:overlap val="-27"/>
        <c:axId val="464358304"/>
        <c:axId val="464351232"/>
      </c:barChart>
      <c:catAx>
        <c:axId val="4643583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64351232"/>
        <c:crosses val="autoZero"/>
        <c:auto val="1"/>
        <c:lblAlgn val="ctr"/>
        <c:lblOffset val="100"/>
        <c:noMultiLvlLbl val="0"/>
      </c:catAx>
      <c:valAx>
        <c:axId val="464351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
                <a:ea typeface="+mn-ea"/>
                <a:cs typeface="+mn-cs"/>
              </a:defRPr>
            </a:pPr>
            <a:endParaRPr lang="en-US"/>
          </a:p>
        </c:txPr>
        <c:crossAx val="46435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99129165145748"/>
          <c:y val="2.4169503564529682E-2"/>
          <c:w val="0.85555161565069271"/>
          <c:h val="0.53272246909730347"/>
        </c:manualLayout>
      </c:layout>
      <c:barChart>
        <c:barDir val="col"/>
        <c:grouping val="clustered"/>
        <c:varyColors val="0"/>
        <c:ser>
          <c:idx val="0"/>
          <c:order val="0"/>
          <c:spPr>
            <a:solidFill>
              <a:srgbClr val="FF0000"/>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461A-4067-83A8-3B7226BC0AE3}"/>
              </c:ext>
            </c:extLst>
          </c:dPt>
          <c:dPt>
            <c:idx val="1"/>
            <c:invertIfNegative val="0"/>
            <c:bubble3D val="0"/>
            <c:spPr>
              <a:solidFill>
                <a:srgbClr val="FF0000"/>
              </a:solidFill>
              <a:ln>
                <a:noFill/>
              </a:ln>
              <a:effectLst/>
            </c:spPr>
            <c:extLst>
              <c:ext xmlns:c16="http://schemas.microsoft.com/office/drawing/2014/chart" uri="{C3380CC4-5D6E-409C-BE32-E72D297353CC}">
                <c16:uniqueId val="{00000003-461A-4067-83A8-3B7226BC0AE3}"/>
              </c:ext>
            </c:extLst>
          </c:dPt>
          <c:dPt>
            <c:idx val="2"/>
            <c:invertIfNegative val="0"/>
            <c:bubble3D val="0"/>
            <c:spPr>
              <a:solidFill>
                <a:srgbClr val="FF0000"/>
              </a:solidFill>
              <a:ln>
                <a:noFill/>
              </a:ln>
              <a:effectLst/>
            </c:spPr>
            <c:extLst>
              <c:ext xmlns:c16="http://schemas.microsoft.com/office/drawing/2014/chart" uri="{C3380CC4-5D6E-409C-BE32-E72D297353CC}">
                <c16:uniqueId val="{00000005-461A-4067-83A8-3B7226BC0AE3}"/>
              </c:ext>
            </c:extLst>
          </c:dPt>
          <c:dPt>
            <c:idx val="3"/>
            <c:invertIfNegative val="0"/>
            <c:bubble3D val="0"/>
            <c:spPr>
              <a:solidFill>
                <a:srgbClr val="FF0000"/>
              </a:solidFill>
              <a:ln>
                <a:noFill/>
              </a:ln>
              <a:effectLst/>
            </c:spPr>
            <c:extLst>
              <c:ext xmlns:c16="http://schemas.microsoft.com/office/drawing/2014/chart" uri="{C3380CC4-5D6E-409C-BE32-E72D297353CC}">
                <c16:uniqueId val="{00000007-461A-4067-83A8-3B7226BC0AE3}"/>
              </c:ext>
            </c:extLst>
          </c:dPt>
          <c:dPt>
            <c:idx val="4"/>
            <c:invertIfNegative val="0"/>
            <c:bubble3D val="0"/>
            <c:spPr>
              <a:solidFill>
                <a:srgbClr val="FF0000"/>
              </a:solidFill>
              <a:ln>
                <a:solidFill>
                  <a:srgbClr val="FF0000"/>
                </a:solidFill>
              </a:ln>
              <a:effectLst/>
            </c:spPr>
            <c:extLst>
              <c:ext xmlns:c16="http://schemas.microsoft.com/office/drawing/2014/chart" uri="{C3380CC4-5D6E-409C-BE32-E72D297353CC}">
                <c16:uniqueId val="{00000009-461A-4067-83A8-3B7226BC0AE3}"/>
              </c:ext>
            </c:extLst>
          </c:dPt>
          <c:dPt>
            <c:idx val="6"/>
            <c:invertIfNegative val="0"/>
            <c:bubble3D val="0"/>
            <c:spPr>
              <a:solidFill>
                <a:srgbClr val="FF0000"/>
              </a:solidFill>
              <a:ln>
                <a:noFill/>
              </a:ln>
              <a:effectLst/>
            </c:spPr>
            <c:extLst>
              <c:ext xmlns:c16="http://schemas.microsoft.com/office/drawing/2014/chart" uri="{C3380CC4-5D6E-409C-BE32-E72D297353CC}">
                <c16:uniqueId val="{0000000B-461A-4067-83A8-3B7226BC0AE3}"/>
              </c:ext>
            </c:extLst>
          </c:dPt>
          <c:dPt>
            <c:idx val="8"/>
            <c:invertIfNegative val="0"/>
            <c:bubble3D val="0"/>
            <c:spPr>
              <a:solidFill>
                <a:srgbClr val="FF0000"/>
              </a:solidFill>
              <a:ln>
                <a:noFill/>
              </a:ln>
              <a:effectLst/>
            </c:spPr>
            <c:extLst>
              <c:ext xmlns:c16="http://schemas.microsoft.com/office/drawing/2014/chart" uri="{C3380CC4-5D6E-409C-BE32-E72D297353CC}">
                <c16:uniqueId val="{0000000D-461A-4067-83A8-3B7226BC0AE3}"/>
              </c:ext>
            </c:extLst>
          </c:dPt>
          <c:dPt>
            <c:idx val="9"/>
            <c:invertIfNegative val="0"/>
            <c:bubble3D val="0"/>
            <c:spPr>
              <a:solidFill>
                <a:srgbClr val="FF0000"/>
              </a:solidFill>
              <a:ln>
                <a:noFill/>
              </a:ln>
              <a:effectLst/>
            </c:spPr>
            <c:extLst>
              <c:ext xmlns:c16="http://schemas.microsoft.com/office/drawing/2014/chart" uri="{C3380CC4-5D6E-409C-BE32-E72D297353CC}">
                <c16:uniqueId val="{0000000F-461A-4067-83A8-3B7226BC0AE3}"/>
              </c:ext>
            </c:extLst>
          </c:dPt>
          <c:dPt>
            <c:idx val="10"/>
            <c:invertIfNegative val="0"/>
            <c:bubble3D val="0"/>
            <c:spPr>
              <a:solidFill>
                <a:srgbClr val="FF0000"/>
              </a:solidFill>
              <a:ln>
                <a:noFill/>
              </a:ln>
              <a:effectLst/>
            </c:spPr>
            <c:extLst>
              <c:ext xmlns:c16="http://schemas.microsoft.com/office/drawing/2014/chart" uri="{C3380CC4-5D6E-409C-BE32-E72D297353CC}">
                <c16:uniqueId val="{00000011-461A-4067-83A8-3B7226BC0AE3}"/>
              </c:ext>
            </c:extLst>
          </c:dPt>
          <c:dPt>
            <c:idx val="11"/>
            <c:invertIfNegative val="0"/>
            <c:bubble3D val="0"/>
            <c:spPr>
              <a:solidFill>
                <a:srgbClr val="FF0000"/>
              </a:solidFill>
              <a:ln>
                <a:noFill/>
              </a:ln>
              <a:effectLst/>
            </c:spPr>
            <c:extLst>
              <c:ext xmlns:c16="http://schemas.microsoft.com/office/drawing/2014/chart" uri="{C3380CC4-5D6E-409C-BE32-E72D297353CC}">
                <c16:uniqueId val="{00000013-461A-4067-83A8-3B7226BC0AE3}"/>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Sheet2!$B$2:$B$13</c:f>
              <c:strCache>
                <c:ptCount val="12"/>
                <c:pt idx="0">
                  <c:v>Consumer price index</c:v>
                </c:pt>
                <c:pt idx="1">
                  <c:v>IV. Housing and construction materials</c:v>
                </c:pt>
                <c:pt idx="2">
                  <c:v>XI. Other consumer goods and services</c:v>
                </c:pt>
                <c:pt idx="3">
                  <c:v>II. Beverage and cigarette</c:v>
                </c:pt>
                <c:pt idx="4">
                  <c:v>III. Garment, hat, footwear</c:v>
                </c:pt>
                <c:pt idx="5">
                  <c:v>X. Culture, entertainments and tourism</c:v>
                </c:pt>
                <c:pt idx="6">
                  <c:v>IX. Education </c:v>
                </c:pt>
                <c:pt idx="7">
                  <c:v>V. Household equipment and goods</c:v>
                </c:pt>
                <c:pt idx="8">
                  <c:v>VI. Medicine and health care services</c:v>
                </c:pt>
                <c:pt idx="9">
                  <c:v>VII. Transport</c:v>
                </c:pt>
                <c:pt idx="10">
                  <c:v>I. Food and foodstuff</c:v>
                </c:pt>
                <c:pt idx="11">
                  <c:v>VIII. Post and communication</c:v>
                </c:pt>
              </c:strCache>
            </c:strRef>
          </c:cat>
          <c:val>
            <c:numRef>
              <c:f>Sheet2!$C$2:$C$13</c:f>
              <c:numCache>
                <c:formatCode>0.00%</c:formatCode>
                <c:ptCount val="12"/>
                <c:pt idx="0">
                  <c:v>1.2749999999999773E-3</c:v>
                </c:pt>
                <c:pt idx="1">
                  <c:v>8.670000000000044E-3</c:v>
                </c:pt>
                <c:pt idx="2">
                  <c:v>2.9120000000000344E-3</c:v>
                </c:pt>
                <c:pt idx="3">
                  <c:v>2.6420000000000245E-3</c:v>
                </c:pt>
                <c:pt idx="4">
                  <c:v>2.1309999999999719E-3</c:v>
                </c:pt>
                <c:pt idx="5">
                  <c:v>1.9610000000000126E-3</c:v>
                </c:pt>
                <c:pt idx="6">
                  <c:v>1.1379999999999767E-3</c:v>
                </c:pt>
                <c:pt idx="7">
                  <c:v>8.4599999999994684E-4</c:v>
                </c:pt>
                <c:pt idx="8">
                  <c:v>4.9800000000004734E-4</c:v>
                </c:pt>
                <c:pt idx="9">
                  <c:v>-6.6800000000000637E-4</c:v>
                </c:pt>
                <c:pt idx="10">
                  <c:v>-2.1710000000000206E-3</c:v>
                </c:pt>
                <c:pt idx="11">
                  <c:v>-3.0200000000000669E-3</c:v>
                </c:pt>
              </c:numCache>
            </c:numRef>
          </c:val>
          <c:extLst>
            <c:ext xmlns:c16="http://schemas.microsoft.com/office/drawing/2014/chart" uri="{C3380CC4-5D6E-409C-BE32-E72D297353CC}">
              <c16:uniqueId val="{00000014-461A-4067-83A8-3B7226BC0AE3}"/>
            </c:ext>
          </c:extLst>
        </c:ser>
        <c:dLbls>
          <c:showLegendKey val="0"/>
          <c:showVal val="0"/>
          <c:showCatName val="0"/>
          <c:showSerName val="0"/>
          <c:showPercent val="0"/>
          <c:showBubbleSize val="0"/>
        </c:dLbls>
        <c:gapWidth val="112"/>
        <c:overlap val="-27"/>
        <c:axId val="124467008"/>
        <c:axId val="120957152"/>
      </c:barChart>
      <c:catAx>
        <c:axId val="1244670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0957152"/>
        <c:crosses val="autoZero"/>
        <c:auto val="1"/>
        <c:lblAlgn val="ctr"/>
        <c:lblOffset val="100"/>
        <c:noMultiLvlLbl val="0"/>
      </c:catAx>
      <c:valAx>
        <c:axId val="1209571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467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0.18303</cdr:x>
      <cdr:y>0.12744</cdr:y>
    </cdr:from>
    <cdr:to>
      <cdr:x>0.26923</cdr:x>
      <cdr:y>0.18155</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1087857" y="407858"/>
          <a:ext cx="512343" cy="17316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38,2%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0.72405</cdr:x>
      <cdr:y>0.49702</cdr:y>
    </cdr:from>
    <cdr:to>
      <cdr:x>0.8109</cdr:x>
      <cdr:y>0.63027</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4303464" y="1590675"/>
          <a:ext cx="516186" cy="42644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45,6%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Billion</a:t>
          </a:r>
          <a:r>
            <a:rPr lang="en-US" sz="900" b="1" i="1" baseline="0">
              <a:latin typeface="Arial" panose="020B0604020202020204" pitchFamily="34" charset="0"/>
              <a:cs typeface="Arial" panose="020B0604020202020204" pitchFamily="34" charset="0"/>
            </a:rPr>
            <a:t> VND</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0.16911</cdr:x>
      <cdr:y>0.12934</cdr:y>
    </cdr:from>
    <cdr:to>
      <cdr:x>0.18829</cdr:x>
      <cdr:y>0.16475</cdr:y>
    </cdr:to>
    <cdr:sp macro="" textlink="">
      <cdr:nvSpPr>
        <cdr:cNvPr id="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1818325" y="536048"/>
          <a:ext cx="153581"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0.71594</cdr:x>
      <cdr:y>0.56712</cdr:y>
    </cdr:from>
    <cdr:to>
      <cdr:x>0.73512</cdr:x>
      <cdr:y>0.60253</cdr:y>
    </cdr:to>
    <cdr:sp macro="" textlink="">
      <cdr:nvSpPr>
        <cdr:cNvPr id="11" name="Arrow: Right 10">
          <a:extLst xmlns:a="http://schemas.openxmlformats.org/drawingml/2006/main">
            <a:ext uri="{FF2B5EF4-FFF2-40B4-BE49-F238E27FC236}">
              <a16:creationId xmlns:a16="http://schemas.microsoft.com/office/drawing/2014/main" id="{2069DF1B-87D3-7189-B4C4-DFA2B71A37EC}"/>
            </a:ext>
          </a:extLst>
        </cdr:cNvPr>
        <cdr:cNvSpPr/>
      </cdr:nvSpPr>
      <cdr:spPr>
        <a:xfrm xmlns:a="http://schemas.openxmlformats.org/drawingml/2006/main" rot="16200000">
          <a:off x="7617599" y="2434793"/>
          <a:ext cx="153581"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0.62633</cdr:x>
      <cdr:y>0.54772</cdr:y>
    </cdr:from>
    <cdr:to>
      <cdr:x>0.64551</cdr:x>
      <cdr:y>0.58313</cdr:y>
    </cdr:to>
    <cdr:sp macro="" textlink="">
      <cdr:nvSpPr>
        <cdr:cNvPr id="13" name="Arrow: Right 12">
          <a:extLst xmlns:a="http://schemas.openxmlformats.org/drawingml/2006/main">
            <a:ext uri="{FF2B5EF4-FFF2-40B4-BE49-F238E27FC236}">
              <a16:creationId xmlns:a16="http://schemas.microsoft.com/office/drawing/2014/main" id="{B3E23A0A-4E44-37BF-8991-C46BEDBBAFD5}"/>
            </a:ext>
          </a:extLst>
        </cdr:cNvPr>
        <cdr:cNvSpPr/>
      </cdr:nvSpPr>
      <cdr:spPr>
        <a:xfrm xmlns:a="http://schemas.openxmlformats.org/drawingml/2006/main" rot="16200000">
          <a:off x="5870207" y="2281927"/>
          <a:ext cx="148522" cy="17929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0.27677</cdr:x>
      <cdr:y>0.31256</cdr:y>
    </cdr:from>
    <cdr:to>
      <cdr:x>0.3962</cdr:x>
      <cdr:y>0.35343</cdr:y>
    </cdr:to>
    <cdr:sp macro="" textlink="">
      <cdr:nvSpPr>
        <cdr:cNvPr id="14" name="Rectangle 13">
          <a:extLst xmlns:a="http://schemas.openxmlformats.org/drawingml/2006/main">
            <a:ext uri="{FF2B5EF4-FFF2-40B4-BE49-F238E27FC236}">
              <a16:creationId xmlns:a16="http://schemas.microsoft.com/office/drawing/2014/main" id="{DF40C718-A3E0-1AB3-8BEF-853B18AE7F7E}"/>
            </a:ext>
          </a:extLst>
        </cdr:cNvPr>
        <cdr:cNvSpPr/>
      </cdr:nvSpPr>
      <cdr:spPr>
        <a:xfrm xmlns:a="http://schemas.openxmlformats.org/drawingml/2006/main">
          <a:off x="2935153" y="1355645"/>
          <a:ext cx="1266571" cy="17726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0.35155</cdr:x>
      <cdr:y>0.47974</cdr:y>
    </cdr:from>
    <cdr:to>
      <cdr:x>0.44912</cdr:x>
      <cdr:y>0.57986</cdr:y>
    </cdr:to>
    <cdr:sp macro="" textlink="">
      <cdr:nvSpPr>
        <cdr:cNvPr id="15" name="Rectangle 14">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728271" y="2080730"/>
          <a:ext cx="1034744" cy="43424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0.44027</cdr:x>
      <cdr:y>0.49895</cdr:y>
    </cdr:from>
    <cdr:to>
      <cdr:x>0.53784</cdr:x>
      <cdr:y>0.57682</cdr:y>
    </cdr:to>
    <cdr:sp macro="" textlink="">
      <cdr:nvSpPr>
        <cdr:cNvPr id="16" name="Rectangle 15">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669092" y="2164062"/>
          <a:ext cx="1034744" cy="33773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7,0%</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0.54095</cdr:x>
      <cdr:y>0.51629</cdr:y>
    </cdr:from>
    <cdr:to>
      <cdr:x>0.63852</cdr:x>
      <cdr:y>0.60168</cdr:y>
    </cdr:to>
    <cdr:sp macro="" textlink="">
      <cdr:nvSpPr>
        <cdr:cNvPr id="17" name="Rectangle 16">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056712" y="2165510"/>
          <a:ext cx="912069" cy="35813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12,1%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0.63421</cdr:x>
      <cdr:y>0.55036</cdr:y>
    </cdr:from>
    <cdr:to>
      <cdr:x>0.73178</cdr:x>
      <cdr:y>0.62627</cdr:y>
    </cdr:to>
    <cdr:sp macro="" textlink="">
      <cdr:nvSpPr>
        <cdr:cNvPr id="18" name="Rectangle 17">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928492" y="2308385"/>
          <a:ext cx="912068" cy="31840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6</a:t>
          </a:r>
          <a:r>
            <a:rPr lang="en-US" sz="800">
              <a:solidFill>
                <a:sysClr val="windowText" lastClr="000000"/>
              </a:solidFill>
              <a:latin typeface="Arial" panose="020B0604020202020204" pitchFamily="34" charset="0"/>
              <a:cs typeface="Arial" panose="020B0604020202020204" pitchFamily="34" charset="0"/>
            </a:rPr>
            <a:t>,8%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0.83213</cdr:x>
      <cdr:y>0.5506</cdr:y>
    </cdr:from>
    <cdr:to>
      <cdr:x>0.94014</cdr:x>
      <cdr:y>0.63395</cdr:y>
    </cdr:to>
    <cdr:sp macro="" textlink="">
      <cdr:nvSpPr>
        <cdr:cNvPr id="19" name="Rectangle 18">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945848" y="1762125"/>
          <a:ext cx="641968" cy="26676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0.91346</cdr:x>
      <cdr:y>0.55357</cdr:y>
    </cdr:from>
    <cdr:to>
      <cdr:x>1</cdr:x>
      <cdr:y>0.637</cdr:y>
    </cdr:to>
    <cdr:sp macro="" textlink="">
      <cdr:nvSpPr>
        <cdr:cNvPr id="20" name="Rectangle 19">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429251" y="1771650"/>
          <a:ext cx="514349" cy="26700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18,7%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0.33393</cdr:x>
      <cdr:y>0.49031</cdr:y>
    </cdr:from>
    <cdr:to>
      <cdr:x>0.35311</cdr:x>
      <cdr:y>0.52572</cdr:y>
    </cdr:to>
    <cdr:sp macro="" textlink="">
      <cdr:nvSpPr>
        <cdr:cNvPr id="24"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3566247" y="2101659"/>
          <a:ext cx="153581"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0.53132</cdr:x>
      <cdr:y>0.52051</cdr:y>
    </cdr:from>
    <cdr:to>
      <cdr:x>0.5505</cdr:x>
      <cdr:y>0.55592</cdr:y>
    </cdr:to>
    <cdr:sp macro="" textlink="">
      <cdr:nvSpPr>
        <cdr:cNvPr id="25"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4982045" y="2167807"/>
          <a:ext cx="148521"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0.82123</cdr:x>
      <cdr:y>0.5772</cdr:y>
    </cdr:from>
    <cdr:to>
      <cdr:x>0.84041</cdr:x>
      <cdr:y>0.61261</cdr:y>
    </cdr:to>
    <cdr:sp macro="" textlink="">
      <cdr:nvSpPr>
        <cdr:cNvPr id="27"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7692113" y="2405593"/>
          <a:ext cx="148521"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0.9073</cdr:x>
      <cdr:y>0.58269</cdr:y>
    </cdr:from>
    <cdr:to>
      <cdr:x>0.92648</cdr:x>
      <cdr:y>0.6181</cdr:y>
    </cdr:to>
    <cdr:sp macro="" textlink="">
      <cdr:nvSpPr>
        <cdr:cNvPr id="29"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5392976" y="1864497"/>
          <a:ext cx="113327" cy="113999"/>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0.43411</cdr:x>
      <cdr:y>0.50804</cdr:y>
    </cdr:from>
    <cdr:to>
      <cdr:x>0.44894</cdr:x>
      <cdr:y>0.5389</cdr:y>
    </cdr:to>
    <cdr:sp macro="" textlink="">
      <cdr:nvSpPr>
        <cdr:cNvPr id="23" name="Arrow: Right 14">
          <a:extLst xmlns:a="http://schemas.openxmlformats.org/drawingml/2006/main">
            <a:ext uri="{FF2B5EF4-FFF2-40B4-BE49-F238E27FC236}">
              <a16:creationId xmlns:a16="http://schemas.microsoft.com/office/drawing/2014/main" id="{4FDFFF9F-F3B4-F68C-E0B9-B14B90A21B49}"/>
            </a:ext>
          </a:extLst>
        </cdr:cNvPr>
        <cdr:cNvSpPr/>
      </cdr:nvSpPr>
      <cdr:spPr>
        <a:xfrm xmlns:a="http://schemas.openxmlformats.org/drawingml/2006/main" rot="5400000" flipV="1">
          <a:off x="4615502" y="2191741"/>
          <a:ext cx="133847" cy="157274"/>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0.26795</cdr:x>
      <cdr:y>0.31917</cdr:y>
    </cdr:from>
    <cdr:to>
      <cdr:x>0.28278</cdr:x>
      <cdr:y>0.35003</cdr:y>
    </cdr:to>
    <cdr:sp macro="" textlink="">
      <cdr:nvSpPr>
        <cdr:cNvPr id="2" name="Arrow: Right 1">
          <a:extLst xmlns:a="http://schemas.openxmlformats.org/drawingml/2006/main">
            <a:ext uri="{FF2B5EF4-FFF2-40B4-BE49-F238E27FC236}">
              <a16:creationId xmlns:a16="http://schemas.microsoft.com/office/drawing/2014/main" id="{31125FEE-AEBF-8667-81E7-4B5BB3A9B097}"/>
            </a:ext>
          </a:extLst>
        </cdr:cNvPr>
        <cdr:cNvSpPr/>
      </cdr:nvSpPr>
      <cdr:spPr>
        <a:xfrm xmlns:a="http://schemas.openxmlformats.org/drawingml/2006/main" rot="5400000" flipV="1">
          <a:off x="2853339" y="1372587"/>
          <a:ext cx="133847" cy="157274"/>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0.85586</cdr:x>
      <cdr:y>0.05278</cdr:y>
    </cdr:from>
    <cdr:to>
      <cdr:x>0.98198</cdr:x>
      <cdr:y>0.13373</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524376" y="160872"/>
          <a:ext cx="666750"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31,38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0.86486</cdr:x>
      <cdr:y>0.19444</cdr:y>
    </cdr:from>
    <cdr:to>
      <cdr:x>0.97658</cdr:x>
      <cdr:y>0.28046</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571998" y="592652"/>
          <a:ext cx="590553" cy="2621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100" b="1">
              <a:effectLst/>
              <a:latin typeface="Arial" panose="020B0604020202020204" pitchFamily="34" charset="0"/>
              <a:ea typeface="Times New Roman" panose="02020603050405020304" pitchFamily="18" charset="0"/>
              <a:cs typeface="Arial" panose="020B0604020202020204" pitchFamily="34" charset="0"/>
            </a:rPr>
            <a:t>31,07</a:t>
          </a:r>
        </a:p>
      </cdr:txBody>
    </cdr:sp>
  </cdr:relSizeAnchor>
  <cdr:relSizeAnchor xmlns:cdr="http://schemas.openxmlformats.org/drawingml/2006/chartDrawing">
    <cdr:from>
      <cdr:x>0.71532</cdr:x>
      <cdr:y>0.32188</cdr:y>
    </cdr:from>
    <cdr:to>
      <cdr:x>0.85405</cdr:x>
      <cdr:y>0.40535</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3781448" y="981076"/>
          <a:ext cx="733401" cy="25442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25,14</a:t>
          </a:r>
        </a:p>
      </cdr:txBody>
    </cdr:sp>
  </cdr:relSizeAnchor>
  <cdr:relSizeAnchor xmlns:cdr="http://schemas.openxmlformats.org/drawingml/2006/chartDrawing">
    <cdr:from>
      <cdr:x>0.86126</cdr:x>
      <cdr:y>0.46367</cdr:y>
    </cdr:from>
    <cdr:to>
      <cdr:x>0.96036</cdr:x>
      <cdr:y>0.54462</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552944" y="1413266"/>
          <a:ext cx="523880"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26,46</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0.84144</cdr:x>
      <cdr:y>0.60625</cdr:y>
    </cdr:from>
    <cdr:to>
      <cdr:x>0.96396</cdr:x>
      <cdr:y>0.6872</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448168" y="1847850"/>
          <a:ext cx="647687"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26,43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DA7DC-17A6-4002-9742-8C3B7F6EC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31</Pages>
  <Words>9035</Words>
  <Characters>51506</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Đỗ Thị Ngọc</dc:creator>
  <cp:keywords/>
  <dc:description/>
  <cp:lastModifiedBy>Bùi Trâm Anh</cp:lastModifiedBy>
  <cp:revision>3</cp:revision>
  <cp:lastPrinted>2023-11-29T04:05:00Z</cp:lastPrinted>
  <dcterms:created xsi:type="dcterms:W3CDTF">2024-12-20T01:34:00Z</dcterms:created>
  <dcterms:modified xsi:type="dcterms:W3CDTF">2024-12-20T01:47:00Z</dcterms:modified>
</cp:coreProperties>
</file>