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67E6" w14:textId="3417DBBC" w:rsidR="00C82BCF" w:rsidRPr="00B62C1B" w:rsidRDefault="00C82BCF" w:rsidP="00B60D80">
      <w:pPr>
        <w:spacing w:after="0" w:line="240" w:lineRule="auto"/>
        <w:jc w:val="center"/>
        <w:rPr>
          <w:b/>
          <w:szCs w:val="28"/>
        </w:rPr>
      </w:pPr>
      <w:bookmarkStart w:id="0" w:name="_GoBack"/>
      <w:r w:rsidRPr="00B62C1B">
        <w:rPr>
          <w:b/>
          <w:szCs w:val="28"/>
          <w:lang w:val="vi-VN"/>
        </w:rPr>
        <w:t>TỔNG QUAN</w:t>
      </w:r>
      <w:r w:rsidR="00071544" w:rsidRPr="00B62C1B">
        <w:rPr>
          <w:b/>
          <w:szCs w:val="28"/>
        </w:rPr>
        <w:t xml:space="preserve"> </w:t>
      </w:r>
    </w:p>
    <w:p w14:paraId="5E38C6E2" w14:textId="19A462EA" w:rsidR="00C82BCF" w:rsidRPr="00B62C1B" w:rsidRDefault="00C54E3A" w:rsidP="00B60D80">
      <w:pPr>
        <w:spacing w:after="0" w:line="240" w:lineRule="auto"/>
        <w:jc w:val="center"/>
        <w:rPr>
          <w:sz w:val="30"/>
          <w:szCs w:val="30"/>
          <w:lang w:val="vi-VN"/>
        </w:rPr>
      </w:pPr>
      <w:r w:rsidRPr="00B62C1B">
        <w:rPr>
          <w:b/>
          <w:spacing w:val="-10"/>
          <w:sz w:val="27"/>
          <w:szCs w:val="27"/>
          <w:lang w:val="vi-VN"/>
        </w:rPr>
        <w:t xml:space="preserve">DỰ BÁO TÌNH HÌNH KINH TẾ THẾ GIỚI QUÝ </w:t>
      </w:r>
      <w:r w:rsidR="00A52098" w:rsidRPr="00B62C1B">
        <w:rPr>
          <w:b/>
          <w:spacing w:val="-10"/>
          <w:sz w:val="27"/>
          <w:szCs w:val="27"/>
        </w:rPr>
        <w:t>II</w:t>
      </w:r>
      <w:r w:rsidR="007D55A4" w:rsidRPr="00B62C1B">
        <w:rPr>
          <w:b/>
          <w:spacing w:val="-10"/>
          <w:sz w:val="27"/>
          <w:szCs w:val="27"/>
        </w:rPr>
        <w:t xml:space="preserve">I </w:t>
      </w:r>
      <w:r w:rsidR="007D55A4" w:rsidRPr="00B62C1B">
        <w:rPr>
          <w:b/>
          <w:spacing w:val="-10"/>
          <w:sz w:val="27"/>
          <w:szCs w:val="27"/>
        </w:rPr>
        <w:br/>
        <w:t>VÀ 9 THÁNG ĐẦU</w:t>
      </w:r>
      <w:r w:rsidRPr="00B62C1B">
        <w:rPr>
          <w:b/>
          <w:spacing w:val="-10"/>
          <w:sz w:val="27"/>
          <w:szCs w:val="27"/>
          <w:lang w:val="vi-VN"/>
        </w:rPr>
        <w:t xml:space="preserve"> NĂM 202</w:t>
      </w:r>
      <w:r w:rsidR="00037235" w:rsidRPr="00B62C1B">
        <w:rPr>
          <w:b/>
          <w:spacing w:val="-10"/>
          <w:sz w:val="27"/>
          <w:szCs w:val="27"/>
        </w:rPr>
        <w:t>4</w:t>
      </w:r>
      <w:r w:rsidRPr="00B62C1B">
        <w:rPr>
          <w:rStyle w:val="FootnoteReference"/>
          <w:b/>
          <w:sz w:val="30"/>
          <w:szCs w:val="30"/>
          <w:lang w:val="vi-VN"/>
        </w:rPr>
        <w:footnoteReference w:id="1"/>
      </w:r>
    </w:p>
    <w:p w14:paraId="1EA57FCF" w14:textId="2A938F76" w:rsidR="00661C0A" w:rsidRPr="00B62C1B" w:rsidRDefault="00661C0A" w:rsidP="009E3468">
      <w:pPr>
        <w:spacing w:before="240" w:after="100" w:line="240" w:lineRule="auto"/>
        <w:ind w:firstLine="720"/>
        <w:jc w:val="both"/>
        <w:rPr>
          <w:rFonts w:ascii="Times New Roman Italic" w:hAnsi="Times New Roman Italic"/>
          <w:i/>
          <w:spacing w:val="-10"/>
        </w:rPr>
      </w:pPr>
      <w:r w:rsidRPr="00B62C1B">
        <w:rPr>
          <w:rFonts w:ascii="Times New Roman Italic" w:hAnsi="Times New Roman Italic"/>
          <w:i/>
          <w:spacing w:val="-10"/>
        </w:rPr>
        <w:t xml:space="preserve">Đến tháng 9/2024, đa số các tổ chức quốc tế </w:t>
      </w:r>
      <w:r w:rsidR="002368AB" w:rsidRPr="00B62C1B">
        <w:rPr>
          <w:rFonts w:ascii="Times New Roman Italic" w:hAnsi="Times New Roman Italic"/>
          <w:i/>
          <w:spacing w:val="-10"/>
        </w:rPr>
        <w:t xml:space="preserve">đều </w:t>
      </w:r>
      <w:r w:rsidRPr="00B62C1B">
        <w:rPr>
          <w:rFonts w:ascii="Times New Roman Italic" w:hAnsi="Times New Roman Italic"/>
          <w:i/>
          <w:spacing w:val="-10"/>
        </w:rPr>
        <w:t xml:space="preserve">nhận định lạc quan hơn về tăng trưởng kinh tế toàn cầu năm 2024 so với các dự báo đưa ra trước đó. Cụ thể, </w:t>
      </w:r>
      <w:r w:rsidR="00165360" w:rsidRPr="00B62C1B">
        <w:rPr>
          <w:rFonts w:ascii="Times New Roman Italic" w:hAnsi="Times New Roman Italic"/>
          <w:i/>
          <w:spacing w:val="-10"/>
        </w:rPr>
        <w:t>Tổ chức Hợp tác và Phát triển kinh tế (OECD)</w:t>
      </w:r>
      <w:r w:rsidR="00165360" w:rsidRPr="00B62C1B">
        <w:rPr>
          <w:rStyle w:val="FootnoteReference"/>
          <w:rFonts w:ascii="Times New Roman Italic" w:hAnsi="Times New Roman Italic"/>
          <w:i/>
          <w:spacing w:val="-10"/>
        </w:rPr>
        <w:footnoteReference w:id="2"/>
      </w:r>
      <w:r w:rsidR="00165360" w:rsidRPr="00B62C1B">
        <w:rPr>
          <w:rFonts w:ascii="Times New Roman Italic" w:hAnsi="Times New Roman Italic"/>
          <w:i/>
          <w:spacing w:val="-10"/>
        </w:rPr>
        <w:t xml:space="preserve"> dự báo</w:t>
      </w:r>
      <w:r w:rsidR="00165360" w:rsidRPr="00B62C1B">
        <w:rPr>
          <w:rFonts w:ascii="Times New Roman Italic" w:hAnsi="Times New Roman Italic"/>
          <w:spacing w:val="-10"/>
        </w:rPr>
        <w:t xml:space="preserve"> </w:t>
      </w:r>
      <w:r w:rsidR="00165360" w:rsidRPr="00B62C1B">
        <w:rPr>
          <w:rFonts w:ascii="Times New Roman Italic" w:hAnsi="Times New Roman Italic"/>
          <w:i/>
          <w:spacing w:val="-10"/>
        </w:rPr>
        <w:t>tăng trưởng GDP toàn cầu năm 2024 đạt 3,2%, tăng 0,1 điểm phần trăm so với dự báo trong tháng 5/2024; Quỹ Tiền tệ quốc tế (IMF)</w:t>
      </w:r>
      <w:r w:rsidR="00165360" w:rsidRPr="00B62C1B">
        <w:rPr>
          <w:rStyle w:val="FootnoteReference"/>
          <w:rFonts w:ascii="Times New Roman Italic" w:hAnsi="Times New Roman Italic"/>
          <w:i/>
          <w:spacing w:val="-10"/>
        </w:rPr>
        <w:footnoteReference w:id="3"/>
      </w:r>
      <w:r w:rsidR="00165360" w:rsidRPr="00B62C1B">
        <w:rPr>
          <w:rFonts w:ascii="Times New Roman Italic" w:hAnsi="Times New Roman Italic"/>
          <w:i/>
          <w:spacing w:val="-10"/>
        </w:rPr>
        <w:t xml:space="preserve"> giữ nguyên mức dự báo trong tháng 4/2024 khi nhận định nền kinh thế giới đạt mức tăng trưởng 3,2% năm 2024; Liên hợp quốc (UN)</w:t>
      </w:r>
      <w:r w:rsidR="00165360" w:rsidRPr="00B62C1B">
        <w:rPr>
          <w:rStyle w:val="FootnoteReference"/>
          <w:rFonts w:ascii="Times New Roman Italic" w:hAnsi="Times New Roman Italic"/>
          <w:i/>
          <w:spacing w:val="-10"/>
        </w:rPr>
        <w:footnoteReference w:id="4"/>
      </w:r>
      <w:r w:rsidR="00165360" w:rsidRPr="00B62C1B">
        <w:rPr>
          <w:rFonts w:ascii="Times New Roman Italic" w:hAnsi="Times New Roman Italic"/>
          <w:i/>
          <w:spacing w:val="-10"/>
        </w:rPr>
        <w:t xml:space="preserve"> nhận định nền kinh tế thế giới đạt mức tăng trưởng 2,7% trong năm 2024, tăng 0,3 điểm phần trăm so với dự báo tháng 01/2024</w:t>
      </w:r>
      <w:r w:rsidR="003748D1" w:rsidRPr="00B62C1B">
        <w:rPr>
          <w:rFonts w:ascii="Times New Roman Italic" w:hAnsi="Times New Roman Italic"/>
          <w:i/>
          <w:spacing w:val="-10"/>
        </w:rPr>
        <w:t>; Fitch Ratings (FR)</w:t>
      </w:r>
      <w:r w:rsidR="003748D1" w:rsidRPr="00B62C1B">
        <w:rPr>
          <w:rStyle w:val="FootnoteReference"/>
          <w:rFonts w:ascii="Times New Roman Italic" w:hAnsi="Times New Roman Italic"/>
          <w:i/>
          <w:spacing w:val="-10"/>
        </w:rPr>
        <w:footnoteReference w:id="5"/>
      </w:r>
      <w:r w:rsidR="003748D1" w:rsidRPr="00B62C1B">
        <w:rPr>
          <w:rFonts w:ascii="Times New Roman Italic" w:hAnsi="Times New Roman Italic"/>
          <w:i/>
          <w:spacing w:val="-10"/>
        </w:rPr>
        <w:t xml:space="preserve">dự báo tăng trưởng kinh tế toàn cầu năm 2024 đạt 2,7%, cao hơn 0,1 điểm phần trăm so với dự báo trong tháng 6/2024. </w:t>
      </w:r>
    </w:p>
    <w:p w14:paraId="4E24E4D1" w14:textId="210F4E31" w:rsidR="00661C0A" w:rsidRPr="00B62C1B" w:rsidRDefault="00CB5E07" w:rsidP="00661C0A">
      <w:pPr>
        <w:spacing w:before="100" w:after="100" w:line="240" w:lineRule="auto"/>
        <w:ind w:firstLine="720"/>
        <w:jc w:val="both"/>
        <w:rPr>
          <w:rFonts w:ascii="Times New Roman Italic" w:hAnsi="Times New Roman Italic"/>
          <w:i/>
          <w:spacing w:val="-6"/>
        </w:rPr>
      </w:pPr>
      <w:r w:rsidRPr="00B62C1B">
        <w:rPr>
          <w:rFonts w:ascii="Times New Roman Italic" w:hAnsi="Times New Roman Italic"/>
          <w:i/>
          <w:spacing w:val="-6"/>
        </w:rPr>
        <w:t xml:space="preserve">Trong </w:t>
      </w:r>
      <w:r w:rsidR="00661C0A" w:rsidRPr="00B62C1B">
        <w:rPr>
          <w:rFonts w:ascii="Times New Roman Italic" w:hAnsi="Times New Roman Italic"/>
          <w:i/>
          <w:spacing w:val="-6"/>
        </w:rPr>
        <w:t>Báo cáo “Triển vọng phát triển châu Á”</w:t>
      </w:r>
      <w:r w:rsidRPr="00B62C1B">
        <w:rPr>
          <w:rFonts w:ascii="Times New Roman Italic" w:hAnsi="Times New Roman Italic"/>
          <w:i/>
          <w:spacing w:val="-6"/>
        </w:rPr>
        <w:t>,</w:t>
      </w:r>
      <w:r w:rsidR="00661C0A" w:rsidRPr="00B62C1B">
        <w:rPr>
          <w:rFonts w:ascii="Times New Roman Italic" w:hAnsi="Times New Roman Italic"/>
          <w:i/>
          <w:spacing w:val="-6"/>
        </w:rPr>
        <w:t xml:space="preserve"> Ngân hàng Phát triển châu Á (ADB)</w:t>
      </w:r>
      <w:r w:rsidR="00661C0A" w:rsidRPr="00B62C1B">
        <w:rPr>
          <w:rStyle w:val="FootnoteReference"/>
          <w:rFonts w:ascii="Times New Roman Italic" w:hAnsi="Times New Roman Italic"/>
          <w:i/>
          <w:spacing w:val="-6"/>
        </w:rPr>
        <w:footnoteReference w:id="6"/>
      </w:r>
      <w:r w:rsidR="00661C0A" w:rsidRPr="00B62C1B">
        <w:rPr>
          <w:rFonts w:ascii="Times New Roman Italic" w:hAnsi="Times New Roman Italic"/>
          <w:i/>
          <w:spacing w:val="-6"/>
        </w:rPr>
        <w:t xml:space="preserve"> </w:t>
      </w:r>
      <w:r w:rsidR="002F79FA" w:rsidRPr="00B62C1B">
        <w:rPr>
          <w:rFonts w:ascii="Times New Roman Italic" w:hAnsi="Times New Roman Italic"/>
          <w:i/>
          <w:spacing w:val="-6"/>
        </w:rPr>
        <w:t>dự b</w:t>
      </w:r>
      <w:r w:rsidR="002F79FA" w:rsidRPr="00B62C1B">
        <w:rPr>
          <w:rFonts w:ascii="Times New Roman Italic" w:hAnsi="Times New Roman Italic" w:hint="eastAsia"/>
          <w:i/>
          <w:spacing w:val="-6"/>
        </w:rPr>
        <w:t>á</w:t>
      </w:r>
      <w:r w:rsidR="002F79FA" w:rsidRPr="00B62C1B">
        <w:rPr>
          <w:rFonts w:ascii="Times New Roman Italic" w:hAnsi="Times New Roman Italic"/>
          <w:i/>
          <w:spacing w:val="-6"/>
        </w:rPr>
        <w:t>o t</w:t>
      </w:r>
      <w:r w:rsidR="002F79FA" w:rsidRPr="00B62C1B">
        <w:rPr>
          <w:rFonts w:ascii="Times New Roman Italic" w:hAnsi="Times New Roman Italic" w:hint="eastAsia"/>
          <w:i/>
          <w:spacing w:val="-6"/>
        </w:rPr>
        <w:t>ă</w:t>
      </w:r>
      <w:r w:rsidR="002F79FA" w:rsidRPr="00B62C1B">
        <w:rPr>
          <w:rFonts w:ascii="Times New Roman Italic" w:hAnsi="Times New Roman Italic"/>
          <w:i/>
          <w:spacing w:val="-6"/>
        </w:rPr>
        <w:t>ng tr</w:t>
      </w:r>
      <w:r w:rsidR="002F79FA" w:rsidRPr="00B62C1B">
        <w:rPr>
          <w:rFonts w:ascii="Times New Roman Italic" w:hAnsi="Times New Roman Italic" w:hint="eastAsia"/>
          <w:i/>
          <w:spacing w:val="-6"/>
        </w:rPr>
        <w:t>ư</w:t>
      </w:r>
      <w:r w:rsidR="002F79FA" w:rsidRPr="00B62C1B">
        <w:rPr>
          <w:rFonts w:ascii="Times New Roman Italic" w:hAnsi="Times New Roman Italic"/>
          <w:i/>
          <w:spacing w:val="-6"/>
        </w:rPr>
        <w:t>ởng n</w:t>
      </w:r>
      <w:r w:rsidR="002F79FA" w:rsidRPr="00B62C1B">
        <w:rPr>
          <w:rFonts w:ascii="Times New Roman Italic" w:hAnsi="Times New Roman Italic" w:hint="eastAsia"/>
          <w:i/>
          <w:spacing w:val="-6"/>
        </w:rPr>
        <w:t>ă</w:t>
      </w:r>
      <w:r w:rsidR="002F79FA" w:rsidRPr="00B62C1B">
        <w:rPr>
          <w:rFonts w:ascii="Times New Roman Italic" w:hAnsi="Times New Roman Italic"/>
          <w:i/>
          <w:spacing w:val="-6"/>
        </w:rPr>
        <w:t xml:space="preserve">m 2024 </w:t>
      </w:r>
      <w:r w:rsidR="00661C0A" w:rsidRPr="00B62C1B">
        <w:rPr>
          <w:rFonts w:ascii="Times New Roman Italic" w:hAnsi="Times New Roman Italic"/>
          <w:i/>
          <w:spacing w:val="-6"/>
        </w:rPr>
        <w:t xml:space="preserve">của khu vực </w:t>
      </w:r>
      <w:r w:rsidR="00661C0A" w:rsidRPr="00B62C1B">
        <w:rPr>
          <w:rFonts w:ascii="Times New Roman Italic" w:hAnsi="Times New Roman Italic" w:hint="eastAsia"/>
          <w:i/>
          <w:spacing w:val="-6"/>
        </w:rPr>
        <w:t>Đô</w:t>
      </w:r>
      <w:r w:rsidR="00661C0A" w:rsidRPr="00B62C1B">
        <w:rPr>
          <w:rFonts w:ascii="Times New Roman Italic" w:hAnsi="Times New Roman Italic"/>
          <w:i/>
          <w:spacing w:val="-6"/>
        </w:rPr>
        <w:t xml:space="preserve">ng Nam </w:t>
      </w:r>
      <w:r w:rsidR="00661C0A" w:rsidRPr="00B62C1B">
        <w:rPr>
          <w:rFonts w:ascii="Times New Roman Italic" w:hAnsi="Times New Roman Italic" w:hint="eastAsia"/>
          <w:i/>
          <w:spacing w:val="-6"/>
        </w:rPr>
        <w:t>Á</w:t>
      </w:r>
      <w:r w:rsidR="00661C0A" w:rsidRPr="00B62C1B">
        <w:rPr>
          <w:rFonts w:ascii="Times New Roman Italic" w:hAnsi="Times New Roman Italic"/>
          <w:i/>
          <w:spacing w:val="-6"/>
        </w:rPr>
        <w:t xml:space="preserve"> (bao gồm Timo-Leste) </w:t>
      </w:r>
      <w:r w:rsidR="00661C0A" w:rsidRPr="00B62C1B">
        <w:rPr>
          <w:rFonts w:ascii="Times New Roman Italic" w:hAnsi="Times New Roman Italic" w:hint="eastAsia"/>
          <w:i/>
          <w:spacing w:val="-6"/>
        </w:rPr>
        <w:t>đ</w:t>
      </w:r>
      <w:r w:rsidR="00661C0A" w:rsidRPr="00B62C1B">
        <w:rPr>
          <w:rFonts w:ascii="Times New Roman Italic" w:hAnsi="Times New Roman Italic"/>
          <w:i/>
          <w:spacing w:val="-6"/>
        </w:rPr>
        <w:t>ạt 4,</w:t>
      </w:r>
      <w:r w:rsidR="004833E7" w:rsidRPr="00B62C1B">
        <w:rPr>
          <w:rFonts w:ascii="Times New Roman Italic" w:hAnsi="Times New Roman Italic"/>
          <w:i/>
          <w:spacing w:val="-6"/>
        </w:rPr>
        <w:t>5</w:t>
      </w:r>
      <w:r w:rsidR="00661C0A" w:rsidRPr="00B62C1B">
        <w:rPr>
          <w:rFonts w:ascii="Times New Roman Italic" w:hAnsi="Times New Roman Italic"/>
          <w:i/>
          <w:spacing w:val="-6"/>
        </w:rPr>
        <w:t>%</w:t>
      </w:r>
      <w:r w:rsidR="002F79FA" w:rsidRPr="00B62C1B">
        <w:rPr>
          <w:rFonts w:ascii="Times New Roman Italic" w:hAnsi="Times New Roman Italic"/>
          <w:i/>
          <w:spacing w:val="-6"/>
        </w:rPr>
        <w:t xml:space="preserve">, giảm 0,1 </w:t>
      </w:r>
      <w:r w:rsidR="002F79FA" w:rsidRPr="00B62C1B">
        <w:rPr>
          <w:rFonts w:ascii="Times New Roman Italic" w:hAnsi="Times New Roman Italic" w:hint="eastAsia"/>
          <w:i/>
          <w:spacing w:val="-6"/>
        </w:rPr>
        <w:t>đ</w:t>
      </w:r>
      <w:r w:rsidR="002F79FA" w:rsidRPr="00B62C1B">
        <w:rPr>
          <w:rFonts w:ascii="Times New Roman Italic" w:hAnsi="Times New Roman Italic"/>
          <w:i/>
          <w:spacing w:val="-6"/>
        </w:rPr>
        <w:t>iểm phần tr</w:t>
      </w:r>
      <w:r w:rsidR="002F79FA" w:rsidRPr="00B62C1B">
        <w:rPr>
          <w:rFonts w:ascii="Times New Roman Italic" w:hAnsi="Times New Roman Italic" w:hint="eastAsia"/>
          <w:i/>
          <w:spacing w:val="-6"/>
        </w:rPr>
        <w:t>ă</w:t>
      </w:r>
      <w:r w:rsidR="002F79FA" w:rsidRPr="00B62C1B">
        <w:rPr>
          <w:rFonts w:ascii="Times New Roman Italic" w:hAnsi="Times New Roman Italic"/>
          <w:i/>
          <w:spacing w:val="-6"/>
        </w:rPr>
        <w:t>m</w:t>
      </w:r>
      <w:r w:rsidR="00CE22A4" w:rsidRPr="00B62C1B">
        <w:rPr>
          <w:rFonts w:ascii="Times New Roman Italic" w:hAnsi="Times New Roman Italic"/>
          <w:i/>
          <w:spacing w:val="-6"/>
        </w:rPr>
        <w:t xml:space="preserve"> so với</w:t>
      </w:r>
      <w:r w:rsidR="002F79FA" w:rsidRPr="00B62C1B">
        <w:rPr>
          <w:rFonts w:ascii="Times New Roman Italic" w:hAnsi="Times New Roman Italic"/>
          <w:i/>
          <w:spacing w:val="-6"/>
        </w:rPr>
        <w:t xml:space="preserve"> dự b</w:t>
      </w:r>
      <w:r w:rsidR="002F79FA" w:rsidRPr="00B62C1B">
        <w:rPr>
          <w:rFonts w:ascii="Times New Roman Italic" w:hAnsi="Times New Roman Italic" w:hint="eastAsia"/>
          <w:i/>
          <w:spacing w:val="-6"/>
        </w:rPr>
        <w:t>á</w:t>
      </w:r>
      <w:r w:rsidR="002F79FA" w:rsidRPr="00B62C1B">
        <w:rPr>
          <w:rFonts w:ascii="Times New Roman Italic" w:hAnsi="Times New Roman Italic"/>
          <w:i/>
          <w:spacing w:val="-6"/>
        </w:rPr>
        <w:t>o t</w:t>
      </w:r>
      <w:r w:rsidR="002F79FA" w:rsidRPr="00B62C1B">
        <w:rPr>
          <w:rFonts w:ascii="Times New Roman Italic" w:hAnsi="Times New Roman Italic" w:hint="eastAsia"/>
          <w:i/>
          <w:spacing w:val="-6"/>
        </w:rPr>
        <w:t>ă</w:t>
      </w:r>
      <w:r w:rsidR="002F79FA" w:rsidRPr="00B62C1B">
        <w:rPr>
          <w:rFonts w:ascii="Times New Roman Italic" w:hAnsi="Times New Roman Italic"/>
          <w:i/>
          <w:spacing w:val="-6"/>
        </w:rPr>
        <w:t>ng tr</w:t>
      </w:r>
      <w:r w:rsidR="002F79FA" w:rsidRPr="00B62C1B">
        <w:rPr>
          <w:rFonts w:ascii="Times New Roman Italic" w:hAnsi="Times New Roman Italic" w:hint="eastAsia"/>
          <w:i/>
          <w:spacing w:val="-6"/>
        </w:rPr>
        <w:t>ư</w:t>
      </w:r>
      <w:r w:rsidR="002F79FA" w:rsidRPr="00B62C1B">
        <w:rPr>
          <w:rFonts w:ascii="Times New Roman Italic" w:hAnsi="Times New Roman Italic"/>
          <w:i/>
          <w:spacing w:val="-6"/>
        </w:rPr>
        <w:t xml:space="preserve">ởng </w:t>
      </w:r>
      <w:r w:rsidR="002F79FA" w:rsidRPr="00B62C1B">
        <w:rPr>
          <w:rFonts w:ascii="Times New Roman Italic" w:hAnsi="Times New Roman Italic" w:hint="eastAsia"/>
          <w:i/>
          <w:spacing w:val="-6"/>
        </w:rPr>
        <w:t>đư</w:t>
      </w:r>
      <w:r w:rsidR="002F79FA" w:rsidRPr="00B62C1B">
        <w:rPr>
          <w:rFonts w:ascii="Times New Roman Italic" w:hAnsi="Times New Roman Italic"/>
          <w:i/>
          <w:spacing w:val="-6"/>
        </w:rPr>
        <w:t>a ra v</w:t>
      </w:r>
      <w:r w:rsidR="002F79FA" w:rsidRPr="00B62C1B">
        <w:rPr>
          <w:rFonts w:ascii="Times New Roman Italic" w:hAnsi="Times New Roman Italic" w:hint="eastAsia"/>
          <w:i/>
          <w:spacing w:val="-6"/>
        </w:rPr>
        <w:t>à</w:t>
      </w:r>
      <w:r w:rsidR="002F79FA" w:rsidRPr="00B62C1B">
        <w:rPr>
          <w:rFonts w:ascii="Times New Roman Italic" w:hAnsi="Times New Roman Italic"/>
          <w:i/>
          <w:spacing w:val="-6"/>
        </w:rPr>
        <w:t>o th</w:t>
      </w:r>
      <w:r w:rsidR="002F79FA" w:rsidRPr="00B62C1B">
        <w:rPr>
          <w:rFonts w:ascii="Times New Roman Italic" w:hAnsi="Times New Roman Italic" w:hint="eastAsia"/>
          <w:i/>
          <w:spacing w:val="-6"/>
        </w:rPr>
        <w:t>á</w:t>
      </w:r>
      <w:r w:rsidR="002F79FA" w:rsidRPr="00B62C1B">
        <w:rPr>
          <w:rFonts w:ascii="Times New Roman Italic" w:hAnsi="Times New Roman Italic"/>
          <w:i/>
          <w:spacing w:val="-6"/>
        </w:rPr>
        <w:t>ng 4/2024</w:t>
      </w:r>
      <w:r w:rsidR="00661C0A" w:rsidRPr="00B62C1B">
        <w:rPr>
          <w:rFonts w:ascii="Times New Roman Italic" w:hAnsi="Times New Roman Italic"/>
          <w:i/>
          <w:spacing w:val="-6"/>
        </w:rPr>
        <w:t xml:space="preserve">. Tăng trưởng </w:t>
      </w:r>
      <w:r w:rsidR="002962F9" w:rsidRPr="00B62C1B">
        <w:rPr>
          <w:rFonts w:ascii="Times New Roman Italic" w:hAnsi="Times New Roman Italic"/>
          <w:i/>
          <w:spacing w:val="-6"/>
        </w:rPr>
        <w:t xml:space="preserve">GDP </w:t>
      </w:r>
      <w:r w:rsidR="007B00C8" w:rsidRPr="00B62C1B">
        <w:rPr>
          <w:rFonts w:ascii="Times New Roman Italic" w:hAnsi="Times New Roman Italic"/>
          <w:i/>
          <w:spacing w:val="-6"/>
        </w:rPr>
        <w:t xml:space="preserve">năm 2024 </w:t>
      </w:r>
      <w:r w:rsidR="00661C0A" w:rsidRPr="00B62C1B">
        <w:rPr>
          <w:rFonts w:ascii="Times New Roman Italic" w:hAnsi="Times New Roman Italic"/>
          <w:i/>
          <w:spacing w:val="-6"/>
        </w:rPr>
        <w:t xml:space="preserve">của Việt Nam và Phi-li-pin </w:t>
      </w:r>
      <w:r w:rsidR="007B00C8" w:rsidRPr="00B62C1B">
        <w:rPr>
          <w:rFonts w:ascii="Times New Roman Italic" w:hAnsi="Times New Roman Italic"/>
          <w:i/>
          <w:spacing w:val="-6"/>
        </w:rPr>
        <w:t xml:space="preserve">được </w:t>
      </w:r>
      <w:r w:rsidR="00661C0A" w:rsidRPr="00B62C1B">
        <w:rPr>
          <w:rFonts w:ascii="Times New Roman Italic" w:hAnsi="Times New Roman Italic"/>
          <w:i/>
          <w:spacing w:val="-6"/>
        </w:rPr>
        <w:t xml:space="preserve">dự báo cao nhất khu vực, </w:t>
      </w:r>
      <w:r w:rsidR="00923535" w:rsidRPr="00B62C1B">
        <w:rPr>
          <w:rFonts w:ascii="Times New Roman Italic" w:hAnsi="Times New Roman Italic"/>
          <w:i/>
          <w:spacing w:val="-6"/>
        </w:rPr>
        <w:t xml:space="preserve">đạt </w:t>
      </w:r>
      <w:r w:rsidR="00661C0A" w:rsidRPr="00B62C1B">
        <w:rPr>
          <w:rFonts w:ascii="Times New Roman Italic" w:hAnsi="Times New Roman Italic"/>
          <w:i/>
          <w:spacing w:val="-6"/>
        </w:rPr>
        <w:t xml:space="preserve">6,0%, theo sau là In-đô-nê-xi-a </w:t>
      </w:r>
      <w:r w:rsidR="00923535" w:rsidRPr="00B62C1B">
        <w:rPr>
          <w:rFonts w:ascii="Times New Roman Italic" w:hAnsi="Times New Roman Italic"/>
          <w:i/>
          <w:spacing w:val="-6"/>
        </w:rPr>
        <w:t xml:space="preserve">và </w:t>
      </w:r>
      <w:r w:rsidR="00661C0A" w:rsidRPr="00B62C1B">
        <w:rPr>
          <w:rFonts w:ascii="Times New Roman Italic" w:hAnsi="Times New Roman Italic"/>
          <w:i/>
          <w:spacing w:val="-6"/>
        </w:rPr>
        <w:t xml:space="preserve">Ma-lai-xi-a </w:t>
      </w:r>
      <w:r w:rsidR="00923535" w:rsidRPr="00B62C1B">
        <w:rPr>
          <w:rFonts w:ascii="Times New Roman Italic" w:hAnsi="Times New Roman Italic"/>
          <w:i/>
          <w:spacing w:val="-6"/>
        </w:rPr>
        <w:t>ở mức 5</w:t>
      </w:r>
      <w:r w:rsidR="000A534F" w:rsidRPr="00B62C1B">
        <w:rPr>
          <w:rFonts w:ascii="Times New Roman Italic" w:hAnsi="Times New Roman Italic"/>
          <w:i/>
          <w:spacing w:val="-6"/>
        </w:rPr>
        <w:t>,0</w:t>
      </w:r>
      <w:r w:rsidR="00923535" w:rsidRPr="00B62C1B">
        <w:rPr>
          <w:rFonts w:ascii="Times New Roman Italic" w:hAnsi="Times New Roman Italic"/>
          <w:i/>
          <w:spacing w:val="-6"/>
        </w:rPr>
        <w:t xml:space="preserve">% và </w:t>
      </w:r>
      <w:r w:rsidR="00661C0A" w:rsidRPr="00B62C1B">
        <w:rPr>
          <w:rFonts w:ascii="Times New Roman Italic" w:hAnsi="Times New Roman Italic"/>
          <w:i/>
          <w:spacing w:val="-6"/>
        </w:rPr>
        <w:t>4,5%. Tốc độ tăng trưởng kinh tế của Xin-ga-po</w:t>
      </w:r>
      <w:r w:rsidR="004833E7" w:rsidRPr="00B62C1B">
        <w:rPr>
          <w:rFonts w:ascii="Times New Roman Italic" w:hAnsi="Times New Roman Italic"/>
          <w:i/>
          <w:spacing w:val="-6"/>
        </w:rPr>
        <w:t>, Th</w:t>
      </w:r>
      <w:r w:rsidR="004833E7" w:rsidRPr="00B62C1B">
        <w:rPr>
          <w:rFonts w:ascii="Times New Roman Italic" w:hAnsi="Times New Roman Italic" w:hint="eastAsia"/>
          <w:i/>
          <w:spacing w:val="-6"/>
        </w:rPr>
        <w:t>á</w:t>
      </w:r>
      <w:r w:rsidR="004833E7" w:rsidRPr="00B62C1B">
        <w:rPr>
          <w:rFonts w:ascii="Times New Roman Italic" w:hAnsi="Times New Roman Italic"/>
          <w:i/>
          <w:spacing w:val="-6"/>
        </w:rPr>
        <w:t>i Lan</w:t>
      </w:r>
      <w:r w:rsidR="00661C0A" w:rsidRPr="00B62C1B">
        <w:rPr>
          <w:rFonts w:ascii="Times New Roman Italic" w:hAnsi="Times New Roman Italic"/>
          <w:i/>
          <w:spacing w:val="-6"/>
        </w:rPr>
        <w:t xml:space="preserve"> </w:t>
      </w:r>
      <w:r w:rsidR="00661C0A" w:rsidRPr="00B62C1B">
        <w:rPr>
          <w:rFonts w:ascii="Times New Roman Italic" w:hAnsi="Times New Roman Italic" w:hint="eastAsia"/>
          <w:i/>
          <w:spacing w:val="-6"/>
        </w:rPr>
        <w:t>đư</w:t>
      </w:r>
      <w:r w:rsidR="00661C0A" w:rsidRPr="00B62C1B">
        <w:rPr>
          <w:rFonts w:ascii="Times New Roman Italic" w:hAnsi="Times New Roman Italic"/>
          <w:i/>
          <w:spacing w:val="-6"/>
        </w:rPr>
        <w:t>ợc dự b</w:t>
      </w:r>
      <w:r w:rsidR="00661C0A" w:rsidRPr="00B62C1B">
        <w:rPr>
          <w:rFonts w:ascii="Times New Roman Italic" w:hAnsi="Times New Roman Italic" w:hint="eastAsia"/>
          <w:i/>
          <w:spacing w:val="-6"/>
        </w:rPr>
        <w:t>á</w:t>
      </w:r>
      <w:r w:rsidR="00661C0A" w:rsidRPr="00B62C1B">
        <w:rPr>
          <w:rFonts w:ascii="Times New Roman Italic" w:hAnsi="Times New Roman Italic"/>
          <w:i/>
          <w:spacing w:val="-6"/>
        </w:rPr>
        <w:t>o thấp h</w:t>
      </w:r>
      <w:r w:rsidR="00661C0A" w:rsidRPr="00B62C1B">
        <w:rPr>
          <w:rFonts w:ascii="Times New Roman Italic" w:hAnsi="Times New Roman Italic" w:hint="eastAsia"/>
          <w:i/>
          <w:spacing w:val="-6"/>
        </w:rPr>
        <w:t>ơ</w:t>
      </w:r>
      <w:r w:rsidR="00661C0A" w:rsidRPr="00B62C1B">
        <w:rPr>
          <w:rFonts w:ascii="Times New Roman Italic" w:hAnsi="Times New Roman Italic"/>
          <w:i/>
          <w:spacing w:val="-6"/>
        </w:rPr>
        <w:t xml:space="preserve">n </w:t>
      </w:r>
      <w:r w:rsidR="003748D1" w:rsidRPr="00B62C1B">
        <w:rPr>
          <w:rFonts w:ascii="Times New Roman Italic" w:hAnsi="Times New Roman Italic"/>
          <w:i/>
          <w:spacing w:val="-6"/>
        </w:rPr>
        <w:t>nhiều</w:t>
      </w:r>
      <w:r w:rsidR="00661C0A" w:rsidRPr="00B62C1B">
        <w:rPr>
          <w:rFonts w:ascii="Times New Roman Italic" w:hAnsi="Times New Roman Italic"/>
          <w:i/>
          <w:spacing w:val="-6"/>
        </w:rPr>
        <w:t xml:space="preserve"> so với Việt Nam v</w:t>
      </w:r>
      <w:r w:rsidR="00661C0A" w:rsidRPr="00B62C1B">
        <w:rPr>
          <w:rFonts w:ascii="Times New Roman Italic" w:hAnsi="Times New Roman Italic" w:hint="eastAsia"/>
          <w:i/>
          <w:spacing w:val="-6"/>
        </w:rPr>
        <w:t>à</w:t>
      </w:r>
      <w:r w:rsidR="00661C0A" w:rsidRPr="00B62C1B">
        <w:rPr>
          <w:rFonts w:ascii="Times New Roman Italic" w:hAnsi="Times New Roman Italic"/>
          <w:i/>
          <w:spacing w:val="-6"/>
        </w:rPr>
        <w:t xml:space="preserve"> Phi-li-pin, lần l</w:t>
      </w:r>
      <w:r w:rsidR="00661C0A" w:rsidRPr="00B62C1B">
        <w:rPr>
          <w:rFonts w:ascii="Times New Roman Italic" w:hAnsi="Times New Roman Italic" w:hint="eastAsia"/>
          <w:i/>
          <w:spacing w:val="-6"/>
        </w:rPr>
        <w:t>ư</w:t>
      </w:r>
      <w:r w:rsidR="00661C0A" w:rsidRPr="00B62C1B">
        <w:rPr>
          <w:rFonts w:ascii="Times New Roman Italic" w:hAnsi="Times New Roman Italic"/>
          <w:i/>
          <w:spacing w:val="-6"/>
        </w:rPr>
        <w:t xml:space="preserve">ợt </w:t>
      </w:r>
      <w:r w:rsidR="00661C0A" w:rsidRPr="00B62C1B">
        <w:rPr>
          <w:rFonts w:ascii="Times New Roman Italic" w:hAnsi="Times New Roman Italic" w:hint="eastAsia"/>
          <w:i/>
          <w:spacing w:val="-6"/>
        </w:rPr>
        <w:t>đ</w:t>
      </w:r>
      <w:r w:rsidR="00661C0A" w:rsidRPr="00B62C1B">
        <w:rPr>
          <w:rFonts w:ascii="Times New Roman Italic" w:hAnsi="Times New Roman Italic"/>
          <w:i/>
          <w:spacing w:val="-6"/>
        </w:rPr>
        <w:t>ạt 2,</w:t>
      </w:r>
      <w:r w:rsidR="004833E7" w:rsidRPr="00B62C1B">
        <w:rPr>
          <w:rFonts w:ascii="Times New Roman Italic" w:hAnsi="Times New Roman Italic"/>
          <w:i/>
          <w:spacing w:val="-6"/>
        </w:rPr>
        <w:t>6</w:t>
      </w:r>
      <w:r w:rsidR="00661C0A" w:rsidRPr="00B62C1B">
        <w:rPr>
          <w:rFonts w:ascii="Times New Roman Italic" w:hAnsi="Times New Roman Italic"/>
          <w:i/>
          <w:spacing w:val="-6"/>
        </w:rPr>
        <w:t>% v</w:t>
      </w:r>
      <w:r w:rsidR="00661C0A" w:rsidRPr="00B62C1B">
        <w:rPr>
          <w:rFonts w:ascii="Times New Roman Italic" w:hAnsi="Times New Roman Italic" w:hint="eastAsia"/>
          <w:i/>
          <w:spacing w:val="-6"/>
        </w:rPr>
        <w:t>à</w:t>
      </w:r>
      <w:r w:rsidR="00661C0A" w:rsidRPr="00B62C1B">
        <w:rPr>
          <w:rFonts w:ascii="Times New Roman Italic" w:hAnsi="Times New Roman Italic"/>
          <w:i/>
          <w:spacing w:val="-6"/>
        </w:rPr>
        <w:t xml:space="preserve"> 2,</w:t>
      </w:r>
      <w:r w:rsidR="004833E7" w:rsidRPr="00B62C1B">
        <w:rPr>
          <w:rFonts w:ascii="Times New Roman Italic" w:hAnsi="Times New Roman Italic"/>
          <w:i/>
          <w:spacing w:val="-6"/>
        </w:rPr>
        <w:t>3</w:t>
      </w:r>
      <w:r w:rsidR="00661C0A" w:rsidRPr="00B62C1B">
        <w:rPr>
          <w:rFonts w:ascii="Times New Roman Italic" w:hAnsi="Times New Roman Italic"/>
          <w:i/>
          <w:spacing w:val="-6"/>
        </w:rPr>
        <w:t>%.</w:t>
      </w:r>
    </w:p>
    <w:p w14:paraId="786AFDBD" w14:textId="35976980" w:rsidR="00661C0A" w:rsidRPr="00B62C1B" w:rsidRDefault="00661C0A" w:rsidP="00661C0A">
      <w:pPr>
        <w:spacing w:before="100" w:after="100" w:line="240" w:lineRule="auto"/>
        <w:ind w:firstLine="720"/>
        <w:jc w:val="both"/>
        <w:rPr>
          <w:rFonts w:ascii="Times New Roman Italic" w:hAnsi="Times New Roman Italic"/>
          <w:i/>
          <w:spacing w:val="-6"/>
        </w:rPr>
      </w:pPr>
      <w:r w:rsidRPr="00B62C1B">
        <w:rPr>
          <w:rFonts w:ascii="Times New Roman Italic" w:hAnsi="Times New Roman Italic"/>
          <w:i/>
          <w:spacing w:val="-6"/>
        </w:rPr>
        <w:t>C</w:t>
      </w:r>
      <w:r w:rsidRPr="00B62C1B">
        <w:rPr>
          <w:rFonts w:ascii="Times New Roman Italic" w:hAnsi="Times New Roman Italic" w:hint="eastAsia"/>
          <w:i/>
          <w:spacing w:val="-6"/>
        </w:rPr>
        <w:t>á</w:t>
      </w:r>
      <w:r w:rsidRPr="00B62C1B">
        <w:rPr>
          <w:rFonts w:ascii="Times New Roman Italic" w:hAnsi="Times New Roman Italic"/>
          <w:i/>
          <w:spacing w:val="-6"/>
        </w:rPr>
        <w:t xml:space="preserve">c tổ chức quốc tế </w:t>
      </w:r>
      <w:r w:rsidRPr="00B62C1B">
        <w:rPr>
          <w:rFonts w:ascii="Times New Roman Italic" w:hAnsi="Times New Roman Italic" w:hint="eastAsia"/>
          <w:i/>
          <w:spacing w:val="-6"/>
        </w:rPr>
        <w:t>đ</w:t>
      </w:r>
      <w:r w:rsidRPr="00B62C1B">
        <w:rPr>
          <w:rFonts w:ascii="Times New Roman Italic" w:hAnsi="Times New Roman Italic"/>
          <w:i/>
          <w:spacing w:val="-6"/>
        </w:rPr>
        <w:t xml:space="preserve">ều nhận </w:t>
      </w:r>
      <w:r w:rsidRPr="00B62C1B">
        <w:rPr>
          <w:rFonts w:ascii="Times New Roman Italic" w:hAnsi="Times New Roman Italic" w:hint="eastAsia"/>
          <w:i/>
          <w:spacing w:val="-6"/>
        </w:rPr>
        <w:t>đ</w:t>
      </w:r>
      <w:r w:rsidRPr="00B62C1B">
        <w:rPr>
          <w:rFonts w:ascii="Times New Roman Italic" w:hAnsi="Times New Roman Italic"/>
          <w:i/>
          <w:spacing w:val="-6"/>
        </w:rPr>
        <w:t>ịnh t</w:t>
      </w:r>
      <w:r w:rsidRPr="00B62C1B">
        <w:rPr>
          <w:rFonts w:ascii="Times New Roman Italic" w:hAnsi="Times New Roman Italic" w:hint="eastAsia"/>
          <w:i/>
          <w:spacing w:val="-6"/>
        </w:rPr>
        <w:t>ă</w:t>
      </w:r>
      <w:r w:rsidRPr="00B62C1B">
        <w:rPr>
          <w:rFonts w:ascii="Times New Roman Italic" w:hAnsi="Times New Roman Italic"/>
          <w:i/>
          <w:spacing w:val="-6"/>
        </w:rPr>
        <w:t>ng tr</w:t>
      </w:r>
      <w:r w:rsidRPr="00B62C1B">
        <w:rPr>
          <w:rFonts w:ascii="Times New Roman Italic" w:hAnsi="Times New Roman Italic" w:hint="eastAsia"/>
          <w:i/>
          <w:spacing w:val="-6"/>
        </w:rPr>
        <w:t>ư</w:t>
      </w:r>
      <w:r w:rsidRPr="00B62C1B">
        <w:rPr>
          <w:rFonts w:ascii="Times New Roman Italic" w:hAnsi="Times New Roman Italic"/>
          <w:i/>
          <w:spacing w:val="-6"/>
        </w:rPr>
        <w:t>ởng của Việt Nam n</w:t>
      </w:r>
      <w:r w:rsidRPr="00B62C1B">
        <w:rPr>
          <w:rFonts w:ascii="Times New Roman Italic" w:hAnsi="Times New Roman Italic" w:hint="eastAsia"/>
          <w:i/>
          <w:spacing w:val="-6"/>
        </w:rPr>
        <w:t>ă</w:t>
      </w:r>
      <w:r w:rsidRPr="00B62C1B">
        <w:rPr>
          <w:rFonts w:ascii="Times New Roman Italic" w:hAnsi="Times New Roman Italic"/>
          <w:i/>
          <w:spacing w:val="-6"/>
        </w:rPr>
        <w:t>m 2024 cao h</w:t>
      </w:r>
      <w:r w:rsidRPr="00B62C1B">
        <w:rPr>
          <w:rFonts w:ascii="Times New Roman Italic" w:hAnsi="Times New Roman Italic" w:hint="eastAsia"/>
          <w:i/>
          <w:spacing w:val="-6"/>
        </w:rPr>
        <w:t>ơ</w:t>
      </w:r>
      <w:r w:rsidRPr="00B62C1B">
        <w:rPr>
          <w:rFonts w:ascii="Times New Roman Italic" w:hAnsi="Times New Roman Italic"/>
          <w:i/>
          <w:spacing w:val="-6"/>
        </w:rPr>
        <w:t>n n</w:t>
      </w:r>
      <w:r w:rsidRPr="00B62C1B">
        <w:rPr>
          <w:rFonts w:ascii="Times New Roman Italic" w:hAnsi="Times New Roman Italic" w:hint="eastAsia"/>
          <w:i/>
          <w:spacing w:val="-6"/>
        </w:rPr>
        <w:t>ă</w:t>
      </w:r>
      <w:r w:rsidRPr="00B62C1B">
        <w:rPr>
          <w:rFonts w:ascii="Times New Roman Italic" w:hAnsi="Times New Roman Italic"/>
          <w:i/>
          <w:spacing w:val="-6"/>
        </w:rPr>
        <w:t xml:space="preserve">m 2023 từ 0,9-1,1 </w:t>
      </w:r>
      <w:r w:rsidRPr="00B62C1B">
        <w:rPr>
          <w:rFonts w:ascii="Times New Roman Italic" w:hAnsi="Times New Roman Italic" w:hint="eastAsia"/>
          <w:i/>
          <w:spacing w:val="-6"/>
        </w:rPr>
        <w:t>đ</w:t>
      </w:r>
      <w:r w:rsidRPr="00B62C1B">
        <w:rPr>
          <w:rFonts w:ascii="Times New Roman Italic" w:hAnsi="Times New Roman Italic"/>
          <w:i/>
          <w:spacing w:val="-6"/>
        </w:rPr>
        <w:t>iểm phần tr</w:t>
      </w:r>
      <w:r w:rsidRPr="00B62C1B">
        <w:rPr>
          <w:rFonts w:ascii="Times New Roman Italic" w:hAnsi="Times New Roman Italic" w:hint="eastAsia"/>
          <w:i/>
          <w:spacing w:val="-6"/>
        </w:rPr>
        <w:t>ă</w:t>
      </w:r>
      <w:r w:rsidRPr="00B62C1B">
        <w:rPr>
          <w:rFonts w:ascii="Times New Roman Italic" w:hAnsi="Times New Roman Italic"/>
          <w:i/>
          <w:spacing w:val="-6"/>
        </w:rPr>
        <w:t xml:space="preserve">m. </w:t>
      </w:r>
      <w:r w:rsidR="001F00E6" w:rsidRPr="00B62C1B">
        <w:rPr>
          <w:rFonts w:ascii="Times New Roman Italic" w:hAnsi="Times New Roman Italic"/>
          <w:i/>
          <w:spacing w:val="-6"/>
        </w:rPr>
        <w:t xml:space="preserve">Cụ thể, </w:t>
      </w:r>
      <w:r w:rsidR="003748D1" w:rsidRPr="00B62C1B">
        <w:rPr>
          <w:rFonts w:ascii="Times New Roman Italic" w:hAnsi="Times New Roman Italic"/>
          <w:i/>
          <w:spacing w:val="-6"/>
        </w:rPr>
        <w:t xml:space="preserve">IMF và WB nhận định tăng trưởng kinh tế của Việt Nam đạt 6,1% trong năm 2024, tăng lần lượt 0,3 và 0,6 điểm phần trăm so với dự báo của hai tổ chức này trong tháng 4 và tháng 6/2024. </w:t>
      </w:r>
      <w:r w:rsidR="001F00E6" w:rsidRPr="00B62C1B">
        <w:rPr>
          <w:rFonts w:ascii="Times New Roman Italic" w:hAnsi="Times New Roman Italic"/>
          <w:i/>
          <w:spacing w:val="-6"/>
        </w:rPr>
        <w:t>ADB giữ nguyên dự báo tăng trưởng của Việt Nam năm 2024 ở mức 6,0% so với nhận định trong tháng 4/2024</w:t>
      </w:r>
      <w:r w:rsidR="005E0784" w:rsidRPr="00B62C1B">
        <w:rPr>
          <w:rFonts w:ascii="Times New Roman Italic" w:hAnsi="Times New Roman Italic"/>
          <w:i/>
          <w:spacing w:val="-6"/>
        </w:rPr>
        <w:t>.</w:t>
      </w:r>
      <w:r w:rsidR="001F00E6" w:rsidRPr="00B62C1B">
        <w:rPr>
          <w:rFonts w:ascii="Times New Roman Italic" w:hAnsi="Times New Roman Italic"/>
          <w:i/>
          <w:spacing w:val="-6"/>
        </w:rPr>
        <w:t xml:space="preserve"> </w:t>
      </w:r>
    </w:p>
    <w:p w14:paraId="3B95375E" w14:textId="77777777" w:rsidR="00661C0A" w:rsidRPr="00B62C1B" w:rsidRDefault="00661C0A" w:rsidP="006F6FE1">
      <w:pPr>
        <w:spacing w:before="140" w:after="0" w:line="240" w:lineRule="auto"/>
        <w:ind w:firstLine="567"/>
        <w:jc w:val="both"/>
        <w:rPr>
          <w:b/>
          <w:szCs w:val="28"/>
          <w:lang w:val="vi-VN"/>
        </w:rPr>
      </w:pPr>
      <w:r w:rsidRPr="00B62C1B">
        <w:rPr>
          <w:b/>
          <w:szCs w:val="28"/>
          <w:lang w:val="vi-VN"/>
        </w:rPr>
        <w:t>I. DỰ BÁO KINH TẾ TOÀN CẦU</w:t>
      </w:r>
    </w:p>
    <w:p w14:paraId="6679E6CA" w14:textId="1716D637" w:rsidR="00661C0A" w:rsidRPr="00B62C1B" w:rsidRDefault="00661C0A" w:rsidP="006F6FE1">
      <w:pPr>
        <w:spacing w:before="140" w:after="0" w:line="240" w:lineRule="auto"/>
        <w:ind w:firstLine="567"/>
        <w:jc w:val="both"/>
        <w:rPr>
          <w:rFonts w:ascii="Times New Roman Bold" w:hAnsi="Times New Roman Bold"/>
          <w:b/>
          <w:spacing w:val="-12"/>
          <w:lang w:val="vi-VN"/>
        </w:rPr>
      </w:pPr>
      <w:r w:rsidRPr="00B62C1B">
        <w:rPr>
          <w:rFonts w:ascii="Times New Roman Bold" w:hAnsi="Times New Roman Bold"/>
          <w:b/>
          <w:spacing w:val="-12"/>
          <w:lang w:val="vi-VN"/>
        </w:rPr>
        <w:t>1.</w:t>
      </w:r>
      <w:r w:rsidRPr="00B62C1B">
        <w:rPr>
          <w:rFonts w:ascii="Times New Roman Bold" w:hAnsi="Times New Roman Bold"/>
          <w:b/>
          <w:spacing w:val="-12"/>
        </w:rPr>
        <w:t xml:space="preserve"> </w:t>
      </w:r>
      <w:r w:rsidR="00C313D1" w:rsidRPr="00B62C1B">
        <w:rPr>
          <w:rFonts w:ascii="Times New Roman Bold" w:hAnsi="Times New Roman Bold"/>
          <w:b/>
          <w:spacing w:val="-12"/>
        </w:rPr>
        <w:t>Các tổ chức quốc tế lạc quan về t</w:t>
      </w:r>
      <w:r w:rsidRPr="00B62C1B">
        <w:rPr>
          <w:rFonts w:ascii="Times New Roman Bold" w:hAnsi="Times New Roman Bold"/>
          <w:b/>
          <w:spacing w:val="-12"/>
        </w:rPr>
        <w:t>riển vọng</w:t>
      </w:r>
      <w:r w:rsidRPr="00B62C1B">
        <w:rPr>
          <w:rFonts w:ascii="Times New Roman Bold" w:hAnsi="Times New Roman Bold"/>
          <w:b/>
          <w:spacing w:val="-12"/>
          <w:lang w:val="vi-VN"/>
        </w:rPr>
        <w:t xml:space="preserve"> kinh tế to</w:t>
      </w:r>
      <w:r w:rsidRPr="00B62C1B">
        <w:rPr>
          <w:rFonts w:ascii="Times New Roman Bold" w:hAnsi="Times New Roman Bold" w:hint="eastAsia"/>
          <w:b/>
          <w:spacing w:val="-12"/>
          <w:lang w:val="vi-VN"/>
        </w:rPr>
        <w:t>à</w:t>
      </w:r>
      <w:r w:rsidRPr="00B62C1B">
        <w:rPr>
          <w:rFonts w:ascii="Times New Roman Bold" w:hAnsi="Times New Roman Bold"/>
          <w:b/>
          <w:spacing w:val="-12"/>
          <w:lang w:val="vi-VN"/>
        </w:rPr>
        <w:t>n cầu n</w:t>
      </w:r>
      <w:r w:rsidRPr="00B62C1B">
        <w:rPr>
          <w:rFonts w:ascii="Times New Roman Bold" w:hAnsi="Times New Roman Bold" w:hint="eastAsia"/>
          <w:b/>
          <w:spacing w:val="-12"/>
          <w:lang w:val="vi-VN"/>
        </w:rPr>
        <w:t>ă</w:t>
      </w:r>
      <w:r w:rsidRPr="00B62C1B">
        <w:rPr>
          <w:rFonts w:ascii="Times New Roman Bold" w:hAnsi="Times New Roman Bold"/>
          <w:b/>
          <w:spacing w:val="-12"/>
          <w:lang w:val="vi-VN"/>
        </w:rPr>
        <w:t>m 202</w:t>
      </w:r>
      <w:r w:rsidRPr="00B62C1B">
        <w:rPr>
          <w:rFonts w:ascii="Times New Roman Bold" w:hAnsi="Times New Roman Bold"/>
          <w:b/>
          <w:spacing w:val="-12"/>
        </w:rPr>
        <w:t xml:space="preserve">4 </w:t>
      </w:r>
    </w:p>
    <w:p w14:paraId="6D97C4D2" w14:textId="0CB72088" w:rsidR="00661C0A" w:rsidRPr="00B62C1B" w:rsidRDefault="00AB6AE6" w:rsidP="006F6FE1">
      <w:pPr>
        <w:spacing w:before="140" w:after="0" w:line="240" w:lineRule="auto"/>
        <w:ind w:firstLine="720"/>
        <w:jc w:val="both"/>
      </w:pPr>
      <w:r w:rsidRPr="00B62C1B">
        <w:t>Theo thông tin cập nhật mới nhất, h</w:t>
      </w:r>
      <w:r w:rsidR="006B08DF" w:rsidRPr="00B62C1B">
        <w:t>ầu hết c</w:t>
      </w:r>
      <w:r w:rsidR="00661C0A" w:rsidRPr="00B62C1B">
        <w:rPr>
          <w:lang w:val="vi-VN"/>
        </w:rPr>
        <w:t xml:space="preserve">ác tổ chức quốc tế </w:t>
      </w:r>
      <w:r w:rsidR="00661C0A" w:rsidRPr="00B62C1B">
        <w:t>đều nâng triển vọng tăng trưởng kinh tế toàn cầu năm 2024 so với dự báo trước đó.</w:t>
      </w:r>
    </w:p>
    <w:p w14:paraId="77A5E639" w14:textId="77777777" w:rsidR="00EB5327" w:rsidRPr="00B62C1B" w:rsidRDefault="00EB5327" w:rsidP="006F6FE1">
      <w:pPr>
        <w:spacing w:before="140" w:after="0" w:line="240" w:lineRule="auto"/>
        <w:ind w:firstLine="720"/>
        <w:jc w:val="both"/>
        <w:rPr>
          <w:i/>
          <w:lang w:val="vi-VN"/>
        </w:rPr>
      </w:pPr>
      <w:r w:rsidRPr="00B62C1B">
        <w:rPr>
          <w:i/>
          <w:lang w:val="vi-VN"/>
        </w:rPr>
        <w:t>Tổ chức Hợp tác và Phát triển kinh tế (OECD)</w:t>
      </w:r>
    </w:p>
    <w:p w14:paraId="327E1F34" w14:textId="252F5EDD" w:rsidR="00EB5327" w:rsidRPr="00B62C1B" w:rsidRDefault="00EB5327" w:rsidP="006F6FE1">
      <w:pPr>
        <w:spacing w:before="140" w:after="0" w:line="240" w:lineRule="auto"/>
        <w:ind w:firstLine="720"/>
        <w:jc w:val="both"/>
        <w:rPr>
          <w:spacing w:val="2"/>
        </w:rPr>
      </w:pPr>
      <w:r w:rsidRPr="00B62C1B">
        <w:rPr>
          <w:spacing w:val="2"/>
          <w:lang w:val="vi-VN"/>
        </w:rPr>
        <w:t xml:space="preserve">Trong </w:t>
      </w:r>
      <w:r w:rsidRPr="00B62C1B">
        <w:rPr>
          <w:spacing w:val="2"/>
        </w:rPr>
        <w:t>b</w:t>
      </w:r>
      <w:r w:rsidRPr="00B62C1B">
        <w:rPr>
          <w:spacing w:val="2"/>
          <w:lang w:val="vi-VN"/>
        </w:rPr>
        <w:t xml:space="preserve">áo cáo Triển vọng kinh tế </w:t>
      </w:r>
      <w:r w:rsidRPr="00B62C1B">
        <w:rPr>
          <w:spacing w:val="2"/>
        </w:rPr>
        <w:t>sơ bộ</w:t>
      </w:r>
      <w:r w:rsidRPr="00B62C1B">
        <w:rPr>
          <w:spacing w:val="2"/>
          <w:lang w:val="vi-VN"/>
        </w:rPr>
        <w:t xml:space="preserve"> tháng</w:t>
      </w:r>
      <w:r w:rsidRPr="00B62C1B">
        <w:rPr>
          <w:spacing w:val="2"/>
        </w:rPr>
        <w:t xml:space="preserve"> 9</w:t>
      </w:r>
      <w:r w:rsidRPr="00B62C1B">
        <w:rPr>
          <w:spacing w:val="2"/>
          <w:lang w:val="vi-VN"/>
        </w:rPr>
        <w:t>/202</w:t>
      </w:r>
      <w:r w:rsidRPr="00B62C1B">
        <w:rPr>
          <w:spacing w:val="2"/>
        </w:rPr>
        <w:t>4</w:t>
      </w:r>
      <w:r w:rsidRPr="00B62C1B">
        <w:rPr>
          <w:spacing w:val="2"/>
          <w:lang w:val="vi-VN"/>
        </w:rPr>
        <w:t xml:space="preserve">, </w:t>
      </w:r>
      <w:r w:rsidRPr="00B62C1B">
        <w:rPr>
          <w:spacing w:val="2"/>
        </w:rPr>
        <w:t xml:space="preserve">OECD nhận định kinh tế toàn cầu vẫn kiên cường trong nửa đầu năm 2024 khi đạt mức tăng trưởng </w:t>
      </w:r>
      <w:r w:rsidRPr="00B62C1B">
        <w:rPr>
          <w:spacing w:val="2"/>
        </w:rPr>
        <w:lastRenderedPageBreak/>
        <w:t xml:space="preserve">3,2%, tăng 0,1 điểm phần trăm so với dự báo trong tháng 5/2024. Lạm phát giá tiêu dùng giảm góp phần hỗ trợ chi tiêu hộ gia đình, phần nào trung hòa tác động tiêu cực từ các điều kiện tài chính hạn chế và bất ổn từ các cuộc xung đột đang diễn ra ở U-crai-na và Trung Đông. Tăng trưởng của Hoa Kỳ tăng trong Quý II/2024 nhờ tiêu dùng cá nhân tăng. Tăng trưởng GDP cũng tương đối </w:t>
      </w:r>
      <w:r w:rsidR="00256183" w:rsidRPr="00B62C1B">
        <w:rPr>
          <w:spacing w:val="2"/>
        </w:rPr>
        <w:t>cao</w:t>
      </w:r>
      <w:r w:rsidRPr="00B62C1B">
        <w:rPr>
          <w:spacing w:val="2"/>
        </w:rPr>
        <w:t xml:space="preserve"> ở một số nền kinh tế phát triển khác bao gồm Ca-na-đa, Tây Ban Nha và Vương quốc Anh. Tăng trưởng ở các nền kinh tế thị trường mới nổi khá khác biệt, theo đó một số quốc gia như Bra-xin, Ấn Độ và In-đô-nê-xi-a đạt tăng trưởng tốt nhưng Mê-hi-cô tăng trưởng chậm lại. Tại Trung Quốc, xuất khẩu tăng mạnh</w:t>
      </w:r>
      <w:r w:rsidRPr="00B62C1B" w:rsidDel="00812A5E">
        <w:rPr>
          <w:spacing w:val="2"/>
        </w:rPr>
        <w:t xml:space="preserve"> </w:t>
      </w:r>
      <w:r w:rsidRPr="00B62C1B">
        <w:rPr>
          <w:spacing w:val="2"/>
        </w:rPr>
        <w:t>thúc đẩy tăng trưởng sản xuất công nghiệp nhưng nhu cầu tiêu dùng vẫn ở mức khiêm tốn và lĩnh vực bất động sản vẫn đang tiếp tục điều chỉnh.</w:t>
      </w:r>
    </w:p>
    <w:p w14:paraId="2B7FE988" w14:textId="77777777" w:rsidR="00EB5327" w:rsidRPr="00B62C1B" w:rsidRDefault="00EB5327" w:rsidP="006F6FE1">
      <w:pPr>
        <w:spacing w:before="140" w:after="0" w:line="240" w:lineRule="auto"/>
        <w:ind w:firstLine="720"/>
        <w:jc w:val="both"/>
        <w:rPr>
          <w:i/>
          <w:lang w:val="vi-VN"/>
        </w:rPr>
      </w:pPr>
      <w:r w:rsidRPr="00B62C1B">
        <w:rPr>
          <w:i/>
          <w:lang w:val="vi-VN"/>
        </w:rPr>
        <w:t xml:space="preserve">Quỹ Tiền tệ </w:t>
      </w:r>
      <w:r w:rsidRPr="00B62C1B">
        <w:rPr>
          <w:i/>
        </w:rPr>
        <w:t>q</w:t>
      </w:r>
      <w:r w:rsidRPr="00B62C1B">
        <w:rPr>
          <w:i/>
          <w:lang w:val="vi-VN"/>
        </w:rPr>
        <w:t>uốc tế (IMF)</w:t>
      </w:r>
    </w:p>
    <w:p w14:paraId="63F0025F" w14:textId="76EDD204" w:rsidR="00E21218" w:rsidRPr="00B62C1B" w:rsidRDefault="00EB5327" w:rsidP="006F6FE1">
      <w:pPr>
        <w:spacing w:before="140" w:after="0" w:line="240" w:lineRule="auto"/>
        <w:ind w:firstLine="720"/>
        <w:jc w:val="both"/>
      </w:pPr>
      <w:r w:rsidRPr="00B62C1B">
        <w:rPr>
          <w:lang w:val="vi-VN"/>
        </w:rPr>
        <w:t xml:space="preserve">Theo </w:t>
      </w:r>
      <w:r w:rsidRPr="00B62C1B">
        <w:t>b</w:t>
      </w:r>
      <w:r w:rsidRPr="00B62C1B">
        <w:rPr>
          <w:lang w:val="vi-VN"/>
        </w:rPr>
        <w:t xml:space="preserve">áo cáo </w:t>
      </w:r>
      <w:r w:rsidRPr="00B62C1B">
        <w:t>T</w:t>
      </w:r>
      <w:r w:rsidRPr="00B62C1B">
        <w:rPr>
          <w:lang w:val="vi-VN"/>
        </w:rPr>
        <w:t xml:space="preserve">riển vọng kinh tế thế giới </w:t>
      </w:r>
      <w:r w:rsidRPr="00B62C1B">
        <w:t>cập nhật tháng</w:t>
      </w:r>
      <w:r w:rsidRPr="00B62C1B">
        <w:rPr>
          <w:lang w:val="vi-VN"/>
        </w:rPr>
        <w:t xml:space="preserve"> </w:t>
      </w:r>
      <w:r w:rsidRPr="00B62C1B">
        <w:t>7</w:t>
      </w:r>
      <w:r w:rsidRPr="00B62C1B">
        <w:rPr>
          <w:lang w:val="vi-VN"/>
        </w:rPr>
        <w:t>/202</w:t>
      </w:r>
      <w:r w:rsidRPr="00B62C1B">
        <w:t>4</w:t>
      </w:r>
      <w:r w:rsidRPr="00B62C1B">
        <w:rPr>
          <w:lang w:val="vi-VN"/>
        </w:rPr>
        <w:t xml:space="preserve"> của IMF</w:t>
      </w:r>
      <w:r w:rsidRPr="00B62C1B">
        <w:t>, tăng trưởng kinh tế toàn cầu năm 2024 dự báo đạt 3,2%, giữ nguyên so với dự báo trong tháng 4/2024. Khoảng cách tăng trưởng giữa các nền kinh tế đang dần thu hẹp so với thời điểm đầu năm 2024 khi các yếu tố chu kỳ yếu dần và hoạt động kinh tế dần phù hợp hơn so với mức tiềm năng. Tại Hoa Kỳ, tốc độ tăng trưởng chậm lại phản ánh tiêu dùng giảm và ảnh hưởng tiêu cực từ thương mại ròng. Nhật Bản đối mặt với tăng trưởng âm do gián đoạn nguồn cung tạm thời liên quan đến việc đóng cửa một nhà máy ô tô lớn vào đầu năm 2024. Ngược lại, kinh tế châu Âu</w:t>
      </w:r>
      <w:r w:rsidR="00256183" w:rsidRPr="00B62C1B">
        <w:t xml:space="preserve"> có dấu hiệu phục hồi</w:t>
      </w:r>
      <w:r w:rsidRPr="00B62C1B">
        <w:t xml:space="preserve">, với sự cải thiện trong hoạt động dịch vụ. </w:t>
      </w:r>
      <w:r w:rsidR="009074A3" w:rsidRPr="00B62C1B">
        <w:t>Tại Trung Quốc, tiêu dùng trong nước hồi phục thúc đẩy đà tăng tích cực trong các tháng đầu năm</w:t>
      </w:r>
      <w:r w:rsidR="00E21218" w:rsidRPr="00B62C1B">
        <w:t>.</w:t>
      </w:r>
    </w:p>
    <w:p w14:paraId="2C56F90C" w14:textId="77777777" w:rsidR="00EB5327" w:rsidRPr="00B62C1B" w:rsidRDefault="00EB5327" w:rsidP="006F6FE1">
      <w:pPr>
        <w:spacing w:before="140" w:after="0" w:line="240" w:lineRule="auto"/>
        <w:ind w:firstLine="720"/>
        <w:jc w:val="both"/>
        <w:rPr>
          <w:i/>
        </w:rPr>
      </w:pPr>
      <w:r w:rsidRPr="00B62C1B">
        <w:rPr>
          <w:i/>
        </w:rPr>
        <w:t>Liên hợp quốc (UN)</w:t>
      </w:r>
    </w:p>
    <w:p w14:paraId="1F9D1488" w14:textId="77777777" w:rsidR="00EB5327" w:rsidRPr="00B62C1B" w:rsidRDefault="00EB5327" w:rsidP="006F6FE1">
      <w:pPr>
        <w:spacing w:before="140" w:after="0" w:line="240" w:lineRule="auto"/>
        <w:ind w:firstLine="720"/>
        <w:jc w:val="both"/>
        <w:rPr>
          <w:spacing w:val="-2"/>
        </w:rPr>
      </w:pPr>
      <w:r w:rsidRPr="00B62C1B">
        <w:rPr>
          <w:spacing w:val="-2"/>
        </w:rPr>
        <w:t>Trong báo cáo Tình hình và triển vọng kinh tế thế giới tháng 9/2024, UN nhận định triển vọng kinh tế toàn cầu đạt 2,7% trong năm 2024, điều chỉnh tăng 0,3 điểm phần trăm so với dự báo trong tháng 01/2024, nhờ hoạt động kinh tế tốt hơn dự kiến ở Hoa Kỳ và triển vọng tăng trưởng ngắn hạn được cải thiện ở các nền kinh tế lớn khác, nhất là Bra-xin, Ấn Độ và Vương quốc Anh. Tăng trưởng kinh tế của Liên minh châu Âu dự báo đạt 1,0% năm 2024, giảm 0,2 điểm phần trăm so với dự báo trong tháng 01/2024 do nền kinh tế Đức tăng trưởng thấp hơn dự kiến bởi ảnh hưởng từ nhu cầu trong nước yếu và suy thoái kéo dài của lĩnh vực sản xuất.</w:t>
      </w:r>
    </w:p>
    <w:p w14:paraId="3931961D" w14:textId="52290E46" w:rsidR="00CE2F52" w:rsidRPr="00B62C1B" w:rsidRDefault="00EB5327" w:rsidP="006F6FE1">
      <w:pPr>
        <w:spacing w:before="140" w:after="0" w:line="240" w:lineRule="auto"/>
        <w:ind w:firstLine="720"/>
        <w:jc w:val="both"/>
        <w:rPr>
          <w:i/>
        </w:rPr>
      </w:pPr>
      <w:r w:rsidRPr="00B62C1B" w:rsidDel="00165360">
        <w:t xml:space="preserve"> </w:t>
      </w:r>
      <w:r w:rsidR="00CE2F52" w:rsidRPr="00B62C1B">
        <w:rPr>
          <w:i/>
        </w:rPr>
        <w:t>Fitch Ratings (FR)</w:t>
      </w:r>
    </w:p>
    <w:p w14:paraId="3E58AB48" w14:textId="03D6B60D" w:rsidR="00CE2F52" w:rsidRPr="00B62C1B" w:rsidRDefault="00CE2F52" w:rsidP="006F6FE1">
      <w:pPr>
        <w:spacing w:before="140" w:after="0" w:line="240" w:lineRule="auto"/>
        <w:ind w:firstLine="720"/>
        <w:jc w:val="both"/>
      </w:pPr>
      <w:r w:rsidRPr="00B62C1B">
        <w:t xml:space="preserve">Theo Báo cáo Triển vọng kinh tế toàn cầu tháng 9/2024, FR dự báo kinh tế toàn cầu năm 2024 đạt 2,7%, cao hơn 0,1 điểm phần trăm so với dự báo trong tháng 6/2024. Với nền kinh tế Hoa Kỳ, dự báo tăng trưởng năm 2024 được FR điều chỉnh tăng thêm 0,4 điểm phần trăm so với tháng 6/2024, đạt 2,5%. Chu kỳ nới lỏng của Cục Dự trữ Liên bang Hoa Kỳ (FED) được kỳ vọng sẽ bắt </w:t>
      </w:r>
      <w:r w:rsidR="00A46947" w:rsidRPr="00B62C1B">
        <w:t xml:space="preserve">đầu </w:t>
      </w:r>
      <w:r w:rsidR="00BE2C90" w:rsidRPr="00B62C1B">
        <w:t>trong thời gian tới</w:t>
      </w:r>
      <w:r w:rsidRPr="00B62C1B">
        <w:t xml:space="preserve">, </w:t>
      </w:r>
      <w:r w:rsidR="00E56D6D" w:rsidRPr="00B62C1B">
        <w:t>làm cho</w:t>
      </w:r>
      <w:r w:rsidR="00BE2C90" w:rsidRPr="00B62C1B">
        <w:t xml:space="preserve"> </w:t>
      </w:r>
      <w:r w:rsidRPr="00B62C1B">
        <w:t>lãi suất</w:t>
      </w:r>
      <w:r w:rsidR="00BE2C90" w:rsidRPr="00B62C1B">
        <w:t xml:space="preserve"> của nước này</w:t>
      </w:r>
      <w:r w:rsidRPr="00B62C1B">
        <w:t xml:space="preserve"> sẽ </w:t>
      </w:r>
      <w:r w:rsidR="00BE2C90" w:rsidRPr="00B62C1B">
        <w:t>giảm nhẹ trong năm 2025. Tuy nhiên</w:t>
      </w:r>
      <w:r w:rsidR="00A46947" w:rsidRPr="00B62C1B">
        <w:t>,</w:t>
      </w:r>
      <w:r w:rsidRPr="00B62C1B">
        <w:t xml:space="preserve"> tác động của việc cắt giảm lãi suất đối với tăng trưởng sẽ không nhiều. FR nhận định tăng trưởng của Trung Quốc đạt 4,8%, tăng trưởng của khu vực đồng Euro đạt 0,8% trong năm 2024, giữ nguyên so với dự báo đưa ra trong tháng 6/2024. </w:t>
      </w:r>
    </w:p>
    <w:p w14:paraId="0F609C20" w14:textId="77777777" w:rsidR="00661C0A" w:rsidRPr="00B62C1B" w:rsidRDefault="00661C0A" w:rsidP="00CE2F52">
      <w:pPr>
        <w:spacing w:before="120" w:after="120" w:line="240" w:lineRule="auto"/>
        <w:ind w:firstLine="720"/>
        <w:jc w:val="center"/>
        <w:rPr>
          <w:b/>
          <w:spacing w:val="-4"/>
          <w:lang w:val="vi-VN"/>
        </w:rPr>
      </w:pPr>
      <w:r w:rsidRPr="00B62C1B">
        <w:rPr>
          <w:b/>
          <w:spacing w:val="-4"/>
          <w:lang w:val="vi-VN"/>
        </w:rPr>
        <w:lastRenderedPageBreak/>
        <w:t xml:space="preserve">Hình 1. </w:t>
      </w:r>
      <w:r w:rsidRPr="00B62C1B">
        <w:rPr>
          <w:b/>
          <w:spacing w:val="-4"/>
        </w:rPr>
        <w:t>Đánh giá</w:t>
      </w:r>
      <w:r w:rsidRPr="00B62C1B">
        <w:rPr>
          <w:b/>
          <w:spacing w:val="-4"/>
          <w:lang w:val="vi-VN"/>
        </w:rPr>
        <w:t xml:space="preserve"> </w:t>
      </w:r>
      <w:r w:rsidRPr="00B62C1B">
        <w:rPr>
          <w:b/>
          <w:spacing w:val="-4"/>
        </w:rPr>
        <w:t xml:space="preserve">tăng trưởng toàn cầu năm </w:t>
      </w:r>
      <w:r w:rsidRPr="00B62C1B">
        <w:rPr>
          <w:b/>
          <w:spacing w:val="-4"/>
          <w:lang w:val="vi-VN"/>
        </w:rPr>
        <w:t>202</w:t>
      </w:r>
      <w:r w:rsidRPr="00B62C1B">
        <w:rPr>
          <w:b/>
          <w:spacing w:val="-4"/>
        </w:rPr>
        <w:t>3 và</w:t>
      </w:r>
      <w:r w:rsidRPr="00B62C1B">
        <w:rPr>
          <w:b/>
          <w:spacing w:val="-4"/>
          <w:lang w:val="vi-VN"/>
        </w:rPr>
        <w:t xml:space="preserve"> </w:t>
      </w:r>
      <w:r w:rsidRPr="00B62C1B">
        <w:rPr>
          <w:b/>
          <w:spacing w:val="-4"/>
        </w:rPr>
        <w:t xml:space="preserve">dự báo năm </w:t>
      </w:r>
      <w:r w:rsidRPr="00B62C1B">
        <w:rPr>
          <w:b/>
          <w:spacing w:val="-4"/>
          <w:lang w:val="vi-VN"/>
        </w:rPr>
        <w:t>202</w:t>
      </w:r>
      <w:r w:rsidRPr="00B62C1B">
        <w:rPr>
          <w:b/>
          <w:spacing w:val="-4"/>
        </w:rPr>
        <w:t xml:space="preserve">4 </w:t>
      </w:r>
      <w:r w:rsidRPr="00B62C1B">
        <w:rPr>
          <w:b/>
          <w:spacing w:val="-4"/>
        </w:rPr>
        <w:br/>
      </w:r>
      <w:r w:rsidRPr="00B62C1B">
        <w:rPr>
          <w:b/>
          <w:spacing w:val="-4"/>
          <w:lang w:val="vi-VN"/>
        </w:rPr>
        <w:t>của các tổ chức quốc tế</w:t>
      </w:r>
      <w:r w:rsidRPr="00B62C1B">
        <w:rPr>
          <w:rStyle w:val="FootnoteReference"/>
          <w:b/>
          <w:spacing w:val="-4"/>
          <w:lang w:val="vi-VN"/>
        </w:rPr>
        <w:footnoteReference w:id="7"/>
      </w:r>
    </w:p>
    <w:p w14:paraId="67C082ED" w14:textId="26293798" w:rsidR="009074A3" w:rsidRPr="00B62C1B" w:rsidRDefault="00461AF4" w:rsidP="00C47E1A">
      <w:pPr>
        <w:spacing w:before="120" w:after="120" w:line="240" w:lineRule="auto"/>
        <w:jc w:val="center"/>
        <w:rPr>
          <w:b/>
          <w:spacing w:val="-4"/>
          <w:lang w:val="vi-VN"/>
        </w:rPr>
      </w:pPr>
      <w:r w:rsidRPr="00B62C1B">
        <w:rPr>
          <w:b/>
          <w:noProof/>
          <w:spacing w:val="-4"/>
          <w:lang w:val="en-GB" w:eastAsia="en-GB"/>
        </w:rPr>
        <w:drawing>
          <wp:inline distT="0" distB="0" distL="0" distR="0" wp14:anchorId="0045ED6B" wp14:editId="2FBFEC3A">
            <wp:extent cx="2239010" cy="1170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214" cy="1210547"/>
                    </a:xfrm>
                    <a:prstGeom prst="rect">
                      <a:avLst/>
                    </a:prstGeom>
                    <a:noFill/>
                  </pic:spPr>
                </pic:pic>
              </a:graphicData>
            </a:graphic>
          </wp:inline>
        </w:drawing>
      </w:r>
    </w:p>
    <w:p w14:paraId="532CB78A" w14:textId="0C1DB95B" w:rsidR="00661C0A" w:rsidRPr="00B62C1B" w:rsidRDefault="00420B25" w:rsidP="00CE2F52">
      <w:pPr>
        <w:tabs>
          <w:tab w:val="center" w:pos="4590"/>
          <w:tab w:val="left" w:pos="8322"/>
        </w:tabs>
        <w:spacing w:after="0" w:line="240" w:lineRule="auto"/>
        <w:jc w:val="right"/>
        <w:rPr>
          <w:i/>
          <w:lang w:val="vi-VN"/>
        </w:rPr>
      </w:pPr>
      <w:r w:rsidRPr="00B62C1B">
        <w:rPr>
          <w:b/>
          <w:spacing w:val="-4"/>
          <w:lang w:val="vi-VN"/>
        </w:rPr>
        <w:tab/>
      </w:r>
      <w:r w:rsidR="00661C0A" w:rsidRPr="00B62C1B">
        <w:rPr>
          <w:i/>
          <w:sz w:val="24"/>
          <w:szCs w:val="24"/>
          <w:lang w:val="vi-VN"/>
        </w:rPr>
        <w:t>Nguồn:, OECD</w:t>
      </w:r>
      <w:r w:rsidR="009074A3" w:rsidRPr="00B62C1B">
        <w:rPr>
          <w:i/>
          <w:sz w:val="24"/>
          <w:szCs w:val="24"/>
        </w:rPr>
        <w:t>,</w:t>
      </w:r>
      <w:r w:rsidR="00661C0A" w:rsidRPr="00B62C1B">
        <w:rPr>
          <w:i/>
          <w:sz w:val="24"/>
          <w:szCs w:val="24"/>
        </w:rPr>
        <w:t xml:space="preserve"> IMF</w:t>
      </w:r>
      <w:r w:rsidR="009074A3" w:rsidRPr="00B62C1B">
        <w:rPr>
          <w:i/>
          <w:sz w:val="24"/>
          <w:szCs w:val="24"/>
        </w:rPr>
        <w:t xml:space="preserve">, </w:t>
      </w:r>
      <w:r w:rsidR="00CE2F52" w:rsidRPr="00B62C1B">
        <w:rPr>
          <w:i/>
          <w:sz w:val="24"/>
          <w:szCs w:val="24"/>
          <w:lang w:val="vi-VN"/>
        </w:rPr>
        <w:t xml:space="preserve">UN </w:t>
      </w:r>
      <w:r w:rsidR="009074A3" w:rsidRPr="00B62C1B">
        <w:rPr>
          <w:i/>
          <w:sz w:val="24"/>
          <w:szCs w:val="24"/>
        </w:rPr>
        <w:t>và</w:t>
      </w:r>
      <w:r w:rsidR="009074A3" w:rsidRPr="00B62C1B">
        <w:rPr>
          <w:i/>
          <w:sz w:val="24"/>
          <w:szCs w:val="24"/>
          <w:lang w:val="vi-VN"/>
        </w:rPr>
        <w:t xml:space="preserve"> </w:t>
      </w:r>
      <w:r w:rsidR="00CE2F52" w:rsidRPr="00B62C1B">
        <w:rPr>
          <w:i/>
          <w:sz w:val="24"/>
          <w:szCs w:val="24"/>
        </w:rPr>
        <w:t>FR</w:t>
      </w:r>
    </w:p>
    <w:p w14:paraId="758A097D" w14:textId="60D28015" w:rsidR="00661C0A" w:rsidRPr="00B62C1B" w:rsidRDefault="00661C0A" w:rsidP="00661C0A">
      <w:pPr>
        <w:spacing w:before="90" w:after="90" w:line="240" w:lineRule="auto"/>
        <w:ind w:firstLine="720"/>
        <w:jc w:val="both"/>
      </w:pPr>
      <w:r w:rsidRPr="00B62C1B">
        <w:t>Hình</w:t>
      </w:r>
      <w:r w:rsidRPr="00B62C1B">
        <w:rPr>
          <w:lang w:val="vi-VN"/>
        </w:rPr>
        <w:t xml:space="preserve"> trên cho thấy</w:t>
      </w:r>
      <w:r w:rsidRPr="00B62C1B">
        <w:t xml:space="preserve"> hầu hết các tổ chức quốc tế (OECD</w:t>
      </w:r>
      <w:r w:rsidR="00530186" w:rsidRPr="00B62C1B">
        <w:t>,</w:t>
      </w:r>
      <w:r w:rsidRPr="00B62C1B">
        <w:t xml:space="preserve"> IMF</w:t>
      </w:r>
      <w:r w:rsidR="00530186" w:rsidRPr="00B62C1B">
        <w:t xml:space="preserve"> và UN</w:t>
      </w:r>
      <w:r w:rsidRPr="00B62C1B">
        <w:t>) đều nhận định tốc độ tăng trưởng GDP toàn cầu trong năm 2024 sẽ tương đương mức tăng năm 2023, đạt từ 2,7% đến 3,2%</w:t>
      </w:r>
      <w:r w:rsidR="00530186" w:rsidRPr="00B62C1B">
        <w:t xml:space="preserve">. </w:t>
      </w:r>
      <w:r w:rsidR="00E769D0" w:rsidRPr="00B62C1B">
        <w:t>Riêng</w:t>
      </w:r>
      <w:r w:rsidR="00530186" w:rsidRPr="00B62C1B">
        <w:t xml:space="preserve"> FR dự báo tăng trưởng GDP toàn cầu năm 2024 đạt 2,7 nhưng giảm 0,2 điểm phần trăm so với năm 2023.</w:t>
      </w:r>
      <w:r w:rsidRPr="00B62C1B">
        <w:t xml:space="preserve"> </w:t>
      </w:r>
    </w:p>
    <w:p w14:paraId="4B9AF0E1" w14:textId="77777777" w:rsidR="00661C0A" w:rsidRPr="00B62C1B" w:rsidRDefault="00661C0A" w:rsidP="00661C0A">
      <w:pPr>
        <w:spacing w:before="90" w:after="90" w:line="240" w:lineRule="auto"/>
        <w:ind w:firstLine="720"/>
        <w:jc w:val="both"/>
        <w:rPr>
          <w:b/>
          <w:lang w:val="vi-VN"/>
        </w:rPr>
      </w:pPr>
      <w:r w:rsidRPr="00B62C1B">
        <w:rPr>
          <w:b/>
          <w:lang w:val="vi-VN"/>
        </w:rPr>
        <w:t xml:space="preserve">2. Tổng quan biến động thị trường thế giới </w:t>
      </w:r>
    </w:p>
    <w:p w14:paraId="1217B3F2" w14:textId="77777777" w:rsidR="00661C0A" w:rsidRPr="00B62C1B" w:rsidRDefault="00661C0A" w:rsidP="00661C0A">
      <w:pPr>
        <w:spacing w:before="90" w:after="90" w:line="240" w:lineRule="auto"/>
        <w:ind w:firstLine="720"/>
        <w:jc w:val="both"/>
        <w:rPr>
          <w:b/>
          <w:i/>
          <w:spacing w:val="-6"/>
        </w:rPr>
      </w:pPr>
      <w:r w:rsidRPr="00B62C1B">
        <w:rPr>
          <w:b/>
          <w:i/>
          <w:spacing w:val="-6"/>
          <w:lang w:val="vi-VN"/>
        </w:rPr>
        <w:t xml:space="preserve">Thương mại hàng hóa toàn cầu </w:t>
      </w:r>
      <w:r w:rsidRPr="00B62C1B">
        <w:rPr>
          <w:b/>
          <w:i/>
          <w:spacing w:val="-6"/>
        </w:rPr>
        <w:t xml:space="preserve">cải thiện dần </w:t>
      </w:r>
      <w:r w:rsidRPr="00B62C1B">
        <w:rPr>
          <w:b/>
          <w:i/>
          <w:spacing w:val="-6"/>
          <w:lang w:val="vi-VN"/>
        </w:rPr>
        <w:t>trong</w:t>
      </w:r>
      <w:r w:rsidRPr="00B62C1B">
        <w:rPr>
          <w:b/>
          <w:i/>
          <w:spacing w:val="-6"/>
        </w:rPr>
        <w:t xml:space="preserve"> nửa cuối</w:t>
      </w:r>
      <w:r w:rsidRPr="00B62C1B">
        <w:rPr>
          <w:b/>
          <w:i/>
          <w:spacing w:val="-6"/>
          <w:lang w:val="vi-VN"/>
        </w:rPr>
        <w:t xml:space="preserve"> năm 202</w:t>
      </w:r>
      <w:r w:rsidRPr="00B62C1B">
        <w:rPr>
          <w:b/>
          <w:i/>
          <w:spacing w:val="-6"/>
        </w:rPr>
        <w:t xml:space="preserve">4 </w:t>
      </w:r>
    </w:p>
    <w:p w14:paraId="325EF3FA" w14:textId="61D19723" w:rsidR="00661C0A" w:rsidRPr="00B62C1B" w:rsidRDefault="00172187" w:rsidP="00661C0A">
      <w:pPr>
        <w:spacing w:before="90" w:after="90" w:line="240" w:lineRule="auto"/>
        <w:ind w:firstLine="720"/>
        <w:jc w:val="both"/>
        <w:rPr>
          <w:spacing w:val="-2"/>
        </w:rPr>
      </w:pPr>
      <w:r w:rsidRPr="00B62C1B">
        <w:t>Theo</w:t>
      </w:r>
      <w:r w:rsidR="00661C0A" w:rsidRPr="00B62C1B">
        <w:t xml:space="preserve"> Tổ chức Thương mại Thế giới (WTO)</w:t>
      </w:r>
      <w:r w:rsidR="00661C0A" w:rsidRPr="00B62C1B">
        <w:rPr>
          <w:rStyle w:val="FootnoteReference"/>
        </w:rPr>
        <w:footnoteReference w:id="8"/>
      </w:r>
      <w:r w:rsidR="00661C0A" w:rsidRPr="00B62C1B">
        <w:t xml:space="preserve"> </w:t>
      </w:r>
      <w:r w:rsidRPr="00B62C1B">
        <w:t xml:space="preserve">chỉ số </w:t>
      </w:r>
      <w:r w:rsidRPr="00B62C1B">
        <w:rPr>
          <w:spacing w:val="-2"/>
        </w:rPr>
        <w:t>thương mại hàng hóa</w:t>
      </w:r>
      <w:r w:rsidRPr="00B62C1B">
        <w:t xml:space="preserve"> </w:t>
      </w:r>
      <w:r w:rsidR="00661C0A" w:rsidRPr="00B62C1B">
        <w:t xml:space="preserve">tháng 9/2024 đạt </w:t>
      </w:r>
      <w:r w:rsidR="00167A17" w:rsidRPr="00B62C1B">
        <w:rPr>
          <w:spacing w:val="-2"/>
        </w:rPr>
        <w:t>103,0</w:t>
      </w:r>
      <w:r w:rsidR="00661C0A" w:rsidRPr="00B62C1B">
        <w:rPr>
          <w:spacing w:val="-2"/>
        </w:rPr>
        <w:t xml:space="preserve"> </w:t>
      </w:r>
      <w:r w:rsidRPr="00B62C1B">
        <w:rPr>
          <w:spacing w:val="-2"/>
        </w:rPr>
        <w:t>và</w:t>
      </w:r>
      <w:r w:rsidR="00661C0A" w:rsidRPr="00B62C1B">
        <w:rPr>
          <w:spacing w:val="-2"/>
        </w:rPr>
        <w:t xml:space="preserve"> có xu hướng tăng trong Quý III/2024. Tuy nhiên, triển vọng</w:t>
      </w:r>
      <w:r w:rsidR="0086671A" w:rsidRPr="00B62C1B">
        <w:rPr>
          <w:spacing w:val="-2"/>
        </w:rPr>
        <w:t xml:space="preserve"> tăng</w:t>
      </w:r>
      <w:r w:rsidR="00661C0A" w:rsidRPr="00B62C1B">
        <w:rPr>
          <w:spacing w:val="-2"/>
        </w:rPr>
        <w:t xml:space="preserve"> vẫn chưa chắc chắn do chính sách tiền tệ thay đổi ở các nền kinh tế </w:t>
      </w:r>
      <w:r w:rsidR="00167A17" w:rsidRPr="00B62C1B">
        <w:rPr>
          <w:spacing w:val="-2"/>
        </w:rPr>
        <w:t>phát triển</w:t>
      </w:r>
      <w:r w:rsidR="00661C0A" w:rsidRPr="00B62C1B">
        <w:rPr>
          <w:spacing w:val="-2"/>
        </w:rPr>
        <w:t xml:space="preserve"> và đơn đặt hàng xuất khẩu </w:t>
      </w:r>
      <w:r w:rsidR="00167A17" w:rsidRPr="00B62C1B">
        <w:rPr>
          <w:spacing w:val="-2"/>
        </w:rPr>
        <w:t>giảm</w:t>
      </w:r>
      <w:r w:rsidR="00661C0A" w:rsidRPr="00B62C1B">
        <w:rPr>
          <w:spacing w:val="-2"/>
        </w:rPr>
        <w:t xml:space="preserve">. Phần lớn các chỉ số thành phần đều bằng hoặc trên xu hướng, ngoại trừ chỉ số thành phần điện tử (95,4) dưới xu hướng và đang giảm. Các chỉ số thành phần </w:t>
      </w:r>
      <w:r w:rsidR="0086671A" w:rsidRPr="00B62C1B">
        <w:rPr>
          <w:spacing w:val="-2"/>
        </w:rPr>
        <w:t>của</w:t>
      </w:r>
      <w:r w:rsidR="00661C0A" w:rsidRPr="00B62C1B">
        <w:rPr>
          <w:spacing w:val="-2"/>
        </w:rPr>
        <w:t xml:space="preserve"> sản phẩm ô tô (103,3), vận chuyển container (104,3) và vận tải hàng không (107,1) đều đang vững chắc trên xu hướng, mặc dù các sản phẩm ô tô </w:t>
      </w:r>
      <w:r w:rsidR="00167A17" w:rsidRPr="00B62C1B">
        <w:rPr>
          <w:spacing w:val="-2"/>
        </w:rPr>
        <w:t xml:space="preserve">gần đây </w:t>
      </w:r>
      <w:r w:rsidR="00661C0A" w:rsidRPr="00B62C1B">
        <w:rPr>
          <w:spacing w:val="-2"/>
        </w:rPr>
        <w:t xml:space="preserve">đã </w:t>
      </w:r>
      <w:r w:rsidR="00FC722B" w:rsidRPr="00B62C1B">
        <w:rPr>
          <w:spacing w:val="-2"/>
        </w:rPr>
        <w:t>giảm đà tăng</w:t>
      </w:r>
      <w:r w:rsidR="00661C0A" w:rsidRPr="00B62C1B">
        <w:rPr>
          <w:spacing w:val="-2"/>
        </w:rPr>
        <w:t xml:space="preserve">. Đơn hàng xuất khẩu mới (101,2) có xu hướng </w:t>
      </w:r>
      <w:r w:rsidR="0086671A" w:rsidRPr="00B62C1B">
        <w:rPr>
          <w:spacing w:val="-2"/>
        </w:rPr>
        <w:t>giảm</w:t>
      </w:r>
      <w:r w:rsidR="00661C0A" w:rsidRPr="00B62C1B">
        <w:rPr>
          <w:spacing w:val="-2"/>
        </w:rPr>
        <w:t>. Chỉ số nguyên vật liệu thô (99,3) gần như theo xu hướng nhưng có dấu hiệu giảm trong thời gian tới.</w:t>
      </w:r>
    </w:p>
    <w:p w14:paraId="7FC285F9" w14:textId="04B10D94" w:rsidR="00661C0A" w:rsidRPr="00B62C1B" w:rsidRDefault="00661C0A" w:rsidP="00661C0A">
      <w:pPr>
        <w:spacing w:before="90" w:after="90" w:line="240" w:lineRule="auto"/>
        <w:ind w:firstLine="720"/>
        <w:jc w:val="both"/>
        <w:rPr>
          <w:spacing w:val="-2"/>
        </w:rPr>
      </w:pPr>
      <w:r w:rsidRPr="00B62C1B">
        <w:rPr>
          <w:spacing w:val="-2"/>
        </w:rPr>
        <w:t xml:space="preserve">UN và OECD cũng đồng quan điểm khi </w:t>
      </w:r>
      <w:r w:rsidR="009B0FDA" w:rsidRPr="00B62C1B">
        <w:rPr>
          <w:spacing w:val="-2"/>
        </w:rPr>
        <w:t>nhận định</w:t>
      </w:r>
      <w:r w:rsidRPr="00B62C1B">
        <w:rPr>
          <w:spacing w:val="-2"/>
        </w:rPr>
        <w:t xml:space="preserve"> thương mại toàn cầu tiếp tục </w:t>
      </w:r>
      <w:r w:rsidR="006776E6" w:rsidRPr="00B62C1B">
        <w:rPr>
          <w:spacing w:val="-2"/>
        </w:rPr>
        <w:t xml:space="preserve">phục hồi </w:t>
      </w:r>
      <w:r w:rsidRPr="00B62C1B">
        <w:rPr>
          <w:spacing w:val="-2"/>
        </w:rPr>
        <w:t xml:space="preserve">từ nửa đầu năm 2024, </w:t>
      </w:r>
      <w:r w:rsidR="009B0FDA" w:rsidRPr="00B62C1B">
        <w:rPr>
          <w:spacing w:val="-2"/>
        </w:rPr>
        <w:t xml:space="preserve">thể hiện qua </w:t>
      </w:r>
      <w:r w:rsidRPr="00B62C1B">
        <w:rPr>
          <w:spacing w:val="-2"/>
        </w:rPr>
        <w:t>khối lượng thương mại hàng hóa và dịch vụ</w:t>
      </w:r>
      <w:r w:rsidR="00146474" w:rsidRPr="00B62C1B">
        <w:rPr>
          <w:spacing w:val="-2"/>
        </w:rPr>
        <w:t xml:space="preserve"> tăng</w:t>
      </w:r>
      <w:r w:rsidRPr="00B62C1B">
        <w:rPr>
          <w:spacing w:val="-2"/>
        </w:rPr>
        <w:t>, đặc biệt trong Quý II/2024</w:t>
      </w:r>
      <w:r w:rsidR="00511C90" w:rsidRPr="00B62C1B">
        <w:rPr>
          <w:spacing w:val="-2"/>
        </w:rPr>
        <w:t xml:space="preserve">, </w:t>
      </w:r>
      <w:r w:rsidR="002231DF" w:rsidRPr="00B62C1B">
        <w:rPr>
          <w:spacing w:val="-2"/>
        </w:rPr>
        <w:t>do gia tăng</w:t>
      </w:r>
      <w:r w:rsidR="00511C90" w:rsidRPr="00B62C1B">
        <w:rPr>
          <w:spacing w:val="-2"/>
        </w:rPr>
        <w:t xml:space="preserve"> xuất khẩu của khu vực</w:t>
      </w:r>
      <w:r w:rsidRPr="00B62C1B">
        <w:rPr>
          <w:spacing w:val="-2"/>
        </w:rPr>
        <w:t xml:space="preserve"> </w:t>
      </w:r>
      <w:r w:rsidR="006B08DF" w:rsidRPr="00B62C1B">
        <w:rPr>
          <w:spacing w:val="-2"/>
        </w:rPr>
        <w:t>c</w:t>
      </w:r>
      <w:r w:rsidRPr="00B62C1B">
        <w:rPr>
          <w:spacing w:val="-2"/>
        </w:rPr>
        <w:t>hâu Á và Bắc Mỹ. Tuy nhiên</w:t>
      </w:r>
      <w:r w:rsidR="006776E6" w:rsidRPr="00B62C1B">
        <w:rPr>
          <w:spacing w:val="-2"/>
        </w:rPr>
        <w:t>,</w:t>
      </w:r>
      <w:r w:rsidRPr="00B62C1B">
        <w:rPr>
          <w:spacing w:val="-2"/>
        </w:rPr>
        <w:t xml:space="preserve"> tăng trưởng thương mại dịch vụ đang chậm lại vì hoạt động du lịch gần như </w:t>
      </w:r>
      <w:r w:rsidR="009B0FDA" w:rsidRPr="00B62C1B">
        <w:rPr>
          <w:spacing w:val="-2"/>
        </w:rPr>
        <w:t>quay</w:t>
      </w:r>
      <w:r w:rsidRPr="00B62C1B">
        <w:rPr>
          <w:spacing w:val="-2"/>
        </w:rPr>
        <w:t xml:space="preserve"> </w:t>
      </w:r>
      <w:r w:rsidR="00167A17" w:rsidRPr="00B62C1B">
        <w:rPr>
          <w:spacing w:val="-2"/>
        </w:rPr>
        <w:t>về</w:t>
      </w:r>
      <w:r w:rsidRPr="00B62C1B">
        <w:rPr>
          <w:spacing w:val="-2"/>
        </w:rPr>
        <w:t xml:space="preserve"> mức trước đại dịch ở hầu hết các khu vực. </w:t>
      </w:r>
      <w:r w:rsidR="0086671A" w:rsidRPr="00B62C1B">
        <w:rPr>
          <w:spacing w:val="-2"/>
        </w:rPr>
        <w:t>Chỉ số Nhà quản trị mua hàng (PMI) chế biến, chế tạo toàn cầu tăng trong nửa đầu năm 2024</w:t>
      </w:r>
      <w:r w:rsidR="006776E6" w:rsidRPr="00B62C1B">
        <w:rPr>
          <w:spacing w:val="-2"/>
        </w:rPr>
        <w:t>,</w:t>
      </w:r>
      <w:r w:rsidR="0086671A" w:rsidRPr="00B62C1B">
        <w:rPr>
          <w:spacing w:val="-2"/>
        </w:rPr>
        <w:t xml:space="preserve"> phản ánh </w:t>
      </w:r>
      <w:r w:rsidRPr="00B62C1B">
        <w:rPr>
          <w:spacing w:val="-2"/>
        </w:rPr>
        <w:t xml:space="preserve">thương mại toàn cầu </w:t>
      </w:r>
      <w:r w:rsidR="006776E6" w:rsidRPr="00B62C1B">
        <w:rPr>
          <w:spacing w:val="-2"/>
        </w:rPr>
        <w:t>và</w:t>
      </w:r>
      <w:r w:rsidRPr="00B62C1B">
        <w:rPr>
          <w:spacing w:val="-2"/>
        </w:rPr>
        <w:t xml:space="preserve"> các hoạt động sản xuất</w:t>
      </w:r>
      <w:r w:rsidR="006776E6" w:rsidRPr="00B62C1B">
        <w:rPr>
          <w:spacing w:val="-2"/>
        </w:rPr>
        <w:t xml:space="preserve"> đều tăng</w:t>
      </w:r>
      <w:r w:rsidR="0086671A" w:rsidRPr="00B62C1B">
        <w:rPr>
          <w:spacing w:val="-2"/>
        </w:rPr>
        <w:t>.</w:t>
      </w:r>
      <w:r w:rsidRPr="00B62C1B">
        <w:rPr>
          <w:spacing w:val="-2"/>
        </w:rPr>
        <w:t xml:space="preserve"> Tuy nhiên, sử dụng các biện pháp hạn chế thương mại</w:t>
      </w:r>
      <w:r w:rsidR="009B0FDA" w:rsidRPr="00B62C1B">
        <w:rPr>
          <w:spacing w:val="-2"/>
        </w:rPr>
        <w:t xml:space="preserve"> nhiều hơn</w:t>
      </w:r>
      <w:r w:rsidRPr="00B62C1B">
        <w:rPr>
          <w:spacing w:val="-2"/>
        </w:rPr>
        <w:t xml:space="preserve">, chi phí vận chuyển hàng hóa cao hơn và địa chính trị </w:t>
      </w:r>
      <w:r w:rsidR="009B0FDA" w:rsidRPr="00B62C1B">
        <w:rPr>
          <w:spacing w:val="-2"/>
        </w:rPr>
        <w:t>bất ổn cũng</w:t>
      </w:r>
      <w:r w:rsidRPr="00B62C1B">
        <w:rPr>
          <w:spacing w:val="-2"/>
        </w:rPr>
        <w:t xml:space="preserve"> đe dọa sự phục hồi của thương mại và giá trị sản xuất công nghiệp toàn cầu.</w:t>
      </w:r>
    </w:p>
    <w:p w14:paraId="649A9E96" w14:textId="77777777" w:rsidR="00661C0A" w:rsidRPr="00B62C1B" w:rsidRDefault="00661C0A" w:rsidP="00661C0A">
      <w:pPr>
        <w:spacing w:before="140" w:after="120" w:line="240" w:lineRule="auto"/>
        <w:ind w:firstLine="720"/>
        <w:jc w:val="both"/>
        <w:rPr>
          <w:i/>
        </w:rPr>
      </w:pPr>
      <w:r w:rsidRPr="00B62C1B">
        <w:rPr>
          <w:b/>
          <w:i/>
        </w:rPr>
        <w:t>Lạm phát toàn cầu</w:t>
      </w:r>
      <w:r w:rsidRPr="00B62C1B">
        <w:rPr>
          <w:b/>
          <w:i/>
          <w:lang w:val="vi-VN"/>
        </w:rPr>
        <w:t xml:space="preserve"> </w:t>
      </w:r>
      <w:r w:rsidRPr="00B62C1B">
        <w:rPr>
          <w:b/>
          <w:i/>
        </w:rPr>
        <w:t>tiếp tục</w:t>
      </w:r>
      <w:r w:rsidRPr="00B62C1B">
        <w:rPr>
          <w:b/>
          <w:i/>
          <w:lang w:val="vi-VN"/>
        </w:rPr>
        <w:t xml:space="preserve"> giảm</w:t>
      </w:r>
      <w:r w:rsidRPr="00B62C1B">
        <w:rPr>
          <w:b/>
          <w:i/>
        </w:rPr>
        <w:t xml:space="preserve"> về mức mục tiêu</w:t>
      </w:r>
    </w:p>
    <w:p w14:paraId="1AC2C785" w14:textId="08D53144" w:rsidR="00661C0A" w:rsidRPr="00B62C1B" w:rsidRDefault="009B0FDA" w:rsidP="00661C0A">
      <w:pPr>
        <w:spacing w:before="140" w:after="120" w:line="240" w:lineRule="auto"/>
        <w:ind w:firstLine="720"/>
        <w:jc w:val="both"/>
      </w:pPr>
      <w:r w:rsidRPr="00B62C1B">
        <w:t>Trong</w:t>
      </w:r>
      <w:r w:rsidR="00513B32" w:rsidRPr="00B62C1B">
        <w:t xml:space="preserve"> bối cảnh áp lực giá cả giảm trên diện rộng, </w:t>
      </w:r>
      <w:r w:rsidR="00661C0A" w:rsidRPr="00B62C1B">
        <w:t xml:space="preserve">UN và OECD đều </w:t>
      </w:r>
      <w:r w:rsidRPr="00B62C1B">
        <w:t>nhận định</w:t>
      </w:r>
      <w:r w:rsidR="00661C0A" w:rsidRPr="00B62C1B">
        <w:t xml:space="preserve"> lạm phát toàn cầu tiếp tục giảm trong nửa đầu năm 2024</w:t>
      </w:r>
      <w:r w:rsidR="00513B32" w:rsidRPr="00B62C1B">
        <w:t>.</w:t>
      </w:r>
      <w:r w:rsidR="00661C0A" w:rsidRPr="00B62C1B">
        <w:t xml:space="preserve"> Ở nhiều nước phát triển, lạm phát đang dần tiến gần đến mức mục tiêu của ngân hàng trung ương, </w:t>
      </w:r>
      <w:r w:rsidR="00661C0A" w:rsidRPr="00B62C1B">
        <w:lastRenderedPageBreak/>
        <w:t xml:space="preserve">ngay cả khi tăng tiền lương và giá dịch vụ vẫn ở mức cao. Chỉ số giá chi tiêu dùng cá nhân (PCE) tại Hoa Kỳ và chỉ số giá tiêu dùng hài hòa (HICP) ở khu vực đồng </w:t>
      </w:r>
      <w:r w:rsidR="00167A17" w:rsidRPr="00B62C1B">
        <w:t>E</w:t>
      </w:r>
      <w:r w:rsidR="00661C0A" w:rsidRPr="00B62C1B">
        <w:t>uro trong tháng 6/2024 c</w:t>
      </w:r>
      <w:r w:rsidR="00256183" w:rsidRPr="00B62C1B">
        <w:t>ùng</w:t>
      </w:r>
      <w:r w:rsidR="00661C0A" w:rsidRPr="00B62C1B">
        <w:t xml:space="preserve"> tăng 2,5% so với cùng kỳ năm trước, đang tiến gần đến mục tiêu lạm phát 2</w:t>
      </w:r>
      <w:r w:rsidRPr="00B62C1B">
        <w:t>,0</w:t>
      </w:r>
      <w:r w:rsidR="00661C0A" w:rsidRPr="00B62C1B">
        <w:t>% của các ngân hàng trung ương. Lạm phát ở nhiều nền kinh tế đang phát triển  đã giảm nhưng vẫn cao hơn so với các nền kinh tế phát triển, trừ Trung Quốc đang đối mặt với lạm phát thấp trong bối cảnh nhu cầu tiêu dùng yếu.</w:t>
      </w:r>
    </w:p>
    <w:p w14:paraId="310F10DF" w14:textId="643B1B4D" w:rsidR="009F1B00" w:rsidRPr="00B62C1B" w:rsidRDefault="00661C0A">
      <w:pPr>
        <w:spacing w:before="140" w:after="120" w:line="240" w:lineRule="auto"/>
        <w:ind w:firstLine="720"/>
        <w:jc w:val="both"/>
      </w:pPr>
      <w:r w:rsidRPr="00B62C1B">
        <w:t xml:space="preserve">Báo cáo </w:t>
      </w:r>
      <w:r w:rsidR="006F6FE1" w:rsidRPr="00B62C1B">
        <w:t>t</w:t>
      </w:r>
      <w:r w:rsidRPr="00B62C1B">
        <w:t>oàn cầu hàng tháng của WB</w:t>
      </w:r>
      <w:r w:rsidR="00E218ED" w:rsidRPr="00B62C1B">
        <w:rPr>
          <w:rStyle w:val="FootnoteReference"/>
        </w:rPr>
        <w:footnoteReference w:id="9"/>
      </w:r>
      <w:r w:rsidR="00052257" w:rsidRPr="00B62C1B">
        <w:t xml:space="preserve"> số ra tháng </w:t>
      </w:r>
      <w:r w:rsidR="00E218ED" w:rsidRPr="00B62C1B">
        <w:t>9</w:t>
      </w:r>
      <w:r w:rsidR="00052257" w:rsidRPr="00B62C1B">
        <w:t xml:space="preserve">/2024 </w:t>
      </w:r>
      <w:r w:rsidRPr="00B62C1B">
        <w:t>nhận định</w:t>
      </w:r>
      <w:r w:rsidR="009F1B00" w:rsidRPr="00B62C1B">
        <w:t xml:space="preserve"> </w:t>
      </w:r>
      <w:r w:rsidR="008D007E" w:rsidRPr="00B62C1B">
        <w:t xml:space="preserve">giá năng lượng tiếp tục giảm </w:t>
      </w:r>
      <w:r w:rsidR="00A46947" w:rsidRPr="00B62C1B">
        <w:t xml:space="preserve">trong tháng 9/2024 </w:t>
      </w:r>
      <w:r w:rsidR="009F1B00" w:rsidRPr="00B62C1B">
        <w:t xml:space="preserve">sau khi giảm 3% trong tháng 8/2024. Giá dầu thô Brent giảm từ 81 đô la Mỹ/thùng trong tháng 8/2024 xuống còn 73 đô la Mỹ/thùng vào giữa tháng 9/2024. </w:t>
      </w:r>
      <w:r w:rsidR="006F6FE1" w:rsidRPr="00B62C1B">
        <w:t>G</w:t>
      </w:r>
      <w:r w:rsidR="009F1B00" w:rsidRPr="00B62C1B">
        <w:t xml:space="preserve">iá một số kim loại công nghiệp tăng nhẹ trong tháng 9/2024 khi nhu cầu </w:t>
      </w:r>
      <w:r w:rsidR="006F6FE1" w:rsidRPr="00B62C1B">
        <w:t>tăng lên nhờ</w:t>
      </w:r>
      <w:r w:rsidR="009F1B00" w:rsidRPr="00B62C1B">
        <w:t xml:space="preserve"> các biện pháp kích </w:t>
      </w:r>
      <w:r w:rsidR="00B05E0D" w:rsidRPr="00B62C1B">
        <w:t>cầu</w:t>
      </w:r>
      <w:r w:rsidR="009F1B00" w:rsidRPr="00B62C1B">
        <w:t xml:space="preserve"> kinh tế ở Trung Quốc. Giá vàng </w:t>
      </w:r>
      <w:r w:rsidR="003A3E81" w:rsidRPr="00B62C1B">
        <w:t>lập đỉnh</w:t>
      </w:r>
      <w:r w:rsidR="009F1B00" w:rsidRPr="00B62C1B">
        <w:t xml:space="preserve"> mới vào giữa tháng 9/2024 do nhu cầu </w:t>
      </w:r>
      <w:r w:rsidR="00E33259" w:rsidRPr="00B62C1B">
        <w:t>cao</w:t>
      </w:r>
      <w:r w:rsidR="009F1B00" w:rsidRPr="00B62C1B">
        <w:t xml:space="preserve"> của ngân hàng trung ương và căng thẳng địa chính trị.</w:t>
      </w:r>
    </w:p>
    <w:p w14:paraId="52136AF2" w14:textId="4FE15B5C" w:rsidR="00661C0A" w:rsidRPr="00B62C1B" w:rsidRDefault="00661C0A" w:rsidP="00661C0A">
      <w:pPr>
        <w:spacing w:before="140" w:after="120" w:line="240" w:lineRule="auto"/>
        <w:ind w:firstLine="720"/>
        <w:jc w:val="both"/>
      </w:pPr>
      <w:r w:rsidRPr="00B62C1B">
        <w:t>Giá nông sản</w:t>
      </w:r>
      <w:r w:rsidR="002B3F01" w:rsidRPr="00B62C1B">
        <w:t xml:space="preserve"> trong tháng 9/2024</w:t>
      </w:r>
      <w:r w:rsidR="00E33259" w:rsidRPr="00B62C1B">
        <w:t xml:space="preserve"> tăng trở lại sau khi giảm 1,4% trong tháng 8/2024</w:t>
      </w:r>
      <w:r w:rsidR="00A72DA5" w:rsidRPr="00B62C1B">
        <w:t>. Giá cà phê và lúa mỳ đều tăng do tác động của điều kiện thời tiết khắc nghiệt và gián đoạn nguồn cung</w:t>
      </w:r>
      <w:r w:rsidRPr="00B62C1B">
        <w:t xml:space="preserve">. </w:t>
      </w:r>
      <w:r w:rsidRPr="00B62C1B">
        <w:rPr>
          <w:spacing w:val="-4"/>
        </w:rPr>
        <w:t>Chỉ số giá lương thực, thực phẩm của FAO (FFPI)</w:t>
      </w:r>
      <w:r w:rsidRPr="00B62C1B">
        <w:rPr>
          <w:rStyle w:val="FootnoteReference"/>
          <w:spacing w:val="-4"/>
        </w:rPr>
        <w:footnoteReference w:id="10"/>
      </w:r>
      <w:r w:rsidRPr="00B62C1B">
        <w:rPr>
          <w:spacing w:val="-4"/>
        </w:rPr>
        <w:t xml:space="preserve"> đạt</w:t>
      </w:r>
      <w:r w:rsidRPr="00B62C1B">
        <w:t xml:space="preserve"> 120,7 điểm vào tháng 8/2024, giảm nhẹ so với tháng trước khi chỉ số giá đường, thịt và ngũ cốc giảm nhiều hơn so với mức tăng của dầu thực vật và các sản phẩm từ sữa. Chỉ số</w:t>
      </w:r>
      <w:r w:rsidR="004F5A92" w:rsidRPr="00B62C1B">
        <w:t xml:space="preserve"> FFPI</w:t>
      </w:r>
      <w:r w:rsidRPr="00B62C1B">
        <w:t xml:space="preserve"> trong tháng 8/2024 thấp hơn 1,1% so với cùng kỳ năm trước và thấp hơn 24,7% so với mức đỉnh 160,3 điểm </w:t>
      </w:r>
      <w:r w:rsidR="002231DF" w:rsidRPr="00B62C1B">
        <w:t xml:space="preserve">của </w:t>
      </w:r>
      <w:r w:rsidRPr="00B62C1B">
        <w:t>tháng 3/2022</w:t>
      </w:r>
      <w:r w:rsidRPr="00B62C1B">
        <w:rPr>
          <w:spacing w:val="-4"/>
        </w:rPr>
        <w:t>.</w:t>
      </w:r>
    </w:p>
    <w:p w14:paraId="4DFAB209" w14:textId="77777777" w:rsidR="00661C0A" w:rsidRPr="00B62C1B" w:rsidRDefault="00661C0A" w:rsidP="00661C0A">
      <w:pPr>
        <w:spacing w:before="140" w:after="120" w:line="240" w:lineRule="auto"/>
        <w:ind w:firstLine="720"/>
        <w:jc w:val="both"/>
        <w:rPr>
          <w:b/>
          <w:i/>
        </w:rPr>
      </w:pPr>
      <w:r w:rsidRPr="00B62C1B">
        <w:rPr>
          <w:b/>
          <w:i/>
          <w:lang w:val="vi-VN"/>
        </w:rPr>
        <w:t xml:space="preserve">Điều kiện tài chính vẫn còn hạn chế nhưng đang tiếp tục nới lỏng </w:t>
      </w:r>
    </w:p>
    <w:p w14:paraId="258CE13B" w14:textId="0056C6DC" w:rsidR="00661C0A" w:rsidRPr="00B62C1B" w:rsidRDefault="00661C0A" w:rsidP="00661C0A">
      <w:pPr>
        <w:spacing w:before="140" w:after="120" w:line="240" w:lineRule="auto"/>
        <w:ind w:firstLine="720"/>
        <w:jc w:val="both"/>
      </w:pPr>
      <w:r w:rsidRPr="00B62C1B">
        <w:t xml:space="preserve">OECD cho rằng các điều kiện tài chính toàn cầu vẫn còn hạn chế nhưng đang tiếp tục nới lỏng </w:t>
      </w:r>
      <w:r w:rsidR="00C70FD3" w:rsidRPr="00B62C1B">
        <w:t>và</w:t>
      </w:r>
      <w:r w:rsidRPr="00B62C1B">
        <w:t xml:space="preserve"> lãi suất chính sách sẽ tiếp tục giảm nhanh hơn dự kiến. Lãi suất thực dài hạn vẫn ở mức cao so với thập kỷ trước tại Hoa Kỳ, khu vực đồng </w:t>
      </w:r>
      <w:r w:rsidR="00C15793" w:rsidRPr="00B62C1B">
        <w:t>E</w:t>
      </w:r>
      <w:r w:rsidRPr="00B62C1B">
        <w:t>uro, Vương quốc Anh và các thị trường mới nổi như Bra</w:t>
      </w:r>
      <w:r w:rsidR="00DC5A0C" w:rsidRPr="00B62C1B">
        <w:t>-xin</w:t>
      </w:r>
      <w:r w:rsidRPr="00B62C1B">
        <w:t xml:space="preserve">. Tuy nhiên, lợi suất trái phiếu danh nghĩa dài hạn đã giảm và việc phát hành trái phiếu doanh nghiệp đã tăng lên. Giá cổ phiếu tăng ở Hoa Kỳ cũng như một số thị trường mới nổi bao gồm Ấn Độ, </w:t>
      </w:r>
      <w:r w:rsidR="00DC5A0C" w:rsidRPr="00B62C1B">
        <w:t>Bra-xin</w:t>
      </w:r>
      <w:r w:rsidRPr="00B62C1B">
        <w:t xml:space="preserve"> và Nam Phi. Trong khi tăng trưởng tín dụng bắt đầu phục hồi ở một số nền kinh tế phát triển, các tiêu chuẩn cho vay của ngân hàng vẫn chặt chẽ. </w:t>
      </w:r>
      <w:r w:rsidR="00C70FD3" w:rsidRPr="00B62C1B">
        <w:t xml:space="preserve">Đồng tiền </w:t>
      </w:r>
      <w:r w:rsidRPr="00B62C1B">
        <w:t xml:space="preserve">mất giá ở </w:t>
      </w:r>
      <w:r w:rsidR="00DC5A0C" w:rsidRPr="00B62C1B">
        <w:t>Bra-xin</w:t>
      </w:r>
      <w:r w:rsidRPr="00B62C1B">
        <w:t xml:space="preserve">, </w:t>
      </w:r>
      <w:r w:rsidR="00DC5A0C" w:rsidRPr="00B62C1B">
        <w:t>Ác-hen-ti-na</w:t>
      </w:r>
      <w:r w:rsidRPr="00B62C1B">
        <w:t>, M</w:t>
      </w:r>
      <w:r w:rsidR="00DC5A0C" w:rsidRPr="00B62C1B">
        <w:t>ê-</w:t>
      </w:r>
      <w:r w:rsidRPr="00B62C1B">
        <w:t>xi</w:t>
      </w:r>
      <w:r w:rsidR="00DC5A0C" w:rsidRPr="00B62C1B">
        <w:t>-cô</w:t>
      </w:r>
      <w:r w:rsidRPr="00B62C1B">
        <w:t xml:space="preserve"> và Thổ Nhĩ Kỳ </w:t>
      </w:r>
      <w:r w:rsidR="00C70FD3" w:rsidRPr="00B62C1B">
        <w:t>giúp tăng</w:t>
      </w:r>
      <w:r w:rsidRPr="00B62C1B">
        <w:t xml:space="preserve"> </w:t>
      </w:r>
      <w:r w:rsidR="00C70FD3" w:rsidRPr="00B62C1B">
        <w:t>nguồn</w:t>
      </w:r>
      <w:r w:rsidRPr="00B62C1B">
        <w:t xml:space="preserve"> thu xuất khẩu nhưng </w:t>
      </w:r>
      <w:r w:rsidR="00C70FD3" w:rsidRPr="00B62C1B">
        <w:t xml:space="preserve">cũng </w:t>
      </w:r>
      <w:r w:rsidRPr="00B62C1B">
        <w:t>làm tăng chi phí trả nợ bằng đô la Mỹ và tạo ra áp lực tăng lạm phát. Khủng hoảng nợ công vẫn tiếp diễn ở một số nền kinh tế thị trường mới nổi, đặc biệt ở các nền kinh tế có thu nhập thấp.</w:t>
      </w:r>
    </w:p>
    <w:p w14:paraId="28A965BC" w14:textId="252D85D7" w:rsidR="00661C0A" w:rsidRPr="00B62C1B" w:rsidRDefault="00661C0A" w:rsidP="00661C0A">
      <w:pPr>
        <w:spacing w:before="140" w:after="120" w:line="240" w:lineRule="auto"/>
        <w:ind w:firstLine="720"/>
        <w:jc w:val="both"/>
        <w:rPr>
          <w:spacing w:val="-4"/>
        </w:rPr>
      </w:pPr>
      <w:r w:rsidRPr="00B62C1B">
        <w:t xml:space="preserve">Tương tự, </w:t>
      </w:r>
      <w:r w:rsidRPr="00B62C1B">
        <w:rPr>
          <w:spacing w:val="-4"/>
        </w:rPr>
        <w:t xml:space="preserve">UN nhận định </w:t>
      </w:r>
      <w:r w:rsidR="00DC5A0C" w:rsidRPr="00B62C1B">
        <w:rPr>
          <w:spacing w:val="-4"/>
        </w:rPr>
        <w:t>áp</w:t>
      </w:r>
      <w:r w:rsidRPr="00B62C1B">
        <w:rPr>
          <w:spacing w:val="-4"/>
        </w:rPr>
        <w:t xml:space="preserve"> lực lạm phát giảm</w:t>
      </w:r>
      <w:r w:rsidR="00FA0ECD" w:rsidRPr="00B62C1B">
        <w:rPr>
          <w:spacing w:val="-4"/>
        </w:rPr>
        <w:t>,</w:t>
      </w:r>
      <w:r w:rsidRPr="00B62C1B">
        <w:rPr>
          <w:spacing w:val="-4"/>
        </w:rPr>
        <w:t xml:space="preserve"> tạo điều kiện nới lỏng tiền tệ ở nhiều quốc gia. Trong nửa đầu năm 2024, số lượng ngân hàng trung ương hạ lãi suất nhiều hơn so với tăng lãi suất. </w:t>
      </w:r>
      <w:r w:rsidR="00C70FD3" w:rsidRPr="00B62C1B">
        <w:rPr>
          <w:spacing w:val="-4"/>
        </w:rPr>
        <w:t>Tuy nhiên, do</w:t>
      </w:r>
      <w:r w:rsidRPr="00B62C1B">
        <w:rPr>
          <w:spacing w:val="-4"/>
        </w:rPr>
        <w:t xml:space="preserve"> lạm phát cơ bản và lạm phát </w:t>
      </w:r>
      <w:r w:rsidR="00FC722B" w:rsidRPr="00B62C1B">
        <w:rPr>
          <w:spacing w:val="-4"/>
        </w:rPr>
        <w:t xml:space="preserve">giá </w:t>
      </w:r>
      <w:r w:rsidRPr="00B62C1B">
        <w:rPr>
          <w:spacing w:val="-4"/>
        </w:rPr>
        <w:t xml:space="preserve">dịch vụ giảm </w:t>
      </w:r>
      <w:r w:rsidR="00DC5A0C" w:rsidRPr="00B62C1B">
        <w:rPr>
          <w:spacing w:val="-4"/>
        </w:rPr>
        <w:t xml:space="preserve">không nhiều </w:t>
      </w:r>
      <w:r w:rsidRPr="00B62C1B">
        <w:rPr>
          <w:spacing w:val="-4"/>
        </w:rPr>
        <w:t xml:space="preserve">nên các cơ quan tiền tệ nhìn chung vẫn thận trọng trong việc cắt </w:t>
      </w:r>
      <w:r w:rsidRPr="00B62C1B">
        <w:rPr>
          <w:spacing w:val="-4"/>
        </w:rPr>
        <w:lastRenderedPageBreak/>
        <w:t xml:space="preserve">giảm lãi suất. Tốc độ nới lỏng tiền tệ của các ngân hàng trung ương </w:t>
      </w:r>
      <w:r w:rsidR="00877157" w:rsidRPr="00B62C1B">
        <w:rPr>
          <w:spacing w:val="-4"/>
        </w:rPr>
        <w:t>tại</w:t>
      </w:r>
      <w:r w:rsidRPr="00B62C1B">
        <w:rPr>
          <w:spacing w:val="-4"/>
        </w:rPr>
        <w:t xml:space="preserve"> các nước phát triển trong các quý tới sẽ phụ thuộc vào</w:t>
      </w:r>
      <w:r w:rsidR="00F333C9" w:rsidRPr="00B62C1B">
        <w:rPr>
          <w:spacing w:val="-4"/>
        </w:rPr>
        <w:t xml:space="preserve"> diễn biến</w:t>
      </w:r>
      <w:r w:rsidR="002F5BAD" w:rsidRPr="00B62C1B">
        <w:rPr>
          <w:spacing w:val="-4"/>
        </w:rPr>
        <w:t xml:space="preserve"> của</w:t>
      </w:r>
      <w:r w:rsidRPr="00B62C1B">
        <w:rPr>
          <w:spacing w:val="-4"/>
        </w:rPr>
        <w:t xml:space="preserve"> giảm</w:t>
      </w:r>
      <w:r w:rsidR="00936320" w:rsidRPr="00B62C1B">
        <w:rPr>
          <w:spacing w:val="-4"/>
        </w:rPr>
        <w:t xml:space="preserve"> lạm</w:t>
      </w:r>
      <w:r w:rsidRPr="00B62C1B">
        <w:rPr>
          <w:spacing w:val="-4"/>
        </w:rPr>
        <w:t xml:space="preserve"> phát và những thay đổi tiềm ẩn trong triển vọng tăng trưởng và việc làm. Trái ngược với các ngân hàng trung ương của các nước phát triển khác, Ngân hàng Nhật Bản bắt đầu chu kỳ thắt chặt</w:t>
      </w:r>
      <w:r w:rsidR="00F333C9" w:rsidRPr="00B62C1B">
        <w:rPr>
          <w:spacing w:val="-4"/>
        </w:rPr>
        <w:t xml:space="preserve"> tiền tệ</w:t>
      </w:r>
      <w:r w:rsidRPr="00B62C1B">
        <w:rPr>
          <w:spacing w:val="-4"/>
        </w:rPr>
        <w:t>, tăng lãi suất vào tháng 3 và tháng 7</w:t>
      </w:r>
      <w:r w:rsidR="00F333C9" w:rsidRPr="00B62C1B">
        <w:rPr>
          <w:spacing w:val="-4"/>
        </w:rPr>
        <w:t xml:space="preserve"> năm 2024</w:t>
      </w:r>
      <w:r w:rsidR="002F5BAD" w:rsidRPr="00B62C1B">
        <w:rPr>
          <w:spacing w:val="-4"/>
        </w:rPr>
        <w:t xml:space="preserve"> </w:t>
      </w:r>
      <w:r w:rsidRPr="00B62C1B">
        <w:rPr>
          <w:spacing w:val="-4"/>
        </w:rPr>
        <w:t>để hỗ trợ đồng yên và ứng phó với lạm phát tăng.</w:t>
      </w:r>
    </w:p>
    <w:p w14:paraId="05B093D9" w14:textId="5E7458FA" w:rsidR="00661C0A" w:rsidRPr="00B62C1B" w:rsidRDefault="00661C0A" w:rsidP="003F531A">
      <w:pPr>
        <w:spacing w:before="90" w:after="0" w:line="240" w:lineRule="auto"/>
        <w:ind w:firstLine="720"/>
        <w:jc w:val="both"/>
        <w:rPr>
          <w:b/>
          <w:i/>
        </w:rPr>
      </w:pPr>
      <w:r w:rsidRPr="00B62C1B">
        <w:rPr>
          <w:b/>
          <w:i/>
        </w:rPr>
        <w:t xml:space="preserve">Áp lực thị trường lao động giảm </w:t>
      </w:r>
      <w:r w:rsidR="00936320" w:rsidRPr="00B62C1B">
        <w:rPr>
          <w:b/>
          <w:i/>
        </w:rPr>
        <w:t>một phần do tăng cung lao động</w:t>
      </w:r>
    </w:p>
    <w:p w14:paraId="6224A84C" w14:textId="1497CB83" w:rsidR="00661C0A" w:rsidRPr="00B62C1B" w:rsidRDefault="00661C0A" w:rsidP="003F531A">
      <w:pPr>
        <w:spacing w:before="90" w:after="0" w:line="240" w:lineRule="auto"/>
        <w:ind w:firstLine="720"/>
        <w:jc w:val="both"/>
        <w:rPr>
          <w:spacing w:val="-4"/>
        </w:rPr>
      </w:pPr>
      <w:r w:rsidRPr="00B62C1B">
        <w:rPr>
          <w:spacing w:val="-4"/>
        </w:rPr>
        <w:t xml:space="preserve">Theo OECD, áp lực thị trường lao động giảm bớtdo nguồn cung lao động tăng. Tình trạng thiếu hụt lao động cũng tiếp tục giảm nhẹ ở nhiều nền kinh tế phát triển khi tỷ lệ thất nghiệp </w:t>
      </w:r>
      <w:r w:rsidR="0026729A" w:rsidRPr="00B62C1B">
        <w:rPr>
          <w:spacing w:val="-4"/>
        </w:rPr>
        <w:t xml:space="preserve">chỉ </w:t>
      </w:r>
      <w:r w:rsidRPr="00B62C1B">
        <w:rPr>
          <w:spacing w:val="-4"/>
        </w:rPr>
        <w:t xml:space="preserve">tăng </w:t>
      </w:r>
      <w:r w:rsidR="0026729A" w:rsidRPr="00B62C1B">
        <w:rPr>
          <w:spacing w:val="-4"/>
        </w:rPr>
        <w:t xml:space="preserve">khoảng </w:t>
      </w:r>
      <w:r w:rsidRPr="00B62C1B">
        <w:rPr>
          <w:spacing w:val="-4"/>
        </w:rPr>
        <w:t xml:space="preserve">0,5 điểm phần trăm tại </w:t>
      </w:r>
      <w:r w:rsidR="00DC5A0C" w:rsidRPr="00B62C1B">
        <w:rPr>
          <w:spacing w:val="-4"/>
        </w:rPr>
        <w:t>Ác-hen-ti-na</w:t>
      </w:r>
      <w:r w:rsidRPr="00B62C1B">
        <w:rPr>
          <w:spacing w:val="-4"/>
        </w:rPr>
        <w:t>, Ca</w:t>
      </w:r>
      <w:r w:rsidR="00DC5A0C" w:rsidRPr="00B62C1B">
        <w:rPr>
          <w:spacing w:val="-4"/>
        </w:rPr>
        <w:t>-</w:t>
      </w:r>
      <w:r w:rsidRPr="00B62C1B">
        <w:rPr>
          <w:spacing w:val="-4"/>
        </w:rPr>
        <w:t>na</w:t>
      </w:r>
      <w:r w:rsidR="00DC5A0C" w:rsidRPr="00B62C1B">
        <w:rPr>
          <w:spacing w:val="-4"/>
        </w:rPr>
        <w:t>-</w:t>
      </w:r>
      <w:r w:rsidR="002F5BAD" w:rsidRPr="00B62C1B">
        <w:rPr>
          <w:spacing w:val="-4"/>
        </w:rPr>
        <w:t>đ</w:t>
      </w:r>
      <w:r w:rsidRPr="00B62C1B">
        <w:rPr>
          <w:spacing w:val="-4"/>
        </w:rPr>
        <w:t xml:space="preserve">a, Nam Phi, Thổ Nhĩ Kỳ và Hoa Kỳ trong Quý II/2024. Điều này phản ánh nhu cầu </w:t>
      </w:r>
      <w:r w:rsidR="0026729A" w:rsidRPr="00B62C1B">
        <w:rPr>
          <w:spacing w:val="-4"/>
        </w:rPr>
        <w:t xml:space="preserve">lao động </w:t>
      </w:r>
      <w:r w:rsidRPr="00B62C1B">
        <w:rPr>
          <w:spacing w:val="-4"/>
        </w:rPr>
        <w:t xml:space="preserve">đang giảm nhẹ, với tốc độ tăng trưởng việc làm chậm lại ở một số quốc gia. Ngoài ra, lao động nước ngoài </w:t>
      </w:r>
      <w:r w:rsidR="002F38C6" w:rsidRPr="00B62C1B">
        <w:rPr>
          <w:spacing w:val="-4"/>
        </w:rPr>
        <w:t>tăng</w:t>
      </w:r>
      <w:r w:rsidR="00FA0ECD" w:rsidRPr="00B62C1B">
        <w:rPr>
          <w:spacing w:val="-4"/>
        </w:rPr>
        <w:t>,</w:t>
      </w:r>
      <w:r w:rsidRPr="00B62C1B">
        <w:rPr>
          <w:spacing w:val="-4"/>
        </w:rPr>
        <w:t xml:space="preserve"> chiếm phần lớn mức tăng trưởng của lực lượng lao động tại Úc, Ca</w:t>
      </w:r>
      <w:r w:rsidR="00DC5A0C" w:rsidRPr="00B62C1B">
        <w:rPr>
          <w:spacing w:val="-4"/>
        </w:rPr>
        <w:t>-</w:t>
      </w:r>
      <w:r w:rsidRPr="00B62C1B">
        <w:rPr>
          <w:spacing w:val="-4"/>
        </w:rPr>
        <w:t>na</w:t>
      </w:r>
      <w:r w:rsidR="00DC5A0C" w:rsidRPr="00B62C1B">
        <w:rPr>
          <w:spacing w:val="-4"/>
        </w:rPr>
        <w:t>-</w:t>
      </w:r>
      <w:r w:rsidR="002F5BAD" w:rsidRPr="00B62C1B">
        <w:rPr>
          <w:spacing w:val="-4"/>
        </w:rPr>
        <w:t>đ</w:t>
      </w:r>
      <w:r w:rsidRPr="00B62C1B">
        <w:rPr>
          <w:spacing w:val="-4"/>
        </w:rPr>
        <w:t xml:space="preserve">a, Hoa Kỳ và nhiều nước châu Âu. </w:t>
      </w:r>
    </w:p>
    <w:p w14:paraId="33595BDA" w14:textId="77777777" w:rsidR="00661C0A" w:rsidRPr="00B62C1B" w:rsidRDefault="00661C0A" w:rsidP="003F531A">
      <w:pPr>
        <w:spacing w:before="90" w:after="0" w:line="240" w:lineRule="auto"/>
        <w:ind w:firstLine="720"/>
        <w:jc w:val="both"/>
        <w:rPr>
          <w:rFonts w:eastAsia="Times New Roman"/>
          <w:b/>
          <w:spacing w:val="-2"/>
          <w:szCs w:val="28"/>
          <w:lang w:val="vi-VN"/>
        </w:rPr>
      </w:pPr>
      <w:r w:rsidRPr="00B62C1B">
        <w:rPr>
          <w:rFonts w:eastAsia="Times New Roman"/>
          <w:b/>
          <w:spacing w:val="-2"/>
          <w:szCs w:val="28"/>
        </w:rPr>
        <w:t xml:space="preserve">3. </w:t>
      </w:r>
      <w:r w:rsidRPr="00B62C1B">
        <w:rPr>
          <w:rFonts w:eastAsia="Times New Roman"/>
          <w:b/>
          <w:spacing w:val="-2"/>
          <w:szCs w:val="28"/>
          <w:lang w:val="vi-VN"/>
        </w:rPr>
        <w:t>Một số nhân tố rủi ro tác động tới triển vọng kinh tế thế giới</w:t>
      </w:r>
    </w:p>
    <w:p w14:paraId="062597C9" w14:textId="2888825B" w:rsidR="00661C0A" w:rsidRPr="00B62C1B" w:rsidRDefault="00353D04" w:rsidP="003F531A">
      <w:pPr>
        <w:spacing w:before="90" w:after="0" w:line="240" w:lineRule="auto"/>
        <w:ind w:firstLine="720"/>
        <w:jc w:val="both"/>
        <w:rPr>
          <w:rFonts w:eastAsia="Times New Roman"/>
          <w:szCs w:val="28"/>
          <w:lang w:val="vi-VN"/>
        </w:rPr>
      </w:pPr>
      <w:r w:rsidRPr="00B62C1B">
        <w:rPr>
          <w:rFonts w:eastAsia="Times New Roman"/>
          <w:szCs w:val="28"/>
        </w:rPr>
        <w:t>T</w:t>
      </w:r>
      <w:r w:rsidR="00661C0A" w:rsidRPr="00B62C1B">
        <w:rPr>
          <w:rFonts w:eastAsia="Times New Roman"/>
          <w:szCs w:val="28"/>
        </w:rPr>
        <w:t>rong ngắn hạn</w:t>
      </w:r>
      <w:r w:rsidR="002F5BAD" w:rsidRPr="00B62C1B">
        <w:rPr>
          <w:rFonts w:eastAsia="Times New Roman"/>
          <w:szCs w:val="28"/>
        </w:rPr>
        <w:t>,</w:t>
      </w:r>
      <w:r w:rsidR="00661C0A" w:rsidRPr="00B62C1B">
        <w:rPr>
          <w:rFonts w:eastAsia="Times New Roman"/>
          <w:szCs w:val="28"/>
        </w:rPr>
        <w:t xml:space="preserve"> IMF đề cập đến </w:t>
      </w:r>
      <w:r w:rsidR="002F5BAD" w:rsidRPr="00B62C1B">
        <w:rPr>
          <w:rFonts w:eastAsia="Times New Roman"/>
          <w:szCs w:val="28"/>
        </w:rPr>
        <w:t>ba</w:t>
      </w:r>
      <w:r w:rsidR="00661C0A" w:rsidRPr="00B62C1B">
        <w:rPr>
          <w:rFonts w:eastAsia="Times New Roman"/>
          <w:szCs w:val="28"/>
          <w:lang w:val="vi-VN"/>
        </w:rPr>
        <w:t xml:space="preserve"> rủi ro </w:t>
      </w:r>
      <w:r w:rsidR="002F5BAD" w:rsidRPr="00B62C1B">
        <w:rPr>
          <w:rFonts w:eastAsia="Times New Roman"/>
          <w:szCs w:val="28"/>
        </w:rPr>
        <w:t xml:space="preserve">chính </w:t>
      </w:r>
      <w:r w:rsidRPr="00B62C1B">
        <w:rPr>
          <w:rFonts w:eastAsia="Times New Roman"/>
          <w:szCs w:val="28"/>
        </w:rPr>
        <w:t xml:space="preserve">đối với triển vọng tăng trưởng kinh tế thế giới </w:t>
      </w:r>
      <w:r w:rsidR="00661C0A" w:rsidRPr="00B62C1B">
        <w:rPr>
          <w:rFonts w:eastAsia="Times New Roman"/>
          <w:szCs w:val="28"/>
        </w:rPr>
        <w:t>như sau</w:t>
      </w:r>
      <w:r w:rsidR="00661C0A" w:rsidRPr="00B62C1B">
        <w:rPr>
          <w:rFonts w:eastAsia="Times New Roman"/>
          <w:szCs w:val="28"/>
          <w:lang w:val="vi-VN"/>
        </w:rPr>
        <w:t xml:space="preserve">. </w:t>
      </w:r>
    </w:p>
    <w:p w14:paraId="6B3CA879" w14:textId="73D79160" w:rsidR="00661C0A" w:rsidRPr="00B62C1B" w:rsidRDefault="00661C0A" w:rsidP="003F531A">
      <w:pPr>
        <w:spacing w:before="90" w:after="0" w:line="240" w:lineRule="auto"/>
        <w:ind w:firstLine="720"/>
        <w:jc w:val="both"/>
        <w:rPr>
          <w:rFonts w:eastAsia="Times New Roman"/>
          <w:szCs w:val="28"/>
          <w:lang w:val="vi-VN"/>
        </w:rPr>
      </w:pPr>
      <w:r w:rsidRPr="00B62C1B">
        <w:rPr>
          <w:rFonts w:eastAsia="Times New Roman"/>
          <w:i/>
          <w:szCs w:val="28"/>
        </w:rPr>
        <w:t>Thứ nhất</w:t>
      </w:r>
      <w:r w:rsidRPr="00B62C1B">
        <w:rPr>
          <w:rFonts w:eastAsia="Times New Roman"/>
          <w:szCs w:val="28"/>
        </w:rPr>
        <w:t xml:space="preserve">, </w:t>
      </w:r>
      <w:r w:rsidRPr="00B62C1B">
        <w:rPr>
          <w:rFonts w:eastAsia="Times New Roman"/>
          <w:i/>
          <w:szCs w:val="28"/>
          <w:lang w:val="vi-VN"/>
        </w:rPr>
        <w:t xml:space="preserve">rủi ro lạm phát </w:t>
      </w:r>
      <w:r w:rsidR="007A2B32" w:rsidRPr="00B62C1B">
        <w:rPr>
          <w:rFonts w:eastAsia="Times New Roman"/>
          <w:i/>
          <w:szCs w:val="28"/>
          <w:lang w:val="vi-VN"/>
        </w:rPr>
        <w:t xml:space="preserve">tăng </w:t>
      </w:r>
      <w:r w:rsidRPr="00B62C1B">
        <w:rPr>
          <w:rFonts w:eastAsia="Times New Roman"/>
          <w:i/>
          <w:szCs w:val="28"/>
        </w:rPr>
        <w:t>do giá dịch vụ giảm chậm và</w:t>
      </w:r>
      <w:r w:rsidRPr="00B62C1B">
        <w:rPr>
          <w:rFonts w:eastAsia="Times New Roman"/>
          <w:i/>
          <w:szCs w:val="28"/>
          <w:lang w:val="vi-VN"/>
        </w:rPr>
        <w:t xml:space="preserve"> áp lực giá phát sinh từ căng thẳng thương mại hoặc địa chính trị</w:t>
      </w:r>
      <w:r w:rsidRPr="00B62C1B">
        <w:rPr>
          <w:rFonts w:eastAsia="Times New Roman"/>
          <w:szCs w:val="28"/>
          <w:lang w:val="vi-VN"/>
        </w:rPr>
        <w:t xml:space="preserve">. Rủi ro lạm phát dai dẳng trong lĩnh vực dịch vụ gắn liền với việc thiết lập </w:t>
      </w:r>
      <w:r w:rsidR="00193935" w:rsidRPr="00B62C1B">
        <w:rPr>
          <w:rFonts w:eastAsia="Times New Roman"/>
          <w:szCs w:val="28"/>
        </w:rPr>
        <w:t xml:space="preserve">mặt bằng </w:t>
      </w:r>
      <w:r w:rsidRPr="00B62C1B">
        <w:rPr>
          <w:rFonts w:eastAsia="Times New Roman"/>
          <w:szCs w:val="28"/>
          <w:lang w:val="vi-VN"/>
        </w:rPr>
        <w:t xml:space="preserve">tiền lương và giá cả vì </w:t>
      </w:r>
      <w:r w:rsidR="007A2B32" w:rsidRPr="00B62C1B">
        <w:rPr>
          <w:rFonts w:eastAsia="Times New Roman"/>
          <w:szCs w:val="28"/>
        </w:rPr>
        <w:t xml:space="preserve">chi phí cho </w:t>
      </w:r>
      <w:r w:rsidRPr="00B62C1B">
        <w:rPr>
          <w:rFonts w:eastAsia="Times New Roman"/>
          <w:szCs w:val="28"/>
          <w:lang w:val="vi-VN"/>
        </w:rPr>
        <w:t xml:space="preserve">lao động chiếm tỷ trọng lớn trong chi phí </w:t>
      </w:r>
      <w:r w:rsidRPr="00B62C1B">
        <w:rPr>
          <w:rFonts w:eastAsia="Times New Roman"/>
          <w:szCs w:val="28"/>
        </w:rPr>
        <w:t>dịch vụ</w:t>
      </w:r>
      <w:r w:rsidRPr="00B62C1B">
        <w:rPr>
          <w:rFonts w:eastAsia="Times New Roman"/>
          <w:szCs w:val="28"/>
          <w:lang w:val="vi-VN"/>
        </w:rPr>
        <w:t xml:space="preserve">. Căng thẳng thương mại leo thang có thể làm tăng thêm rủi ro lạm phát trong ngắn hạn </w:t>
      </w:r>
      <w:r w:rsidR="007A2B32" w:rsidRPr="00B62C1B">
        <w:rPr>
          <w:rFonts w:eastAsia="Times New Roman"/>
          <w:szCs w:val="28"/>
        </w:rPr>
        <w:t>do</w:t>
      </w:r>
      <w:r w:rsidRPr="00B62C1B">
        <w:rPr>
          <w:rFonts w:eastAsia="Times New Roman"/>
          <w:szCs w:val="28"/>
          <w:lang w:val="vi-VN"/>
        </w:rPr>
        <w:t xml:space="preserve"> làm tăng chi phí hàng hóa nhập khẩu theo chuỗi cung ứng.</w:t>
      </w:r>
    </w:p>
    <w:p w14:paraId="11181B7A" w14:textId="794AA003" w:rsidR="00661C0A" w:rsidRPr="00B62C1B" w:rsidRDefault="00661C0A" w:rsidP="003F531A">
      <w:pPr>
        <w:spacing w:before="90" w:after="0" w:line="240" w:lineRule="auto"/>
        <w:ind w:firstLine="720"/>
        <w:jc w:val="both"/>
        <w:rPr>
          <w:rFonts w:eastAsia="Times New Roman"/>
          <w:szCs w:val="28"/>
        </w:rPr>
      </w:pPr>
      <w:r w:rsidRPr="00B62C1B">
        <w:rPr>
          <w:rFonts w:eastAsia="Times New Roman"/>
          <w:i/>
          <w:szCs w:val="28"/>
        </w:rPr>
        <w:t>Thứ hai</w:t>
      </w:r>
      <w:r w:rsidRPr="00B62C1B">
        <w:rPr>
          <w:rFonts w:eastAsia="Times New Roman"/>
          <w:szCs w:val="28"/>
        </w:rPr>
        <w:t xml:space="preserve">, </w:t>
      </w:r>
      <w:r w:rsidR="00CF0968" w:rsidRPr="00B62C1B">
        <w:rPr>
          <w:rFonts w:eastAsia="Times New Roman"/>
          <w:i/>
          <w:szCs w:val="28"/>
        </w:rPr>
        <w:t xml:space="preserve">nguy cơ </w:t>
      </w:r>
      <w:r w:rsidR="00CF0968" w:rsidRPr="00B62C1B">
        <w:rPr>
          <w:rFonts w:eastAsia="Times New Roman"/>
          <w:i/>
          <w:szCs w:val="28"/>
          <w:lang w:val="vi-VN"/>
        </w:rPr>
        <w:t xml:space="preserve">lãi suất </w:t>
      </w:r>
      <w:r w:rsidR="007A2B32" w:rsidRPr="00B62C1B">
        <w:rPr>
          <w:rFonts w:eastAsia="Times New Roman"/>
          <w:i/>
          <w:szCs w:val="28"/>
        </w:rPr>
        <w:t>tăng</w:t>
      </w:r>
      <w:r w:rsidR="007A2B32" w:rsidRPr="00B62C1B">
        <w:rPr>
          <w:rFonts w:eastAsia="Times New Roman"/>
          <w:i/>
          <w:szCs w:val="28"/>
          <w:lang w:val="vi-VN"/>
        </w:rPr>
        <w:t xml:space="preserve"> </w:t>
      </w:r>
      <w:r w:rsidR="00CF0968" w:rsidRPr="00B62C1B">
        <w:rPr>
          <w:rFonts w:eastAsia="Times New Roman"/>
          <w:i/>
          <w:szCs w:val="28"/>
          <w:lang w:val="vi-VN"/>
        </w:rPr>
        <w:t>cao hơn trong thời gian dài hơn</w:t>
      </w:r>
      <w:r w:rsidR="00CF0968" w:rsidRPr="00B62C1B">
        <w:rPr>
          <w:rFonts w:eastAsia="Times New Roman"/>
          <w:i/>
          <w:szCs w:val="28"/>
        </w:rPr>
        <w:t xml:space="preserve"> do </w:t>
      </w:r>
      <w:r w:rsidRPr="00B62C1B">
        <w:rPr>
          <w:rFonts w:eastAsia="Times New Roman"/>
          <w:i/>
          <w:szCs w:val="28"/>
        </w:rPr>
        <w:t>r</w:t>
      </w:r>
      <w:r w:rsidRPr="00B62C1B">
        <w:rPr>
          <w:rFonts w:eastAsia="Times New Roman"/>
          <w:i/>
          <w:szCs w:val="28"/>
          <w:lang w:val="vi-VN"/>
        </w:rPr>
        <w:t>ủi ro lạm phát gia tăng, từ đó làm tăng rủi ro tài chính</w:t>
      </w:r>
      <w:r w:rsidRPr="00B62C1B">
        <w:rPr>
          <w:rFonts w:eastAsia="Times New Roman"/>
          <w:szCs w:val="28"/>
          <w:lang w:val="vi-VN"/>
        </w:rPr>
        <w:t xml:space="preserve">. </w:t>
      </w:r>
      <w:r w:rsidR="007A2B32" w:rsidRPr="00B62C1B">
        <w:rPr>
          <w:rFonts w:eastAsia="Times New Roman"/>
          <w:szCs w:val="28"/>
        </w:rPr>
        <w:t>Đ</w:t>
      </w:r>
      <w:r w:rsidRPr="00B62C1B">
        <w:rPr>
          <w:rFonts w:eastAsia="Times New Roman"/>
          <w:szCs w:val="28"/>
          <w:lang w:val="vi-VN"/>
        </w:rPr>
        <w:t xml:space="preserve">ồng đô la </w:t>
      </w:r>
      <w:r w:rsidR="007A2B32" w:rsidRPr="00B62C1B">
        <w:rPr>
          <w:rFonts w:eastAsia="Times New Roman"/>
          <w:szCs w:val="28"/>
        </w:rPr>
        <w:t xml:space="preserve">Mỹ tăng giá </w:t>
      </w:r>
      <w:r w:rsidRPr="00B62C1B">
        <w:rPr>
          <w:rFonts w:eastAsia="Times New Roman"/>
          <w:szCs w:val="28"/>
        </w:rPr>
        <w:t xml:space="preserve">do </w:t>
      </w:r>
      <w:r w:rsidRPr="00B62C1B">
        <w:rPr>
          <w:rFonts w:eastAsia="Times New Roman"/>
          <w:szCs w:val="28"/>
          <w:lang w:val="vi-VN"/>
        </w:rPr>
        <w:t xml:space="preserve">chênh lệch lãi suất có thể làm gián đoạn dòng vốn và cản trở </w:t>
      </w:r>
      <w:r w:rsidR="003021F4" w:rsidRPr="00B62C1B">
        <w:rPr>
          <w:rFonts w:eastAsia="Times New Roman"/>
          <w:szCs w:val="28"/>
          <w:lang w:val="vi-VN"/>
        </w:rPr>
        <w:t xml:space="preserve">chính sách </w:t>
      </w:r>
      <w:r w:rsidRPr="00B62C1B">
        <w:rPr>
          <w:rFonts w:eastAsia="Times New Roman"/>
          <w:szCs w:val="28"/>
          <w:lang w:val="vi-VN"/>
        </w:rPr>
        <w:t>nới lỏng tiền tệ theo kế hoạch, điều này có thể tác động tiêu cực đến tăng trưởng. Lãi suất cao liên tục có thể làm tăng thêm chi phí vay và ảnh hưởng đến ổn định tài chính nếu những cải thiện về tài chính không bù đắp được lãi suất thực cao hơn trong bối cảnh tăng trưởng tiềm năng thấp hơn.</w:t>
      </w:r>
      <w:r w:rsidR="007A2B32" w:rsidRPr="00B62C1B">
        <w:rPr>
          <w:rFonts w:eastAsia="Times New Roman"/>
          <w:szCs w:val="28"/>
        </w:rPr>
        <w:t xml:space="preserve"> </w:t>
      </w:r>
      <w:r w:rsidR="003021F4" w:rsidRPr="00B62C1B">
        <w:rPr>
          <w:rFonts w:eastAsia="Times New Roman"/>
          <w:szCs w:val="28"/>
        </w:rPr>
        <w:t xml:space="preserve"> </w:t>
      </w:r>
    </w:p>
    <w:p w14:paraId="262B1792" w14:textId="3897EDFA" w:rsidR="005744EE" w:rsidRPr="00B62C1B" w:rsidRDefault="00661C0A" w:rsidP="003F531A">
      <w:pPr>
        <w:spacing w:before="90" w:after="0" w:line="240" w:lineRule="auto"/>
        <w:ind w:firstLine="720"/>
        <w:jc w:val="both"/>
        <w:rPr>
          <w:b/>
          <w:szCs w:val="28"/>
        </w:rPr>
      </w:pPr>
      <w:r w:rsidRPr="00B62C1B">
        <w:rPr>
          <w:rFonts w:eastAsia="Times New Roman"/>
          <w:i/>
          <w:szCs w:val="28"/>
        </w:rPr>
        <w:t>Thứ ba</w:t>
      </w:r>
      <w:r w:rsidRPr="00B62C1B">
        <w:rPr>
          <w:rFonts w:eastAsia="Times New Roman"/>
          <w:szCs w:val="28"/>
        </w:rPr>
        <w:t xml:space="preserve">, </w:t>
      </w:r>
      <w:r w:rsidRPr="00B62C1B">
        <w:rPr>
          <w:rFonts w:eastAsia="Times New Roman"/>
          <w:i/>
          <w:szCs w:val="28"/>
          <w:lang w:val="vi-VN"/>
        </w:rPr>
        <w:t xml:space="preserve">có </w:t>
      </w:r>
      <w:r w:rsidR="007A2B32" w:rsidRPr="00B62C1B">
        <w:rPr>
          <w:rFonts w:eastAsia="Times New Roman"/>
          <w:i/>
          <w:szCs w:val="28"/>
        </w:rPr>
        <w:t xml:space="preserve">thể có </w:t>
      </w:r>
      <w:r w:rsidRPr="00B62C1B">
        <w:rPr>
          <w:rFonts w:eastAsia="Times New Roman"/>
          <w:i/>
          <w:szCs w:val="28"/>
          <w:lang w:val="vi-VN"/>
        </w:rPr>
        <w:t xml:space="preserve">những thay đổi đáng kể trong chính sách kinh tế </w:t>
      </w:r>
      <w:r w:rsidR="007A2B32" w:rsidRPr="00B62C1B">
        <w:rPr>
          <w:rFonts w:eastAsia="Times New Roman"/>
          <w:i/>
          <w:szCs w:val="28"/>
        </w:rPr>
        <w:t>xuất phát từ</w:t>
      </w:r>
      <w:r w:rsidR="007A2B32" w:rsidRPr="00B62C1B">
        <w:rPr>
          <w:rFonts w:eastAsia="Times New Roman"/>
          <w:i/>
          <w:szCs w:val="28"/>
          <w:lang w:val="vi-VN"/>
        </w:rPr>
        <w:t xml:space="preserve"> </w:t>
      </w:r>
      <w:r w:rsidRPr="00B62C1B">
        <w:rPr>
          <w:rFonts w:eastAsia="Times New Roman"/>
          <w:i/>
          <w:szCs w:val="28"/>
          <w:lang w:val="vi-VN"/>
        </w:rPr>
        <w:t>kết quả của các cuộc bầu cử năm nay, với những tác động tiêu cực đến phần còn lại của thế giới</w:t>
      </w:r>
      <w:r w:rsidRPr="00B62C1B">
        <w:rPr>
          <w:rFonts w:eastAsia="Times New Roman"/>
          <w:szCs w:val="28"/>
          <w:lang w:val="vi-VN"/>
        </w:rPr>
        <w:t xml:space="preserve">. Những thay đổi tiềm </w:t>
      </w:r>
      <w:r w:rsidR="000D4181" w:rsidRPr="00B62C1B">
        <w:rPr>
          <w:rFonts w:eastAsia="Times New Roman"/>
          <w:szCs w:val="28"/>
        </w:rPr>
        <w:t>ẩn</w:t>
      </w:r>
      <w:r w:rsidRPr="00B62C1B">
        <w:rPr>
          <w:rFonts w:eastAsia="Times New Roman"/>
          <w:szCs w:val="28"/>
          <w:lang w:val="vi-VN"/>
        </w:rPr>
        <w:t xml:space="preserve"> kéo theo rủi ro tài chính sẽ làm trầm trọng thêm </w:t>
      </w:r>
      <w:r w:rsidRPr="00B62C1B">
        <w:rPr>
          <w:rFonts w:eastAsia="Times New Roman"/>
          <w:szCs w:val="28"/>
        </w:rPr>
        <w:t>gánh nặng</w:t>
      </w:r>
      <w:r w:rsidRPr="00B62C1B">
        <w:rPr>
          <w:rFonts w:eastAsia="Times New Roman"/>
          <w:szCs w:val="28"/>
          <w:lang w:val="vi-VN"/>
        </w:rPr>
        <w:t xml:space="preserve"> nợ và đẩy mạnh chủ nghĩa bảo hộ. Thuế quan thương mại, cùng với việc mở rộng các chính sách công nghiệp trên toàn thế giới, có thể tạo ra những tác động</w:t>
      </w:r>
      <w:r w:rsidR="000D4181" w:rsidRPr="00B62C1B">
        <w:rPr>
          <w:rFonts w:eastAsia="Times New Roman"/>
          <w:szCs w:val="28"/>
        </w:rPr>
        <w:t xml:space="preserve"> </w:t>
      </w:r>
      <w:r w:rsidR="007A2B32" w:rsidRPr="00B62C1B">
        <w:rPr>
          <w:rFonts w:eastAsia="Times New Roman"/>
          <w:szCs w:val="28"/>
        </w:rPr>
        <w:t>tiêu cực</w:t>
      </w:r>
      <w:r w:rsidR="000D4181" w:rsidRPr="00B62C1B">
        <w:rPr>
          <w:rFonts w:eastAsia="Times New Roman"/>
          <w:szCs w:val="28"/>
        </w:rPr>
        <w:t xml:space="preserve"> </w:t>
      </w:r>
      <w:r w:rsidR="000D4181" w:rsidRPr="00B62C1B">
        <w:rPr>
          <w:rFonts w:eastAsia="Times New Roman"/>
          <w:szCs w:val="28"/>
          <w:lang w:val="vi-VN"/>
        </w:rPr>
        <w:t>lan tỏa xuyên biên giới</w:t>
      </w:r>
      <w:r w:rsidRPr="00B62C1B">
        <w:rPr>
          <w:rFonts w:eastAsia="Times New Roman"/>
          <w:szCs w:val="28"/>
          <w:lang w:val="vi-VN"/>
        </w:rPr>
        <w:t xml:space="preserve">, cũng như kích hoạt sự trả đũa, dẫn đến một cuộc chạy đua tốn kém. </w:t>
      </w:r>
    </w:p>
    <w:p w14:paraId="0A42FD45" w14:textId="77777777" w:rsidR="00C82BCF" w:rsidRPr="00B62C1B" w:rsidRDefault="00C82BCF" w:rsidP="003F531A">
      <w:pPr>
        <w:spacing w:before="90" w:after="0" w:line="240" w:lineRule="auto"/>
        <w:ind w:firstLine="720"/>
        <w:rPr>
          <w:b/>
          <w:szCs w:val="28"/>
          <w:lang w:val="vi-VN"/>
        </w:rPr>
      </w:pPr>
      <w:r w:rsidRPr="00B62C1B">
        <w:rPr>
          <w:b/>
          <w:szCs w:val="28"/>
          <w:lang w:val="vi-VN"/>
        </w:rPr>
        <w:t>II. TĂNG TRƯỞNG CỦA MỘT SỐ NỀN KINH TẾ</w:t>
      </w:r>
    </w:p>
    <w:p w14:paraId="46FAF1AB" w14:textId="77777777" w:rsidR="00FA4E92" w:rsidRPr="00B62C1B" w:rsidRDefault="00FA4E92" w:rsidP="003F531A">
      <w:pPr>
        <w:spacing w:before="90" w:after="0" w:line="240" w:lineRule="auto"/>
        <w:ind w:firstLine="720"/>
        <w:jc w:val="both"/>
        <w:rPr>
          <w:b/>
          <w:szCs w:val="28"/>
          <w:lang w:val="vi-VN"/>
        </w:rPr>
      </w:pPr>
      <w:r w:rsidRPr="00B62C1B">
        <w:rPr>
          <w:b/>
          <w:szCs w:val="28"/>
          <w:lang w:val="vi-VN"/>
        </w:rPr>
        <w:t>1. Hoa Kỳ</w:t>
      </w:r>
    </w:p>
    <w:p w14:paraId="14F85B90" w14:textId="7385FA58" w:rsidR="00FF372E" w:rsidRPr="00B62C1B" w:rsidRDefault="00FF372E" w:rsidP="003F531A">
      <w:pPr>
        <w:spacing w:before="90" w:after="0" w:line="240" w:lineRule="auto"/>
        <w:ind w:firstLine="720"/>
        <w:jc w:val="both"/>
      </w:pPr>
      <w:r w:rsidRPr="00B62C1B">
        <w:rPr>
          <w:i/>
        </w:rPr>
        <w:t>IMF</w:t>
      </w:r>
      <w:r w:rsidRPr="00B62C1B">
        <w:t xml:space="preserve"> </w:t>
      </w:r>
      <w:r w:rsidR="007A2B32" w:rsidRPr="00B62C1B">
        <w:t>dự báo</w:t>
      </w:r>
      <w:r w:rsidRPr="00B62C1B">
        <w:t xml:space="preserve"> tăng trưởng GDP của Hoa Kỳ đạt 2,</w:t>
      </w:r>
      <w:r w:rsidR="004E6C75" w:rsidRPr="00B62C1B">
        <w:t>6</w:t>
      </w:r>
      <w:r w:rsidRPr="00B62C1B">
        <w:t xml:space="preserve">% năm 2024, điều chỉnh </w:t>
      </w:r>
      <w:r w:rsidR="004E6C75" w:rsidRPr="00B62C1B">
        <w:t>giảm 0,1</w:t>
      </w:r>
      <w:r w:rsidRPr="00B62C1B">
        <w:t xml:space="preserve"> điểm phần trăm so với dự báo trong tháng </w:t>
      </w:r>
      <w:r w:rsidR="004E6C75" w:rsidRPr="00B62C1B">
        <w:t>4</w:t>
      </w:r>
      <w:r w:rsidRPr="00B62C1B">
        <w:t xml:space="preserve">/2024, phản ánh kết quả tăng trưởng </w:t>
      </w:r>
      <w:r w:rsidR="004E6C75" w:rsidRPr="00B62C1B">
        <w:t>chậm</w:t>
      </w:r>
      <w:r w:rsidRPr="00B62C1B">
        <w:t xml:space="preserve"> hơn dự kiến </w:t>
      </w:r>
      <w:r w:rsidR="00684BFB" w:rsidRPr="00B62C1B">
        <w:t>trong những tháng đầu năm 2024</w:t>
      </w:r>
      <w:r w:rsidRPr="00B62C1B">
        <w:t xml:space="preserve">. </w:t>
      </w:r>
    </w:p>
    <w:p w14:paraId="4BFF294A" w14:textId="7ABCD770" w:rsidR="00FC28FA" w:rsidRPr="00B62C1B" w:rsidRDefault="00876EA9" w:rsidP="009E3468">
      <w:pPr>
        <w:spacing w:before="100" w:after="100" w:line="240" w:lineRule="auto"/>
        <w:ind w:firstLine="720"/>
        <w:jc w:val="both"/>
        <w:rPr>
          <w:spacing w:val="-4"/>
        </w:rPr>
      </w:pPr>
      <w:r w:rsidRPr="00B62C1B">
        <w:rPr>
          <w:i/>
          <w:spacing w:val="-4"/>
        </w:rPr>
        <w:lastRenderedPageBreak/>
        <w:t>OECD</w:t>
      </w:r>
      <w:r w:rsidR="00CB4100" w:rsidRPr="00B62C1B">
        <w:rPr>
          <w:i/>
          <w:spacing w:val="-4"/>
        </w:rPr>
        <w:t xml:space="preserve"> </w:t>
      </w:r>
      <w:r w:rsidR="00CB4100" w:rsidRPr="00B62C1B">
        <w:rPr>
          <w:spacing w:val="-4"/>
        </w:rPr>
        <w:t xml:space="preserve">dự báo </w:t>
      </w:r>
      <w:r w:rsidR="007A2B32" w:rsidRPr="00B62C1B">
        <w:rPr>
          <w:spacing w:val="-4"/>
        </w:rPr>
        <w:t>nền kinh tế</w:t>
      </w:r>
      <w:r w:rsidR="00E548B3" w:rsidRPr="00B62C1B">
        <w:rPr>
          <w:spacing w:val="-4"/>
        </w:rPr>
        <w:t xml:space="preserve"> Hoa Kỳ </w:t>
      </w:r>
      <w:r w:rsidR="007A2B32" w:rsidRPr="00B62C1B">
        <w:rPr>
          <w:spacing w:val="-4"/>
        </w:rPr>
        <w:t xml:space="preserve">tăng trưởng </w:t>
      </w:r>
      <w:r w:rsidR="0041220B" w:rsidRPr="00B62C1B">
        <w:rPr>
          <w:spacing w:val="-4"/>
        </w:rPr>
        <w:t xml:space="preserve">2,6% </w:t>
      </w:r>
      <w:r w:rsidR="007A2B32" w:rsidRPr="00B62C1B">
        <w:rPr>
          <w:spacing w:val="-4"/>
        </w:rPr>
        <w:t xml:space="preserve">năm 2024, </w:t>
      </w:r>
      <w:r w:rsidR="0041220B" w:rsidRPr="00B62C1B">
        <w:rPr>
          <w:spacing w:val="-4"/>
        </w:rPr>
        <w:t xml:space="preserve">giữ nguyên so với dự báo đưa ra trong tháng 5/2024. Mặc dù </w:t>
      </w:r>
      <w:r w:rsidR="00696019" w:rsidRPr="00B62C1B">
        <w:rPr>
          <w:spacing w:val="-4"/>
        </w:rPr>
        <w:t>nới lỏng chính sách tiền tệ</w:t>
      </w:r>
      <w:r w:rsidR="0041220B" w:rsidRPr="00B62C1B">
        <w:rPr>
          <w:spacing w:val="-4"/>
        </w:rPr>
        <w:t xml:space="preserve"> sẽ hỗ trợ tăng trưởng nhưng </w:t>
      </w:r>
      <w:r w:rsidR="00CB4100" w:rsidRPr="00B62C1B">
        <w:rPr>
          <w:spacing w:val="-4"/>
        </w:rPr>
        <w:t>tăng trưởng</w:t>
      </w:r>
      <w:r w:rsidR="0041220B" w:rsidRPr="00B62C1B">
        <w:rPr>
          <w:spacing w:val="-4"/>
        </w:rPr>
        <w:t xml:space="preserve"> </w:t>
      </w:r>
      <w:r w:rsidR="007A2B32" w:rsidRPr="00B62C1B">
        <w:rPr>
          <w:spacing w:val="-4"/>
        </w:rPr>
        <w:t xml:space="preserve">GDP của </w:t>
      </w:r>
      <w:r w:rsidR="0041220B" w:rsidRPr="00B62C1B">
        <w:rPr>
          <w:spacing w:val="-4"/>
        </w:rPr>
        <w:t xml:space="preserve">Hoa Kỳ vẫn sẽ chậm lại </w:t>
      </w:r>
      <w:r w:rsidR="00C23BA9" w:rsidRPr="00B62C1B">
        <w:rPr>
          <w:spacing w:val="-4"/>
        </w:rPr>
        <w:t xml:space="preserve">trong </w:t>
      </w:r>
      <w:r w:rsidR="0041220B" w:rsidRPr="00B62C1B">
        <w:rPr>
          <w:spacing w:val="-4"/>
        </w:rPr>
        <w:t>năm 2024</w:t>
      </w:r>
      <w:r w:rsidR="00696019" w:rsidRPr="00B62C1B">
        <w:rPr>
          <w:spacing w:val="-4"/>
        </w:rPr>
        <w:t xml:space="preserve">.  </w:t>
      </w:r>
    </w:p>
    <w:p w14:paraId="07F90618" w14:textId="7ED44EA9" w:rsidR="00FF372E" w:rsidRPr="00B62C1B" w:rsidRDefault="009061C2" w:rsidP="009E3468">
      <w:pPr>
        <w:spacing w:before="100" w:after="100" w:line="240" w:lineRule="auto"/>
        <w:ind w:firstLine="720"/>
        <w:jc w:val="both"/>
      </w:pPr>
      <w:r w:rsidRPr="00B62C1B">
        <w:rPr>
          <w:i/>
          <w:szCs w:val="28"/>
        </w:rPr>
        <w:t xml:space="preserve">Theo </w:t>
      </w:r>
      <w:r w:rsidR="00FF372E" w:rsidRPr="00B62C1B">
        <w:rPr>
          <w:i/>
          <w:szCs w:val="28"/>
        </w:rPr>
        <w:t>UN</w:t>
      </w:r>
      <w:r w:rsidRPr="00B62C1B">
        <w:rPr>
          <w:i/>
          <w:szCs w:val="28"/>
        </w:rPr>
        <w:t xml:space="preserve">, </w:t>
      </w:r>
      <w:r w:rsidRPr="00B62C1B">
        <w:rPr>
          <w:szCs w:val="28"/>
        </w:rPr>
        <w:t>t</w:t>
      </w:r>
      <w:r w:rsidR="00854197" w:rsidRPr="00B62C1B">
        <w:rPr>
          <w:szCs w:val="28"/>
        </w:rPr>
        <w:t>ốc độ t</w:t>
      </w:r>
      <w:r w:rsidR="00FF372E" w:rsidRPr="00B62C1B">
        <w:rPr>
          <w:szCs w:val="28"/>
        </w:rPr>
        <w:t>ăng trưởng</w:t>
      </w:r>
      <w:r w:rsidR="00854197" w:rsidRPr="00B62C1B">
        <w:rPr>
          <w:szCs w:val="28"/>
        </w:rPr>
        <w:t xml:space="preserve"> vượt xa kỳ vọng trong nửa đầu năm 2024 là </w:t>
      </w:r>
      <w:r w:rsidR="00FF372E" w:rsidRPr="00B62C1B">
        <w:t xml:space="preserve">yếu tố tích cực </w:t>
      </w:r>
      <w:r w:rsidR="00CB4100" w:rsidRPr="00B62C1B">
        <w:t xml:space="preserve">để </w:t>
      </w:r>
      <w:r w:rsidR="003021F4" w:rsidRPr="00B62C1B">
        <w:t xml:space="preserve">UN </w:t>
      </w:r>
      <w:r w:rsidR="00FF372E" w:rsidRPr="00B62C1B">
        <w:t>đánh giá lạc quan</w:t>
      </w:r>
      <w:r w:rsidR="00854197" w:rsidRPr="00B62C1B">
        <w:t xml:space="preserve"> hơn</w:t>
      </w:r>
      <w:r w:rsidR="00FF372E" w:rsidRPr="00B62C1B">
        <w:t xml:space="preserve"> về tăng trưởng của nền kinh tế Hoa Kỳ năm 2024 so với dự báo </w:t>
      </w:r>
      <w:r w:rsidRPr="00B62C1B">
        <w:t>trong tháng 5/2024</w:t>
      </w:r>
      <w:r w:rsidR="007A2B32" w:rsidRPr="00B62C1B">
        <w:t>. T</w:t>
      </w:r>
      <w:r w:rsidRPr="00B62C1B">
        <w:t>uy nhiên</w:t>
      </w:r>
      <w:r w:rsidR="007A2B32" w:rsidRPr="00B62C1B">
        <w:t>,</w:t>
      </w:r>
      <w:r w:rsidRPr="00B62C1B">
        <w:t xml:space="preserve"> thị trường lao động suy yếu</w:t>
      </w:r>
      <w:r w:rsidR="00297380" w:rsidRPr="00B62C1B">
        <w:t>,</w:t>
      </w:r>
      <w:r w:rsidRPr="00B62C1B">
        <w:t xml:space="preserve"> nhu cầu của khu vực tư nhân </w:t>
      </w:r>
      <w:r w:rsidR="003021F4" w:rsidRPr="00B62C1B">
        <w:t xml:space="preserve">dự kiến sẽ </w:t>
      </w:r>
      <w:r w:rsidRPr="00B62C1B">
        <w:t>chậm lại trong những tháng cuối năm</w:t>
      </w:r>
      <w:r w:rsidR="00C17CDD" w:rsidRPr="00B62C1B">
        <w:t xml:space="preserve"> kết hợp với việc F</w:t>
      </w:r>
      <w:r w:rsidR="008578E6" w:rsidRPr="00B62C1B">
        <w:t>ED</w:t>
      </w:r>
      <w:r w:rsidR="00C17CDD" w:rsidRPr="00B62C1B">
        <w:t xml:space="preserve"> cắt giảm lãi suất 0,5 điểm</w:t>
      </w:r>
      <w:r w:rsidR="00914B6D" w:rsidRPr="00B62C1B">
        <w:t xml:space="preserve"> cơ bản</w:t>
      </w:r>
      <w:r w:rsidR="00C17CDD" w:rsidRPr="00B62C1B">
        <w:t xml:space="preserve"> vào ngày 18/9/2024 do lạm phát dần đạt mức mục tiêu 2</w:t>
      </w:r>
      <w:r w:rsidR="007A2B32" w:rsidRPr="00B62C1B">
        <w:t>,0</w:t>
      </w:r>
      <w:r w:rsidR="00C17CDD" w:rsidRPr="00B62C1B">
        <w:t>% và rủi ro suy thoái gia tăng</w:t>
      </w:r>
      <w:r w:rsidRPr="00B62C1B">
        <w:t xml:space="preserve"> sẽ kéo đà tăng trưởng này chậm lại</w:t>
      </w:r>
      <w:r w:rsidR="00FF372E" w:rsidRPr="00B62C1B">
        <w:t>.</w:t>
      </w:r>
      <w:r w:rsidRPr="00B62C1B">
        <w:t xml:space="preserve"> Do đó, </w:t>
      </w:r>
      <w:r w:rsidR="00CB4100" w:rsidRPr="00B62C1B">
        <w:rPr>
          <w:szCs w:val="28"/>
        </w:rPr>
        <w:t>trong báo cáo Tình hình và triển vọng kinh tế thế giới tháng 9/2024</w:t>
      </w:r>
      <w:r w:rsidR="007A2B32" w:rsidRPr="00B62C1B">
        <w:rPr>
          <w:szCs w:val="28"/>
        </w:rPr>
        <w:t>,</w:t>
      </w:r>
      <w:r w:rsidR="00CB4100" w:rsidRPr="00B62C1B">
        <w:rPr>
          <w:szCs w:val="28"/>
        </w:rPr>
        <w:t xml:space="preserve"> </w:t>
      </w:r>
      <w:r w:rsidRPr="00B62C1B">
        <w:t xml:space="preserve">UN </w:t>
      </w:r>
      <w:r w:rsidRPr="00B62C1B">
        <w:rPr>
          <w:szCs w:val="28"/>
        </w:rPr>
        <w:t xml:space="preserve">dự báo nền kinh tế Hoa Kỳ đạt mức tăng trưởng 2,5% năm 2024,  điều chỉnh tăng 0,2 điểm phần trăm so với dự báo trước đó. </w:t>
      </w:r>
      <w:r w:rsidR="00FF372E" w:rsidRPr="00B62C1B">
        <w:t xml:space="preserve"> </w:t>
      </w:r>
    </w:p>
    <w:p w14:paraId="40D64A7D" w14:textId="33B7A088" w:rsidR="009D558D" w:rsidRPr="00B62C1B" w:rsidRDefault="009D558D" w:rsidP="009E3468">
      <w:pPr>
        <w:spacing w:before="100" w:after="100" w:line="240" w:lineRule="auto"/>
        <w:ind w:firstLine="720"/>
        <w:jc w:val="both"/>
      </w:pPr>
      <w:r w:rsidRPr="00B62C1B">
        <w:rPr>
          <w:i/>
        </w:rPr>
        <w:t>ADB</w:t>
      </w:r>
      <w:r w:rsidR="004504A7" w:rsidRPr="00B62C1B">
        <w:t xml:space="preserve"> dự báo tăng trưởng kinh tế Hoa Kỳ</w:t>
      </w:r>
      <w:r w:rsidR="009921FB" w:rsidRPr="00B62C1B">
        <w:t xml:space="preserve"> năm 2024</w:t>
      </w:r>
      <w:r w:rsidR="003C0374" w:rsidRPr="00B62C1B">
        <w:t xml:space="preserve"> đạt</w:t>
      </w:r>
      <w:r w:rsidR="004504A7" w:rsidRPr="00B62C1B">
        <w:t xml:space="preserve"> </w:t>
      </w:r>
      <w:r w:rsidR="00F2005F" w:rsidRPr="00B62C1B">
        <w:t>2,</w:t>
      </w:r>
      <w:r w:rsidR="000251F8" w:rsidRPr="00B62C1B">
        <w:t>4</w:t>
      </w:r>
      <w:r w:rsidR="004504A7" w:rsidRPr="00B62C1B">
        <w:t>%</w:t>
      </w:r>
      <w:r w:rsidR="003C0374" w:rsidRPr="00B62C1B">
        <w:t xml:space="preserve">, điều chỉnh </w:t>
      </w:r>
      <w:r w:rsidR="00F2005F" w:rsidRPr="00B62C1B">
        <w:t>tăng</w:t>
      </w:r>
      <w:r w:rsidR="003C0374" w:rsidRPr="00B62C1B">
        <w:t xml:space="preserve"> 0,</w:t>
      </w:r>
      <w:r w:rsidR="000251F8" w:rsidRPr="00B62C1B">
        <w:t xml:space="preserve">4 </w:t>
      </w:r>
      <w:r w:rsidR="003C0374" w:rsidRPr="00B62C1B">
        <w:t xml:space="preserve">điểm phần trăm so với dự báo đưa ra </w:t>
      </w:r>
      <w:r w:rsidR="007A2B32" w:rsidRPr="00B62C1B">
        <w:t>vào</w:t>
      </w:r>
      <w:r w:rsidR="00C32F87" w:rsidRPr="00B62C1B">
        <w:t xml:space="preserve"> </w:t>
      </w:r>
      <w:r w:rsidR="003C0374" w:rsidRPr="00B62C1B">
        <w:t xml:space="preserve">tháng </w:t>
      </w:r>
      <w:r w:rsidR="000251F8" w:rsidRPr="00B62C1B">
        <w:t>7</w:t>
      </w:r>
      <w:r w:rsidR="00F2005F" w:rsidRPr="00B62C1B">
        <w:t xml:space="preserve">/2024, </w:t>
      </w:r>
      <w:r w:rsidR="0010023D" w:rsidRPr="00B62C1B">
        <w:t>nhờ</w:t>
      </w:r>
      <w:r w:rsidR="00F2005F" w:rsidRPr="00B62C1B">
        <w:t xml:space="preserve"> </w:t>
      </w:r>
      <w:r w:rsidR="000251F8" w:rsidRPr="00B62C1B">
        <w:t xml:space="preserve">tiêu dùng cá nhân và đầu tư </w:t>
      </w:r>
      <w:r w:rsidR="0010023D" w:rsidRPr="00B62C1B">
        <w:t xml:space="preserve">phục hồi vững chắc </w:t>
      </w:r>
      <w:r w:rsidR="000251F8" w:rsidRPr="00B62C1B">
        <w:t>trong nửa đầu năm 2024</w:t>
      </w:r>
      <w:r w:rsidR="003C0374" w:rsidRPr="00B62C1B">
        <w:t>.</w:t>
      </w:r>
      <w:r w:rsidR="000251F8" w:rsidRPr="00B62C1B">
        <w:t xml:space="preserve"> FED bắt đầu thực hiện </w:t>
      </w:r>
      <w:r w:rsidR="0053044C" w:rsidRPr="00B62C1B">
        <w:t xml:space="preserve">nới lỏng </w:t>
      </w:r>
      <w:r w:rsidR="000251F8" w:rsidRPr="00B62C1B">
        <w:t xml:space="preserve">chính sách tiền tệ từ tháng 9/2024 thông qua </w:t>
      </w:r>
      <w:r w:rsidR="006D2DC2" w:rsidRPr="00B62C1B">
        <w:t>giảm</w:t>
      </w:r>
      <w:r w:rsidR="0053044C" w:rsidRPr="00B62C1B">
        <w:t xml:space="preserve"> lãi suất 0,5% </w:t>
      </w:r>
      <w:r w:rsidR="000251F8" w:rsidRPr="00B62C1B">
        <w:t xml:space="preserve">nhằm hỗ trợ thị trường lao động và dự kiến sẽ tiếp tục cắt giảm </w:t>
      </w:r>
      <w:r w:rsidR="00FF1CE8" w:rsidRPr="00B62C1B">
        <w:t xml:space="preserve">lãi suất </w:t>
      </w:r>
      <w:r w:rsidR="000251F8" w:rsidRPr="00B62C1B">
        <w:t xml:space="preserve">trong </w:t>
      </w:r>
      <w:r w:rsidR="0053044C" w:rsidRPr="00B62C1B">
        <w:t xml:space="preserve">những tháng cuối </w:t>
      </w:r>
      <w:r w:rsidR="000251F8" w:rsidRPr="00B62C1B">
        <w:t xml:space="preserve">năm 2024 và năm 2025. </w:t>
      </w:r>
    </w:p>
    <w:p w14:paraId="12A13DC2" w14:textId="3D9315B8" w:rsidR="00921737" w:rsidRPr="00B62C1B" w:rsidRDefault="003B6132" w:rsidP="009E3468">
      <w:pPr>
        <w:spacing w:before="100" w:after="100" w:line="240" w:lineRule="auto"/>
        <w:ind w:firstLine="720"/>
        <w:jc w:val="both"/>
      </w:pPr>
      <w:r w:rsidRPr="00B62C1B">
        <w:rPr>
          <w:i/>
          <w:szCs w:val="28"/>
        </w:rPr>
        <w:t>Trading Economics</w:t>
      </w:r>
      <w:r w:rsidRPr="00B62C1B">
        <w:rPr>
          <w:rStyle w:val="FootnoteReference"/>
        </w:rPr>
        <w:footnoteReference w:id="11"/>
      </w:r>
      <w:r w:rsidRPr="00B62C1B">
        <w:rPr>
          <w:szCs w:val="28"/>
        </w:rPr>
        <w:t xml:space="preserve"> dự báo tăng trưởng GDP Quý II</w:t>
      </w:r>
      <w:r w:rsidR="00914F3E" w:rsidRPr="00B62C1B">
        <w:rPr>
          <w:szCs w:val="28"/>
        </w:rPr>
        <w:t>I</w:t>
      </w:r>
      <w:r w:rsidRPr="00B62C1B">
        <w:rPr>
          <w:szCs w:val="28"/>
        </w:rPr>
        <w:t>/2024 của Hoa Kỳ tăng 1,</w:t>
      </w:r>
      <w:r w:rsidR="00914F3E" w:rsidRPr="00B62C1B">
        <w:rPr>
          <w:szCs w:val="28"/>
        </w:rPr>
        <w:t>2</w:t>
      </w:r>
      <w:r w:rsidRPr="00B62C1B">
        <w:rPr>
          <w:szCs w:val="28"/>
        </w:rPr>
        <w:t>% so với quý trước và tăng 2,</w:t>
      </w:r>
      <w:r w:rsidR="00914F3E" w:rsidRPr="00B62C1B">
        <w:rPr>
          <w:szCs w:val="28"/>
        </w:rPr>
        <w:t>7</w:t>
      </w:r>
      <w:r w:rsidRPr="00B62C1B">
        <w:rPr>
          <w:szCs w:val="28"/>
        </w:rPr>
        <w:t>% so với cùng kỳ năm 2023.</w:t>
      </w:r>
      <w:r w:rsidR="00CB4100" w:rsidRPr="00B62C1B">
        <w:rPr>
          <w:i/>
        </w:rPr>
        <w:t xml:space="preserve"> </w:t>
      </w:r>
      <w:r w:rsidR="00CB4100" w:rsidRPr="00B62C1B">
        <w:t>C</w:t>
      </w:r>
      <w:r w:rsidR="00921737" w:rsidRPr="00B62C1B">
        <w:t>hỉ số PMI tổng hợp</w:t>
      </w:r>
      <w:r w:rsidR="006E6488" w:rsidRPr="00B62C1B">
        <w:t xml:space="preserve"> của</w:t>
      </w:r>
      <w:r w:rsidR="00921737" w:rsidRPr="00B62C1B">
        <w:t xml:space="preserve"> Hoa Kỳ tháng </w:t>
      </w:r>
      <w:r w:rsidR="00C23BA9" w:rsidRPr="00B62C1B">
        <w:t>9</w:t>
      </w:r>
      <w:r w:rsidR="00921737" w:rsidRPr="00B62C1B">
        <w:t>/2024 đạt 54,</w:t>
      </w:r>
      <w:r w:rsidR="00C23BA9" w:rsidRPr="00B62C1B">
        <w:t>4</w:t>
      </w:r>
      <w:r w:rsidRPr="00B62C1B">
        <w:t xml:space="preserve"> điểm</w:t>
      </w:r>
      <w:r w:rsidR="00921737" w:rsidRPr="00B62C1B">
        <w:t xml:space="preserve">, </w:t>
      </w:r>
      <w:r w:rsidR="00C23BA9" w:rsidRPr="00B62C1B">
        <w:t>giảm</w:t>
      </w:r>
      <w:r w:rsidR="00921737" w:rsidRPr="00B62C1B">
        <w:t xml:space="preserve"> </w:t>
      </w:r>
      <w:r w:rsidR="00CF1C13" w:rsidRPr="00B62C1B">
        <w:t>nhẹ</w:t>
      </w:r>
      <w:r w:rsidRPr="00B62C1B">
        <w:t xml:space="preserve"> </w:t>
      </w:r>
      <w:r w:rsidR="00921737" w:rsidRPr="00B62C1B">
        <w:t>so với mức 54,</w:t>
      </w:r>
      <w:r w:rsidR="00C23BA9" w:rsidRPr="00B62C1B">
        <w:t>6</w:t>
      </w:r>
      <w:r w:rsidR="006E6488" w:rsidRPr="00B62C1B">
        <w:t xml:space="preserve"> điểm</w:t>
      </w:r>
      <w:r w:rsidR="00921737" w:rsidRPr="00B62C1B">
        <w:t xml:space="preserve"> trong tháng </w:t>
      </w:r>
      <w:r w:rsidR="00C23BA9" w:rsidRPr="00B62C1B">
        <w:t>8</w:t>
      </w:r>
      <w:r w:rsidR="00921737" w:rsidRPr="00B62C1B">
        <w:t xml:space="preserve">/2024. Lĩnh vực dịch vụ </w:t>
      </w:r>
      <w:r w:rsidR="00B61A86" w:rsidRPr="00B62C1B">
        <w:t>trong tháng 9/2024 vẫn tăng mạnh mặc dù có chững lại so với tháng trước</w:t>
      </w:r>
      <w:r w:rsidRPr="00B62C1B">
        <w:t>,</w:t>
      </w:r>
      <w:r w:rsidR="00921737" w:rsidRPr="00B62C1B">
        <w:t xml:space="preserve"> với PMI dịch vụ đạt 55,</w:t>
      </w:r>
      <w:r w:rsidR="00B61A86" w:rsidRPr="00B62C1B">
        <w:t>4</w:t>
      </w:r>
      <w:r w:rsidR="00921737" w:rsidRPr="00B62C1B">
        <w:t xml:space="preserve"> </w:t>
      </w:r>
      <w:r w:rsidRPr="00B62C1B">
        <w:t xml:space="preserve">điểm </w:t>
      </w:r>
      <w:r w:rsidR="00921737" w:rsidRPr="00B62C1B">
        <w:t>(</w:t>
      </w:r>
      <w:r w:rsidR="00B61A86" w:rsidRPr="00B62C1B">
        <w:t>giảm 0,3 điểm</w:t>
      </w:r>
      <w:r w:rsidR="00921737" w:rsidRPr="00B62C1B">
        <w:t xml:space="preserve"> so với mức </w:t>
      </w:r>
      <w:r w:rsidR="00B61A86" w:rsidRPr="00B62C1B">
        <w:t>55,7</w:t>
      </w:r>
      <w:r w:rsidR="00921737" w:rsidRPr="00B62C1B">
        <w:t xml:space="preserve"> </w:t>
      </w:r>
      <w:r w:rsidRPr="00B62C1B">
        <w:t xml:space="preserve">điểm </w:t>
      </w:r>
      <w:r w:rsidR="00921737" w:rsidRPr="00B62C1B">
        <w:t xml:space="preserve">trong tháng </w:t>
      </w:r>
      <w:r w:rsidR="00B61A86" w:rsidRPr="00B62C1B">
        <w:t>8</w:t>
      </w:r>
      <w:r w:rsidR="00921737" w:rsidRPr="00B62C1B">
        <w:t>/2024)</w:t>
      </w:r>
      <w:r w:rsidR="000578F8" w:rsidRPr="00B62C1B">
        <w:t>.</w:t>
      </w:r>
      <w:r w:rsidR="00921737" w:rsidRPr="00B62C1B">
        <w:t xml:space="preserve"> </w:t>
      </w:r>
      <w:r w:rsidR="000578F8" w:rsidRPr="00B62C1B">
        <w:t>PMI chế biến</w:t>
      </w:r>
      <w:r w:rsidR="00624F1A" w:rsidRPr="00B62C1B">
        <w:t>,</w:t>
      </w:r>
      <w:r w:rsidR="000578F8" w:rsidRPr="00B62C1B">
        <w:t xml:space="preserve"> chế tạo</w:t>
      </w:r>
      <w:r w:rsidR="00CF1C13" w:rsidRPr="00B62C1B">
        <w:t xml:space="preserve"> chỉ</w:t>
      </w:r>
      <w:r w:rsidR="000578F8" w:rsidRPr="00B62C1B">
        <w:t xml:space="preserve"> đạt </w:t>
      </w:r>
      <w:r w:rsidR="00B61A86" w:rsidRPr="00B62C1B">
        <w:t>47</w:t>
      </w:r>
      <w:r w:rsidR="00745170" w:rsidRPr="00B62C1B">
        <w:t>,0</w:t>
      </w:r>
      <w:r w:rsidR="00B61A86" w:rsidRPr="00B62C1B">
        <w:t xml:space="preserve"> </w:t>
      </w:r>
      <w:r w:rsidRPr="00B62C1B">
        <w:t xml:space="preserve">điểm </w:t>
      </w:r>
      <w:r w:rsidR="000578F8" w:rsidRPr="00B62C1B">
        <w:t xml:space="preserve">(giảm </w:t>
      </w:r>
      <w:r w:rsidR="00B61A86" w:rsidRPr="00B62C1B">
        <w:t xml:space="preserve">sâu </w:t>
      </w:r>
      <w:r w:rsidR="000578F8" w:rsidRPr="00B62C1B">
        <w:t xml:space="preserve">so với mức </w:t>
      </w:r>
      <w:r w:rsidR="00B61A86" w:rsidRPr="00B62C1B">
        <w:t>47,9</w:t>
      </w:r>
      <w:r w:rsidR="000578F8" w:rsidRPr="00B62C1B">
        <w:t xml:space="preserve"> </w:t>
      </w:r>
      <w:r w:rsidRPr="00B62C1B">
        <w:t xml:space="preserve">điểm </w:t>
      </w:r>
      <w:r w:rsidR="00B61A86" w:rsidRPr="00B62C1B">
        <w:t>của</w:t>
      </w:r>
      <w:r w:rsidR="000578F8" w:rsidRPr="00B62C1B">
        <w:t xml:space="preserve"> tháng </w:t>
      </w:r>
      <w:r w:rsidR="00B61A86" w:rsidRPr="00B62C1B">
        <w:t>8</w:t>
      </w:r>
      <w:r w:rsidR="000578F8" w:rsidRPr="00B62C1B">
        <w:t xml:space="preserve">/2024), </w:t>
      </w:r>
      <w:r w:rsidR="005951A1" w:rsidRPr="00B62C1B">
        <w:t xml:space="preserve">đánh dấu tháng giảm thứ 3 liên tiếp trong hoạt động của các nhà máy sản xuất </w:t>
      </w:r>
      <w:r w:rsidR="009A527D" w:rsidRPr="00B62C1B">
        <w:t xml:space="preserve">do đơn hàng mới </w:t>
      </w:r>
      <w:r w:rsidR="005951A1" w:rsidRPr="00B62C1B">
        <w:t xml:space="preserve">giảm mạnh nhất kể từ tháng 12/2022 </w:t>
      </w:r>
      <w:r w:rsidR="009A527D" w:rsidRPr="00B62C1B">
        <w:t xml:space="preserve">và </w:t>
      </w:r>
      <w:r w:rsidR="00624F1A" w:rsidRPr="00B62C1B">
        <w:t>niềm tin kinh</w:t>
      </w:r>
      <w:r w:rsidR="009A527D" w:rsidRPr="00B62C1B">
        <w:t xml:space="preserve"> doanh </w:t>
      </w:r>
      <w:r w:rsidR="005951A1" w:rsidRPr="00B62C1B">
        <w:t>giảm</w:t>
      </w:r>
      <w:r w:rsidR="00921737" w:rsidRPr="00B62C1B">
        <w:t>.</w:t>
      </w:r>
      <w:r w:rsidR="00624F1A" w:rsidRPr="00B62C1B">
        <w:t xml:space="preserve"> </w:t>
      </w:r>
    </w:p>
    <w:p w14:paraId="65CBF4AB" w14:textId="1235DD29" w:rsidR="00DB1052" w:rsidRPr="00B62C1B" w:rsidRDefault="00C1589A" w:rsidP="009E3468">
      <w:pPr>
        <w:spacing w:before="100" w:after="100" w:line="240" w:lineRule="auto"/>
        <w:jc w:val="center"/>
        <w:rPr>
          <w:b/>
          <w:szCs w:val="28"/>
        </w:rPr>
      </w:pPr>
      <w:r w:rsidRPr="00B62C1B">
        <w:rPr>
          <w:b/>
          <w:szCs w:val="28"/>
        </w:rPr>
        <w:t xml:space="preserve">Hình 2. </w:t>
      </w:r>
      <w:r w:rsidR="00510DD5" w:rsidRPr="00B62C1B">
        <w:rPr>
          <w:b/>
          <w:spacing w:val="-4"/>
        </w:rPr>
        <w:t>Đánh giá</w:t>
      </w:r>
      <w:r w:rsidR="00510DD5" w:rsidRPr="00B62C1B">
        <w:rPr>
          <w:b/>
          <w:spacing w:val="-4"/>
          <w:lang w:val="vi-VN"/>
        </w:rPr>
        <w:t xml:space="preserve"> </w:t>
      </w:r>
      <w:r w:rsidR="0088706D" w:rsidRPr="00B62C1B">
        <w:rPr>
          <w:b/>
          <w:szCs w:val="28"/>
        </w:rPr>
        <w:t>tăng trưởng c</w:t>
      </w:r>
      <w:r w:rsidR="00190767" w:rsidRPr="00B62C1B">
        <w:rPr>
          <w:b/>
          <w:szCs w:val="28"/>
        </w:rPr>
        <w:t>ủa</w:t>
      </w:r>
      <w:r w:rsidR="0088706D" w:rsidRPr="00B62C1B">
        <w:rPr>
          <w:b/>
          <w:szCs w:val="28"/>
        </w:rPr>
        <w:t xml:space="preserve"> Hoa Kỳ năm 2023 và dự báo tăng trưởng năm 2024 </w:t>
      </w:r>
      <w:r w:rsidR="00564CD8" w:rsidRPr="00B62C1B">
        <w:rPr>
          <w:b/>
          <w:szCs w:val="28"/>
        </w:rPr>
        <w:t xml:space="preserve">theo </w:t>
      </w:r>
      <w:r w:rsidR="005B3EEB" w:rsidRPr="00B62C1B">
        <w:rPr>
          <w:b/>
          <w:szCs w:val="28"/>
        </w:rPr>
        <w:t xml:space="preserve">các </w:t>
      </w:r>
      <w:r w:rsidR="0088706D" w:rsidRPr="00B62C1B">
        <w:rPr>
          <w:b/>
          <w:szCs w:val="28"/>
        </w:rPr>
        <w:t>tổ chức quốc tế</w:t>
      </w:r>
    </w:p>
    <w:p w14:paraId="19FF7050" w14:textId="4C59C6A4" w:rsidR="00C462ED" w:rsidRPr="00B62C1B" w:rsidRDefault="00C462ED" w:rsidP="009E3468">
      <w:pPr>
        <w:spacing w:before="100" w:after="100" w:line="240" w:lineRule="auto"/>
        <w:jc w:val="center"/>
        <w:rPr>
          <w:b/>
          <w:szCs w:val="28"/>
        </w:rPr>
      </w:pPr>
      <w:r w:rsidRPr="00B62C1B">
        <w:rPr>
          <w:b/>
          <w:noProof/>
          <w:szCs w:val="28"/>
          <w:lang w:val="en-GB" w:eastAsia="en-GB"/>
        </w:rPr>
        <w:drawing>
          <wp:inline distT="0" distB="0" distL="0" distR="0" wp14:anchorId="2362D28D" wp14:editId="3A431E06">
            <wp:extent cx="2688590" cy="131424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0788" cy="1315317"/>
                    </a:xfrm>
                    <a:prstGeom prst="rect">
                      <a:avLst/>
                    </a:prstGeom>
                    <a:noFill/>
                  </pic:spPr>
                </pic:pic>
              </a:graphicData>
            </a:graphic>
          </wp:inline>
        </w:drawing>
      </w:r>
    </w:p>
    <w:p w14:paraId="4C4FB4B0" w14:textId="26964C1D" w:rsidR="00E805C7" w:rsidRPr="00B62C1B" w:rsidRDefault="00E805C7" w:rsidP="009E3468">
      <w:pPr>
        <w:spacing w:before="100" w:after="100" w:line="240" w:lineRule="auto"/>
        <w:jc w:val="center"/>
        <w:rPr>
          <w:b/>
          <w:szCs w:val="28"/>
        </w:rPr>
      </w:pPr>
    </w:p>
    <w:p w14:paraId="1EB40752" w14:textId="5595EE28" w:rsidR="00C1589A" w:rsidRPr="00B62C1B" w:rsidRDefault="00C1589A" w:rsidP="009E3468">
      <w:pPr>
        <w:spacing w:before="100" w:after="100" w:line="240" w:lineRule="auto"/>
        <w:jc w:val="right"/>
        <w:rPr>
          <w:sz w:val="24"/>
          <w:szCs w:val="28"/>
        </w:rPr>
      </w:pPr>
      <w:r w:rsidRPr="00B62C1B">
        <w:rPr>
          <w:i/>
          <w:sz w:val="24"/>
          <w:szCs w:val="28"/>
        </w:rPr>
        <w:t xml:space="preserve">Nguồn: </w:t>
      </w:r>
      <w:r w:rsidR="00E805C7" w:rsidRPr="00B62C1B">
        <w:rPr>
          <w:i/>
          <w:sz w:val="24"/>
          <w:szCs w:val="28"/>
        </w:rPr>
        <w:t xml:space="preserve">IMF, </w:t>
      </w:r>
      <w:r w:rsidR="000C3D8A" w:rsidRPr="00B62C1B">
        <w:rPr>
          <w:i/>
          <w:sz w:val="24"/>
          <w:szCs w:val="28"/>
        </w:rPr>
        <w:t>OECD, UN</w:t>
      </w:r>
      <w:r w:rsidR="00E805C7" w:rsidRPr="00B62C1B">
        <w:rPr>
          <w:i/>
          <w:sz w:val="24"/>
          <w:szCs w:val="28"/>
        </w:rPr>
        <w:t xml:space="preserve"> và ADB</w:t>
      </w:r>
    </w:p>
    <w:p w14:paraId="498B9123" w14:textId="52FB30FD" w:rsidR="00796A82" w:rsidRPr="00B62C1B" w:rsidRDefault="00C32F87" w:rsidP="009E3468">
      <w:pPr>
        <w:spacing w:before="100" w:after="100" w:line="240" w:lineRule="auto"/>
        <w:ind w:firstLine="720"/>
        <w:jc w:val="both"/>
        <w:rPr>
          <w:spacing w:val="-6"/>
          <w:szCs w:val="28"/>
        </w:rPr>
      </w:pPr>
      <w:r w:rsidRPr="00B62C1B">
        <w:rPr>
          <w:spacing w:val="-6"/>
          <w:szCs w:val="28"/>
        </w:rPr>
        <w:t xml:space="preserve">Như vậy, </w:t>
      </w:r>
      <w:r w:rsidR="00061782" w:rsidRPr="00B62C1B">
        <w:rPr>
          <w:spacing w:val="-6"/>
          <w:szCs w:val="28"/>
        </w:rPr>
        <w:t>Hình 2 cho thấy</w:t>
      </w:r>
      <w:r w:rsidRPr="00B62C1B">
        <w:rPr>
          <w:spacing w:val="-6"/>
          <w:szCs w:val="28"/>
        </w:rPr>
        <w:t xml:space="preserve"> </w:t>
      </w:r>
      <w:r w:rsidR="00916A0E" w:rsidRPr="00B62C1B">
        <w:rPr>
          <w:spacing w:val="-6"/>
          <w:szCs w:val="28"/>
        </w:rPr>
        <w:t>IMF và</w:t>
      </w:r>
      <w:r w:rsidR="00FF0707" w:rsidRPr="00B62C1B">
        <w:rPr>
          <w:spacing w:val="-6"/>
          <w:szCs w:val="28"/>
        </w:rPr>
        <w:t xml:space="preserve"> OECD </w:t>
      </w:r>
      <w:r w:rsidR="00DF3697" w:rsidRPr="00B62C1B">
        <w:rPr>
          <w:spacing w:val="-6"/>
          <w:szCs w:val="28"/>
        </w:rPr>
        <w:t>dự báo tăng trưởng năm 2024</w:t>
      </w:r>
      <w:r w:rsidR="009528C4" w:rsidRPr="00B62C1B">
        <w:rPr>
          <w:spacing w:val="-6"/>
          <w:szCs w:val="28"/>
        </w:rPr>
        <w:t xml:space="preserve"> của Hoa Kỳ</w:t>
      </w:r>
      <w:r w:rsidR="00DF3697" w:rsidRPr="00B62C1B">
        <w:rPr>
          <w:spacing w:val="-6"/>
          <w:szCs w:val="28"/>
        </w:rPr>
        <w:t xml:space="preserve"> cao hơn </w:t>
      </w:r>
      <w:r w:rsidR="00BB5E56" w:rsidRPr="00B62C1B">
        <w:rPr>
          <w:spacing w:val="-6"/>
          <w:szCs w:val="28"/>
        </w:rPr>
        <w:t>mức</w:t>
      </w:r>
      <w:r w:rsidR="00876EA9" w:rsidRPr="00B62C1B">
        <w:rPr>
          <w:spacing w:val="-6"/>
          <w:szCs w:val="28"/>
        </w:rPr>
        <w:t xml:space="preserve"> 2,5% </w:t>
      </w:r>
      <w:r w:rsidR="005E140C" w:rsidRPr="00B62C1B">
        <w:rPr>
          <w:spacing w:val="-6"/>
          <w:szCs w:val="28"/>
        </w:rPr>
        <w:t xml:space="preserve">của </w:t>
      </w:r>
      <w:r w:rsidR="006625EF" w:rsidRPr="00B62C1B">
        <w:rPr>
          <w:spacing w:val="-6"/>
          <w:szCs w:val="28"/>
        </w:rPr>
        <w:t>năm 2023</w:t>
      </w:r>
      <w:r w:rsidR="00916A0E" w:rsidRPr="00B62C1B">
        <w:rPr>
          <w:spacing w:val="-6"/>
          <w:szCs w:val="28"/>
        </w:rPr>
        <w:t>, đạt 2,6%</w:t>
      </w:r>
      <w:r w:rsidR="006625EF" w:rsidRPr="00B62C1B">
        <w:rPr>
          <w:spacing w:val="-6"/>
          <w:szCs w:val="28"/>
        </w:rPr>
        <w:t xml:space="preserve">. </w:t>
      </w:r>
      <w:r w:rsidR="009528C4" w:rsidRPr="00B62C1B">
        <w:rPr>
          <w:spacing w:val="-6"/>
          <w:szCs w:val="28"/>
        </w:rPr>
        <w:t xml:space="preserve">Trong khi đó, </w:t>
      </w:r>
      <w:r w:rsidR="00AD57B6" w:rsidRPr="00B62C1B">
        <w:rPr>
          <w:spacing w:val="-6"/>
          <w:szCs w:val="28"/>
        </w:rPr>
        <w:t>UN</w:t>
      </w:r>
      <w:r w:rsidR="009528C4" w:rsidRPr="00B62C1B">
        <w:rPr>
          <w:spacing w:val="-6"/>
          <w:szCs w:val="28"/>
        </w:rPr>
        <w:t xml:space="preserve"> </w:t>
      </w:r>
      <w:r w:rsidR="00876EA9" w:rsidRPr="00B62C1B">
        <w:rPr>
          <w:spacing w:val="-6"/>
          <w:szCs w:val="28"/>
        </w:rPr>
        <w:t xml:space="preserve">dự báo </w:t>
      </w:r>
      <w:r w:rsidR="001D2F6C" w:rsidRPr="00B62C1B">
        <w:rPr>
          <w:spacing w:val="-6"/>
          <w:szCs w:val="28"/>
        </w:rPr>
        <w:t xml:space="preserve">tốc độ </w:t>
      </w:r>
      <w:r w:rsidR="00876EA9" w:rsidRPr="00B62C1B">
        <w:rPr>
          <w:spacing w:val="-6"/>
          <w:szCs w:val="28"/>
        </w:rPr>
        <w:t>tăng trưởng kinh tế Hoa Kỳ năm 2024</w:t>
      </w:r>
      <w:r w:rsidR="008A5BC1" w:rsidRPr="00B62C1B">
        <w:rPr>
          <w:spacing w:val="-6"/>
          <w:szCs w:val="28"/>
        </w:rPr>
        <w:t xml:space="preserve"> đạt 2</w:t>
      </w:r>
      <w:r w:rsidR="00624F1A" w:rsidRPr="00B62C1B">
        <w:rPr>
          <w:spacing w:val="-6"/>
          <w:szCs w:val="28"/>
        </w:rPr>
        <w:t>,</w:t>
      </w:r>
      <w:r w:rsidR="008A5BC1" w:rsidRPr="00B62C1B">
        <w:rPr>
          <w:spacing w:val="-6"/>
          <w:szCs w:val="28"/>
        </w:rPr>
        <w:t>5%,</w:t>
      </w:r>
      <w:r w:rsidR="00876EA9" w:rsidRPr="00B62C1B">
        <w:rPr>
          <w:spacing w:val="-6"/>
          <w:szCs w:val="28"/>
        </w:rPr>
        <w:t xml:space="preserve"> </w:t>
      </w:r>
      <w:r w:rsidR="00916A0E" w:rsidRPr="00B62C1B">
        <w:rPr>
          <w:spacing w:val="-6"/>
          <w:szCs w:val="28"/>
        </w:rPr>
        <w:t>bằng với</w:t>
      </w:r>
      <w:r w:rsidR="001D2F6C" w:rsidRPr="00B62C1B">
        <w:rPr>
          <w:spacing w:val="-6"/>
          <w:szCs w:val="28"/>
        </w:rPr>
        <w:t xml:space="preserve"> mức tăng của</w:t>
      </w:r>
      <w:r w:rsidRPr="00B62C1B">
        <w:rPr>
          <w:spacing w:val="-6"/>
          <w:szCs w:val="28"/>
        </w:rPr>
        <w:t xml:space="preserve"> năm 2023</w:t>
      </w:r>
      <w:r w:rsidR="00624F1A" w:rsidRPr="00B62C1B">
        <w:rPr>
          <w:spacing w:val="-6"/>
          <w:szCs w:val="28"/>
        </w:rPr>
        <w:t>. Riêng</w:t>
      </w:r>
      <w:r w:rsidR="00916A0E" w:rsidRPr="00B62C1B">
        <w:rPr>
          <w:spacing w:val="-6"/>
          <w:szCs w:val="28"/>
        </w:rPr>
        <w:t xml:space="preserve"> </w:t>
      </w:r>
      <w:r w:rsidR="00916A0E" w:rsidRPr="00B62C1B">
        <w:rPr>
          <w:spacing w:val="-6"/>
          <w:szCs w:val="28"/>
        </w:rPr>
        <w:lastRenderedPageBreak/>
        <w:t>ADB dự báo tốc độ tăng trưởng kinh tế Hoa Kỳ năm 2024 đạt</w:t>
      </w:r>
      <w:r w:rsidR="009528C4" w:rsidRPr="00B62C1B">
        <w:rPr>
          <w:spacing w:val="-6"/>
          <w:szCs w:val="28"/>
        </w:rPr>
        <w:t xml:space="preserve"> </w:t>
      </w:r>
      <w:r w:rsidR="00916A0E" w:rsidRPr="00B62C1B">
        <w:rPr>
          <w:spacing w:val="-6"/>
          <w:szCs w:val="28"/>
        </w:rPr>
        <w:t>2,</w:t>
      </w:r>
      <w:r w:rsidR="00C462ED" w:rsidRPr="00B62C1B">
        <w:rPr>
          <w:spacing w:val="-6"/>
          <w:szCs w:val="28"/>
        </w:rPr>
        <w:t>4</w:t>
      </w:r>
      <w:r w:rsidR="009528C4" w:rsidRPr="00B62C1B">
        <w:rPr>
          <w:spacing w:val="-6"/>
          <w:szCs w:val="28"/>
        </w:rPr>
        <w:t>%</w:t>
      </w:r>
      <w:r w:rsidR="00916A0E" w:rsidRPr="00B62C1B">
        <w:rPr>
          <w:spacing w:val="-6"/>
          <w:szCs w:val="28"/>
        </w:rPr>
        <w:t>, thấp hơn</w:t>
      </w:r>
      <w:r w:rsidR="001B5BD5" w:rsidRPr="00B62C1B">
        <w:rPr>
          <w:spacing w:val="-6"/>
          <w:szCs w:val="28"/>
        </w:rPr>
        <w:t xml:space="preserve"> 0,</w:t>
      </w:r>
      <w:r w:rsidR="00C462ED" w:rsidRPr="00B62C1B">
        <w:rPr>
          <w:spacing w:val="-6"/>
          <w:szCs w:val="28"/>
        </w:rPr>
        <w:t xml:space="preserve">1 </w:t>
      </w:r>
      <w:r w:rsidR="001B5BD5" w:rsidRPr="00B62C1B">
        <w:rPr>
          <w:spacing w:val="-6"/>
          <w:szCs w:val="28"/>
        </w:rPr>
        <w:t>điểm phần trăm so với</w:t>
      </w:r>
      <w:r w:rsidR="00916A0E" w:rsidRPr="00B62C1B">
        <w:rPr>
          <w:spacing w:val="-6"/>
          <w:szCs w:val="28"/>
        </w:rPr>
        <w:t xml:space="preserve"> năm 2023</w:t>
      </w:r>
      <w:r w:rsidR="009528C4" w:rsidRPr="00B62C1B">
        <w:rPr>
          <w:spacing w:val="-6"/>
          <w:szCs w:val="28"/>
        </w:rPr>
        <w:t xml:space="preserve">. </w:t>
      </w:r>
      <w:r w:rsidR="00876EA9" w:rsidRPr="00B62C1B">
        <w:rPr>
          <w:spacing w:val="-6"/>
          <w:szCs w:val="28"/>
        </w:rPr>
        <w:t xml:space="preserve"> </w:t>
      </w:r>
    </w:p>
    <w:p w14:paraId="67AA79F3" w14:textId="77777777" w:rsidR="00C1589A" w:rsidRPr="00B62C1B" w:rsidRDefault="00C1589A" w:rsidP="00A0686B">
      <w:pPr>
        <w:spacing w:before="120" w:after="120" w:line="240" w:lineRule="auto"/>
        <w:ind w:firstLine="720"/>
        <w:jc w:val="both"/>
        <w:rPr>
          <w:b/>
          <w:szCs w:val="28"/>
          <w:lang w:val="vi-VN"/>
        </w:rPr>
      </w:pPr>
      <w:r w:rsidRPr="00B62C1B">
        <w:rPr>
          <w:b/>
          <w:szCs w:val="28"/>
          <w:lang w:val="vi-VN"/>
        </w:rPr>
        <w:t>2. Khu vực đồng Euro</w:t>
      </w:r>
    </w:p>
    <w:p w14:paraId="0675782D" w14:textId="3DFBD727" w:rsidR="00F92FF3" w:rsidRPr="00B62C1B" w:rsidRDefault="00F92FF3" w:rsidP="009E3468">
      <w:pPr>
        <w:spacing w:before="140" w:after="0" w:line="240" w:lineRule="auto"/>
        <w:ind w:firstLine="720"/>
        <w:jc w:val="both"/>
      </w:pPr>
      <w:r w:rsidRPr="00B62C1B">
        <w:rPr>
          <w:i/>
        </w:rPr>
        <w:t>IMF</w:t>
      </w:r>
      <w:r w:rsidRPr="00B62C1B">
        <w:t xml:space="preserve"> nhận định tăng trưởng GDP của khu vực đồng Euro năm 2024 </w:t>
      </w:r>
      <w:r w:rsidR="00606BAA" w:rsidRPr="00B62C1B">
        <w:t>đạt</w:t>
      </w:r>
      <w:r w:rsidRPr="00B62C1B">
        <w:t xml:space="preserve"> 0,</w:t>
      </w:r>
      <w:r w:rsidR="00606BAA" w:rsidRPr="00B62C1B">
        <w:t>9</w:t>
      </w:r>
      <w:r w:rsidRPr="00B62C1B">
        <w:t xml:space="preserve">%, điều chỉnh </w:t>
      </w:r>
      <w:r w:rsidR="00606BAA" w:rsidRPr="00B62C1B">
        <w:t>tăng</w:t>
      </w:r>
      <w:r w:rsidRPr="00B62C1B">
        <w:t xml:space="preserve"> 0,1 điểm phần trăm so với dự báo trong tháng </w:t>
      </w:r>
      <w:r w:rsidR="00606BAA" w:rsidRPr="00B62C1B">
        <w:t>4</w:t>
      </w:r>
      <w:r w:rsidRPr="00B62C1B">
        <w:t xml:space="preserve">/2024 do </w:t>
      </w:r>
      <w:r w:rsidR="00606BAA" w:rsidRPr="00B62C1B">
        <w:t xml:space="preserve">động lực tăng trưởng của ngành dịch vụ mạnh hơn và xuất khẩu ròng cao hơn dự kiến trong </w:t>
      </w:r>
      <w:r w:rsidR="0042679D" w:rsidRPr="00B62C1B">
        <w:t>nửa đầu năm 2024</w:t>
      </w:r>
      <w:r w:rsidRPr="00B62C1B">
        <w:t>.</w:t>
      </w:r>
    </w:p>
    <w:p w14:paraId="6390057A" w14:textId="7C9D7721" w:rsidR="00F92FF3" w:rsidRPr="00B62C1B" w:rsidRDefault="00F92FF3" w:rsidP="009E3468">
      <w:pPr>
        <w:spacing w:before="140" w:after="0" w:line="240" w:lineRule="auto"/>
        <w:ind w:firstLine="720"/>
        <w:jc w:val="both"/>
        <w:rPr>
          <w:spacing w:val="-4"/>
        </w:rPr>
      </w:pPr>
      <w:r w:rsidRPr="00B62C1B">
        <w:rPr>
          <w:i/>
          <w:spacing w:val="-4"/>
        </w:rPr>
        <w:t>UN</w:t>
      </w:r>
      <w:r w:rsidRPr="00B62C1B">
        <w:rPr>
          <w:spacing w:val="-4"/>
        </w:rPr>
        <w:t xml:space="preserve"> </w:t>
      </w:r>
      <w:r w:rsidR="00840A09" w:rsidRPr="00B62C1B">
        <w:rPr>
          <w:spacing w:val="-4"/>
        </w:rPr>
        <w:t xml:space="preserve">giữ nguyên </w:t>
      </w:r>
      <w:r w:rsidRPr="00B62C1B">
        <w:rPr>
          <w:spacing w:val="-4"/>
        </w:rPr>
        <w:t xml:space="preserve">dự báo tăng trưởng GDP </w:t>
      </w:r>
      <w:r w:rsidR="008A5BC1" w:rsidRPr="00B62C1B">
        <w:rPr>
          <w:spacing w:val="-4"/>
        </w:rPr>
        <w:t xml:space="preserve">của </w:t>
      </w:r>
      <w:r w:rsidRPr="00B62C1B">
        <w:rPr>
          <w:spacing w:val="-4"/>
        </w:rPr>
        <w:t>khu vực đồng Euro năm 2024</w:t>
      </w:r>
      <w:r w:rsidR="00745170" w:rsidRPr="00B62C1B">
        <w:rPr>
          <w:spacing w:val="-4"/>
        </w:rPr>
        <w:t>,</w:t>
      </w:r>
      <w:r w:rsidRPr="00B62C1B">
        <w:rPr>
          <w:spacing w:val="-4"/>
        </w:rPr>
        <w:t xml:space="preserve"> đạt 0,8%</w:t>
      </w:r>
      <w:r w:rsidR="00B01D23" w:rsidRPr="00B62C1B">
        <w:rPr>
          <w:spacing w:val="-4"/>
        </w:rPr>
        <w:t>,</w:t>
      </w:r>
      <w:r w:rsidRPr="00B62C1B">
        <w:rPr>
          <w:spacing w:val="-4"/>
        </w:rPr>
        <w:t xml:space="preserve"> </w:t>
      </w:r>
      <w:r w:rsidR="00FA0ECD" w:rsidRPr="00B62C1B">
        <w:rPr>
          <w:spacing w:val="-4"/>
        </w:rPr>
        <w:t>không thay đổi so với</w:t>
      </w:r>
      <w:r w:rsidR="00840A09" w:rsidRPr="00B62C1B">
        <w:rPr>
          <w:spacing w:val="-4"/>
        </w:rPr>
        <w:t xml:space="preserve"> dự báo </w:t>
      </w:r>
      <w:r w:rsidR="00FA0ECD" w:rsidRPr="00B62C1B">
        <w:rPr>
          <w:spacing w:val="-4"/>
        </w:rPr>
        <w:t xml:space="preserve">thời điểm </w:t>
      </w:r>
      <w:r w:rsidR="00840A09" w:rsidRPr="00B62C1B">
        <w:rPr>
          <w:spacing w:val="-4"/>
        </w:rPr>
        <w:t>tháng 5/2024</w:t>
      </w:r>
      <w:r w:rsidRPr="00B62C1B">
        <w:rPr>
          <w:spacing w:val="-4"/>
        </w:rPr>
        <w:t>.</w:t>
      </w:r>
      <w:r w:rsidR="00E26549" w:rsidRPr="00B62C1B">
        <w:rPr>
          <w:spacing w:val="-4"/>
        </w:rPr>
        <w:t xml:space="preserve"> Mặc dù nền kinh tế Đức yếu hơn dự kiến do nhu cầu trong nước trì trệ và suy thoái kéo dài trong lĩnh vực sản xuất nhưng</w:t>
      </w:r>
      <w:r w:rsidR="002B43E1" w:rsidRPr="00B62C1B">
        <w:rPr>
          <w:spacing w:val="-4"/>
        </w:rPr>
        <w:t xml:space="preserve"> bù lại</w:t>
      </w:r>
      <w:r w:rsidR="00E26549" w:rsidRPr="00B62C1B">
        <w:rPr>
          <w:spacing w:val="-4"/>
        </w:rPr>
        <w:t xml:space="preserve"> nền kinh tế Pháp và Ý tăng trưởng mạnh mẽ trong nửa đầu năm 2024 do ngành dịch vụ tăng mạnh</w:t>
      </w:r>
      <w:r w:rsidR="00914B6D" w:rsidRPr="00B62C1B">
        <w:rPr>
          <w:spacing w:val="-4"/>
        </w:rPr>
        <w:t xml:space="preserve">, kết hợp với việc Ngân hàng Trung ương châu Âu </w:t>
      </w:r>
      <w:r w:rsidR="008A5BC1" w:rsidRPr="00B62C1B">
        <w:rPr>
          <w:spacing w:val="-4"/>
        </w:rPr>
        <w:t>giảm 25 điểm cơ bản cho ba mức</w:t>
      </w:r>
      <w:r w:rsidR="00914B6D" w:rsidRPr="00B62C1B">
        <w:rPr>
          <w:spacing w:val="-4"/>
        </w:rPr>
        <w:t xml:space="preserve"> lãi suất chủ chốt vào tháng 6/</w:t>
      </w:r>
      <w:r w:rsidR="008A5BC1" w:rsidRPr="00B62C1B">
        <w:rPr>
          <w:spacing w:val="-4"/>
        </w:rPr>
        <w:t>2024</w:t>
      </w:r>
      <w:r w:rsidR="00914B6D" w:rsidRPr="00B62C1B">
        <w:rPr>
          <w:spacing w:val="-4"/>
        </w:rPr>
        <w:t xml:space="preserve"> để thúc đẩy phục hồi </w:t>
      </w:r>
      <w:r w:rsidR="00745170" w:rsidRPr="00B62C1B">
        <w:rPr>
          <w:spacing w:val="-4"/>
        </w:rPr>
        <w:t xml:space="preserve">kinh tế </w:t>
      </w:r>
      <w:r w:rsidR="00914B6D" w:rsidRPr="00B62C1B">
        <w:rPr>
          <w:spacing w:val="-4"/>
        </w:rPr>
        <w:t>là những yếu tố tích cực tạo đà tăng trưởng chung cho khu vực đồng Euro</w:t>
      </w:r>
      <w:r w:rsidR="00E26549" w:rsidRPr="00B62C1B">
        <w:rPr>
          <w:spacing w:val="-4"/>
        </w:rPr>
        <w:t>.</w:t>
      </w:r>
    </w:p>
    <w:p w14:paraId="554AF600" w14:textId="5CC8FF6B" w:rsidR="0032383E" w:rsidRPr="00B62C1B" w:rsidRDefault="00F92FF3" w:rsidP="009E3468">
      <w:pPr>
        <w:spacing w:before="140" w:after="0" w:line="240" w:lineRule="auto"/>
        <w:ind w:firstLine="720"/>
        <w:jc w:val="both"/>
      </w:pPr>
      <w:r w:rsidRPr="00B62C1B">
        <w:rPr>
          <w:i/>
        </w:rPr>
        <w:t>ADB</w:t>
      </w:r>
      <w:r w:rsidRPr="00B62C1B">
        <w:t xml:space="preserve"> </w:t>
      </w:r>
      <w:r w:rsidR="00914B6D" w:rsidRPr="00B62C1B">
        <w:t xml:space="preserve">dự báo tăng trưởng </w:t>
      </w:r>
      <w:r w:rsidR="00EC0C6A" w:rsidRPr="00B62C1B">
        <w:t xml:space="preserve">kinh tế </w:t>
      </w:r>
      <w:r w:rsidR="008A5BC1" w:rsidRPr="00B62C1B">
        <w:t>của</w:t>
      </w:r>
      <w:r w:rsidR="00914B6D" w:rsidRPr="00B62C1B">
        <w:t xml:space="preserve"> khu vực đồng Euro </w:t>
      </w:r>
      <w:r w:rsidR="0010023D" w:rsidRPr="00B62C1B">
        <w:t>đạt</w:t>
      </w:r>
      <w:r w:rsidR="00914B6D" w:rsidRPr="00B62C1B">
        <w:t xml:space="preserve"> </w:t>
      </w:r>
      <w:r w:rsidR="0032383E" w:rsidRPr="00B62C1B">
        <w:t>0,</w:t>
      </w:r>
      <w:r w:rsidR="00C462ED" w:rsidRPr="00B62C1B">
        <w:t>8</w:t>
      </w:r>
      <w:r w:rsidR="0032383E" w:rsidRPr="00B62C1B">
        <w:t>% năm 2024</w:t>
      </w:r>
      <w:r w:rsidR="00C462ED" w:rsidRPr="00B62C1B">
        <w:t>, điều chỉnh tăng 0,1 điểm phần trăm so với</w:t>
      </w:r>
      <w:r w:rsidR="0032383E" w:rsidRPr="00B62C1B">
        <w:t xml:space="preserve"> dự báo </w:t>
      </w:r>
      <w:r w:rsidR="00FF1CE8" w:rsidRPr="00B62C1B">
        <w:t xml:space="preserve">đưa ra trong </w:t>
      </w:r>
      <w:r w:rsidR="0032383E" w:rsidRPr="00B62C1B">
        <w:t xml:space="preserve">tháng </w:t>
      </w:r>
      <w:r w:rsidR="00C462ED" w:rsidRPr="00B62C1B">
        <w:t>7</w:t>
      </w:r>
      <w:r w:rsidR="0032383E" w:rsidRPr="00B62C1B">
        <w:t xml:space="preserve">/2024. Theo ADB, </w:t>
      </w:r>
      <w:r w:rsidR="00992ED8" w:rsidRPr="00B62C1B">
        <w:t xml:space="preserve">việc </w:t>
      </w:r>
      <w:r w:rsidR="0032383E" w:rsidRPr="00B62C1B">
        <w:t>Ngân hàng Trung ương châu Âu</w:t>
      </w:r>
      <w:r w:rsidR="00992ED8" w:rsidRPr="00B62C1B">
        <w:t xml:space="preserve"> tiếp tục nới lỏng chính sách tiền tệ,</w:t>
      </w:r>
      <w:r w:rsidR="0052221F" w:rsidRPr="00B62C1B">
        <w:t xml:space="preserve"> tiêu dùng</w:t>
      </w:r>
      <w:r w:rsidR="00992ED8" w:rsidRPr="00B62C1B">
        <w:t xml:space="preserve"> phục hồi và </w:t>
      </w:r>
      <w:r w:rsidR="0052221F" w:rsidRPr="00B62C1B">
        <w:t>đầu tư cho cơ sở hạ tầng số xanh</w:t>
      </w:r>
      <w:r w:rsidR="0032383E" w:rsidRPr="00B62C1B">
        <w:t xml:space="preserve"> </w:t>
      </w:r>
      <w:r w:rsidR="0052221F" w:rsidRPr="00B62C1B">
        <w:t>là những nhân tố</w:t>
      </w:r>
      <w:r w:rsidR="0032383E" w:rsidRPr="00B62C1B">
        <w:t xml:space="preserve"> </w:t>
      </w:r>
      <w:r w:rsidR="00992ED8" w:rsidRPr="00B62C1B">
        <w:t>đóng góp vào tăng trưởng của</w:t>
      </w:r>
      <w:r w:rsidR="0032383E" w:rsidRPr="00B62C1B">
        <w:t xml:space="preserve"> nền kinh tế khu vực đồng Euro. </w:t>
      </w:r>
    </w:p>
    <w:p w14:paraId="3548465F" w14:textId="4EB50B5C" w:rsidR="0032383E" w:rsidRPr="00B62C1B" w:rsidRDefault="0032383E" w:rsidP="009E3468">
      <w:pPr>
        <w:spacing w:before="140" w:after="0" w:line="240" w:lineRule="auto"/>
        <w:ind w:firstLine="720"/>
        <w:jc w:val="both"/>
        <w:rPr>
          <w:spacing w:val="-4"/>
        </w:rPr>
      </w:pPr>
      <w:r w:rsidRPr="00B62C1B">
        <w:rPr>
          <w:i/>
          <w:spacing w:val="-4"/>
        </w:rPr>
        <w:t>OECD</w:t>
      </w:r>
      <w:r w:rsidRPr="00B62C1B">
        <w:rPr>
          <w:spacing w:val="-4"/>
        </w:rPr>
        <w:t xml:space="preserve"> dự báo tăng trưởng GDP của khu vực </w:t>
      </w:r>
      <w:r w:rsidR="00B47FAD" w:rsidRPr="00B62C1B">
        <w:rPr>
          <w:spacing w:val="-4"/>
        </w:rPr>
        <w:t>đồng Euro</w:t>
      </w:r>
      <w:r w:rsidRPr="00B62C1B">
        <w:rPr>
          <w:spacing w:val="-4"/>
        </w:rPr>
        <w:t xml:space="preserve"> đạt 0,7% năm 2024, </w:t>
      </w:r>
      <w:r w:rsidR="00B47FAD" w:rsidRPr="00B62C1B">
        <w:rPr>
          <w:spacing w:val="-4"/>
        </w:rPr>
        <w:t>giữ nguyên</w:t>
      </w:r>
      <w:r w:rsidRPr="00B62C1B">
        <w:rPr>
          <w:spacing w:val="-4"/>
        </w:rPr>
        <w:t xml:space="preserve"> so với dự báo đưa ra trong tháng </w:t>
      </w:r>
      <w:r w:rsidR="00B47FAD" w:rsidRPr="00B62C1B">
        <w:rPr>
          <w:spacing w:val="-4"/>
        </w:rPr>
        <w:t>5/2024</w:t>
      </w:r>
      <w:r w:rsidRPr="00B62C1B">
        <w:rPr>
          <w:spacing w:val="-4"/>
        </w:rPr>
        <w:t>.</w:t>
      </w:r>
      <w:r w:rsidR="00B47FAD" w:rsidRPr="00B62C1B">
        <w:rPr>
          <w:spacing w:val="-4"/>
        </w:rPr>
        <w:t xml:space="preserve"> </w:t>
      </w:r>
      <w:r w:rsidR="008A5590" w:rsidRPr="00B62C1B">
        <w:rPr>
          <w:spacing w:val="-4"/>
        </w:rPr>
        <w:t xml:space="preserve">Ngân hàng </w:t>
      </w:r>
      <w:r w:rsidR="002F38C6" w:rsidRPr="00B62C1B">
        <w:rPr>
          <w:spacing w:val="-4"/>
        </w:rPr>
        <w:t>T</w:t>
      </w:r>
      <w:r w:rsidR="008A5590" w:rsidRPr="00B62C1B">
        <w:rPr>
          <w:spacing w:val="-4"/>
        </w:rPr>
        <w:t>rung ương châu Âu</w:t>
      </w:r>
      <w:r w:rsidR="002B43E1" w:rsidRPr="00B62C1B">
        <w:rPr>
          <w:spacing w:val="-4"/>
        </w:rPr>
        <w:t xml:space="preserve"> cắt giảm lãi suất chính sách</w:t>
      </w:r>
      <w:r w:rsidR="008A5590" w:rsidRPr="00B62C1B">
        <w:rPr>
          <w:spacing w:val="-4"/>
        </w:rPr>
        <w:t xml:space="preserve">, </w:t>
      </w:r>
      <w:r w:rsidR="00B47FAD" w:rsidRPr="00B62C1B">
        <w:rPr>
          <w:spacing w:val="-4"/>
        </w:rPr>
        <w:t xml:space="preserve">thu nhập thực tế </w:t>
      </w:r>
      <w:r w:rsidR="00A91B27" w:rsidRPr="00B62C1B">
        <w:rPr>
          <w:spacing w:val="-4"/>
        </w:rPr>
        <w:t xml:space="preserve">phục hồi </w:t>
      </w:r>
      <w:r w:rsidR="00B47FAD" w:rsidRPr="00B62C1B">
        <w:rPr>
          <w:spacing w:val="-4"/>
        </w:rPr>
        <w:t xml:space="preserve">và tiếp cận tín dụng </w:t>
      </w:r>
      <w:r w:rsidR="00A91B27" w:rsidRPr="00B62C1B">
        <w:rPr>
          <w:spacing w:val="-4"/>
        </w:rPr>
        <w:t xml:space="preserve">được cải thiện </w:t>
      </w:r>
      <w:r w:rsidR="00B47FAD" w:rsidRPr="00B62C1B">
        <w:rPr>
          <w:spacing w:val="-4"/>
        </w:rPr>
        <w:t xml:space="preserve">là những tín hiệu tích cực </w:t>
      </w:r>
      <w:r w:rsidR="008A5590" w:rsidRPr="00B62C1B">
        <w:rPr>
          <w:spacing w:val="-4"/>
        </w:rPr>
        <w:t>thúc đẩy tăng trưởng GDP của</w:t>
      </w:r>
      <w:r w:rsidR="00B47FAD" w:rsidRPr="00B62C1B">
        <w:rPr>
          <w:spacing w:val="-4"/>
        </w:rPr>
        <w:t xml:space="preserve"> khu vực này đạt mức tăng trưởng cao hơn năm 2023.</w:t>
      </w:r>
      <w:r w:rsidRPr="00B62C1B">
        <w:rPr>
          <w:spacing w:val="-4"/>
        </w:rPr>
        <w:t xml:space="preserve"> </w:t>
      </w:r>
    </w:p>
    <w:p w14:paraId="5576E797" w14:textId="12DC594C" w:rsidR="00346B55" w:rsidRPr="00B62C1B" w:rsidRDefault="001A666A" w:rsidP="009E3468">
      <w:pPr>
        <w:spacing w:before="140" w:after="0" w:line="240" w:lineRule="auto"/>
        <w:ind w:firstLine="720"/>
        <w:jc w:val="both"/>
        <w:rPr>
          <w:spacing w:val="-4"/>
        </w:rPr>
      </w:pPr>
      <w:r w:rsidRPr="00B62C1B">
        <w:rPr>
          <w:i/>
          <w:spacing w:val="-4"/>
        </w:rPr>
        <w:t>Theo Trading Economics</w:t>
      </w:r>
      <w:r w:rsidRPr="00B62C1B">
        <w:rPr>
          <w:spacing w:val="-4"/>
        </w:rPr>
        <w:t>, GDP Quý II</w:t>
      </w:r>
      <w:r w:rsidR="00914F3E" w:rsidRPr="00B62C1B">
        <w:rPr>
          <w:spacing w:val="-4"/>
        </w:rPr>
        <w:t>I</w:t>
      </w:r>
      <w:r w:rsidRPr="00B62C1B">
        <w:rPr>
          <w:spacing w:val="-4"/>
        </w:rPr>
        <w:t>/2024 của khu vực đồng Euro dự báo tăng 0,3% so với Quý I</w:t>
      </w:r>
      <w:r w:rsidR="00914F3E" w:rsidRPr="00B62C1B">
        <w:rPr>
          <w:spacing w:val="-4"/>
        </w:rPr>
        <w:t>I</w:t>
      </w:r>
      <w:r w:rsidRPr="00B62C1B">
        <w:rPr>
          <w:spacing w:val="-4"/>
        </w:rPr>
        <w:t xml:space="preserve">/2024 và tăng </w:t>
      </w:r>
      <w:r w:rsidR="00914F3E" w:rsidRPr="00B62C1B">
        <w:rPr>
          <w:spacing w:val="-4"/>
        </w:rPr>
        <w:t>1,0</w:t>
      </w:r>
      <w:r w:rsidRPr="00B62C1B">
        <w:rPr>
          <w:spacing w:val="-4"/>
        </w:rPr>
        <w:t>% so với cùng kỳ năm trước.</w:t>
      </w:r>
      <w:r w:rsidR="008A5BC1" w:rsidRPr="00B62C1B">
        <w:rPr>
          <w:spacing w:val="-4"/>
        </w:rPr>
        <w:t xml:space="preserve"> </w:t>
      </w:r>
      <w:r w:rsidRPr="00B62C1B">
        <w:rPr>
          <w:spacing w:val="-4"/>
        </w:rPr>
        <w:t xml:space="preserve">Chỉ số </w:t>
      </w:r>
      <w:r w:rsidR="007E4015" w:rsidRPr="00B62C1B">
        <w:rPr>
          <w:spacing w:val="-4"/>
        </w:rPr>
        <w:t xml:space="preserve">PMI tổng hợp của khu vực đồng Euro trong tháng </w:t>
      </w:r>
      <w:r w:rsidR="002543EB" w:rsidRPr="00B62C1B">
        <w:rPr>
          <w:spacing w:val="-4"/>
        </w:rPr>
        <w:t>9</w:t>
      </w:r>
      <w:r w:rsidR="007E4015" w:rsidRPr="00B62C1B">
        <w:rPr>
          <w:spacing w:val="-4"/>
        </w:rPr>
        <w:t xml:space="preserve">/2024 đạt </w:t>
      </w:r>
      <w:r w:rsidR="002543EB" w:rsidRPr="00B62C1B">
        <w:rPr>
          <w:spacing w:val="-4"/>
        </w:rPr>
        <w:t>48,9</w:t>
      </w:r>
      <w:r w:rsidR="003B6132" w:rsidRPr="00B62C1B">
        <w:rPr>
          <w:spacing w:val="-4"/>
        </w:rPr>
        <w:t xml:space="preserve"> điểm</w:t>
      </w:r>
      <w:r w:rsidR="007E4015" w:rsidRPr="00B62C1B">
        <w:rPr>
          <w:spacing w:val="-4"/>
        </w:rPr>
        <w:t xml:space="preserve">, giảm </w:t>
      </w:r>
      <w:r w:rsidR="00F563A6" w:rsidRPr="00B62C1B">
        <w:rPr>
          <w:spacing w:val="-4"/>
        </w:rPr>
        <w:t>2,1</w:t>
      </w:r>
      <w:r w:rsidRPr="00B62C1B">
        <w:rPr>
          <w:spacing w:val="-4"/>
        </w:rPr>
        <w:t xml:space="preserve"> điểm </w:t>
      </w:r>
      <w:r w:rsidR="007E4015" w:rsidRPr="00B62C1B">
        <w:rPr>
          <w:spacing w:val="-4"/>
        </w:rPr>
        <w:t xml:space="preserve">so với </w:t>
      </w:r>
      <w:r w:rsidRPr="00B62C1B">
        <w:rPr>
          <w:spacing w:val="-4"/>
        </w:rPr>
        <w:t>mức 5</w:t>
      </w:r>
      <w:r w:rsidR="00F563A6" w:rsidRPr="00B62C1B">
        <w:rPr>
          <w:spacing w:val="-4"/>
        </w:rPr>
        <w:t>1</w:t>
      </w:r>
      <w:r w:rsidR="00745170" w:rsidRPr="00B62C1B">
        <w:rPr>
          <w:spacing w:val="-4"/>
        </w:rPr>
        <w:t>,0</w:t>
      </w:r>
      <w:r w:rsidRPr="00B62C1B">
        <w:rPr>
          <w:spacing w:val="-4"/>
        </w:rPr>
        <w:t xml:space="preserve"> điểm của </w:t>
      </w:r>
      <w:r w:rsidR="007E4015" w:rsidRPr="00B62C1B">
        <w:rPr>
          <w:spacing w:val="-4"/>
        </w:rPr>
        <w:t xml:space="preserve">tháng </w:t>
      </w:r>
      <w:r w:rsidR="00503B45" w:rsidRPr="00B62C1B">
        <w:rPr>
          <w:spacing w:val="-4"/>
        </w:rPr>
        <w:t>8</w:t>
      </w:r>
      <w:r w:rsidR="007E4015" w:rsidRPr="00B62C1B">
        <w:rPr>
          <w:spacing w:val="-4"/>
        </w:rPr>
        <w:t>/2024</w:t>
      </w:r>
      <w:r w:rsidR="00FF0707" w:rsidRPr="00B62C1B">
        <w:rPr>
          <w:spacing w:val="-4"/>
        </w:rPr>
        <w:t>,</w:t>
      </w:r>
      <w:r w:rsidR="007E4015" w:rsidRPr="00B62C1B">
        <w:rPr>
          <w:spacing w:val="-4"/>
        </w:rPr>
        <w:t xml:space="preserve"> </w:t>
      </w:r>
      <w:r w:rsidR="00503B45" w:rsidRPr="00B62C1B">
        <w:rPr>
          <w:spacing w:val="-4"/>
        </w:rPr>
        <w:t xml:space="preserve">phản ánh mức thấp nhất kể từ tháng 01/2024 và tháng thứ tư giảm liên tiếp. </w:t>
      </w:r>
      <w:r w:rsidR="00505552" w:rsidRPr="00B62C1B">
        <w:rPr>
          <w:spacing w:val="-4"/>
        </w:rPr>
        <w:t>Chỉ số PMI chế biến</w:t>
      </w:r>
      <w:r w:rsidR="00745170" w:rsidRPr="00B62C1B">
        <w:rPr>
          <w:spacing w:val="-4"/>
        </w:rPr>
        <w:t>,</w:t>
      </w:r>
      <w:r w:rsidR="00505552" w:rsidRPr="00B62C1B">
        <w:rPr>
          <w:spacing w:val="-4"/>
        </w:rPr>
        <w:t xml:space="preserve"> chế tạo đạt 44,5 điểm (giảm 0,4 điểm so với tháng 8/2024), là tháng thứ 18 giảm liên tiếp, PMI dịch vụ chỉ đạt 50,5 điểm (giảm 2,4 điểm so với 52,9 điểm của tháng 8/2024) là những nguyên nhân khiến PMI tổng hợp của khu vực đồng Euro giảm sâu. </w:t>
      </w:r>
      <w:r w:rsidR="00853EE7" w:rsidRPr="00B62C1B">
        <w:rPr>
          <w:spacing w:val="-4"/>
        </w:rPr>
        <w:t xml:space="preserve"> </w:t>
      </w:r>
    </w:p>
    <w:p w14:paraId="6BBF6275" w14:textId="77777777" w:rsidR="00637584" w:rsidRPr="00B62C1B" w:rsidRDefault="00C1589A" w:rsidP="009E3468">
      <w:pPr>
        <w:shd w:val="clear" w:color="auto" w:fill="FFFFFF"/>
        <w:spacing w:before="140" w:after="0" w:line="240" w:lineRule="auto"/>
        <w:jc w:val="center"/>
        <w:rPr>
          <w:b/>
          <w:spacing w:val="-4"/>
          <w:lang w:val="vi-VN"/>
        </w:rPr>
      </w:pPr>
      <w:r w:rsidRPr="00B62C1B">
        <w:rPr>
          <w:b/>
          <w:szCs w:val="28"/>
        </w:rPr>
        <w:t xml:space="preserve">Hình 3. </w:t>
      </w:r>
      <w:r w:rsidR="00510DD5" w:rsidRPr="00B62C1B">
        <w:rPr>
          <w:b/>
          <w:spacing w:val="-4"/>
        </w:rPr>
        <w:t>Đánh giá</w:t>
      </w:r>
      <w:r w:rsidR="00510DD5" w:rsidRPr="00B62C1B">
        <w:rPr>
          <w:b/>
          <w:spacing w:val="-4"/>
          <w:lang w:val="vi-VN"/>
        </w:rPr>
        <w:t xml:space="preserve"> </w:t>
      </w:r>
      <w:r w:rsidR="00387BA7" w:rsidRPr="00B62C1B">
        <w:rPr>
          <w:b/>
          <w:szCs w:val="28"/>
        </w:rPr>
        <w:t xml:space="preserve">tăng trưởng </w:t>
      </w:r>
      <w:r w:rsidR="00DD25EF" w:rsidRPr="00B62C1B">
        <w:rPr>
          <w:b/>
          <w:szCs w:val="28"/>
        </w:rPr>
        <w:t xml:space="preserve">của </w:t>
      </w:r>
      <w:r w:rsidR="00387BA7" w:rsidRPr="00B62C1B">
        <w:rPr>
          <w:b/>
          <w:szCs w:val="28"/>
        </w:rPr>
        <w:t>khu vực đồng Euro năm 202</w:t>
      </w:r>
      <w:r w:rsidR="00385E27" w:rsidRPr="00B62C1B">
        <w:rPr>
          <w:b/>
          <w:szCs w:val="28"/>
        </w:rPr>
        <w:t>3</w:t>
      </w:r>
      <w:r w:rsidR="00387BA7" w:rsidRPr="00B62C1B">
        <w:rPr>
          <w:b/>
          <w:szCs w:val="28"/>
        </w:rPr>
        <w:t xml:space="preserve"> và </w:t>
      </w:r>
      <w:r w:rsidR="00DC7C80" w:rsidRPr="00B62C1B">
        <w:rPr>
          <w:b/>
          <w:szCs w:val="28"/>
        </w:rPr>
        <w:t xml:space="preserve">dự báo tăng trưởng năm </w:t>
      </w:r>
      <w:r w:rsidR="00387BA7" w:rsidRPr="00B62C1B">
        <w:rPr>
          <w:b/>
          <w:szCs w:val="28"/>
        </w:rPr>
        <w:t xml:space="preserve">2024 </w:t>
      </w:r>
      <w:r w:rsidR="00564CD8" w:rsidRPr="00B62C1B">
        <w:rPr>
          <w:b/>
          <w:spacing w:val="-4"/>
        </w:rPr>
        <w:t>theo</w:t>
      </w:r>
      <w:r w:rsidR="00564CD8" w:rsidRPr="00B62C1B">
        <w:rPr>
          <w:b/>
          <w:spacing w:val="-4"/>
          <w:lang w:val="vi-VN"/>
        </w:rPr>
        <w:t xml:space="preserve"> </w:t>
      </w:r>
      <w:r w:rsidR="00387BA7" w:rsidRPr="00B62C1B">
        <w:rPr>
          <w:b/>
          <w:spacing w:val="-4"/>
          <w:lang w:val="vi-VN"/>
        </w:rPr>
        <w:t>các tổ chức quốc tế</w:t>
      </w:r>
    </w:p>
    <w:p w14:paraId="56A829DA" w14:textId="0190EF5D" w:rsidR="0052221F" w:rsidRPr="00B62C1B" w:rsidRDefault="0052221F" w:rsidP="009E3468">
      <w:pPr>
        <w:shd w:val="clear" w:color="auto" w:fill="FFFFFF"/>
        <w:spacing w:before="140" w:after="0" w:line="240" w:lineRule="auto"/>
        <w:jc w:val="center"/>
        <w:rPr>
          <w:b/>
          <w:spacing w:val="-4"/>
          <w:lang w:val="vi-VN"/>
        </w:rPr>
      </w:pPr>
      <w:r w:rsidRPr="00B62C1B">
        <w:rPr>
          <w:b/>
          <w:noProof/>
          <w:spacing w:val="-4"/>
          <w:lang w:val="en-GB" w:eastAsia="en-GB"/>
        </w:rPr>
        <w:drawing>
          <wp:inline distT="0" distB="0" distL="0" distR="0" wp14:anchorId="2E7993D3" wp14:editId="487CD1B6">
            <wp:extent cx="2951907" cy="1378424"/>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5326" cy="1389360"/>
                    </a:xfrm>
                    <a:prstGeom prst="rect">
                      <a:avLst/>
                    </a:prstGeom>
                    <a:noFill/>
                  </pic:spPr>
                </pic:pic>
              </a:graphicData>
            </a:graphic>
          </wp:inline>
        </w:drawing>
      </w:r>
    </w:p>
    <w:p w14:paraId="23F63400" w14:textId="1F5AB4DC" w:rsidR="0083424C" w:rsidRPr="00B62C1B" w:rsidRDefault="00387BA7" w:rsidP="00864FB6">
      <w:pPr>
        <w:shd w:val="clear" w:color="auto" w:fill="FFFFFF"/>
        <w:spacing w:before="140" w:after="0" w:line="240" w:lineRule="auto"/>
        <w:jc w:val="right"/>
        <w:rPr>
          <w:sz w:val="24"/>
          <w:szCs w:val="28"/>
        </w:rPr>
      </w:pPr>
      <w:r w:rsidRPr="00B62C1B">
        <w:rPr>
          <w:b/>
          <w:szCs w:val="28"/>
        </w:rPr>
        <w:t xml:space="preserve"> </w:t>
      </w:r>
      <w:r w:rsidR="0083424C" w:rsidRPr="00B62C1B">
        <w:rPr>
          <w:i/>
          <w:sz w:val="24"/>
          <w:szCs w:val="28"/>
        </w:rPr>
        <w:t>Nguồn:</w:t>
      </w:r>
      <w:r w:rsidR="0048573E" w:rsidRPr="00B62C1B">
        <w:rPr>
          <w:i/>
          <w:sz w:val="24"/>
          <w:szCs w:val="28"/>
        </w:rPr>
        <w:t xml:space="preserve"> </w:t>
      </w:r>
      <w:r w:rsidR="00E805C7" w:rsidRPr="00B62C1B">
        <w:rPr>
          <w:i/>
          <w:sz w:val="24"/>
          <w:szCs w:val="28"/>
        </w:rPr>
        <w:t>IMF, UN, ADB và OECD</w:t>
      </w:r>
    </w:p>
    <w:p w14:paraId="593E80E1" w14:textId="3EC3AEA8" w:rsidR="00545B34" w:rsidRPr="00B62C1B" w:rsidRDefault="003F6E2B" w:rsidP="009E3468">
      <w:pPr>
        <w:tabs>
          <w:tab w:val="left" w:pos="9072"/>
        </w:tabs>
        <w:spacing w:before="140" w:after="0" w:line="240" w:lineRule="auto"/>
        <w:ind w:firstLine="720"/>
        <w:jc w:val="both"/>
        <w:rPr>
          <w:spacing w:val="-4"/>
        </w:rPr>
      </w:pPr>
      <w:r w:rsidRPr="00B62C1B">
        <w:rPr>
          <w:spacing w:val="-4"/>
        </w:rPr>
        <w:lastRenderedPageBreak/>
        <w:t xml:space="preserve">Như vậy, các tổ chức quốc tế </w:t>
      </w:r>
      <w:r w:rsidR="003471F4" w:rsidRPr="00B62C1B">
        <w:rPr>
          <w:spacing w:val="-4"/>
        </w:rPr>
        <w:t>đều</w:t>
      </w:r>
      <w:r w:rsidR="00DC7C80" w:rsidRPr="00B62C1B">
        <w:rPr>
          <w:spacing w:val="-4"/>
        </w:rPr>
        <w:t xml:space="preserve"> </w:t>
      </w:r>
      <w:r w:rsidRPr="00B62C1B">
        <w:rPr>
          <w:spacing w:val="-4"/>
        </w:rPr>
        <w:t xml:space="preserve">nhận định tăng trưởng kinh tế </w:t>
      </w:r>
      <w:r w:rsidR="00BE4E6A" w:rsidRPr="00B62C1B">
        <w:rPr>
          <w:spacing w:val="-4"/>
        </w:rPr>
        <w:t xml:space="preserve">của </w:t>
      </w:r>
      <w:r w:rsidRPr="00B62C1B">
        <w:rPr>
          <w:spacing w:val="-4"/>
        </w:rPr>
        <w:t>khu vực đồng Euro dự báo sẽ phục hồi từ mức tăng trưởng thấp, khoảng 0</w:t>
      </w:r>
      <w:r w:rsidR="003F3D46" w:rsidRPr="00B62C1B">
        <w:rPr>
          <w:spacing w:val="-4"/>
        </w:rPr>
        <w:t>,</w:t>
      </w:r>
      <w:r w:rsidRPr="00B62C1B">
        <w:rPr>
          <w:spacing w:val="-4"/>
        </w:rPr>
        <w:t>5% năm 2023 lên mức 0,</w:t>
      </w:r>
      <w:r w:rsidR="003471F4" w:rsidRPr="00B62C1B">
        <w:rPr>
          <w:spacing w:val="-4"/>
        </w:rPr>
        <w:t>7</w:t>
      </w:r>
      <w:r w:rsidRPr="00B62C1B">
        <w:rPr>
          <w:spacing w:val="-4"/>
        </w:rPr>
        <w:t>% - 0,</w:t>
      </w:r>
      <w:r w:rsidR="00637584" w:rsidRPr="00B62C1B">
        <w:rPr>
          <w:spacing w:val="-4"/>
        </w:rPr>
        <w:t>9</w:t>
      </w:r>
      <w:r w:rsidR="003471F4" w:rsidRPr="00B62C1B">
        <w:rPr>
          <w:spacing w:val="-4"/>
        </w:rPr>
        <w:t>%</w:t>
      </w:r>
      <w:r w:rsidRPr="00B62C1B">
        <w:rPr>
          <w:spacing w:val="-4"/>
        </w:rPr>
        <w:t xml:space="preserve"> năm 2024</w:t>
      </w:r>
      <w:r w:rsidR="00637584" w:rsidRPr="00B62C1B">
        <w:rPr>
          <w:spacing w:val="-4"/>
        </w:rPr>
        <w:t>, trong đó OECD và UN giữ nguyên dự báo đưa ra trước đó</w:t>
      </w:r>
      <w:r w:rsidR="00992ED8" w:rsidRPr="00B62C1B">
        <w:rPr>
          <w:spacing w:val="-4"/>
        </w:rPr>
        <w:t xml:space="preserve"> trong khi</w:t>
      </w:r>
      <w:r w:rsidR="00637584" w:rsidRPr="00B62C1B">
        <w:rPr>
          <w:spacing w:val="-4"/>
        </w:rPr>
        <w:t xml:space="preserve"> </w:t>
      </w:r>
      <w:r w:rsidR="0052221F" w:rsidRPr="00B62C1B">
        <w:rPr>
          <w:spacing w:val="-4"/>
        </w:rPr>
        <w:t xml:space="preserve">ADB và </w:t>
      </w:r>
      <w:r w:rsidR="00637584" w:rsidRPr="00B62C1B">
        <w:rPr>
          <w:spacing w:val="-4"/>
        </w:rPr>
        <w:t>IMF điều chỉnh tăng thêm 0,1 điểm phần trăm</w:t>
      </w:r>
      <w:r w:rsidRPr="00B62C1B">
        <w:rPr>
          <w:spacing w:val="-4"/>
        </w:rPr>
        <w:t>.</w:t>
      </w:r>
    </w:p>
    <w:p w14:paraId="28319C33" w14:textId="0F23011F" w:rsidR="00C1589A" w:rsidRPr="00B62C1B" w:rsidRDefault="00C1589A" w:rsidP="009E3468">
      <w:pPr>
        <w:tabs>
          <w:tab w:val="left" w:pos="9072"/>
        </w:tabs>
        <w:spacing w:before="120" w:after="0" w:line="240" w:lineRule="auto"/>
        <w:ind w:firstLine="720"/>
        <w:jc w:val="both"/>
        <w:rPr>
          <w:b/>
          <w:szCs w:val="28"/>
          <w:lang w:val="vi-VN"/>
        </w:rPr>
      </w:pPr>
      <w:r w:rsidRPr="00B62C1B">
        <w:rPr>
          <w:spacing w:val="-4"/>
        </w:rPr>
        <w:t xml:space="preserve"> </w:t>
      </w:r>
      <w:r w:rsidRPr="00B62C1B">
        <w:rPr>
          <w:b/>
          <w:szCs w:val="28"/>
          <w:lang w:val="vi-VN"/>
        </w:rPr>
        <w:t>3. Nhật Bản</w:t>
      </w:r>
    </w:p>
    <w:p w14:paraId="57887525" w14:textId="1FB406D2" w:rsidR="009D5312" w:rsidRPr="00B62C1B" w:rsidRDefault="00AD57B6" w:rsidP="009E3468">
      <w:pPr>
        <w:spacing w:before="120" w:after="0" w:line="240" w:lineRule="auto"/>
        <w:ind w:firstLine="720"/>
        <w:jc w:val="both"/>
        <w:rPr>
          <w:spacing w:val="-4"/>
          <w:szCs w:val="28"/>
        </w:rPr>
      </w:pPr>
      <w:r w:rsidRPr="00B62C1B">
        <w:rPr>
          <w:i/>
          <w:spacing w:val="-4"/>
          <w:szCs w:val="28"/>
        </w:rPr>
        <w:t>UN</w:t>
      </w:r>
      <w:r w:rsidR="007B7D66" w:rsidRPr="00B62C1B">
        <w:rPr>
          <w:spacing w:val="-4"/>
          <w:szCs w:val="28"/>
        </w:rPr>
        <w:t xml:space="preserve"> </w:t>
      </w:r>
      <w:r w:rsidR="00CF39C9" w:rsidRPr="00B62C1B">
        <w:rPr>
          <w:spacing w:val="-4"/>
          <w:szCs w:val="28"/>
        </w:rPr>
        <w:t xml:space="preserve">dự báo tăng trưởng GDP của Nhật Bản năm 2024 </w:t>
      </w:r>
      <w:r w:rsidR="00745170" w:rsidRPr="00B62C1B">
        <w:rPr>
          <w:spacing w:val="-4"/>
          <w:szCs w:val="28"/>
        </w:rPr>
        <w:t>đạt</w:t>
      </w:r>
      <w:r w:rsidR="00CF39C9" w:rsidRPr="00B62C1B">
        <w:rPr>
          <w:spacing w:val="-4"/>
          <w:szCs w:val="28"/>
        </w:rPr>
        <w:t xml:space="preserve"> 0,8%, </w:t>
      </w:r>
      <w:r w:rsidR="00745170" w:rsidRPr="00B62C1B">
        <w:rPr>
          <w:spacing w:val="-4"/>
          <w:szCs w:val="28"/>
        </w:rPr>
        <w:t xml:space="preserve">điều chỉnh </w:t>
      </w:r>
      <w:r w:rsidR="00CF39C9" w:rsidRPr="00B62C1B">
        <w:rPr>
          <w:spacing w:val="-4"/>
          <w:szCs w:val="28"/>
        </w:rPr>
        <w:t>giảm 0,4 điểm phần trăm so với dự báo trong tháng 5/2024. Mặc dù lợi nhuận doanh nghiệp và niềm tin kinh doanh được cải thi</w:t>
      </w:r>
      <w:r w:rsidR="00786762" w:rsidRPr="00B62C1B">
        <w:rPr>
          <w:spacing w:val="-4"/>
          <w:szCs w:val="28"/>
        </w:rPr>
        <w:t>ệ</w:t>
      </w:r>
      <w:r w:rsidR="00CF39C9" w:rsidRPr="00B62C1B">
        <w:rPr>
          <w:spacing w:val="-4"/>
          <w:szCs w:val="28"/>
        </w:rPr>
        <w:t xml:space="preserve">n nhưng tiêu dùng </w:t>
      </w:r>
      <w:r w:rsidR="00BA675B" w:rsidRPr="00B62C1B">
        <w:rPr>
          <w:spacing w:val="-4"/>
          <w:szCs w:val="28"/>
        </w:rPr>
        <w:t xml:space="preserve">cá </w:t>
      </w:r>
      <w:r w:rsidR="001A7818" w:rsidRPr="00B62C1B">
        <w:rPr>
          <w:spacing w:val="-4"/>
          <w:szCs w:val="28"/>
        </w:rPr>
        <w:t xml:space="preserve">nhân vẫn yếu trong bối cảnh tiền lương </w:t>
      </w:r>
      <w:r w:rsidR="00786762" w:rsidRPr="00B62C1B">
        <w:rPr>
          <w:spacing w:val="-4"/>
          <w:szCs w:val="28"/>
        </w:rPr>
        <w:t xml:space="preserve">thực tế </w:t>
      </w:r>
      <w:r w:rsidR="00D728A4" w:rsidRPr="00B62C1B">
        <w:rPr>
          <w:spacing w:val="-4"/>
          <w:szCs w:val="28"/>
        </w:rPr>
        <w:t xml:space="preserve">tăng trưởng </w:t>
      </w:r>
      <w:r w:rsidR="00786762" w:rsidRPr="00B62C1B">
        <w:rPr>
          <w:spacing w:val="-4"/>
          <w:szCs w:val="28"/>
        </w:rPr>
        <w:t>âm kể từ năm 2022</w:t>
      </w:r>
      <w:r w:rsidR="008803DB" w:rsidRPr="00B62C1B">
        <w:rPr>
          <w:spacing w:val="-4"/>
          <w:szCs w:val="28"/>
        </w:rPr>
        <w:t>,</w:t>
      </w:r>
      <w:r w:rsidR="00786762" w:rsidRPr="00B62C1B">
        <w:rPr>
          <w:spacing w:val="-4"/>
          <w:szCs w:val="28"/>
        </w:rPr>
        <w:t xml:space="preserve"> kết hợp với việc Ngân hàng Nhật Bản thắt chặt hơn nữa chính sách tiền tệ từ cuối tháng 7/2024 nhằm mục đích kiềm chế đồng </w:t>
      </w:r>
      <w:r w:rsidR="003C3083" w:rsidRPr="00B62C1B">
        <w:rPr>
          <w:spacing w:val="-4"/>
          <w:szCs w:val="28"/>
        </w:rPr>
        <w:t>Y</w:t>
      </w:r>
      <w:r w:rsidR="00786762" w:rsidRPr="00B62C1B">
        <w:rPr>
          <w:spacing w:val="-4"/>
          <w:szCs w:val="28"/>
        </w:rPr>
        <w:t xml:space="preserve">ên </w:t>
      </w:r>
      <w:r w:rsidR="00D728A4" w:rsidRPr="00B62C1B">
        <w:rPr>
          <w:spacing w:val="-4"/>
          <w:szCs w:val="28"/>
        </w:rPr>
        <w:t xml:space="preserve">trượt giá </w:t>
      </w:r>
      <w:r w:rsidR="00786762" w:rsidRPr="00B62C1B">
        <w:rPr>
          <w:spacing w:val="-4"/>
          <w:szCs w:val="28"/>
        </w:rPr>
        <w:t>so với đồng đô la</w:t>
      </w:r>
      <w:r w:rsidR="008803DB" w:rsidRPr="00B62C1B">
        <w:rPr>
          <w:spacing w:val="-4"/>
          <w:szCs w:val="28"/>
        </w:rPr>
        <w:t xml:space="preserve"> Mỹ</w:t>
      </w:r>
      <w:r w:rsidR="002C794E" w:rsidRPr="00B62C1B">
        <w:rPr>
          <w:spacing w:val="-4"/>
          <w:szCs w:val="28"/>
        </w:rPr>
        <w:t>,</w:t>
      </w:r>
      <w:r w:rsidR="00786762" w:rsidRPr="00B62C1B">
        <w:rPr>
          <w:spacing w:val="-4"/>
          <w:szCs w:val="28"/>
        </w:rPr>
        <w:t xml:space="preserve"> gây ra sự hỗn loạn của thị trường tài chính. Đây là những </w:t>
      </w:r>
      <w:r w:rsidR="001A7818" w:rsidRPr="00B62C1B">
        <w:rPr>
          <w:spacing w:val="-4"/>
          <w:szCs w:val="28"/>
        </w:rPr>
        <w:t xml:space="preserve">nguyên nhân khiến </w:t>
      </w:r>
      <w:r w:rsidRPr="00B62C1B">
        <w:rPr>
          <w:spacing w:val="-4"/>
          <w:szCs w:val="28"/>
        </w:rPr>
        <w:t>UN</w:t>
      </w:r>
      <w:r w:rsidR="001A7818" w:rsidRPr="00B62C1B">
        <w:rPr>
          <w:spacing w:val="-4"/>
          <w:szCs w:val="28"/>
        </w:rPr>
        <w:t xml:space="preserve"> </w:t>
      </w:r>
      <w:r w:rsidR="00113C39" w:rsidRPr="00B62C1B">
        <w:rPr>
          <w:spacing w:val="-4"/>
          <w:szCs w:val="28"/>
        </w:rPr>
        <w:t>nhận định</w:t>
      </w:r>
      <w:r w:rsidR="001A7818" w:rsidRPr="00B62C1B">
        <w:rPr>
          <w:spacing w:val="-4"/>
          <w:szCs w:val="28"/>
        </w:rPr>
        <w:t xml:space="preserve"> không</w:t>
      </w:r>
      <w:r w:rsidR="00113C39" w:rsidRPr="00B62C1B">
        <w:rPr>
          <w:spacing w:val="-4"/>
          <w:szCs w:val="28"/>
        </w:rPr>
        <w:t xml:space="preserve"> mấy</w:t>
      </w:r>
      <w:r w:rsidR="001A7818" w:rsidRPr="00B62C1B">
        <w:rPr>
          <w:spacing w:val="-4"/>
          <w:szCs w:val="28"/>
        </w:rPr>
        <w:t xml:space="preserve"> khả quan về </w:t>
      </w:r>
      <w:r w:rsidR="00113C39" w:rsidRPr="00B62C1B">
        <w:rPr>
          <w:spacing w:val="-4"/>
          <w:szCs w:val="28"/>
        </w:rPr>
        <w:t xml:space="preserve">tăng trưởng của </w:t>
      </w:r>
      <w:r w:rsidR="001A7818" w:rsidRPr="00B62C1B">
        <w:rPr>
          <w:spacing w:val="-4"/>
          <w:szCs w:val="28"/>
        </w:rPr>
        <w:t>kinh tế Nhật Bản</w:t>
      </w:r>
      <w:r w:rsidR="00786762" w:rsidRPr="00B62C1B">
        <w:rPr>
          <w:spacing w:val="-4"/>
          <w:szCs w:val="28"/>
        </w:rPr>
        <w:t xml:space="preserve"> trong năm 2024</w:t>
      </w:r>
      <w:r w:rsidR="001A7818" w:rsidRPr="00B62C1B">
        <w:rPr>
          <w:spacing w:val="-4"/>
          <w:szCs w:val="28"/>
        </w:rPr>
        <w:t>.</w:t>
      </w:r>
    </w:p>
    <w:p w14:paraId="3150268B" w14:textId="26CF0DAF" w:rsidR="009D5312" w:rsidRPr="00B62C1B" w:rsidRDefault="009D5312" w:rsidP="009E3468">
      <w:pPr>
        <w:spacing w:before="120" w:after="0" w:line="240" w:lineRule="auto"/>
        <w:ind w:firstLine="720"/>
        <w:jc w:val="both"/>
        <w:rPr>
          <w:spacing w:val="-6"/>
          <w:szCs w:val="28"/>
        </w:rPr>
      </w:pPr>
      <w:r w:rsidRPr="00B62C1B">
        <w:rPr>
          <w:i/>
          <w:spacing w:val="-6"/>
          <w:szCs w:val="28"/>
        </w:rPr>
        <w:t>IMF</w:t>
      </w:r>
      <w:r w:rsidRPr="00B62C1B">
        <w:rPr>
          <w:spacing w:val="-6"/>
          <w:szCs w:val="28"/>
        </w:rPr>
        <w:t xml:space="preserve"> </w:t>
      </w:r>
      <w:r w:rsidR="00994E48" w:rsidRPr="00B62C1B">
        <w:rPr>
          <w:spacing w:val="-6"/>
          <w:szCs w:val="28"/>
        </w:rPr>
        <w:t>nhận định</w:t>
      </w:r>
      <w:r w:rsidRPr="00B62C1B">
        <w:rPr>
          <w:spacing w:val="-6"/>
          <w:szCs w:val="28"/>
        </w:rPr>
        <w:t xml:space="preserve"> tốc độ tăng trưởng kinh tế của Nhật Bản </w:t>
      </w:r>
      <w:r w:rsidR="00120C48" w:rsidRPr="00B62C1B">
        <w:rPr>
          <w:spacing w:val="-6"/>
          <w:szCs w:val="28"/>
        </w:rPr>
        <w:t>chỉ đạt</w:t>
      </w:r>
      <w:r w:rsidRPr="00B62C1B">
        <w:rPr>
          <w:spacing w:val="-6"/>
          <w:szCs w:val="28"/>
        </w:rPr>
        <w:t xml:space="preserve"> 0,</w:t>
      </w:r>
      <w:r w:rsidR="00120C48" w:rsidRPr="00B62C1B">
        <w:rPr>
          <w:spacing w:val="-6"/>
          <w:szCs w:val="28"/>
        </w:rPr>
        <w:t>7</w:t>
      </w:r>
      <w:r w:rsidRPr="00B62C1B">
        <w:rPr>
          <w:spacing w:val="-6"/>
          <w:szCs w:val="28"/>
        </w:rPr>
        <w:t xml:space="preserve">% năm 2024, </w:t>
      </w:r>
      <w:r w:rsidR="00120C48" w:rsidRPr="00B62C1B">
        <w:rPr>
          <w:spacing w:val="-6"/>
          <w:szCs w:val="28"/>
        </w:rPr>
        <w:t>điều chỉnh giảm 0,2 điểm phần trăm</w:t>
      </w:r>
      <w:r w:rsidRPr="00B62C1B">
        <w:rPr>
          <w:spacing w:val="-6"/>
          <w:szCs w:val="28"/>
        </w:rPr>
        <w:t xml:space="preserve"> so với dự báo đưa ra trong tháng </w:t>
      </w:r>
      <w:r w:rsidR="00120C48" w:rsidRPr="00B62C1B">
        <w:rPr>
          <w:spacing w:val="-6"/>
          <w:szCs w:val="28"/>
        </w:rPr>
        <w:t>4</w:t>
      </w:r>
      <w:r w:rsidRPr="00B62C1B">
        <w:rPr>
          <w:spacing w:val="-6"/>
          <w:szCs w:val="28"/>
        </w:rPr>
        <w:t>/2024</w:t>
      </w:r>
      <w:r w:rsidR="00D728A4" w:rsidRPr="00B62C1B">
        <w:rPr>
          <w:spacing w:val="-6"/>
          <w:szCs w:val="28"/>
        </w:rPr>
        <w:t xml:space="preserve"> do</w:t>
      </w:r>
      <w:r w:rsidR="00120C48" w:rsidRPr="00B62C1B">
        <w:rPr>
          <w:spacing w:val="-6"/>
          <w:szCs w:val="28"/>
        </w:rPr>
        <w:t xml:space="preserve"> nguồn cung </w:t>
      </w:r>
      <w:r w:rsidR="00D728A4" w:rsidRPr="00B62C1B">
        <w:rPr>
          <w:spacing w:val="-6"/>
          <w:szCs w:val="28"/>
        </w:rPr>
        <w:t xml:space="preserve">gián đoạn tạm thời </w:t>
      </w:r>
      <w:r w:rsidR="00120C48" w:rsidRPr="00B62C1B">
        <w:rPr>
          <w:spacing w:val="-6"/>
          <w:szCs w:val="28"/>
        </w:rPr>
        <w:t>và đầu tư tư nhân yếu trong những quý đầu năm</w:t>
      </w:r>
      <w:r w:rsidR="003C3083" w:rsidRPr="00B62C1B">
        <w:rPr>
          <w:spacing w:val="-6"/>
          <w:szCs w:val="28"/>
        </w:rPr>
        <w:t xml:space="preserve"> 2024</w:t>
      </w:r>
      <w:r w:rsidRPr="00B62C1B">
        <w:rPr>
          <w:spacing w:val="-6"/>
          <w:szCs w:val="28"/>
        </w:rPr>
        <w:t>.</w:t>
      </w:r>
    </w:p>
    <w:p w14:paraId="398F0B1E" w14:textId="40B706E9" w:rsidR="00CF1935" w:rsidRPr="00B62C1B" w:rsidRDefault="009D5312" w:rsidP="009E3468">
      <w:pPr>
        <w:spacing w:before="120" w:after="0" w:line="240" w:lineRule="auto"/>
        <w:ind w:firstLine="720"/>
        <w:jc w:val="both"/>
        <w:rPr>
          <w:spacing w:val="-6"/>
          <w:szCs w:val="28"/>
        </w:rPr>
      </w:pPr>
      <w:r w:rsidRPr="00B62C1B">
        <w:rPr>
          <w:i/>
          <w:spacing w:val="-4"/>
          <w:szCs w:val="28"/>
        </w:rPr>
        <w:t>ADB</w:t>
      </w:r>
      <w:r w:rsidRPr="00B62C1B">
        <w:rPr>
          <w:spacing w:val="-4"/>
          <w:szCs w:val="28"/>
        </w:rPr>
        <w:t xml:space="preserve"> </w:t>
      </w:r>
      <w:r w:rsidRPr="00B62C1B">
        <w:rPr>
          <w:spacing w:val="-6"/>
          <w:szCs w:val="28"/>
        </w:rPr>
        <w:t xml:space="preserve">dự báo tăng trưởng GDP </w:t>
      </w:r>
      <w:r w:rsidR="00796B7A" w:rsidRPr="00B62C1B">
        <w:rPr>
          <w:spacing w:val="-6"/>
          <w:szCs w:val="28"/>
        </w:rPr>
        <w:t xml:space="preserve">của </w:t>
      </w:r>
      <w:r w:rsidRPr="00B62C1B">
        <w:rPr>
          <w:spacing w:val="-6"/>
          <w:szCs w:val="28"/>
        </w:rPr>
        <w:t xml:space="preserve">Nhật Bản </w:t>
      </w:r>
      <w:r w:rsidR="003B7A42" w:rsidRPr="00B62C1B">
        <w:rPr>
          <w:spacing w:val="-6"/>
          <w:szCs w:val="28"/>
        </w:rPr>
        <w:t xml:space="preserve">chỉ </w:t>
      </w:r>
      <w:r w:rsidR="00744E7F" w:rsidRPr="00B62C1B">
        <w:rPr>
          <w:spacing w:val="-6"/>
          <w:szCs w:val="28"/>
        </w:rPr>
        <w:t xml:space="preserve">đạt </w:t>
      </w:r>
      <w:r w:rsidRPr="00B62C1B">
        <w:rPr>
          <w:spacing w:val="-6"/>
          <w:szCs w:val="28"/>
        </w:rPr>
        <w:t>0,</w:t>
      </w:r>
      <w:r w:rsidR="003B7A42" w:rsidRPr="00B62C1B">
        <w:rPr>
          <w:spacing w:val="-6"/>
          <w:szCs w:val="28"/>
        </w:rPr>
        <w:t>4</w:t>
      </w:r>
      <w:r w:rsidRPr="00B62C1B">
        <w:rPr>
          <w:spacing w:val="-6"/>
          <w:szCs w:val="28"/>
        </w:rPr>
        <w:t>% năm 2024</w:t>
      </w:r>
      <w:r w:rsidR="00744E7F" w:rsidRPr="00B62C1B">
        <w:rPr>
          <w:spacing w:val="-6"/>
          <w:szCs w:val="28"/>
        </w:rPr>
        <w:t xml:space="preserve">, </w:t>
      </w:r>
      <w:r w:rsidR="003B7A42" w:rsidRPr="00B62C1B">
        <w:rPr>
          <w:spacing w:val="-6"/>
          <w:szCs w:val="28"/>
        </w:rPr>
        <w:t>điều chỉnh giảm 0,2 điểm phần trăm so với</w:t>
      </w:r>
      <w:r w:rsidR="00744E7F" w:rsidRPr="00B62C1B">
        <w:rPr>
          <w:spacing w:val="-6"/>
          <w:szCs w:val="28"/>
        </w:rPr>
        <w:t xml:space="preserve"> dự báo </w:t>
      </w:r>
      <w:r w:rsidR="00992ED8" w:rsidRPr="00B62C1B">
        <w:rPr>
          <w:spacing w:val="-6"/>
          <w:szCs w:val="28"/>
        </w:rPr>
        <w:t>đưa ra trong</w:t>
      </w:r>
      <w:r w:rsidR="00744E7F" w:rsidRPr="00B62C1B">
        <w:rPr>
          <w:spacing w:val="-6"/>
          <w:szCs w:val="28"/>
        </w:rPr>
        <w:t xml:space="preserve"> </w:t>
      </w:r>
      <w:r w:rsidRPr="00B62C1B">
        <w:rPr>
          <w:spacing w:val="-6"/>
          <w:szCs w:val="28"/>
        </w:rPr>
        <w:t xml:space="preserve">tháng </w:t>
      </w:r>
      <w:r w:rsidR="003C3083" w:rsidRPr="00B62C1B">
        <w:rPr>
          <w:spacing w:val="-6"/>
          <w:szCs w:val="28"/>
        </w:rPr>
        <w:t>7</w:t>
      </w:r>
      <w:r w:rsidRPr="00B62C1B">
        <w:rPr>
          <w:spacing w:val="-6"/>
          <w:szCs w:val="28"/>
        </w:rPr>
        <w:t>/202</w:t>
      </w:r>
      <w:r w:rsidR="003C3083" w:rsidRPr="00B62C1B">
        <w:rPr>
          <w:spacing w:val="-6"/>
          <w:szCs w:val="28"/>
        </w:rPr>
        <w:t>4</w:t>
      </w:r>
      <w:r w:rsidR="00992ED8" w:rsidRPr="00B62C1B">
        <w:rPr>
          <w:spacing w:val="-6"/>
          <w:szCs w:val="28"/>
        </w:rPr>
        <w:t>, do lạm phát cao kéo dài tác động tiêu cực đến tiêu dùng tại quốc gia này</w:t>
      </w:r>
      <w:r w:rsidRPr="00B62C1B">
        <w:rPr>
          <w:spacing w:val="-6"/>
          <w:szCs w:val="28"/>
        </w:rPr>
        <w:t>.</w:t>
      </w:r>
    </w:p>
    <w:p w14:paraId="18F5DC05" w14:textId="7A3218B7" w:rsidR="0092583B" w:rsidRPr="00B62C1B" w:rsidRDefault="009D5312" w:rsidP="009E3468">
      <w:pPr>
        <w:spacing w:before="120" w:after="0" w:line="240" w:lineRule="auto"/>
        <w:ind w:firstLine="720"/>
        <w:jc w:val="both"/>
        <w:rPr>
          <w:spacing w:val="-4"/>
          <w:szCs w:val="28"/>
        </w:rPr>
      </w:pPr>
      <w:r w:rsidRPr="00B62C1B">
        <w:rPr>
          <w:i/>
          <w:spacing w:val="-4"/>
          <w:szCs w:val="28"/>
        </w:rPr>
        <w:t>OECD</w:t>
      </w:r>
      <w:r w:rsidRPr="00B62C1B">
        <w:rPr>
          <w:spacing w:val="-4"/>
          <w:szCs w:val="28"/>
        </w:rPr>
        <w:t xml:space="preserve"> </w:t>
      </w:r>
      <w:r w:rsidR="0092583B" w:rsidRPr="00B62C1B">
        <w:rPr>
          <w:spacing w:val="-4"/>
          <w:szCs w:val="28"/>
        </w:rPr>
        <w:t>nhận định</w:t>
      </w:r>
      <w:r w:rsidR="00D01515" w:rsidRPr="00B62C1B">
        <w:rPr>
          <w:spacing w:val="-4"/>
          <w:szCs w:val="28"/>
        </w:rPr>
        <w:t xml:space="preserve"> kết quả sản xuất kinh doanh của nền kinh tế Nhật Bản yếu trong Quý </w:t>
      </w:r>
      <w:r w:rsidR="00E31C5C" w:rsidRPr="00B62C1B">
        <w:rPr>
          <w:spacing w:val="-4"/>
          <w:szCs w:val="28"/>
        </w:rPr>
        <w:t>I</w:t>
      </w:r>
      <w:r w:rsidR="00D01515" w:rsidRPr="00B62C1B">
        <w:rPr>
          <w:spacing w:val="-4"/>
          <w:szCs w:val="28"/>
        </w:rPr>
        <w:t>/2024 khiến tăng trưởng kinh tế Nhật Bản năm 2024 giảm mạnh, xuống -0,1%, điều chỉnh giảm 0,6 điểm phần trăm so với dự báo</w:t>
      </w:r>
      <w:r w:rsidR="00D86B23" w:rsidRPr="00B62C1B">
        <w:rPr>
          <w:spacing w:val="-4"/>
          <w:szCs w:val="28"/>
        </w:rPr>
        <w:t xml:space="preserve"> đưa ra</w:t>
      </w:r>
      <w:r w:rsidR="00D01515" w:rsidRPr="00B62C1B">
        <w:rPr>
          <w:spacing w:val="-4"/>
          <w:szCs w:val="28"/>
        </w:rPr>
        <w:t xml:space="preserve"> trong tháng 5/2024. </w:t>
      </w:r>
    </w:p>
    <w:p w14:paraId="02FA401C" w14:textId="2ED05910" w:rsidR="00346B55" w:rsidRPr="00B62C1B" w:rsidRDefault="009D5312" w:rsidP="009E3468">
      <w:pPr>
        <w:spacing w:before="120" w:after="0" w:line="240" w:lineRule="auto"/>
        <w:ind w:firstLine="720"/>
        <w:jc w:val="both"/>
        <w:rPr>
          <w:szCs w:val="28"/>
        </w:rPr>
      </w:pPr>
      <w:r w:rsidRPr="00B62C1B">
        <w:rPr>
          <w:i/>
          <w:szCs w:val="28"/>
        </w:rPr>
        <w:t>Trading Economics</w:t>
      </w:r>
      <w:r w:rsidRPr="00B62C1B">
        <w:rPr>
          <w:szCs w:val="28"/>
        </w:rPr>
        <w:t xml:space="preserve"> dự báo GDP Quý II</w:t>
      </w:r>
      <w:r w:rsidR="00914F3E" w:rsidRPr="00B62C1B">
        <w:rPr>
          <w:szCs w:val="28"/>
        </w:rPr>
        <w:t>I</w:t>
      </w:r>
      <w:r w:rsidRPr="00B62C1B">
        <w:rPr>
          <w:szCs w:val="28"/>
        </w:rPr>
        <w:t>/2024 của nền kinh tế Nhật Bản tăng 0,</w:t>
      </w:r>
      <w:r w:rsidR="00914F3E" w:rsidRPr="00B62C1B">
        <w:rPr>
          <w:szCs w:val="28"/>
        </w:rPr>
        <w:t>3</w:t>
      </w:r>
      <w:r w:rsidRPr="00B62C1B">
        <w:rPr>
          <w:szCs w:val="28"/>
        </w:rPr>
        <w:t xml:space="preserve">% so với quý trước và tăng </w:t>
      </w:r>
      <w:r w:rsidR="00914F3E" w:rsidRPr="00B62C1B">
        <w:rPr>
          <w:szCs w:val="28"/>
        </w:rPr>
        <w:t>2,3</w:t>
      </w:r>
      <w:r w:rsidRPr="00B62C1B">
        <w:rPr>
          <w:szCs w:val="28"/>
        </w:rPr>
        <w:t>% so với cùng kỳ năm trước.</w:t>
      </w:r>
      <w:r w:rsidR="00D728A4" w:rsidRPr="00B62C1B">
        <w:rPr>
          <w:szCs w:val="28"/>
        </w:rPr>
        <w:t xml:space="preserve"> </w:t>
      </w:r>
      <w:r w:rsidR="004F6C42" w:rsidRPr="00B62C1B">
        <w:rPr>
          <w:szCs w:val="28"/>
        </w:rPr>
        <w:t>C</w:t>
      </w:r>
      <w:r w:rsidR="00C17B81" w:rsidRPr="00B62C1B">
        <w:rPr>
          <w:szCs w:val="28"/>
        </w:rPr>
        <w:t xml:space="preserve">hỉ số </w:t>
      </w:r>
      <w:r w:rsidR="00335873" w:rsidRPr="00B62C1B">
        <w:rPr>
          <w:szCs w:val="28"/>
        </w:rPr>
        <w:t xml:space="preserve">PMI </w:t>
      </w:r>
      <w:r w:rsidR="00767D26" w:rsidRPr="00B62C1B">
        <w:rPr>
          <w:szCs w:val="28"/>
        </w:rPr>
        <w:t xml:space="preserve">tổng hợp </w:t>
      </w:r>
      <w:r w:rsidR="00335873" w:rsidRPr="00B62C1B">
        <w:rPr>
          <w:szCs w:val="28"/>
        </w:rPr>
        <w:t xml:space="preserve">tháng </w:t>
      </w:r>
      <w:r w:rsidR="00AA6367" w:rsidRPr="00B62C1B">
        <w:rPr>
          <w:szCs w:val="28"/>
        </w:rPr>
        <w:t>9</w:t>
      </w:r>
      <w:r w:rsidR="00335873" w:rsidRPr="00B62C1B">
        <w:rPr>
          <w:szCs w:val="28"/>
        </w:rPr>
        <w:t xml:space="preserve">/2024 của Nhật Bản </w:t>
      </w:r>
      <w:r w:rsidR="004F6C42" w:rsidRPr="00B62C1B">
        <w:rPr>
          <w:szCs w:val="28"/>
        </w:rPr>
        <w:t xml:space="preserve">đạt </w:t>
      </w:r>
      <w:r w:rsidR="00AA6367" w:rsidRPr="00B62C1B">
        <w:rPr>
          <w:szCs w:val="28"/>
        </w:rPr>
        <w:t>52,5</w:t>
      </w:r>
      <w:r w:rsidR="00335873" w:rsidRPr="00B62C1B">
        <w:rPr>
          <w:szCs w:val="28"/>
        </w:rPr>
        <w:t xml:space="preserve"> điểm</w:t>
      </w:r>
      <w:r w:rsidR="004F6C42" w:rsidRPr="00B62C1B">
        <w:rPr>
          <w:szCs w:val="28"/>
        </w:rPr>
        <w:t>,</w:t>
      </w:r>
      <w:r w:rsidR="00335873" w:rsidRPr="00B62C1B">
        <w:rPr>
          <w:szCs w:val="28"/>
        </w:rPr>
        <w:t xml:space="preserve"> </w:t>
      </w:r>
      <w:r w:rsidR="004F6C42" w:rsidRPr="00B62C1B">
        <w:rPr>
          <w:szCs w:val="28"/>
        </w:rPr>
        <w:t xml:space="preserve">giảm </w:t>
      </w:r>
      <w:r w:rsidR="00AA6367" w:rsidRPr="00B62C1B">
        <w:rPr>
          <w:szCs w:val="28"/>
        </w:rPr>
        <w:t>0,4</w:t>
      </w:r>
      <w:r w:rsidR="004F6C42" w:rsidRPr="00B62C1B">
        <w:rPr>
          <w:szCs w:val="28"/>
        </w:rPr>
        <w:t xml:space="preserve"> điểm so với mức </w:t>
      </w:r>
      <w:r w:rsidR="00165E73" w:rsidRPr="00B62C1B">
        <w:rPr>
          <w:szCs w:val="28"/>
        </w:rPr>
        <w:t xml:space="preserve">52,9 điểm </w:t>
      </w:r>
      <w:r w:rsidR="00AA6367" w:rsidRPr="00B62C1B">
        <w:rPr>
          <w:szCs w:val="28"/>
        </w:rPr>
        <w:t>của tháng 8/2024</w:t>
      </w:r>
      <w:r w:rsidR="008F03A7" w:rsidRPr="00B62C1B">
        <w:rPr>
          <w:szCs w:val="28"/>
        </w:rPr>
        <w:t xml:space="preserve"> </w:t>
      </w:r>
      <w:r w:rsidR="00165E73" w:rsidRPr="00B62C1B">
        <w:rPr>
          <w:szCs w:val="28"/>
        </w:rPr>
        <w:t xml:space="preserve">(mức cao nhất trong 15 tháng qua) </w:t>
      </w:r>
      <w:r w:rsidR="00D3772C" w:rsidRPr="00B62C1B">
        <w:rPr>
          <w:szCs w:val="28"/>
        </w:rPr>
        <w:t xml:space="preserve">do </w:t>
      </w:r>
      <w:r w:rsidR="008F03A7" w:rsidRPr="00B62C1B">
        <w:rPr>
          <w:szCs w:val="28"/>
        </w:rPr>
        <w:t>hoạt động sản xuất</w:t>
      </w:r>
      <w:r w:rsidR="00D3772C" w:rsidRPr="00B62C1B">
        <w:rPr>
          <w:szCs w:val="28"/>
        </w:rPr>
        <w:t>,</w:t>
      </w:r>
      <w:r w:rsidR="008F03A7" w:rsidRPr="00B62C1B">
        <w:rPr>
          <w:szCs w:val="28"/>
        </w:rPr>
        <w:t xml:space="preserve"> </w:t>
      </w:r>
      <w:r w:rsidR="00D3772C" w:rsidRPr="00B62C1B">
        <w:rPr>
          <w:szCs w:val="28"/>
        </w:rPr>
        <w:t xml:space="preserve">chế biến, chế tạo </w:t>
      </w:r>
      <w:r w:rsidR="008F03A7" w:rsidRPr="00B62C1B">
        <w:rPr>
          <w:szCs w:val="28"/>
        </w:rPr>
        <w:t>giảm (PMI chế biến</w:t>
      </w:r>
      <w:r w:rsidR="002C794E" w:rsidRPr="00B62C1B">
        <w:rPr>
          <w:szCs w:val="28"/>
        </w:rPr>
        <w:t>,</w:t>
      </w:r>
      <w:r w:rsidR="008F03A7" w:rsidRPr="00B62C1B">
        <w:rPr>
          <w:szCs w:val="28"/>
        </w:rPr>
        <w:t xml:space="preserve"> chế tạo đạt 49,6 điểm, giảm 0,2 điểm so với mức 49,8 điểm của tháng 8/2024)</w:t>
      </w:r>
      <w:r w:rsidR="002605B4" w:rsidRPr="00B62C1B">
        <w:rPr>
          <w:szCs w:val="28"/>
        </w:rPr>
        <w:t>. L</w:t>
      </w:r>
      <w:r w:rsidR="00D3772C" w:rsidRPr="00B62C1B">
        <w:rPr>
          <w:szCs w:val="28"/>
        </w:rPr>
        <w:t>ĩnh vực dịch vụ tăng nhẹ</w:t>
      </w:r>
      <w:r w:rsidR="002605B4" w:rsidRPr="00B62C1B">
        <w:rPr>
          <w:szCs w:val="28"/>
        </w:rPr>
        <w:t xml:space="preserve">, </w:t>
      </w:r>
      <w:r w:rsidR="00D3772C" w:rsidRPr="00B62C1B">
        <w:rPr>
          <w:szCs w:val="28"/>
        </w:rPr>
        <w:t>PMI dịch vụ đạt 53,9 điểm trong tháng 9/2024, tăng 0,2 điểm so với mức 53,7 điểm của tháng 8/2024.</w:t>
      </w:r>
    </w:p>
    <w:p w14:paraId="1F664B20" w14:textId="77777777" w:rsidR="00AC2A23" w:rsidRPr="00B62C1B" w:rsidRDefault="00C1589A" w:rsidP="00992ED8">
      <w:pPr>
        <w:spacing w:before="120" w:after="0" w:line="240" w:lineRule="auto"/>
        <w:jc w:val="center"/>
        <w:rPr>
          <w:b/>
          <w:spacing w:val="-4"/>
          <w:lang w:val="vi-VN"/>
        </w:rPr>
      </w:pPr>
      <w:r w:rsidRPr="00B62C1B">
        <w:rPr>
          <w:b/>
          <w:szCs w:val="28"/>
        </w:rPr>
        <w:t xml:space="preserve">Hình 4. </w:t>
      </w:r>
      <w:r w:rsidR="00510DD5" w:rsidRPr="00B62C1B">
        <w:rPr>
          <w:b/>
          <w:spacing w:val="-4"/>
        </w:rPr>
        <w:t>Đánh giá</w:t>
      </w:r>
      <w:r w:rsidR="00510DD5" w:rsidRPr="00B62C1B">
        <w:rPr>
          <w:b/>
          <w:spacing w:val="-4"/>
          <w:lang w:val="vi-VN"/>
        </w:rPr>
        <w:t xml:space="preserve"> </w:t>
      </w:r>
      <w:r w:rsidR="00387BA7" w:rsidRPr="00B62C1B">
        <w:rPr>
          <w:b/>
          <w:szCs w:val="28"/>
        </w:rPr>
        <w:t>tăng trưởng của Nhật Bản năm 202</w:t>
      </w:r>
      <w:r w:rsidR="00385E27" w:rsidRPr="00B62C1B">
        <w:rPr>
          <w:b/>
          <w:szCs w:val="28"/>
        </w:rPr>
        <w:t>3</w:t>
      </w:r>
      <w:r w:rsidR="00387BA7" w:rsidRPr="00B62C1B">
        <w:rPr>
          <w:b/>
          <w:szCs w:val="28"/>
        </w:rPr>
        <w:t xml:space="preserve"> và </w:t>
      </w:r>
      <w:r w:rsidR="00D22C34" w:rsidRPr="00B62C1B">
        <w:rPr>
          <w:b/>
          <w:szCs w:val="28"/>
        </w:rPr>
        <w:t xml:space="preserve">dự báo tăng trưởng năm </w:t>
      </w:r>
      <w:r w:rsidR="00387BA7" w:rsidRPr="00B62C1B">
        <w:rPr>
          <w:b/>
          <w:szCs w:val="28"/>
        </w:rPr>
        <w:t xml:space="preserve">2024 </w:t>
      </w:r>
      <w:r w:rsidR="00564CD8" w:rsidRPr="00B62C1B">
        <w:rPr>
          <w:b/>
          <w:spacing w:val="-4"/>
        </w:rPr>
        <w:t>theo</w:t>
      </w:r>
      <w:r w:rsidR="00564CD8" w:rsidRPr="00B62C1B">
        <w:rPr>
          <w:b/>
          <w:spacing w:val="-4"/>
          <w:lang w:val="vi-VN"/>
        </w:rPr>
        <w:t xml:space="preserve"> </w:t>
      </w:r>
      <w:r w:rsidR="00387BA7" w:rsidRPr="00B62C1B">
        <w:rPr>
          <w:b/>
          <w:spacing w:val="-4"/>
          <w:lang w:val="vi-VN"/>
        </w:rPr>
        <w:t>các tổ chức quốc tế</w:t>
      </w:r>
    </w:p>
    <w:p w14:paraId="18A2CBBA" w14:textId="7498B3C1" w:rsidR="003B7A42" w:rsidRPr="00B62C1B" w:rsidRDefault="003B7A42" w:rsidP="00992ED8">
      <w:pPr>
        <w:spacing w:before="120" w:after="0" w:line="240" w:lineRule="auto"/>
        <w:jc w:val="center"/>
        <w:rPr>
          <w:b/>
          <w:spacing w:val="-4"/>
          <w:lang w:val="vi-VN"/>
        </w:rPr>
      </w:pPr>
      <w:r w:rsidRPr="00B62C1B">
        <w:rPr>
          <w:b/>
          <w:noProof/>
          <w:spacing w:val="-4"/>
          <w:lang w:val="en-GB" w:eastAsia="en-GB"/>
        </w:rPr>
        <w:drawing>
          <wp:inline distT="0" distB="0" distL="0" distR="0" wp14:anchorId="0D4B2800" wp14:editId="42098108">
            <wp:extent cx="2728775" cy="1346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295" cy="1381483"/>
                    </a:xfrm>
                    <a:prstGeom prst="rect">
                      <a:avLst/>
                    </a:prstGeom>
                    <a:noFill/>
                  </pic:spPr>
                </pic:pic>
              </a:graphicData>
            </a:graphic>
          </wp:inline>
        </w:drawing>
      </w:r>
    </w:p>
    <w:p w14:paraId="46B13583" w14:textId="7AB09C5B" w:rsidR="0083424C" w:rsidRPr="00B62C1B" w:rsidRDefault="0083424C" w:rsidP="009E3468">
      <w:pPr>
        <w:spacing w:before="120" w:after="0" w:line="240" w:lineRule="auto"/>
        <w:ind w:firstLine="720"/>
        <w:jc w:val="right"/>
        <w:rPr>
          <w:sz w:val="24"/>
          <w:szCs w:val="28"/>
        </w:rPr>
      </w:pPr>
      <w:r w:rsidRPr="00B62C1B">
        <w:rPr>
          <w:i/>
          <w:sz w:val="24"/>
          <w:szCs w:val="28"/>
        </w:rPr>
        <w:t xml:space="preserve">Nguồn: </w:t>
      </w:r>
      <w:r w:rsidR="0048573E" w:rsidRPr="00B62C1B">
        <w:rPr>
          <w:i/>
          <w:sz w:val="24"/>
          <w:szCs w:val="28"/>
        </w:rPr>
        <w:t xml:space="preserve">UN, IMF, </w:t>
      </w:r>
      <w:r w:rsidR="005F1C51" w:rsidRPr="00B62C1B">
        <w:rPr>
          <w:i/>
          <w:sz w:val="24"/>
          <w:szCs w:val="28"/>
        </w:rPr>
        <w:t xml:space="preserve">ADB và </w:t>
      </w:r>
      <w:r w:rsidR="009D5312" w:rsidRPr="00B62C1B">
        <w:rPr>
          <w:i/>
          <w:sz w:val="24"/>
          <w:szCs w:val="28"/>
        </w:rPr>
        <w:t>OECD</w:t>
      </w:r>
      <w:r w:rsidRPr="00B62C1B">
        <w:rPr>
          <w:i/>
          <w:sz w:val="24"/>
          <w:szCs w:val="28"/>
        </w:rPr>
        <w:t xml:space="preserve"> </w:t>
      </w:r>
    </w:p>
    <w:p w14:paraId="4636EA2D" w14:textId="09315299" w:rsidR="00491128" w:rsidRPr="00B62C1B" w:rsidRDefault="0058090A" w:rsidP="00864FB6">
      <w:pPr>
        <w:spacing w:before="120" w:after="0" w:line="240" w:lineRule="auto"/>
        <w:ind w:firstLine="720"/>
        <w:jc w:val="both"/>
        <w:rPr>
          <w:szCs w:val="28"/>
        </w:rPr>
      </w:pPr>
      <w:r w:rsidRPr="00B62C1B">
        <w:rPr>
          <w:szCs w:val="28"/>
        </w:rPr>
        <w:t xml:space="preserve">Theo </w:t>
      </w:r>
      <w:r w:rsidR="009E1D13" w:rsidRPr="00B62C1B">
        <w:rPr>
          <w:szCs w:val="28"/>
        </w:rPr>
        <w:t>Hình</w:t>
      </w:r>
      <w:r w:rsidRPr="00B62C1B">
        <w:rPr>
          <w:szCs w:val="28"/>
        </w:rPr>
        <w:t xml:space="preserve"> trên, </w:t>
      </w:r>
      <w:r w:rsidR="004A136E" w:rsidRPr="00B62C1B">
        <w:rPr>
          <w:szCs w:val="28"/>
        </w:rPr>
        <w:t xml:space="preserve">hầu hết </w:t>
      </w:r>
      <w:r w:rsidRPr="00B62C1B">
        <w:rPr>
          <w:szCs w:val="28"/>
        </w:rPr>
        <w:t xml:space="preserve">các tổ chức quốc tế đều </w:t>
      </w:r>
      <w:r w:rsidR="00D22C34" w:rsidRPr="00B62C1B">
        <w:rPr>
          <w:szCs w:val="28"/>
        </w:rPr>
        <w:t xml:space="preserve">dự báo </w:t>
      </w:r>
      <w:r w:rsidR="001D2F6C" w:rsidRPr="00B62C1B">
        <w:rPr>
          <w:szCs w:val="28"/>
        </w:rPr>
        <w:t xml:space="preserve">tốc độ </w:t>
      </w:r>
      <w:r w:rsidRPr="00B62C1B">
        <w:rPr>
          <w:szCs w:val="28"/>
        </w:rPr>
        <w:t>tăng trưởng kinh tế của Nhật Bản năm 202</w:t>
      </w:r>
      <w:r w:rsidR="00D22C34" w:rsidRPr="00B62C1B">
        <w:rPr>
          <w:szCs w:val="28"/>
        </w:rPr>
        <w:t xml:space="preserve">4 </w:t>
      </w:r>
      <w:r w:rsidR="001D2F6C" w:rsidRPr="00B62C1B">
        <w:rPr>
          <w:szCs w:val="28"/>
        </w:rPr>
        <w:t xml:space="preserve">thấp </w:t>
      </w:r>
      <w:r w:rsidR="00132C0E" w:rsidRPr="00B62C1B">
        <w:rPr>
          <w:szCs w:val="28"/>
        </w:rPr>
        <w:t xml:space="preserve">hơn </w:t>
      </w:r>
      <w:r w:rsidR="001D2F6C" w:rsidRPr="00B62C1B">
        <w:rPr>
          <w:szCs w:val="28"/>
        </w:rPr>
        <w:t xml:space="preserve">từ </w:t>
      </w:r>
      <w:r w:rsidR="00132C0E" w:rsidRPr="00B62C1B">
        <w:rPr>
          <w:szCs w:val="28"/>
        </w:rPr>
        <w:t>1,</w:t>
      </w:r>
      <w:r w:rsidR="00491128" w:rsidRPr="00B62C1B">
        <w:rPr>
          <w:szCs w:val="28"/>
        </w:rPr>
        <w:t>1</w:t>
      </w:r>
      <w:r w:rsidR="00132C0E" w:rsidRPr="00B62C1B">
        <w:rPr>
          <w:szCs w:val="28"/>
        </w:rPr>
        <w:t xml:space="preserve"> </w:t>
      </w:r>
      <w:r w:rsidR="001D2F6C" w:rsidRPr="00B62C1B">
        <w:rPr>
          <w:szCs w:val="28"/>
        </w:rPr>
        <w:t>đến 1,</w:t>
      </w:r>
      <w:r w:rsidR="00297EA2" w:rsidRPr="00B62C1B">
        <w:rPr>
          <w:szCs w:val="28"/>
        </w:rPr>
        <w:t xml:space="preserve">5 </w:t>
      </w:r>
      <w:r w:rsidR="00132C0E" w:rsidRPr="00B62C1B">
        <w:rPr>
          <w:szCs w:val="28"/>
        </w:rPr>
        <w:t>điểm phần trăm</w:t>
      </w:r>
      <w:r w:rsidR="00D22C34" w:rsidRPr="00B62C1B">
        <w:rPr>
          <w:szCs w:val="28"/>
        </w:rPr>
        <w:t xml:space="preserve"> so với </w:t>
      </w:r>
      <w:r w:rsidR="001D2F6C" w:rsidRPr="00B62C1B">
        <w:rPr>
          <w:szCs w:val="28"/>
        </w:rPr>
        <w:t xml:space="preserve">tăng trưởng </w:t>
      </w:r>
      <w:r w:rsidR="00D22C34" w:rsidRPr="00B62C1B">
        <w:rPr>
          <w:szCs w:val="28"/>
        </w:rPr>
        <w:t xml:space="preserve">năm 2023, </w:t>
      </w:r>
      <w:r w:rsidR="001D2F6C" w:rsidRPr="00B62C1B">
        <w:rPr>
          <w:szCs w:val="28"/>
        </w:rPr>
        <w:t xml:space="preserve">chỉ </w:t>
      </w:r>
      <w:r w:rsidR="00D22C34" w:rsidRPr="00B62C1B">
        <w:rPr>
          <w:szCs w:val="28"/>
        </w:rPr>
        <w:t xml:space="preserve">đạt từ </w:t>
      </w:r>
      <w:r w:rsidRPr="00B62C1B">
        <w:rPr>
          <w:szCs w:val="28"/>
        </w:rPr>
        <w:t>0,</w:t>
      </w:r>
      <w:r w:rsidR="00297EA2" w:rsidRPr="00B62C1B">
        <w:rPr>
          <w:szCs w:val="28"/>
        </w:rPr>
        <w:t>4</w:t>
      </w:r>
      <w:r w:rsidRPr="00B62C1B">
        <w:rPr>
          <w:szCs w:val="28"/>
        </w:rPr>
        <w:t xml:space="preserve">% - </w:t>
      </w:r>
      <w:r w:rsidR="004A136E" w:rsidRPr="00B62C1B">
        <w:rPr>
          <w:szCs w:val="28"/>
        </w:rPr>
        <w:t>0,</w:t>
      </w:r>
      <w:r w:rsidR="00491128" w:rsidRPr="00B62C1B">
        <w:rPr>
          <w:szCs w:val="28"/>
        </w:rPr>
        <w:t>8</w:t>
      </w:r>
      <w:r w:rsidRPr="00B62C1B">
        <w:rPr>
          <w:szCs w:val="28"/>
        </w:rPr>
        <w:t>% trong năm 2024</w:t>
      </w:r>
      <w:r w:rsidR="00D22C34" w:rsidRPr="00B62C1B">
        <w:rPr>
          <w:szCs w:val="28"/>
        </w:rPr>
        <w:t xml:space="preserve"> so với mức 1,9% của </w:t>
      </w:r>
      <w:r w:rsidR="00D22C34" w:rsidRPr="00B62C1B">
        <w:rPr>
          <w:szCs w:val="28"/>
        </w:rPr>
        <w:lastRenderedPageBreak/>
        <w:t>năm 2023</w:t>
      </w:r>
      <w:r w:rsidR="00242018" w:rsidRPr="00B62C1B">
        <w:rPr>
          <w:szCs w:val="28"/>
        </w:rPr>
        <w:t>. R</w:t>
      </w:r>
      <w:r w:rsidR="004A136E" w:rsidRPr="00B62C1B">
        <w:rPr>
          <w:szCs w:val="28"/>
        </w:rPr>
        <w:t xml:space="preserve">iêng </w:t>
      </w:r>
      <w:r w:rsidR="00491128" w:rsidRPr="00B62C1B">
        <w:rPr>
          <w:szCs w:val="28"/>
        </w:rPr>
        <w:t>OECD</w:t>
      </w:r>
      <w:r w:rsidR="004A136E" w:rsidRPr="00B62C1B">
        <w:rPr>
          <w:szCs w:val="28"/>
        </w:rPr>
        <w:t xml:space="preserve"> nhận đị</w:t>
      </w:r>
      <w:r w:rsidR="00491128" w:rsidRPr="00B62C1B">
        <w:rPr>
          <w:szCs w:val="28"/>
        </w:rPr>
        <w:t xml:space="preserve">nh </w:t>
      </w:r>
      <w:r w:rsidR="004A136E" w:rsidRPr="00B62C1B">
        <w:rPr>
          <w:szCs w:val="28"/>
        </w:rPr>
        <w:t>kinh tế Nhật Bản</w:t>
      </w:r>
      <w:r w:rsidR="00491128" w:rsidRPr="00B62C1B">
        <w:rPr>
          <w:szCs w:val="28"/>
        </w:rPr>
        <w:t xml:space="preserve"> </w:t>
      </w:r>
      <w:r w:rsidR="002C794E" w:rsidRPr="00B62C1B">
        <w:rPr>
          <w:szCs w:val="28"/>
        </w:rPr>
        <w:t>tăng trưởng âm trong năm 2024, ở mức</w:t>
      </w:r>
      <w:r w:rsidR="00491128" w:rsidRPr="00B62C1B">
        <w:rPr>
          <w:szCs w:val="28"/>
        </w:rPr>
        <w:t xml:space="preserve"> -0,1%, giảm 2</w:t>
      </w:r>
      <w:r w:rsidR="00165E73" w:rsidRPr="00B62C1B">
        <w:rPr>
          <w:szCs w:val="28"/>
        </w:rPr>
        <w:t>,0</w:t>
      </w:r>
      <w:r w:rsidR="00491128" w:rsidRPr="00B62C1B">
        <w:rPr>
          <w:szCs w:val="28"/>
        </w:rPr>
        <w:t xml:space="preserve"> điểm phần trăm so với tăng trưởng của năm 2023.</w:t>
      </w:r>
    </w:p>
    <w:p w14:paraId="355F8DB1" w14:textId="1F394241" w:rsidR="00C1589A" w:rsidRPr="00B62C1B" w:rsidRDefault="00C1589A" w:rsidP="003600BA">
      <w:pPr>
        <w:spacing w:before="120" w:after="0" w:line="240" w:lineRule="auto"/>
        <w:ind w:firstLine="720"/>
        <w:jc w:val="both"/>
        <w:rPr>
          <w:b/>
          <w:szCs w:val="28"/>
          <w:lang w:val="vi-VN"/>
        </w:rPr>
      </w:pPr>
      <w:r w:rsidRPr="00B62C1B">
        <w:rPr>
          <w:b/>
          <w:szCs w:val="28"/>
          <w:lang w:val="vi-VN"/>
        </w:rPr>
        <w:t>4. Trung Quốc</w:t>
      </w:r>
    </w:p>
    <w:p w14:paraId="5A5208CD" w14:textId="20759F49" w:rsidR="0098487C" w:rsidRPr="00B62C1B" w:rsidRDefault="0098487C" w:rsidP="003600BA">
      <w:pPr>
        <w:tabs>
          <w:tab w:val="left" w:pos="567"/>
        </w:tabs>
        <w:spacing w:before="120" w:after="0" w:line="240" w:lineRule="auto"/>
        <w:ind w:firstLine="720"/>
        <w:jc w:val="both"/>
        <w:rPr>
          <w:spacing w:val="-4"/>
          <w:szCs w:val="28"/>
        </w:rPr>
      </w:pPr>
      <w:r w:rsidRPr="00B62C1B">
        <w:rPr>
          <w:i/>
          <w:spacing w:val="-4"/>
          <w:szCs w:val="28"/>
        </w:rPr>
        <w:t>IMF</w:t>
      </w:r>
      <w:r w:rsidRPr="00B62C1B">
        <w:rPr>
          <w:spacing w:val="-4"/>
          <w:szCs w:val="28"/>
        </w:rPr>
        <w:t xml:space="preserve"> dự báo tăng trưởng kinh tế Trung Quốc năm 2024 đạt 5,0%, điều chỉnh tăng 0,4 điểm phần trăm so với dự báo trong tháng 4/2024, chủ yếu do tiêu dùng </w:t>
      </w:r>
      <w:r w:rsidR="00BA675B" w:rsidRPr="00B62C1B">
        <w:rPr>
          <w:spacing w:val="-4"/>
          <w:szCs w:val="28"/>
        </w:rPr>
        <w:t xml:space="preserve">cá </w:t>
      </w:r>
      <w:r w:rsidRPr="00B62C1B">
        <w:rPr>
          <w:spacing w:val="-4"/>
          <w:szCs w:val="28"/>
        </w:rPr>
        <w:t>nhân phục hồi và xuất khẩu tăng mạnh trong những quý đầu năm.</w:t>
      </w:r>
    </w:p>
    <w:p w14:paraId="621CD79E" w14:textId="17434E59" w:rsidR="00A80951" w:rsidRPr="00B62C1B" w:rsidRDefault="005F1C51" w:rsidP="003600BA">
      <w:pPr>
        <w:tabs>
          <w:tab w:val="left" w:pos="567"/>
        </w:tabs>
        <w:spacing w:before="120" w:after="0" w:line="240" w:lineRule="auto"/>
        <w:ind w:firstLine="720"/>
        <w:jc w:val="both"/>
        <w:rPr>
          <w:spacing w:val="-4"/>
          <w:szCs w:val="28"/>
        </w:rPr>
      </w:pPr>
      <w:r w:rsidRPr="00B62C1B">
        <w:rPr>
          <w:i/>
          <w:spacing w:val="-4"/>
          <w:szCs w:val="28"/>
        </w:rPr>
        <w:t>OECD</w:t>
      </w:r>
      <w:r w:rsidRPr="00B62C1B">
        <w:rPr>
          <w:spacing w:val="-4"/>
          <w:szCs w:val="28"/>
        </w:rPr>
        <w:t xml:space="preserve"> </w:t>
      </w:r>
      <w:r w:rsidR="00A80951" w:rsidRPr="00B62C1B">
        <w:rPr>
          <w:spacing w:val="-4"/>
          <w:szCs w:val="28"/>
        </w:rPr>
        <w:t>giữ nguyên dự báo</w:t>
      </w:r>
      <w:r w:rsidRPr="00B62C1B">
        <w:rPr>
          <w:spacing w:val="-4"/>
          <w:szCs w:val="28"/>
        </w:rPr>
        <w:t xml:space="preserve"> tăng trưởng GDP</w:t>
      </w:r>
      <w:r w:rsidR="0098487C" w:rsidRPr="00B62C1B">
        <w:rPr>
          <w:spacing w:val="-4"/>
          <w:szCs w:val="28"/>
        </w:rPr>
        <w:t xml:space="preserve"> năm 2024</w:t>
      </w:r>
      <w:r w:rsidRPr="00B62C1B">
        <w:rPr>
          <w:spacing w:val="-4"/>
          <w:szCs w:val="28"/>
        </w:rPr>
        <w:t xml:space="preserve"> của Trung Quốc </w:t>
      </w:r>
      <w:r w:rsidR="00A80951" w:rsidRPr="00B62C1B">
        <w:rPr>
          <w:spacing w:val="-4"/>
          <w:szCs w:val="28"/>
        </w:rPr>
        <w:t>ở mức</w:t>
      </w:r>
      <w:r w:rsidRPr="00B62C1B">
        <w:rPr>
          <w:spacing w:val="-4"/>
          <w:szCs w:val="28"/>
        </w:rPr>
        <w:t xml:space="preserve"> 4,9% </w:t>
      </w:r>
      <w:r w:rsidR="00A80951" w:rsidRPr="00B62C1B">
        <w:rPr>
          <w:spacing w:val="-4"/>
          <w:szCs w:val="28"/>
        </w:rPr>
        <w:t>như đã đưa ra</w:t>
      </w:r>
      <w:r w:rsidRPr="00B62C1B">
        <w:rPr>
          <w:spacing w:val="-4"/>
          <w:szCs w:val="28"/>
        </w:rPr>
        <w:t xml:space="preserve"> trong tháng </w:t>
      </w:r>
      <w:r w:rsidR="00A80951" w:rsidRPr="00B62C1B">
        <w:rPr>
          <w:spacing w:val="-4"/>
          <w:szCs w:val="28"/>
        </w:rPr>
        <w:t>5</w:t>
      </w:r>
      <w:r w:rsidRPr="00B62C1B">
        <w:rPr>
          <w:spacing w:val="-4"/>
          <w:szCs w:val="28"/>
        </w:rPr>
        <w:t xml:space="preserve">/2024 </w:t>
      </w:r>
      <w:r w:rsidR="00165E73" w:rsidRPr="00B62C1B">
        <w:rPr>
          <w:spacing w:val="-4"/>
          <w:szCs w:val="28"/>
        </w:rPr>
        <w:t>nhờ</w:t>
      </w:r>
      <w:r w:rsidRPr="00B62C1B">
        <w:rPr>
          <w:spacing w:val="-4"/>
          <w:szCs w:val="28"/>
        </w:rPr>
        <w:t xml:space="preserve"> tác động tích cực của </w:t>
      </w:r>
      <w:r w:rsidR="0098487C" w:rsidRPr="00B62C1B">
        <w:rPr>
          <w:spacing w:val="-4"/>
          <w:szCs w:val="28"/>
        </w:rPr>
        <w:t xml:space="preserve">chính sách </w:t>
      </w:r>
      <w:r w:rsidR="00A80951" w:rsidRPr="00B62C1B">
        <w:rPr>
          <w:spacing w:val="-4"/>
          <w:szCs w:val="28"/>
        </w:rPr>
        <w:t xml:space="preserve">kích thích bổ sung bù đắp cho nhu cầu tiêu dùng yếu và điều chỉnh sâu </w:t>
      </w:r>
      <w:r w:rsidR="00A80951" w:rsidRPr="00B62C1B">
        <w:rPr>
          <w:spacing w:val="-4"/>
        </w:rPr>
        <w:t>trong lĩnh vực bất động sản</w:t>
      </w:r>
      <w:r w:rsidR="00532A98" w:rsidRPr="00B62C1B">
        <w:rPr>
          <w:spacing w:val="-4"/>
        </w:rPr>
        <w:t xml:space="preserve">, kết hợp với </w:t>
      </w:r>
      <w:r w:rsidR="00532A98" w:rsidRPr="00B62C1B">
        <w:rPr>
          <w:spacing w:val="-4"/>
          <w:szCs w:val="28"/>
        </w:rPr>
        <w:t xml:space="preserve">gia tăng chi tiêu của chính phủ sau đợt phát hành trái phiếu chính quyền địa phương </w:t>
      </w:r>
      <w:r w:rsidR="00646245" w:rsidRPr="00B62C1B">
        <w:rPr>
          <w:spacing w:val="-4"/>
          <w:szCs w:val="28"/>
        </w:rPr>
        <w:t xml:space="preserve">dự kiến sẽ thực hiện </w:t>
      </w:r>
      <w:r w:rsidR="00532A98" w:rsidRPr="00B62C1B">
        <w:rPr>
          <w:spacing w:val="-4"/>
          <w:szCs w:val="28"/>
        </w:rPr>
        <w:t xml:space="preserve">trong </w:t>
      </w:r>
      <w:r w:rsidR="00E805C7" w:rsidRPr="00B62C1B">
        <w:rPr>
          <w:spacing w:val="-4"/>
          <w:szCs w:val="28"/>
        </w:rPr>
        <w:t xml:space="preserve">6 </w:t>
      </w:r>
      <w:r w:rsidR="00532A98" w:rsidRPr="00B62C1B">
        <w:rPr>
          <w:spacing w:val="-4"/>
          <w:szCs w:val="28"/>
        </w:rPr>
        <w:t>tháng cuối năm 2024.</w:t>
      </w:r>
      <w:r w:rsidR="00A80951" w:rsidRPr="00B62C1B">
        <w:rPr>
          <w:spacing w:val="-4"/>
          <w:szCs w:val="28"/>
        </w:rPr>
        <w:t xml:space="preserve"> </w:t>
      </w:r>
      <w:r w:rsidRPr="00B62C1B">
        <w:rPr>
          <w:spacing w:val="-4"/>
          <w:szCs w:val="28"/>
        </w:rPr>
        <w:t xml:space="preserve"> </w:t>
      </w:r>
    </w:p>
    <w:p w14:paraId="46D5CB3A" w14:textId="5C40BE74" w:rsidR="00E95C0E" w:rsidRPr="00B62C1B" w:rsidRDefault="009E3362" w:rsidP="003600BA">
      <w:pPr>
        <w:tabs>
          <w:tab w:val="left" w:pos="567"/>
        </w:tabs>
        <w:spacing w:before="120" w:after="0" w:line="240" w:lineRule="auto"/>
        <w:ind w:firstLine="720"/>
        <w:jc w:val="both"/>
        <w:rPr>
          <w:spacing w:val="-4"/>
          <w:szCs w:val="28"/>
        </w:rPr>
      </w:pPr>
      <w:r w:rsidRPr="00B62C1B">
        <w:rPr>
          <w:i/>
          <w:spacing w:val="-4"/>
          <w:szCs w:val="28"/>
        </w:rPr>
        <w:t>ADB</w:t>
      </w:r>
      <w:r w:rsidRPr="00B62C1B">
        <w:rPr>
          <w:spacing w:val="-4"/>
          <w:szCs w:val="28"/>
        </w:rPr>
        <w:t xml:space="preserve"> </w:t>
      </w:r>
      <w:r w:rsidR="00994E48" w:rsidRPr="00B62C1B">
        <w:rPr>
          <w:spacing w:val="-4"/>
          <w:szCs w:val="28"/>
        </w:rPr>
        <w:t>giữ nguyên</w:t>
      </w:r>
      <w:r w:rsidR="00E95C0E" w:rsidRPr="00B62C1B">
        <w:rPr>
          <w:spacing w:val="-4"/>
          <w:szCs w:val="28"/>
        </w:rPr>
        <w:t xml:space="preserve"> tăng trưởng </w:t>
      </w:r>
      <w:r w:rsidRPr="00B62C1B">
        <w:rPr>
          <w:spacing w:val="-4"/>
          <w:szCs w:val="28"/>
        </w:rPr>
        <w:t>của Trung Quốc</w:t>
      </w:r>
      <w:r w:rsidR="00E95C0E" w:rsidRPr="00B62C1B">
        <w:rPr>
          <w:spacing w:val="-4"/>
          <w:szCs w:val="28"/>
        </w:rPr>
        <w:t xml:space="preserve"> </w:t>
      </w:r>
      <w:r w:rsidR="00796B7A" w:rsidRPr="00B62C1B">
        <w:rPr>
          <w:spacing w:val="-4"/>
          <w:szCs w:val="28"/>
        </w:rPr>
        <w:t xml:space="preserve">năm 2024 </w:t>
      </w:r>
      <w:r w:rsidR="00E95C0E" w:rsidRPr="00B62C1B">
        <w:rPr>
          <w:spacing w:val="-4"/>
          <w:szCs w:val="28"/>
        </w:rPr>
        <w:t xml:space="preserve">ở mức 4,8% </w:t>
      </w:r>
      <w:r w:rsidR="00A43CD7" w:rsidRPr="00B62C1B">
        <w:rPr>
          <w:spacing w:val="-4"/>
          <w:szCs w:val="28"/>
        </w:rPr>
        <w:t>so với dự báo</w:t>
      </w:r>
      <w:r w:rsidR="00796B7A" w:rsidRPr="00B62C1B">
        <w:rPr>
          <w:spacing w:val="-4"/>
          <w:szCs w:val="28"/>
        </w:rPr>
        <w:t xml:space="preserve"> đưa ra</w:t>
      </w:r>
      <w:r w:rsidR="00A43CD7" w:rsidRPr="00B62C1B">
        <w:rPr>
          <w:spacing w:val="-4"/>
          <w:szCs w:val="28"/>
        </w:rPr>
        <w:t xml:space="preserve"> trong tháng 7/2024. </w:t>
      </w:r>
      <w:r w:rsidRPr="00B62C1B">
        <w:rPr>
          <w:spacing w:val="-4"/>
          <w:szCs w:val="28"/>
        </w:rPr>
        <w:t>K</w:t>
      </w:r>
      <w:r w:rsidR="00E95C0E" w:rsidRPr="00B62C1B">
        <w:rPr>
          <w:spacing w:val="-4"/>
          <w:szCs w:val="28"/>
        </w:rPr>
        <w:t xml:space="preserve">inh tế </w:t>
      </w:r>
      <w:r w:rsidRPr="00B62C1B">
        <w:rPr>
          <w:spacing w:val="-4"/>
          <w:szCs w:val="28"/>
        </w:rPr>
        <w:t xml:space="preserve">Trung Quốc </w:t>
      </w:r>
      <w:r w:rsidR="00E95C0E" w:rsidRPr="00B62C1B">
        <w:rPr>
          <w:spacing w:val="-4"/>
          <w:szCs w:val="28"/>
        </w:rPr>
        <w:t xml:space="preserve">dự kiến ​​vẫn ổn định </w:t>
      </w:r>
      <w:r w:rsidRPr="00B62C1B">
        <w:rPr>
          <w:spacing w:val="-4"/>
          <w:szCs w:val="28"/>
        </w:rPr>
        <w:t>mặc dù lĩnh vực bất động sản</w:t>
      </w:r>
      <w:r w:rsidR="00796B7A" w:rsidRPr="00B62C1B">
        <w:rPr>
          <w:spacing w:val="-4"/>
          <w:szCs w:val="28"/>
        </w:rPr>
        <w:t xml:space="preserve"> </w:t>
      </w:r>
      <w:r w:rsidR="00994E48" w:rsidRPr="00B62C1B">
        <w:rPr>
          <w:spacing w:val="-4"/>
          <w:szCs w:val="28"/>
        </w:rPr>
        <w:t xml:space="preserve">có thể suy thoái đến </w:t>
      </w:r>
      <w:r w:rsidR="00796B7A" w:rsidRPr="00B62C1B">
        <w:rPr>
          <w:spacing w:val="-4"/>
          <w:szCs w:val="28"/>
        </w:rPr>
        <w:t>những tháng cuối năm</w:t>
      </w:r>
      <w:r w:rsidR="00994E48" w:rsidRPr="00B62C1B">
        <w:rPr>
          <w:spacing w:val="-4"/>
          <w:szCs w:val="28"/>
        </w:rPr>
        <w:t xml:space="preserve"> </w:t>
      </w:r>
      <w:r w:rsidRPr="00B62C1B">
        <w:rPr>
          <w:spacing w:val="-4"/>
          <w:szCs w:val="28"/>
        </w:rPr>
        <w:t>2024</w:t>
      </w:r>
      <w:r w:rsidR="00E95C0E" w:rsidRPr="00B62C1B">
        <w:rPr>
          <w:spacing w:val="-4"/>
          <w:szCs w:val="28"/>
        </w:rPr>
        <w:t xml:space="preserve">. Các biện pháp của chính phủ, gồm </w:t>
      </w:r>
      <w:r w:rsidR="00994E48" w:rsidRPr="00B62C1B">
        <w:rPr>
          <w:spacing w:val="-4"/>
          <w:szCs w:val="28"/>
        </w:rPr>
        <w:t>mở rộng</w:t>
      </w:r>
      <w:r w:rsidR="00994E48" w:rsidRPr="00B62C1B" w:rsidDel="00796B7A">
        <w:rPr>
          <w:spacing w:val="-4"/>
          <w:szCs w:val="28"/>
        </w:rPr>
        <w:t xml:space="preserve"> </w:t>
      </w:r>
      <w:r w:rsidR="00E95C0E" w:rsidRPr="00B62C1B">
        <w:rPr>
          <w:spacing w:val="-4"/>
          <w:szCs w:val="28"/>
        </w:rPr>
        <w:t xml:space="preserve">chính sách tài khóa, </w:t>
      </w:r>
      <w:r w:rsidR="00994E48" w:rsidRPr="00B62C1B">
        <w:rPr>
          <w:spacing w:val="-4"/>
          <w:szCs w:val="28"/>
        </w:rPr>
        <w:t xml:space="preserve">thực hiện sáng kiến ​​thúc đẩy đổi mới, </w:t>
      </w:r>
      <w:r w:rsidR="00E95C0E" w:rsidRPr="00B62C1B">
        <w:rPr>
          <w:spacing w:val="-4"/>
          <w:szCs w:val="28"/>
        </w:rPr>
        <w:t>tăng trợ cấp cho các chương trình đổi mới</w:t>
      </w:r>
      <w:r w:rsidR="00994E48" w:rsidRPr="00B62C1B">
        <w:rPr>
          <w:spacing w:val="-4"/>
          <w:szCs w:val="28"/>
        </w:rPr>
        <w:t>,</w:t>
      </w:r>
      <w:r w:rsidR="00E95C0E" w:rsidRPr="00B62C1B">
        <w:rPr>
          <w:spacing w:val="-4"/>
          <w:szCs w:val="28"/>
        </w:rPr>
        <w:t xml:space="preserve"> nâng cấp thiết bị quy mô lớn, dự kiến ​​sẽ </w:t>
      </w:r>
      <w:r w:rsidR="00796B7A" w:rsidRPr="00B62C1B">
        <w:rPr>
          <w:spacing w:val="-4"/>
          <w:szCs w:val="28"/>
        </w:rPr>
        <w:t xml:space="preserve">góp phần </w:t>
      </w:r>
      <w:r w:rsidR="00994E48" w:rsidRPr="00B62C1B">
        <w:rPr>
          <w:spacing w:val="-4"/>
          <w:szCs w:val="28"/>
        </w:rPr>
        <w:t>làm</w:t>
      </w:r>
      <w:r w:rsidR="00796B7A" w:rsidRPr="00B62C1B">
        <w:rPr>
          <w:spacing w:val="-4"/>
          <w:szCs w:val="28"/>
        </w:rPr>
        <w:t xml:space="preserve"> tăng</w:t>
      </w:r>
      <w:r w:rsidR="00E95C0E" w:rsidRPr="00B62C1B">
        <w:rPr>
          <w:spacing w:val="-4"/>
          <w:szCs w:val="28"/>
        </w:rPr>
        <w:t xml:space="preserve"> tiêu dùng và đầu tư. </w:t>
      </w:r>
    </w:p>
    <w:p w14:paraId="2B5B4A60" w14:textId="53BF9370" w:rsidR="00C70F40" w:rsidRPr="00B62C1B" w:rsidRDefault="00ED2D32" w:rsidP="003600BA">
      <w:pPr>
        <w:tabs>
          <w:tab w:val="left" w:pos="567"/>
        </w:tabs>
        <w:spacing w:before="120" w:after="0" w:line="240" w:lineRule="auto"/>
        <w:ind w:firstLine="720"/>
        <w:jc w:val="both"/>
        <w:rPr>
          <w:spacing w:val="-4"/>
          <w:szCs w:val="28"/>
        </w:rPr>
      </w:pPr>
      <w:r w:rsidRPr="00B62C1B">
        <w:rPr>
          <w:i/>
          <w:spacing w:val="-4"/>
          <w:szCs w:val="28"/>
        </w:rPr>
        <w:t xml:space="preserve">Theo </w:t>
      </w:r>
      <w:r w:rsidR="00E15E49" w:rsidRPr="00B62C1B">
        <w:rPr>
          <w:i/>
          <w:spacing w:val="-4"/>
          <w:szCs w:val="28"/>
        </w:rPr>
        <w:t>UN</w:t>
      </w:r>
      <w:r w:rsidRPr="00B62C1B">
        <w:rPr>
          <w:spacing w:val="-4"/>
          <w:szCs w:val="28"/>
        </w:rPr>
        <w:t xml:space="preserve">, tăng trưởng GDP của nền kinh tế Trung Quốc dự báo đạt 4,8% năm 2024, </w:t>
      </w:r>
      <w:r w:rsidR="00C70F40" w:rsidRPr="00B62C1B">
        <w:rPr>
          <w:spacing w:val="-4"/>
          <w:szCs w:val="28"/>
        </w:rPr>
        <w:t>giữ nguyên</w:t>
      </w:r>
      <w:r w:rsidRPr="00B62C1B">
        <w:rPr>
          <w:spacing w:val="-4"/>
          <w:szCs w:val="28"/>
        </w:rPr>
        <w:t xml:space="preserve"> so với dự báo </w:t>
      </w:r>
      <w:r w:rsidR="00165E73" w:rsidRPr="00B62C1B">
        <w:rPr>
          <w:spacing w:val="-4"/>
          <w:szCs w:val="28"/>
        </w:rPr>
        <w:t>vào</w:t>
      </w:r>
      <w:r w:rsidRPr="00B62C1B">
        <w:rPr>
          <w:spacing w:val="-4"/>
          <w:szCs w:val="28"/>
        </w:rPr>
        <w:t xml:space="preserve"> tháng </w:t>
      </w:r>
      <w:r w:rsidR="00C70F40" w:rsidRPr="00B62C1B">
        <w:rPr>
          <w:spacing w:val="-4"/>
          <w:szCs w:val="28"/>
        </w:rPr>
        <w:t>5</w:t>
      </w:r>
      <w:r w:rsidRPr="00B62C1B">
        <w:rPr>
          <w:spacing w:val="-4"/>
          <w:szCs w:val="28"/>
        </w:rPr>
        <w:t xml:space="preserve">/2024. </w:t>
      </w:r>
      <w:r w:rsidR="00C70F40" w:rsidRPr="00B62C1B">
        <w:rPr>
          <w:spacing w:val="-4"/>
          <w:szCs w:val="28"/>
        </w:rPr>
        <w:t xml:space="preserve">Trong nửa đầu năm 2024, sản xuất công nghiệp và xuất khẩu của Trung Quốc tăng trưởng </w:t>
      </w:r>
      <w:r w:rsidR="00646245" w:rsidRPr="00B62C1B">
        <w:rPr>
          <w:spacing w:val="-4"/>
          <w:szCs w:val="28"/>
        </w:rPr>
        <w:t>ổn định</w:t>
      </w:r>
      <w:r w:rsidR="00165E73" w:rsidRPr="00B62C1B">
        <w:rPr>
          <w:spacing w:val="-4"/>
          <w:szCs w:val="28"/>
        </w:rPr>
        <w:t xml:space="preserve"> nhưng</w:t>
      </w:r>
      <w:r w:rsidR="00C70F40" w:rsidRPr="00B62C1B">
        <w:rPr>
          <w:spacing w:val="-4"/>
          <w:szCs w:val="28"/>
        </w:rPr>
        <w:t xml:space="preserve"> </w:t>
      </w:r>
      <w:r w:rsidR="00165E73" w:rsidRPr="00B62C1B">
        <w:rPr>
          <w:spacing w:val="-4"/>
          <w:szCs w:val="28"/>
        </w:rPr>
        <w:t>niềm tin</w:t>
      </w:r>
      <w:r w:rsidR="00C70F40" w:rsidRPr="00B62C1B">
        <w:rPr>
          <w:spacing w:val="-4"/>
          <w:szCs w:val="28"/>
        </w:rPr>
        <w:t xml:space="preserve"> người tiêu dùng vẫn </w:t>
      </w:r>
      <w:r w:rsidR="00646245" w:rsidRPr="00B62C1B">
        <w:rPr>
          <w:spacing w:val="-4"/>
          <w:szCs w:val="28"/>
        </w:rPr>
        <w:t>yếu</w:t>
      </w:r>
      <w:r w:rsidR="00C70F40" w:rsidRPr="00B62C1B">
        <w:rPr>
          <w:spacing w:val="-4"/>
          <w:szCs w:val="28"/>
        </w:rPr>
        <w:t xml:space="preserve">. Đầu tư của khu vực công đang bù đắp cho yếu kém kéo dài của lĩnh vực bất động sản. Chính phủ duy trì các chính sách tiền tệ thích ứng và chính sách tài khóa chủ động để hỗ trợ tăng trưởng. </w:t>
      </w:r>
    </w:p>
    <w:p w14:paraId="1B187E3E" w14:textId="6A0DF334" w:rsidR="00483B3C" w:rsidRPr="00B62C1B" w:rsidRDefault="009D5312" w:rsidP="003600BA">
      <w:pPr>
        <w:tabs>
          <w:tab w:val="left" w:pos="567"/>
        </w:tabs>
        <w:spacing w:before="120" w:after="0" w:line="240" w:lineRule="auto"/>
        <w:ind w:firstLine="720"/>
        <w:jc w:val="both"/>
        <w:rPr>
          <w:spacing w:val="-4"/>
        </w:rPr>
      </w:pPr>
      <w:r w:rsidRPr="00B62C1B">
        <w:rPr>
          <w:i/>
          <w:spacing w:val="-4"/>
        </w:rPr>
        <w:t>Theo Trading Economics</w:t>
      </w:r>
      <w:r w:rsidRPr="00B62C1B">
        <w:rPr>
          <w:spacing w:val="-4"/>
        </w:rPr>
        <w:t>, GDP Quý II</w:t>
      </w:r>
      <w:r w:rsidR="00914F3E" w:rsidRPr="00B62C1B">
        <w:rPr>
          <w:spacing w:val="-4"/>
        </w:rPr>
        <w:t>I</w:t>
      </w:r>
      <w:r w:rsidRPr="00B62C1B">
        <w:rPr>
          <w:spacing w:val="-4"/>
        </w:rPr>
        <w:t>/2024 của nền kinh tế Trung Quốc dự báo tăng 0,</w:t>
      </w:r>
      <w:r w:rsidR="00914F3E" w:rsidRPr="00B62C1B">
        <w:rPr>
          <w:spacing w:val="-4"/>
        </w:rPr>
        <w:t>7</w:t>
      </w:r>
      <w:r w:rsidRPr="00B62C1B">
        <w:rPr>
          <w:spacing w:val="-4"/>
        </w:rPr>
        <w:t>% so với Quý I</w:t>
      </w:r>
      <w:r w:rsidR="00914F3E" w:rsidRPr="00B62C1B">
        <w:rPr>
          <w:spacing w:val="-4"/>
        </w:rPr>
        <w:t>I</w:t>
      </w:r>
      <w:r w:rsidRPr="00B62C1B">
        <w:rPr>
          <w:spacing w:val="-4"/>
        </w:rPr>
        <w:t xml:space="preserve">/2024 và tăng 5,0% so với cùng kỳ năm 2023. </w:t>
      </w:r>
      <w:r w:rsidR="00483B3C" w:rsidRPr="00B62C1B">
        <w:rPr>
          <w:spacing w:val="-4"/>
        </w:rPr>
        <w:t>Chỉ số PMI tổng hợp của Trung Quốc trong tháng 9/2024 đạt 50,3 điểm, giảm 0,9 điểm so với mức 51,2 điểm của tháng 8/2024, phản ánh mức điểm thấp nhất kể từ tháng 10/2023 do ngành công nghiệp chế biến</w:t>
      </w:r>
      <w:r w:rsidR="005E0784" w:rsidRPr="00B62C1B">
        <w:rPr>
          <w:spacing w:val="-4"/>
        </w:rPr>
        <w:t>,</w:t>
      </w:r>
      <w:r w:rsidR="00483B3C" w:rsidRPr="00B62C1B">
        <w:rPr>
          <w:spacing w:val="-4"/>
        </w:rPr>
        <w:t xml:space="preserve"> chế tạo giảm mạnh hơn dự kiến trong khi ngành dịch vụ tăng thấp nhất trong một năm trở lại đây. </w:t>
      </w:r>
      <w:r w:rsidR="002517BD" w:rsidRPr="00B62C1B">
        <w:rPr>
          <w:spacing w:val="-4"/>
        </w:rPr>
        <w:t>Chỉ số PMI chế biến</w:t>
      </w:r>
      <w:r w:rsidR="005E0784" w:rsidRPr="00B62C1B">
        <w:rPr>
          <w:spacing w:val="-4"/>
        </w:rPr>
        <w:t>,</w:t>
      </w:r>
      <w:r w:rsidR="002517BD" w:rsidRPr="00B62C1B">
        <w:rPr>
          <w:spacing w:val="-4"/>
        </w:rPr>
        <w:t xml:space="preserve"> chế tạo giảm từ mức 50,4 điểm của tháng 8/2024 xuống 49,3 điểm của tháng </w:t>
      </w:r>
      <w:r w:rsidR="00CD312C" w:rsidRPr="00B62C1B">
        <w:rPr>
          <w:spacing w:val="-4"/>
        </w:rPr>
        <w:t>9</w:t>
      </w:r>
      <w:r w:rsidR="002517BD" w:rsidRPr="00B62C1B">
        <w:rPr>
          <w:spacing w:val="-4"/>
        </w:rPr>
        <w:t>/2024</w:t>
      </w:r>
      <w:r w:rsidR="009D4C77" w:rsidRPr="00B62C1B">
        <w:rPr>
          <w:spacing w:val="-4"/>
        </w:rPr>
        <w:t xml:space="preserve"> do đơn hàng mới, việc làm và đơn hàng tồn đọng đều giảm. </w:t>
      </w:r>
      <w:r w:rsidR="00F644AF" w:rsidRPr="00B62C1B">
        <w:rPr>
          <w:spacing w:val="-4"/>
        </w:rPr>
        <w:t>Chỉ số PMI dịch vụ cũng giảm mạnh từ mức 51,6 điểm của tháng 8/2024 xuống 50,3 điểm trong tháng 9/2024, giảm 1,3 điểm.</w:t>
      </w:r>
    </w:p>
    <w:p w14:paraId="26EE3B75" w14:textId="178EB9EA" w:rsidR="00E33ADD" w:rsidRPr="00B62C1B" w:rsidRDefault="00C1589A" w:rsidP="003F531A">
      <w:pPr>
        <w:tabs>
          <w:tab w:val="left" w:pos="567"/>
        </w:tabs>
        <w:spacing w:before="120" w:after="120" w:line="240" w:lineRule="auto"/>
        <w:jc w:val="center"/>
        <w:rPr>
          <w:b/>
          <w:szCs w:val="28"/>
        </w:rPr>
      </w:pPr>
      <w:r w:rsidRPr="00B62C1B">
        <w:rPr>
          <w:b/>
          <w:szCs w:val="28"/>
        </w:rPr>
        <w:t xml:space="preserve">Hình 5. </w:t>
      </w:r>
      <w:r w:rsidR="00510DD5" w:rsidRPr="00B62C1B">
        <w:rPr>
          <w:b/>
          <w:spacing w:val="-4"/>
        </w:rPr>
        <w:t>Đánh giá</w:t>
      </w:r>
      <w:r w:rsidR="00510DD5" w:rsidRPr="00B62C1B">
        <w:rPr>
          <w:b/>
          <w:spacing w:val="-4"/>
          <w:lang w:val="vi-VN"/>
        </w:rPr>
        <w:t xml:space="preserve"> </w:t>
      </w:r>
      <w:r w:rsidR="00DD25EF" w:rsidRPr="00B62C1B">
        <w:rPr>
          <w:b/>
          <w:szCs w:val="28"/>
        </w:rPr>
        <w:t>tăng trưởng của Trung Quốc năm 202</w:t>
      </w:r>
      <w:r w:rsidR="00385E27" w:rsidRPr="00B62C1B">
        <w:rPr>
          <w:b/>
          <w:szCs w:val="28"/>
        </w:rPr>
        <w:t>3</w:t>
      </w:r>
      <w:r w:rsidR="00DD25EF" w:rsidRPr="00B62C1B">
        <w:rPr>
          <w:b/>
          <w:szCs w:val="28"/>
        </w:rPr>
        <w:t xml:space="preserve"> </w:t>
      </w:r>
      <w:r w:rsidR="004315F6" w:rsidRPr="00B62C1B">
        <w:rPr>
          <w:b/>
          <w:szCs w:val="28"/>
        </w:rPr>
        <w:t>và dự báo</w:t>
      </w:r>
      <w:r w:rsidR="00646245" w:rsidRPr="00B62C1B">
        <w:rPr>
          <w:b/>
          <w:szCs w:val="28"/>
        </w:rPr>
        <w:br/>
      </w:r>
      <w:r w:rsidR="004315F6" w:rsidRPr="00B62C1B">
        <w:rPr>
          <w:b/>
          <w:szCs w:val="28"/>
        </w:rPr>
        <w:t xml:space="preserve">tăng trưởng năm </w:t>
      </w:r>
      <w:r w:rsidR="00DD25EF" w:rsidRPr="00B62C1B">
        <w:rPr>
          <w:b/>
          <w:szCs w:val="28"/>
        </w:rPr>
        <w:t xml:space="preserve">2024 </w:t>
      </w:r>
      <w:r w:rsidR="00564CD8" w:rsidRPr="00B62C1B">
        <w:rPr>
          <w:b/>
          <w:spacing w:val="-4"/>
        </w:rPr>
        <w:t>theo</w:t>
      </w:r>
      <w:r w:rsidR="00564CD8" w:rsidRPr="00B62C1B">
        <w:rPr>
          <w:b/>
          <w:spacing w:val="-4"/>
          <w:lang w:val="vi-VN"/>
        </w:rPr>
        <w:t xml:space="preserve"> </w:t>
      </w:r>
      <w:r w:rsidR="00DD25EF" w:rsidRPr="00B62C1B">
        <w:rPr>
          <w:b/>
          <w:spacing w:val="-4"/>
          <w:lang w:val="vi-VN"/>
        </w:rPr>
        <w:t>các tổ chức quốc tế</w:t>
      </w:r>
    </w:p>
    <w:p w14:paraId="368394B9" w14:textId="77BC7306" w:rsidR="00E53930" w:rsidRPr="00B62C1B" w:rsidRDefault="00E53930" w:rsidP="006F6FE1">
      <w:pPr>
        <w:tabs>
          <w:tab w:val="left" w:pos="567"/>
        </w:tabs>
        <w:spacing w:before="120" w:after="120" w:line="240" w:lineRule="auto"/>
        <w:jc w:val="center"/>
        <w:rPr>
          <w:b/>
          <w:szCs w:val="28"/>
        </w:rPr>
      </w:pPr>
      <w:r w:rsidRPr="00B62C1B">
        <w:rPr>
          <w:b/>
          <w:noProof/>
          <w:szCs w:val="28"/>
          <w:lang w:val="en-GB" w:eastAsia="en-GB"/>
        </w:rPr>
        <w:drawing>
          <wp:inline distT="0" distB="0" distL="0" distR="0" wp14:anchorId="7B063B8A" wp14:editId="410B2546">
            <wp:extent cx="2157412" cy="10304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0546" cy="1213395"/>
                    </a:xfrm>
                    <a:prstGeom prst="rect">
                      <a:avLst/>
                    </a:prstGeom>
                    <a:noFill/>
                  </pic:spPr>
                </pic:pic>
              </a:graphicData>
            </a:graphic>
          </wp:inline>
        </w:drawing>
      </w:r>
    </w:p>
    <w:p w14:paraId="53203B97" w14:textId="79832134" w:rsidR="0083424C" w:rsidRPr="00B62C1B" w:rsidRDefault="0083424C" w:rsidP="0083424C">
      <w:pPr>
        <w:spacing w:before="120" w:after="120" w:line="240" w:lineRule="auto"/>
        <w:ind w:firstLine="720"/>
        <w:jc w:val="right"/>
        <w:rPr>
          <w:sz w:val="24"/>
          <w:szCs w:val="28"/>
        </w:rPr>
      </w:pPr>
      <w:r w:rsidRPr="00B62C1B">
        <w:rPr>
          <w:i/>
          <w:sz w:val="24"/>
          <w:szCs w:val="28"/>
        </w:rPr>
        <w:t xml:space="preserve">Nguồn: </w:t>
      </w:r>
      <w:r w:rsidR="0098487C" w:rsidRPr="00B62C1B">
        <w:rPr>
          <w:i/>
          <w:sz w:val="24"/>
          <w:szCs w:val="28"/>
        </w:rPr>
        <w:t xml:space="preserve">IMF, </w:t>
      </w:r>
      <w:r w:rsidR="005F1C51" w:rsidRPr="00B62C1B">
        <w:rPr>
          <w:i/>
          <w:sz w:val="24"/>
          <w:szCs w:val="28"/>
        </w:rPr>
        <w:t xml:space="preserve">OECD, </w:t>
      </w:r>
      <w:r w:rsidR="00BF03DD" w:rsidRPr="00B62C1B">
        <w:rPr>
          <w:i/>
          <w:sz w:val="24"/>
          <w:szCs w:val="28"/>
        </w:rPr>
        <w:t>UN</w:t>
      </w:r>
      <w:r w:rsidRPr="00B62C1B">
        <w:rPr>
          <w:i/>
          <w:sz w:val="24"/>
          <w:szCs w:val="28"/>
        </w:rPr>
        <w:t xml:space="preserve"> </w:t>
      </w:r>
      <w:r w:rsidR="00BF03DD" w:rsidRPr="00B62C1B">
        <w:rPr>
          <w:i/>
          <w:sz w:val="24"/>
          <w:szCs w:val="28"/>
        </w:rPr>
        <w:t xml:space="preserve">và </w:t>
      </w:r>
      <w:r w:rsidR="0098487C" w:rsidRPr="00B62C1B">
        <w:rPr>
          <w:i/>
          <w:sz w:val="24"/>
          <w:szCs w:val="28"/>
        </w:rPr>
        <w:t>ADB</w:t>
      </w:r>
    </w:p>
    <w:p w14:paraId="63D2A851" w14:textId="5DE134BD" w:rsidR="006D3A14" w:rsidRPr="00B62C1B" w:rsidRDefault="004315F6" w:rsidP="009E3468">
      <w:pPr>
        <w:tabs>
          <w:tab w:val="left" w:pos="567"/>
        </w:tabs>
        <w:spacing w:before="140" w:after="0" w:line="240" w:lineRule="auto"/>
        <w:ind w:firstLine="720"/>
        <w:jc w:val="both"/>
        <w:rPr>
          <w:i/>
          <w:sz w:val="24"/>
          <w:szCs w:val="28"/>
        </w:rPr>
      </w:pPr>
      <w:r w:rsidRPr="00B62C1B">
        <w:t>Như vậy,</w:t>
      </w:r>
      <w:r w:rsidR="00D266F1" w:rsidRPr="00B62C1B">
        <w:t xml:space="preserve"> các tổ chức quốc tế </w:t>
      </w:r>
      <w:r w:rsidR="00475EC0" w:rsidRPr="00B62C1B">
        <w:t xml:space="preserve">đều </w:t>
      </w:r>
      <w:r w:rsidR="00D266F1" w:rsidRPr="00B62C1B">
        <w:t xml:space="preserve">nhận định tăng trưởng của Trung Quốc </w:t>
      </w:r>
      <w:r w:rsidRPr="00B62C1B">
        <w:t xml:space="preserve">năm 2024 </w:t>
      </w:r>
      <w:r w:rsidR="00D266F1" w:rsidRPr="00B62C1B">
        <w:t>sẽ chậm lại, đạt khoảng 4,</w:t>
      </w:r>
      <w:r w:rsidR="00EC116D" w:rsidRPr="00B62C1B">
        <w:t>8</w:t>
      </w:r>
      <w:r w:rsidR="00D266F1" w:rsidRPr="00B62C1B">
        <w:t xml:space="preserve">% - </w:t>
      </w:r>
      <w:r w:rsidR="00EC116D" w:rsidRPr="00B62C1B">
        <w:t>5,0</w:t>
      </w:r>
      <w:r w:rsidR="00D266F1" w:rsidRPr="00B62C1B">
        <w:t>%</w:t>
      </w:r>
      <w:r w:rsidR="000B537D" w:rsidRPr="00B62C1B">
        <w:t>, thấp hơn mức 5,2% của năm 2023</w:t>
      </w:r>
      <w:r w:rsidR="006D3A14" w:rsidRPr="00B62C1B">
        <w:t xml:space="preserve">. </w:t>
      </w:r>
    </w:p>
    <w:p w14:paraId="33184852" w14:textId="2A507415" w:rsidR="002B16AD" w:rsidRPr="00B62C1B" w:rsidRDefault="006B7E72" w:rsidP="009E3468">
      <w:pPr>
        <w:tabs>
          <w:tab w:val="left" w:pos="567"/>
        </w:tabs>
        <w:spacing w:before="140" w:after="0" w:line="240" w:lineRule="auto"/>
        <w:ind w:firstLine="720"/>
        <w:jc w:val="both"/>
        <w:rPr>
          <w:b/>
          <w:szCs w:val="28"/>
          <w:lang w:val="vi-VN"/>
        </w:rPr>
      </w:pPr>
      <w:r w:rsidRPr="00B62C1B">
        <w:rPr>
          <w:b/>
          <w:szCs w:val="28"/>
        </w:rPr>
        <w:lastRenderedPageBreak/>
        <w:t>5</w:t>
      </w:r>
      <w:r w:rsidR="002B16AD" w:rsidRPr="00B62C1B">
        <w:rPr>
          <w:b/>
          <w:szCs w:val="28"/>
          <w:lang w:val="vi-VN"/>
        </w:rPr>
        <w:t>. Đông Nam Á</w:t>
      </w:r>
    </w:p>
    <w:p w14:paraId="5DD1FF13" w14:textId="11967A31" w:rsidR="00416DB3" w:rsidRPr="00B62C1B" w:rsidRDefault="001904DC" w:rsidP="009E3468">
      <w:pPr>
        <w:spacing w:before="140" w:after="0" w:line="240" w:lineRule="auto"/>
        <w:ind w:firstLine="720"/>
        <w:jc w:val="both"/>
        <w:rPr>
          <w:spacing w:val="-4"/>
          <w:szCs w:val="28"/>
        </w:rPr>
      </w:pPr>
      <w:r w:rsidRPr="00B62C1B">
        <w:rPr>
          <w:spacing w:val="-4"/>
          <w:szCs w:val="28"/>
        </w:rPr>
        <w:t>T</w:t>
      </w:r>
      <w:r w:rsidR="00416DB3" w:rsidRPr="00B62C1B">
        <w:rPr>
          <w:spacing w:val="-4"/>
          <w:szCs w:val="28"/>
        </w:rPr>
        <w:t>ăng trưởng</w:t>
      </w:r>
      <w:r w:rsidRPr="00B62C1B">
        <w:rPr>
          <w:spacing w:val="-4"/>
          <w:szCs w:val="28"/>
        </w:rPr>
        <w:t xml:space="preserve"> của</w:t>
      </w:r>
      <w:r w:rsidR="00416DB3" w:rsidRPr="00B62C1B">
        <w:rPr>
          <w:spacing w:val="-4"/>
          <w:szCs w:val="28"/>
        </w:rPr>
        <w:t xml:space="preserve"> </w:t>
      </w:r>
      <w:r w:rsidR="00DA45E0" w:rsidRPr="00B62C1B">
        <w:rPr>
          <w:spacing w:val="-4"/>
          <w:szCs w:val="28"/>
        </w:rPr>
        <w:t>khu vực Đông Nam Á năm 2024</w:t>
      </w:r>
      <w:r w:rsidRPr="00B62C1B">
        <w:rPr>
          <w:spacing w:val="-4"/>
          <w:szCs w:val="28"/>
        </w:rPr>
        <w:t xml:space="preserve"> được ADB dự báo </w:t>
      </w:r>
      <w:r w:rsidR="00416DB3" w:rsidRPr="00B62C1B">
        <w:rPr>
          <w:spacing w:val="-4"/>
          <w:szCs w:val="28"/>
        </w:rPr>
        <w:t>đạt</w:t>
      </w:r>
      <w:r w:rsidR="00DA45E0" w:rsidRPr="00B62C1B">
        <w:rPr>
          <w:spacing w:val="-4"/>
          <w:szCs w:val="28"/>
        </w:rPr>
        <w:t xml:space="preserve"> 4,</w:t>
      </w:r>
      <w:r w:rsidR="00416DB3" w:rsidRPr="00B62C1B">
        <w:rPr>
          <w:spacing w:val="-4"/>
          <w:szCs w:val="28"/>
        </w:rPr>
        <w:t>5</w:t>
      </w:r>
      <w:r w:rsidR="00DA45E0" w:rsidRPr="00B62C1B">
        <w:rPr>
          <w:spacing w:val="-4"/>
          <w:szCs w:val="28"/>
        </w:rPr>
        <w:t>%</w:t>
      </w:r>
      <w:r w:rsidRPr="00B62C1B">
        <w:rPr>
          <w:spacing w:val="-4"/>
          <w:szCs w:val="28"/>
        </w:rPr>
        <w:t>,</w:t>
      </w:r>
      <w:r w:rsidR="00864FB6" w:rsidRPr="00B62C1B">
        <w:rPr>
          <w:spacing w:val="-4"/>
          <w:szCs w:val="28"/>
        </w:rPr>
        <w:t xml:space="preserve"> </w:t>
      </w:r>
      <w:r w:rsidRPr="00B62C1B">
        <w:rPr>
          <w:spacing w:val="-4"/>
          <w:szCs w:val="28"/>
        </w:rPr>
        <w:t>giảm 0,1 điểm phần trăm so với dự báo đưa ra trong tháng 7/2024.</w:t>
      </w:r>
      <w:r w:rsidR="00416DB3" w:rsidRPr="00B62C1B">
        <w:rPr>
          <w:spacing w:val="-4"/>
          <w:szCs w:val="28"/>
        </w:rPr>
        <w:t xml:space="preserve"> </w:t>
      </w:r>
      <w:r w:rsidR="00416DB3" w:rsidRPr="00B62C1B">
        <w:t xml:space="preserve">Tuy nhiên, </w:t>
      </w:r>
      <w:r w:rsidR="00864FB6" w:rsidRPr="00B62C1B">
        <w:t xml:space="preserve">ADB nhận định </w:t>
      </w:r>
      <w:r w:rsidR="00416DB3" w:rsidRPr="00B62C1B">
        <w:t xml:space="preserve">tiêu dùng mạnh mẽ, đầu tư tăng, du lịch và xuất khẩu điện tử phục hồi sẽ hỗ trợ tăng trưởng </w:t>
      </w:r>
      <w:r w:rsidRPr="00B62C1B">
        <w:t xml:space="preserve">của </w:t>
      </w:r>
      <w:r w:rsidR="00416DB3" w:rsidRPr="00B62C1B">
        <w:t xml:space="preserve">khu vực </w:t>
      </w:r>
      <w:r w:rsidRPr="00B62C1B">
        <w:t xml:space="preserve">này </w:t>
      </w:r>
      <w:r w:rsidR="00416DB3" w:rsidRPr="00B62C1B">
        <w:t xml:space="preserve">trong thời gian tới. Ở hầu hết các nền kinh tế trong khu vực, lạm phát </w:t>
      </w:r>
      <w:r w:rsidR="006D2DC2" w:rsidRPr="00B62C1B">
        <w:t>nằm</w:t>
      </w:r>
      <w:r w:rsidR="00864FB6" w:rsidRPr="00B62C1B">
        <w:t xml:space="preserve"> </w:t>
      </w:r>
      <w:r w:rsidR="00416DB3" w:rsidRPr="00B62C1B">
        <w:t xml:space="preserve">trong phạm vi mục tiêu của ngân hàng trung ương phần nào </w:t>
      </w:r>
      <w:r w:rsidRPr="00B62C1B">
        <w:t>h</w:t>
      </w:r>
      <w:r w:rsidR="00416DB3" w:rsidRPr="00B62C1B">
        <w:t xml:space="preserve">ỗ trợ cho tăng trưởng. Việc FED cắt giảm lãi suất của Hoa Kỳ trong tháng 9/2024 sẽ mang lại </w:t>
      </w:r>
      <w:r w:rsidRPr="00B62C1B">
        <w:t xml:space="preserve">nhiều </w:t>
      </w:r>
      <w:r w:rsidR="00416DB3" w:rsidRPr="00B62C1B">
        <w:t xml:space="preserve">lợi ích cho người tiêu dùng và doanh nghiệp. Tuy nhiên, căng thẳng địa chính trị gia tăng có thể một lần nữa làm đình trệ thương mại toàn cầu. Biến động thời tiết khắc nghiệt cũng có thể làm gián đoạn đà tăng trưởng </w:t>
      </w:r>
      <w:r w:rsidRPr="00B62C1B">
        <w:t>của</w:t>
      </w:r>
      <w:r w:rsidR="00416DB3" w:rsidRPr="00B62C1B">
        <w:t xml:space="preserve"> </w:t>
      </w:r>
      <w:r w:rsidRPr="00B62C1B">
        <w:t>khu vực.</w:t>
      </w:r>
      <w:r w:rsidR="00DA45E0" w:rsidRPr="00B62C1B">
        <w:rPr>
          <w:spacing w:val="-4"/>
          <w:szCs w:val="28"/>
        </w:rPr>
        <w:t xml:space="preserve"> </w:t>
      </w:r>
    </w:p>
    <w:p w14:paraId="6BBC8FBE" w14:textId="77777777" w:rsidR="009B5277" w:rsidRPr="00B62C1B" w:rsidRDefault="009B5277" w:rsidP="009E3468">
      <w:pPr>
        <w:spacing w:before="140" w:after="0" w:line="240" w:lineRule="auto"/>
        <w:ind w:firstLine="720"/>
        <w:jc w:val="both"/>
        <w:rPr>
          <w:i/>
          <w:spacing w:val="-4"/>
          <w:szCs w:val="28"/>
        </w:rPr>
      </w:pPr>
      <w:r w:rsidRPr="00B62C1B">
        <w:rPr>
          <w:i/>
          <w:szCs w:val="28"/>
        </w:rPr>
        <w:t>Phi-li-pin</w:t>
      </w:r>
    </w:p>
    <w:p w14:paraId="3BE35333" w14:textId="09F63422" w:rsidR="009B5277" w:rsidRPr="00B62C1B" w:rsidRDefault="009B5277" w:rsidP="009E3468">
      <w:pPr>
        <w:spacing w:before="140" w:after="0" w:line="240" w:lineRule="auto"/>
        <w:ind w:firstLine="720"/>
        <w:jc w:val="both"/>
        <w:rPr>
          <w:szCs w:val="28"/>
        </w:rPr>
      </w:pPr>
      <w:r w:rsidRPr="00B62C1B">
        <w:rPr>
          <w:szCs w:val="28"/>
        </w:rPr>
        <w:t>Tăng trưởng của Phi-li-pin được ADB giữ nguyên mức 6,0% cho năm 2024</w:t>
      </w:r>
      <w:r w:rsidR="001904DC" w:rsidRPr="00B62C1B">
        <w:rPr>
          <w:szCs w:val="28"/>
        </w:rPr>
        <w:t xml:space="preserve">, nhờ </w:t>
      </w:r>
      <w:r w:rsidR="00322692" w:rsidRPr="00B62C1B">
        <w:rPr>
          <w:szCs w:val="28"/>
        </w:rPr>
        <w:t xml:space="preserve">nhu cầu trong nước mạnh khi chính phủ thực hiện chính sách điều tiết lạm phát và nới lỏng tiền tệ. </w:t>
      </w:r>
      <w:r w:rsidR="001904DC" w:rsidRPr="00B62C1B">
        <w:rPr>
          <w:szCs w:val="28"/>
        </w:rPr>
        <w:t>Bên cạnh đó, đ</w:t>
      </w:r>
      <w:r w:rsidR="00322692" w:rsidRPr="00B62C1B">
        <w:rPr>
          <w:szCs w:val="28"/>
        </w:rPr>
        <w:t>ầu tư công vững</w:t>
      </w:r>
      <w:r w:rsidR="006D2DC2" w:rsidRPr="00B62C1B">
        <w:rPr>
          <w:szCs w:val="28"/>
        </w:rPr>
        <w:t xml:space="preserve"> chắc</w:t>
      </w:r>
      <w:r w:rsidR="001904DC" w:rsidRPr="00B62C1B">
        <w:rPr>
          <w:szCs w:val="28"/>
        </w:rPr>
        <w:t>, cải cách cơ cấu, bao gồm tự do hóa thị trường, mở cửa nền kinh tế</w:t>
      </w:r>
      <w:r w:rsidR="000051C5" w:rsidRPr="00B62C1B">
        <w:rPr>
          <w:szCs w:val="28"/>
        </w:rPr>
        <w:t xml:space="preserve"> giúp</w:t>
      </w:r>
      <w:r w:rsidR="001904DC" w:rsidRPr="00B62C1B">
        <w:rPr>
          <w:szCs w:val="28"/>
        </w:rPr>
        <w:t xml:space="preserve"> thu hút đầu tư và thương mại nước ngoài và hỗ trợ đầu tư tư nhân</w:t>
      </w:r>
      <w:r w:rsidR="00322692" w:rsidRPr="00B62C1B">
        <w:rPr>
          <w:szCs w:val="28"/>
        </w:rPr>
        <w:t>.</w:t>
      </w:r>
    </w:p>
    <w:p w14:paraId="1AFBAA04" w14:textId="77777777" w:rsidR="009B5277" w:rsidRPr="00B62C1B" w:rsidRDefault="009B5277" w:rsidP="009E3468">
      <w:pPr>
        <w:spacing w:before="140" w:after="0" w:line="240" w:lineRule="auto"/>
        <w:ind w:firstLine="720"/>
        <w:jc w:val="both"/>
        <w:rPr>
          <w:i/>
          <w:spacing w:val="-4"/>
          <w:szCs w:val="28"/>
        </w:rPr>
      </w:pPr>
      <w:r w:rsidRPr="00B62C1B">
        <w:rPr>
          <w:i/>
          <w:spacing w:val="-4"/>
          <w:szCs w:val="28"/>
        </w:rPr>
        <w:t>In-đô-nê-xi-a</w:t>
      </w:r>
    </w:p>
    <w:p w14:paraId="43B610CD" w14:textId="77777777" w:rsidR="009B5277" w:rsidRPr="00B62C1B" w:rsidRDefault="009B5277" w:rsidP="009E3468">
      <w:pPr>
        <w:spacing w:before="140" w:after="0" w:line="240" w:lineRule="auto"/>
        <w:ind w:firstLine="720"/>
        <w:jc w:val="both"/>
        <w:rPr>
          <w:spacing w:val="-4"/>
          <w:szCs w:val="28"/>
        </w:rPr>
      </w:pPr>
      <w:r w:rsidRPr="00B62C1B">
        <w:rPr>
          <w:spacing w:val="-4"/>
          <w:szCs w:val="28"/>
        </w:rPr>
        <w:t>Dự báo tăng trưởng của In-đô-nê-xi-a đạt 5,0% năm 2024. Nhu cầu trong nước tiếp tục là động lực chính trong tăng trưởng kinh tế của quốc gia này. Tiêu dùng tăng nhờ chi tiêu của xã hội và chính phủ liên quan đến bầu cử tăng, lạm phát giảm và lương của công chức tăng. Tiêu dùng chính phủ tăng giúp bù đắp cho xuất khẩu ròng âm do nhu cầu toàn cầu yếu và giá hàng hóa biến động.</w:t>
      </w:r>
    </w:p>
    <w:p w14:paraId="3AAF6EE6" w14:textId="77777777" w:rsidR="009B5277" w:rsidRPr="00B62C1B" w:rsidRDefault="009B5277" w:rsidP="009E3468">
      <w:pPr>
        <w:spacing w:before="140" w:after="0" w:line="240" w:lineRule="auto"/>
        <w:ind w:firstLine="720"/>
        <w:jc w:val="both"/>
        <w:rPr>
          <w:i/>
          <w:spacing w:val="-4"/>
          <w:szCs w:val="28"/>
        </w:rPr>
      </w:pPr>
      <w:r w:rsidRPr="00B62C1B">
        <w:rPr>
          <w:i/>
          <w:spacing w:val="-4"/>
          <w:szCs w:val="28"/>
        </w:rPr>
        <w:t>Ma-lai-xi-a</w:t>
      </w:r>
    </w:p>
    <w:p w14:paraId="1A4DC2F0" w14:textId="7B9EE250" w:rsidR="005E3080" w:rsidRPr="00B62C1B" w:rsidRDefault="009B5277" w:rsidP="005E3080">
      <w:pPr>
        <w:spacing w:before="140" w:after="0" w:line="240" w:lineRule="auto"/>
        <w:ind w:firstLine="720"/>
        <w:jc w:val="both"/>
        <w:rPr>
          <w:spacing w:val="-4"/>
          <w:szCs w:val="28"/>
        </w:rPr>
      </w:pPr>
      <w:r w:rsidRPr="00B62C1B">
        <w:rPr>
          <w:spacing w:val="-4"/>
          <w:szCs w:val="28"/>
        </w:rPr>
        <w:t xml:space="preserve">Triển vọng tăng trưởng GDP của Ma-lai-xi-a năm 2024 vẫn giữ nguyên ở mức 4,5%. </w:t>
      </w:r>
      <w:r w:rsidR="005E3080" w:rsidRPr="00B62C1B">
        <w:rPr>
          <w:spacing w:val="-4"/>
          <w:szCs w:val="28"/>
        </w:rPr>
        <w:t xml:space="preserve">Chính phủ tiếp tục đẩy nhanh các dự án cơ sở hạ tầng và </w:t>
      </w:r>
      <w:r w:rsidR="009535A0" w:rsidRPr="00B62C1B">
        <w:rPr>
          <w:spacing w:val="-4"/>
          <w:szCs w:val="28"/>
        </w:rPr>
        <w:t xml:space="preserve">đặt </w:t>
      </w:r>
      <w:r w:rsidR="005E3080" w:rsidRPr="00B62C1B">
        <w:rPr>
          <w:spacing w:val="-4"/>
          <w:szCs w:val="28"/>
        </w:rPr>
        <w:t xml:space="preserve">mục tiêu trở thành trung tâm kỹ thuật số </w:t>
      </w:r>
      <w:r w:rsidR="009535A0" w:rsidRPr="00B62C1B">
        <w:rPr>
          <w:spacing w:val="-4"/>
          <w:szCs w:val="28"/>
        </w:rPr>
        <w:t xml:space="preserve">trong </w:t>
      </w:r>
      <w:r w:rsidR="005E3080" w:rsidRPr="00B62C1B">
        <w:rPr>
          <w:spacing w:val="-4"/>
          <w:szCs w:val="28"/>
        </w:rPr>
        <w:t xml:space="preserve">khu vực. </w:t>
      </w:r>
      <w:r w:rsidR="000051C5" w:rsidRPr="00B62C1B">
        <w:rPr>
          <w:spacing w:val="-4"/>
          <w:szCs w:val="28"/>
        </w:rPr>
        <w:t xml:space="preserve">Tiêu dùng cá nhân chậm lại nhưng vẫn mạnh nhờ cơ hội việc làm được tạo ra từ các dự án đầu tư và các biện pháp hỗ trợ thu nhập của chính phủ. </w:t>
      </w:r>
      <w:r w:rsidR="005E3080" w:rsidRPr="00B62C1B">
        <w:rPr>
          <w:spacing w:val="-4"/>
          <w:szCs w:val="28"/>
        </w:rPr>
        <w:t>Lượng khách du lịch đến Ma-lai-xi-a tăng nhẹ khi vượt mức trước đại dịch trong đầu năm 2024. Nhu cầu về hàng hóa dần phục hồi nhưng không chắc chắn trong bối cảnh căng thẳng địa chính trị gia tăng.</w:t>
      </w:r>
      <w:r w:rsidR="000051C5" w:rsidRPr="00B62C1B">
        <w:rPr>
          <w:spacing w:val="-4"/>
          <w:szCs w:val="28"/>
        </w:rPr>
        <w:t xml:space="preserve"> </w:t>
      </w:r>
    </w:p>
    <w:p w14:paraId="2D034B52" w14:textId="77777777" w:rsidR="009B5277" w:rsidRPr="00B62C1B" w:rsidRDefault="009B5277" w:rsidP="009E3468">
      <w:pPr>
        <w:spacing w:before="140" w:after="0" w:line="240" w:lineRule="auto"/>
        <w:ind w:firstLine="720"/>
        <w:jc w:val="both"/>
        <w:rPr>
          <w:i/>
          <w:spacing w:val="-4"/>
          <w:szCs w:val="28"/>
        </w:rPr>
      </w:pPr>
      <w:r w:rsidRPr="00B62C1B">
        <w:rPr>
          <w:i/>
          <w:spacing w:val="-4"/>
          <w:szCs w:val="28"/>
        </w:rPr>
        <w:t>Thái Lan</w:t>
      </w:r>
    </w:p>
    <w:p w14:paraId="726D494D" w14:textId="138192B7" w:rsidR="009B5277" w:rsidRPr="00B62C1B" w:rsidRDefault="000051C5">
      <w:pPr>
        <w:spacing w:before="140" w:after="0" w:line="240" w:lineRule="auto"/>
        <w:ind w:firstLine="720"/>
        <w:jc w:val="both"/>
        <w:rPr>
          <w:spacing w:val="-4"/>
          <w:szCs w:val="28"/>
        </w:rPr>
      </w:pPr>
      <w:r w:rsidRPr="00B62C1B">
        <w:rPr>
          <w:spacing w:val="-4"/>
          <w:szCs w:val="28"/>
        </w:rPr>
        <w:t xml:space="preserve">ADB dự báo </w:t>
      </w:r>
      <w:r w:rsidR="009B5277" w:rsidRPr="00B62C1B">
        <w:rPr>
          <w:spacing w:val="-4"/>
          <w:szCs w:val="28"/>
        </w:rPr>
        <w:t xml:space="preserve">tăng trưởng </w:t>
      </w:r>
      <w:r w:rsidRPr="00B62C1B">
        <w:rPr>
          <w:spacing w:val="-4"/>
          <w:szCs w:val="28"/>
        </w:rPr>
        <w:t xml:space="preserve">kinh tế </w:t>
      </w:r>
      <w:r w:rsidR="009B5277" w:rsidRPr="00B62C1B">
        <w:rPr>
          <w:spacing w:val="-4"/>
          <w:szCs w:val="28"/>
        </w:rPr>
        <w:t xml:space="preserve">của Thái Lan năm 2024 </w:t>
      </w:r>
      <w:r w:rsidR="009535A0" w:rsidRPr="00B62C1B">
        <w:rPr>
          <w:spacing w:val="-4"/>
          <w:szCs w:val="28"/>
        </w:rPr>
        <w:t xml:space="preserve">đạt 2,3%, </w:t>
      </w:r>
      <w:r w:rsidR="004833E7" w:rsidRPr="00B62C1B">
        <w:rPr>
          <w:spacing w:val="-4"/>
          <w:szCs w:val="28"/>
        </w:rPr>
        <w:t>giảm 0,3 điểm phần trăm so với dự báo</w:t>
      </w:r>
      <w:r w:rsidR="009535A0" w:rsidRPr="00B62C1B">
        <w:rPr>
          <w:spacing w:val="-4"/>
          <w:szCs w:val="28"/>
        </w:rPr>
        <w:t xml:space="preserve"> đưa ra</w:t>
      </w:r>
      <w:r w:rsidR="004833E7" w:rsidRPr="00B62C1B">
        <w:rPr>
          <w:spacing w:val="-4"/>
          <w:szCs w:val="28"/>
        </w:rPr>
        <w:t xml:space="preserve"> trong tháng 7/2024 </w:t>
      </w:r>
      <w:r w:rsidR="000473A9" w:rsidRPr="00B62C1B">
        <w:rPr>
          <w:spacing w:val="-4"/>
          <w:szCs w:val="28"/>
        </w:rPr>
        <w:t xml:space="preserve">do chi tiêu công, đầu tư tư nhân và xuất khẩu hàng hóa yếu hơn dự kiến. Du lịch và tiêu dùng </w:t>
      </w:r>
      <w:r w:rsidR="009535A0" w:rsidRPr="00B62C1B">
        <w:rPr>
          <w:spacing w:val="-4"/>
          <w:szCs w:val="28"/>
        </w:rPr>
        <w:t>cá</w:t>
      </w:r>
      <w:r w:rsidR="000473A9" w:rsidRPr="00B62C1B">
        <w:rPr>
          <w:spacing w:val="-4"/>
          <w:szCs w:val="28"/>
        </w:rPr>
        <w:t xml:space="preserve"> nhân vẫn là động lực chính của tăng trưởng. </w:t>
      </w:r>
      <w:r w:rsidR="009B5277" w:rsidRPr="00B62C1B">
        <w:rPr>
          <w:spacing w:val="-4"/>
          <w:szCs w:val="28"/>
        </w:rPr>
        <w:t xml:space="preserve"> </w:t>
      </w:r>
    </w:p>
    <w:p w14:paraId="65A1F7DF" w14:textId="77777777" w:rsidR="009B5277" w:rsidRPr="00B62C1B" w:rsidRDefault="009B5277" w:rsidP="009E3468">
      <w:pPr>
        <w:spacing w:before="140" w:after="0" w:line="240" w:lineRule="auto"/>
        <w:ind w:firstLine="720"/>
        <w:jc w:val="both"/>
        <w:rPr>
          <w:i/>
          <w:spacing w:val="-4"/>
          <w:szCs w:val="28"/>
        </w:rPr>
      </w:pPr>
      <w:r w:rsidRPr="00B62C1B">
        <w:rPr>
          <w:i/>
          <w:spacing w:val="-4"/>
          <w:szCs w:val="28"/>
        </w:rPr>
        <w:t>Xin-ga-po</w:t>
      </w:r>
    </w:p>
    <w:p w14:paraId="11AF0B3E" w14:textId="7AB25212" w:rsidR="009B5277" w:rsidRPr="00B62C1B" w:rsidRDefault="009B5277">
      <w:pPr>
        <w:spacing w:before="100" w:after="0" w:line="240" w:lineRule="auto"/>
        <w:ind w:firstLine="720"/>
        <w:jc w:val="both"/>
        <w:rPr>
          <w:spacing w:val="-4"/>
          <w:szCs w:val="28"/>
        </w:rPr>
      </w:pPr>
      <w:r w:rsidRPr="00B62C1B">
        <w:rPr>
          <w:spacing w:val="-4"/>
          <w:szCs w:val="28"/>
        </w:rPr>
        <w:t>ADB dự báo tăng trưởng GDP của Xin-ga-po năm 2024</w:t>
      </w:r>
      <w:r w:rsidR="004833E7" w:rsidRPr="00B62C1B">
        <w:rPr>
          <w:spacing w:val="-4"/>
          <w:szCs w:val="28"/>
        </w:rPr>
        <w:t xml:space="preserve"> </w:t>
      </w:r>
      <w:r w:rsidR="009535A0" w:rsidRPr="00B62C1B">
        <w:rPr>
          <w:spacing w:val="-4"/>
          <w:szCs w:val="28"/>
        </w:rPr>
        <w:t xml:space="preserve">đạt 2,6%, tăng </w:t>
      </w:r>
      <w:r w:rsidR="004833E7" w:rsidRPr="00B62C1B">
        <w:rPr>
          <w:spacing w:val="-4"/>
          <w:szCs w:val="28"/>
        </w:rPr>
        <w:t xml:space="preserve"> 0,2 điểm phần trăm so với dự báo</w:t>
      </w:r>
      <w:r w:rsidR="009535A0" w:rsidRPr="00B62C1B">
        <w:rPr>
          <w:spacing w:val="-4"/>
          <w:szCs w:val="28"/>
        </w:rPr>
        <w:t xml:space="preserve"> đưa ra</w:t>
      </w:r>
      <w:r w:rsidR="004833E7" w:rsidRPr="00B62C1B">
        <w:rPr>
          <w:spacing w:val="-4"/>
          <w:szCs w:val="28"/>
        </w:rPr>
        <w:t xml:space="preserve"> trong tháng 7/2024</w:t>
      </w:r>
      <w:r w:rsidR="009535A0" w:rsidRPr="00B62C1B">
        <w:rPr>
          <w:spacing w:val="-4"/>
          <w:szCs w:val="28"/>
        </w:rPr>
        <w:t>.</w:t>
      </w:r>
      <w:r w:rsidRPr="00B62C1B">
        <w:rPr>
          <w:spacing w:val="-4"/>
          <w:szCs w:val="28"/>
        </w:rPr>
        <w:t xml:space="preserve"> </w:t>
      </w:r>
      <w:r w:rsidR="009D7A36" w:rsidRPr="00B62C1B">
        <w:rPr>
          <w:spacing w:val="-4"/>
          <w:szCs w:val="28"/>
        </w:rPr>
        <w:t xml:space="preserve">Nền kinh tế </w:t>
      </w:r>
      <w:r w:rsidR="009535A0" w:rsidRPr="00B62C1B">
        <w:rPr>
          <w:spacing w:val="-4"/>
          <w:szCs w:val="28"/>
        </w:rPr>
        <w:t>Xin-ga-po</w:t>
      </w:r>
      <w:r w:rsidR="009D7A36" w:rsidRPr="00B62C1B">
        <w:rPr>
          <w:spacing w:val="-4"/>
          <w:szCs w:val="28"/>
        </w:rPr>
        <w:t xml:space="preserve"> tiếp tục tăng trưởng </w:t>
      </w:r>
      <w:r w:rsidR="00225BA1" w:rsidRPr="00B62C1B">
        <w:rPr>
          <w:spacing w:val="-4"/>
          <w:szCs w:val="28"/>
        </w:rPr>
        <w:t>ổn định</w:t>
      </w:r>
      <w:r w:rsidR="009D7A36" w:rsidRPr="00B62C1B">
        <w:rPr>
          <w:spacing w:val="-4"/>
          <w:szCs w:val="28"/>
        </w:rPr>
        <w:t xml:space="preserve"> trong </w:t>
      </w:r>
      <w:r w:rsidR="00423C2D" w:rsidRPr="00B62C1B">
        <w:rPr>
          <w:spacing w:val="-4"/>
          <w:szCs w:val="28"/>
        </w:rPr>
        <w:t>Q</w:t>
      </w:r>
      <w:r w:rsidR="009D7A36" w:rsidRPr="00B62C1B">
        <w:rPr>
          <w:spacing w:val="-4"/>
          <w:szCs w:val="28"/>
        </w:rPr>
        <w:t xml:space="preserve">uý </w:t>
      </w:r>
      <w:r w:rsidR="00423C2D" w:rsidRPr="00B62C1B">
        <w:rPr>
          <w:spacing w:val="-4"/>
          <w:szCs w:val="28"/>
        </w:rPr>
        <w:t>II/</w:t>
      </w:r>
      <w:r w:rsidR="009D7A36" w:rsidRPr="00B62C1B">
        <w:rPr>
          <w:spacing w:val="-4"/>
          <w:szCs w:val="28"/>
        </w:rPr>
        <w:t>2024</w:t>
      </w:r>
      <w:r w:rsidR="00423C2D" w:rsidRPr="00B62C1B">
        <w:rPr>
          <w:spacing w:val="-4"/>
          <w:szCs w:val="28"/>
        </w:rPr>
        <w:t xml:space="preserve">, đạt </w:t>
      </w:r>
      <w:r w:rsidR="009D7A36" w:rsidRPr="00B62C1B">
        <w:rPr>
          <w:spacing w:val="-4"/>
          <w:szCs w:val="28"/>
        </w:rPr>
        <w:t>2,9% so với cùng kỳ năm trước</w:t>
      </w:r>
      <w:r w:rsidR="00423C2D" w:rsidRPr="00B62C1B">
        <w:rPr>
          <w:spacing w:val="-4"/>
          <w:szCs w:val="28"/>
        </w:rPr>
        <w:t xml:space="preserve">. Tăng trưởng dịch vụ chậm lại nhưng vận tải được hưởng lợi khi lượng hàng giao từ Trung </w:t>
      </w:r>
      <w:r w:rsidR="00423C2D" w:rsidRPr="00B62C1B">
        <w:rPr>
          <w:spacing w:val="-4"/>
          <w:szCs w:val="28"/>
        </w:rPr>
        <w:lastRenderedPageBreak/>
        <w:t xml:space="preserve">Quốc tăng </w:t>
      </w:r>
      <w:r w:rsidR="009535A0" w:rsidRPr="00B62C1B">
        <w:rPr>
          <w:spacing w:val="-4"/>
          <w:szCs w:val="28"/>
        </w:rPr>
        <w:t xml:space="preserve">nhằm </w:t>
      </w:r>
      <w:r w:rsidR="00423C2D" w:rsidRPr="00B62C1B">
        <w:rPr>
          <w:spacing w:val="-4"/>
          <w:szCs w:val="28"/>
        </w:rPr>
        <w:t xml:space="preserve">đối phó với </w:t>
      </w:r>
      <w:r w:rsidR="00225BA1" w:rsidRPr="00B62C1B">
        <w:rPr>
          <w:spacing w:val="-4"/>
          <w:szCs w:val="28"/>
        </w:rPr>
        <w:t>chính sách</w:t>
      </w:r>
      <w:r w:rsidR="00423C2D" w:rsidRPr="00B62C1B">
        <w:rPr>
          <w:spacing w:val="-4"/>
          <w:szCs w:val="28"/>
        </w:rPr>
        <w:t xml:space="preserve"> tăng thuế quan của Hoa Kỳ. Tăng trưởng trong </w:t>
      </w:r>
      <w:r w:rsidR="009535A0" w:rsidRPr="00B62C1B">
        <w:rPr>
          <w:spacing w:val="-4"/>
          <w:szCs w:val="28"/>
        </w:rPr>
        <w:t xml:space="preserve">lĩnh vực </w:t>
      </w:r>
      <w:r w:rsidR="00423C2D" w:rsidRPr="00B62C1B">
        <w:rPr>
          <w:spacing w:val="-4"/>
          <w:szCs w:val="28"/>
        </w:rPr>
        <w:t xml:space="preserve">tài chính, thông tin và truyền thông được cải thiện. Xây dựng </w:t>
      </w:r>
      <w:r w:rsidR="006D2DC2" w:rsidRPr="00B62C1B">
        <w:rPr>
          <w:spacing w:val="-4"/>
          <w:szCs w:val="28"/>
        </w:rPr>
        <w:t>tăng nhờ</w:t>
      </w:r>
      <w:r w:rsidR="00423C2D" w:rsidRPr="00B62C1B">
        <w:rPr>
          <w:spacing w:val="-4"/>
          <w:szCs w:val="28"/>
        </w:rPr>
        <w:t xml:space="preserve"> </w:t>
      </w:r>
      <w:r w:rsidR="006D2DC2" w:rsidRPr="00B62C1B">
        <w:rPr>
          <w:spacing w:val="-4"/>
          <w:szCs w:val="28"/>
        </w:rPr>
        <w:t xml:space="preserve">đẩy mạnh </w:t>
      </w:r>
      <w:r w:rsidR="00423C2D" w:rsidRPr="00B62C1B">
        <w:rPr>
          <w:spacing w:val="-4"/>
          <w:szCs w:val="28"/>
        </w:rPr>
        <w:t xml:space="preserve">các dự án khu vực công. Về phía cầu, </w:t>
      </w:r>
      <w:r w:rsidR="009535A0" w:rsidRPr="00B62C1B">
        <w:rPr>
          <w:spacing w:val="-4"/>
          <w:szCs w:val="28"/>
        </w:rPr>
        <w:t xml:space="preserve">chi tiêu công và cá nhân cao </w:t>
      </w:r>
      <w:r w:rsidR="006D2DC2" w:rsidRPr="00B62C1B">
        <w:rPr>
          <w:spacing w:val="-4"/>
          <w:szCs w:val="28"/>
        </w:rPr>
        <w:t>cũng giúp</w:t>
      </w:r>
      <w:r w:rsidR="009535A0" w:rsidRPr="00B62C1B">
        <w:rPr>
          <w:spacing w:val="-4"/>
          <w:szCs w:val="28"/>
        </w:rPr>
        <w:t xml:space="preserve"> </w:t>
      </w:r>
      <w:r w:rsidR="00423C2D" w:rsidRPr="00B62C1B">
        <w:rPr>
          <w:spacing w:val="-4"/>
          <w:szCs w:val="28"/>
        </w:rPr>
        <w:t>tiêu dùng</w:t>
      </w:r>
      <w:r w:rsidR="006D2DC2" w:rsidRPr="00B62C1B">
        <w:rPr>
          <w:spacing w:val="-4"/>
          <w:szCs w:val="28"/>
        </w:rPr>
        <w:t xml:space="preserve"> tăng</w:t>
      </w:r>
      <w:r w:rsidR="009535A0" w:rsidRPr="00B62C1B">
        <w:rPr>
          <w:spacing w:val="-4"/>
          <w:szCs w:val="28"/>
        </w:rPr>
        <w:t>.</w:t>
      </w:r>
      <w:r w:rsidR="00423C2D" w:rsidRPr="00B62C1B">
        <w:rPr>
          <w:spacing w:val="-4"/>
          <w:szCs w:val="28"/>
        </w:rPr>
        <w:t xml:space="preserve"> </w:t>
      </w:r>
    </w:p>
    <w:p w14:paraId="034F0C37" w14:textId="77777777" w:rsidR="009B5277" w:rsidRPr="00B62C1B" w:rsidRDefault="009B5277" w:rsidP="009E3468">
      <w:pPr>
        <w:spacing w:before="100" w:after="0" w:line="240" w:lineRule="auto"/>
        <w:jc w:val="center"/>
        <w:rPr>
          <w:b/>
          <w:szCs w:val="28"/>
        </w:rPr>
      </w:pPr>
      <w:r w:rsidRPr="00B62C1B">
        <w:rPr>
          <w:b/>
          <w:spacing w:val="-2"/>
          <w:lang w:val="vi-VN"/>
        </w:rPr>
        <w:t xml:space="preserve">Hình 6. </w:t>
      </w:r>
      <w:r w:rsidRPr="00B62C1B">
        <w:rPr>
          <w:b/>
          <w:spacing w:val="-2"/>
        </w:rPr>
        <w:t xml:space="preserve">Đánh giá tăng trưởng của các quốc gia ASEAN năm 2023 và </w:t>
      </w:r>
      <w:r w:rsidRPr="00B62C1B">
        <w:rPr>
          <w:b/>
          <w:szCs w:val="28"/>
        </w:rPr>
        <w:t>dự báo tăng trưởng năm 2024 theo các tổ chức quốc tế</w:t>
      </w:r>
    </w:p>
    <w:p w14:paraId="0A94406C" w14:textId="2603837D" w:rsidR="009B5277" w:rsidRPr="00B62C1B" w:rsidRDefault="004833E7" w:rsidP="009E3468">
      <w:pPr>
        <w:spacing w:before="120" w:after="0" w:line="240" w:lineRule="auto"/>
        <w:jc w:val="center"/>
        <w:rPr>
          <w:b/>
          <w:spacing w:val="-2"/>
        </w:rPr>
      </w:pPr>
      <w:r w:rsidRPr="00B62C1B">
        <w:rPr>
          <w:b/>
          <w:noProof/>
          <w:spacing w:val="-2"/>
          <w:lang w:val="en-GB" w:eastAsia="en-GB"/>
        </w:rPr>
        <w:drawing>
          <wp:inline distT="0" distB="0" distL="0" distR="0" wp14:anchorId="5939E5A2" wp14:editId="7D3B1409">
            <wp:extent cx="3084394" cy="160956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6306" cy="1636658"/>
                    </a:xfrm>
                    <a:prstGeom prst="rect">
                      <a:avLst/>
                    </a:prstGeom>
                    <a:noFill/>
                  </pic:spPr>
                </pic:pic>
              </a:graphicData>
            </a:graphic>
          </wp:inline>
        </w:drawing>
      </w:r>
    </w:p>
    <w:p w14:paraId="5E71F6E8" w14:textId="3D5B4334" w:rsidR="00DA45E0" w:rsidRPr="00B62C1B" w:rsidRDefault="00DA45E0" w:rsidP="009E3468">
      <w:pPr>
        <w:spacing w:before="120" w:after="0" w:line="240" w:lineRule="auto"/>
        <w:jc w:val="right"/>
        <w:rPr>
          <w:i/>
          <w:spacing w:val="-2"/>
          <w:sz w:val="24"/>
          <w:szCs w:val="24"/>
        </w:rPr>
      </w:pPr>
      <w:r w:rsidRPr="00B62C1B">
        <w:rPr>
          <w:i/>
          <w:spacing w:val="-2"/>
          <w:sz w:val="24"/>
          <w:szCs w:val="24"/>
        </w:rPr>
        <w:t>Nguồn: ADB</w:t>
      </w:r>
    </w:p>
    <w:p w14:paraId="551A0FC0" w14:textId="1D67B774" w:rsidR="00DA45E0" w:rsidRPr="00B62C1B" w:rsidRDefault="00DA45E0" w:rsidP="009E3468">
      <w:pPr>
        <w:spacing w:before="120" w:after="0" w:line="240" w:lineRule="auto"/>
        <w:ind w:firstLine="720"/>
        <w:jc w:val="both"/>
        <w:rPr>
          <w:szCs w:val="28"/>
        </w:rPr>
      </w:pPr>
      <w:r w:rsidRPr="00B62C1B">
        <w:rPr>
          <w:szCs w:val="28"/>
        </w:rPr>
        <w:t xml:space="preserve">Theo Hình trên, tăng trưởng của Việt Nam và Phi-li-pin năm 2024 được dự báo cao nhất khu vực, cùng đạt 6,0%, theo sau là In-đô-nê-xi-a 5,0%, Ma-lai-xi-a 4,5%. Tốc độ tăng trưởng kinh tế của </w:t>
      </w:r>
      <w:r w:rsidR="004833E7" w:rsidRPr="00B62C1B">
        <w:rPr>
          <w:szCs w:val="28"/>
        </w:rPr>
        <w:t xml:space="preserve">Xin-ga-po và </w:t>
      </w:r>
      <w:r w:rsidRPr="00B62C1B">
        <w:rPr>
          <w:szCs w:val="28"/>
        </w:rPr>
        <w:t xml:space="preserve">Thái Lan được dự báo thấp hơn </w:t>
      </w:r>
      <w:r w:rsidR="009602D7" w:rsidRPr="00B62C1B">
        <w:rPr>
          <w:szCs w:val="28"/>
        </w:rPr>
        <w:t>nhiều</w:t>
      </w:r>
      <w:r w:rsidRPr="00B62C1B">
        <w:rPr>
          <w:szCs w:val="28"/>
        </w:rPr>
        <w:t xml:space="preserve"> so với Việt Nam và Phi-li-pin, lần lượt đạt 2,6% và 2,</w:t>
      </w:r>
      <w:r w:rsidR="004833E7" w:rsidRPr="00B62C1B">
        <w:rPr>
          <w:szCs w:val="28"/>
        </w:rPr>
        <w:t>3</w:t>
      </w:r>
      <w:r w:rsidRPr="00B62C1B">
        <w:rPr>
          <w:szCs w:val="28"/>
        </w:rPr>
        <w:t>%.</w:t>
      </w:r>
    </w:p>
    <w:p w14:paraId="63DB210C" w14:textId="77777777" w:rsidR="00DA45E0" w:rsidRPr="00B62C1B" w:rsidRDefault="00DA45E0" w:rsidP="009E3468">
      <w:pPr>
        <w:spacing w:before="120" w:after="0" w:line="240" w:lineRule="auto"/>
        <w:ind w:firstLine="720"/>
        <w:jc w:val="both"/>
        <w:rPr>
          <w:spacing w:val="-2"/>
          <w:szCs w:val="28"/>
        </w:rPr>
      </w:pPr>
      <w:r w:rsidRPr="00B62C1B">
        <w:rPr>
          <w:i/>
          <w:spacing w:val="-2"/>
          <w:szCs w:val="28"/>
        </w:rPr>
        <w:t>Theo Trading Economics</w:t>
      </w:r>
      <w:r w:rsidRPr="00B62C1B">
        <w:rPr>
          <w:spacing w:val="-2"/>
          <w:szCs w:val="28"/>
        </w:rPr>
        <w:t xml:space="preserve">, dự báo tăng trưởng Quý III/2024 so với cùng kỳ năm trước của Phi-li-pin đạt 6,4%; In-đô-nê-xi-a </w:t>
      </w:r>
      <w:r w:rsidRPr="00B62C1B">
        <w:rPr>
          <w:szCs w:val="28"/>
        </w:rPr>
        <w:t>5,0</w:t>
      </w:r>
      <w:r w:rsidRPr="00B62C1B">
        <w:rPr>
          <w:spacing w:val="-2"/>
          <w:szCs w:val="28"/>
        </w:rPr>
        <w:t>%; Ma-lai-xi-a 3,3%; Thái Lan 2,7%, Xin-ga-po 2,5%. Tăng trưởng Quý III/2024 so với quý trước của các quốc gia trên lần lượt là 1,4%; 2,8%; 0,6%; 0,6% và 1,6%.</w:t>
      </w:r>
    </w:p>
    <w:p w14:paraId="688FC391" w14:textId="77777777" w:rsidR="00DA45E0" w:rsidRPr="00B62C1B" w:rsidRDefault="00DA45E0" w:rsidP="009E3468">
      <w:pPr>
        <w:spacing w:before="120" w:after="0" w:line="240" w:lineRule="auto"/>
        <w:ind w:firstLine="720"/>
        <w:jc w:val="both"/>
        <w:rPr>
          <w:b/>
          <w:szCs w:val="28"/>
          <w:lang w:val="vi-VN"/>
        </w:rPr>
      </w:pPr>
      <w:r w:rsidRPr="00B62C1B">
        <w:rPr>
          <w:b/>
          <w:szCs w:val="28"/>
          <w:lang w:val="vi-VN"/>
        </w:rPr>
        <w:t>6. Việt Nam</w:t>
      </w:r>
    </w:p>
    <w:p w14:paraId="104B9B45" w14:textId="77777777" w:rsidR="00DA45E0" w:rsidRPr="00B62C1B" w:rsidRDefault="00DA45E0" w:rsidP="009E3468">
      <w:pPr>
        <w:spacing w:before="120" w:after="0" w:line="240" w:lineRule="auto"/>
        <w:ind w:firstLine="720"/>
        <w:jc w:val="both"/>
        <w:rPr>
          <w:b/>
          <w:i/>
          <w:szCs w:val="28"/>
        </w:rPr>
      </w:pPr>
      <w:r w:rsidRPr="00B62C1B">
        <w:rPr>
          <w:b/>
          <w:i/>
          <w:szCs w:val="28"/>
          <w:lang w:val="vi-VN"/>
        </w:rPr>
        <w:t xml:space="preserve">Dự báo của </w:t>
      </w:r>
      <w:r w:rsidRPr="00B62C1B">
        <w:rPr>
          <w:b/>
          <w:i/>
          <w:szCs w:val="28"/>
        </w:rPr>
        <w:t>WB</w:t>
      </w:r>
      <w:r w:rsidRPr="00B62C1B">
        <w:rPr>
          <w:rStyle w:val="FootnoteReference"/>
          <w:b/>
          <w:i/>
          <w:szCs w:val="28"/>
        </w:rPr>
        <w:footnoteReference w:id="12"/>
      </w:r>
      <w:r w:rsidRPr="00B62C1B">
        <w:rPr>
          <w:b/>
          <w:i/>
          <w:szCs w:val="28"/>
          <w:lang w:val="vi-VN"/>
        </w:rPr>
        <w:t xml:space="preserve"> </w:t>
      </w:r>
    </w:p>
    <w:p w14:paraId="3F905F9D" w14:textId="13F777D9" w:rsidR="00DA45E0" w:rsidRPr="00B62C1B" w:rsidRDefault="00DA45E0" w:rsidP="009E3468">
      <w:pPr>
        <w:spacing w:before="120" w:after="0" w:line="240" w:lineRule="auto"/>
        <w:ind w:firstLine="720"/>
        <w:jc w:val="both"/>
        <w:rPr>
          <w:spacing w:val="-4"/>
        </w:rPr>
      </w:pPr>
      <w:r w:rsidRPr="00B62C1B">
        <w:rPr>
          <w:spacing w:val="-4"/>
        </w:rPr>
        <w:t xml:space="preserve">Triển vọng kinh tế của Việt Nam được nhìn nhận tích cực, với cơ hội và rủi ro nhìn chung ở thế cân bằng. Tăng trưởng kinh tế Việt Nam đạt </w:t>
      </w:r>
      <w:r w:rsidR="00840FE2" w:rsidRPr="00B62C1B">
        <w:rPr>
          <w:spacing w:val="-4"/>
        </w:rPr>
        <w:t xml:space="preserve">6,1% </w:t>
      </w:r>
      <w:r w:rsidRPr="00B62C1B">
        <w:rPr>
          <w:spacing w:val="-4"/>
        </w:rPr>
        <w:t xml:space="preserve">năm 2024, tăng 0,6 điểm phần trăm so với dự báo </w:t>
      </w:r>
      <w:r w:rsidR="00840FE2" w:rsidRPr="00B62C1B">
        <w:rPr>
          <w:spacing w:val="-4"/>
        </w:rPr>
        <w:t xml:space="preserve">trong </w:t>
      </w:r>
      <w:r w:rsidRPr="00B62C1B">
        <w:rPr>
          <w:spacing w:val="-4"/>
        </w:rPr>
        <w:t xml:space="preserve">tháng 6/2024. Tăng trưởng xuất khẩu các mặt hàng chế biến, chế tạo </w:t>
      </w:r>
      <w:r w:rsidR="00840FE2" w:rsidRPr="00B62C1B">
        <w:rPr>
          <w:spacing w:val="-4"/>
        </w:rPr>
        <w:t xml:space="preserve">dự kiến sẽ </w:t>
      </w:r>
      <w:r w:rsidRPr="00B62C1B">
        <w:rPr>
          <w:spacing w:val="-4"/>
        </w:rPr>
        <w:t>chững lại trong nửa cuối năm 2024, sau khi phục hồi</w:t>
      </w:r>
      <w:r w:rsidR="0054408A" w:rsidRPr="00B62C1B">
        <w:rPr>
          <w:spacing w:val="-4"/>
        </w:rPr>
        <w:t xml:space="preserve"> ở mức</w:t>
      </w:r>
      <w:r w:rsidRPr="00B62C1B">
        <w:rPr>
          <w:spacing w:val="-4"/>
        </w:rPr>
        <w:t xml:space="preserve"> 16,9% (so với cùng kỳ năm trước) trong nửa đầu năm 2024. Thị trường bất động sản cho thấy dấu hiệu phục hồi và dự báo sẽ xoay chiều vào cuối năm 2024 và đầu 2025 sau khi giải quyết được tình trạng đóng băng thị trường trái phiếu doanh nghiệp và Luật đất đai có hiệu lực từ tháng 8/2024. Trong điều kiện xuất khẩu tiếp tục tăng trưởng và bất động sản có dấu hiệu phục hồi, nhu cầu trong nước sẽ </w:t>
      </w:r>
      <w:r w:rsidR="00840FE2" w:rsidRPr="00B62C1B">
        <w:rPr>
          <w:spacing w:val="-4"/>
        </w:rPr>
        <w:t xml:space="preserve">tăng </w:t>
      </w:r>
      <w:r w:rsidRPr="00B62C1B">
        <w:rPr>
          <w:spacing w:val="-4"/>
        </w:rPr>
        <w:t>lên vào nửa cuối năm 2024 khi tâm lý nhà đầu tư và người tiêu dùng được cải thiện. Cân đối tài khoản vãng lai được dự báo vẫn duy trì thặng dư nhỏ, đồng thời Chính phủ đang quay lại củng cố cân đối ngân sách</w:t>
      </w:r>
      <w:r w:rsidR="00840FE2" w:rsidRPr="00B62C1B">
        <w:rPr>
          <w:spacing w:val="-4"/>
        </w:rPr>
        <w:t>. L</w:t>
      </w:r>
      <w:r w:rsidRPr="00B62C1B">
        <w:rPr>
          <w:spacing w:val="-4"/>
        </w:rPr>
        <w:t xml:space="preserve">ạm phát dự kiến ở mức 4,5% trong </w:t>
      </w:r>
      <w:r w:rsidR="00840FE2" w:rsidRPr="00B62C1B">
        <w:rPr>
          <w:spacing w:val="-4"/>
        </w:rPr>
        <w:t xml:space="preserve">năm </w:t>
      </w:r>
      <w:r w:rsidRPr="00B62C1B">
        <w:rPr>
          <w:spacing w:val="-4"/>
        </w:rPr>
        <w:t xml:space="preserve">2024.  </w:t>
      </w:r>
    </w:p>
    <w:p w14:paraId="20B0D0B2" w14:textId="6D031926" w:rsidR="00DA45E0" w:rsidRPr="00B62C1B" w:rsidRDefault="00DA45E0" w:rsidP="003F531A">
      <w:pPr>
        <w:spacing w:before="120" w:after="120" w:line="240" w:lineRule="auto"/>
        <w:ind w:firstLine="720"/>
        <w:jc w:val="both"/>
        <w:rPr>
          <w:spacing w:val="-6"/>
        </w:rPr>
      </w:pPr>
      <w:r w:rsidRPr="00B62C1B">
        <w:rPr>
          <w:spacing w:val="-6"/>
        </w:rPr>
        <w:t>Một trong những rủi ro chính đối với tăng trưởng kinh tế</w:t>
      </w:r>
      <w:r w:rsidR="0054408A" w:rsidRPr="00B62C1B">
        <w:rPr>
          <w:spacing w:val="-6"/>
        </w:rPr>
        <w:t xml:space="preserve"> Việt Nam</w:t>
      </w:r>
      <w:r w:rsidRPr="00B62C1B">
        <w:rPr>
          <w:spacing w:val="-6"/>
        </w:rPr>
        <w:t xml:space="preserve"> là tăng trưởng kinh tế toàn cầu</w:t>
      </w:r>
      <w:r w:rsidR="00694421" w:rsidRPr="00B62C1B">
        <w:rPr>
          <w:spacing w:val="-6"/>
        </w:rPr>
        <w:t xml:space="preserve"> có thể thấp hơn dự kiến</w:t>
      </w:r>
      <w:r w:rsidRPr="00B62C1B">
        <w:rPr>
          <w:spacing w:val="-6"/>
        </w:rPr>
        <w:t xml:space="preserve">, nhất là tăng trưởng của những đối tác thương </w:t>
      </w:r>
      <w:r w:rsidRPr="00B62C1B">
        <w:rPr>
          <w:spacing w:val="-6"/>
        </w:rPr>
        <w:lastRenderedPageBreak/>
        <w:t xml:space="preserve">mại lớn của Việt Nam như Hoa Kỳ, Liên minh </w:t>
      </w:r>
      <w:r w:rsidR="00B6117B" w:rsidRPr="00B62C1B">
        <w:rPr>
          <w:spacing w:val="-6"/>
        </w:rPr>
        <w:t>c</w:t>
      </w:r>
      <w:r w:rsidRPr="00B62C1B">
        <w:rPr>
          <w:spacing w:val="-6"/>
        </w:rPr>
        <w:t>hâu Âu, và Trung Quốc</w:t>
      </w:r>
      <w:r w:rsidR="0054408A" w:rsidRPr="00B62C1B">
        <w:rPr>
          <w:spacing w:val="-6"/>
        </w:rPr>
        <w:t>,</w:t>
      </w:r>
      <w:r w:rsidRPr="00B62C1B">
        <w:rPr>
          <w:spacing w:val="-6"/>
        </w:rPr>
        <w:t xml:space="preserve"> có thể ảnh hưởng đến xuất khẩu các mặt hàng chế biến, chế tạo của Việt Nam và ảnh hưởng tiêu cực đến tăng trưởng. Ngoài ra, đối với trong nước, kinh tế vĩ mô </w:t>
      </w:r>
      <w:r w:rsidR="00DB446D" w:rsidRPr="00B62C1B">
        <w:rPr>
          <w:spacing w:val="-6"/>
        </w:rPr>
        <w:t>thiếu</w:t>
      </w:r>
      <w:r w:rsidR="00A920C9" w:rsidRPr="00B62C1B">
        <w:rPr>
          <w:spacing w:val="-6"/>
        </w:rPr>
        <w:t xml:space="preserve"> ổn định </w:t>
      </w:r>
      <w:r w:rsidRPr="00B62C1B">
        <w:rPr>
          <w:spacing w:val="-6"/>
        </w:rPr>
        <w:t xml:space="preserve">có thể tác động tiêu cực đến niềm tin của người tiêu dùng và các nhà đầu tư, </w:t>
      </w:r>
      <w:r w:rsidR="00DB446D" w:rsidRPr="00B62C1B">
        <w:rPr>
          <w:spacing w:val="-6"/>
        </w:rPr>
        <w:t xml:space="preserve">do đó </w:t>
      </w:r>
      <w:r w:rsidRPr="00B62C1B">
        <w:rPr>
          <w:spacing w:val="-6"/>
        </w:rPr>
        <w:t xml:space="preserve">ảnh hưởng đến tiêu dùng và đầu tư. Thị trường bất động sản có thể hồi phục </w:t>
      </w:r>
      <w:r w:rsidR="00DB446D" w:rsidRPr="00B62C1B">
        <w:rPr>
          <w:spacing w:val="-6"/>
        </w:rPr>
        <w:t xml:space="preserve">chậm </w:t>
      </w:r>
      <w:r w:rsidRPr="00B62C1B">
        <w:rPr>
          <w:spacing w:val="-6"/>
        </w:rPr>
        <w:t xml:space="preserve">hơn dự kiến, tác động xấu đến đầu tư của khu vực tư nhân. Nếu chất lượng tài sản của các ngân hàng tiếp tục yếu đi, năng lực cho vay của các ngân hàng có thể bị suy giảm. </w:t>
      </w:r>
      <w:r w:rsidR="00B6117B" w:rsidRPr="00B62C1B">
        <w:rPr>
          <w:spacing w:val="-6"/>
        </w:rPr>
        <w:t>Việt Nam l</w:t>
      </w:r>
      <w:r w:rsidRPr="00B62C1B">
        <w:rPr>
          <w:spacing w:val="-6"/>
        </w:rPr>
        <w:t xml:space="preserve">à một trong những quốc gia có nguy cơ dễ </w:t>
      </w:r>
      <w:r w:rsidR="00840FE2" w:rsidRPr="00B62C1B">
        <w:rPr>
          <w:spacing w:val="-6"/>
        </w:rPr>
        <w:t xml:space="preserve">bị </w:t>
      </w:r>
      <w:r w:rsidRPr="00B62C1B">
        <w:rPr>
          <w:spacing w:val="-6"/>
        </w:rPr>
        <w:t>tổn thương nhất với biến đổi khí hậu</w:t>
      </w:r>
      <w:r w:rsidR="00840FE2" w:rsidRPr="00B62C1B">
        <w:rPr>
          <w:spacing w:val="-6"/>
        </w:rPr>
        <w:t>. T</w:t>
      </w:r>
      <w:r w:rsidRPr="00B62C1B">
        <w:rPr>
          <w:spacing w:val="-6"/>
        </w:rPr>
        <w:t xml:space="preserve">hiên tai </w:t>
      </w:r>
      <w:r w:rsidR="00840FE2" w:rsidRPr="00B62C1B">
        <w:rPr>
          <w:spacing w:val="-6"/>
        </w:rPr>
        <w:t>do</w:t>
      </w:r>
      <w:r w:rsidRPr="00B62C1B">
        <w:rPr>
          <w:spacing w:val="-6"/>
        </w:rPr>
        <w:t xml:space="preserve"> </w:t>
      </w:r>
      <w:r w:rsidR="00840FE2" w:rsidRPr="00B62C1B">
        <w:rPr>
          <w:spacing w:val="-6"/>
        </w:rPr>
        <w:t xml:space="preserve">biến đổi </w:t>
      </w:r>
      <w:r w:rsidRPr="00B62C1B">
        <w:rPr>
          <w:spacing w:val="-6"/>
        </w:rPr>
        <w:t xml:space="preserve">khí hậu ngày </w:t>
      </w:r>
      <w:r w:rsidR="006F2B0B" w:rsidRPr="00B62C1B">
        <w:rPr>
          <w:spacing w:val="-6"/>
        </w:rPr>
        <w:t>càng</w:t>
      </w:r>
      <w:r w:rsidRPr="00B62C1B">
        <w:rPr>
          <w:spacing w:val="-6"/>
        </w:rPr>
        <w:t xml:space="preserve"> gia tăng cũng có thể là một rủi ro tác động tiêu cực đến tăng trưởng kinh tế.</w:t>
      </w:r>
    </w:p>
    <w:p w14:paraId="52809E92" w14:textId="6CFB08D0" w:rsidR="0075180F" w:rsidRPr="00B62C1B" w:rsidRDefault="0075180F" w:rsidP="003F531A">
      <w:pPr>
        <w:spacing w:before="120" w:after="120" w:line="240" w:lineRule="auto"/>
        <w:ind w:firstLine="720"/>
        <w:jc w:val="both"/>
        <w:rPr>
          <w:b/>
          <w:i/>
          <w:spacing w:val="-4"/>
        </w:rPr>
      </w:pPr>
      <w:r w:rsidRPr="00B62C1B">
        <w:rPr>
          <w:b/>
          <w:i/>
          <w:spacing w:val="-4"/>
        </w:rPr>
        <w:t>Dự báo của IMF</w:t>
      </w:r>
      <w:r w:rsidRPr="00B62C1B">
        <w:rPr>
          <w:rStyle w:val="FootnoteReference"/>
          <w:b/>
          <w:i/>
          <w:spacing w:val="-4"/>
        </w:rPr>
        <w:footnoteReference w:id="13"/>
      </w:r>
    </w:p>
    <w:p w14:paraId="2EF4AC3C" w14:textId="4C142168" w:rsidR="00D27958" w:rsidRPr="00B62C1B" w:rsidRDefault="00A545A2" w:rsidP="003F531A">
      <w:pPr>
        <w:spacing w:before="120" w:after="120" w:line="240" w:lineRule="auto"/>
        <w:ind w:firstLine="720"/>
        <w:jc w:val="both"/>
      </w:pPr>
      <w:r w:rsidRPr="00B62C1B">
        <w:t>N</w:t>
      </w:r>
      <w:r w:rsidR="00DB446D" w:rsidRPr="00B62C1B">
        <w:t xml:space="preserve">ăm </w:t>
      </w:r>
      <w:r w:rsidR="0075180F" w:rsidRPr="00B62C1B">
        <w:t xml:space="preserve">2023, </w:t>
      </w:r>
      <w:r w:rsidR="00DB446D" w:rsidRPr="00B62C1B">
        <w:t xml:space="preserve">tăng trưởng GDP của </w:t>
      </w:r>
      <w:r w:rsidR="0075180F" w:rsidRPr="00B62C1B">
        <w:t xml:space="preserve">Việt Nam </w:t>
      </w:r>
      <w:r w:rsidR="00DB446D" w:rsidRPr="00B62C1B">
        <w:t>đạt</w:t>
      </w:r>
      <w:r w:rsidR="0075180F" w:rsidRPr="00B62C1B">
        <w:t xml:space="preserve"> 5</w:t>
      </w:r>
      <w:r w:rsidR="00DB446D" w:rsidRPr="00B62C1B">
        <w:t>,0</w:t>
      </w:r>
      <w:r w:rsidR="007B0C5E" w:rsidRPr="00B62C1B">
        <w:t>%</w:t>
      </w:r>
      <w:r w:rsidR="0075180F" w:rsidRPr="00B62C1B">
        <w:t xml:space="preserve"> nhờ chính phủ</w:t>
      </w:r>
      <w:r w:rsidR="00DB446D" w:rsidRPr="00B62C1B">
        <w:t xml:space="preserve"> hành động quyết liệt</w:t>
      </w:r>
      <w:r w:rsidR="0075180F" w:rsidRPr="00B62C1B">
        <w:t xml:space="preserve">. </w:t>
      </w:r>
      <w:r w:rsidR="00DB446D" w:rsidRPr="00B62C1B">
        <w:t xml:space="preserve">Kinh tế </w:t>
      </w:r>
      <w:r w:rsidR="0075180F" w:rsidRPr="00B62C1B">
        <w:t xml:space="preserve">bắt đầu </w:t>
      </w:r>
      <w:r w:rsidR="00DB446D" w:rsidRPr="00B62C1B">
        <w:t xml:space="preserve">phục hồi </w:t>
      </w:r>
      <w:r w:rsidR="0075180F" w:rsidRPr="00B62C1B">
        <w:t xml:space="preserve">vào cuối năm 2023 </w:t>
      </w:r>
      <w:r w:rsidRPr="00B62C1B">
        <w:t>do</w:t>
      </w:r>
      <w:r w:rsidR="0075180F" w:rsidRPr="00B62C1B">
        <w:t xml:space="preserve"> xuất khẩu</w:t>
      </w:r>
      <w:r w:rsidR="00EC5384" w:rsidRPr="00B62C1B">
        <w:t xml:space="preserve"> và</w:t>
      </w:r>
      <w:r w:rsidR="0075180F" w:rsidRPr="00B62C1B">
        <w:t xml:space="preserve"> du lịch</w:t>
      </w:r>
      <w:r w:rsidR="00DB446D" w:rsidRPr="00B62C1B">
        <w:t xml:space="preserve"> phục hồi,</w:t>
      </w:r>
      <w:r w:rsidR="0075180F" w:rsidRPr="00B62C1B">
        <w:t xml:space="preserve"> chính sách tài khóa và tiền tệ mở rộng phù hợp. </w:t>
      </w:r>
      <w:r w:rsidR="007B0C5E" w:rsidRPr="00B62C1B">
        <w:t xml:space="preserve">Tăng </w:t>
      </w:r>
      <w:r w:rsidR="0075180F" w:rsidRPr="00B62C1B">
        <w:t xml:space="preserve">trưởng kinh tế dự kiến </w:t>
      </w:r>
      <w:r w:rsidR="00DB446D" w:rsidRPr="00B62C1B">
        <w:t>đạt</w:t>
      </w:r>
      <w:r w:rsidR="0075180F" w:rsidRPr="00B62C1B">
        <w:t xml:space="preserve"> 6,1</w:t>
      </w:r>
      <w:r w:rsidR="007B0C5E" w:rsidRPr="00B62C1B">
        <w:t>%</w:t>
      </w:r>
      <w:r w:rsidR="0075180F" w:rsidRPr="00B62C1B">
        <w:t xml:space="preserve"> </w:t>
      </w:r>
      <w:r w:rsidR="00DB446D" w:rsidRPr="00B62C1B">
        <w:t>trong</w:t>
      </w:r>
      <w:r w:rsidR="0075180F" w:rsidRPr="00B62C1B">
        <w:t xml:space="preserve"> năm 2024 </w:t>
      </w:r>
      <w:r w:rsidR="00DB446D" w:rsidRPr="00B62C1B">
        <w:t>do</w:t>
      </w:r>
      <w:r w:rsidR="0075180F" w:rsidRPr="00B62C1B">
        <w:t xml:space="preserve"> nhu cầu bên ngoài mạnh, đầu tư trực tiếp nước ngoài </w:t>
      </w:r>
      <w:r w:rsidR="007B0C5E" w:rsidRPr="00B62C1B">
        <w:t xml:space="preserve">ổn định và </w:t>
      </w:r>
      <w:r w:rsidR="00DB446D" w:rsidRPr="00B62C1B">
        <w:t xml:space="preserve">chính phủ áp dụng </w:t>
      </w:r>
      <w:r w:rsidR="007B0C5E" w:rsidRPr="00B62C1B">
        <w:t>các chính sách nới lỏng</w:t>
      </w:r>
      <w:r w:rsidR="009B5277" w:rsidRPr="00B62C1B">
        <w:t xml:space="preserve"> tài khóa và hỗ trợ tiền tệ</w:t>
      </w:r>
      <w:r w:rsidR="007B0C5E" w:rsidRPr="00B62C1B">
        <w:t>.</w:t>
      </w:r>
      <w:r w:rsidR="0075180F" w:rsidRPr="00B62C1B">
        <w:t xml:space="preserve"> </w:t>
      </w:r>
      <w:r w:rsidR="006D10E0" w:rsidRPr="00B62C1B">
        <w:t>N</w:t>
      </w:r>
      <w:r w:rsidR="0075180F" w:rsidRPr="00B62C1B">
        <w:t>hu cầu trong nước dự kiến sẽ phục hồi</w:t>
      </w:r>
      <w:r w:rsidR="006D10E0" w:rsidRPr="00B62C1B">
        <w:t xml:space="preserve"> dần </w:t>
      </w:r>
      <w:r w:rsidR="007B0C5E" w:rsidRPr="00B62C1B">
        <w:t xml:space="preserve">khi các doanh nghiệp </w:t>
      </w:r>
      <w:r w:rsidR="006D10E0" w:rsidRPr="00B62C1B">
        <w:t xml:space="preserve">phần nào vượt qua khó khăn tín dụng và dự kiến lĩnh vực bất động </w:t>
      </w:r>
      <w:r w:rsidR="00DB446D" w:rsidRPr="00B62C1B">
        <w:t xml:space="preserve">sản </w:t>
      </w:r>
      <w:r w:rsidR="00D27958" w:rsidRPr="00B62C1B">
        <w:t>hồi phục</w:t>
      </w:r>
      <w:r w:rsidR="006D10E0" w:rsidRPr="00B62C1B">
        <w:t xml:space="preserve"> </w:t>
      </w:r>
      <w:r w:rsidR="0075180F" w:rsidRPr="00B62C1B">
        <w:t xml:space="preserve">hoàn toàn trong trung hạn. Lạm phát </w:t>
      </w:r>
      <w:r w:rsidR="006D10E0" w:rsidRPr="00B62C1B">
        <w:t xml:space="preserve">năm 2024 </w:t>
      </w:r>
      <w:r w:rsidR="0075180F" w:rsidRPr="00B62C1B">
        <w:t>dự kiến sẽ dao động quanh mục tiêu 4</w:t>
      </w:r>
      <w:r w:rsidR="00DB446D" w:rsidRPr="00B62C1B">
        <w:t xml:space="preserve"> </w:t>
      </w:r>
      <w:r w:rsidR="0075180F" w:rsidRPr="00B62C1B">
        <w:t>-</w:t>
      </w:r>
      <w:r w:rsidR="00DB446D" w:rsidRPr="00B62C1B">
        <w:t xml:space="preserve"> </w:t>
      </w:r>
      <w:r w:rsidR="0075180F" w:rsidRPr="00B62C1B">
        <w:t>4,5</w:t>
      </w:r>
      <w:r w:rsidR="006D10E0" w:rsidRPr="00B62C1B">
        <w:t>%</w:t>
      </w:r>
      <w:r w:rsidR="0075180F" w:rsidRPr="00B62C1B">
        <w:t xml:space="preserve"> của Ngân hàng Nhà nước Việt Nam.</w:t>
      </w:r>
      <w:r w:rsidR="00D27958" w:rsidRPr="00B62C1B">
        <w:t xml:space="preserve"> </w:t>
      </w:r>
    </w:p>
    <w:p w14:paraId="67AAC49A" w14:textId="2F7DA4E7" w:rsidR="00A54126" w:rsidRPr="00B62C1B" w:rsidRDefault="00D27958" w:rsidP="003F531A">
      <w:pPr>
        <w:spacing w:before="120" w:after="120" w:line="240" w:lineRule="auto"/>
        <w:ind w:firstLine="720"/>
        <w:jc w:val="both"/>
      </w:pPr>
      <w:r w:rsidRPr="00B62C1B">
        <w:t>Tuy nhiên, nền kinh tế cũng phải đối mặt với rủi ro giảm tăng trưởng. Thứ nhất, x</w:t>
      </w:r>
      <w:r w:rsidR="0075180F" w:rsidRPr="00B62C1B">
        <w:t xml:space="preserve">uất khẩu, động lực chính của nền kinh tế Việt Nam, </w:t>
      </w:r>
      <w:r w:rsidRPr="00B62C1B">
        <w:t xml:space="preserve">có thể </w:t>
      </w:r>
      <w:r w:rsidR="0075180F" w:rsidRPr="00B62C1B">
        <w:t xml:space="preserve">suy yếu </w:t>
      </w:r>
      <w:r w:rsidRPr="00B62C1B">
        <w:t xml:space="preserve">do triển vọng tăng trưởng toàn cầu không chắc chắn trước </w:t>
      </w:r>
      <w:r w:rsidR="0075180F" w:rsidRPr="00B62C1B">
        <w:t xml:space="preserve">căng thẳng địa chính trị hoặc tranh chấp thương mại. </w:t>
      </w:r>
      <w:r w:rsidRPr="00B62C1B">
        <w:t>Thứ hai, việc nới lỏng tiền tệ có thể gây áp lực lên tỷ giá hối đoái</w:t>
      </w:r>
      <w:r w:rsidR="00A54126" w:rsidRPr="00B62C1B">
        <w:t xml:space="preserve">, khiến lạm phát </w:t>
      </w:r>
      <w:r w:rsidR="0075180F" w:rsidRPr="00B62C1B">
        <w:t xml:space="preserve">trong nước tăng. </w:t>
      </w:r>
      <w:r w:rsidR="00A54126" w:rsidRPr="00B62C1B">
        <w:t xml:space="preserve">Thứ ba, bất kỳ sự suy giảm nào trong lĩnh vực bất động sản và </w:t>
      </w:r>
      <w:r w:rsidR="0075180F" w:rsidRPr="00B62C1B">
        <w:t xml:space="preserve">thị trường trái phiếu doanh nghiệp </w:t>
      </w:r>
      <w:r w:rsidR="00A54126" w:rsidRPr="00B62C1B">
        <w:t xml:space="preserve">sẽ làm gia tăng áp lực </w:t>
      </w:r>
      <w:r w:rsidR="0075180F" w:rsidRPr="00B62C1B">
        <w:t xml:space="preserve">đối với khả năng mở rộng tín dụng của các ngân hàng, </w:t>
      </w:r>
      <w:r w:rsidR="00A54126" w:rsidRPr="00B62C1B">
        <w:t>tác động tiêu cực tới tăng trưởng kinh tế và ổn định tài chính trong thời gian tới.</w:t>
      </w:r>
    </w:p>
    <w:p w14:paraId="41E12BA9" w14:textId="77777777" w:rsidR="009B5277" w:rsidRPr="00B62C1B" w:rsidRDefault="009B5277" w:rsidP="009B5277">
      <w:pPr>
        <w:spacing w:before="120" w:after="120" w:line="240" w:lineRule="auto"/>
        <w:ind w:firstLine="720"/>
        <w:jc w:val="both"/>
        <w:rPr>
          <w:b/>
          <w:bCs/>
          <w:i/>
          <w:iCs/>
          <w:spacing w:val="-8"/>
        </w:rPr>
      </w:pPr>
      <w:r w:rsidRPr="00B62C1B">
        <w:rPr>
          <w:b/>
          <w:bCs/>
          <w:i/>
          <w:iCs/>
          <w:spacing w:val="-8"/>
        </w:rPr>
        <w:t>Dự báo của ADB</w:t>
      </w:r>
    </w:p>
    <w:p w14:paraId="7654D54C" w14:textId="0C88B711" w:rsidR="009B5277" w:rsidRPr="00B62C1B" w:rsidRDefault="009B5277">
      <w:pPr>
        <w:spacing w:before="120" w:after="120" w:line="240" w:lineRule="auto"/>
        <w:ind w:firstLine="720"/>
        <w:jc w:val="both"/>
        <w:rPr>
          <w:bCs/>
          <w:iCs/>
        </w:rPr>
      </w:pPr>
      <w:r w:rsidRPr="00B62C1B">
        <w:rPr>
          <w:bCs/>
          <w:iCs/>
        </w:rPr>
        <w:t xml:space="preserve">ADB dự báo tăng trưởng của Việt Nam năm 2024 đạt 6,0%, không đổi so với dự báo </w:t>
      </w:r>
      <w:r w:rsidR="009535A0" w:rsidRPr="00B62C1B">
        <w:rPr>
          <w:bCs/>
          <w:iCs/>
        </w:rPr>
        <w:t xml:space="preserve">đưa ra </w:t>
      </w:r>
      <w:r w:rsidRPr="00B62C1B">
        <w:rPr>
          <w:bCs/>
          <w:iCs/>
        </w:rPr>
        <w:t xml:space="preserve">trong </w:t>
      </w:r>
      <w:r w:rsidR="00CF1935" w:rsidRPr="00B62C1B">
        <w:rPr>
          <w:bCs/>
          <w:iCs/>
        </w:rPr>
        <w:t>tháng 7/</w:t>
      </w:r>
      <w:r w:rsidRPr="00B62C1B">
        <w:rPr>
          <w:bCs/>
          <w:iCs/>
        </w:rPr>
        <w:t xml:space="preserve">2024. </w:t>
      </w:r>
      <w:r w:rsidR="000B4421" w:rsidRPr="00B62C1B">
        <w:rPr>
          <w:bCs/>
          <w:iCs/>
        </w:rPr>
        <w:t xml:space="preserve">Nền kinh tế </w:t>
      </w:r>
      <w:r w:rsidR="00977E29" w:rsidRPr="00B62C1B">
        <w:rPr>
          <w:bCs/>
          <w:iCs/>
        </w:rPr>
        <w:t xml:space="preserve">tăng trưởng mạnh mẽ </w:t>
      </w:r>
      <w:r w:rsidR="000B4421" w:rsidRPr="00B62C1B">
        <w:rPr>
          <w:bCs/>
          <w:iCs/>
        </w:rPr>
        <w:t>trong nửa đầu năm 2024</w:t>
      </w:r>
      <w:r w:rsidR="00225BA1" w:rsidRPr="00B62C1B">
        <w:rPr>
          <w:bCs/>
          <w:iCs/>
        </w:rPr>
        <w:t>, đạt 6,4%,</w:t>
      </w:r>
      <w:r w:rsidR="000B4421" w:rsidRPr="00B62C1B">
        <w:rPr>
          <w:bCs/>
          <w:iCs/>
        </w:rPr>
        <w:t xml:space="preserve"> </w:t>
      </w:r>
      <w:r w:rsidR="00225BA1" w:rsidRPr="00B62C1B">
        <w:rPr>
          <w:bCs/>
          <w:iCs/>
        </w:rPr>
        <w:t>nhờ</w:t>
      </w:r>
      <w:r w:rsidR="009535A0" w:rsidRPr="00B62C1B">
        <w:rPr>
          <w:bCs/>
          <w:iCs/>
        </w:rPr>
        <w:t xml:space="preserve"> </w:t>
      </w:r>
      <w:r w:rsidR="000B4421" w:rsidRPr="00B62C1B">
        <w:rPr>
          <w:bCs/>
          <w:iCs/>
        </w:rPr>
        <w:t xml:space="preserve">sản xuất công nghiệp </w:t>
      </w:r>
      <w:r w:rsidR="009535A0" w:rsidRPr="00B62C1B">
        <w:rPr>
          <w:bCs/>
          <w:iCs/>
        </w:rPr>
        <w:t xml:space="preserve">và </w:t>
      </w:r>
      <w:r w:rsidR="000B4421" w:rsidRPr="00B62C1B">
        <w:rPr>
          <w:bCs/>
          <w:iCs/>
        </w:rPr>
        <w:t>thương mạ</w:t>
      </w:r>
      <w:r w:rsidR="009535A0" w:rsidRPr="00B62C1B">
        <w:rPr>
          <w:bCs/>
          <w:iCs/>
        </w:rPr>
        <w:t>i phục hồi</w:t>
      </w:r>
      <w:r w:rsidR="00225BA1" w:rsidRPr="00B62C1B">
        <w:rPr>
          <w:bCs/>
          <w:iCs/>
        </w:rPr>
        <w:t>.</w:t>
      </w:r>
      <w:r w:rsidR="009535A0" w:rsidRPr="00B62C1B">
        <w:rPr>
          <w:bCs/>
          <w:iCs/>
        </w:rPr>
        <w:t xml:space="preserve"> </w:t>
      </w:r>
      <w:r w:rsidR="00225BA1" w:rsidRPr="00B62C1B">
        <w:rPr>
          <w:bCs/>
          <w:iCs/>
        </w:rPr>
        <w:t>C</w:t>
      </w:r>
      <w:r w:rsidR="00977E29" w:rsidRPr="00B62C1B">
        <w:rPr>
          <w:bCs/>
          <w:iCs/>
        </w:rPr>
        <w:t xml:space="preserve">ác lĩnh vực như cao su, sản phẩm kim loại, thiết bị điện, điện tử và máy tính </w:t>
      </w:r>
      <w:r w:rsidR="00225BA1" w:rsidRPr="00B62C1B">
        <w:rPr>
          <w:bCs/>
          <w:iCs/>
        </w:rPr>
        <w:t xml:space="preserve">phục hồi </w:t>
      </w:r>
      <w:r w:rsidR="00977E29" w:rsidRPr="00B62C1B">
        <w:rPr>
          <w:bCs/>
          <w:iCs/>
        </w:rPr>
        <w:t xml:space="preserve">đã thúc đẩy </w:t>
      </w:r>
      <w:r w:rsidR="00225BA1" w:rsidRPr="00B62C1B">
        <w:rPr>
          <w:bCs/>
          <w:iCs/>
        </w:rPr>
        <w:t xml:space="preserve">tăng trưởng của </w:t>
      </w:r>
      <w:r w:rsidR="00977E29" w:rsidRPr="00B62C1B">
        <w:rPr>
          <w:bCs/>
          <w:iCs/>
        </w:rPr>
        <w:t xml:space="preserve">ngành </w:t>
      </w:r>
      <w:r w:rsidR="00225BA1" w:rsidRPr="00B62C1B">
        <w:rPr>
          <w:bCs/>
          <w:iCs/>
        </w:rPr>
        <w:t xml:space="preserve">công nghiệp </w:t>
      </w:r>
      <w:r w:rsidR="00977E29" w:rsidRPr="00B62C1B">
        <w:rPr>
          <w:bCs/>
          <w:iCs/>
        </w:rPr>
        <w:t xml:space="preserve">chế biến, chế tạo. </w:t>
      </w:r>
      <w:r w:rsidR="00225BA1" w:rsidRPr="00B62C1B">
        <w:rPr>
          <w:bCs/>
          <w:iCs/>
        </w:rPr>
        <w:t>D</w:t>
      </w:r>
      <w:r w:rsidR="009535A0" w:rsidRPr="00B62C1B">
        <w:rPr>
          <w:bCs/>
          <w:iCs/>
        </w:rPr>
        <w:t xml:space="preserve">u lịch </w:t>
      </w:r>
      <w:r w:rsidR="00225BA1" w:rsidRPr="00B62C1B">
        <w:rPr>
          <w:bCs/>
          <w:iCs/>
        </w:rPr>
        <w:t xml:space="preserve">phục hồi giúp </w:t>
      </w:r>
      <w:r w:rsidR="00977E29" w:rsidRPr="00B62C1B">
        <w:rPr>
          <w:bCs/>
          <w:iCs/>
        </w:rPr>
        <w:t>dịch vụ</w:t>
      </w:r>
      <w:r w:rsidR="00225BA1" w:rsidRPr="00B62C1B">
        <w:rPr>
          <w:bCs/>
          <w:iCs/>
        </w:rPr>
        <w:t xml:space="preserve"> tăng</w:t>
      </w:r>
      <w:r w:rsidR="00977E29" w:rsidRPr="00B62C1B">
        <w:rPr>
          <w:bCs/>
          <w:iCs/>
        </w:rPr>
        <w:t xml:space="preserve">. Nông nghiệp được hưởng lợi từ giá </w:t>
      </w:r>
      <w:r w:rsidR="00225BA1" w:rsidRPr="00B62C1B">
        <w:rPr>
          <w:bCs/>
          <w:iCs/>
        </w:rPr>
        <w:t>tăng</w:t>
      </w:r>
      <w:r w:rsidR="00977E29" w:rsidRPr="00B62C1B">
        <w:rPr>
          <w:bCs/>
          <w:iCs/>
        </w:rPr>
        <w:t xml:space="preserve">. </w:t>
      </w:r>
      <w:r w:rsidR="00225BA1" w:rsidRPr="00B62C1B">
        <w:rPr>
          <w:bCs/>
          <w:iCs/>
        </w:rPr>
        <w:t>Vốn đầu tư trực tiếp nước ngoài (</w:t>
      </w:r>
      <w:r w:rsidR="00977E29" w:rsidRPr="00B62C1B">
        <w:rPr>
          <w:bCs/>
          <w:iCs/>
        </w:rPr>
        <w:t>FDI</w:t>
      </w:r>
      <w:r w:rsidR="00225BA1" w:rsidRPr="00B62C1B">
        <w:rPr>
          <w:bCs/>
          <w:iCs/>
        </w:rPr>
        <w:t>)</w:t>
      </w:r>
      <w:r w:rsidR="00977E29" w:rsidRPr="00B62C1B">
        <w:rPr>
          <w:bCs/>
          <w:iCs/>
        </w:rPr>
        <w:t xml:space="preserve"> vào </w:t>
      </w:r>
      <w:r w:rsidR="00225BA1" w:rsidRPr="00B62C1B">
        <w:rPr>
          <w:bCs/>
          <w:iCs/>
        </w:rPr>
        <w:t xml:space="preserve">Việt Nam </w:t>
      </w:r>
      <w:r w:rsidR="00977E29" w:rsidRPr="00B62C1B">
        <w:rPr>
          <w:bCs/>
          <w:iCs/>
        </w:rPr>
        <w:t xml:space="preserve">tiếp tục tăng mạnh trong nửa đầu năm 2024 khi giải ngân FDI </w:t>
      </w:r>
      <w:r w:rsidR="00225BA1" w:rsidRPr="00B62C1B">
        <w:rPr>
          <w:bCs/>
          <w:iCs/>
        </w:rPr>
        <w:t>đạt</w:t>
      </w:r>
      <w:r w:rsidR="00977E29" w:rsidRPr="00B62C1B">
        <w:rPr>
          <w:bCs/>
          <w:iCs/>
        </w:rPr>
        <w:t xml:space="preserve"> 10,8 tỷ đô la, tăng 8,2% so với cùng kỳ năm trước. Áp lực lạm phát tăng nhẹ do giá lương thực, thực phẩm và xăng trong nước tăng cao. Ngân </w:t>
      </w:r>
      <w:r w:rsidR="00977E29" w:rsidRPr="00B62C1B">
        <w:rPr>
          <w:bCs/>
          <w:iCs/>
        </w:rPr>
        <w:lastRenderedPageBreak/>
        <w:t>hàng Nhà nước Việt Nam tiếp tục theo đuổi chính sách tiền tệ linh hoạt tạo nguồn tài chính hỗ trợ tăng trưởng.</w:t>
      </w:r>
      <w:r w:rsidRPr="00B62C1B">
        <w:rPr>
          <w:bCs/>
          <w:iCs/>
        </w:rPr>
        <w:t xml:space="preserve"> </w:t>
      </w:r>
    </w:p>
    <w:p w14:paraId="3A42FB28" w14:textId="3AC05969" w:rsidR="00DA45E0" w:rsidRPr="00B62C1B" w:rsidRDefault="00DA45E0" w:rsidP="00C47E1A">
      <w:pPr>
        <w:spacing w:before="120" w:after="120" w:line="240" w:lineRule="auto"/>
        <w:jc w:val="center"/>
        <w:rPr>
          <w:b/>
          <w:spacing w:val="-4"/>
        </w:rPr>
      </w:pPr>
      <w:r w:rsidRPr="00B62C1B">
        <w:rPr>
          <w:b/>
          <w:spacing w:val="-4"/>
        </w:rPr>
        <w:t>Hình 7. Đánh giá</w:t>
      </w:r>
      <w:r w:rsidRPr="00B62C1B">
        <w:rPr>
          <w:b/>
          <w:spacing w:val="-4"/>
          <w:lang w:val="vi-VN"/>
        </w:rPr>
        <w:t xml:space="preserve"> </w:t>
      </w:r>
      <w:r w:rsidRPr="00B62C1B">
        <w:rPr>
          <w:b/>
          <w:spacing w:val="-4"/>
        </w:rPr>
        <w:t>tăng trưởng năm 2023 và dự báo tăng trưởng năm 2024</w:t>
      </w:r>
      <w:r w:rsidR="00C47E1A" w:rsidRPr="00B62C1B">
        <w:rPr>
          <w:b/>
          <w:spacing w:val="-4"/>
        </w:rPr>
        <w:br/>
      </w:r>
      <w:r w:rsidRPr="00B62C1B">
        <w:rPr>
          <w:b/>
          <w:spacing w:val="-4"/>
        </w:rPr>
        <w:t xml:space="preserve"> của Việt Nam theo các tổ chức quốc tế</w:t>
      </w:r>
    </w:p>
    <w:p w14:paraId="04F2783B" w14:textId="2719C044" w:rsidR="009B5277" w:rsidRPr="00B62C1B" w:rsidRDefault="009B5277" w:rsidP="00225BA1">
      <w:pPr>
        <w:spacing w:before="120" w:after="120" w:line="240" w:lineRule="auto"/>
        <w:jc w:val="center"/>
        <w:rPr>
          <w:b/>
          <w:spacing w:val="-4"/>
        </w:rPr>
      </w:pPr>
      <w:r w:rsidRPr="00B62C1B">
        <w:rPr>
          <w:bCs/>
          <w:iCs/>
          <w:noProof/>
          <w:lang w:val="en-GB" w:eastAsia="en-GB"/>
        </w:rPr>
        <w:drawing>
          <wp:inline distT="0" distB="0" distL="0" distR="0" wp14:anchorId="36467629" wp14:editId="45D3679A">
            <wp:extent cx="2662259" cy="12192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0917" cy="1259802"/>
                    </a:xfrm>
                    <a:prstGeom prst="rect">
                      <a:avLst/>
                    </a:prstGeom>
                    <a:noFill/>
                  </pic:spPr>
                </pic:pic>
              </a:graphicData>
            </a:graphic>
          </wp:inline>
        </w:drawing>
      </w:r>
    </w:p>
    <w:p w14:paraId="30F87B11" w14:textId="1B27EEFA" w:rsidR="00DA45E0" w:rsidRPr="00B62C1B" w:rsidRDefault="00DA45E0">
      <w:pPr>
        <w:spacing w:before="120" w:after="120" w:line="240" w:lineRule="auto"/>
        <w:ind w:firstLine="720"/>
        <w:jc w:val="right"/>
        <w:rPr>
          <w:bCs/>
          <w:i/>
          <w:iCs/>
          <w:sz w:val="24"/>
          <w:szCs w:val="24"/>
        </w:rPr>
      </w:pPr>
      <w:r w:rsidRPr="00B62C1B">
        <w:rPr>
          <w:bCs/>
          <w:i/>
          <w:iCs/>
          <w:sz w:val="24"/>
          <w:szCs w:val="24"/>
        </w:rPr>
        <w:t xml:space="preserve">Nguồn: </w:t>
      </w:r>
      <w:r w:rsidR="009B5277" w:rsidRPr="00B62C1B">
        <w:rPr>
          <w:bCs/>
          <w:i/>
          <w:iCs/>
          <w:sz w:val="24"/>
          <w:szCs w:val="24"/>
        </w:rPr>
        <w:t xml:space="preserve">WB, IMF và </w:t>
      </w:r>
      <w:r w:rsidRPr="00B62C1B">
        <w:rPr>
          <w:bCs/>
          <w:i/>
          <w:iCs/>
          <w:sz w:val="24"/>
          <w:szCs w:val="24"/>
        </w:rPr>
        <w:t xml:space="preserve">ADB </w:t>
      </w:r>
    </w:p>
    <w:p w14:paraId="47961A1C" w14:textId="73E3C464" w:rsidR="00DA45E0" w:rsidRPr="00B62C1B" w:rsidRDefault="00DA45E0">
      <w:pPr>
        <w:spacing w:before="120" w:after="120" w:line="240" w:lineRule="auto"/>
        <w:ind w:firstLine="720"/>
        <w:jc w:val="both"/>
      </w:pPr>
      <w:r w:rsidRPr="00B62C1B">
        <w:t>Theo Hình trên, các tổ chức quốc tế đều nhận định tăng trưởng của Việt Nam năm 2024 cao hơn năm 2023 từ 0,9-1,1 điểm phần trăm. Cụ thể</w:t>
      </w:r>
      <w:r w:rsidR="00A920C9" w:rsidRPr="00B62C1B">
        <w:t>,</w:t>
      </w:r>
      <w:r w:rsidRPr="00B62C1B">
        <w:t xml:space="preserve"> </w:t>
      </w:r>
      <w:r w:rsidR="00C47E1A" w:rsidRPr="00B62C1B">
        <w:t xml:space="preserve">IMF và WB nhận định khả quan hơn khi cho rằng tăng trưởng của Việt Nam đạt 6,1% trong năm 2024, tăng lần lượt 0,3 và 0,6 điểm phần trăm so với dự báo của hai tổ chức này trong tháng 4 và tháng 6/2024. </w:t>
      </w:r>
      <w:r w:rsidRPr="00B62C1B">
        <w:t>ADB giữ nguyên dự báo tăng trưởng của Việt Nam năm 2024</w:t>
      </w:r>
      <w:r w:rsidR="00C47E1A" w:rsidRPr="00B62C1B">
        <w:t>,</w:t>
      </w:r>
      <w:r w:rsidRPr="00B62C1B">
        <w:t xml:space="preserve"> ở mức 6</w:t>
      </w:r>
      <w:r w:rsidR="00A920C9" w:rsidRPr="00B62C1B">
        <w:t>,0</w:t>
      </w:r>
      <w:r w:rsidRPr="00B62C1B">
        <w:t xml:space="preserve">% so với nhận định trong tháng </w:t>
      </w:r>
      <w:r w:rsidR="00225BA1" w:rsidRPr="00B62C1B">
        <w:t>7</w:t>
      </w:r>
      <w:r w:rsidRPr="00B62C1B">
        <w:t>/2024</w:t>
      </w:r>
      <w:r w:rsidR="00C47E1A" w:rsidRPr="00B62C1B">
        <w:t xml:space="preserve">. </w:t>
      </w:r>
    </w:p>
    <w:p w14:paraId="64748354" w14:textId="5DD771AF" w:rsidR="00DA45E0" w:rsidRPr="00B62C1B" w:rsidRDefault="00DA45E0" w:rsidP="003F531A">
      <w:pPr>
        <w:spacing w:before="120" w:after="120" w:line="240" w:lineRule="auto"/>
        <w:ind w:firstLine="720"/>
        <w:jc w:val="both"/>
      </w:pPr>
      <w:r w:rsidRPr="00B62C1B" w:rsidDel="00D060FD">
        <w:t xml:space="preserve">Theo Trading Economics, tăng trưởng Quý </w:t>
      </w:r>
      <w:r w:rsidRPr="00B62C1B">
        <w:t>I</w:t>
      </w:r>
      <w:r w:rsidRPr="00B62C1B" w:rsidDel="00D060FD">
        <w:t>I</w:t>
      </w:r>
      <w:r w:rsidRPr="00B62C1B">
        <w:t>I</w:t>
      </w:r>
      <w:r w:rsidRPr="00B62C1B" w:rsidDel="00D060FD">
        <w:t>/202</w:t>
      </w:r>
      <w:r w:rsidRPr="00B62C1B">
        <w:t>4</w:t>
      </w:r>
      <w:r w:rsidRPr="00B62C1B" w:rsidDel="00D060FD">
        <w:t xml:space="preserve"> của Việt Nam so với cùng kỳ năm trước </w:t>
      </w:r>
      <w:r w:rsidR="00A920C9" w:rsidRPr="00B62C1B" w:rsidDel="00D060FD">
        <w:t xml:space="preserve">dự báo </w:t>
      </w:r>
      <w:r w:rsidRPr="00B62C1B" w:rsidDel="00D060FD">
        <w:t xml:space="preserve">đạt </w:t>
      </w:r>
      <w:r w:rsidRPr="00B62C1B">
        <w:t>4,8</w:t>
      </w:r>
      <w:r w:rsidRPr="00B62C1B" w:rsidDel="00D060FD">
        <w:t>%</w:t>
      </w:r>
      <w:r w:rsidRPr="00B62C1B">
        <w:t>.</w:t>
      </w:r>
    </w:p>
    <w:p w14:paraId="64DF2194" w14:textId="77777777" w:rsidR="00DA45E0" w:rsidRPr="00B62C1B" w:rsidRDefault="00DA45E0" w:rsidP="00DA45E0">
      <w:pPr>
        <w:spacing w:after="0" w:line="240" w:lineRule="auto"/>
      </w:pPr>
      <w:r w:rsidRPr="00B62C1B">
        <w:br w:type="page"/>
      </w:r>
    </w:p>
    <w:p w14:paraId="5F181277" w14:textId="77777777" w:rsidR="00DA45E0" w:rsidRPr="00B62C1B" w:rsidRDefault="00DA45E0" w:rsidP="00DA45E0">
      <w:pPr>
        <w:spacing w:before="120" w:after="120" w:line="240" w:lineRule="auto"/>
        <w:jc w:val="center"/>
        <w:rPr>
          <w:b/>
          <w:lang w:val="vi-VN"/>
        </w:rPr>
      </w:pPr>
      <w:r w:rsidRPr="00B62C1B">
        <w:rPr>
          <w:b/>
          <w:lang w:val="vi-VN"/>
        </w:rPr>
        <w:lastRenderedPageBreak/>
        <w:t xml:space="preserve">Biểu 1. Tốc độ tăng trưởng GDP Quý </w:t>
      </w:r>
      <w:r w:rsidRPr="00B62C1B">
        <w:rPr>
          <w:b/>
        </w:rPr>
        <w:t>III</w:t>
      </w:r>
      <w:r w:rsidRPr="00B62C1B">
        <w:rPr>
          <w:b/>
          <w:lang w:val="vi-VN"/>
        </w:rPr>
        <w:t xml:space="preserve"> năm 2024 của một số quốc gia</w:t>
      </w:r>
    </w:p>
    <w:p w14:paraId="3989480E" w14:textId="77777777" w:rsidR="00DA45E0" w:rsidRPr="00B62C1B" w:rsidRDefault="00DA45E0" w:rsidP="00DA45E0">
      <w:pPr>
        <w:spacing w:before="120" w:after="120" w:line="240" w:lineRule="auto"/>
        <w:ind w:firstLine="720"/>
        <w:jc w:val="right"/>
        <w:rPr>
          <w:i/>
          <w:sz w:val="24"/>
          <w:szCs w:val="24"/>
          <w:lang w:val="vi-VN"/>
        </w:rPr>
      </w:pPr>
      <w:r w:rsidRPr="00B62C1B">
        <w:rPr>
          <w:i/>
          <w:sz w:val="24"/>
          <w:szCs w:val="24"/>
          <w:lang w:val="vi-VN"/>
        </w:rPr>
        <w:t>Đơn vị tính: %</w:t>
      </w:r>
    </w:p>
    <w:tbl>
      <w:tblPr>
        <w:tblStyle w:val="GridTable4-Accent11"/>
        <w:tblW w:w="5000" w:type="pct"/>
        <w:tblLayout w:type="fixed"/>
        <w:tblLook w:val="04A0" w:firstRow="1" w:lastRow="0" w:firstColumn="1" w:lastColumn="0" w:noHBand="0" w:noVBand="1"/>
      </w:tblPr>
      <w:tblGrid>
        <w:gridCol w:w="857"/>
        <w:gridCol w:w="2725"/>
        <w:gridCol w:w="2723"/>
        <w:gridCol w:w="2865"/>
      </w:tblGrid>
      <w:tr w:rsidR="00B62C1B" w:rsidRPr="00B62C1B" w14:paraId="583A6631" w14:textId="77777777" w:rsidTr="00DA45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67" w:type="pct"/>
            <w:vMerge w:val="restart"/>
            <w:tcBorders>
              <w:right w:val="single" w:sz="4" w:space="0" w:color="4F81BD"/>
            </w:tcBorders>
            <w:noWrap/>
            <w:vAlign w:val="center"/>
            <w:hideMark/>
          </w:tcPr>
          <w:p w14:paraId="629E1F58" w14:textId="77777777" w:rsidR="00DA45E0" w:rsidRPr="00B62C1B" w:rsidRDefault="00DA45E0" w:rsidP="00DA45E0">
            <w:pPr>
              <w:jc w:val="center"/>
              <w:rPr>
                <w:rFonts w:eastAsia="Calibri" w:cs="Times New Roman"/>
                <w:color w:val="auto"/>
                <w:szCs w:val="28"/>
                <w:lang w:val="vi-VN"/>
              </w:rPr>
            </w:pPr>
            <w:r w:rsidRPr="00B62C1B">
              <w:rPr>
                <w:rFonts w:eastAsia="Calibri" w:cs="Times New Roman"/>
                <w:color w:val="auto"/>
                <w:szCs w:val="28"/>
                <w:lang w:val="vi-VN"/>
              </w:rPr>
              <w:t>STT</w:t>
            </w:r>
          </w:p>
        </w:tc>
        <w:tc>
          <w:tcPr>
            <w:tcW w:w="1486" w:type="pct"/>
            <w:vMerge w:val="restart"/>
            <w:tcBorders>
              <w:left w:val="single" w:sz="4" w:space="0" w:color="4F81BD"/>
              <w:right w:val="single" w:sz="4" w:space="0" w:color="4F81BD"/>
            </w:tcBorders>
            <w:noWrap/>
            <w:vAlign w:val="center"/>
            <w:hideMark/>
          </w:tcPr>
          <w:p w14:paraId="67256023" w14:textId="77777777" w:rsidR="00DA45E0" w:rsidRPr="00B62C1B" w:rsidRDefault="00DA45E0" w:rsidP="00DA45E0">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8"/>
                <w:lang w:val="vi-VN"/>
              </w:rPr>
            </w:pPr>
            <w:r w:rsidRPr="00B62C1B">
              <w:rPr>
                <w:rFonts w:eastAsia="Calibri" w:cs="Times New Roman"/>
                <w:color w:val="auto"/>
                <w:szCs w:val="28"/>
                <w:lang w:val="vi-VN"/>
              </w:rPr>
              <w:t>Quốc gia</w:t>
            </w:r>
          </w:p>
        </w:tc>
        <w:tc>
          <w:tcPr>
            <w:tcW w:w="3047" w:type="pct"/>
            <w:gridSpan w:val="2"/>
            <w:tcBorders>
              <w:left w:val="single" w:sz="4" w:space="0" w:color="4F81BD"/>
            </w:tcBorders>
            <w:noWrap/>
            <w:vAlign w:val="center"/>
            <w:hideMark/>
          </w:tcPr>
          <w:p w14:paraId="1FE61182" w14:textId="77777777" w:rsidR="00DA45E0" w:rsidRPr="00B62C1B" w:rsidRDefault="00DA45E0" w:rsidP="00DA45E0">
            <w:pPr>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lang w:val="vi-VN"/>
              </w:rPr>
            </w:pPr>
            <w:r w:rsidRPr="00B62C1B">
              <w:rPr>
                <w:rFonts w:eastAsia="Times New Roman" w:cs="Times New Roman"/>
                <w:color w:val="auto"/>
                <w:szCs w:val="28"/>
                <w:lang w:val="vi-VN"/>
              </w:rPr>
              <w:t xml:space="preserve">Dự báo tăng trưởng GDP Quý </w:t>
            </w:r>
            <w:r w:rsidRPr="00B62C1B">
              <w:rPr>
                <w:rFonts w:eastAsia="Times New Roman" w:cs="Times New Roman"/>
                <w:color w:val="auto"/>
                <w:szCs w:val="28"/>
              </w:rPr>
              <w:t>III</w:t>
            </w:r>
            <w:r w:rsidRPr="00B62C1B">
              <w:rPr>
                <w:rFonts w:eastAsia="Times New Roman" w:cs="Times New Roman"/>
                <w:color w:val="auto"/>
                <w:szCs w:val="28"/>
                <w:lang w:val="vi-VN"/>
              </w:rPr>
              <w:t xml:space="preserve"> năm 2024</w:t>
            </w:r>
          </w:p>
        </w:tc>
      </w:tr>
      <w:tr w:rsidR="00B62C1B" w:rsidRPr="00B62C1B" w14:paraId="06FFA1A0" w14:textId="77777777" w:rsidTr="00DA45E0">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000" w:firstRow="0" w:lastRow="0" w:firstColumn="1" w:lastColumn="0" w:oddVBand="0" w:evenVBand="0" w:oddHBand="0" w:evenHBand="0" w:firstRowFirstColumn="0" w:firstRowLastColumn="0" w:lastRowFirstColumn="0" w:lastRowLastColumn="0"/>
            <w:tcW w:w="467" w:type="pct"/>
            <w:vMerge/>
            <w:tcBorders>
              <w:right w:val="single" w:sz="4" w:space="0" w:color="4F81BD"/>
            </w:tcBorders>
            <w:noWrap/>
            <w:vAlign w:val="center"/>
          </w:tcPr>
          <w:p w14:paraId="536F47F5" w14:textId="77777777" w:rsidR="00DA45E0" w:rsidRPr="00B62C1B" w:rsidRDefault="00DA45E0" w:rsidP="00DA45E0">
            <w:pPr>
              <w:jc w:val="center"/>
              <w:rPr>
                <w:rFonts w:eastAsia="Calibri" w:cs="Times New Roman"/>
                <w:i/>
                <w:color w:val="auto"/>
                <w:szCs w:val="28"/>
                <w:lang w:val="vi-VN"/>
              </w:rPr>
            </w:pPr>
          </w:p>
        </w:tc>
        <w:tc>
          <w:tcPr>
            <w:tcW w:w="1486" w:type="pct"/>
            <w:vMerge/>
            <w:tcBorders>
              <w:left w:val="single" w:sz="4" w:space="0" w:color="4F81BD"/>
              <w:right w:val="single" w:sz="4" w:space="0" w:color="4F81BD"/>
            </w:tcBorders>
            <w:noWrap/>
            <w:vAlign w:val="center"/>
          </w:tcPr>
          <w:p w14:paraId="6F2859E4" w14:textId="77777777" w:rsidR="00DA45E0" w:rsidRPr="00B62C1B" w:rsidRDefault="00DA45E0" w:rsidP="00DA45E0">
            <w:pPr>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lang w:val="vi-VN"/>
              </w:rPr>
            </w:pPr>
          </w:p>
        </w:tc>
        <w:tc>
          <w:tcPr>
            <w:tcW w:w="1485" w:type="pct"/>
            <w:tcBorders>
              <w:left w:val="single" w:sz="4" w:space="0" w:color="4F81BD"/>
              <w:right w:val="single" w:sz="4" w:space="0" w:color="4F81BD"/>
            </w:tcBorders>
            <w:shd w:val="clear" w:color="auto" w:fill="365F91"/>
            <w:noWrap/>
            <w:vAlign w:val="center"/>
          </w:tcPr>
          <w:p w14:paraId="7A0D8280" w14:textId="77777777" w:rsidR="00DA45E0" w:rsidRPr="00B62C1B" w:rsidRDefault="00DA45E0" w:rsidP="00DA45E0">
            <w:pPr>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lang w:val="vi-VN"/>
              </w:rPr>
            </w:pPr>
            <w:r w:rsidRPr="00B62C1B">
              <w:rPr>
                <w:rFonts w:eastAsia="Times New Roman" w:cs="Times New Roman"/>
                <w:color w:val="auto"/>
                <w:szCs w:val="28"/>
                <w:lang w:val="vi-VN"/>
              </w:rPr>
              <w:t xml:space="preserve">So với Quý </w:t>
            </w:r>
            <w:r w:rsidRPr="00B62C1B">
              <w:rPr>
                <w:rFonts w:eastAsia="Times New Roman" w:cs="Times New Roman"/>
                <w:color w:val="auto"/>
                <w:szCs w:val="28"/>
              </w:rPr>
              <w:t>III</w:t>
            </w:r>
            <w:r w:rsidRPr="00B62C1B">
              <w:rPr>
                <w:rFonts w:eastAsia="Times New Roman" w:cs="Times New Roman"/>
                <w:color w:val="auto"/>
                <w:szCs w:val="28"/>
                <w:lang w:val="vi-VN"/>
              </w:rPr>
              <w:t>/2023</w:t>
            </w:r>
          </w:p>
        </w:tc>
        <w:tc>
          <w:tcPr>
            <w:tcW w:w="1562" w:type="pct"/>
            <w:tcBorders>
              <w:left w:val="single" w:sz="4" w:space="0" w:color="4F81BD"/>
            </w:tcBorders>
            <w:shd w:val="clear" w:color="auto" w:fill="365F91"/>
            <w:noWrap/>
            <w:vAlign w:val="center"/>
          </w:tcPr>
          <w:p w14:paraId="7354604F" w14:textId="77777777" w:rsidR="00DA45E0" w:rsidRPr="00B62C1B" w:rsidRDefault="00DA45E0" w:rsidP="00DA45E0">
            <w:pPr>
              <w:jc w:val="center"/>
              <w:cnfStyle w:val="100000000000" w:firstRow="1" w:lastRow="0" w:firstColumn="0" w:lastColumn="0" w:oddVBand="0" w:evenVBand="0" w:oddHBand="0" w:evenHBand="0" w:firstRowFirstColumn="0" w:firstRowLastColumn="0" w:lastRowFirstColumn="0" w:lastRowLastColumn="0"/>
              <w:rPr>
                <w:rFonts w:eastAsia="Calibri" w:cs="Times New Roman"/>
                <w:i/>
                <w:color w:val="auto"/>
                <w:szCs w:val="28"/>
              </w:rPr>
            </w:pPr>
            <w:r w:rsidRPr="00B62C1B">
              <w:rPr>
                <w:rFonts w:eastAsia="Times New Roman" w:cs="Times New Roman"/>
                <w:color w:val="auto"/>
                <w:szCs w:val="28"/>
                <w:lang w:val="vi-VN"/>
              </w:rPr>
              <w:t>So với Quý I</w:t>
            </w:r>
            <w:r w:rsidRPr="00B62C1B">
              <w:rPr>
                <w:rFonts w:eastAsia="Times New Roman" w:cs="Times New Roman"/>
                <w:color w:val="auto"/>
                <w:szCs w:val="28"/>
              </w:rPr>
              <w:t>I</w:t>
            </w:r>
            <w:r w:rsidRPr="00B62C1B">
              <w:rPr>
                <w:rFonts w:eastAsia="Times New Roman" w:cs="Times New Roman"/>
                <w:color w:val="auto"/>
                <w:szCs w:val="28"/>
                <w:lang w:val="vi-VN"/>
              </w:rPr>
              <w:t>/202</w:t>
            </w:r>
            <w:r w:rsidRPr="00B62C1B">
              <w:rPr>
                <w:rFonts w:eastAsia="Times New Roman" w:cs="Times New Roman"/>
                <w:color w:val="auto"/>
                <w:szCs w:val="28"/>
              </w:rPr>
              <w:t>4</w:t>
            </w:r>
          </w:p>
        </w:tc>
      </w:tr>
      <w:tr w:rsidR="00B62C1B" w:rsidRPr="00B62C1B" w14:paraId="4F9A8ACD"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17E83265"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w:t>
            </w:r>
          </w:p>
        </w:tc>
        <w:tc>
          <w:tcPr>
            <w:tcW w:w="1486" w:type="pct"/>
            <w:noWrap/>
            <w:hideMark/>
          </w:tcPr>
          <w:p w14:paraId="41E21A2B"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Ca-na-đa</w:t>
            </w:r>
          </w:p>
        </w:tc>
        <w:tc>
          <w:tcPr>
            <w:tcW w:w="1485" w:type="pct"/>
            <w:noWrap/>
          </w:tcPr>
          <w:p w14:paraId="1A12B66B"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1,5</w:t>
            </w:r>
          </w:p>
        </w:tc>
        <w:tc>
          <w:tcPr>
            <w:tcW w:w="1562" w:type="pct"/>
            <w:noWrap/>
          </w:tcPr>
          <w:p w14:paraId="5AECF5B2"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0,6</w:t>
            </w:r>
          </w:p>
        </w:tc>
      </w:tr>
      <w:tr w:rsidR="00B62C1B" w:rsidRPr="00B62C1B" w14:paraId="4578ED13"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76CBABD7"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2</w:t>
            </w:r>
          </w:p>
        </w:tc>
        <w:tc>
          <w:tcPr>
            <w:tcW w:w="1486" w:type="pct"/>
            <w:noWrap/>
            <w:hideMark/>
          </w:tcPr>
          <w:p w14:paraId="7E8C6158"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Hoa Kỳ</w:t>
            </w:r>
          </w:p>
        </w:tc>
        <w:tc>
          <w:tcPr>
            <w:tcW w:w="1485" w:type="pct"/>
            <w:noWrap/>
          </w:tcPr>
          <w:p w14:paraId="6A7F721D"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2,7</w:t>
            </w:r>
          </w:p>
        </w:tc>
        <w:tc>
          <w:tcPr>
            <w:tcW w:w="1562" w:type="pct"/>
            <w:noWrap/>
          </w:tcPr>
          <w:p w14:paraId="3649BA32"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1,2</w:t>
            </w:r>
          </w:p>
        </w:tc>
      </w:tr>
      <w:tr w:rsidR="00B62C1B" w:rsidRPr="00B62C1B" w14:paraId="6036EAF7"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B2BD4BB"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3</w:t>
            </w:r>
          </w:p>
        </w:tc>
        <w:tc>
          <w:tcPr>
            <w:tcW w:w="1486" w:type="pct"/>
            <w:noWrap/>
            <w:hideMark/>
          </w:tcPr>
          <w:p w14:paraId="6B8CFA2D"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Anh</w:t>
            </w:r>
          </w:p>
        </w:tc>
        <w:tc>
          <w:tcPr>
            <w:tcW w:w="1485" w:type="pct"/>
            <w:noWrap/>
          </w:tcPr>
          <w:p w14:paraId="1A666DF0"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1,2</w:t>
            </w:r>
          </w:p>
        </w:tc>
        <w:tc>
          <w:tcPr>
            <w:tcW w:w="1562" w:type="pct"/>
            <w:noWrap/>
          </w:tcPr>
          <w:p w14:paraId="66943EB7"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0,3</w:t>
            </w:r>
          </w:p>
        </w:tc>
      </w:tr>
      <w:tr w:rsidR="00B62C1B" w:rsidRPr="00B62C1B" w14:paraId="0B4039A8"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35E0E291"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4</w:t>
            </w:r>
          </w:p>
        </w:tc>
        <w:tc>
          <w:tcPr>
            <w:tcW w:w="1486" w:type="pct"/>
            <w:noWrap/>
            <w:hideMark/>
          </w:tcPr>
          <w:p w14:paraId="0F60B08B"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Đức</w:t>
            </w:r>
          </w:p>
        </w:tc>
        <w:tc>
          <w:tcPr>
            <w:tcW w:w="1485" w:type="pct"/>
            <w:noWrap/>
          </w:tcPr>
          <w:p w14:paraId="0B616C23"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0,2</w:t>
            </w:r>
          </w:p>
        </w:tc>
        <w:tc>
          <w:tcPr>
            <w:tcW w:w="1562" w:type="pct"/>
            <w:noWrap/>
          </w:tcPr>
          <w:p w14:paraId="337E3190"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0,2</w:t>
            </w:r>
          </w:p>
        </w:tc>
      </w:tr>
      <w:tr w:rsidR="00B62C1B" w:rsidRPr="00B62C1B" w14:paraId="66C821FB"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39F09B6D"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5</w:t>
            </w:r>
          </w:p>
        </w:tc>
        <w:tc>
          <w:tcPr>
            <w:tcW w:w="1486" w:type="pct"/>
            <w:noWrap/>
            <w:hideMark/>
          </w:tcPr>
          <w:p w14:paraId="5E8783AE"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Pháp</w:t>
            </w:r>
          </w:p>
        </w:tc>
        <w:tc>
          <w:tcPr>
            <w:tcW w:w="1485" w:type="pct"/>
            <w:noWrap/>
          </w:tcPr>
          <w:p w14:paraId="0FD3974F"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0,7</w:t>
            </w:r>
          </w:p>
        </w:tc>
        <w:tc>
          <w:tcPr>
            <w:tcW w:w="1562" w:type="pct"/>
            <w:noWrap/>
          </w:tcPr>
          <w:p w14:paraId="43607728"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0,4</w:t>
            </w:r>
          </w:p>
        </w:tc>
      </w:tr>
      <w:tr w:rsidR="00B62C1B" w:rsidRPr="00B62C1B" w14:paraId="62469EB5"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26CC7BF8"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6</w:t>
            </w:r>
          </w:p>
        </w:tc>
        <w:tc>
          <w:tcPr>
            <w:tcW w:w="1486" w:type="pct"/>
            <w:noWrap/>
            <w:hideMark/>
          </w:tcPr>
          <w:p w14:paraId="0DBC8E25"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I-ta-li-a</w:t>
            </w:r>
          </w:p>
        </w:tc>
        <w:tc>
          <w:tcPr>
            <w:tcW w:w="1485" w:type="pct"/>
            <w:noWrap/>
          </w:tcPr>
          <w:p w14:paraId="15A5EBFF"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1,2</w:t>
            </w:r>
          </w:p>
        </w:tc>
        <w:tc>
          <w:tcPr>
            <w:tcW w:w="1562" w:type="pct"/>
            <w:noWrap/>
          </w:tcPr>
          <w:p w14:paraId="195B6537"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0,3</w:t>
            </w:r>
          </w:p>
        </w:tc>
      </w:tr>
      <w:tr w:rsidR="00B62C1B" w:rsidRPr="00B62C1B" w14:paraId="349B3600"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A437AA4"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7</w:t>
            </w:r>
          </w:p>
        </w:tc>
        <w:tc>
          <w:tcPr>
            <w:tcW w:w="1486" w:type="pct"/>
            <w:noWrap/>
            <w:hideMark/>
          </w:tcPr>
          <w:p w14:paraId="19C4CD35"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Tây Ban Nha</w:t>
            </w:r>
          </w:p>
        </w:tc>
        <w:tc>
          <w:tcPr>
            <w:tcW w:w="1485" w:type="pct"/>
            <w:noWrap/>
          </w:tcPr>
          <w:p w14:paraId="2E0125C0"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1,7</w:t>
            </w:r>
          </w:p>
        </w:tc>
        <w:tc>
          <w:tcPr>
            <w:tcW w:w="1562" w:type="pct"/>
            <w:noWrap/>
          </w:tcPr>
          <w:p w14:paraId="7D11F2C4"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0,4</w:t>
            </w:r>
          </w:p>
        </w:tc>
      </w:tr>
      <w:tr w:rsidR="00B62C1B" w:rsidRPr="00B62C1B" w14:paraId="28419985"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1736DF3"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8</w:t>
            </w:r>
          </w:p>
        </w:tc>
        <w:tc>
          <w:tcPr>
            <w:tcW w:w="1486" w:type="pct"/>
            <w:noWrap/>
            <w:hideMark/>
          </w:tcPr>
          <w:p w14:paraId="044DD5DA"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Trung Quốc</w:t>
            </w:r>
          </w:p>
        </w:tc>
        <w:tc>
          <w:tcPr>
            <w:tcW w:w="1485" w:type="pct"/>
            <w:noWrap/>
          </w:tcPr>
          <w:p w14:paraId="3911C61E"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5,0</w:t>
            </w:r>
          </w:p>
        </w:tc>
        <w:tc>
          <w:tcPr>
            <w:tcW w:w="1562" w:type="pct"/>
            <w:noWrap/>
          </w:tcPr>
          <w:p w14:paraId="79EA3008"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0,7</w:t>
            </w:r>
          </w:p>
        </w:tc>
      </w:tr>
      <w:tr w:rsidR="00B62C1B" w:rsidRPr="00B62C1B" w14:paraId="7EFCC896"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77AB4B78"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9</w:t>
            </w:r>
          </w:p>
        </w:tc>
        <w:tc>
          <w:tcPr>
            <w:tcW w:w="1486" w:type="pct"/>
            <w:noWrap/>
            <w:hideMark/>
          </w:tcPr>
          <w:p w14:paraId="017B37BA"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Ấn Độ</w:t>
            </w:r>
          </w:p>
        </w:tc>
        <w:tc>
          <w:tcPr>
            <w:tcW w:w="1485" w:type="pct"/>
            <w:noWrap/>
          </w:tcPr>
          <w:p w14:paraId="6F159B3B"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6,8</w:t>
            </w:r>
          </w:p>
        </w:tc>
        <w:tc>
          <w:tcPr>
            <w:tcW w:w="1562" w:type="pct"/>
            <w:noWrap/>
          </w:tcPr>
          <w:p w14:paraId="2AF11D46"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1,6</w:t>
            </w:r>
          </w:p>
        </w:tc>
      </w:tr>
      <w:tr w:rsidR="00B62C1B" w:rsidRPr="00B62C1B" w14:paraId="3E6E4ADB"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2A8319B"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10</w:t>
            </w:r>
          </w:p>
        </w:tc>
        <w:tc>
          <w:tcPr>
            <w:tcW w:w="1486" w:type="pct"/>
            <w:noWrap/>
            <w:hideMark/>
          </w:tcPr>
          <w:p w14:paraId="4983DEC0"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Nhật Bản</w:t>
            </w:r>
          </w:p>
        </w:tc>
        <w:tc>
          <w:tcPr>
            <w:tcW w:w="1485" w:type="pct"/>
            <w:noWrap/>
          </w:tcPr>
          <w:p w14:paraId="6305449D"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2,3</w:t>
            </w:r>
          </w:p>
        </w:tc>
        <w:tc>
          <w:tcPr>
            <w:tcW w:w="1562" w:type="pct"/>
            <w:noWrap/>
          </w:tcPr>
          <w:p w14:paraId="5C262535"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0,3</w:t>
            </w:r>
          </w:p>
        </w:tc>
      </w:tr>
      <w:tr w:rsidR="00B62C1B" w:rsidRPr="00B62C1B" w14:paraId="448CB3CB"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283A7CEA"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11</w:t>
            </w:r>
          </w:p>
        </w:tc>
        <w:tc>
          <w:tcPr>
            <w:tcW w:w="1486" w:type="pct"/>
            <w:noWrap/>
            <w:hideMark/>
          </w:tcPr>
          <w:p w14:paraId="66D6F02D"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Hàn Quốc</w:t>
            </w:r>
          </w:p>
        </w:tc>
        <w:tc>
          <w:tcPr>
            <w:tcW w:w="1485" w:type="pct"/>
            <w:noWrap/>
          </w:tcPr>
          <w:p w14:paraId="5EC8E003"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2,5</w:t>
            </w:r>
          </w:p>
        </w:tc>
        <w:tc>
          <w:tcPr>
            <w:tcW w:w="1562" w:type="pct"/>
            <w:noWrap/>
          </w:tcPr>
          <w:p w14:paraId="5B46C1FB"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0,4</w:t>
            </w:r>
          </w:p>
        </w:tc>
      </w:tr>
      <w:tr w:rsidR="00B62C1B" w:rsidRPr="00B62C1B" w14:paraId="1BA836E5"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64DA4504"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12</w:t>
            </w:r>
          </w:p>
        </w:tc>
        <w:tc>
          <w:tcPr>
            <w:tcW w:w="1486" w:type="pct"/>
            <w:noWrap/>
            <w:hideMark/>
          </w:tcPr>
          <w:p w14:paraId="2496953A"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Ô-xtrây-li-a</w:t>
            </w:r>
          </w:p>
        </w:tc>
        <w:tc>
          <w:tcPr>
            <w:tcW w:w="1485" w:type="pct"/>
            <w:noWrap/>
          </w:tcPr>
          <w:p w14:paraId="3FE7A5B1"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1,4</w:t>
            </w:r>
          </w:p>
        </w:tc>
        <w:tc>
          <w:tcPr>
            <w:tcW w:w="1562" w:type="pct"/>
            <w:noWrap/>
          </w:tcPr>
          <w:p w14:paraId="34CC460D"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0,5</w:t>
            </w:r>
          </w:p>
        </w:tc>
      </w:tr>
      <w:tr w:rsidR="00B62C1B" w:rsidRPr="00B62C1B" w14:paraId="05691DE8"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1F4E9E53"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13</w:t>
            </w:r>
          </w:p>
        </w:tc>
        <w:tc>
          <w:tcPr>
            <w:tcW w:w="1486" w:type="pct"/>
            <w:noWrap/>
            <w:hideMark/>
          </w:tcPr>
          <w:p w14:paraId="261C934C"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In-đô-nê-xi-a</w:t>
            </w:r>
          </w:p>
        </w:tc>
        <w:tc>
          <w:tcPr>
            <w:tcW w:w="1485" w:type="pct"/>
            <w:noWrap/>
          </w:tcPr>
          <w:p w14:paraId="314B867A"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5,0</w:t>
            </w:r>
          </w:p>
        </w:tc>
        <w:tc>
          <w:tcPr>
            <w:tcW w:w="1562" w:type="pct"/>
            <w:noWrap/>
          </w:tcPr>
          <w:p w14:paraId="3972D52E"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2,8</w:t>
            </w:r>
          </w:p>
        </w:tc>
      </w:tr>
      <w:tr w:rsidR="00B62C1B" w:rsidRPr="00B62C1B" w14:paraId="18E60D9B"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2CACF8BE"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14</w:t>
            </w:r>
          </w:p>
        </w:tc>
        <w:tc>
          <w:tcPr>
            <w:tcW w:w="1486" w:type="pct"/>
            <w:noWrap/>
            <w:hideMark/>
          </w:tcPr>
          <w:p w14:paraId="02CF51FE"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Thái Lan</w:t>
            </w:r>
          </w:p>
        </w:tc>
        <w:tc>
          <w:tcPr>
            <w:tcW w:w="1485" w:type="pct"/>
            <w:noWrap/>
          </w:tcPr>
          <w:p w14:paraId="66891CE4"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2,7</w:t>
            </w:r>
          </w:p>
        </w:tc>
        <w:tc>
          <w:tcPr>
            <w:tcW w:w="1562" w:type="pct"/>
            <w:noWrap/>
          </w:tcPr>
          <w:p w14:paraId="352649B2"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0,6</w:t>
            </w:r>
          </w:p>
        </w:tc>
      </w:tr>
      <w:tr w:rsidR="00B62C1B" w:rsidRPr="00B62C1B" w14:paraId="58A4A8E2"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4CA4A1EA"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15</w:t>
            </w:r>
          </w:p>
        </w:tc>
        <w:tc>
          <w:tcPr>
            <w:tcW w:w="1486" w:type="pct"/>
            <w:noWrap/>
            <w:hideMark/>
          </w:tcPr>
          <w:p w14:paraId="62E46719"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Ma-lai-xi-a</w:t>
            </w:r>
          </w:p>
        </w:tc>
        <w:tc>
          <w:tcPr>
            <w:tcW w:w="1485" w:type="pct"/>
            <w:noWrap/>
          </w:tcPr>
          <w:p w14:paraId="6F5402CB"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3,3</w:t>
            </w:r>
          </w:p>
        </w:tc>
        <w:tc>
          <w:tcPr>
            <w:tcW w:w="1562" w:type="pct"/>
            <w:noWrap/>
          </w:tcPr>
          <w:p w14:paraId="04FC285A"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0,6</w:t>
            </w:r>
          </w:p>
        </w:tc>
      </w:tr>
      <w:tr w:rsidR="00B62C1B" w:rsidRPr="00B62C1B" w14:paraId="0D8574E7"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3FEFDC0A"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16</w:t>
            </w:r>
          </w:p>
        </w:tc>
        <w:tc>
          <w:tcPr>
            <w:tcW w:w="1486" w:type="pct"/>
            <w:noWrap/>
            <w:hideMark/>
          </w:tcPr>
          <w:p w14:paraId="6FD941B9"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Xin-ga-po</w:t>
            </w:r>
          </w:p>
        </w:tc>
        <w:tc>
          <w:tcPr>
            <w:tcW w:w="1485" w:type="pct"/>
            <w:noWrap/>
          </w:tcPr>
          <w:p w14:paraId="7CBB4B17"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2,5</w:t>
            </w:r>
          </w:p>
        </w:tc>
        <w:tc>
          <w:tcPr>
            <w:tcW w:w="1562" w:type="pct"/>
            <w:noWrap/>
          </w:tcPr>
          <w:p w14:paraId="383CBF58"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1,6</w:t>
            </w:r>
          </w:p>
        </w:tc>
      </w:tr>
      <w:tr w:rsidR="00B62C1B" w:rsidRPr="00B62C1B" w14:paraId="6C9FEE89"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hideMark/>
          </w:tcPr>
          <w:p w14:paraId="53E284E7"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17</w:t>
            </w:r>
          </w:p>
        </w:tc>
        <w:tc>
          <w:tcPr>
            <w:tcW w:w="1486" w:type="pct"/>
            <w:noWrap/>
            <w:hideMark/>
          </w:tcPr>
          <w:p w14:paraId="34117A98"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rPr>
              <w:t>Bru-nây</w:t>
            </w:r>
          </w:p>
        </w:tc>
        <w:tc>
          <w:tcPr>
            <w:tcW w:w="1485" w:type="pct"/>
            <w:noWrap/>
          </w:tcPr>
          <w:p w14:paraId="1D98E98B"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p>
        </w:tc>
        <w:tc>
          <w:tcPr>
            <w:tcW w:w="1562" w:type="pct"/>
            <w:noWrap/>
          </w:tcPr>
          <w:p w14:paraId="0E44488C"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p>
        </w:tc>
      </w:tr>
      <w:tr w:rsidR="00B62C1B" w:rsidRPr="00B62C1B" w14:paraId="2F83459B" w14:textId="77777777" w:rsidTr="00DA45E0">
        <w:trPr>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tcPr>
          <w:p w14:paraId="4E8EE924"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18</w:t>
            </w:r>
          </w:p>
        </w:tc>
        <w:tc>
          <w:tcPr>
            <w:tcW w:w="1486" w:type="pct"/>
            <w:noWrap/>
          </w:tcPr>
          <w:p w14:paraId="5B92EF28" w14:textId="77777777" w:rsidR="00DA45E0" w:rsidRPr="00B62C1B" w:rsidRDefault="00DA45E0" w:rsidP="00DA45E0">
            <w:pPr>
              <w:cnfStyle w:val="000000000000" w:firstRow="0" w:lastRow="0" w:firstColumn="0" w:lastColumn="0" w:oddVBand="0" w:evenVBand="0" w:oddHBand="0" w:evenHBand="0" w:firstRowFirstColumn="0" w:firstRowLastColumn="0" w:lastRowFirstColumn="0" w:lastRowLastColumn="0"/>
              <w:rPr>
                <w:rFonts w:eastAsia="Calibri" w:cs="Times New Roman"/>
                <w:lang w:val="vi-VN"/>
              </w:rPr>
            </w:pPr>
            <w:r w:rsidRPr="00B62C1B">
              <w:rPr>
                <w:rFonts w:eastAsia="Calibri" w:cs="Times New Roman"/>
              </w:rPr>
              <w:t>Phi-lip-pin</w:t>
            </w:r>
          </w:p>
        </w:tc>
        <w:tc>
          <w:tcPr>
            <w:tcW w:w="1485" w:type="pct"/>
            <w:noWrap/>
          </w:tcPr>
          <w:p w14:paraId="2EEDACA5"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6,4</w:t>
            </w:r>
          </w:p>
        </w:tc>
        <w:tc>
          <w:tcPr>
            <w:tcW w:w="1562" w:type="pct"/>
            <w:noWrap/>
          </w:tcPr>
          <w:p w14:paraId="6F050AFC" w14:textId="77777777" w:rsidR="00DA45E0" w:rsidRPr="00B62C1B" w:rsidRDefault="00DA45E0" w:rsidP="00DA45E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8"/>
              </w:rPr>
            </w:pPr>
            <w:r w:rsidRPr="00B62C1B">
              <w:rPr>
                <w:rFonts w:eastAsia="Calibri" w:cs="Times New Roman"/>
                <w:szCs w:val="28"/>
              </w:rPr>
              <w:t>1,4</w:t>
            </w:r>
          </w:p>
        </w:tc>
      </w:tr>
      <w:tr w:rsidR="00B62C1B" w:rsidRPr="00B62C1B" w14:paraId="7B1DB7A0" w14:textId="77777777" w:rsidTr="00DA45E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67" w:type="pct"/>
            <w:noWrap/>
          </w:tcPr>
          <w:p w14:paraId="5A12200D" w14:textId="77777777" w:rsidR="00DA45E0" w:rsidRPr="00B62C1B" w:rsidRDefault="00DA45E0" w:rsidP="00DA45E0">
            <w:pPr>
              <w:jc w:val="center"/>
              <w:rPr>
                <w:rFonts w:eastAsia="Calibri" w:cs="Times New Roman"/>
                <w:szCs w:val="28"/>
                <w:lang w:val="vi-VN"/>
              </w:rPr>
            </w:pPr>
            <w:r w:rsidRPr="00B62C1B">
              <w:rPr>
                <w:rFonts w:eastAsia="Calibri" w:cs="Times New Roman"/>
                <w:szCs w:val="28"/>
                <w:lang w:val="vi-VN"/>
              </w:rPr>
              <w:t>19</w:t>
            </w:r>
          </w:p>
        </w:tc>
        <w:tc>
          <w:tcPr>
            <w:tcW w:w="1486" w:type="pct"/>
            <w:noWrap/>
          </w:tcPr>
          <w:p w14:paraId="04647D46" w14:textId="77777777" w:rsidR="00DA45E0" w:rsidRPr="00B62C1B" w:rsidRDefault="00DA45E0" w:rsidP="00DA45E0">
            <w:pPr>
              <w:cnfStyle w:val="000000100000" w:firstRow="0" w:lastRow="0" w:firstColumn="0" w:lastColumn="0" w:oddVBand="0" w:evenVBand="0" w:oddHBand="1" w:evenHBand="0" w:firstRowFirstColumn="0" w:firstRowLastColumn="0" w:lastRowFirstColumn="0" w:lastRowLastColumn="0"/>
              <w:rPr>
                <w:rFonts w:eastAsia="Calibri" w:cs="Times New Roman"/>
                <w:lang w:val="vi-VN"/>
              </w:rPr>
            </w:pPr>
            <w:r w:rsidRPr="00B62C1B">
              <w:rPr>
                <w:rFonts w:eastAsia="Calibri" w:cs="Times New Roman"/>
                <w:lang w:val="vi-VN"/>
              </w:rPr>
              <w:t>Việt Nam</w:t>
            </w:r>
          </w:p>
        </w:tc>
        <w:tc>
          <w:tcPr>
            <w:tcW w:w="1485" w:type="pct"/>
            <w:noWrap/>
          </w:tcPr>
          <w:p w14:paraId="1E26A526"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rPr>
            </w:pPr>
            <w:r w:rsidRPr="00B62C1B">
              <w:rPr>
                <w:rFonts w:eastAsia="Calibri" w:cs="Times New Roman"/>
                <w:szCs w:val="28"/>
              </w:rPr>
              <w:t>4,8</w:t>
            </w:r>
          </w:p>
        </w:tc>
        <w:tc>
          <w:tcPr>
            <w:tcW w:w="1562" w:type="pct"/>
            <w:noWrap/>
          </w:tcPr>
          <w:p w14:paraId="4B9A578E" w14:textId="77777777" w:rsidR="00DA45E0" w:rsidRPr="00B62C1B" w:rsidRDefault="00DA45E0" w:rsidP="00DA45E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8"/>
                <w:lang w:val="vi-VN"/>
              </w:rPr>
            </w:pPr>
          </w:p>
        </w:tc>
      </w:tr>
    </w:tbl>
    <w:p w14:paraId="3E1A7B8C" w14:textId="2D313A7D" w:rsidR="00DA45E0" w:rsidRPr="00B62C1B" w:rsidRDefault="00DA45E0" w:rsidP="00A43867">
      <w:pPr>
        <w:spacing w:before="120" w:after="120" w:line="240" w:lineRule="auto"/>
        <w:ind w:firstLine="720"/>
        <w:jc w:val="right"/>
        <w:rPr>
          <w:i/>
          <w:sz w:val="24"/>
          <w:lang w:val="vi-VN"/>
        </w:rPr>
      </w:pPr>
      <w:r w:rsidRPr="00B62C1B">
        <w:rPr>
          <w:i/>
          <w:sz w:val="24"/>
          <w:lang w:val="vi-VN"/>
        </w:rPr>
        <w:t xml:space="preserve">Nguồn: Trading Economics, cập nhật ngày </w:t>
      </w:r>
      <w:r w:rsidRPr="00B62C1B">
        <w:rPr>
          <w:i/>
          <w:sz w:val="24"/>
        </w:rPr>
        <w:t>26</w:t>
      </w:r>
      <w:r w:rsidRPr="00B62C1B">
        <w:rPr>
          <w:i/>
          <w:sz w:val="24"/>
          <w:lang w:val="vi-VN"/>
        </w:rPr>
        <w:t>/</w:t>
      </w:r>
      <w:r w:rsidRPr="00B62C1B">
        <w:rPr>
          <w:i/>
          <w:sz w:val="24"/>
        </w:rPr>
        <w:t>09</w:t>
      </w:r>
      <w:r w:rsidRPr="00B62C1B">
        <w:rPr>
          <w:i/>
          <w:sz w:val="24"/>
          <w:lang w:val="vi-VN"/>
        </w:rPr>
        <w:t>/2024</w:t>
      </w:r>
    </w:p>
    <w:p w14:paraId="567ACD16" w14:textId="77777777" w:rsidR="00E12AFA" w:rsidRPr="00B62C1B" w:rsidRDefault="00E12AFA">
      <w:pPr>
        <w:spacing w:after="0" w:line="240" w:lineRule="auto"/>
        <w:rPr>
          <w:b/>
        </w:rPr>
      </w:pPr>
      <w:r w:rsidRPr="00B62C1B">
        <w:rPr>
          <w:b/>
        </w:rPr>
        <w:br w:type="page"/>
      </w:r>
    </w:p>
    <w:p w14:paraId="0FBFC47F" w14:textId="67BCF11D" w:rsidR="00DA45E0" w:rsidRPr="00B62C1B" w:rsidRDefault="00DA45E0" w:rsidP="00DA45E0">
      <w:pPr>
        <w:spacing w:after="0" w:line="240" w:lineRule="auto"/>
        <w:jc w:val="center"/>
        <w:rPr>
          <w:b/>
        </w:rPr>
      </w:pPr>
      <w:r w:rsidRPr="00B62C1B">
        <w:rPr>
          <w:b/>
        </w:rPr>
        <w:lastRenderedPageBreak/>
        <w:t xml:space="preserve">Biểu 2. </w:t>
      </w:r>
      <w:r w:rsidRPr="00B62C1B">
        <w:rPr>
          <w:b/>
          <w:spacing w:val="-4"/>
        </w:rPr>
        <w:t>Đánh giá</w:t>
      </w:r>
      <w:r w:rsidRPr="00B62C1B">
        <w:rPr>
          <w:b/>
          <w:spacing w:val="-4"/>
          <w:lang w:val="vi-VN"/>
        </w:rPr>
        <w:t xml:space="preserve"> </w:t>
      </w:r>
      <w:r w:rsidRPr="00B62C1B">
        <w:rPr>
          <w:b/>
        </w:rPr>
        <w:t>tốc độ tăng trưởng GDP năm 2023 và dự báo tăng trưởng năm 2024 của toàn cầu và một số quốc gia trên thế giới</w:t>
      </w:r>
      <w:r w:rsidRPr="00B62C1B" w:rsidDel="00404FB8">
        <w:rPr>
          <w:b/>
        </w:rPr>
        <w:t xml:space="preserve"> </w:t>
      </w:r>
    </w:p>
    <w:p w14:paraId="4AE1FADA" w14:textId="77777777" w:rsidR="00DA45E0" w:rsidRPr="00B62C1B" w:rsidRDefault="00DA45E0" w:rsidP="00DA45E0">
      <w:pPr>
        <w:spacing w:before="120" w:after="120" w:line="240" w:lineRule="auto"/>
        <w:ind w:firstLine="720"/>
        <w:jc w:val="right"/>
        <w:rPr>
          <w:i/>
          <w:sz w:val="24"/>
          <w:szCs w:val="24"/>
          <w:lang w:val="vi-VN"/>
        </w:rPr>
      </w:pPr>
      <w:r w:rsidRPr="00B62C1B">
        <w:rPr>
          <w:i/>
          <w:sz w:val="24"/>
          <w:szCs w:val="24"/>
        </w:rPr>
        <w:t>Đ</w:t>
      </w:r>
      <w:r w:rsidRPr="00B62C1B">
        <w:rPr>
          <w:i/>
          <w:sz w:val="24"/>
          <w:szCs w:val="24"/>
          <w:lang w:val="vi-VN"/>
        </w:rPr>
        <w:t>ơn vị tính: %</w:t>
      </w:r>
    </w:p>
    <w:tbl>
      <w:tblPr>
        <w:tblStyle w:val="GridTable4-Accent111"/>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71"/>
        <w:gridCol w:w="852"/>
        <w:gridCol w:w="710"/>
        <w:gridCol w:w="710"/>
        <w:gridCol w:w="575"/>
        <w:gridCol w:w="712"/>
        <w:gridCol w:w="852"/>
        <w:gridCol w:w="708"/>
        <w:gridCol w:w="710"/>
        <w:gridCol w:w="568"/>
        <w:gridCol w:w="708"/>
      </w:tblGrid>
      <w:tr w:rsidR="00B62C1B" w:rsidRPr="00B62C1B" w14:paraId="6230E770" w14:textId="77777777" w:rsidTr="0023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pct"/>
            <w:vMerge w:val="restart"/>
            <w:tcBorders>
              <w:top w:val="single" w:sz="12" w:space="0" w:color="auto"/>
              <w:left w:val="single" w:sz="12" w:space="0" w:color="auto"/>
              <w:right w:val="single" w:sz="12" w:space="0" w:color="auto"/>
            </w:tcBorders>
            <w:vAlign w:val="center"/>
          </w:tcPr>
          <w:p w14:paraId="3B0413B9" w14:textId="77777777" w:rsidR="000D4181" w:rsidRPr="00B62C1B" w:rsidRDefault="000D4181" w:rsidP="002348FA">
            <w:pPr>
              <w:jc w:val="center"/>
              <w:rPr>
                <w:color w:val="auto"/>
                <w:sz w:val="22"/>
              </w:rPr>
            </w:pPr>
            <w:r w:rsidRPr="00B62C1B">
              <w:rPr>
                <w:color w:val="auto"/>
                <w:sz w:val="22"/>
              </w:rPr>
              <w:t>STT</w:t>
            </w:r>
          </w:p>
        </w:tc>
        <w:tc>
          <w:tcPr>
            <w:tcW w:w="841" w:type="pct"/>
            <w:vMerge w:val="restart"/>
            <w:tcBorders>
              <w:top w:val="single" w:sz="12" w:space="0" w:color="auto"/>
              <w:left w:val="single" w:sz="12" w:space="0" w:color="auto"/>
              <w:bottom w:val="single" w:sz="4" w:space="0" w:color="auto"/>
              <w:right w:val="single" w:sz="12" w:space="0" w:color="auto"/>
            </w:tcBorders>
            <w:vAlign w:val="center"/>
          </w:tcPr>
          <w:p w14:paraId="26756286" w14:textId="77777777" w:rsidR="000D4181" w:rsidRPr="00B62C1B" w:rsidRDefault="000D4181" w:rsidP="002348F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62C1B">
              <w:rPr>
                <w:color w:val="auto"/>
                <w:sz w:val="24"/>
                <w:szCs w:val="24"/>
              </w:rPr>
              <w:t>Quốc gia</w:t>
            </w:r>
          </w:p>
        </w:tc>
        <w:tc>
          <w:tcPr>
            <w:tcW w:w="1905" w:type="pct"/>
            <w:gridSpan w:val="5"/>
            <w:tcBorders>
              <w:top w:val="single" w:sz="12" w:space="0" w:color="auto"/>
              <w:left w:val="single" w:sz="12" w:space="0" w:color="auto"/>
              <w:right w:val="single" w:sz="12" w:space="0" w:color="auto"/>
            </w:tcBorders>
          </w:tcPr>
          <w:p w14:paraId="0051641C" w14:textId="4490B43C" w:rsidR="000D4181" w:rsidRPr="00B62C1B" w:rsidRDefault="00D728A4" w:rsidP="002348F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62C1B">
              <w:rPr>
                <w:color w:val="auto"/>
                <w:sz w:val="24"/>
                <w:szCs w:val="24"/>
              </w:rPr>
              <w:t>Đánh giá</w:t>
            </w:r>
            <w:r w:rsidR="000D4181" w:rsidRPr="00B62C1B">
              <w:rPr>
                <w:color w:val="auto"/>
                <w:sz w:val="24"/>
                <w:szCs w:val="24"/>
              </w:rPr>
              <w:t xml:space="preserve"> năm 2023</w:t>
            </w:r>
          </w:p>
        </w:tc>
        <w:tc>
          <w:tcPr>
            <w:tcW w:w="1898" w:type="pct"/>
            <w:gridSpan w:val="5"/>
            <w:tcBorders>
              <w:top w:val="single" w:sz="12" w:space="0" w:color="auto"/>
              <w:left w:val="single" w:sz="12" w:space="0" w:color="auto"/>
              <w:right w:val="single" w:sz="12" w:space="0" w:color="auto"/>
            </w:tcBorders>
          </w:tcPr>
          <w:p w14:paraId="4D7A26D7" w14:textId="77777777" w:rsidR="000D4181" w:rsidRPr="00B62C1B" w:rsidRDefault="000D4181" w:rsidP="002348FA">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62C1B">
              <w:rPr>
                <w:color w:val="auto"/>
                <w:sz w:val="24"/>
                <w:szCs w:val="24"/>
              </w:rPr>
              <w:t>Dự báo năm 2024</w:t>
            </w:r>
          </w:p>
        </w:tc>
      </w:tr>
      <w:tr w:rsidR="00B62C1B" w:rsidRPr="00B62C1B" w14:paraId="15185883" w14:textId="77777777" w:rsidTr="00234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pct"/>
            <w:vMerge/>
            <w:tcBorders>
              <w:left w:val="single" w:sz="12" w:space="0" w:color="auto"/>
              <w:right w:val="single" w:sz="12" w:space="0" w:color="auto"/>
            </w:tcBorders>
          </w:tcPr>
          <w:p w14:paraId="092B9A0B" w14:textId="77777777" w:rsidR="000D4181" w:rsidRPr="00B62C1B" w:rsidRDefault="000D4181" w:rsidP="002348FA">
            <w:pPr>
              <w:jc w:val="center"/>
              <w:rPr>
                <w:sz w:val="22"/>
              </w:rPr>
            </w:pPr>
          </w:p>
        </w:tc>
        <w:tc>
          <w:tcPr>
            <w:tcW w:w="841" w:type="pct"/>
            <w:vMerge/>
            <w:tcBorders>
              <w:left w:val="single" w:sz="12" w:space="0" w:color="auto"/>
              <w:right w:val="single" w:sz="12" w:space="0" w:color="auto"/>
            </w:tcBorders>
          </w:tcPr>
          <w:p w14:paraId="68C1501D"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56" w:type="pct"/>
            <w:tcBorders>
              <w:left w:val="single" w:sz="12" w:space="0" w:color="auto"/>
            </w:tcBorders>
            <w:shd w:val="clear" w:color="auto" w:fill="4F81BD" w:themeFill="accent1"/>
          </w:tcPr>
          <w:p w14:paraId="5B2B6A9C"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OECD</w:t>
            </w:r>
          </w:p>
        </w:tc>
        <w:tc>
          <w:tcPr>
            <w:tcW w:w="380" w:type="pct"/>
            <w:shd w:val="clear" w:color="auto" w:fill="4F81BD" w:themeFill="accent1"/>
          </w:tcPr>
          <w:p w14:paraId="2BA5C91A"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IMF</w:t>
            </w:r>
          </w:p>
        </w:tc>
        <w:tc>
          <w:tcPr>
            <w:tcW w:w="380" w:type="pct"/>
            <w:shd w:val="clear" w:color="auto" w:fill="4F81BD" w:themeFill="accent1"/>
          </w:tcPr>
          <w:p w14:paraId="1220A98A"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WB</w:t>
            </w:r>
          </w:p>
        </w:tc>
        <w:tc>
          <w:tcPr>
            <w:tcW w:w="308" w:type="pct"/>
            <w:tcBorders>
              <w:right w:val="single" w:sz="12" w:space="0" w:color="auto"/>
            </w:tcBorders>
            <w:shd w:val="clear" w:color="auto" w:fill="4F81BD" w:themeFill="accent1"/>
          </w:tcPr>
          <w:p w14:paraId="0A14C45D"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UN</w:t>
            </w:r>
          </w:p>
        </w:tc>
        <w:tc>
          <w:tcPr>
            <w:tcW w:w="381" w:type="pct"/>
            <w:tcBorders>
              <w:right w:val="single" w:sz="12" w:space="0" w:color="auto"/>
            </w:tcBorders>
            <w:shd w:val="clear" w:color="auto" w:fill="4F81BD" w:themeFill="accent1"/>
          </w:tcPr>
          <w:p w14:paraId="59BDE439"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ADB</w:t>
            </w:r>
          </w:p>
        </w:tc>
        <w:tc>
          <w:tcPr>
            <w:tcW w:w="456" w:type="pct"/>
            <w:tcBorders>
              <w:left w:val="single" w:sz="12" w:space="0" w:color="auto"/>
            </w:tcBorders>
            <w:shd w:val="clear" w:color="auto" w:fill="4F81BD" w:themeFill="accent1"/>
          </w:tcPr>
          <w:p w14:paraId="64E940A3"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OECD</w:t>
            </w:r>
          </w:p>
        </w:tc>
        <w:tc>
          <w:tcPr>
            <w:tcW w:w="379" w:type="pct"/>
            <w:shd w:val="clear" w:color="auto" w:fill="4F81BD" w:themeFill="accent1"/>
          </w:tcPr>
          <w:p w14:paraId="63619690"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IMF</w:t>
            </w:r>
          </w:p>
        </w:tc>
        <w:tc>
          <w:tcPr>
            <w:tcW w:w="380" w:type="pct"/>
            <w:shd w:val="clear" w:color="auto" w:fill="4F81BD" w:themeFill="accent1"/>
          </w:tcPr>
          <w:p w14:paraId="31D9FAFD"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WB</w:t>
            </w:r>
          </w:p>
        </w:tc>
        <w:tc>
          <w:tcPr>
            <w:tcW w:w="304" w:type="pct"/>
            <w:tcBorders>
              <w:right w:val="single" w:sz="12" w:space="0" w:color="auto"/>
            </w:tcBorders>
            <w:shd w:val="clear" w:color="auto" w:fill="4F81BD" w:themeFill="accent1"/>
          </w:tcPr>
          <w:p w14:paraId="127E8C3D"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UN</w:t>
            </w:r>
          </w:p>
        </w:tc>
        <w:tc>
          <w:tcPr>
            <w:tcW w:w="379" w:type="pct"/>
            <w:tcBorders>
              <w:right w:val="single" w:sz="12" w:space="0" w:color="auto"/>
            </w:tcBorders>
            <w:shd w:val="clear" w:color="auto" w:fill="4F81BD" w:themeFill="accent1"/>
          </w:tcPr>
          <w:p w14:paraId="1BD6A8D9" w14:textId="77777777" w:rsidR="000D4181" w:rsidRPr="00B62C1B" w:rsidRDefault="000D4181" w:rsidP="002348F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62C1B">
              <w:rPr>
                <w:b/>
                <w:sz w:val="20"/>
                <w:szCs w:val="20"/>
              </w:rPr>
              <w:t>ADB</w:t>
            </w:r>
          </w:p>
        </w:tc>
      </w:tr>
      <w:tr w:rsidR="00B62C1B" w:rsidRPr="00B62C1B" w14:paraId="345A329A" w14:textId="77777777" w:rsidTr="002348FA">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62085E99" w14:textId="77777777" w:rsidR="000D4181" w:rsidRPr="00B62C1B" w:rsidRDefault="000D4181" w:rsidP="002348FA">
            <w:pPr>
              <w:jc w:val="center"/>
              <w:rPr>
                <w:sz w:val="22"/>
              </w:rPr>
            </w:pPr>
          </w:p>
        </w:tc>
        <w:tc>
          <w:tcPr>
            <w:tcW w:w="841" w:type="pct"/>
            <w:tcBorders>
              <w:left w:val="single" w:sz="12" w:space="0" w:color="auto"/>
              <w:right w:val="single" w:sz="12" w:space="0" w:color="auto"/>
            </w:tcBorders>
          </w:tcPr>
          <w:p w14:paraId="7621F895" w14:textId="77777777" w:rsidR="000D4181" w:rsidRPr="00B62C1B" w:rsidRDefault="000D4181" w:rsidP="002348FA">
            <w:pPr>
              <w:jc w:val="both"/>
              <w:cnfStyle w:val="000000000000" w:firstRow="0" w:lastRow="0" w:firstColumn="0" w:lastColumn="0" w:oddVBand="0" w:evenVBand="0" w:oddHBand="0" w:evenHBand="0" w:firstRowFirstColumn="0" w:firstRowLastColumn="0" w:lastRowFirstColumn="0" w:lastRowLastColumn="0"/>
              <w:rPr>
                <w:b/>
                <w:sz w:val="24"/>
                <w:szCs w:val="24"/>
              </w:rPr>
            </w:pPr>
            <w:r w:rsidRPr="00B62C1B">
              <w:rPr>
                <w:b/>
                <w:sz w:val="24"/>
                <w:szCs w:val="24"/>
              </w:rPr>
              <w:t>Toàn cầu</w:t>
            </w:r>
          </w:p>
        </w:tc>
        <w:tc>
          <w:tcPr>
            <w:tcW w:w="456" w:type="pct"/>
            <w:tcBorders>
              <w:left w:val="single" w:sz="12" w:space="0" w:color="auto"/>
            </w:tcBorders>
            <w:vAlign w:val="center"/>
          </w:tcPr>
          <w:p w14:paraId="104A66A4"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62C1B">
              <w:rPr>
                <w:b/>
                <w:sz w:val="24"/>
                <w:szCs w:val="24"/>
              </w:rPr>
              <w:t>3,1</w:t>
            </w:r>
          </w:p>
        </w:tc>
        <w:tc>
          <w:tcPr>
            <w:tcW w:w="380" w:type="pct"/>
            <w:vAlign w:val="center"/>
          </w:tcPr>
          <w:p w14:paraId="11505475"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62C1B">
              <w:rPr>
                <w:b/>
                <w:sz w:val="24"/>
                <w:szCs w:val="24"/>
              </w:rPr>
              <w:t>3,3</w:t>
            </w:r>
          </w:p>
        </w:tc>
        <w:tc>
          <w:tcPr>
            <w:tcW w:w="380" w:type="pct"/>
            <w:vAlign w:val="center"/>
          </w:tcPr>
          <w:p w14:paraId="51C4CCCB"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8" w:type="pct"/>
            <w:tcBorders>
              <w:right w:val="single" w:sz="12" w:space="0" w:color="auto"/>
            </w:tcBorders>
            <w:vAlign w:val="center"/>
          </w:tcPr>
          <w:p w14:paraId="05F15BBF"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62C1B">
              <w:rPr>
                <w:b/>
                <w:sz w:val="24"/>
                <w:szCs w:val="24"/>
              </w:rPr>
              <w:t>2,7</w:t>
            </w:r>
          </w:p>
        </w:tc>
        <w:tc>
          <w:tcPr>
            <w:tcW w:w="381" w:type="pct"/>
            <w:tcBorders>
              <w:right w:val="single" w:sz="12" w:space="0" w:color="auto"/>
            </w:tcBorders>
            <w:vAlign w:val="center"/>
          </w:tcPr>
          <w:p w14:paraId="17595341"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456" w:type="pct"/>
            <w:tcBorders>
              <w:left w:val="single" w:sz="12" w:space="0" w:color="auto"/>
            </w:tcBorders>
            <w:vAlign w:val="center"/>
          </w:tcPr>
          <w:p w14:paraId="58DBA62D"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62C1B">
              <w:rPr>
                <w:b/>
                <w:sz w:val="24"/>
                <w:szCs w:val="24"/>
              </w:rPr>
              <w:t>3,2</w:t>
            </w:r>
          </w:p>
        </w:tc>
        <w:tc>
          <w:tcPr>
            <w:tcW w:w="379" w:type="pct"/>
            <w:vAlign w:val="center"/>
          </w:tcPr>
          <w:p w14:paraId="7D82E3B6"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62C1B">
              <w:rPr>
                <w:b/>
                <w:sz w:val="24"/>
                <w:szCs w:val="24"/>
              </w:rPr>
              <w:t>3,2</w:t>
            </w:r>
          </w:p>
        </w:tc>
        <w:tc>
          <w:tcPr>
            <w:tcW w:w="380" w:type="pct"/>
            <w:vAlign w:val="center"/>
          </w:tcPr>
          <w:p w14:paraId="2166B561"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304" w:type="pct"/>
            <w:tcBorders>
              <w:right w:val="single" w:sz="12" w:space="0" w:color="auto"/>
            </w:tcBorders>
            <w:vAlign w:val="center"/>
          </w:tcPr>
          <w:p w14:paraId="7C49123E"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B62C1B">
              <w:rPr>
                <w:b/>
                <w:sz w:val="24"/>
                <w:szCs w:val="24"/>
              </w:rPr>
              <w:t>2,7</w:t>
            </w:r>
          </w:p>
        </w:tc>
        <w:tc>
          <w:tcPr>
            <w:tcW w:w="379" w:type="pct"/>
            <w:tcBorders>
              <w:right w:val="single" w:sz="12" w:space="0" w:color="auto"/>
            </w:tcBorders>
            <w:vAlign w:val="center"/>
          </w:tcPr>
          <w:p w14:paraId="1A4DC3B8" w14:textId="77777777" w:rsidR="000D4181" w:rsidRPr="00B62C1B" w:rsidRDefault="000D4181" w:rsidP="002348FA">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62C1B" w:rsidRPr="00B62C1B" w14:paraId="07AFC888" w14:textId="77777777" w:rsidTr="00234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0353FFBD" w14:textId="77777777" w:rsidR="0055592D" w:rsidRPr="00B62C1B" w:rsidRDefault="0055592D" w:rsidP="0055592D">
            <w:pPr>
              <w:jc w:val="center"/>
              <w:rPr>
                <w:b w:val="0"/>
                <w:sz w:val="24"/>
                <w:szCs w:val="24"/>
              </w:rPr>
            </w:pPr>
            <w:r w:rsidRPr="00B62C1B">
              <w:rPr>
                <w:sz w:val="24"/>
                <w:szCs w:val="24"/>
              </w:rPr>
              <w:t>1</w:t>
            </w:r>
          </w:p>
        </w:tc>
        <w:tc>
          <w:tcPr>
            <w:tcW w:w="841" w:type="pct"/>
            <w:tcBorders>
              <w:left w:val="single" w:sz="12" w:space="0" w:color="auto"/>
              <w:right w:val="single" w:sz="12" w:space="0" w:color="auto"/>
            </w:tcBorders>
          </w:tcPr>
          <w:p w14:paraId="48869534" w14:textId="77777777" w:rsidR="0055592D" w:rsidRPr="00B62C1B" w:rsidRDefault="0055592D" w:rsidP="0055592D">
            <w:pPr>
              <w:jc w:val="both"/>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Hoa Kỳ</w:t>
            </w:r>
          </w:p>
        </w:tc>
        <w:tc>
          <w:tcPr>
            <w:tcW w:w="456" w:type="pct"/>
            <w:tcBorders>
              <w:left w:val="single" w:sz="12" w:space="0" w:color="auto"/>
            </w:tcBorders>
            <w:vAlign w:val="center"/>
          </w:tcPr>
          <w:p w14:paraId="6E16D7CA"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2,5</w:t>
            </w:r>
          </w:p>
        </w:tc>
        <w:tc>
          <w:tcPr>
            <w:tcW w:w="380" w:type="pct"/>
            <w:vAlign w:val="center"/>
          </w:tcPr>
          <w:p w14:paraId="7D614070"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2,5</w:t>
            </w:r>
          </w:p>
        </w:tc>
        <w:tc>
          <w:tcPr>
            <w:tcW w:w="380" w:type="pct"/>
            <w:vAlign w:val="center"/>
          </w:tcPr>
          <w:p w14:paraId="16F203CC"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8" w:type="pct"/>
            <w:tcBorders>
              <w:right w:val="single" w:sz="12" w:space="0" w:color="auto"/>
            </w:tcBorders>
            <w:vAlign w:val="center"/>
          </w:tcPr>
          <w:p w14:paraId="5D886D5E"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2,5</w:t>
            </w:r>
          </w:p>
        </w:tc>
        <w:tc>
          <w:tcPr>
            <w:tcW w:w="381" w:type="pct"/>
            <w:tcBorders>
              <w:right w:val="single" w:sz="12" w:space="0" w:color="auto"/>
            </w:tcBorders>
            <w:vAlign w:val="center"/>
          </w:tcPr>
          <w:p w14:paraId="55D89B32" w14:textId="1F4C690F"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2,5</w:t>
            </w:r>
          </w:p>
        </w:tc>
        <w:tc>
          <w:tcPr>
            <w:tcW w:w="456" w:type="pct"/>
            <w:tcBorders>
              <w:left w:val="single" w:sz="12" w:space="0" w:color="auto"/>
            </w:tcBorders>
            <w:vAlign w:val="center"/>
          </w:tcPr>
          <w:p w14:paraId="71C6A427"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2,6</w:t>
            </w:r>
          </w:p>
        </w:tc>
        <w:tc>
          <w:tcPr>
            <w:tcW w:w="379" w:type="pct"/>
            <w:vAlign w:val="center"/>
          </w:tcPr>
          <w:p w14:paraId="6C9467F2"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2,6</w:t>
            </w:r>
          </w:p>
        </w:tc>
        <w:tc>
          <w:tcPr>
            <w:tcW w:w="380" w:type="pct"/>
            <w:vAlign w:val="center"/>
          </w:tcPr>
          <w:p w14:paraId="1464B1D1"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4" w:type="pct"/>
            <w:tcBorders>
              <w:right w:val="single" w:sz="12" w:space="0" w:color="auto"/>
            </w:tcBorders>
            <w:vAlign w:val="center"/>
          </w:tcPr>
          <w:p w14:paraId="76065EFD"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2,5</w:t>
            </w:r>
          </w:p>
        </w:tc>
        <w:tc>
          <w:tcPr>
            <w:tcW w:w="379" w:type="pct"/>
            <w:tcBorders>
              <w:right w:val="single" w:sz="12" w:space="0" w:color="auto"/>
            </w:tcBorders>
            <w:vAlign w:val="center"/>
          </w:tcPr>
          <w:p w14:paraId="6D76F55C" w14:textId="03F21988" w:rsidR="0055592D" w:rsidRPr="00B62C1B" w:rsidRDefault="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w:t>
            </w:r>
            <w:r w:rsidR="00334F9A" w:rsidRPr="00B62C1B">
              <w:rPr>
                <w:sz w:val="24"/>
                <w:szCs w:val="24"/>
              </w:rPr>
              <w:t>4</w:t>
            </w:r>
          </w:p>
        </w:tc>
      </w:tr>
      <w:tr w:rsidR="00B62C1B" w:rsidRPr="00B62C1B" w14:paraId="6D14FD20" w14:textId="77777777" w:rsidTr="002348FA">
        <w:trPr>
          <w:trHeight w:val="653"/>
        </w:trPr>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7DACB17D" w14:textId="77777777" w:rsidR="0055592D" w:rsidRPr="00B62C1B" w:rsidRDefault="0055592D" w:rsidP="0055592D">
            <w:pPr>
              <w:jc w:val="center"/>
              <w:rPr>
                <w:b w:val="0"/>
                <w:sz w:val="24"/>
                <w:szCs w:val="24"/>
              </w:rPr>
            </w:pPr>
            <w:r w:rsidRPr="00B62C1B">
              <w:rPr>
                <w:sz w:val="24"/>
                <w:szCs w:val="24"/>
              </w:rPr>
              <w:t>2</w:t>
            </w:r>
          </w:p>
        </w:tc>
        <w:tc>
          <w:tcPr>
            <w:tcW w:w="841" w:type="pct"/>
            <w:tcBorders>
              <w:left w:val="single" w:sz="12" w:space="0" w:color="auto"/>
              <w:right w:val="single" w:sz="12" w:space="0" w:color="auto"/>
            </w:tcBorders>
          </w:tcPr>
          <w:p w14:paraId="65220F6E" w14:textId="77777777" w:rsidR="0055592D" w:rsidRPr="00B62C1B" w:rsidRDefault="0055592D" w:rsidP="0055592D">
            <w:pPr>
              <w:jc w:val="both"/>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Khu vực EURO</w:t>
            </w:r>
          </w:p>
        </w:tc>
        <w:tc>
          <w:tcPr>
            <w:tcW w:w="456" w:type="pct"/>
            <w:tcBorders>
              <w:left w:val="single" w:sz="12" w:space="0" w:color="auto"/>
            </w:tcBorders>
            <w:vAlign w:val="center"/>
          </w:tcPr>
          <w:p w14:paraId="66B6D516"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0,5</w:t>
            </w:r>
          </w:p>
        </w:tc>
        <w:tc>
          <w:tcPr>
            <w:tcW w:w="380" w:type="pct"/>
            <w:vAlign w:val="center"/>
          </w:tcPr>
          <w:p w14:paraId="0F199CF0"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0,5</w:t>
            </w:r>
          </w:p>
        </w:tc>
        <w:tc>
          <w:tcPr>
            <w:tcW w:w="380" w:type="pct"/>
            <w:vAlign w:val="center"/>
          </w:tcPr>
          <w:p w14:paraId="64A664E6"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8" w:type="pct"/>
            <w:tcBorders>
              <w:right w:val="single" w:sz="12" w:space="0" w:color="auto"/>
            </w:tcBorders>
            <w:vAlign w:val="center"/>
          </w:tcPr>
          <w:p w14:paraId="5E79B0DB"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0,5</w:t>
            </w:r>
          </w:p>
        </w:tc>
        <w:tc>
          <w:tcPr>
            <w:tcW w:w="381" w:type="pct"/>
            <w:tcBorders>
              <w:right w:val="single" w:sz="12" w:space="0" w:color="auto"/>
            </w:tcBorders>
            <w:vAlign w:val="center"/>
          </w:tcPr>
          <w:p w14:paraId="7D82B193" w14:textId="516729FB"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0,5</w:t>
            </w:r>
          </w:p>
        </w:tc>
        <w:tc>
          <w:tcPr>
            <w:tcW w:w="456" w:type="pct"/>
            <w:tcBorders>
              <w:left w:val="single" w:sz="12" w:space="0" w:color="auto"/>
            </w:tcBorders>
            <w:vAlign w:val="center"/>
          </w:tcPr>
          <w:p w14:paraId="19E34373"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0,7</w:t>
            </w:r>
          </w:p>
        </w:tc>
        <w:tc>
          <w:tcPr>
            <w:tcW w:w="379" w:type="pct"/>
            <w:vAlign w:val="center"/>
          </w:tcPr>
          <w:p w14:paraId="3E9F4DBF"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0,9</w:t>
            </w:r>
          </w:p>
        </w:tc>
        <w:tc>
          <w:tcPr>
            <w:tcW w:w="380" w:type="pct"/>
            <w:vAlign w:val="center"/>
          </w:tcPr>
          <w:p w14:paraId="0076705B"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4" w:type="pct"/>
            <w:tcBorders>
              <w:right w:val="single" w:sz="12" w:space="0" w:color="auto"/>
            </w:tcBorders>
            <w:vAlign w:val="center"/>
          </w:tcPr>
          <w:p w14:paraId="5AC10FF9"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0,8</w:t>
            </w:r>
          </w:p>
        </w:tc>
        <w:tc>
          <w:tcPr>
            <w:tcW w:w="379" w:type="pct"/>
            <w:tcBorders>
              <w:right w:val="single" w:sz="12" w:space="0" w:color="auto"/>
            </w:tcBorders>
            <w:vAlign w:val="center"/>
          </w:tcPr>
          <w:p w14:paraId="3B8EB726" w14:textId="79CA2AC7" w:rsidR="0055592D" w:rsidRPr="00B62C1B" w:rsidRDefault="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0,</w:t>
            </w:r>
            <w:r w:rsidR="00334F9A" w:rsidRPr="00B62C1B">
              <w:rPr>
                <w:sz w:val="24"/>
                <w:szCs w:val="24"/>
              </w:rPr>
              <w:t>8</w:t>
            </w:r>
          </w:p>
        </w:tc>
      </w:tr>
      <w:tr w:rsidR="00B62C1B" w:rsidRPr="00B62C1B" w14:paraId="6FC7FDF1" w14:textId="77777777" w:rsidTr="00234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593FAA09" w14:textId="77777777" w:rsidR="0055592D" w:rsidRPr="00B62C1B" w:rsidRDefault="0055592D" w:rsidP="0055592D">
            <w:pPr>
              <w:jc w:val="center"/>
              <w:rPr>
                <w:b w:val="0"/>
                <w:sz w:val="24"/>
                <w:szCs w:val="24"/>
              </w:rPr>
            </w:pPr>
            <w:r w:rsidRPr="00B62C1B">
              <w:rPr>
                <w:sz w:val="24"/>
                <w:szCs w:val="24"/>
              </w:rPr>
              <w:t>3</w:t>
            </w:r>
          </w:p>
        </w:tc>
        <w:tc>
          <w:tcPr>
            <w:tcW w:w="841" w:type="pct"/>
            <w:tcBorders>
              <w:left w:val="single" w:sz="12" w:space="0" w:color="auto"/>
              <w:right w:val="single" w:sz="12" w:space="0" w:color="auto"/>
            </w:tcBorders>
          </w:tcPr>
          <w:p w14:paraId="7A6B0D62" w14:textId="77777777" w:rsidR="0055592D" w:rsidRPr="00B62C1B" w:rsidRDefault="0055592D" w:rsidP="0055592D">
            <w:pPr>
              <w:jc w:val="both"/>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Nhật Bản</w:t>
            </w:r>
          </w:p>
        </w:tc>
        <w:tc>
          <w:tcPr>
            <w:tcW w:w="456" w:type="pct"/>
            <w:tcBorders>
              <w:left w:val="single" w:sz="12" w:space="0" w:color="auto"/>
            </w:tcBorders>
            <w:vAlign w:val="center"/>
          </w:tcPr>
          <w:p w14:paraId="77ED5AF0"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1,7</w:t>
            </w:r>
          </w:p>
        </w:tc>
        <w:tc>
          <w:tcPr>
            <w:tcW w:w="380" w:type="pct"/>
            <w:vAlign w:val="center"/>
          </w:tcPr>
          <w:p w14:paraId="67C6B095"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1,9</w:t>
            </w:r>
          </w:p>
        </w:tc>
        <w:tc>
          <w:tcPr>
            <w:tcW w:w="380" w:type="pct"/>
            <w:vAlign w:val="center"/>
          </w:tcPr>
          <w:p w14:paraId="4C7126A9"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8" w:type="pct"/>
            <w:tcBorders>
              <w:right w:val="single" w:sz="12" w:space="0" w:color="auto"/>
            </w:tcBorders>
            <w:vAlign w:val="center"/>
          </w:tcPr>
          <w:p w14:paraId="2BE4F5C4"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1,9</w:t>
            </w:r>
          </w:p>
        </w:tc>
        <w:tc>
          <w:tcPr>
            <w:tcW w:w="381" w:type="pct"/>
            <w:tcBorders>
              <w:right w:val="single" w:sz="12" w:space="0" w:color="auto"/>
            </w:tcBorders>
            <w:vAlign w:val="center"/>
          </w:tcPr>
          <w:p w14:paraId="09B527EA" w14:textId="7DC27199"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1,9</w:t>
            </w:r>
          </w:p>
        </w:tc>
        <w:tc>
          <w:tcPr>
            <w:tcW w:w="456" w:type="pct"/>
            <w:tcBorders>
              <w:left w:val="single" w:sz="12" w:space="0" w:color="auto"/>
            </w:tcBorders>
            <w:vAlign w:val="center"/>
          </w:tcPr>
          <w:p w14:paraId="05C8E8F8"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-0,1</w:t>
            </w:r>
          </w:p>
        </w:tc>
        <w:tc>
          <w:tcPr>
            <w:tcW w:w="379" w:type="pct"/>
            <w:vAlign w:val="center"/>
          </w:tcPr>
          <w:p w14:paraId="079E24F9"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0,7</w:t>
            </w:r>
          </w:p>
        </w:tc>
        <w:tc>
          <w:tcPr>
            <w:tcW w:w="380" w:type="pct"/>
            <w:vAlign w:val="center"/>
          </w:tcPr>
          <w:p w14:paraId="58FD24BF"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4" w:type="pct"/>
            <w:tcBorders>
              <w:right w:val="single" w:sz="12" w:space="0" w:color="auto"/>
            </w:tcBorders>
            <w:vAlign w:val="center"/>
          </w:tcPr>
          <w:p w14:paraId="02778763"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0,8</w:t>
            </w:r>
          </w:p>
        </w:tc>
        <w:tc>
          <w:tcPr>
            <w:tcW w:w="379" w:type="pct"/>
            <w:tcBorders>
              <w:right w:val="single" w:sz="12" w:space="0" w:color="auto"/>
            </w:tcBorders>
            <w:vAlign w:val="center"/>
          </w:tcPr>
          <w:p w14:paraId="3E9185D4" w14:textId="5BD81338" w:rsidR="0055592D" w:rsidRPr="00B62C1B" w:rsidRDefault="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0,</w:t>
            </w:r>
            <w:r w:rsidR="00334F9A" w:rsidRPr="00B62C1B">
              <w:rPr>
                <w:sz w:val="24"/>
                <w:szCs w:val="24"/>
              </w:rPr>
              <w:t>4</w:t>
            </w:r>
          </w:p>
        </w:tc>
      </w:tr>
      <w:tr w:rsidR="00B62C1B" w:rsidRPr="00B62C1B" w14:paraId="5332BF0C" w14:textId="77777777" w:rsidTr="002348FA">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6665F4EB" w14:textId="77777777" w:rsidR="0055592D" w:rsidRPr="00B62C1B" w:rsidRDefault="0055592D" w:rsidP="0055592D">
            <w:pPr>
              <w:jc w:val="center"/>
              <w:rPr>
                <w:b w:val="0"/>
                <w:sz w:val="24"/>
                <w:szCs w:val="24"/>
              </w:rPr>
            </w:pPr>
            <w:r w:rsidRPr="00B62C1B">
              <w:rPr>
                <w:sz w:val="24"/>
                <w:szCs w:val="24"/>
              </w:rPr>
              <w:t>4</w:t>
            </w:r>
          </w:p>
        </w:tc>
        <w:tc>
          <w:tcPr>
            <w:tcW w:w="841" w:type="pct"/>
            <w:tcBorders>
              <w:left w:val="single" w:sz="12" w:space="0" w:color="auto"/>
              <w:right w:val="single" w:sz="12" w:space="0" w:color="auto"/>
            </w:tcBorders>
          </w:tcPr>
          <w:p w14:paraId="7071CAA3" w14:textId="77777777" w:rsidR="0055592D" w:rsidRPr="00B62C1B" w:rsidRDefault="0055592D" w:rsidP="0055592D">
            <w:pPr>
              <w:jc w:val="both"/>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Trung Quốc</w:t>
            </w:r>
          </w:p>
        </w:tc>
        <w:tc>
          <w:tcPr>
            <w:tcW w:w="456" w:type="pct"/>
            <w:tcBorders>
              <w:left w:val="single" w:sz="12" w:space="0" w:color="auto"/>
            </w:tcBorders>
            <w:vAlign w:val="center"/>
          </w:tcPr>
          <w:p w14:paraId="5877C54D"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5,2</w:t>
            </w:r>
          </w:p>
        </w:tc>
        <w:tc>
          <w:tcPr>
            <w:tcW w:w="380" w:type="pct"/>
            <w:vAlign w:val="center"/>
          </w:tcPr>
          <w:p w14:paraId="05D8FF01"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5,2</w:t>
            </w:r>
          </w:p>
        </w:tc>
        <w:tc>
          <w:tcPr>
            <w:tcW w:w="380" w:type="pct"/>
            <w:vAlign w:val="center"/>
          </w:tcPr>
          <w:p w14:paraId="70BB8FA5"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8" w:type="pct"/>
            <w:tcBorders>
              <w:right w:val="single" w:sz="12" w:space="0" w:color="auto"/>
            </w:tcBorders>
            <w:vAlign w:val="center"/>
          </w:tcPr>
          <w:p w14:paraId="66829551"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5,2</w:t>
            </w:r>
          </w:p>
        </w:tc>
        <w:tc>
          <w:tcPr>
            <w:tcW w:w="381" w:type="pct"/>
            <w:tcBorders>
              <w:right w:val="single" w:sz="12" w:space="0" w:color="auto"/>
            </w:tcBorders>
            <w:vAlign w:val="center"/>
          </w:tcPr>
          <w:p w14:paraId="3AA71F50"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5,2</w:t>
            </w:r>
          </w:p>
        </w:tc>
        <w:tc>
          <w:tcPr>
            <w:tcW w:w="456" w:type="pct"/>
            <w:tcBorders>
              <w:left w:val="single" w:sz="12" w:space="0" w:color="auto"/>
            </w:tcBorders>
            <w:vAlign w:val="center"/>
          </w:tcPr>
          <w:p w14:paraId="38692691"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4,9</w:t>
            </w:r>
          </w:p>
        </w:tc>
        <w:tc>
          <w:tcPr>
            <w:tcW w:w="379" w:type="pct"/>
            <w:vAlign w:val="center"/>
          </w:tcPr>
          <w:p w14:paraId="34F94EBC"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5,0</w:t>
            </w:r>
          </w:p>
        </w:tc>
        <w:tc>
          <w:tcPr>
            <w:tcW w:w="380" w:type="pct"/>
            <w:vAlign w:val="center"/>
          </w:tcPr>
          <w:p w14:paraId="5B4E55C4"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4" w:type="pct"/>
            <w:tcBorders>
              <w:right w:val="single" w:sz="12" w:space="0" w:color="auto"/>
            </w:tcBorders>
            <w:vAlign w:val="center"/>
          </w:tcPr>
          <w:p w14:paraId="673D2761"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4,8</w:t>
            </w:r>
          </w:p>
        </w:tc>
        <w:tc>
          <w:tcPr>
            <w:tcW w:w="379" w:type="pct"/>
            <w:tcBorders>
              <w:right w:val="single" w:sz="12" w:space="0" w:color="auto"/>
            </w:tcBorders>
            <w:vAlign w:val="center"/>
          </w:tcPr>
          <w:p w14:paraId="301C92A6"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4,8</w:t>
            </w:r>
          </w:p>
        </w:tc>
      </w:tr>
      <w:tr w:rsidR="00B62C1B" w:rsidRPr="00B62C1B" w14:paraId="3ECD396C" w14:textId="77777777" w:rsidTr="00234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5CD819E8" w14:textId="77777777" w:rsidR="0055592D" w:rsidRPr="00B62C1B" w:rsidRDefault="0055592D" w:rsidP="0055592D">
            <w:pPr>
              <w:jc w:val="center"/>
              <w:rPr>
                <w:b w:val="0"/>
                <w:sz w:val="24"/>
                <w:szCs w:val="24"/>
              </w:rPr>
            </w:pPr>
            <w:r w:rsidRPr="00B62C1B">
              <w:rPr>
                <w:sz w:val="24"/>
                <w:szCs w:val="24"/>
              </w:rPr>
              <w:t>5</w:t>
            </w:r>
          </w:p>
        </w:tc>
        <w:tc>
          <w:tcPr>
            <w:tcW w:w="841" w:type="pct"/>
            <w:tcBorders>
              <w:left w:val="single" w:sz="12" w:space="0" w:color="auto"/>
              <w:right w:val="single" w:sz="12" w:space="0" w:color="auto"/>
            </w:tcBorders>
          </w:tcPr>
          <w:p w14:paraId="6966BE5B" w14:textId="77777777" w:rsidR="0055592D" w:rsidRPr="00B62C1B" w:rsidRDefault="0055592D" w:rsidP="0055592D">
            <w:pPr>
              <w:jc w:val="both"/>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In-đô-nê-xi-a</w:t>
            </w:r>
          </w:p>
        </w:tc>
        <w:tc>
          <w:tcPr>
            <w:tcW w:w="456" w:type="pct"/>
            <w:tcBorders>
              <w:left w:val="single" w:sz="12" w:space="0" w:color="auto"/>
            </w:tcBorders>
            <w:vAlign w:val="center"/>
          </w:tcPr>
          <w:p w14:paraId="25A1AA89"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5,0</w:t>
            </w:r>
          </w:p>
        </w:tc>
        <w:tc>
          <w:tcPr>
            <w:tcW w:w="380" w:type="pct"/>
            <w:vAlign w:val="center"/>
          </w:tcPr>
          <w:p w14:paraId="46181ED0"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5,0</w:t>
            </w:r>
          </w:p>
        </w:tc>
        <w:tc>
          <w:tcPr>
            <w:tcW w:w="380" w:type="pct"/>
            <w:vAlign w:val="center"/>
          </w:tcPr>
          <w:p w14:paraId="2662F19F"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8" w:type="pct"/>
            <w:tcBorders>
              <w:right w:val="single" w:sz="12" w:space="0" w:color="auto"/>
            </w:tcBorders>
            <w:vAlign w:val="center"/>
          </w:tcPr>
          <w:p w14:paraId="3CDC355B"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1" w:type="pct"/>
            <w:tcBorders>
              <w:right w:val="single" w:sz="12" w:space="0" w:color="auto"/>
            </w:tcBorders>
            <w:vAlign w:val="center"/>
          </w:tcPr>
          <w:p w14:paraId="66F7C0AB"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5,0</w:t>
            </w:r>
          </w:p>
        </w:tc>
        <w:tc>
          <w:tcPr>
            <w:tcW w:w="456" w:type="pct"/>
            <w:tcBorders>
              <w:left w:val="single" w:sz="12" w:space="0" w:color="auto"/>
            </w:tcBorders>
            <w:vAlign w:val="center"/>
          </w:tcPr>
          <w:p w14:paraId="49A74D71"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5,1</w:t>
            </w:r>
          </w:p>
        </w:tc>
        <w:tc>
          <w:tcPr>
            <w:tcW w:w="379" w:type="pct"/>
            <w:vAlign w:val="center"/>
          </w:tcPr>
          <w:p w14:paraId="3252C26A"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5,0</w:t>
            </w:r>
          </w:p>
        </w:tc>
        <w:tc>
          <w:tcPr>
            <w:tcW w:w="380" w:type="pct"/>
            <w:vAlign w:val="center"/>
          </w:tcPr>
          <w:p w14:paraId="2BF93899"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4" w:type="pct"/>
            <w:tcBorders>
              <w:right w:val="single" w:sz="12" w:space="0" w:color="auto"/>
            </w:tcBorders>
            <w:vAlign w:val="center"/>
          </w:tcPr>
          <w:p w14:paraId="12FD0221"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9" w:type="pct"/>
            <w:tcBorders>
              <w:right w:val="single" w:sz="12" w:space="0" w:color="auto"/>
            </w:tcBorders>
            <w:vAlign w:val="center"/>
          </w:tcPr>
          <w:p w14:paraId="0F47567A"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5,0</w:t>
            </w:r>
          </w:p>
        </w:tc>
      </w:tr>
      <w:tr w:rsidR="00B62C1B" w:rsidRPr="00B62C1B" w14:paraId="17B808A0" w14:textId="77777777" w:rsidTr="002348FA">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6220B96D" w14:textId="77777777" w:rsidR="0055592D" w:rsidRPr="00B62C1B" w:rsidRDefault="0055592D" w:rsidP="0055592D">
            <w:pPr>
              <w:jc w:val="center"/>
              <w:rPr>
                <w:b w:val="0"/>
                <w:sz w:val="24"/>
                <w:szCs w:val="24"/>
              </w:rPr>
            </w:pPr>
            <w:r w:rsidRPr="00B62C1B">
              <w:rPr>
                <w:sz w:val="24"/>
                <w:szCs w:val="24"/>
              </w:rPr>
              <w:t>6</w:t>
            </w:r>
          </w:p>
        </w:tc>
        <w:tc>
          <w:tcPr>
            <w:tcW w:w="841" w:type="pct"/>
            <w:tcBorders>
              <w:left w:val="single" w:sz="12" w:space="0" w:color="auto"/>
              <w:right w:val="single" w:sz="12" w:space="0" w:color="auto"/>
            </w:tcBorders>
          </w:tcPr>
          <w:p w14:paraId="1C767898" w14:textId="77777777" w:rsidR="0055592D" w:rsidRPr="00B62C1B" w:rsidRDefault="0055592D" w:rsidP="0055592D">
            <w:pPr>
              <w:jc w:val="both"/>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Ma-lai-xi-a</w:t>
            </w:r>
          </w:p>
        </w:tc>
        <w:tc>
          <w:tcPr>
            <w:tcW w:w="456" w:type="pct"/>
            <w:tcBorders>
              <w:left w:val="single" w:sz="12" w:space="0" w:color="auto"/>
            </w:tcBorders>
            <w:vAlign w:val="center"/>
          </w:tcPr>
          <w:p w14:paraId="07FD2B93"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0" w:type="pct"/>
            <w:vAlign w:val="center"/>
          </w:tcPr>
          <w:p w14:paraId="167D5D67"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3,6</w:t>
            </w:r>
          </w:p>
        </w:tc>
        <w:tc>
          <w:tcPr>
            <w:tcW w:w="380" w:type="pct"/>
            <w:vAlign w:val="center"/>
          </w:tcPr>
          <w:p w14:paraId="6274F854"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8" w:type="pct"/>
            <w:tcBorders>
              <w:right w:val="single" w:sz="12" w:space="0" w:color="auto"/>
            </w:tcBorders>
            <w:vAlign w:val="center"/>
          </w:tcPr>
          <w:p w14:paraId="3C67AC65"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1" w:type="pct"/>
            <w:tcBorders>
              <w:right w:val="single" w:sz="12" w:space="0" w:color="auto"/>
            </w:tcBorders>
            <w:vAlign w:val="center"/>
          </w:tcPr>
          <w:p w14:paraId="704D7E86" w14:textId="0B664029" w:rsidR="0055592D" w:rsidRPr="00B62C1B" w:rsidRDefault="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3,</w:t>
            </w:r>
            <w:r w:rsidR="00334F9A" w:rsidRPr="00B62C1B">
              <w:rPr>
                <w:sz w:val="24"/>
                <w:szCs w:val="24"/>
              </w:rPr>
              <w:t>6</w:t>
            </w:r>
          </w:p>
        </w:tc>
        <w:tc>
          <w:tcPr>
            <w:tcW w:w="456" w:type="pct"/>
            <w:tcBorders>
              <w:left w:val="single" w:sz="12" w:space="0" w:color="auto"/>
            </w:tcBorders>
            <w:vAlign w:val="center"/>
          </w:tcPr>
          <w:p w14:paraId="67FBC0BB"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79" w:type="pct"/>
            <w:vAlign w:val="center"/>
          </w:tcPr>
          <w:p w14:paraId="401DAF0F"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4,4</w:t>
            </w:r>
          </w:p>
        </w:tc>
        <w:tc>
          <w:tcPr>
            <w:tcW w:w="380" w:type="pct"/>
            <w:vAlign w:val="center"/>
          </w:tcPr>
          <w:p w14:paraId="4DD1A638"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4" w:type="pct"/>
            <w:tcBorders>
              <w:right w:val="single" w:sz="12" w:space="0" w:color="auto"/>
            </w:tcBorders>
            <w:vAlign w:val="center"/>
          </w:tcPr>
          <w:p w14:paraId="7EE28F07"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79" w:type="pct"/>
            <w:tcBorders>
              <w:right w:val="single" w:sz="12" w:space="0" w:color="auto"/>
            </w:tcBorders>
            <w:vAlign w:val="center"/>
          </w:tcPr>
          <w:p w14:paraId="5495F3D5"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4,5</w:t>
            </w:r>
          </w:p>
        </w:tc>
      </w:tr>
      <w:tr w:rsidR="00B62C1B" w:rsidRPr="00B62C1B" w14:paraId="43D11C20" w14:textId="77777777" w:rsidTr="00234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0A2F983A" w14:textId="77777777" w:rsidR="0055592D" w:rsidRPr="00B62C1B" w:rsidRDefault="0055592D" w:rsidP="0055592D">
            <w:pPr>
              <w:jc w:val="center"/>
              <w:rPr>
                <w:b w:val="0"/>
                <w:sz w:val="24"/>
                <w:szCs w:val="24"/>
              </w:rPr>
            </w:pPr>
            <w:r w:rsidRPr="00B62C1B">
              <w:rPr>
                <w:sz w:val="24"/>
                <w:szCs w:val="24"/>
              </w:rPr>
              <w:t>7</w:t>
            </w:r>
          </w:p>
        </w:tc>
        <w:tc>
          <w:tcPr>
            <w:tcW w:w="841" w:type="pct"/>
            <w:tcBorders>
              <w:left w:val="single" w:sz="12" w:space="0" w:color="auto"/>
              <w:right w:val="single" w:sz="12" w:space="0" w:color="auto"/>
            </w:tcBorders>
          </w:tcPr>
          <w:p w14:paraId="5EEFA217" w14:textId="77777777" w:rsidR="0055592D" w:rsidRPr="00B62C1B" w:rsidRDefault="0055592D" w:rsidP="0055592D">
            <w:pPr>
              <w:jc w:val="both"/>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Phi-li-pin</w:t>
            </w:r>
          </w:p>
        </w:tc>
        <w:tc>
          <w:tcPr>
            <w:tcW w:w="456" w:type="pct"/>
            <w:tcBorders>
              <w:left w:val="single" w:sz="12" w:space="0" w:color="auto"/>
            </w:tcBorders>
            <w:vAlign w:val="center"/>
          </w:tcPr>
          <w:p w14:paraId="2A2A2EF6"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0" w:type="pct"/>
            <w:vAlign w:val="center"/>
          </w:tcPr>
          <w:p w14:paraId="2F586EB5"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5,5</w:t>
            </w:r>
          </w:p>
        </w:tc>
        <w:tc>
          <w:tcPr>
            <w:tcW w:w="380" w:type="pct"/>
            <w:vAlign w:val="center"/>
          </w:tcPr>
          <w:p w14:paraId="6E9BD956"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8" w:type="pct"/>
            <w:tcBorders>
              <w:right w:val="single" w:sz="12" w:space="0" w:color="auto"/>
            </w:tcBorders>
            <w:vAlign w:val="center"/>
          </w:tcPr>
          <w:p w14:paraId="6BEDB24C"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1" w:type="pct"/>
            <w:tcBorders>
              <w:right w:val="single" w:sz="12" w:space="0" w:color="auto"/>
            </w:tcBorders>
            <w:vAlign w:val="center"/>
          </w:tcPr>
          <w:p w14:paraId="18DE09C5"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5,5</w:t>
            </w:r>
          </w:p>
        </w:tc>
        <w:tc>
          <w:tcPr>
            <w:tcW w:w="456" w:type="pct"/>
            <w:tcBorders>
              <w:left w:val="single" w:sz="12" w:space="0" w:color="auto"/>
            </w:tcBorders>
            <w:vAlign w:val="center"/>
          </w:tcPr>
          <w:p w14:paraId="19297D4C"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9" w:type="pct"/>
            <w:vAlign w:val="center"/>
          </w:tcPr>
          <w:p w14:paraId="67B87EF6"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6,0</w:t>
            </w:r>
          </w:p>
        </w:tc>
        <w:tc>
          <w:tcPr>
            <w:tcW w:w="380" w:type="pct"/>
            <w:vAlign w:val="center"/>
          </w:tcPr>
          <w:p w14:paraId="2BEB7F9B"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4" w:type="pct"/>
            <w:tcBorders>
              <w:right w:val="single" w:sz="12" w:space="0" w:color="auto"/>
            </w:tcBorders>
            <w:vAlign w:val="center"/>
          </w:tcPr>
          <w:p w14:paraId="048B27CB"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9" w:type="pct"/>
            <w:tcBorders>
              <w:right w:val="single" w:sz="12" w:space="0" w:color="auto"/>
            </w:tcBorders>
            <w:vAlign w:val="center"/>
          </w:tcPr>
          <w:p w14:paraId="698238FC"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6,0</w:t>
            </w:r>
          </w:p>
        </w:tc>
      </w:tr>
      <w:tr w:rsidR="00B62C1B" w:rsidRPr="00B62C1B" w14:paraId="1D4A8D1D" w14:textId="77777777" w:rsidTr="002348FA">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4830C5C6" w14:textId="77777777" w:rsidR="0055592D" w:rsidRPr="00B62C1B" w:rsidRDefault="0055592D" w:rsidP="0055592D">
            <w:pPr>
              <w:jc w:val="center"/>
              <w:rPr>
                <w:b w:val="0"/>
                <w:sz w:val="24"/>
                <w:szCs w:val="24"/>
              </w:rPr>
            </w:pPr>
            <w:r w:rsidRPr="00B62C1B">
              <w:rPr>
                <w:sz w:val="24"/>
                <w:szCs w:val="24"/>
              </w:rPr>
              <w:t>8</w:t>
            </w:r>
          </w:p>
        </w:tc>
        <w:tc>
          <w:tcPr>
            <w:tcW w:w="841" w:type="pct"/>
            <w:tcBorders>
              <w:left w:val="single" w:sz="12" w:space="0" w:color="auto"/>
              <w:right w:val="single" w:sz="12" w:space="0" w:color="auto"/>
            </w:tcBorders>
          </w:tcPr>
          <w:p w14:paraId="12202815" w14:textId="77777777" w:rsidR="0055592D" w:rsidRPr="00B62C1B" w:rsidRDefault="0055592D" w:rsidP="0055592D">
            <w:pPr>
              <w:jc w:val="both"/>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Thái Lan</w:t>
            </w:r>
          </w:p>
        </w:tc>
        <w:tc>
          <w:tcPr>
            <w:tcW w:w="456" w:type="pct"/>
            <w:tcBorders>
              <w:left w:val="single" w:sz="12" w:space="0" w:color="auto"/>
            </w:tcBorders>
            <w:vAlign w:val="center"/>
          </w:tcPr>
          <w:p w14:paraId="76AE575C"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0" w:type="pct"/>
            <w:vAlign w:val="center"/>
          </w:tcPr>
          <w:p w14:paraId="195A6B4C"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1,9</w:t>
            </w:r>
          </w:p>
        </w:tc>
        <w:tc>
          <w:tcPr>
            <w:tcW w:w="380" w:type="pct"/>
            <w:vAlign w:val="center"/>
          </w:tcPr>
          <w:p w14:paraId="3CD2F44A"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8" w:type="pct"/>
            <w:tcBorders>
              <w:right w:val="single" w:sz="12" w:space="0" w:color="auto"/>
            </w:tcBorders>
            <w:vAlign w:val="center"/>
          </w:tcPr>
          <w:p w14:paraId="03F27EC6"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1" w:type="pct"/>
            <w:tcBorders>
              <w:right w:val="single" w:sz="12" w:space="0" w:color="auto"/>
            </w:tcBorders>
            <w:vAlign w:val="center"/>
          </w:tcPr>
          <w:p w14:paraId="08F614C6"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1,9</w:t>
            </w:r>
          </w:p>
        </w:tc>
        <w:tc>
          <w:tcPr>
            <w:tcW w:w="456" w:type="pct"/>
            <w:tcBorders>
              <w:left w:val="single" w:sz="12" w:space="0" w:color="auto"/>
            </w:tcBorders>
            <w:vAlign w:val="center"/>
          </w:tcPr>
          <w:p w14:paraId="6387B529"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79" w:type="pct"/>
            <w:vAlign w:val="center"/>
          </w:tcPr>
          <w:p w14:paraId="683DDFCD"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2,9</w:t>
            </w:r>
          </w:p>
        </w:tc>
        <w:tc>
          <w:tcPr>
            <w:tcW w:w="380" w:type="pct"/>
            <w:vAlign w:val="center"/>
          </w:tcPr>
          <w:p w14:paraId="28BFA99E"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04" w:type="pct"/>
            <w:tcBorders>
              <w:right w:val="single" w:sz="12" w:space="0" w:color="auto"/>
            </w:tcBorders>
            <w:vAlign w:val="center"/>
          </w:tcPr>
          <w:p w14:paraId="5BDAECB0"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79" w:type="pct"/>
            <w:tcBorders>
              <w:right w:val="single" w:sz="12" w:space="0" w:color="auto"/>
            </w:tcBorders>
            <w:vAlign w:val="center"/>
          </w:tcPr>
          <w:p w14:paraId="78B6F10E" w14:textId="6CB81F30" w:rsidR="0055592D" w:rsidRPr="00B62C1B" w:rsidRDefault="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2,</w:t>
            </w:r>
            <w:r w:rsidR="00334F9A" w:rsidRPr="00B62C1B">
              <w:rPr>
                <w:sz w:val="24"/>
                <w:szCs w:val="24"/>
              </w:rPr>
              <w:t>3</w:t>
            </w:r>
          </w:p>
        </w:tc>
      </w:tr>
      <w:tr w:rsidR="00B62C1B" w:rsidRPr="00B62C1B" w14:paraId="49605BCE" w14:textId="77777777" w:rsidTr="002348F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right w:val="single" w:sz="12" w:space="0" w:color="auto"/>
            </w:tcBorders>
          </w:tcPr>
          <w:p w14:paraId="50146215" w14:textId="77777777" w:rsidR="0055592D" w:rsidRPr="00B62C1B" w:rsidRDefault="0055592D" w:rsidP="0055592D">
            <w:pPr>
              <w:jc w:val="center"/>
              <w:rPr>
                <w:b w:val="0"/>
                <w:sz w:val="24"/>
                <w:szCs w:val="24"/>
              </w:rPr>
            </w:pPr>
            <w:r w:rsidRPr="00B62C1B">
              <w:rPr>
                <w:sz w:val="24"/>
                <w:szCs w:val="24"/>
              </w:rPr>
              <w:t>9</w:t>
            </w:r>
          </w:p>
        </w:tc>
        <w:tc>
          <w:tcPr>
            <w:tcW w:w="841" w:type="pct"/>
            <w:tcBorders>
              <w:left w:val="single" w:sz="12" w:space="0" w:color="auto"/>
              <w:right w:val="single" w:sz="12" w:space="0" w:color="auto"/>
            </w:tcBorders>
          </w:tcPr>
          <w:p w14:paraId="3903A396" w14:textId="77777777" w:rsidR="0055592D" w:rsidRPr="00B62C1B" w:rsidRDefault="0055592D" w:rsidP="0055592D">
            <w:pPr>
              <w:jc w:val="both"/>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Xin-ga-po</w:t>
            </w:r>
          </w:p>
        </w:tc>
        <w:tc>
          <w:tcPr>
            <w:tcW w:w="456" w:type="pct"/>
            <w:tcBorders>
              <w:left w:val="single" w:sz="12" w:space="0" w:color="auto"/>
            </w:tcBorders>
            <w:vAlign w:val="center"/>
          </w:tcPr>
          <w:p w14:paraId="5BA770CE"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0" w:type="pct"/>
            <w:vAlign w:val="center"/>
          </w:tcPr>
          <w:p w14:paraId="419F7B55"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0" w:type="pct"/>
            <w:vAlign w:val="center"/>
          </w:tcPr>
          <w:p w14:paraId="1E4B4652"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8" w:type="pct"/>
            <w:tcBorders>
              <w:right w:val="single" w:sz="12" w:space="0" w:color="auto"/>
            </w:tcBorders>
            <w:vAlign w:val="center"/>
          </w:tcPr>
          <w:p w14:paraId="48D5747B"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1" w:type="pct"/>
            <w:tcBorders>
              <w:right w:val="single" w:sz="12" w:space="0" w:color="auto"/>
            </w:tcBorders>
            <w:vAlign w:val="center"/>
          </w:tcPr>
          <w:p w14:paraId="3FE27178"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1,1</w:t>
            </w:r>
          </w:p>
        </w:tc>
        <w:tc>
          <w:tcPr>
            <w:tcW w:w="456" w:type="pct"/>
            <w:tcBorders>
              <w:left w:val="single" w:sz="12" w:space="0" w:color="auto"/>
            </w:tcBorders>
            <w:vAlign w:val="center"/>
          </w:tcPr>
          <w:p w14:paraId="6D27D9D0"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9" w:type="pct"/>
            <w:vAlign w:val="center"/>
          </w:tcPr>
          <w:p w14:paraId="2CDBFCDF"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0" w:type="pct"/>
            <w:vAlign w:val="center"/>
          </w:tcPr>
          <w:p w14:paraId="0E80B7AE"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04" w:type="pct"/>
            <w:tcBorders>
              <w:right w:val="single" w:sz="12" w:space="0" w:color="auto"/>
            </w:tcBorders>
            <w:vAlign w:val="center"/>
          </w:tcPr>
          <w:p w14:paraId="7B133851" w14:textId="77777777" w:rsidR="0055592D" w:rsidRPr="00B62C1B" w:rsidRDefault="0055592D" w:rsidP="0055592D">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9" w:type="pct"/>
            <w:tcBorders>
              <w:right w:val="single" w:sz="12" w:space="0" w:color="auto"/>
            </w:tcBorders>
            <w:vAlign w:val="center"/>
          </w:tcPr>
          <w:p w14:paraId="2B647EC7" w14:textId="6E915A6A" w:rsidR="0055592D" w:rsidRPr="00B62C1B" w:rsidRDefault="0055592D">
            <w:pPr>
              <w:jc w:val="center"/>
              <w:cnfStyle w:val="000000100000" w:firstRow="0" w:lastRow="0" w:firstColumn="0" w:lastColumn="0" w:oddVBand="0" w:evenVBand="0" w:oddHBand="1" w:evenHBand="0" w:firstRowFirstColumn="0" w:firstRowLastColumn="0" w:lastRowFirstColumn="0" w:lastRowLastColumn="0"/>
              <w:rPr>
                <w:sz w:val="24"/>
                <w:szCs w:val="24"/>
              </w:rPr>
            </w:pPr>
            <w:r w:rsidRPr="00B62C1B">
              <w:rPr>
                <w:sz w:val="24"/>
                <w:szCs w:val="24"/>
              </w:rPr>
              <w:t>2,</w:t>
            </w:r>
            <w:r w:rsidR="00334F9A" w:rsidRPr="00B62C1B">
              <w:rPr>
                <w:sz w:val="24"/>
                <w:szCs w:val="24"/>
              </w:rPr>
              <w:t>6</w:t>
            </w:r>
          </w:p>
        </w:tc>
      </w:tr>
      <w:tr w:rsidR="00B62C1B" w:rsidRPr="00B62C1B" w14:paraId="2F0E33C9" w14:textId="77777777" w:rsidTr="002348FA">
        <w:trPr>
          <w:trHeight w:val="350"/>
        </w:trPr>
        <w:tc>
          <w:tcPr>
            <w:cnfStyle w:val="001000000000" w:firstRow="0" w:lastRow="0" w:firstColumn="1" w:lastColumn="0" w:oddVBand="0" w:evenVBand="0" w:oddHBand="0" w:evenHBand="0" w:firstRowFirstColumn="0" w:firstRowLastColumn="0" w:lastRowFirstColumn="0" w:lastRowLastColumn="0"/>
            <w:tcW w:w="355" w:type="pct"/>
            <w:tcBorders>
              <w:left w:val="single" w:sz="12" w:space="0" w:color="auto"/>
              <w:bottom w:val="single" w:sz="12" w:space="0" w:color="auto"/>
              <w:right w:val="single" w:sz="12" w:space="0" w:color="auto"/>
            </w:tcBorders>
          </w:tcPr>
          <w:p w14:paraId="10AEBA91" w14:textId="77777777" w:rsidR="0055592D" w:rsidRPr="00B62C1B" w:rsidRDefault="0055592D" w:rsidP="0055592D">
            <w:pPr>
              <w:jc w:val="center"/>
              <w:rPr>
                <w:b w:val="0"/>
                <w:sz w:val="24"/>
                <w:szCs w:val="24"/>
              </w:rPr>
            </w:pPr>
            <w:r w:rsidRPr="00B62C1B">
              <w:rPr>
                <w:sz w:val="24"/>
                <w:szCs w:val="24"/>
              </w:rPr>
              <w:t>10</w:t>
            </w:r>
          </w:p>
        </w:tc>
        <w:tc>
          <w:tcPr>
            <w:tcW w:w="841" w:type="pct"/>
            <w:tcBorders>
              <w:left w:val="single" w:sz="12" w:space="0" w:color="auto"/>
              <w:bottom w:val="single" w:sz="12" w:space="0" w:color="auto"/>
              <w:right w:val="single" w:sz="12" w:space="0" w:color="auto"/>
            </w:tcBorders>
          </w:tcPr>
          <w:p w14:paraId="1A380027" w14:textId="77777777" w:rsidR="0055592D" w:rsidRPr="00B62C1B" w:rsidRDefault="0055592D" w:rsidP="0055592D">
            <w:pPr>
              <w:jc w:val="both"/>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lang w:val="vi-VN"/>
              </w:rPr>
              <w:t>Việt Nam</w:t>
            </w:r>
          </w:p>
        </w:tc>
        <w:tc>
          <w:tcPr>
            <w:tcW w:w="456" w:type="pct"/>
            <w:tcBorders>
              <w:left w:val="single" w:sz="12" w:space="0" w:color="auto"/>
              <w:bottom w:val="single" w:sz="12" w:space="0" w:color="auto"/>
            </w:tcBorders>
            <w:vAlign w:val="center"/>
          </w:tcPr>
          <w:p w14:paraId="716AA9D6"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0" w:type="pct"/>
            <w:tcBorders>
              <w:bottom w:val="single" w:sz="12" w:space="0" w:color="auto"/>
            </w:tcBorders>
            <w:vAlign w:val="center"/>
          </w:tcPr>
          <w:p w14:paraId="2402767F"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0" w:type="pct"/>
            <w:tcBorders>
              <w:bottom w:val="single" w:sz="12" w:space="0" w:color="auto"/>
            </w:tcBorders>
            <w:vAlign w:val="center"/>
          </w:tcPr>
          <w:p w14:paraId="0D88B471"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5,0</w:t>
            </w:r>
          </w:p>
        </w:tc>
        <w:tc>
          <w:tcPr>
            <w:tcW w:w="308" w:type="pct"/>
            <w:tcBorders>
              <w:bottom w:val="single" w:sz="12" w:space="0" w:color="auto"/>
              <w:right w:val="single" w:sz="12" w:space="0" w:color="auto"/>
            </w:tcBorders>
            <w:vAlign w:val="center"/>
          </w:tcPr>
          <w:p w14:paraId="507EFF68"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1" w:type="pct"/>
            <w:tcBorders>
              <w:bottom w:val="single" w:sz="12" w:space="0" w:color="auto"/>
              <w:right w:val="single" w:sz="12" w:space="0" w:color="auto"/>
            </w:tcBorders>
            <w:vAlign w:val="center"/>
          </w:tcPr>
          <w:p w14:paraId="33192700"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5,1</w:t>
            </w:r>
          </w:p>
        </w:tc>
        <w:tc>
          <w:tcPr>
            <w:tcW w:w="456" w:type="pct"/>
            <w:tcBorders>
              <w:left w:val="single" w:sz="12" w:space="0" w:color="auto"/>
              <w:bottom w:val="single" w:sz="12" w:space="0" w:color="auto"/>
            </w:tcBorders>
            <w:vAlign w:val="center"/>
          </w:tcPr>
          <w:p w14:paraId="66FA0C41"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79" w:type="pct"/>
            <w:tcBorders>
              <w:bottom w:val="single" w:sz="12" w:space="0" w:color="auto"/>
            </w:tcBorders>
            <w:vAlign w:val="center"/>
          </w:tcPr>
          <w:p w14:paraId="21B510FA" w14:textId="56B95259"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6,1</w:t>
            </w:r>
          </w:p>
        </w:tc>
        <w:tc>
          <w:tcPr>
            <w:tcW w:w="380" w:type="pct"/>
            <w:tcBorders>
              <w:bottom w:val="single" w:sz="12" w:space="0" w:color="auto"/>
            </w:tcBorders>
            <w:vAlign w:val="center"/>
          </w:tcPr>
          <w:p w14:paraId="3A5907DC"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6,1</w:t>
            </w:r>
          </w:p>
        </w:tc>
        <w:tc>
          <w:tcPr>
            <w:tcW w:w="304" w:type="pct"/>
            <w:tcBorders>
              <w:bottom w:val="single" w:sz="12" w:space="0" w:color="auto"/>
              <w:right w:val="single" w:sz="12" w:space="0" w:color="auto"/>
            </w:tcBorders>
            <w:vAlign w:val="center"/>
          </w:tcPr>
          <w:p w14:paraId="048F4FE1"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79" w:type="pct"/>
            <w:tcBorders>
              <w:bottom w:val="single" w:sz="12" w:space="0" w:color="auto"/>
              <w:right w:val="single" w:sz="12" w:space="0" w:color="auto"/>
            </w:tcBorders>
            <w:vAlign w:val="center"/>
          </w:tcPr>
          <w:p w14:paraId="08F80CC2" w14:textId="77777777" w:rsidR="0055592D" w:rsidRPr="00B62C1B" w:rsidRDefault="0055592D" w:rsidP="0055592D">
            <w:pPr>
              <w:jc w:val="center"/>
              <w:cnfStyle w:val="000000000000" w:firstRow="0" w:lastRow="0" w:firstColumn="0" w:lastColumn="0" w:oddVBand="0" w:evenVBand="0" w:oddHBand="0" w:evenHBand="0" w:firstRowFirstColumn="0" w:firstRowLastColumn="0" w:lastRowFirstColumn="0" w:lastRowLastColumn="0"/>
              <w:rPr>
                <w:sz w:val="24"/>
                <w:szCs w:val="24"/>
              </w:rPr>
            </w:pPr>
            <w:r w:rsidRPr="00B62C1B">
              <w:rPr>
                <w:sz w:val="24"/>
                <w:szCs w:val="24"/>
              </w:rPr>
              <w:t>6,0</w:t>
            </w:r>
          </w:p>
        </w:tc>
      </w:tr>
    </w:tbl>
    <w:p w14:paraId="2AE11AEA" w14:textId="1470F3AB" w:rsidR="00DA45E0" w:rsidRPr="00B62C1B" w:rsidRDefault="00DA45E0" w:rsidP="00DA45E0">
      <w:pPr>
        <w:spacing w:after="0" w:line="240" w:lineRule="auto"/>
        <w:jc w:val="right"/>
      </w:pPr>
      <w:r w:rsidRPr="00B62C1B">
        <w:rPr>
          <w:i/>
          <w:sz w:val="24"/>
          <w:szCs w:val="28"/>
          <w:lang w:val="vi-VN"/>
        </w:rPr>
        <w:t xml:space="preserve">Nguồn: </w:t>
      </w:r>
      <w:r w:rsidRPr="00B62C1B">
        <w:rPr>
          <w:i/>
          <w:sz w:val="24"/>
          <w:szCs w:val="28"/>
        </w:rPr>
        <w:t>OECD, IMF, WB</w:t>
      </w:r>
      <w:r w:rsidR="00AA0BF4" w:rsidRPr="00B62C1B">
        <w:rPr>
          <w:i/>
          <w:sz w:val="24"/>
          <w:szCs w:val="28"/>
        </w:rPr>
        <w:t>, UN</w:t>
      </w:r>
      <w:r w:rsidRPr="00B62C1B">
        <w:rPr>
          <w:i/>
          <w:sz w:val="24"/>
          <w:szCs w:val="28"/>
        </w:rPr>
        <w:t xml:space="preserve"> và </w:t>
      </w:r>
      <w:r w:rsidR="00B41B66" w:rsidRPr="00B62C1B">
        <w:rPr>
          <w:i/>
          <w:sz w:val="24"/>
          <w:szCs w:val="28"/>
        </w:rPr>
        <w:t>ADB</w:t>
      </w:r>
      <w:r w:rsidRPr="00B62C1B">
        <w:rPr>
          <w:i/>
          <w:sz w:val="24"/>
          <w:szCs w:val="28"/>
        </w:rPr>
        <w:t xml:space="preserve"> cập nhật ngày </w:t>
      </w:r>
      <w:r w:rsidR="00334F9A" w:rsidRPr="00B62C1B">
        <w:rPr>
          <w:i/>
          <w:sz w:val="24"/>
          <w:szCs w:val="28"/>
        </w:rPr>
        <w:t>0</w:t>
      </w:r>
      <w:r w:rsidR="00DB356E" w:rsidRPr="00B62C1B">
        <w:rPr>
          <w:i/>
          <w:sz w:val="24"/>
          <w:szCs w:val="28"/>
        </w:rPr>
        <w:t>5</w:t>
      </w:r>
      <w:r w:rsidRPr="00B62C1B">
        <w:rPr>
          <w:i/>
          <w:sz w:val="24"/>
          <w:szCs w:val="28"/>
        </w:rPr>
        <w:t>/</w:t>
      </w:r>
      <w:r w:rsidR="00B41B66" w:rsidRPr="00B62C1B">
        <w:rPr>
          <w:i/>
          <w:sz w:val="24"/>
          <w:szCs w:val="28"/>
        </w:rPr>
        <w:t>10</w:t>
      </w:r>
      <w:r w:rsidRPr="00B62C1B">
        <w:rPr>
          <w:i/>
          <w:sz w:val="24"/>
          <w:szCs w:val="28"/>
        </w:rPr>
        <w:t>/2024</w:t>
      </w:r>
    </w:p>
    <w:bookmarkEnd w:id="0"/>
    <w:p w14:paraId="667C311A" w14:textId="4727C8A3" w:rsidR="009A458D" w:rsidRPr="00B62C1B" w:rsidRDefault="009A458D">
      <w:pPr>
        <w:spacing w:after="0" w:line="240" w:lineRule="auto"/>
      </w:pPr>
    </w:p>
    <w:sectPr w:rsidR="009A458D" w:rsidRPr="00B62C1B" w:rsidSect="003600BA">
      <w:headerReference w:type="default" r:id="rId15"/>
      <w:pgSz w:w="11907" w:h="16839" w:code="9"/>
      <w:pgMar w:top="993" w:right="1196" w:bottom="1135" w:left="1531" w:header="340" w:footer="34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375A84" w16cid:durableId="6CBF7207"/>
  <w16cid:commentId w16cid:paraId="495910E6" w16cid:durableId="489809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AAA0E" w14:textId="77777777" w:rsidR="00A54B48" w:rsidRDefault="00A54B48" w:rsidP="00C82BCF">
      <w:pPr>
        <w:spacing w:after="0" w:line="240" w:lineRule="auto"/>
      </w:pPr>
      <w:r>
        <w:separator/>
      </w:r>
    </w:p>
  </w:endnote>
  <w:endnote w:type="continuationSeparator" w:id="0">
    <w:p w14:paraId="05AAE039" w14:textId="77777777" w:rsidR="00A54B48" w:rsidRDefault="00A54B48" w:rsidP="00C8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F5C52" w14:textId="77777777" w:rsidR="00A54B48" w:rsidRDefault="00A54B48" w:rsidP="00C82BCF">
      <w:pPr>
        <w:spacing w:after="0" w:line="240" w:lineRule="auto"/>
      </w:pPr>
      <w:r>
        <w:separator/>
      </w:r>
    </w:p>
  </w:footnote>
  <w:footnote w:type="continuationSeparator" w:id="0">
    <w:p w14:paraId="2FB9BFDC" w14:textId="77777777" w:rsidR="00A54B48" w:rsidRDefault="00A54B48" w:rsidP="00C82BCF">
      <w:pPr>
        <w:spacing w:after="0" w:line="240" w:lineRule="auto"/>
      </w:pPr>
      <w:r>
        <w:continuationSeparator/>
      </w:r>
    </w:p>
  </w:footnote>
  <w:footnote w:id="1">
    <w:p w14:paraId="1EEA2213" w14:textId="4E7A8782" w:rsidR="00994E48" w:rsidRDefault="00994E48" w:rsidP="003F531A">
      <w:pPr>
        <w:pStyle w:val="FootnoteText"/>
        <w:spacing w:before="60"/>
        <w:jc w:val="both"/>
      </w:pPr>
      <w:r>
        <w:rPr>
          <w:rStyle w:val="FootnoteReference"/>
        </w:rPr>
        <w:footnoteRef/>
      </w:r>
      <w:r>
        <w:t xml:space="preserve"> Báo cáo được cập nhật đến ngày 03/10/2024.</w:t>
      </w:r>
    </w:p>
  </w:footnote>
  <w:footnote w:id="2">
    <w:p w14:paraId="759AADEA" w14:textId="77777777" w:rsidR="00994E48" w:rsidRPr="003F531A" w:rsidRDefault="00994E48" w:rsidP="00165360">
      <w:pPr>
        <w:pStyle w:val="FootnoteText"/>
        <w:spacing w:before="60"/>
        <w:jc w:val="both"/>
        <w:rPr>
          <w:spacing w:val="-8"/>
        </w:rPr>
      </w:pPr>
      <w:r>
        <w:rPr>
          <w:rStyle w:val="FootnoteReference"/>
        </w:rPr>
        <w:footnoteRef/>
      </w:r>
      <w:r>
        <w:t xml:space="preserve"> </w:t>
      </w:r>
      <w:r w:rsidRPr="003F531A">
        <w:rPr>
          <w:spacing w:val="-8"/>
        </w:rPr>
        <w:t xml:space="preserve">OECD (Tháng 9/2024), “Báo cáo Triển vọng kinh tế OECD sơ bộ: Rẽ ngoặt”, </w:t>
      </w:r>
      <w:r w:rsidRPr="003F531A">
        <w:rPr>
          <w:rStyle w:val="Hyperlink"/>
          <w:spacing w:val="-8"/>
        </w:rPr>
        <w:t>https://www.oecd.org/en/publications/oecd-economic-outlook-interim-report-september-2024_1517c196-en.html</w:t>
      </w:r>
      <w:r w:rsidRPr="003F531A">
        <w:rPr>
          <w:spacing w:val="-8"/>
        </w:rPr>
        <w:t>, truy cập ngày 26/9/2024.</w:t>
      </w:r>
    </w:p>
  </w:footnote>
  <w:footnote w:id="3">
    <w:p w14:paraId="4A0EDFCB" w14:textId="77777777" w:rsidR="00994E48" w:rsidRPr="003F531A" w:rsidRDefault="00994E48" w:rsidP="00165360">
      <w:pPr>
        <w:pStyle w:val="FootnoteText"/>
        <w:spacing w:before="60"/>
        <w:jc w:val="both"/>
        <w:rPr>
          <w:spacing w:val="-8"/>
        </w:rPr>
      </w:pPr>
      <w:r>
        <w:rPr>
          <w:rStyle w:val="FootnoteReference"/>
        </w:rPr>
        <w:footnoteRef/>
      </w:r>
      <w:r>
        <w:t xml:space="preserve"> </w:t>
      </w:r>
      <w:r w:rsidRPr="003F531A">
        <w:rPr>
          <w:spacing w:val="-8"/>
        </w:rPr>
        <w:t xml:space="preserve">IMF (Tháng 7/2024), “Triển vọng kinh tế thế giới cập nhật - Nền kinh tế toàn cầu đang trong tình trạng bế tắc”, </w:t>
      </w:r>
      <w:r w:rsidRPr="003F531A">
        <w:rPr>
          <w:rStyle w:val="Hyperlink"/>
          <w:spacing w:val="-8"/>
        </w:rPr>
        <w:t>https://www.imf.org/-/media/Files/Publications/WEO/2024/Update/July/English/text.ashx</w:t>
      </w:r>
      <w:r w:rsidRPr="003F531A">
        <w:rPr>
          <w:spacing w:val="-8"/>
        </w:rPr>
        <w:t>, truy cập ngày 26/9/2024.</w:t>
      </w:r>
    </w:p>
  </w:footnote>
  <w:footnote w:id="4">
    <w:p w14:paraId="7AC21155" w14:textId="77777777" w:rsidR="00994E48" w:rsidRPr="003F531A" w:rsidRDefault="00994E48" w:rsidP="00165360">
      <w:pPr>
        <w:pStyle w:val="FootnoteText"/>
        <w:spacing w:before="60"/>
        <w:jc w:val="both"/>
        <w:rPr>
          <w:spacing w:val="-10"/>
        </w:rPr>
      </w:pPr>
      <w:r>
        <w:rPr>
          <w:rStyle w:val="FootnoteReference"/>
        </w:rPr>
        <w:footnoteRef/>
      </w:r>
      <w:r>
        <w:t xml:space="preserve"> </w:t>
      </w:r>
      <w:r w:rsidRPr="003F531A">
        <w:rPr>
          <w:spacing w:val="-10"/>
        </w:rPr>
        <w:t xml:space="preserve">UN (Tháng 9/2024), “Tình hình và triển vọng kinh tế thế giới - cập nhật tháng 9/2024”, </w:t>
      </w:r>
      <w:r w:rsidRPr="003F531A">
        <w:rPr>
          <w:rStyle w:val="Hyperlink"/>
          <w:spacing w:val="-10"/>
        </w:rPr>
        <w:t>https://www.un.org/development/desa/dpad/wp-content/uploads/sites/45/WESP-2024_September_2024_WEB.pdf</w:t>
      </w:r>
      <w:r w:rsidRPr="003F531A">
        <w:rPr>
          <w:spacing w:val="-10"/>
        </w:rPr>
        <w:t>, truy cập ngày 26/9/2024.</w:t>
      </w:r>
    </w:p>
  </w:footnote>
  <w:footnote w:id="5">
    <w:p w14:paraId="702D4BA4" w14:textId="77777777" w:rsidR="00994E48" w:rsidRPr="003F531A" w:rsidRDefault="00994E48" w:rsidP="003748D1">
      <w:pPr>
        <w:pStyle w:val="FootnoteText"/>
        <w:spacing w:before="60"/>
        <w:jc w:val="both"/>
        <w:rPr>
          <w:spacing w:val="-8"/>
        </w:rPr>
      </w:pPr>
      <w:r>
        <w:rPr>
          <w:rStyle w:val="FootnoteReference"/>
        </w:rPr>
        <w:footnoteRef/>
      </w:r>
      <w:r>
        <w:t xml:space="preserve"> </w:t>
      </w:r>
      <w:r w:rsidRPr="003F531A">
        <w:rPr>
          <w:spacing w:val="-8"/>
        </w:rPr>
        <w:t xml:space="preserve">FR (Tháng 9/2024), “Triển vọng kinh tế toàn cầu tháng 9/2024”, </w:t>
      </w:r>
      <w:r w:rsidRPr="003F531A">
        <w:rPr>
          <w:rStyle w:val="Hyperlink"/>
          <w:spacing w:val="-8"/>
        </w:rPr>
        <w:t>https://www.fitchratings.com/research/sovereigns/global-economic-outlook-september-2024-10-09-2024</w:t>
      </w:r>
      <w:r w:rsidRPr="003F531A">
        <w:rPr>
          <w:spacing w:val="-8"/>
        </w:rPr>
        <w:t>, truy cập ngày 26/9/2024.</w:t>
      </w:r>
    </w:p>
  </w:footnote>
  <w:footnote w:id="6">
    <w:p w14:paraId="5BA17420" w14:textId="7509137D" w:rsidR="00994E48" w:rsidRPr="003F531A" w:rsidRDefault="00994E48" w:rsidP="003F531A">
      <w:pPr>
        <w:pStyle w:val="FootnoteText"/>
        <w:spacing w:before="60"/>
        <w:jc w:val="both"/>
        <w:rPr>
          <w:spacing w:val="-8"/>
        </w:rPr>
      </w:pPr>
      <w:r>
        <w:rPr>
          <w:rStyle w:val="FootnoteReference"/>
        </w:rPr>
        <w:footnoteRef/>
      </w:r>
      <w:r>
        <w:t xml:space="preserve"> </w:t>
      </w:r>
      <w:r w:rsidRPr="003F531A">
        <w:rPr>
          <w:spacing w:val="-8"/>
        </w:rPr>
        <w:t xml:space="preserve">ADB (Tháng </w:t>
      </w:r>
      <w:r>
        <w:rPr>
          <w:spacing w:val="-8"/>
        </w:rPr>
        <w:t>9</w:t>
      </w:r>
      <w:r w:rsidRPr="003F531A">
        <w:rPr>
          <w:spacing w:val="-8"/>
        </w:rPr>
        <w:t>/2024), “Triển vọng phát triển châu Á”,</w:t>
      </w:r>
      <w:r>
        <w:rPr>
          <w:spacing w:val="-8"/>
        </w:rPr>
        <w:t xml:space="preserve"> </w:t>
      </w:r>
      <w:hyperlink r:id="rId1" w:history="1">
        <w:r w:rsidRPr="00CE610E">
          <w:rPr>
            <w:rStyle w:val="Hyperlink"/>
            <w:spacing w:val="-8"/>
          </w:rPr>
          <w:t>https://www.adb.org/publications/asian-development-outlook-september-2024</w:t>
        </w:r>
      </w:hyperlink>
      <w:r w:rsidRPr="003F531A">
        <w:rPr>
          <w:spacing w:val="-8"/>
        </w:rPr>
        <w:t>,</w:t>
      </w:r>
      <w:r>
        <w:rPr>
          <w:spacing w:val="-8"/>
        </w:rPr>
        <w:t xml:space="preserve"> </w:t>
      </w:r>
      <w:r w:rsidRPr="003F531A">
        <w:rPr>
          <w:spacing w:val="-8"/>
        </w:rPr>
        <w:t xml:space="preserve">truy cập ngày </w:t>
      </w:r>
      <w:r>
        <w:rPr>
          <w:spacing w:val="-8"/>
        </w:rPr>
        <w:t>04</w:t>
      </w:r>
      <w:r w:rsidRPr="003F531A">
        <w:rPr>
          <w:spacing w:val="-8"/>
        </w:rPr>
        <w:t>/</w:t>
      </w:r>
      <w:r>
        <w:rPr>
          <w:spacing w:val="-8"/>
        </w:rPr>
        <w:t>10</w:t>
      </w:r>
      <w:r w:rsidRPr="003F531A">
        <w:rPr>
          <w:spacing w:val="-8"/>
        </w:rPr>
        <w:t>/2024.</w:t>
      </w:r>
    </w:p>
  </w:footnote>
  <w:footnote w:id="7">
    <w:p w14:paraId="5BF0DE38" w14:textId="06A81E07" w:rsidR="00994E48" w:rsidRDefault="00994E48" w:rsidP="00661C0A">
      <w:pPr>
        <w:pStyle w:val="FootnoteText"/>
      </w:pPr>
      <w:r>
        <w:rPr>
          <w:rStyle w:val="FootnoteReference"/>
        </w:rPr>
        <w:footnoteRef/>
      </w:r>
      <w:r>
        <w:t xml:space="preserve"> </w:t>
      </w:r>
      <w:r w:rsidRPr="00461AF4">
        <w:t>Số liệu năm 2023 của FR theo Báo cáo trong tháng 6/2024</w:t>
      </w:r>
      <w:r>
        <w:t>.</w:t>
      </w:r>
    </w:p>
  </w:footnote>
  <w:footnote w:id="8">
    <w:p w14:paraId="4289E814" w14:textId="77777777" w:rsidR="00994E48" w:rsidRDefault="00994E48" w:rsidP="00661C0A">
      <w:pPr>
        <w:pStyle w:val="FootnoteText"/>
        <w:spacing w:before="60"/>
        <w:jc w:val="both"/>
      </w:pPr>
      <w:r>
        <w:rPr>
          <w:rStyle w:val="FootnoteReference"/>
        </w:rPr>
        <w:footnoteRef/>
      </w:r>
      <w:r>
        <w:t xml:space="preserve"> WTO (Tháng 9/2024), “Thước đo thương mại hàng hóa tháng 9/2024”, </w:t>
      </w:r>
      <w:r w:rsidRPr="00C52038">
        <w:rPr>
          <w:rStyle w:val="Hyperlink"/>
        </w:rPr>
        <w:t>https://www.wto.org/english/news_e/news24_e/wtoi_04sep24_e.htm</w:t>
      </w:r>
      <w:r>
        <w:t>, truy cập ngày 26/9/2024.</w:t>
      </w:r>
    </w:p>
  </w:footnote>
  <w:footnote w:id="9">
    <w:p w14:paraId="5302406C" w14:textId="3D5AC07B" w:rsidR="00994E48" w:rsidRDefault="00994E48">
      <w:pPr>
        <w:pStyle w:val="FootnoteText"/>
      </w:pPr>
      <w:r>
        <w:rPr>
          <w:rStyle w:val="FootnoteReference"/>
        </w:rPr>
        <w:footnoteRef/>
      </w:r>
      <w:r>
        <w:t xml:space="preserve"> WB (Tháng 9/2024), “Báo cáo Toàn cầu hàng tháng, tháng 9/2024”, </w:t>
      </w:r>
      <w:hyperlink r:id="rId2" w:history="1">
        <w:r w:rsidRPr="00CE610E">
          <w:rPr>
            <w:rStyle w:val="Hyperlink"/>
          </w:rPr>
          <w:t>https://thedocs.worldbank.org/en/doc/abf6fab46b08d9edfcf1187e6a3e108e-0350012023/related/Global-Monthly-Sept2024.pdf</w:t>
        </w:r>
      </w:hyperlink>
      <w:r>
        <w:t>, truy cập ngày 04/10/2024.</w:t>
      </w:r>
    </w:p>
  </w:footnote>
  <w:footnote w:id="10">
    <w:p w14:paraId="3F992A05" w14:textId="77777777" w:rsidR="00994E48" w:rsidRDefault="00994E48" w:rsidP="00661C0A">
      <w:pPr>
        <w:pStyle w:val="FootnoteText"/>
        <w:spacing w:before="60"/>
        <w:jc w:val="both"/>
      </w:pPr>
      <w:r>
        <w:rPr>
          <w:rStyle w:val="FootnoteReference"/>
        </w:rPr>
        <w:footnoteRef/>
      </w:r>
      <w:r>
        <w:t xml:space="preserve"> FAO (Tháng 9/2024), “Chỉ số giá lương thực thực phẩm”, </w:t>
      </w:r>
      <w:hyperlink r:id="rId3" w:history="1">
        <w:r w:rsidRPr="00002BE0">
          <w:rPr>
            <w:rStyle w:val="Hyperlink"/>
          </w:rPr>
          <w:t>https://www.fao.org/worldfoodsituation/foodpricesindex/en/</w:t>
        </w:r>
      </w:hyperlink>
      <w:r>
        <w:t>, truy cập ngày 26/9/2024.</w:t>
      </w:r>
    </w:p>
  </w:footnote>
  <w:footnote w:id="11">
    <w:p w14:paraId="6293C9A3" w14:textId="5D2762DC" w:rsidR="00994E48" w:rsidRPr="00280932" w:rsidRDefault="00994E48" w:rsidP="003B6132">
      <w:pPr>
        <w:pStyle w:val="FootnoteText"/>
        <w:spacing w:before="60"/>
        <w:rPr>
          <w:spacing w:val="-8"/>
        </w:rPr>
      </w:pPr>
      <w:r>
        <w:rPr>
          <w:rStyle w:val="FootnoteReference"/>
        </w:rPr>
        <w:footnoteRef/>
      </w:r>
      <w:r>
        <w:t xml:space="preserve"> </w:t>
      </w:r>
      <w:r w:rsidRPr="00FB300C">
        <w:rPr>
          <w:spacing w:val="-8"/>
        </w:rPr>
        <w:t xml:space="preserve">Trading Economics (Tháng </w:t>
      </w:r>
      <w:r>
        <w:rPr>
          <w:spacing w:val="-8"/>
        </w:rPr>
        <w:t>9</w:t>
      </w:r>
      <w:r w:rsidRPr="00FB300C">
        <w:rPr>
          <w:spacing w:val="-8"/>
        </w:rPr>
        <w:t xml:space="preserve">/2024), </w:t>
      </w:r>
      <w:hyperlink r:id="rId4" w:history="1">
        <w:r w:rsidRPr="00FB300C">
          <w:rPr>
            <w:rStyle w:val="Hyperlink"/>
            <w:spacing w:val="-8"/>
          </w:rPr>
          <w:t>https://tradingeconomics.com/united-states/forecast</w:t>
        </w:r>
      </w:hyperlink>
      <w:r w:rsidRPr="00FB300C">
        <w:rPr>
          <w:spacing w:val="-8"/>
        </w:rPr>
        <w:t xml:space="preserve"> truy cập ngày 2</w:t>
      </w:r>
      <w:r>
        <w:rPr>
          <w:spacing w:val="-8"/>
        </w:rPr>
        <w:t>6</w:t>
      </w:r>
      <w:r w:rsidRPr="00FB300C">
        <w:rPr>
          <w:spacing w:val="-8"/>
        </w:rPr>
        <w:t>/</w:t>
      </w:r>
      <w:r>
        <w:rPr>
          <w:spacing w:val="-8"/>
        </w:rPr>
        <w:t>9</w:t>
      </w:r>
      <w:r w:rsidRPr="00FB300C">
        <w:rPr>
          <w:spacing w:val="-8"/>
        </w:rPr>
        <w:t>/2024.</w:t>
      </w:r>
    </w:p>
  </w:footnote>
  <w:footnote w:id="12">
    <w:p w14:paraId="1450DF2A" w14:textId="646CBAE4" w:rsidR="00994E48" w:rsidRPr="00493EA5" w:rsidRDefault="00994E48" w:rsidP="0097790F">
      <w:pPr>
        <w:pStyle w:val="FootnoteText"/>
        <w:spacing w:before="60"/>
        <w:jc w:val="both"/>
      </w:pPr>
      <w:r>
        <w:rPr>
          <w:rStyle w:val="FootnoteReference"/>
        </w:rPr>
        <w:footnoteRef/>
      </w:r>
      <w:r>
        <w:t xml:space="preserve"> </w:t>
      </w:r>
      <w:r w:rsidRPr="00493EA5">
        <w:t xml:space="preserve">WB, tháng 8/2024, “Báo cáo điểm lại”, </w:t>
      </w:r>
      <w:hyperlink r:id="rId5" w:history="1">
        <w:r w:rsidRPr="003F531A">
          <w:rPr>
            <w:rStyle w:val="Hyperlink"/>
          </w:rPr>
          <w:t>http://documents1.worldbank.org/curated/en/099145408232417063/pdf/IDU1dc8e9b8a11b4714a291af17167d8f89b52a5.pdf</w:t>
        </w:r>
      </w:hyperlink>
      <w:r w:rsidRPr="00493EA5">
        <w:t>, truy cập ngày 26/9/2024.</w:t>
      </w:r>
    </w:p>
  </w:footnote>
  <w:footnote w:id="13">
    <w:p w14:paraId="758DFD95" w14:textId="452C723F" w:rsidR="00994E48" w:rsidRPr="0097790F" w:rsidRDefault="00994E48" w:rsidP="0097790F">
      <w:pPr>
        <w:pStyle w:val="FootnoteText"/>
        <w:spacing w:before="60"/>
        <w:jc w:val="both"/>
        <w:rPr>
          <w:spacing w:val="4"/>
        </w:rPr>
      </w:pPr>
      <w:r>
        <w:rPr>
          <w:rStyle w:val="FootnoteReference"/>
        </w:rPr>
        <w:footnoteRef/>
      </w:r>
      <w:r>
        <w:t xml:space="preserve"> </w:t>
      </w:r>
      <w:r w:rsidRPr="0097790F">
        <w:rPr>
          <w:spacing w:val="4"/>
        </w:rPr>
        <w:t xml:space="preserve">IMF, tháng 9/2024, “Báo cáo quốc gia của IMF số 24/306 – Tham vấn Điều IV với Việt Nam tháng 9/2024”, </w:t>
      </w:r>
      <w:hyperlink r:id="rId6" w:history="1">
        <w:r w:rsidRPr="0097790F">
          <w:rPr>
            <w:rStyle w:val="Hyperlink"/>
            <w:spacing w:val="4"/>
          </w:rPr>
          <w:t>https://www.imf.org/en/Publications/CR/Issues/2024/09/27/Vietnam-2024-Article-IV-Consultation-Press-Release-Staff-Report-and-Statement-by-the-555679?fbclid=IwY2xjawFm69pleHRuA2FlbQIxMAABHS_zlnogLEwV33GZyo3DK3AUGqAmm-xCAAvW9zY_8_mwDleoyfhiVXF7xQ_aem_eOYZfZIM2QKJSCB5B52PQw</w:t>
        </w:r>
      </w:hyperlink>
      <w:r w:rsidRPr="0097790F">
        <w:rPr>
          <w:spacing w:val="4"/>
        </w:rPr>
        <w:t xml:space="preserve">, truy cập ngày 30/9/2024.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707240"/>
      <w:docPartObj>
        <w:docPartGallery w:val="Page Numbers (Top of Page)"/>
        <w:docPartUnique/>
      </w:docPartObj>
    </w:sdtPr>
    <w:sdtEndPr>
      <w:rPr>
        <w:noProof/>
      </w:rPr>
    </w:sdtEndPr>
    <w:sdtContent>
      <w:p w14:paraId="2AD0E291" w14:textId="7A8E3DEB" w:rsidR="00994E48" w:rsidRDefault="00994E48" w:rsidP="00CB5420">
        <w:pPr>
          <w:pStyle w:val="Header"/>
          <w:jc w:val="center"/>
        </w:pPr>
        <w:r>
          <w:fldChar w:fldCharType="begin"/>
        </w:r>
        <w:r>
          <w:instrText xml:space="preserve"> PAGE   \* MERGEFORMAT </w:instrText>
        </w:r>
        <w:r>
          <w:fldChar w:fldCharType="separate"/>
        </w:r>
        <w:r w:rsidR="00B62C1B">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3E1"/>
    <w:multiLevelType w:val="multilevel"/>
    <w:tmpl w:val="EB6E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94C0D"/>
    <w:multiLevelType w:val="hybridMultilevel"/>
    <w:tmpl w:val="74F8BC58"/>
    <w:lvl w:ilvl="0" w:tplc="BAF28E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968B8"/>
    <w:multiLevelType w:val="multilevel"/>
    <w:tmpl w:val="52D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DisplayPageBoundaries/>
  <w:hideSpelling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CF"/>
    <w:rsid w:val="00000CD3"/>
    <w:rsid w:val="00000F71"/>
    <w:rsid w:val="00001C20"/>
    <w:rsid w:val="0000215D"/>
    <w:rsid w:val="00002C64"/>
    <w:rsid w:val="00002DBC"/>
    <w:rsid w:val="0000328D"/>
    <w:rsid w:val="0000338F"/>
    <w:rsid w:val="000051C5"/>
    <w:rsid w:val="000054A8"/>
    <w:rsid w:val="000060E5"/>
    <w:rsid w:val="00006629"/>
    <w:rsid w:val="000068E6"/>
    <w:rsid w:val="00007447"/>
    <w:rsid w:val="00007B20"/>
    <w:rsid w:val="000100D9"/>
    <w:rsid w:val="0001047A"/>
    <w:rsid w:val="00010C18"/>
    <w:rsid w:val="00010F9B"/>
    <w:rsid w:val="00011151"/>
    <w:rsid w:val="00011B2F"/>
    <w:rsid w:val="00011B3E"/>
    <w:rsid w:val="00012A94"/>
    <w:rsid w:val="00012C05"/>
    <w:rsid w:val="00012CBC"/>
    <w:rsid w:val="000131E9"/>
    <w:rsid w:val="00013615"/>
    <w:rsid w:val="00013F20"/>
    <w:rsid w:val="00013F62"/>
    <w:rsid w:val="0001449B"/>
    <w:rsid w:val="000149C1"/>
    <w:rsid w:val="00016BCF"/>
    <w:rsid w:val="00016EFE"/>
    <w:rsid w:val="00017DBB"/>
    <w:rsid w:val="0002031E"/>
    <w:rsid w:val="0002064F"/>
    <w:rsid w:val="00020CA2"/>
    <w:rsid w:val="0002114D"/>
    <w:rsid w:val="00021527"/>
    <w:rsid w:val="0002274F"/>
    <w:rsid w:val="0002336D"/>
    <w:rsid w:val="00023986"/>
    <w:rsid w:val="00023FDD"/>
    <w:rsid w:val="00024190"/>
    <w:rsid w:val="000251F8"/>
    <w:rsid w:val="000257C1"/>
    <w:rsid w:val="00025F49"/>
    <w:rsid w:val="00026DCC"/>
    <w:rsid w:val="00027510"/>
    <w:rsid w:val="00027543"/>
    <w:rsid w:val="00027920"/>
    <w:rsid w:val="00027C41"/>
    <w:rsid w:val="000301DF"/>
    <w:rsid w:val="00031EAB"/>
    <w:rsid w:val="000329F5"/>
    <w:rsid w:val="00032ED7"/>
    <w:rsid w:val="0003330E"/>
    <w:rsid w:val="00034232"/>
    <w:rsid w:val="00034285"/>
    <w:rsid w:val="00034A2D"/>
    <w:rsid w:val="00034C7A"/>
    <w:rsid w:val="0003502F"/>
    <w:rsid w:val="000350E1"/>
    <w:rsid w:val="0003541E"/>
    <w:rsid w:val="00035448"/>
    <w:rsid w:val="00036770"/>
    <w:rsid w:val="00037235"/>
    <w:rsid w:val="000372F2"/>
    <w:rsid w:val="000375E7"/>
    <w:rsid w:val="00037B6A"/>
    <w:rsid w:val="00037FAD"/>
    <w:rsid w:val="00040B63"/>
    <w:rsid w:val="0004132C"/>
    <w:rsid w:val="000421D4"/>
    <w:rsid w:val="00042219"/>
    <w:rsid w:val="00042675"/>
    <w:rsid w:val="0004273C"/>
    <w:rsid w:val="00042FB4"/>
    <w:rsid w:val="000433DB"/>
    <w:rsid w:val="00043732"/>
    <w:rsid w:val="0004389A"/>
    <w:rsid w:val="0004394C"/>
    <w:rsid w:val="00046190"/>
    <w:rsid w:val="000462D5"/>
    <w:rsid w:val="000463AE"/>
    <w:rsid w:val="00046CB1"/>
    <w:rsid w:val="00046FE3"/>
    <w:rsid w:val="00047325"/>
    <w:rsid w:val="000473A9"/>
    <w:rsid w:val="00047814"/>
    <w:rsid w:val="000479FB"/>
    <w:rsid w:val="00047E17"/>
    <w:rsid w:val="000505E4"/>
    <w:rsid w:val="000508C3"/>
    <w:rsid w:val="000519B9"/>
    <w:rsid w:val="00051E55"/>
    <w:rsid w:val="00052257"/>
    <w:rsid w:val="00052368"/>
    <w:rsid w:val="00053D24"/>
    <w:rsid w:val="0005548A"/>
    <w:rsid w:val="000557B7"/>
    <w:rsid w:val="00055894"/>
    <w:rsid w:val="00055C7F"/>
    <w:rsid w:val="00057282"/>
    <w:rsid w:val="00057523"/>
    <w:rsid w:val="000577A5"/>
    <w:rsid w:val="000577E1"/>
    <w:rsid w:val="000578F8"/>
    <w:rsid w:val="00060A59"/>
    <w:rsid w:val="00060AE9"/>
    <w:rsid w:val="00060D74"/>
    <w:rsid w:val="00060D92"/>
    <w:rsid w:val="00061033"/>
    <w:rsid w:val="00061400"/>
    <w:rsid w:val="00061782"/>
    <w:rsid w:val="00063B15"/>
    <w:rsid w:val="000646CC"/>
    <w:rsid w:val="000650E3"/>
    <w:rsid w:val="0006510C"/>
    <w:rsid w:val="0006576B"/>
    <w:rsid w:val="000664A4"/>
    <w:rsid w:val="00066788"/>
    <w:rsid w:val="00066BD4"/>
    <w:rsid w:val="00067098"/>
    <w:rsid w:val="000670DE"/>
    <w:rsid w:val="00067795"/>
    <w:rsid w:val="000679CC"/>
    <w:rsid w:val="00067D42"/>
    <w:rsid w:val="00067DCD"/>
    <w:rsid w:val="000713BD"/>
    <w:rsid w:val="00071544"/>
    <w:rsid w:val="00071C47"/>
    <w:rsid w:val="00072168"/>
    <w:rsid w:val="00072753"/>
    <w:rsid w:val="00072CA4"/>
    <w:rsid w:val="00073065"/>
    <w:rsid w:val="0007320B"/>
    <w:rsid w:val="00073F96"/>
    <w:rsid w:val="000744AC"/>
    <w:rsid w:val="000747E4"/>
    <w:rsid w:val="00074E24"/>
    <w:rsid w:val="000761E4"/>
    <w:rsid w:val="000778D1"/>
    <w:rsid w:val="0007793B"/>
    <w:rsid w:val="00080793"/>
    <w:rsid w:val="00081AF2"/>
    <w:rsid w:val="00082DF4"/>
    <w:rsid w:val="0008427C"/>
    <w:rsid w:val="000845BF"/>
    <w:rsid w:val="00084B31"/>
    <w:rsid w:val="0008512E"/>
    <w:rsid w:val="000851ED"/>
    <w:rsid w:val="0008585E"/>
    <w:rsid w:val="00085FA5"/>
    <w:rsid w:val="0008658E"/>
    <w:rsid w:val="00086DC4"/>
    <w:rsid w:val="00086EDD"/>
    <w:rsid w:val="00087802"/>
    <w:rsid w:val="00087C93"/>
    <w:rsid w:val="00090039"/>
    <w:rsid w:val="0009024E"/>
    <w:rsid w:val="00091845"/>
    <w:rsid w:val="00093F80"/>
    <w:rsid w:val="000940EB"/>
    <w:rsid w:val="000945A4"/>
    <w:rsid w:val="0009486D"/>
    <w:rsid w:val="00094C34"/>
    <w:rsid w:val="00094F62"/>
    <w:rsid w:val="0009559E"/>
    <w:rsid w:val="000957F2"/>
    <w:rsid w:val="00095BC2"/>
    <w:rsid w:val="00095EE6"/>
    <w:rsid w:val="000964F7"/>
    <w:rsid w:val="00096FEB"/>
    <w:rsid w:val="00097072"/>
    <w:rsid w:val="000973A2"/>
    <w:rsid w:val="00097A12"/>
    <w:rsid w:val="000A0505"/>
    <w:rsid w:val="000A07B4"/>
    <w:rsid w:val="000A0931"/>
    <w:rsid w:val="000A0F11"/>
    <w:rsid w:val="000A2A53"/>
    <w:rsid w:val="000A31EB"/>
    <w:rsid w:val="000A3701"/>
    <w:rsid w:val="000A3DBD"/>
    <w:rsid w:val="000A4035"/>
    <w:rsid w:val="000A4322"/>
    <w:rsid w:val="000A43AA"/>
    <w:rsid w:val="000A44AD"/>
    <w:rsid w:val="000A4D70"/>
    <w:rsid w:val="000A534F"/>
    <w:rsid w:val="000A614B"/>
    <w:rsid w:val="000A669D"/>
    <w:rsid w:val="000A6E2C"/>
    <w:rsid w:val="000A70CF"/>
    <w:rsid w:val="000A7443"/>
    <w:rsid w:val="000B02FD"/>
    <w:rsid w:val="000B06D3"/>
    <w:rsid w:val="000B15BC"/>
    <w:rsid w:val="000B1C18"/>
    <w:rsid w:val="000B1EFC"/>
    <w:rsid w:val="000B2CC7"/>
    <w:rsid w:val="000B4421"/>
    <w:rsid w:val="000B4AC8"/>
    <w:rsid w:val="000B537D"/>
    <w:rsid w:val="000B56EF"/>
    <w:rsid w:val="000B57B7"/>
    <w:rsid w:val="000B588E"/>
    <w:rsid w:val="000B6A29"/>
    <w:rsid w:val="000B6AAB"/>
    <w:rsid w:val="000B787E"/>
    <w:rsid w:val="000C2399"/>
    <w:rsid w:val="000C34DF"/>
    <w:rsid w:val="000C374E"/>
    <w:rsid w:val="000C38C6"/>
    <w:rsid w:val="000C3B94"/>
    <w:rsid w:val="000C3D8A"/>
    <w:rsid w:val="000C42A8"/>
    <w:rsid w:val="000C43BD"/>
    <w:rsid w:val="000C4AE0"/>
    <w:rsid w:val="000C4B28"/>
    <w:rsid w:val="000C4C35"/>
    <w:rsid w:val="000C4F4A"/>
    <w:rsid w:val="000C53AC"/>
    <w:rsid w:val="000C54E8"/>
    <w:rsid w:val="000C5A98"/>
    <w:rsid w:val="000C5B3A"/>
    <w:rsid w:val="000C5BFD"/>
    <w:rsid w:val="000C5F7B"/>
    <w:rsid w:val="000C729C"/>
    <w:rsid w:val="000C76B8"/>
    <w:rsid w:val="000D056A"/>
    <w:rsid w:val="000D0A34"/>
    <w:rsid w:val="000D0EF9"/>
    <w:rsid w:val="000D1113"/>
    <w:rsid w:val="000D13DF"/>
    <w:rsid w:val="000D16FA"/>
    <w:rsid w:val="000D1B35"/>
    <w:rsid w:val="000D2BF3"/>
    <w:rsid w:val="000D3A3C"/>
    <w:rsid w:val="000D4181"/>
    <w:rsid w:val="000D4D9A"/>
    <w:rsid w:val="000D5033"/>
    <w:rsid w:val="000D55B1"/>
    <w:rsid w:val="000D5768"/>
    <w:rsid w:val="000D5E1B"/>
    <w:rsid w:val="000D5FC6"/>
    <w:rsid w:val="000D773F"/>
    <w:rsid w:val="000E03BC"/>
    <w:rsid w:val="000E0A35"/>
    <w:rsid w:val="000E0E27"/>
    <w:rsid w:val="000E179C"/>
    <w:rsid w:val="000E1FA3"/>
    <w:rsid w:val="000E2799"/>
    <w:rsid w:val="000E2ED5"/>
    <w:rsid w:val="000E49F8"/>
    <w:rsid w:val="000E5502"/>
    <w:rsid w:val="000E55C8"/>
    <w:rsid w:val="000E78F2"/>
    <w:rsid w:val="000E7ACB"/>
    <w:rsid w:val="000E7CDC"/>
    <w:rsid w:val="000F013A"/>
    <w:rsid w:val="000F0906"/>
    <w:rsid w:val="000F0C62"/>
    <w:rsid w:val="000F1262"/>
    <w:rsid w:val="000F1382"/>
    <w:rsid w:val="000F1B05"/>
    <w:rsid w:val="000F1C32"/>
    <w:rsid w:val="000F26A4"/>
    <w:rsid w:val="000F2EDE"/>
    <w:rsid w:val="000F34A6"/>
    <w:rsid w:val="000F357D"/>
    <w:rsid w:val="000F424D"/>
    <w:rsid w:val="000F4FC8"/>
    <w:rsid w:val="000F502E"/>
    <w:rsid w:val="000F589B"/>
    <w:rsid w:val="000F5C3A"/>
    <w:rsid w:val="000F6390"/>
    <w:rsid w:val="000F6647"/>
    <w:rsid w:val="000F6D94"/>
    <w:rsid w:val="000F7C7B"/>
    <w:rsid w:val="0010023D"/>
    <w:rsid w:val="0010050B"/>
    <w:rsid w:val="0010086F"/>
    <w:rsid w:val="00100CB7"/>
    <w:rsid w:val="00101332"/>
    <w:rsid w:val="00101ACE"/>
    <w:rsid w:val="00101C16"/>
    <w:rsid w:val="00101C78"/>
    <w:rsid w:val="00102193"/>
    <w:rsid w:val="00102B14"/>
    <w:rsid w:val="00102B39"/>
    <w:rsid w:val="0010319F"/>
    <w:rsid w:val="00103D7F"/>
    <w:rsid w:val="00103EFB"/>
    <w:rsid w:val="001049D5"/>
    <w:rsid w:val="00104E5E"/>
    <w:rsid w:val="0010519C"/>
    <w:rsid w:val="001060C5"/>
    <w:rsid w:val="00106FED"/>
    <w:rsid w:val="00107211"/>
    <w:rsid w:val="00107830"/>
    <w:rsid w:val="001100D5"/>
    <w:rsid w:val="00110843"/>
    <w:rsid w:val="00110C08"/>
    <w:rsid w:val="00111089"/>
    <w:rsid w:val="00111571"/>
    <w:rsid w:val="0011169E"/>
    <w:rsid w:val="00111707"/>
    <w:rsid w:val="00111F98"/>
    <w:rsid w:val="001124C5"/>
    <w:rsid w:val="00113227"/>
    <w:rsid w:val="0011339D"/>
    <w:rsid w:val="00113485"/>
    <w:rsid w:val="00113B20"/>
    <w:rsid w:val="00113C39"/>
    <w:rsid w:val="00114946"/>
    <w:rsid w:val="0011505E"/>
    <w:rsid w:val="001159F3"/>
    <w:rsid w:val="00115EDD"/>
    <w:rsid w:val="00116DA4"/>
    <w:rsid w:val="00116E8C"/>
    <w:rsid w:val="00116FB9"/>
    <w:rsid w:val="0011719E"/>
    <w:rsid w:val="001206E4"/>
    <w:rsid w:val="00120C48"/>
    <w:rsid w:val="00120D0E"/>
    <w:rsid w:val="001216FA"/>
    <w:rsid w:val="00121C9E"/>
    <w:rsid w:val="001229D0"/>
    <w:rsid w:val="00122C0A"/>
    <w:rsid w:val="00122F16"/>
    <w:rsid w:val="00122F4D"/>
    <w:rsid w:val="00123500"/>
    <w:rsid w:val="00123818"/>
    <w:rsid w:val="00124F60"/>
    <w:rsid w:val="00125688"/>
    <w:rsid w:val="00125AB2"/>
    <w:rsid w:val="001268A3"/>
    <w:rsid w:val="001268EA"/>
    <w:rsid w:val="001273AE"/>
    <w:rsid w:val="00127A75"/>
    <w:rsid w:val="00127D28"/>
    <w:rsid w:val="00130148"/>
    <w:rsid w:val="00130559"/>
    <w:rsid w:val="0013076E"/>
    <w:rsid w:val="00130838"/>
    <w:rsid w:val="001315A6"/>
    <w:rsid w:val="00131A48"/>
    <w:rsid w:val="0013268E"/>
    <w:rsid w:val="001327DD"/>
    <w:rsid w:val="0013290F"/>
    <w:rsid w:val="00132C0E"/>
    <w:rsid w:val="00132D00"/>
    <w:rsid w:val="00132E45"/>
    <w:rsid w:val="00133622"/>
    <w:rsid w:val="00133A86"/>
    <w:rsid w:val="001343DC"/>
    <w:rsid w:val="0013479B"/>
    <w:rsid w:val="00134970"/>
    <w:rsid w:val="00134A51"/>
    <w:rsid w:val="0013507A"/>
    <w:rsid w:val="00135084"/>
    <w:rsid w:val="00135B85"/>
    <w:rsid w:val="00135E31"/>
    <w:rsid w:val="00135F3F"/>
    <w:rsid w:val="00136722"/>
    <w:rsid w:val="0013697E"/>
    <w:rsid w:val="00136B30"/>
    <w:rsid w:val="001370BB"/>
    <w:rsid w:val="00137996"/>
    <w:rsid w:val="001379B6"/>
    <w:rsid w:val="00137E0C"/>
    <w:rsid w:val="0014121E"/>
    <w:rsid w:val="00141422"/>
    <w:rsid w:val="001422C5"/>
    <w:rsid w:val="00142907"/>
    <w:rsid w:val="00142FD0"/>
    <w:rsid w:val="0014320D"/>
    <w:rsid w:val="001434B8"/>
    <w:rsid w:val="00143CCB"/>
    <w:rsid w:val="00143E04"/>
    <w:rsid w:val="0014448C"/>
    <w:rsid w:val="00144492"/>
    <w:rsid w:val="001448F7"/>
    <w:rsid w:val="00144F78"/>
    <w:rsid w:val="00145453"/>
    <w:rsid w:val="0014548E"/>
    <w:rsid w:val="00146474"/>
    <w:rsid w:val="00146C1A"/>
    <w:rsid w:val="00146ECF"/>
    <w:rsid w:val="00147732"/>
    <w:rsid w:val="001479E6"/>
    <w:rsid w:val="00150093"/>
    <w:rsid w:val="00150109"/>
    <w:rsid w:val="001507DD"/>
    <w:rsid w:val="00150A92"/>
    <w:rsid w:val="00151022"/>
    <w:rsid w:val="001514B6"/>
    <w:rsid w:val="0015180F"/>
    <w:rsid w:val="00151E79"/>
    <w:rsid w:val="0015256A"/>
    <w:rsid w:val="001526DF"/>
    <w:rsid w:val="001527C0"/>
    <w:rsid w:val="00152846"/>
    <w:rsid w:val="001529BF"/>
    <w:rsid w:val="00152AE8"/>
    <w:rsid w:val="00153815"/>
    <w:rsid w:val="0015517C"/>
    <w:rsid w:val="0015518E"/>
    <w:rsid w:val="00155AD0"/>
    <w:rsid w:val="0015670E"/>
    <w:rsid w:val="001571A9"/>
    <w:rsid w:val="001578BB"/>
    <w:rsid w:val="00157A0A"/>
    <w:rsid w:val="001601B3"/>
    <w:rsid w:val="001601FE"/>
    <w:rsid w:val="00160269"/>
    <w:rsid w:val="00160384"/>
    <w:rsid w:val="001626DF"/>
    <w:rsid w:val="0016343A"/>
    <w:rsid w:val="001636BB"/>
    <w:rsid w:val="00163824"/>
    <w:rsid w:val="0016433F"/>
    <w:rsid w:val="00165360"/>
    <w:rsid w:val="001658B4"/>
    <w:rsid w:val="00165CD8"/>
    <w:rsid w:val="00165E73"/>
    <w:rsid w:val="001661FD"/>
    <w:rsid w:val="00167A17"/>
    <w:rsid w:val="00167A36"/>
    <w:rsid w:val="00167AD8"/>
    <w:rsid w:val="00170108"/>
    <w:rsid w:val="00170DA7"/>
    <w:rsid w:val="00171769"/>
    <w:rsid w:val="00172187"/>
    <w:rsid w:val="001726E1"/>
    <w:rsid w:val="001736F0"/>
    <w:rsid w:val="0017443D"/>
    <w:rsid w:val="00175372"/>
    <w:rsid w:val="001755C6"/>
    <w:rsid w:val="0017664E"/>
    <w:rsid w:val="00176A9D"/>
    <w:rsid w:val="00176CA2"/>
    <w:rsid w:val="00176D78"/>
    <w:rsid w:val="0017716B"/>
    <w:rsid w:val="001809CF"/>
    <w:rsid w:val="00180A8C"/>
    <w:rsid w:val="00180F9B"/>
    <w:rsid w:val="001813E7"/>
    <w:rsid w:val="00181C64"/>
    <w:rsid w:val="00182132"/>
    <w:rsid w:val="00182191"/>
    <w:rsid w:val="00182CF7"/>
    <w:rsid w:val="001835E7"/>
    <w:rsid w:val="00183856"/>
    <w:rsid w:val="00183D7C"/>
    <w:rsid w:val="00183E2D"/>
    <w:rsid w:val="00183FF1"/>
    <w:rsid w:val="001847BF"/>
    <w:rsid w:val="0018584E"/>
    <w:rsid w:val="00187368"/>
    <w:rsid w:val="0018742A"/>
    <w:rsid w:val="001902B4"/>
    <w:rsid w:val="0019046B"/>
    <w:rsid w:val="001904DC"/>
    <w:rsid w:val="00190767"/>
    <w:rsid w:val="00190D5B"/>
    <w:rsid w:val="00191775"/>
    <w:rsid w:val="0019192D"/>
    <w:rsid w:val="00192328"/>
    <w:rsid w:val="0019267D"/>
    <w:rsid w:val="001927E7"/>
    <w:rsid w:val="00193935"/>
    <w:rsid w:val="00193B4B"/>
    <w:rsid w:val="001973E5"/>
    <w:rsid w:val="00197F23"/>
    <w:rsid w:val="001A00C0"/>
    <w:rsid w:val="001A02DC"/>
    <w:rsid w:val="001A0AD8"/>
    <w:rsid w:val="001A0D74"/>
    <w:rsid w:val="001A113A"/>
    <w:rsid w:val="001A2F3A"/>
    <w:rsid w:val="001A3398"/>
    <w:rsid w:val="001A3838"/>
    <w:rsid w:val="001A4621"/>
    <w:rsid w:val="001A49DD"/>
    <w:rsid w:val="001A54D7"/>
    <w:rsid w:val="001A5CCA"/>
    <w:rsid w:val="001A63A8"/>
    <w:rsid w:val="001A666A"/>
    <w:rsid w:val="001A6CBA"/>
    <w:rsid w:val="001A6F22"/>
    <w:rsid w:val="001A71BB"/>
    <w:rsid w:val="001A7473"/>
    <w:rsid w:val="001A7778"/>
    <w:rsid w:val="001A7818"/>
    <w:rsid w:val="001A79B5"/>
    <w:rsid w:val="001A7D2D"/>
    <w:rsid w:val="001A7FAB"/>
    <w:rsid w:val="001B1675"/>
    <w:rsid w:val="001B169C"/>
    <w:rsid w:val="001B18C9"/>
    <w:rsid w:val="001B1DE9"/>
    <w:rsid w:val="001B22E6"/>
    <w:rsid w:val="001B2C12"/>
    <w:rsid w:val="001B3AD6"/>
    <w:rsid w:val="001B3B78"/>
    <w:rsid w:val="001B3C94"/>
    <w:rsid w:val="001B5BD5"/>
    <w:rsid w:val="001B5C69"/>
    <w:rsid w:val="001B5D41"/>
    <w:rsid w:val="001B5F93"/>
    <w:rsid w:val="001B6331"/>
    <w:rsid w:val="001B64FF"/>
    <w:rsid w:val="001B677F"/>
    <w:rsid w:val="001B67D5"/>
    <w:rsid w:val="001B71C2"/>
    <w:rsid w:val="001C00C4"/>
    <w:rsid w:val="001C2BA9"/>
    <w:rsid w:val="001C2DA8"/>
    <w:rsid w:val="001C3FFB"/>
    <w:rsid w:val="001C410A"/>
    <w:rsid w:val="001C4BF6"/>
    <w:rsid w:val="001C4EEC"/>
    <w:rsid w:val="001C5234"/>
    <w:rsid w:val="001C5690"/>
    <w:rsid w:val="001C574D"/>
    <w:rsid w:val="001C590F"/>
    <w:rsid w:val="001C67B2"/>
    <w:rsid w:val="001C6975"/>
    <w:rsid w:val="001C7592"/>
    <w:rsid w:val="001C76C2"/>
    <w:rsid w:val="001C7DC7"/>
    <w:rsid w:val="001C7E84"/>
    <w:rsid w:val="001D176E"/>
    <w:rsid w:val="001D19F8"/>
    <w:rsid w:val="001D1B02"/>
    <w:rsid w:val="001D2908"/>
    <w:rsid w:val="001D29A1"/>
    <w:rsid w:val="001D2F6C"/>
    <w:rsid w:val="001D2F97"/>
    <w:rsid w:val="001D3B42"/>
    <w:rsid w:val="001D4001"/>
    <w:rsid w:val="001D433E"/>
    <w:rsid w:val="001D47CE"/>
    <w:rsid w:val="001D4A34"/>
    <w:rsid w:val="001D4D23"/>
    <w:rsid w:val="001D4E3F"/>
    <w:rsid w:val="001D4F67"/>
    <w:rsid w:val="001D5BB2"/>
    <w:rsid w:val="001D5E26"/>
    <w:rsid w:val="001D6322"/>
    <w:rsid w:val="001D63E1"/>
    <w:rsid w:val="001D67F3"/>
    <w:rsid w:val="001D71C5"/>
    <w:rsid w:val="001D789D"/>
    <w:rsid w:val="001E0529"/>
    <w:rsid w:val="001E0F95"/>
    <w:rsid w:val="001E1763"/>
    <w:rsid w:val="001E17A5"/>
    <w:rsid w:val="001E2597"/>
    <w:rsid w:val="001E2EE9"/>
    <w:rsid w:val="001E305B"/>
    <w:rsid w:val="001E320B"/>
    <w:rsid w:val="001E3CF1"/>
    <w:rsid w:val="001E6509"/>
    <w:rsid w:val="001E68FA"/>
    <w:rsid w:val="001E6B90"/>
    <w:rsid w:val="001E6EF1"/>
    <w:rsid w:val="001E77D2"/>
    <w:rsid w:val="001E7D0A"/>
    <w:rsid w:val="001E7E94"/>
    <w:rsid w:val="001F00E6"/>
    <w:rsid w:val="001F0206"/>
    <w:rsid w:val="001F08F7"/>
    <w:rsid w:val="001F0A52"/>
    <w:rsid w:val="001F0BCC"/>
    <w:rsid w:val="001F0EDA"/>
    <w:rsid w:val="001F120E"/>
    <w:rsid w:val="001F1298"/>
    <w:rsid w:val="001F16F0"/>
    <w:rsid w:val="001F18A6"/>
    <w:rsid w:val="001F223B"/>
    <w:rsid w:val="001F2249"/>
    <w:rsid w:val="001F2399"/>
    <w:rsid w:val="001F2884"/>
    <w:rsid w:val="001F30C3"/>
    <w:rsid w:val="001F319A"/>
    <w:rsid w:val="001F3266"/>
    <w:rsid w:val="001F34D4"/>
    <w:rsid w:val="001F34F0"/>
    <w:rsid w:val="001F4195"/>
    <w:rsid w:val="001F4213"/>
    <w:rsid w:val="001F47D1"/>
    <w:rsid w:val="001F571E"/>
    <w:rsid w:val="001F58A7"/>
    <w:rsid w:val="001F5C56"/>
    <w:rsid w:val="001F69F2"/>
    <w:rsid w:val="001F6A3B"/>
    <w:rsid w:val="001F6F8F"/>
    <w:rsid w:val="001F709C"/>
    <w:rsid w:val="001F7620"/>
    <w:rsid w:val="002007DC"/>
    <w:rsid w:val="0020095F"/>
    <w:rsid w:val="00201593"/>
    <w:rsid w:val="00201B17"/>
    <w:rsid w:val="00201FEE"/>
    <w:rsid w:val="002020F2"/>
    <w:rsid w:val="0020295C"/>
    <w:rsid w:val="00202C19"/>
    <w:rsid w:val="00202C5A"/>
    <w:rsid w:val="00204030"/>
    <w:rsid w:val="00204A17"/>
    <w:rsid w:val="00205187"/>
    <w:rsid w:val="0020556F"/>
    <w:rsid w:val="0020561A"/>
    <w:rsid w:val="0020593C"/>
    <w:rsid w:val="00205A74"/>
    <w:rsid w:val="0020645B"/>
    <w:rsid w:val="00206499"/>
    <w:rsid w:val="0020665D"/>
    <w:rsid w:val="0020724D"/>
    <w:rsid w:val="00207455"/>
    <w:rsid w:val="00207C8A"/>
    <w:rsid w:val="0021001F"/>
    <w:rsid w:val="002106F4"/>
    <w:rsid w:val="00210B84"/>
    <w:rsid w:val="00211835"/>
    <w:rsid w:val="00211858"/>
    <w:rsid w:val="00211EB7"/>
    <w:rsid w:val="00211F91"/>
    <w:rsid w:val="002121E1"/>
    <w:rsid w:val="00212560"/>
    <w:rsid w:val="002127AD"/>
    <w:rsid w:val="002135E3"/>
    <w:rsid w:val="00213A16"/>
    <w:rsid w:val="00213DB6"/>
    <w:rsid w:val="00214298"/>
    <w:rsid w:val="0021440C"/>
    <w:rsid w:val="00216555"/>
    <w:rsid w:val="002173AA"/>
    <w:rsid w:val="00217758"/>
    <w:rsid w:val="00217FA7"/>
    <w:rsid w:val="00220EBE"/>
    <w:rsid w:val="00222411"/>
    <w:rsid w:val="0022245B"/>
    <w:rsid w:val="002230C8"/>
    <w:rsid w:val="002231DF"/>
    <w:rsid w:val="002232D9"/>
    <w:rsid w:val="00223FAB"/>
    <w:rsid w:val="002242A1"/>
    <w:rsid w:val="002245EA"/>
    <w:rsid w:val="0022493B"/>
    <w:rsid w:val="002252D2"/>
    <w:rsid w:val="00225479"/>
    <w:rsid w:val="0022591A"/>
    <w:rsid w:val="00225BA1"/>
    <w:rsid w:val="00225EC5"/>
    <w:rsid w:val="00227A5E"/>
    <w:rsid w:val="00230D85"/>
    <w:rsid w:val="002311BF"/>
    <w:rsid w:val="00232339"/>
    <w:rsid w:val="0023263D"/>
    <w:rsid w:val="0023286D"/>
    <w:rsid w:val="00232967"/>
    <w:rsid w:val="00232E8A"/>
    <w:rsid w:val="00233599"/>
    <w:rsid w:val="00234812"/>
    <w:rsid w:val="002348FA"/>
    <w:rsid w:val="00234D35"/>
    <w:rsid w:val="002352B3"/>
    <w:rsid w:val="002353E3"/>
    <w:rsid w:val="00236850"/>
    <w:rsid w:val="002368AB"/>
    <w:rsid w:val="00236B42"/>
    <w:rsid w:val="0023703D"/>
    <w:rsid w:val="002371E0"/>
    <w:rsid w:val="0023770A"/>
    <w:rsid w:val="00240142"/>
    <w:rsid w:val="0024121B"/>
    <w:rsid w:val="00242018"/>
    <w:rsid w:val="002420B0"/>
    <w:rsid w:val="00242448"/>
    <w:rsid w:val="00242A53"/>
    <w:rsid w:val="00242C9A"/>
    <w:rsid w:val="002446EC"/>
    <w:rsid w:val="00244A26"/>
    <w:rsid w:val="002464E2"/>
    <w:rsid w:val="00246600"/>
    <w:rsid w:val="002466B9"/>
    <w:rsid w:val="00246902"/>
    <w:rsid w:val="0024699F"/>
    <w:rsid w:val="00247948"/>
    <w:rsid w:val="00250143"/>
    <w:rsid w:val="0025056A"/>
    <w:rsid w:val="00250D7F"/>
    <w:rsid w:val="00251347"/>
    <w:rsid w:val="0025163D"/>
    <w:rsid w:val="002517BD"/>
    <w:rsid w:val="00251812"/>
    <w:rsid w:val="00251A36"/>
    <w:rsid w:val="00251E46"/>
    <w:rsid w:val="00252273"/>
    <w:rsid w:val="00252A48"/>
    <w:rsid w:val="00253471"/>
    <w:rsid w:val="002543EB"/>
    <w:rsid w:val="00254777"/>
    <w:rsid w:val="002555E4"/>
    <w:rsid w:val="002557EF"/>
    <w:rsid w:val="0025602A"/>
    <w:rsid w:val="00256175"/>
    <w:rsid w:val="00256183"/>
    <w:rsid w:val="002561BB"/>
    <w:rsid w:val="0025621F"/>
    <w:rsid w:val="002565E2"/>
    <w:rsid w:val="002568C4"/>
    <w:rsid w:val="00256C76"/>
    <w:rsid w:val="00260008"/>
    <w:rsid w:val="002602B0"/>
    <w:rsid w:val="0026045B"/>
    <w:rsid w:val="002605B4"/>
    <w:rsid w:val="002609DB"/>
    <w:rsid w:val="00260B78"/>
    <w:rsid w:val="0026183A"/>
    <w:rsid w:val="00263F7D"/>
    <w:rsid w:val="0026464F"/>
    <w:rsid w:val="00264942"/>
    <w:rsid w:val="002654F0"/>
    <w:rsid w:val="0026588C"/>
    <w:rsid w:val="00265ADC"/>
    <w:rsid w:val="00265F9B"/>
    <w:rsid w:val="00266BBC"/>
    <w:rsid w:val="00267252"/>
    <w:rsid w:val="0026729A"/>
    <w:rsid w:val="00267471"/>
    <w:rsid w:val="00267ED4"/>
    <w:rsid w:val="00267FC5"/>
    <w:rsid w:val="002700C7"/>
    <w:rsid w:val="0027021A"/>
    <w:rsid w:val="002725BF"/>
    <w:rsid w:val="00272CC3"/>
    <w:rsid w:val="00273C92"/>
    <w:rsid w:val="002740A2"/>
    <w:rsid w:val="0027430E"/>
    <w:rsid w:val="0027457E"/>
    <w:rsid w:val="00274AB9"/>
    <w:rsid w:val="00276772"/>
    <w:rsid w:val="00277393"/>
    <w:rsid w:val="002775BB"/>
    <w:rsid w:val="002776C1"/>
    <w:rsid w:val="002776CA"/>
    <w:rsid w:val="002777D6"/>
    <w:rsid w:val="00277FC7"/>
    <w:rsid w:val="00280932"/>
    <w:rsid w:val="00281251"/>
    <w:rsid w:val="00282487"/>
    <w:rsid w:val="0028249C"/>
    <w:rsid w:val="002832BD"/>
    <w:rsid w:val="002853CA"/>
    <w:rsid w:val="00285C32"/>
    <w:rsid w:val="00285E65"/>
    <w:rsid w:val="00285FEA"/>
    <w:rsid w:val="00286A7C"/>
    <w:rsid w:val="00290383"/>
    <w:rsid w:val="00290510"/>
    <w:rsid w:val="00290547"/>
    <w:rsid w:val="00290853"/>
    <w:rsid w:val="00290BF7"/>
    <w:rsid w:val="00293162"/>
    <w:rsid w:val="00293C46"/>
    <w:rsid w:val="002947CA"/>
    <w:rsid w:val="002948F7"/>
    <w:rsid w:val="00295141"/>
    <w:rsid w:val="002962F9"/>
    <w:rsid w:val="00296789"/>
    <w:rsid w:val="002969B9"/>
    <w:rsid w:val="00296A81"/>
    <w:rsid w:val="00297380"/>
    <w:rsid w:val="00297EA2"/>
    <w:rsid w:val="002A03F8"/>
    <w:rsid w:val="002A0A40"/>
    <w:rsid w:val="002A0F7B"/>
    <w:rsid w:val="002A2AE7"/>
    <w:rsid w:val="002A363F"/>
    <w:rsid w:val="002A39E6"/>
    <w:rsid w:val="002A474D"/>
    <w:rsid w:val="002A51B5"/>
    <w:rsid w:val="002A579C"/>
    <w:rsid w:val="002A5AC5"/>
    <w:rsid w:val="002A5E6A"/>
    <w:rsid w:val="002A655C"/>
    <w:rsid w:val="002A6D45"/>
    <w:rsid w:val="002A6D47"/>
    <w:rsid w:val="002B0970"/>
    <w:rsid w:val="002B16AD"/>
    <w:rsid w:val="002B174E"/>
    <w:rsid w:val="002B1D32"/>
    <w:rsid w:val="002B244B"/>
    <w:rsid w:val="002B2483"/>
    <w:rsid w:val="002B2700"/>
    <w:rsid w:val="002B32AE"/>
    <w:rsid w:val="002B3F01"/>
    <w:rsid w:val="002B43E1"/>
    <w:rsid w:val="002B4EC9"/>
    <w:rsid w:val="002B5475"/>
    <w:rsid w:val="002B584F"/>
    <w:rsid w:val="002B6677"/>
    <w:rsid w:val="002B6A02"/>
    <w:rsid w:val="002B736F"/>
    <w:rsid w:val="002B7C6D"/>
    <w:rsid w:val="002B7CE5"/>
    <w:rsid w:val="002C2F58"/>
    <w:rsid w:val="002C3160"/>
    <w:rsid w:val="002C32EF"/>
    <w:rsid w:val="002C335A"/>
    <w:rsid w:val="002C387B"/>
    <w:rsid w:val="002C4052"/>
    <w:rsid w:val="002C43B2"/>
    <w:rsid w:val="002C5401"/>
    <w:rsid w:val="002C61CC"/>
    <w:rsid w:val="002C6974"/>
    <w:rsid w:val="002C69A8"/>
    <w:rsid w:val="002C6F2D"/>
    <w:rsid w:val="002C73E4"/>
    <w:rsid w:val="002C7592"/>
    <w:rsid w:val="002C77C3"/>
    <w:rsid w:val="002C794E"/>
    <w:rsid w:val="002D1592"/>
    <w:rsid w:val="002D19AE"/>
    <w:rsid w:val="002D1E35"/>
    <w:rsid w:val="002D25CD"/>
    <w:rsid w:val="002D2856"/>
    <w:rsid w:val="002D29DE"/>
    <w:rsid w:val="002D3A85"/>
    <w:rsid w:val="002D44C1"/>
    <w:rsid w:val="002D4F77"/>
    <w:rsid w:val="002D4FA1"/>
    <w:rsid w:val="002D5364"/>
    <w:rsid w:val="002D5F6C"/>
    <w:rsid w:val="002D5FBC"/>
    <w:rsid w:val="002D720B"/>
    <w:rsid w:val="002D747C"/>
    <w:rsid w:val="002D7797"/>
    <w:rsid w:val="002E0491"/>
    <w:rsid w:val="002E075E"/>
    <w:rsid w:val="002E0843"/>
    <w:rsid w:val="002E08CF"/>
    <w:rsid w:val="002E0FBC"/>
    <w:rsid w:val="002E0FE9"/>
    <w:rsid w:val="002E15BE"/>
    <w:rsid w:val="002E18B1"/>
    <w:rsid w:val="002E1A6C"/>
    <w:rsid w:val="002E1CBA"/>
    <w:rsid w:val="002E3083"/>
    <w:rsid w:val="002E3609"/>
    <w:rsid w:val="002E3722"/>
    <w:rsid w:val="002E3C0F"/>
    <w:rsid w:val="002E4764"/>
    <w:rsid w:val="002E4C81"/>
    <w:rsid w:val="002E4D16"/>
    <w:rsid w:val="002E515E"/>
    <w:rsid w:val="002E51F7"/>
    <w:rsid w:val="002E52F4"/>
    <w:rsid w:val="002E5526"/>
    <w:rsid w:val="002E581A"/>
    <w:rsid w:val="002E6869"/>
    <w:rsid w:val="002E6CA2"/>
    <w:rsid w:val="002E7E99"/>
    <w:rsid w:val="002F04FF"/>
    <w:rsid w:val="002F09EF"/>
    <w:rsid w:val="002F0C93"/>
    <w:rsid w:val="002F232D"/>
    <w:rsid w:val="002F2700"/>
    <w:rsid w:val="002F3316"/>
    <w:rsid w:val="002F345B"/>
    <w:rsid w:val="002F36F2"/>
    <w:rsid w:val="002F38C6"/>
    <w:rsid w:val="002F431E"/>
    <w:rsid w:val="002F46F6"/>
    <w:rsid w:val="002F474B"/>
    <w:rsid w:val="002F4FA0"/>
    <w:rsid w:val="002F4FE9"/>
    <w:rsid w:val="002F5011"/>
    <w:rsid w:val="002F5BAD"/>
    <w:rsid w:val="002F6131"/>
    <w:rsid w:val="002F6B92"/>
    <w:rsid w:val="002F7278"/>
    <w:rsid w:val="002F7771"/>
    <w:rsid w:val="002F7984"/>
    <w:rsid w:val="002F79FA"/>
    <w:rsid w:val="003001AC"/>
    <w:rsid w:val="0030056F"/>
    <w:rsid w:val="003021F4"/>
    <w:rsid w:val="003026EB"/>
    <w:rsid w:val="003027AA"/>
    <w:rsid w:val="003034B8"/>
    <w:rsid w:val="0030447C"/>
    <w:rsid w:val="00304A21"/>
    <w:rsid w:val="00304A8C"/>
    <w:rsid w:val="00305129"/>
    <w:rsid w:val="0030565A"/>
    <w:rsid w:val="00305FD1"/>
    <w:rsid w:val="003061BA"/>
    <w:rsid w:val="0030630B"/>
    <w:rsid w:val="0030684D"/>
    <w:rsid w:val="00306CBE"/>
    <w:rsid w:val="003073D0"/>
    <w:rsid w:val="00310921"/>
    <w:rsid w:val="00310D0D"/>
    <w:rsid w:val="003113C3"/>
    <w:rsid w:val="00311B84"/>
    <w:rsid w:val="0031376D"/>
    <w:rsid w:val="00313C1B"/>
    <w:rsid w:val="003152EA"/>
    <w:rsid w:val="0031585F"/>
    <w:rsid w:val="00315ABE"/>
    <w:rsid w:val="00315E16"/>
    <w:rsid w:val="003161E8"/>
    <w:rsid w:val="0031753C"/>
    <w:rsid w:val="0031799F"/>
    <w:rsid w:val="00317E37"/>
    <w:rsid w:val="00317EB6"/>
    <w:rsid w:val="0032012D"/>
    <w:rsid w:val="003205E3"/>
    <w:rsid w:val="00320632"/>
    <w:rsid w:val="00320CA7"/>
    <w:rsid w:val="00321C59"/>
    <w:rsid w:val="00321F15"/>
    <w:rsid w:val="003221DC"/>
    <w:rsid w:val="003224D0"/>
    <w:rsid w:val="003225A9"/>
    <w:rsid w:val="00322692"/>
    <w:rsid w:val="0032351E"/>
    <w:rsid w:val="0032383E"/>
    <w:rsid w:val="003241B1"/>
    <w:rsid w:val="00325A88"/>
    <w:rsid w:val="00325E14"/>
    <w:rsid w:val="0032606C"/>
    <w:rsid w:val="00326819"/>
    <w:rsid w:val="003271CB"/>
    <w:rsid w:val="003274BA"/>
    <w:rsid w:val="003275D0"/>
    <w:rsid w:val="0032785B"/>
    <w:rsid w:val="00330C54"/>
    <w:rsid w:val="00331011"/>
    <w:rsid w:val="0033136C"/>
    <w:rsid w:val="00331795"/>
    <w:rsid w:val="00332295"/>
    <w:rsid w:val="00332727"/>
    <w:rsid w:val="00332F4B"/>
    <w:rsid w:val="00333560"/>
    <w:rsid w:val="00334288"/>
    <w:rsid w:val="0033471C"/>
    <w:rsid w:val="00334BFC"/>
    <w:rsid w:val="00334F9A"/>
    <w:rsid w:val="00335539"/>
    <w:rsid w:val="00335873"/>
    <w:rsid w:val="00335945"/>
    <w:rsid w:val="00335B0A"/>
    <w:rsid w:val="00335DE6"/>
    <w:rsid w:val="00335E6A"/>
    <w:rsid w:val="00335FBA"/>
    <w:rsid w:val="003400AE"/>
    <w:rsid w:val="00340C8D"/>
    <w:rsid w:val="00340D1D"/>
    <w:rsid w:val="003412AB"/>
    <w:rsid w:val="00341E68"/>
    <w:rsid w:val="00341EB0"/>
    <w:rsid w:val="00342059"/>
    <w:rsid w:val="00342740"/>
    <w:rsid w:val="003431C9"/>
    <w:rsid w:val="00343F4F"/>
    <w:rsid w:val="003444C6"/>
    <w:rsid w:val="00344B37"/>
    <w:rsid w:val="0034552D"/>
    <w:rsid w:val="003467DA"/>
    <w:rsid w:val="00346B55"/>
    <w:rsid w:val="00346D29"/>
    <w:rsid w:val="003471F4"/>
    <w:rsid w:val="0034722A"/>
    <w:rsid w:val="0034741A"/>
    <w:rsid w:val="00347690"/>
    <w:rsid w:val="00347B0C"/>
    <w:rsid w:val="00347BB5"/>
    <w:rsid w:val="003511F7"/>
    <w:rsid w:val="00351976"/>
    <w:rsid w:val="003525E2"/>
    <w:rsid w:val="003531B2"/>
    <w:rsid w:val="00353219"/>
    <w:rsid w:val="003534A4"/>
    <w:rsid w:val="00353D04"/>
    <w:rsid w:val="003543BD"/>
    <w:rsid w:val="0035516E"/>
    <w:rsid w:val="0035526E"/>
    <w:rsid w:val="003565DC"/>
    <w:rsid w:val="003569D6"/>
    <w:rsid w:val="003600BA"/>
    <w:rsid w:val="0036036C"/>
    <w:rsid w:val="00360AAD"/>
    <w:rsid w:val="0036249C"/>
    <w:rsid w:val="0036255D"/>
    <w:rsid w:val="00362A9C"/>
    <w:rsid w:val="003641DD"/>
    <w:rsid w:val="00364BCA"/>
    <w:rsid w:val="00364C22"/>
    <w:rsid w:val="00364C2A"/>
    <w:rsid w:val="003654EE"/>
    <w:rsid w:val="003661EF"/>
    <w:rsid w:val="00366FE1"/>
    <w:rsid w:val="00370B5D"/>
    <w:rsid w:val="00370BA8"/>
    <w:rsid w:val="00372105"/>
    <w:rsid w:val="003726DA"/>
    <w:rsid w:val="00372C98"/>
    <w:rsid w:val="00372E3D"/>
    <w:rsid w:val="00372FAA"/>
    <w:rsid w:val="00373D5E"/>
    <w:rsid w:val="003746E3"/>
    <w:rsid w:val="00374786"/>
    <w:rsid w:val="003748D1"/>
    <w:rsid w:val="00374CA6"/>
    <w:rsid w:val="00375CB5"/>
    <w:rsid w:val="00377D4A"/>
    <w:rsid w:val="00377E20"/>
    <w:rsid w:val="003806BD"/>
    <w:rsid w:val="0038087F"/>
    <w:rsid w:val="00380AA9"/>
    <w:rsid w:val="00380DC6"/>
    <w:rsid w:val="003815C6"/>
    <w:rsid w:val="0038179F"/>
    <w:rsid w:val="00381A37"/>
    <w:rsid w:val="00381E01"/>
    <w:rsid w:val="0038213E"/>
    <w:rsid w:val="003825A1"/>
    <w:rsid w:val="00382712"/>
    <w:rsid w:val="00383550"/>
    <w:rsid w:val="00383667"/>
    <w:rsid w:val="0038497F"/>
    <w:rsid w:val="003849FC"/>
    <w:rsid w:val="003850CB"/>
    <w:rsid w:val="00385215"/>
    <w:rsid w:val="0038599F"/>
    <w:rsid w:val="00385ADF"/>
    <w:rsid w:val="00385D2B"/>
    <w:rsid w:val="00385E27"/>
    <w:rsid w:val="0038612A"/>
    <w:rsid w:val="0038646F"/>
    <w:rsid w:val="0038683C"/>
    <w:rsid w:val="0038684B"/>
    <w:rsid w:val="003876AF"/>
    <w:rsid w:val="003876CD"/>
    <w:rsid w:val="00387BA7"/>
    <w:rsid w:val="003903C1"/>
    <w:rsid w:val="003905D0"/>
    <w:rsid w:val="003909D2"/>
    <w:rsid w:val="00390A07"/>
    <w:rsid w:val="00390A66"/>
    <w:rsid w:val="003915B7"/>
    <w:rsid w:val="003921A7"/>
    <w:rsid w:val="0039278A"/>
    <w:rsid w:val="00392D4A"/>
    <w:rsid w:val="00392F98"/>
    <w:rsid w:val="00393E0A"/>
    <w:rsid w:val="00393E79"/>
    <w:rsid w:val="003944CF"/>
    <w:rsid w:val="00395171"/>
    <w:rsid w:val="00395714"/>
    <w:rsid w:val="00395B75"/>
    <w:rsid w:val="00396D56"/>
    <w:rsid w:val="00397AAA"/>
    <w:rsid w:val="00397CAC"/>
    <w:rsid w:val="003A00F6"/>
    <w:rsid w:val="003A13A0"/>
    <w:rsid w:val="003A2353"/>
    <w:rsid w:val="003A30FC"/>
    <w:rsid w:val="003A3456"/>
    <w:rsid w:val="003A3677"/>
    <w:rsid w:val="003A3B20"/>
    <w:rsid w:val="003A3E81"/>
    <w:rsid w:val="003A3E8E"/>
    <w:rsid w:val="003A42DC"/>
    <w:rsid w:val="003A449D"/>
    <w:rsid w:val="003A47B0"/>
    <w:rsid w:val="003A4CA1"/>
    <w:rsid w:val="003A6445"/>
    <w:rsid w:val="003A65BB"/>
    <w:rsid w:val="003A6747"/>
    <w:rsid w:val="003A6D1C"/>
    <w:rsid w:val="003A6D76"/>
    <w:rsid w:val="003A727C"/>
    <w:rsid w:val="003A78B9"/>
    <w:rsid w:val="003A7FD4"/>
    <w:rsid w:val="003B0212"/>
    <w:rsid w:val="003B0219"/>
    <w:rsid w:val="003B03D9"/>
    <w:rsid w:val="003B058E"/>
    <w:rsid w:val="003B0CA5"/>
    <w:rsid w:val="003B0FB3"/>
    <w:rsid w:val="003B146D"/>
    <w:rsid w:val="003B1CB7"/>
    <w:rsid w:val="003B1FDF"/>
    <w:rsid w:val="003B203B"/>
    <w:rsid w:val="003B30AE"/>
    <w:rsid w:val="003B325B"/>
    <w:rsid w:val="003B3C7C"/>
    <w:rsid w:val="003B4091"/>
    <w:rsid w:val="003B4CA2"/>
    <w:rsid w:val="003B5535"/>
    <w:rsid w:val="003B5777"/>
    <w:rsid w:val="003B59F2"/>
    <w:rsid w:val="003B5F42"/>
    <w:rsid w:val="003B6132"/>
    <w:rsid w:val="003B627A"/>
    <w:rsid w:val="003B63B8"/>
    <w:rsid w:val="003B63E6"/>
    <w:rsid w:val="003B6A32"/>
    <w:rsid w:val="003B6C62"/>
    <w:rsid w:val="003B71A5"/>
    <w:rsid w:val="003B795D"/>
    <w:rsid w:val="003B7A42"/>
    <w:rsid w:val="003B7F66"/>
    <w:rsid w:val="003C0374"/>
    <w:rsid w:val="003C05FB"/>
    <w:rsid w:val="003C068B"/>
    <w:rsid w:val="003C0EF4"/>
    <w:rsid w:val="003C0EFF"/>
    <w:rsid w:val="003C16AC"/>
    <w:rsid w:val="003C1AE7"/>
    <w:rsid w:val="003C2102"/>
    <w:rsid w:val="003C21C5"/>
    <w:rsid w:val="003C2B0B"/>
    <w:rsid w:val="003C3083"/>
    <w:rsid w:val="003C30BD"/>
    <w:rsid w:val="003C57B7"/>
    <w:rsid w:val="003C5E03"/>
    <w:rsid w:val="003C69B1"/>
    <w:rsid w:val="003C6D07"/>
    <w:rsid w:val="003C7218"/>
    <w:rsid w:val="003C7376"/>
    <w:rsid w:val="003C7DE9"/>
    <w:rsid w:val="003D0742"/>
    <w:rsid w:val="003D0C68"/>
    <w:rsid w:val="003D0D23"/>
    <w:rsid w:val="003D0D72"/>
    <w:rsid w:val="003D0E2D"/>
    <w:rsid w:val="003D1F8F"/>
    <w:rsid w:val="003D27E8"/>
    <w:rsid w:val="003D2A11"/>
    <w:rsid w:val="003D3A57"/>
    <w:rsid w:val="003D4765"/>
    <w:rsid w:val="003D59DE"/>
    <w:rsid w:val="003D5F02"/>
    <w:rsid w:val="003D68F6"/>
    <w:rsid w:val="003D71ED"/>
    <w:rsid w:val="003D724E"/>
    <w:rsid w:val="003D76EA"/>
    <w:rsid w:val="003E08FC"/>
    <w:rsid w:val="003E0CDD"/>
    <w:rsid w:val="003E14F3"/>
    <w:rsid w:val="003E1767"/>
    <w:rsid w:val="003E1794"/>
    <w:rsid w:val="003E18F6"/>
    <w:rsid w:val="003E19BD"/>
    <w:rsid w:val="003E20D7"/>
    <w:rsid w:val="003E2608"/>
    <w:rsid w:val="003E26C1"/>
    <w:rsid w:val="003E3296"/>
    <w:rsid w:val="003E42F1"/>
    <w:rsid w:val="003E4D59"/>
    <w:rsid w:val="003E4E15"/>
    <w:rsid w:val="003E57B7"/>
    <w:rsid w:val="003E60EB"/>
    <w:rsid w:val="003E72F0"/>
    <w:rsid w:val="003E74A6"/>
    <w:rsid w:val="003F03C5"/>
    <w:rsid w:val="003F115A"/>
    <w:rsid w:val="003F1655"/>
    <w:rsid w:val="003F26F8"/>
    <w:rsid w:val="003F2F89"/>
    <w:rsid w:val="003F3560"/>
    <w:rsid w:val="003F3D46"/>
    <w:rsid w:val="003F428B"/>
    <w:rsid w:val="003F4FA0"/>
    <w:rsid w:val="003F531A"/>
    <w:rsid w:val="003F55C0"/>
    <w:rsid w:val="003F59D8"/>
    <w:rsid w:val="003F5B03"/>
    <w:rsid w:val="003F6023"/>
    <w:rsid w:val="003F6D15"/>
    <w:rsid w:val="003F6E2B"/>
    <w:rsid w:val="003F72C3"/>
    <w:rsid w:val="0040017D"/>
    <w:rsid w:val="0040031B"/>
    <w:rsid w:val="00401477"/>
    <w:rsid w:val="00401F2E"/>
    <w:rsid w:val="0040251B"/>
    <w:rsid w:val="00403324"/>
    <w:rsid w:val="004039AF"/>
    <w:rsid w:val="00403EE2"/>
    <w:rsid w:val="00404629"/>
    <w:rsid w:val="0040487B"/>
    <w:rsid w:val="00404B2E"/>
    <w:rsid w:val="00404D13"/>
    <w:rsid w:val="00404D4A"/>
    <w:rsid w:val="00404FB8"/>
    <w:rsid w:val="004058E6"/>
    <w:rsid w:val="004069E4"/>
    <w:rsid w:val="00406AAE"/>
    <w:rsid w:val="00407352"/>
    <w:rsid w:val="00407480"/>
    <w:rsid w:val="004077E5"/>
    <w:rsid w:val="00410E2E"/>
    <w:rsid w:val="00411071"/>
    <w:rsid w:val="00411767"/>
    <w:rsid w:val="004120F3"/>
    <w:rsid w:val="0041220B"/>
    <w:rsid w:val="004124A4"/>
    <w:rsid w:val="00412F18"/>
    <w:rsid w:val="00413494"/>
    <w:rsid w:val="00414607"/>
    <w:rsid w:val="00414E27"/>
    <w:rsid w:val="00415702"/>
    <w:rsid w:val="00415920"/>
    <w:rsid w:val="00415B23"/>
    <w:rsid w:val="004160E1"/>
    <w:rsid w:val="00416D8A"/>
    <w:rsid w:val="00416DB3"/>
    <w:rsid w:val="0041709A"/>
    <w:rsid w:val="00417424"/>
    <w:rsid w:val="0041768E"/>
    <w:rsid w:val="00420828"/>
    <w:rsid w:val="00420920"/>
    <w:rsid w:val="00420A1C"/>
    <w:rsid w:val="00420B25"/>
    <w:rsid w:val="004216D3"/>
    <w:rsid w:val="004218B0"/>
    <w:rsid w:val="00421C7C"/>
    <w:rsid w:val="00422909"/>
    <w:rsid w:val="00423C2D"/>
    <w:rsid w:val="00423F54"/>
    <w:rsid w:val="0042517F"/>
    <w:rsid w:val="00425408"/>
    <w:rsid w:val="0042556B"/>
    <w:rsid w:val="0042583C"/>
    <w:rsid w:val="004258C1"/>
    <w:rsid w:val="0042679D"/>
    <w:rsid w:val="00427236"/>
    <w:rsid w:val="004276F1"/>
    <w:rsid w:val="00427C39"/>
    <w:rsid w:val="00430442"/>
    <w:rsid w:val="004309EE"/>
    <w:rsid w:val="00430D66"/>
    <w:rsid w:val="00430F13"/>
    <w:rsid w:val="004313EC"/>
    <w:rsid w:val="004315F6"/>
    <w:rsid w:val="0043199D"/>
    <w:rsid w:val="004319E2"/>
    <w:rsid w:val="004323B6"/>
    <w:rsid w:val="00432BB4"/>
    <w:rsid w:val="00433539"/>
    <w:rsid w:val="00433721"/>
    <w:rsid w:val="00433777"/>
    <w:rsid w:val="00433996"/>
    <w:rsid w:val="00434003"/>
    <w:rsid w:val="00434D23"/>
    <w:rsid w:val="004355CA"/>
    <w:rsid w:val="004357D3"/>
    <w:rsid w:val="004362D2"/>
    <w:rsid w:val="0043654E"/>
    <w:rsid w:val="0043666A"/>
    <w:rsid w:val="004366EE"/>
    <w:rsid w:val="00436C87"/>
    <w:rsid w:val="00436CB5"/>
    <w:rsid w:val="00436E55"/>
    <w:rsid w:val="00437141"/>
    <w:rsid w:val="004371DB"/>
    <w:rsid w:val="004373CC"/>
    <w:rsid w:val="004403C3"/>
    <w:rsid w:val="00440516"/>
    <w:rsid w:val="0044183D"/>
    <w:rsid w:val="0044222A"/>
    <w:rsid w:val="00442D71"/>
    <w:rsid w:val="00442E74"/>
    <w:rsid w:val="00442FC0"/>
    <w:rsid w:val="004440EA"/>
    <w:rsid w:val="004448A5"/>
    <w:rsid w:val="00444E6D"/>
    <w:rsid w:val="00445183"/>
    <w:rsid w:val="00445B95"/>
    <w:rsid w:val="00445D32"/>
    <w:rsid w:val="0044704E"/>
    <w:rsid w:val="00447366"/>
    <w:rsid w:val="00447DEE"/>
    <w:rsid w:val="004504A7"/>
    <w:rsid w:val="00450521"/>
    <w:rsid w:val="00450729"/>
    <w:rsid w:val="0045114C"/>
    <w:rsid w:val="00451380"/>
    <w:rsid w:val="0045148E"/>
    <w:rsid w:val="00451C3A"/>
    <w:rsid w:val="0045227E"/>
    <w:rsid w:val="00452397"/>
    <w:rsid w:val="00452444"/>
    <w:rsid w:val="00452618"/>
    <w:rsid w:val="004528AC"/>
    <w:rsid w:val="00452B4A"/>
    <w:rsid w:val="00452F8B"/>
    <w:rsid w:val="00453FD3"/>
    <w:rsid w:val="00454882"/>
    <w:rsid w:val="00455B48"/>
    <w:rsid w:val="00455F93"/>
    <w:rsid w:val="004562A4"/>
    <w:rsid w:val="00456993"/>
    <w:rsid w:val="00456D45"/>
    <w:rsid w:val="004571A4"/>
    <w:rsid w:val="00457583"/>
    <w:rsid w:val="00461123"/>
    <w:rsid w:val="00461891"/>
    <w:rsid w:val="00461AF4"/>
    <w:rsid w:val="00461CB5"/>
    <w:rsid w:val="00462386"/>
    <w:rsid w:val="004628B2"/>
    <w:rsid w:val="004636C9"/>
    <w:rsid w:val="00464AD2"/>
    <w:rsid w:val="004653F1"/>
    <w:rsid w:val="004654FD"/>
    <w:rsid w:val="00465B0E"/>
    <w:rsid w:val="00466D62"/>
    <w:rsid w:val="00466EF8"/>
    <w:rsid w:val="00466FC0"/>
    <w:rsid w:val="0046719E"/>
    <w:rsid w:val="00467518"/>
    <w:rsid w:val="004676A3"/>
    <w:rsid w:val="00470134"/>
    <w:rsid w:val="0047148D"/>
    <w:rsid w:val="00471783"/>
    <w:rsid w:val="00471A7C"/>
    <w:rsid w:val="00471E15"/>
    <w:rsid w:val="004729B3"/>
    <w:rsid w:val="00472F1F"/>
    <w:rsid w:val="004732FD"/>
    <w:rsid w:val="004734C1"/>
    <w:rsid w:val="004735CB"/>
    <w:rsid w:val="00474127"/>
    <w:rsid w:val="00475781"/>
    <w:rsid w:val="0047581C"/>
    <w:rsid w:val="00475CC5"/>
    <w:rsid w:val="00475D30"/>
    <w:rsid w:val="00475EC0"/>
    <w:rsid w:val="0047716B"/>
    <w:rsid w:val="004774E5"/>
    <w:rsid w:val="0047752E"/>
    <w:rsid w:val="00477E08"/>
    <w:rsid w:val="00480D71"/>
    <w:rsid w:val="00480DB5"/>
    <w:rsid w:val="004813BB"/>
    <w:rsid w:val="004819DA"/>
    <w:rsid w:val="00482AB0"/>
    <w:rsid w:val="00482D36"/>
    <w:rsid w:val="004833E7"/>
    <w:rsid w:val="00483B3C"/>
    <w:rsid w:val="00484253"/>
    <w:rsid w:val="00484A12"/>
    <w:rsid w:val="0048573E"/>
    <w:rsid w:val="00486020"/>
    <w:rsid w:val="0048689F"/>
    <w:rsid w:val="00486D88"/>
    <w:rsid w:val="00486FF6"/>
    <w:rsid w:val="004875E8"/>
    <w:rsid w:val="00487623"/>
    <w:rsid w:val="0048789D"/>
    <w:rsid w:val="00490EFC"/>
    <w:rsid w:val="00491128"/>
    <w:rsid w:val="00492564"/>
    <w:rsid w:val="00492B2D"/>
    <w:rsid w:val="004936E6"/>
    <w:rsid w:val="00493EA5"/>
    <w:rsid w:val="00494E35"/>
    <w:rsid w:val="004953D2"/>
    <w:rsid w:val="004954A6"/>
    <w:rsid w:val="00496732"/>
    <w:rsid w:val="0049678D"/>
    <w:rsid w:val="00496C72"/>
    <w:rsid w:val="00497210"/>
    <w:rsid w:val="004A0047"/>
    <w:rsid w:val="004A028E"/>
    <w:rsid w:val="004A053C"/>
    <w:rsid w:val="004A1101"/>
    <w:rsid w:val="004A136E"/>
    <w:rsid w:val="004A1593"/>
    <w:rsid w:val="004A1DCA"/>
    <w:rsid w:val="004A21F4"/>
    <w:rsid w:val="004A2E97"/>
    <w:rsid w:val="004A3BEA"/>
    <w:rsid w:val="004A3EF0"/>
    <w:rsid w:val="004A4B68"/>
    <w:rsid w:val="004A4D2D"/>
    <w:rsid w:val="004A4EB2"/>
    <w:rsid w:val="004A5C37"/>
    <w:rsid w:val="004A6040"/>
    <w:rsid w:val="004A78FB"/>
    <w:rsid w:val="004A7D22"/>
    <w:rsid w:val="004A7DB1"/>
    <w:rsid w:val="004A7F9B"/>
    <w:rsid w:val="004B06E9"/>
    <w:rsid w:val="004B09B4"/>
    <w:rsid w:val="004B0CED"/>
    <w:rsid w:val="004B0F2E"/>
    <w:rsid w:val="004B12C9"/>
    <w:rsid w:val="004B153E"/>
    <w:rsid w:val="004B1C40"/>
    <w:rsid w:val="004B1D7A"/>
    <w:rsid w:val="004B24D5"/>
    <w:rsid w:val="004B2615"/>
    <w:rsid w:val="004B31CD"/>
    <w:rsid w:val="004B3808"/>
    <w:rsid w:val="004B458B"/>
    <w:rsid w:val="004B4753"/>
    <w:rsid w:val="004B49BA"/>
    <w:rsid w:val="004B5667"/>
    <w:rsid w:val="004B5B84"/>
    <w:rsid w:val="004B5DEE"/>
    <w:rsid w:val="004B632A"/>
    <w:rsid w:val="004B6419"/>
    <w:rsid w:val="004B6953"/>
    <w:rsid w:val="004B6F01"/>
    <w:rsid w:val="004B70D5"/>
    <w:rsid w:val="004B7C4A"/>
    <w:rsid w:val="004B7DDE"/>
    <w:rsid w:val="004B7DF5"/>
    <w:rsid w:val="004C04A0"/>
    <w:rsid w:val="004C0589"/>
    <w:rsid w:val="004C0790"/>
    <w:rsid w:val="004C0D4A"/>
    <w:rsid w:val="004C0E35"/>
    <w:rsid w:val="004C1797"/>
    <w:rsid w:val="004C1FC5"/>
    <w:rsid w:val="004C25EA"/>
    <w:rsid w:val="004C2A10"/>
    <w:rsid w:val="004C36B6"/>
    <w:rsid w:val="004C3EE1"/>
    <w:rsid w:val="004C4943"/>
    <w:rsid w:val="004C4D08"/>
    <w:rsid w:val="004C5742"/>
    <w:rsid w:val="004C59A7"/>
    <w:rsid w:val="004C5EA7"/>
    <w:rsid w:val="004C63B9"/>
    <w:rsid w:val="004C6D58"/>
    <w:rsid w:val="004C73B9"/>
    <w:rsid w:val="004C73E9"/>
    <w:rsid w:val="004C7827"/>
    <w:rsid w:val="004C7C8D"/>
    <w:rsid w:val="004D05E5"/>
    <w:rsid w:val="004D1742"/>
    <w:rsid w:val="004D1B63"/>
    <w:rsid w:val="004D1DE7"/>
    <w:rsid w:val="004D22D0"/>
    <w:rsid w:val="004D2372"/>
    <w:rsid w:val="004D25F4"/>
    <w:rsid w:val="004D2E85"/>
    <w:rsid w:val="004D350B"/>
    <w:rsid w:val="004D36E4"/>
    <w:rsid w:val="004D4111"/>
    <w:rsid w:val="004D4B73"/>
    <w:rsid w:val="004D4E01"/>
    <w:rsid w:val="004D5346"/>
    <w:rsid w:val="004D5673"/>
    <w:rsid w:val="004D5AC3"/>
    <w:rsid w:val="004D6081"/>
    <w:rsid w:val="004D6088"/>
    <w:rsid w:val="004D6391"/>
    <w:rsid w:val="004D6FFC"/>
    <w:rsid w:val="004D7777"/>
    <w:rsid w:val="004E0014"/>
    <w:rsid w:val="004E09CD"/>
    <w:rsid w:val="004E0E1D"/>
    <w:rsid w:val="004E1002"/>
    <w:rsid w:val="004E195B"/>
    <w:rsid w:val="004E1CD0"/>
    <w:rsid w:val="004E1E0A"/>
    <w:rsid w:val="004E2A2B"/>
    <w:rsid w:val="004E3A07"/>
    <w:rsid w:val="004E3D73"/>
    <w:rsid w:val="004E477C"/>
    <w:rsid w:val="004E492E"/>
    <w:rsid w:val="004E5697"/>
    <w:rsid w:val="004E6C75"/>
    <w:rsid w:val="004E7518"/>
    <w:rsid w:val="004E7A50"/>
    <w:rsid w:val="004E7B08"/>
    <w:rsid w:val="004F07FC"/>
    <w:rsid w:val="004F2254"/>
    <w:rsid w:val="004F4031"/>
    <w:rsid w:val="004F4462"/>
    <w:rsid w:val="004F46BE"/>
    <w:rsid w:val="004F5A92"/>
    <w:rsid w:val="004F5B10"/>
    <w:rsid w:val="004F5BD5"/>
    <w:rsid w:val="004F6BF1"/>
    <w:rsid w:val="004F6C42"/>
    <w:rsid w:val="004F6CC0"/>
    <w:rsid w:val="004F6E13"/>
    <w:rsid w:val="004F719E"/>
    <w:rsid w:val="004F72EE"/>
    <w:rsid w:val="004F7657"/>
    <w:rsid w:val="004F7915"/>
    <w:rsid w:val="00500D07"/>
    <w:rsid w:val="00501B2B"/>
    <w:rsid w:val="00501F55"/>
    <w:rsid w:val="00502197"/>
    <w:rsid w:val="00502D8D"/>
    <w:rsid w:val="00502E4E"/>
    <w:rsid w:val="00502FE5"/>
    <w:rsid w:val="00503AA4"/>
    <w:rsid w:val="00503B45"/>
    <w:rsid w:val="00504487"/>
    <w:rsid w:val="005047A7"/>
    <w:rsid w:val="0050490A"/>
    <w:rsid w:val="005051C8"/>
    <w:rsid w:val="00505552"/>
    <w:rsid w:val="00505E9C"/>
    <w:rsid w:val="005065C0"/>
    <w:rsid w:val="00506AA9"/>
    <w:rsid w:val="00506C73"/>
    <w:rsid w:val="00506D3B"/>
    <w:rsid w:val="00507011"/>
    <w:rsid w:val="005073D5"/>
    <w:rsid w:val="00507DBB"/>
    <w:rsid w:val="00507E7E"/>
    <w:rsid w:val="00507F0B"/>
    <w:rsid w:val="00510DA2"/>
    <w:rsid w:val="00510DD5"/>
    <w:rsid w:val="0051106F"/>
    <w:rsid w:val="00511C90"/>
    <w:rsid w:val="00511EA7"/>
    <w:rsid w:val="005128E1"/>
    <w:rsid w:val="00513715"/>
    <w:rsid w:val="00513B32"/>
    <w:rsid w:val="00513BAD"/>
    <w:rsid w:val="005155A6"/>
    <w:rsid w:val="005156CC"/>
    <w:rsid w:val="0051593C"/>
    <w:rsid w:val="005160FD"/>
    <w:rsid w:val="00516571"/>
    <w:rsid w:val="0051666E"/>
    <w:rsid w:val="00517719"/>
    <w:rsid w:val="00517756"/>
    <w:rsid w:val="00520134"/>
    <w:rsid w:val="00520198"/>
    <w:rsid w:val="005206C6"/>
    <w:rsid w:val="0052070F"/>
    <w:rsid w:val="00520807"/>
    <w:rsid w:val="00521ED0"/>
    <w:rsid w:val="0052221F"/>
    <w:rsid w:val="0052228A"/>
    <w:rsid w:val="0052238A"/>
    <w:rsid w:val="0052262F"/>
    <w:rsid w:val="00522F37"/>
    <w:rsid w:val="00522F6F"/>
    <w:rsid w:val="005231C0"/>
    <w:rsid w:val="00523945"/>
    <w:rsid w:val="00524629"/>
    <w:rsid w:val="00524B41"/>
    <w:rsid w:val="00525943"/>
    <w:rsid w:val="00526420"/>
    <w:rsid w:val="00530186"/>
    <w:rsid w:val="005302CC"/>
    <w:rsid w:val="0053044C"/>
    <w:rsid w:val="0053084C"/>
    <w:rsid w:val="00530C71"/>
    <w:rsid w:val="00531560"/>
    <w:rsid w:val="00531A51"/>
    <w:rsid w:val="00531F1F"/>
    <w:rsid w:val="00532737"/>
    <w:rsid w:val="00532A98"/>
    <w:rsid w:val="00533BEB"/>
    <w:rsid w:val="00533E11"/>
    <w:rsid w:val="00533F58"/>
    <w:rsid w:val="00534088"/>
    <w:rsid w:val="005341D2"/>
    <w:rsid w:val="0053435A"/>
    <w:rsid w:val="0053483C"/>
    <w:rsid w:val="00534DDC"/>
    <w:rsid w:val="00534DE0"/>
    <w:rsid w:val="00534DEC"/>
    <w:rsid w:val="00535084"/>
    <w:rsid w:val="005351E0"/>
    <w:rsid w:val="005357E7"/>
    <w:rsid w:val="00535870"/>
    <w:rsid w:val="00537978"/>
    <w:rsid w:val="00541262"/>
    <w:rsid w:val="00541454"/>
    <w:rsid w:val="00541C45"/>
    <w:rsid w:val="00542E5C"/>
    <w:rsid w:val="00543373"/>
    <w:rsid w:val="00543DAC"/>
    <w:rsid w:val="0054408A"/>
    <w:rsid w:val="00544A00"/>
    <w:rsid w:val="00544F2C"/>
    <w:rsid w:val="005451F6"/>
    <w:rsid w:val="00545635"/>
    <w:rsid w:val="00545A7D"/>
    <w:rsid w:val="00545B34"/>
    <w:rsid w:val="00545F8C"/>
    <w:rsid w:val="005462CC"/>
    <w:rsid w:val="00546329"/>
    <w:rsid w:val="00546A4D"/>
    <w:rsid w:val="00546C84"/>
    <w:rsid w:val="00546EA9"/>
    <w:rsid w:val="0054704F"/>
    <w:rsid w:val="005472CE"/>
    <w:rsid w:val="00547362"/>
    <w:rsid w:val="00547642"/>
    <w:rsid w:val="0054782D"/>
    <w:rsid w:val="00547DBA"/>
    <w:rsid w:val="00550074"/>
    <w:rsid w:val="00550B66"/>
    <w:rsid w:val="005523A3"/>
    <w:rsid w:val="00552A0B"/>
    <w:rsid w:val="00552F0B"/>
    <w:rsid w:val="00553378"/>
    <w:rsid w:val="00553684"/>
    <w:rsid w:val="00553A27"/>
    <w:rsid w:val="00554B59"/>
    <w:rsid w:val="005551AE"/>
    <w:rsid w:val="00555554"/>
    <w:rsid w:val="005556A7"/>
    <w:rsid w:val="00555837"/>
    <w:rsid w:val="0055592D"/>
    <w:rsid w:val="00555E37"/>
    <w:rsid w:val="00556595"/>
    <w:rsid w:val="0055696D"/>
    <w:rsid w:val="00556F1B"/>
    <w:rsid w:val="0055702A"/>
    <w:rsid w:val="00557D14"/>
    <w:rsid w:val="00557E7C"/>
    <w:rsid w:val="00560682"/>
    <w:rsid w:val="00560CC4"/>
    <w:rsid w:val="005615E9"/>
    <w:rsid w:val="00561918"/>
    <w:rsid w:val="00561F0A"/>
    <w:rsid w:val="00562E8E"/>
    <w:rsid w:val="005634B6"/>
    <w:rsid w:val="00563712"/>
    <w:rsid w:val="00564594"/>
    <w:rsid w:val="00564CD8"/>
    <w:rsid w:val="005651A4"/>
    <w:rsid w:val="00565262"/>
    <w:rsid w:val="0056552E"/>
    <w:rsid w:val="00565E16"/>
    <w:rsid w:val="00565FF3"/>
    <w:rsid w:val="005664C9"/>
    <w:rsid w:val="00567076"/>
    <w:rsid w:val="005674FB"/>
    <w:rsid w:val="005700EB"/>
    <w:rsid w:val="00570367"/>
    <w:rsid w:val="0057064E"/>
    <w:rsid w:val="00570658"/>
    <w:rsid w:val="0057074C"/>
    <w:rsid w:val="005711F8"/>
    <w:rsid w:val="00571351"/>
    <w:rsid w:val="005715F5"/>
    <w:rsid w:val="00572794"/>
    <w:rsid w:val="005727AC"/>
    <w:rsid w:val="00573182"/>
    <w:rsid w:val="00573360"/>
    <w:rsid w:val="005737A9"/>
    <w:rsid w:val="00573F59"/>
    <w:rsid w:val="00573F8B"/>
    <w:rsid w:val="005741A4"/>
    <w:rsid w:val="005744EE"/>
    <w:rsid w:val="005747F5"/>
    <w:rsid w:val="00574876"/>
    <w:rsid w:val="00574ED4"/>
    <w:rsid w:val="00575364"/>
    <w:rsid w:val="0057585F"/>
    <w:rsid w:val="0057621A"/>
    <w:rsid w:val="005772CB"/>
    <w:rsid w:val="0057774D"/>
    <w:rsid w:val="00577F62"/>
    <w:rsid w:val="0058090A"/>
    <w:rsid w:val="00580C46"/>
    <w:rsid w:val="00581024"/>
    <w:rsid w:val="00581A93"/>
    <w:rsid w:val="00582D8B"/>
    <w:rsid w:val="0058368F"/>
    <w:rsid w:val="00583EB1"/>
    <w:rsid w:val="00583F1B"/>
    <w:rsid w:val="0058410B"/>
    <w:rsid w:val="005850F5"/>
    <w:rsid w:val="005853D9"/>
    <w:rsid w:val="005857A5"/>
    <w:rsid w:val="00585C86"/>
    <w:rsid w:val="005862C9"/>
    <w:rsid w:val="005865DA"/>
    <w:rsid w:val="0058681B"/>
    <w:rsid w:val="00586B18"/>
    <w:rsid w:val="0058705B"/>
    <w:rsid w:val="005879CE"/>
    <w:rsid w:val="0059059E"/>
    <w:rsid w:val="005905B2"/>
    <w:rsid w:val="00590AD3"/>
    <w:rsid w:val="00590C27"/>
    <w:rsid w:val="00590CE0"/>
    <w:rsid w:val="005918F6"/>
    <w:rsid w:val="00591EF9"/>
    <w:rsid w:val="005923A1"/>
    <w:rsid w:val="005932A7"/>
    <w:rsid w:val="0059347A"/>
    <w:rsid w:val="005935B3"/>
    <w:rsid w:val="005936FE"/>
    <w:rsid w:val="005941B1"/>
    <w:rsid w:val="005946E3"/>
    <w:rsid w:val="005949AB"/>
    <w:rsid w:val="00594B84"/>
    <w:rsid w:val="005951A1"/>
    <w:rsid w:val="00595474"/>
    <w:rsid w:val="005956CC"/>
    <w:rsid w:val="005956FA"/>
    <w:rsid w:val="0059574C"/>
    <w:rsid w:val="00596037"/>
    <w:rsid w:val="00596679"/>
    <w:rsid w:val="00597ABA"/>
    <w:rsid w:val="005A0559"/>
    <w:rsid w:val="005A0DB5"/>
    <w:rsid w:val="005A0EE0"/>
    <w:rsid w:val="005A1A7D"/>
    <w:rsid w:val="005A1AA1"/>
    <w:rsid w:val="005A1EAE"/>
    <w:rsid w:val="005A2243"/>
    <w:rsid w:val="005A2480"/>
    <w:rsid w:val="005A2C0F"/>
    <w:rsid w:val="005A319E"/>
    <w:rsid w:val="005A3662"/>
    <w:rsid w:val="005A4855"/>
    <w:rsid w:val="005A4900"/>
    <w:rsid w:val="005A4A8C"/>
    <w:rsid w:val="005A5685"/>
    <w:rsid w:val="005A58FE"/>
    <w:rsid w:val="005A5F80"/>
    <w:rsid w:val="005A5FE6"/>
    <w:rsid w:val="005A66BE"/>
    <w:rsid w:val="005A73F4"/>
    <w:rsid w:val="005B00BE"/>
    <w:rsid w:val="005B09A9"/>
    <w:rsid w:val="005B1427"/>
    <w:rsid w:val="005B216B"/>
    <w:rsid w:val="005B2291"/>
    <w:rsid w:val="005B2DBC"/>
    <w:rsid w:val="005B3427"/>
    <w:rsid w:val="005B38E5"/>
    <w:rsid w:val="005B3EEB"/>
    <w:rsid w:val="005B45D4"/>
    <w:rsid w:val="005B4D1C"/>
    <w:rsid w:val="005B5150"/>
    <w:rsid w:val="005B54E7"/>
    <w:rsid w:val="005B5862"/>
    <w:rsid w:val="005B5A29"/>
    <w:rsid w:val="005B611D"/>
    <w:rsid w:val="005B66D7"/>
    <w:rsid w:val="005B7215"/>
    <w:rsid w:val="005B7462"/>
    <w:rsid w:val="005B7C4A"/>
    <w:rsid w:val="005B7CF4"/>
    <w:rsid w:val="005C0494"/>
    <w:rsid w:val="005C0BD7"/>
    <w:rsid w:val="005C0DD7"/>
    <w:rsid w:val="005C1682"/>
    <w:rsid w:val="005C2073"/>
    <w:rsid w:val="005C302A"/>
    <w:rsid w:val="005C373C"/>
    <w:rsid w:val="005C3B25"/>
    <w:rsid w:val="005C3D2D"/>
    <w:rsid w:val="005C53DE"/>
    <w:rsid w:val="005C64C5"/>
    <w:rsid w:val="005C7C22"/>
    <w:rsid w:val="005C7D02"/>
    <w:rsid w:val="005D01ED"/>
    <w:rsid w:val="005D0A11"/>
    <w:rsid w:val="005D0EE5"/>
    <w:rsid w:val="005D0F1D"/>
    <w:rsid w:val="005D141C"/>
    <w:rsid w:val="005D1911"/>
    <w:rsid w:val="005D3501"/>
    <w:rsid w:val="005D3515"/>
    <w:rsid w:val="005D38BE"/>
    <w:rsid w:val="005D3B39"/>
    <w:rsid w:val="005D3C14"/>
    <w:rsid w:val="005D3C1E"/>
    <w:rsid w:val="005D4252"/>
    <w:rsid w:val="005D54A9"/>
    <w:rsid w:val="005D7E7D"/>
    <w:rsid w:val="005E02EC"/>
    <w:rsid w:val="005E038D"/>
    <w:rsid w:val="005E060A"/>
    <w:rsid w:val="005E0784"/>
    <w:rsid w:val="005E0972"/>
    <w:rsid w:val="005E1107"/>
    <w:rsid w:val="005E140C"/>
    <w:rsid w:val="005E1D3B"/>
    <w:rsid w:val="005E23EE"/>
    <w:rsid w:val="005E2724"/>
    <w:rsid w:val="005E3080"/>
    <w:rsid w:val="005E367C"/>
    <w:rsid w:val="005E4E34"/>
    <w:rsid w:val="005E50FC"/>
    <w:rsid w:val="005E526C"/>
    <w:rsid w:val="005E589F"/>
    <w:rsid w:val="005E5AFD"/>
    <w:rsid w:val="005E5F26"/>
    <w:rsid w:val="005E5F53"/>
    <w:rsid w:val="005E64E3"/>
    <w:rsid w:val="005E6B9C"/>
    <w:rsid w:val="005E7145"/>
    <w:rsid w:val="005E7668"/>
    <w:rsid w:val="005E7B57"/>
    <w:rsid w:val="005E7D04"/>
    <w:rsid w:val="005F02E7"/>
    <w:rsid w:val="005F1C25"/>
    <w:rsid w:val="005F1C51"/>
    <w:rsid w:val="005F29EC"/>
    <w:rsid w:val="005F2C07"/>
    <w:rsid w:val="005F3731"/>
    <w:rsid w:val="005F3E05"/>
    <w:rsid w:val="005F486D"/>
    <w:rsid w:val="005F53EE"/>
    <w:rsid w:val="005F57C7"/>
    <w:rsid w:val="005F7029"/>
    <w:rsid w:val="005F7D0C"/>
    <w:rsid w:val="0060097B"/>
    <w:rsid w:val="00600CFA"/>
    <w:rsid w:val="0060178E"/>
    <w:rsid w:val="006026D2"/>
    <w:rsid w:val="00602759"/>
    <w:rsid w:val="00602B2F"/>
    <w:rsid w:val="00603606"/>
    <w:rsid w:val="0060382F"/>
    <w:rsid w:val="00603BEF"/>
    <w:rsid w:val="006045C1"/>
    <w:rsid w:val="00605992"/>
    <w:rsid w:val="006061A6"/>
    <w:rsid w:val="00606BAA"/>
    <w:rsid w:val="006075DB"/>
    <w:rsid w:val="0060772A"/>
    <w:rsid w:val="006079B2"/>
    <w:rsid w:val="00607B0D"/>
    <w:rsid w:val="00607B36"/>
    <w:rsid w:val="00610637"/>
    <w:rsid w:val="00610812"/>
    <w:rsid w:val="00611165"/>
    <w:rsid w:val="006116A5"/>
    <w:rsid w:val="00611E67"/>
    <w:rsid w:val="006120B9"/>
    <w:rsid w:val="006122AF"/>
    <w:rsid w:val="00612B9B"/>
    <w:rsid w:val="00612C9C"/>
    <w:rsid w:val="006133FD"/>
    <w:rsid w:val="00613517"/>
    <w:rsid w:val="00613A7A"/>
    <w:rsid w:val="0061407D"/>
    <w:rsid w:val="006144CC"/>
    <w:rsid w:val="006150A7"/>
    <w:rsid w:val="006159E6"/>
    <w:rsid w:val="00615B42"/>
    <w:rsid w:val="00615BE1"/>
    <w:rsid w:val="006163C9"/>
    <w:rsid w:val="0061668F"/>
    <w:rsid w:val="00617627"/>
    <w:rsid w:val="006179E3"/>
    <w:rsid w:val="00617FA3"/>
    <w:rsid w:val="00620293"/>
    <w:rsid w:val="0062043E"/>
    <w:rsid w:val="006207CB"/>
    <w:rsid w:val="0062097B"/>
    <w:rsid w:val="00620FD6"/>
    <w:rsid w:val="00621349"/>
    <w:rsid w:val="00621943"/>
    <w:rsid w:val="00622688"/>
    <w:rsid w:val="006227B9"/>
    <w:rsid w:val="0062288B"/>
    <w:rsid w:val="00622BCB"/>
    <w:rsid w:val="006240C5"/>
    <w:rsid w:val="006245D1"/>
    <w:rsid w:val="00624F1A"/>
    <w:rsid w:val="0062500F"/>
    <w:rsid w:val="00625570"/>
    <w:rsid w:val="006255F0"/>
    <w:rsid w:val="00625866"/>
    <w:rsid w:val="00625D33"/>
    <w:rsid w:val="006265BE"/>
    <w:rsid w:val="006305D5"/>
    <w:rsid w:val="006313CD"/>
    <w:rsid w:val="00631C66"/>
    <w:rsid w:val="006320E0"/>
    <w:rsid w:val="00632AA7"/>
    <w:rsid w:val="0063517D"/>
    <w:rsid w:val="00635D18"/>
    <w:rsid w:val="00635EA6"/>
    <w:rsid w:val="0063616A"/>
    <w:rsid w:val="00637584"/>
    <w:rsid w:val="00637CE4"/>
    <w:rsid w:val="00640789"/>
    <w:rsid w:val="00641054"/>
    <w:rsid w:val="006410A6"/>
    <w:rsid w:val="0064135C"/>
    <w:rsid w:val="00642FA3"/>
    <w:rsid w:val="00643D0D"/>
    <w:rsid w:val="00644591"/>
    <w:rsid w:val="00644F4E"/>
    <w:rsid w:val="00645236"/>
    <w:rsid w:val="0064523C"/>
    <w:rsid w:val="0064576D"/>
    <w:rsid w:val="00645A08"/>
    <w:rsid w:val="00645CB5"/>
    <w:rsid w:val="00645FC1"/>
    <w:rsid w:val="00646245"/>
    <w:rsid w:val="0064642D"/>
    <w:rsid w:val="00646B18"/>
    <w:rsid w:val="00646E59"/>
    <w:rsid w:val="00647133"/>
    <w:rsid w:val="00647268"/>
    <w:rsid w:val="006475BD"/>
    <w:rsid w:val="00647A24"/>
    <w:rsid w:val="00650111"/>
    <w:rsid w:val="00650991"/>
    <w:rsid w:val="00651EA2"/>
    <w:rsid w:val="006525CD"/>
    <w:rsid w:val="00652728"/>
    <w:rsid w:val="006531D9"/>
    <w:rsid w:val="00653D6B"/>
    <w:rsid w:val="00654007"/>
    <w:rsid w:val="0065419E"/>
    <w:rsid w:val="006548DF"/>
    <w:rsid w:val="00654970"/>
    <w:rsid w:val="00655020"/>
    <w:rsid w:val="0065698C"/>
    <w:rsid w:val="00656C27"/>
    <w:rsid w:val="006572DA"/>
    <w:rsid w:val="00657307"/>
    <w:rsid w:val="00657AD7"/>
    <w:rsid w:val="00657C88"/>
    <w:rsid w:val="0066074D"/>
    <w:rsid w:val="00661C0A"/>
    <w:rsid w:val="00662542"/>
    <w:rsid w:val="006625EF"/>
    <w:rsid w:val="00662CBA"/>
    <w:rsid w:val="006630FF"/>
    <w:rsid w:val="00663363"/>
    <w:rsid w:val="00663A49"/>
    <w:rsid w:val="006645F3"/>
    <w:rsid w:val="00664C11"/>
    <w:rsid w:val="00666F82"/>
    <w:rsid w:val="006671FA"/>
    <w:rsid w:val="0066778F"/>
    <w:rsid w:val="006708F4"/>
    <w:rsid w:val="00670C4C"/>
    <w:rsid w:val="00670E07"/>
    <w:rsid w:val="00671800"/>
    <w:rsid w:val="00671838"/>
    <w:rsid w:val="00671DBD"/>
    <w:rsid w:val="00672128"/>
    <w:rsid w:val="00673C45"/>
    <w:rsid w:val="00673C6B"/>
    <w:rsid w:val="0067463C"/>
    <w:rsid w:val="00675A10"/>
    <w:rsid w:val="00675D23"/>
    <w:rsid w:val="00675DC0"/>
    <w:rsid w:val="00675E17"/>
    <w:rsid w:val="006763DD"/>
    <w:rsid w:val="00676CF2"/>
    <w:rsid w:val="00676E1B"/>
    <w:rsid w:val="00676F23"/>
    <w:rsid w:val="006775A1"/>
    <w:rsid w:val="006776AD"/>
    <w:rsid w:val="006776E6"/>
    <w:rsid w:val="006778E8"/>
    <w:rsid w:val="00680A5E"/>
    <w:rsid w:val="00681BC9"/>
    <w:rsid w:val="00681C7D"/>
    <w:rsid w:val="006837D0"/>
    <w:rsid w:val="006839A4"/>
    <w:rsid w:val="0068439C"/>
    <w:rsid w:val="00684BFB"/>
    <w:rsid w:val="006850AB"/>
    <w:rsid w:val="00685305"/>
    <w:rsid w:val="006870BD"/>
    <w:rsid w:val="006871EC"/>
    <w:rsid w:val="00690A84"/>
    <w:rsid w:val="00690DB1"/>
    <w:rsid w:val="006917A6"/>
    <w:rsid w:val="00692A4A"/>
    <w:rsid w:val="00692C5A"/>
    <w:rsid w:val="00692EA8"/>
    <w:rsid w:val="0069382A"/>
    <w:rsid w:val="00693B09"/>
    <w:rsid w:val="0069440A"/>
    <w:rsid w:val="00694421"/>
    <w:rsid w:val="00695C47"/>
    <w:rsid w:val="00696019"/>
    <w:rsid w:val="00696500"/>
    <w:rsid w:val="006972C6"/>
    <w:rsid w:val="00697313"/>
    <w:rsid w:val="00697CF0"/>
    <w:rsid w:val="00697D44"/>
    <w:rsid w:val="006A0322"/>
    <w:rsid w:val="006A064E"/>
    <w:rsid w:val="006A0CDB"/>
    <w:rsid w:val="006A227A"/>
    <w:rsid w:val="006A25C1"/>
    <w:rsid w:val="006A2A64"/>
    <w:rsid w:val="006A38F0"/>
    <w:rsid w:val="006A3CCE"/>
    <w:rsid w:val="006A465D"/>
    <w:rsid w:val="006A4896"/>
    <w:rsid w:val="006A4DA4"/>
    <w:rsid w:val="006A4EC2"/>
    <w:rsid w:val="006A5295"/>
    <w:rsid w:val="006A6778"/>
    <w:rsid w:val="006A6B89"/>
    <w:rsid w:val="006A746F"/>
    <w:rsid w:val="006A76A8"/>
    <w:rsid w:val="006B034A"/>
    <w:rsid w:val="006B08DF"/>
    <w:rsid w:val="006B14F9"/>
    <w:rsid w:val="006B1BF3"/>
    <w:rsid w:val="006B2503"/>
    <w:rsid w:val="006B28FC"/>
    <w:rsid w:val="006B31B7"/>
    <w:rsid w:val="006B4480"/>
    <w:rsid w:val="006B462F"/>
    <w:rsid w:val="006B466A"/>
    <w:rsid w:val="006B46C3"/>
    <w:rsid w:val="006B47C7"/>
    <w:rsid w:val="006B4D52"/>
    <w:rsid w:val="006B4D7C"/>
    <w:rsid w:val="006B5F87"/>
    <w:rsid w:val="006B65CA"/>
    <w:rsid w:val="006B7E07"/>
    <w:rsid w:val="006B7E72"/>
    <w:rsid w:val="006C00A1"/>
    <w:rsid w:val="006C061F"/>
    <w:rsid w:val="006C06CD"/>
    <w:rsid w:val="006C096C"/>
    <w:rsid w:val="006C0B65"/>
    <w:rsid w:val="006C262D"/>
    <w:rsid w:val="006C31C5"/>
    <w:rsid w:val="006C320A"/>
    <w:rsid w:val="006C3E7B"/>
    <w:rsid w:val="006C401B"/>
    <w:rsid w:val="006C446A"/>
    <w:rsid w:val="006C456F"/>
    <w:rsid w:val="006C523D"/>
    <w:rsid w:val="006C601E"/>
    <w:rsid w:val="006C60B6"/>
    <w:rsid w:val="006C660D"/>
    <w:rsid w:val="006C6DD4"/>
    <w:rsid w:val="006C6E54"/>
    <w:rsid w:val="006C6EA6"/>
    <w:rsid w:val="006C7651"/>
    <w:rsid w:val="006C783F"/>
    <w:rsid w:val="006D06CE"/>
    <w:rsid w:val="006D1095"/>
    <w:rsid w:val="006D10E0"/>
    <w:rsid w:val="006D1A56"/>
    <w:rsid w:val="006D2507"/>
    <w:rsid w:val="006D2DC2"/>
    <w:rsid w:val="006D3A14"/>
    <w:rsid w:val="006D4655"/>
    <w:rsid w:val="006D5CF7"/>
    <w:rsid w:val="006D6130"/>
    <w:rsid w:val="006D61F0"/>
    <w:rsid w:val="006D7335"/>
    <w:rsid w:val="006E0623"/>
    <w:rsid w:val="006E0912"/>
    <w:rsid w:val="006E0C23"/>
    <w:rsid w:val="006E0D9A"/>
    <w:rsid w:val="006E2C10"/>
    <w:rsid w:val="006E3A13"/>
    <w:rsid w:val="006E3FE0"/>
    <w:rsid w:val="006E4005"/>
    <w:rsid w:val="006E50BC"/>
    <w:rsid w:val="006E5B45"/>
    <w:rsid w:val="006E60AE"/>
    <w:rsid w:val="006E641F"/>
    <w:rsid w:val="006E6488"/>
    <w:rsid w:val="006E6E06"/>
    <w:rsid w:val="006F029A"/>
    <w:rsid w:val="006F0752"/>
    <w:rsid w:val="006F099E"/>
    <w:rsid w:val="006F0DC8"/>
    <w:rsid w:val="006F0FA3"/>
    <w:rsid w:val="006F115A"/>
    <w:rsid w:val="006F191F"/>
    <w:rsid w:val="006F1DD4"/>
    <w:rsid w:val="006F21AA"/>
    <w:rsid w:val="006F2452"/>
    <w:rsid w:val="006F2B0B"/>
    <w:rsid w:val="006F3439"/>
    <w:rsid w:val="006F3ABE"/>
    <w:rsid w:val="006F498F"/>
    <w:rsid w:val="006F6051"/>
    <w:rsid w:val="006F6529"/>
    <w:rsid w:val="006F6AF2"/>
    <w:rsid w:val="006F6E2B"/>
    <w:rsid w:val="006F6FE1"/>
    <w:rsid w:val="006F70CD"/>
    <w:rsid w:val="006F70E0"/>
    <w:rsid w:val="00701E28"/>
    <w:rsid w:val="00702246"/>
    <w:rsid w:val="0070233B"/>
    <w:rsid w:val="007032BF"/>
    <w:rsid w:val="007044D5"/>
    <w:rsid w:val="007051FB"/>
    <w:rsid w:val="00705260"/>
    <w:rsid w:val="007052EF"/>
    <w:rsid w:val="00705D02"/>
    <w:rsid w:val="00705FFE"/>
    <w:rsid w:val="007074D4"/>
    <w:rsid w:val="00707EF6"/>
    <w:rsid w:val="00710670"/>
    <w:rsid w:val="007106F1"/>
    <w:rsid w:val="007107D2"/>
    <w:rsid w:val="00710EE5"/>
    <w:rsid w:val="00711CB2"/>
    <w:rsid w:val="007130E1"/>
    <w:rsid w:val="007135BD"/>
    <w:rsid w:val="00713678"/>
    <w:rsid w:val="00713B93"/>
    <w:rsid w:val="00713C38"/>
    <w:rsid w:val="00714144"/>
    <w:rsid w:val="00714873"/>
    <w:rsid w:val="007154AC"/>
    <w:rsid w:val="00715699"/>
    <w:rsid w:val="0071632C"/>
    <w:rsid w:val="00716682"/>
    <w:rsid w:val="0071795D"/>
    <w:rsid w:val="00720837"/>
    <w:rsid w:val="00720FB1"/>
    <w:rsid w:val="007216BC"/>
    <w:rsid w:val="00721966"/>
    <w:rsid w:val="007226A9"/>
    <w:rsid w:val="007230E4"/>
    <w:rsid w:val="00723697"/>
    <w:rsid w:val="007239F2"/>
    <w:rsid w:val="00724E7E"/>
    <w:rsid w:val="0072522D"/>
    <w:rsid w:val="00725600"/>
    <w:rsid w:val="0072649B"/>
    <w:rsid w:val="00727B79"/>
    <w:rsid w:val="0073041B"/>
    <w:rsid w:val="00730563"/>
    <w:rsid w:val="007326A7"/>
    <w:rsid w:val="00732702"/>
    <w:rsid w:val="00732F64"/>
    <w:rsid w:val="007335AF"/>
    <w:rsid w:val="00733ED9"/>
    <w:rsid w:val="00733EF2"/>
    <w:rsid w:val="00733F81"/>
    <w:rsid w:val="0073408B"/>
    <w:rsid w:val="007342B6"/>
    <w:rsid w:val="007342E2"/>
    <w:rsid w:val="00734D7D"/>
    <w:rsid w:val="007354B4"/>
    <w:rsid w:val="00736B71"/>
    <w:rsid w:val="0073710D"/>
    <w:rsid w:val="007376D1"/>
    <w:rsid w:val="00737998"/>
    <w:rsid w:val="00740598"/>
    <w:rsid w:val="007410B4"/>
    <w:rsid w:val="007424BB"/>
    <w:rsid w:val="00742D12"/>
    <w:rsid w:val="00742E67"/>
    <w:rsid w:val="00743F5B"/>
    <w:rsid w:val="0074455E"/>
    <w:rsid w:val="00744E7F"/>
    <w:rsid w:val="00744F0E"/>
    <w:rsid w:val="00745170"/>
    <w:rsid w:val="007451D2"/>
    <w:rsid w:val="007463DF"/>
    <w:rsid w:val="00746552"/>
    <w:rsid w:val="007474D9"/>
    <w:rsid w:val="007501E3"/>
    <w:rsid w:val="0075027F"/>
    <w:rsid w:val="007505A2"/>
    <w:rsid w:val="007506A7"/>
    <w:rsid w:val="00750D06"/>
    <w:rsid w:val="00751455"/>
    <w:rsid w:val="0075180F"/>
    <w:rsid w:val="007527FF"/>
    <w:rsid w:val="007528A2"/>
    <w:rsid w:val="00752A81"/>
    <w:rsid w:val="00753667"/>
    <w:rsid w:val="00753BDC"/>
    <w:rsid w:val="0075424D"/>
    <w:rsid w:val="007543D3"/>
    <w:rsid w:val="00754ADD"/>
    <w:rsid w:val="00755DE5"/>
    <w:rsid w:val="00756814"/>
    <w:rsid w:val="00756BAE"/>
    <w:rsid w:val="00756D35"/>
    <w:rsid w:val="00756E09"/>
    <w:rsid w:val="00757232"/>
    <w:rsid w:val="0075736E"/>
    <w:rsid w:val="00757AD1"/>
    <w:rsid w:val="00757FF6"/>
    <w:rsid w:val="0076020B"/>
    <w:rsid w:val="0076078E"/>
    <w:rsid w:val="00760FF7"/>
    <w:rsid w:val="00761810"/>
    <w:rsid w:val="00761F68"/>
    <w:rsid w:val="00762894"/>
    <w:rsid w:val="00762E63"/>
    <w:rsid w:val="00762F82"/>
    <w:rsid w:val="007641FC"/>
    <w:rsid w:val="0076446C"/>
    <w:rsid w:val="00764BA8"/>
    <w:rsid w:val="00765185"/>
    <w:rsid w:val="007652FA"/>
    <w:rsid w:val="00765BE7"/>
    <w:rsid w:val="00766055"/>
    <w:rsid w:val="00767934"/>
    <w:rsid w:val="00767D26"/>
    <w:rsid w:val="00771360"/>
    <w:rsid w:val="00771607"/>
    <w:rsid w:val="00771B37"/>
    <w:rsid w:val="00771B7A"/>
    <w:rsid w:val="00771D95"/>
    <w:rsid w:val="00772958"/>
    <w:rsid w:val="00773046"/>
    <w:rsid w:val="00773440"/>
    <w:rsid w:val="0077373D"/>
    <w:rsid w:val="00774805"/>
    <w:rsid w:val="00774E2F"/>
    <w:rsid w:val="00775F2D"/>
    <w:rsid w:val="00777C78"/>
    <w:rsid w:val="00780375"/>
    <w:rsid w:val="0078072F"/>
    <w:rsid w:val="00780AE8"/>
    <w:rsid w:val="0078128C"/>
    <w:rsid w:val="00781CA0"/>
    <w:rsid w:val="00781D82"/>
    <w:rsid w:val="007826DB"/>
    <w:rsid w:val="00782C05"/>
    <w:rsid w:val="00782C24"/>
    <w:rsid w:val="00782D6B"/>
    <w:rsid w:val="00783057"/>
    <w:rsid w:val="007832FE"/>
    <w:rsid w:val="00783C84"/>
    <w:rsid w:val="00784233"/>
    <w:rsid w:val="007852F0"/>
    <w:rsid w:val="007857D7"/>
    <w:rsid w:val="00786762"/>
    <w:rsid w:val="00786B32"/>
    <w:rsid w:val="007877F2"/>
    <w:rsid w:val="00787A29"/>
    <w:rsid w:val="00790301"/>
    <w:rsid w:val="0079031B"/>
    <w:rsid w:val="0079067B"/>
    <w:rsid w:val="007906AB"/>
    <w:rsid w:val="00790ABE"/>
    <w:rsid w:val="00791072"/>
    <w:rsid w:val="00791496"/>
    <w:rsid w:val="00791BB2"/>
    <w:rsid w:val="0079250C"/>
    <w:rsid w:val="007945AF"/>
    <w:rsid w:val="00794BE8"/>
    <w:rsid w:val="00795B32"/>
    <w:rsid w:val="00795F0E"/>
    <w:rsid w:val="00796556"/>
    <w:rsid w:val="00796A82"/>
    <w:rsid w:val="00796B7A"/>
    <w:rsid w:val="007970A7"/>
    <w:rsid w:val="00797506"/>
    <w:rsid w:val="007979B7"/>
    <w:rsid w:val="00797DAD"/>
    <w:rsid w:val="007A083C"/>
    <w:rsid w:val="007A1173"/>
    <w:rsid w:val="007A15D3"/>
    <w:rsid w:val="007A17F8"/>
    <w:rsid w:val="007A2200"/>
    <w:rsid w:val="007A2B32"/>
    <w:rsid w:val="007A318F"/>
    <w:rsid w:val="007A3687"/>
    <w:rsid w:val="007A4092"/>
    <w:rsid w:val="007A52A8"/>
    <w:rsid w:val="007A538C"/>
    <w:rsid w:val="007A5426"/>
    <w:rsid w:val="007A551D"/>
    <w:rsid w:val="007A557F"/>
    <w:rsid w:val="007A601A"/>
    <w:rsid w:val="007B0095"/>
    <w:rsid w:val="007B00C8"/>
    <w:rsid w:val="007B0C5E"/>
    <w:rsid w:val="007B170E"/>
    <w:rsid w:val="007B194E"/>
    <w:rsid w:val="007B1BDA"/>
    <w:rsid w:val="007B2220"/>
    <w:rsid w:val="007B3A93"/>
    <w:rsid w:val="007B4AA4"/>
    <w:rsid w:val="007B4DF0"/>
    <w:rsid w:val="007B4F4A"/>
    <w:rsid w:val="007B75BB"/>
    <w:rsid w:val="007B7CBE"/>
    <w:rsid w:val="007B7D66"/>
    <w:rsid w:val="007C03A0"/>
    <w:rsid w:val="007C11F7"/>
    <w:rsid w:val="007C1E1B"/>
    <w:rsid w:val="007C21B4"/>
    <w:rsid w:val="007C2229"/>
    <w:rsid w:val="007C2675"/>
    <w:rsid w:val="007C3125"/>
    <w:rsid w:val="007C35B8"/>
    <w:rsid w:val="007C48BD"/>
    <w:rsid w:val="007C4B79"/>
    <w:rsid w:val="007C6419"/>
    <w:rsid w:val="007C66C5"/>
    <w:rsid w:val="007C67E8"/>
    <w:rsid w:val="007C72DB"/>
    <w:rsid w:val="007C791B"/>
    <w:rsid w:val="007C7971"/>
    <w:rsid w:val="007C7FD8"/>
    <w:rsid w:val="007D028F"/>
    <w:rsid w:val="007D038F"/>
    <w:rsid w:val="007D122F"/>
    <w:rsid w:val="007D1E1B"/>
    <w:rsid w:val="007D2CC5"/>
    <w:rsid w:val="007D42F8"/>
    <w:rsid w:val="007D459E"/>
    <w:rsid w:val="007D4AAE"/>
    <w:rsid w:val="007D4DE4"/>
    <w:rsid w:val="007D55A4"/>
    <w:rsid w:val="007D58A2"/>
    <w:rsid w:val="007D6D00"/>
    <w:rsid w:val="007E089C"/>
    <w:rsid w:val="007E0F4B"/>
    <w:rsid w:val="007E12C3"/>
    <w:rsid w:val="007E1767"/>
    <w:rsid w:val="007E1821"/>
    <w:rsid w:val="007E2052"/>
    <w:rsid w:val="007E22D0"/>
    <w:rsid w:val="007E2908"/>
    <w:rsid w:val="007E2AB0"/>
    <w:rsid w:val="007E2C7F"/>
    <w:rsid w:val="007E4015"/>
    <w:rsid w:val="007E4154"/>
    <w:rsid w:val="007E5121"/>
    <w:rsid w:val="007E543E"/>
    <w:rsid w:val="007E61E5"/>
    <w:rsid w:val="007E6621"/>
    <w:rsid w:val="007E681D"/>
    <w:rsid w:val="007E699B"/>
    <w:rsid w:val="007E6B03"/>
    <w:rsid w:val="007E7208"/>
    <w:rsid w:val="007E7723"/>
    <w:rsid w:val="007E778C"/>
    <w:rsid w:val="007E7F40"/>
    <w:rsid w:val="007F0775"/>
    <w:rsid w:val="007F0FB8"/>
    <w:rsid w:val="007F1339"/>
    <w:rsid w:val="007F196F"/>
    <w:rsid w:val="007F1A52"/>
    <w:rsid w:val="007F2047"/>
    <w:rsid w:val="007F2100"/>
    <w:rsid w:val="007F260F"/>
    <w:rsid w:val="007F26BB"/>
    <w:rsid w:val="007F2B62"/>
    <w:rsid w:val="007F317C"/>
    <w:rsid w:val="007F3433"/>
    <w:rsid w:val="007F3488"/>
    <w:rsid w:val="007F365D"/>
    <w:rsid w:val="007F40B7"/>
    <w:rsid w:val="007F4586"/>
    <w:rsid w:val="007F4DF7"/>
    <w:rsid w:val="007F5387"/>
    <w:rsid w:val="007F5B7E"/>
    <w:rsid w:val="007F6B8F"/>
    <w:rsid w:val="007F6E80"/>
    <w:rsid w:val="00801220"/>
    <w:rsid w:val="00801D83"/>
    <w:rsid w:val="00801E5A"/>
    <w:rsid w:val="00802164"/>
    <w:rsid w:val="008022AC"/>
    <w:rsid w:val="008032A9"/>
    <w:rsid w:val="00803304"/>
    <w:rsid w:val="008047E4"/>
    <w:rsid w:val="008049FD"/>
    <w:rsid w:val="00805DBD"/>
    <w:rsid w:val="00807AB5"/>
    <w:rsid w:val="00811936"/>
    <w:rsid w:val="00811BB9"/>
    <w:rsid w:val="008120B2"/>
    <w:rsid w:val="008127C9"/>
    <w:rsid w:val="00812A5E"/>
    <w:rsid w:val="00813AB1"/>
    <w:rsid w:val="00814337"/>
    <w:rsid w:val="008143D8"/>
    <w:rsid w:val="0081468C"/>
    <w:rsid w:val="008146C1"/>
    <w:rsid w:val="00814C6B"/>
    <w:rsid w:val="00814F74"/>
    <w:rsid w:val="00815A69"/>
    <w:rsid w:val="00815B96"/>
    <w:rsid w:val="00815BA0"/>
    <w:rsid w:val="00816ADF"/>
    <w:rsid w:val="00816C64"/>
    <w:rsid w:val="008177BD"/>
    <w:rsid w:val="00820442"/>
    <w:rsid w:val="00820678"/>
    <w:rsid w:val="008220AA"/>
    <w:rsid w:val="00822229"/>
    <w:rsid w:val="00822F4B"/>
    <w:rsid w:val="008234DC"/>
    <w:rsid w:val="00823FC1"/>
    <w:rsid w:val="0082400C"/>
    <w:rsid w:val="0082414F"/>
    <w:rsid w:val="00824425"/>
    <w:rsid w:val="00824AA0"/>
    <w:rsid w:val="008250D3"/>
    <w:rsid w:val="00825563"/>
    <w:rsid w:val="00825946"/>
    <w:rsid w:val="00825AD8"/>
    <w:rsid w:val="0082602D"/>
    <w:rsid w:val="0082696E"/>
    <w:rsid w:val="00826E40"/>
    <w:rsid w:val="00827113"/>
    <w:rsid w:val="00827709"/>
    <w:rsid w:val="008279A6"/>
    <w:rsid w:val="008314C2"/>
    <w:rsid w:val="00831CA4"/>
    <w:rsid w:val="00832214"/>
    <w:rsid w:val="00832864"/>
    <w:rsid w:val="00833391"/>
    <w:rsid w:val="008335F4"/>
    <w:rsid w:val="00833C0F"/>
    <w:rsid w:val="0083424C"/>
    <w:rsid w:val="0083462B"/>
    <w:rsid w:val="008347B2"/>
    <w:rsid w:val="008347E8"/>
    <w:rsid w:val="008357A5"/>
    <w:rsid w:val="008357C0"/>
    <w:rsid w:val="00835E63"/>
    <w:rsid w:val="008360C6"/>
    <w:rsid w:val="00836AF9"/>
    <w:rsid w:val="0083717C"/>
    <w:rsid w:val="00837A97"/>
    <w:rsid w:val="00837CE2"/>
    <w:rsid w:val="0084033E"/>
    <w:rsid w:val="00840A09"/>
    <w:rsid w:val="00840A26"/>
    <w:rsid w:val="00840B86"/>
    <w:rsid w:val="00840EC7"/>
    <w:rsid w:val="00840FE2"/>
    <w:rsid w:val="00841109"/>
    <w:rsid w:val="0084152B"/>
    <w:rsid w:val="0084165E"/>
    <w:rsid w:val="008419BE"/>
    <w:rsid w:val="008420C7"/>
    <w:rsid w:val="00842904"/>
    <w:rsid w:val="00843D48"/>
    <w:rsid w:val="00843E7F"/>
    <w:rsid w:val="0084451C"/>
    <w:rsid w:val="008457F8"/>
    <w:rsid w:val="00845ED5"/>
    <w:rsid w:val="008467BC"/>
    <w:rsid w:val="00846A14"/>
    <w:rsid w:val="00847101"/>
    <w:rsid w:val="00847C52"/>
    <w:rsid w:val="008500FE"/>
    <w:rsid w:val="0085058F"/>
    <w:rsid w:val="00850B0C"/>
    <w:rsid w:val="00850CB5"/>
    <w:rsid w:val="00851900"/>
    <w:rsid w:val="00851B54"/>
    <w:rsid w:val="00852B0F"/>
    <w:rsid w:val="00853217"/>
    <w:rsid w:val="00853372"/>
    <w:rsid w:val="00853AFB"/>
    <w:rsid w:val="00853D25"/>
    <w:rsid w:val="00853EE7"/>
    <w:rsid w:val="00854197"/>
    <w:rsid w:val="00854337"/>
    <w:rsid w:val="0085464C"/>
    <w:rsid w:val="008547B9"/>
    <w:rsid w:val="00854EFD"/>
    <w:rsid w:val="00854F4D"/>
    <w:rsid w:val="0085545F"/>
    <w:rsid w:val="008559F7"/>
    <w:rsid w:val="00855FD5"/>
    <w:rsid w:val="0085653A"/>
    <w:rsid w:val="00856850"/>
    <w:rsid w:val="00856F58"/>
    <w:rsid w:val="008573E8"/>
    <w:rsid w:val="00857420"/>
    <w:rsid w:val="0085761F"/>
    <w:rsid w:val="008577CE"/>
    <w:rsid w:val="008577D8"/>
    <w:rsid w:val="008578E6"/>
    <w:rsid w:val="008616C2"/>
    <w:rsid w:val="008616EC"/>
    <w:rsid w:val="008619AD"/>
    <w:rsid w:val="00861B61"/>
    <w:rsid w:val="00862960"/>
    <w:rsid w:val="00862EAE"/>
    <w:rsid w:val="0086318E"/>
    <w:rsid w:val="00863442"/>
    <w:rsid w:val="008635B3"/>
    <w:rsid w:val="00863679"/>
    <w:rsid w:val="00863DCF"/>
    <w:rsid w:val="00864FB6"/>
    <w:rsid w:val="00865315"/>
    <w:rsid w:val="0086659E"/>
    <w:rsid w:val="0086671A"/>
    <w:rsid w:val="008670AD"/>
    <w:rsid w:val="00871038"/>
    <w:rsid w:val="008715C9"/>
    <w:rsid w:val="00871D5B"/>
    <w:rsid w:val="0087279D"/>
    <w:rsid w:val="00872876"/>
    <w:rsid w:val="00872A85"/>
    <w:rsid w:val="00872C7A"/>
    <w:rsid w:val="0087316A"/>
    <w:rsid w:val="00873618"/>
    <w:rsid w:val="00875013"/>
    <w:rsid w:val="0087521C"/>
    <w:rsid w:val="00875CE9"/>
    <w:rsid w:val="0087615E"/>
    <w:rsid w:val="0087659E"/>
    <w:rsid w:val="00876BAF"/>
    <w:rsid w:val="00876D8C"/>
    <w:rsid w:val="00876EA9"/>
    <w:rsid w:val="00877128"/>
    <w:rsid w:val="00877157"/>
    <w:rsid w:val="00877C5F"/>
    <w:rsid w:val="00877DA9"/>
    <w:rsid w:val="008803DB"/>
    <w:rsid w:val="008803E8"/>
    <w:rsid w:val="008804AD"/>
    <w:rsid w:val="00880930"/>
    <w:rsid w:val="00881D4D"/>
    <w:rsid w:val="008824FB"/>
    <w:rsid w:val="00882664"/>
    <w:rsid w:val="00882B98"/>
    <w:rsid w:val="0088305E"/>
    <w:rsid w:val="00883407"/>
    <w:rsid w:val="0088375B"/>
    <w:rsid w:val="00884194"/>
    <w:rsid w:val="00884351"/>
    <w:rsid w:val="00885921"/>
    <w:rsid w:val="00885ACD"/>
    <w:rsid w:val="00885BD0"/>
    <w:rsid w:val="00886843"/>
    <w:rsid w:val="0088706D"/>
    <w:rsid w:val="00890270"/>
    <w:rsid w:val="008906C4"/>
    <w:rsid w:val="00890E06"/>
    <w:rsid w:val="00890E34"/>
    <w:rsid w:val="00891143"/>
    <w:rsid w:val="0089119B"/>
    <w:rsid w:val="0089157A"/>
    <w:rsid w:val="00891F28"/>
    <w:rsid w:val="00892480"/>
    <w:rsid w:val="00892AA7"/>
    <w:rsid w:val="00892C78"/>
    <w:rsid w:val="00893371"/>
    <w:rsid w:val="008939BA"/>
    <w:rsid w:val="0089479E"/>
    <w:rsid w:val="00894A35"/>
    <w:rsid w:val="00894A3C"/>
    <w:rsid w:val="00894EB0"/>
    <w:rsid w:val="00897491"/>
    <w:rsid w:val="008978BE"/>
    <w:rsid w:val="00897A70"/>
    <w:rsid w:val="00897B95"/>
    <w:rsid w:val="008A03B8"/>
    <w:rsid w:val="008A0A6F"/>
    <w:rsid w:val="008A0D45"/>
    <w:rsid w:val="008A0E56"/>
    <w:rsid w:val="008A107F"/>
    <w:rsid w:val="008A220A"/>
    <w:rsid w:val="008A2640"/>
    <w:rsid w:val="008A2661"/>
    <w:rsid w:val="008A27F6"/>
    <w:rsid w:val="008A28DE"/>
    <w:rsid w:val="008A2EDF"/>
    <w:rsid w:val="008A3541"/>
    <w:rsid w:val="008A3779"/>
    <w:rsid w:val="008A393A"/>
    <w:rsid w:val="008A3B0B"/>
    <w:rsid w:val="008A45C4"/>
    <w:rsid w:val="008A4E5A"/>
    <w:rsid w:val="008A4FD4"/>
    <w:rsid w:val="008A5590"/>
    <w:rsid w:val="008A5BC1"/>
    <w:rsid w:val="008A5E74"/>
    <w:rsid w:val="008A6181"/>
    <w:rsid w:val="008A656A"/>
    <w:rsid w:val="008A6D66"/>
    <w:rsid w:val="008A6FB7"/>
    <w:rsid w:val="008A71E6"/>
    <w:rsid w:val="008A728A"/>
    <w:rsid w:val="008B0122"/>
    <w:rsid w:val="008B03F5"/>
    <w:rsid w:val="008B0DA7"/>
    <w:rsid w:val="008B12D1"/>
    <w:rsid w:val="008B2457"/>
    <w:rsid w:val="008B2DE5"/>
    <w:rsid w:val="008B4631"/>
    <w:rsid w:val="008B4D78"/>
    <w:rsid w:val="008B5A17"/>
    <w:rsid w:val="008B5D02"/>
    <w:rsid w:val="008B614F"/>
    <w:rsid w:val="008B721C"/>
    <w:rsid w:val="008C048D"/>
    <w:rsid w:val="008C09E1"/>
    <w:rsid w:val="008C100C"/>
    <w:rsid w:val="008C1407"/>
    <w:rsid w:val="008C153C"/>
    <w:rsid w:val="008C169A"/>
    <w:rsid w:val="008C16BA"/>
    <w:rsid w:val="008C24E5"/>
    <w:rsid w:val="008C26B9"/>
    <w:rsid w:val="008C29A6"/>
    <w:rsid w:val="008C2DD4"/>
    <w:rsid w:val="008C325B"/>
    <w:rsid w:val="008C327A"/>
    <w:rsid w:val="008C3370"/>
    <w:rsid w:val="008C34E5"/>
    <w:rsid w:val="008C3E16"/>
    <w:rsid w:val="008C3F62"/>
    <w:rsid w:val="008C4753"/>
    <w:rsid w:val="008C4C76"/>
    <w:rsid w:val="008C4E0F"/>
    <w:rsid w:val="008C5A86"/>
    <w:rsid w:val="008C5F5A"/>
    <w:rsid w:val="008C62E6"/>
    <w:rsid w:val="008C6929"/>
    <w:rsid w:val="008C6955"/>
    <w:rsid w:val="008C698E"/>
    <w:rsid w:val="008C6B0F"/>
    <w:rsid w:val="008C76F9"/>
    <w:rsid w:val="008D007E"/>
    <w:rsid w:val="008D025F"/>
    <w:rsid w:val="008D0F3C"/>
    <w:rsid w:val="008D1A6C"/>
    <w:rsid w:val="008D210D"/>
    <w:rsid w:val="008D219D"/>
    <w:rsid w:val="008D23D3"/>
    <w:rsid w:val="008D3853"/>
    <w:rsid w:val="008D3B34"/>
    <w:rsid w:val="008D4315"/>
    <w:rsid w:val="008D57F7"/>
    <w:rsid w:val="008D5932"/>
    <w:rsid w:val="008D5A22"/>
    <w:rsid w:val="008D6261"/>
    <w:rsid w:val="008D6C41"/>
    <w:rsid w:val="008D7283"/>
    <w:rsid w:val="008D7EFA"/>
    <w:rsid w:val="008E07A7"/>
    <w:rsid w:val="008E124F"/>
    <w:rsid w:val="008E1C2C"/>
    <w:rsid w:val="008E1F21"/>
    <w:rsid w:val="008E2251"/>
    <w:rsid w:val="008E2290"/>
    <w:rsid w:val="008E28DC"/>
    <w:rsid w:val="008E32F3"/>
    <w:rsid w:val="008E33AE"/>
    <w:rsid w:val="008E3655"/>
    <w:rsid w:val="008E36EB"/>
    <w:rsid w:val="008E49DD"/>
    <w:rsid w:val="008E4DF7"/>
    <w:rsid w:val="008E5501"/>
    <w:rsid w:val="008E55EA"/>
    <w:rsid w:val="008E57B9"/>
    <w:rsid w:val="008E5D0E"/>
    <w:rsid w:val="008E60CB"/>
    <w:rsid w:val="008E639F"/>
    <w:rsid w:val="008E64E1"/>
    <w:rsid w:val="008E66BA"/>
    <w:rsid w:val="008F03A7"/>
    <w:rsid w:val="008F03AD"/>
    <w:rsid w:val="008F0C15"/>
    <w:rsid w:val="008F10ED"/>
    <w:rsid w:val="008F11C6"/>
    <w:rsid w:val="008F1997"/>
    <w:rsid w:val="008F1AE7"/>
    <w:rsid w:val="008F2F1B"/>
    <w:rsid w:val="008F3108"/>
    <w:rsid w:val="008F318F"/>
    <w:rsid w:val="008F3194"/>
    <w:rsid w:val="008F31A7"/>
    <w:rsid w:val="008F32DF"/>
    <w:rsid w:val="008F34E9"/>
    <w:rsid w:val="008F358F"/>
    <w:rsid w:val="008F3FDA"/>
    <w:rsid w:val="008F460D"/>
    <w:rsid w:val="008F47C8"/>
    <w:rsid w:val="008F4ABD"/>
    <w:rsid w:val="008F516B"/>
    <w:rsid w:val="008F5392"/>
    <w:rsid w:val="008F54EA"/>
    <w:rsid w:val="008F6804"/>
    <w:rsid w:val="008F7417"/>
    <w:rsid w:val="008F76BF"/>
    <w:rsid w:val="008F7CFC"/>
    <w:rsid w:val="0090005F"/>
    <w:rsid w:val="00900519"/>
    <w:rsid w:val="009011E0"/>
    <w:rsid w:val="009013AF"/>
    <w:rsid w:val="00901F64"/>
    <w:rsid w:val="009029EA"/>
    <w:rsid w:val="0090310F"/>
    <w:rsid w:val="00903C42"/>
    <w:rsid w:val="009042C8"/>
    <w:rsid w:val="00905B0C"/>
    <w:rsid w:val="00906078"/>
    <w:rsid w:val="009061C2"/>
    <w:rsid w:val="00906624"/>
    <w:rsid w:val="009066A7"/>
    <w:rsid w:val="009074A3"/>
    <w:rsid w:val="0091147E"/>
    <w:rsid w:val="009118F9"/>
    <w:rsid w:val="009121DE"/>
    <w:rsid w:val="009132AB"/>
    <w:rsid w:val="00913657"/>
    <w:rsid w:val="00913A9C"/>
    <w:rsid w:val="00914273"/>
    <w:rsid w:val="00914279"/>
    <w:rsid w:val="00914A59"/>
    <w:rsid w:val="00914B6D"/>
    <w:rsid w:val="00914D5B"/>
    <w:rsid w:val="00914F3E"/>
    <w:rsid w:val="00914F9A"/>
    <w:rsid w:val="00915502"/>
    <w:rsid w:val="0091554D"/>
    <w:rsid w:val="00916435"/>
    <w:rsid w:val="00916610"/>
    <w:rsid w:val="0091675E"/>
    <w:rsid w:val="00916A0E"/>
    <w:rsid w:val="00916B36"/>
    <w:rsid w:val="00916B9D"/>
    <w:rsid w:val="00917728"/>
    <w:rsid w:val="0091778C"/>
    <w:rsid w:val="00920155"/>
    <w:rsid w:val="009206A3"/>
    <w:rsid w:val="00920D2F"/>
    <w:rsid w:val="00920DC0"/>
    <w:rsid w:val="009212A6"/>
    <w:rsid w:val="00921737"/>
    <w:rsid w:val="009218A2"/>
    <w:rsid w:val="00921E70"/>
    <w:rsid w:val="009228C9"/>
    <w:rsid w:val="00922F5A"/>
    <w:rsid w:val="009232F6"/>
    <w:rsid w:val="00923535"/>
    <w:rsid w:val="009235BD"/>
    <w:rsid w:val="00923ADF"/>
    <w:rsid w:val="00923D78"/>
    <w:rsid w:val="00923E87"/>
    <w:rsid w:val="00924E29"/>
    <w:rsid w:val="00925560"/>
    <w:rsid w:val="0092559F"/>
    <w:rsid w:val="00925662"/>
    <w:rsid w:val="0092583B"/>
    <w:rsid w:val="00927171"/>
    <w:rsid w:val="009272E4"/>
    <w:rsid w:val="00927422"/>
    <w:rsid w:val="009275B2"/>
    <w:rsid w:val="00927BD6"/>
    <w:rsid w:val="00927D40"/>
    <w:rsid w:val="00927E9B"/>
    <w:rsid w:val="009305C6"/>
    <w:rsid w:val="00930964"/>
    <w:rsid w:val="00930D1A"/>
    <w:rsid w:val="0093173C"/>
    <w:rsid w:val="009319A1"/>
    <w:rsid w:val="00932506"/>
    <w:rsid w:val="00932B69"/>
    <w:rsid w:val="00932C8C"/>
    <w:rsid w:val="00932F6F"/>
    <w:rsid w:val="00933033"/>
    <w:rsid w:val="00933B48"/>
    <w:rsid w:val="00933C82"/>
    <w:rsid w:val="00933DC3"/>
    <w:rsid w:val="0093506F"/>
    <w:rsid w:val="00935A12"/>
    <w:rsid w:val="00935BC5"/>
    <w:rsid w:val="00936045"/>
    <w:rsid w:val="00936320"/>
    <w:rsid w:val="009370BC"/>
    <w:rsid w:val="00937CC0"/>
    <w:rsid w:val="0094030B"/>
    <w:rsid w:val="00940755"/>
    <w:rsid w:val="00940BF4"/>
    <w:rsid w:val="00941AE3"/>
    <w:rsid w:val="00942427"/>
    <w:rsid w:val="00942C71"/>
    <w:rsid w:val="00942D84"/>
    <w:rsid w:val="00946ECA"/>
    <w:rsid w:val="009474A3"/>
    <w:rsid w:val="00947567"/>
    <w:rsid w:val="009477C7"/>
    <w:rsid w:val="009478CD"/>
    <w:rsid w:val="00947C67"/>
    <w:rsid w:val="009501D6"/>
    <w:rsid w:val="0095027C"/>
    <w:rsid w:val="009508D3"/>
    <w:rsid w:val="00951370"/>
    <w:rsid w:val="00951694"/>
    <w:rsid w:val="00951970"/>
    <w:rsid w:val="00951CDD"/>
    <w:rsid w:val="00951F73"/>
    <w:rsid w:val="009528C4"/>
    <w:rsid w:val="00953035"/>
    <w:rsid w:val="009535A0"/>
    <w:rsid w:val="00953D86"/>
    <w:rsid w:val="00954491"/>
    <w:rsid w:val="00954EF1"/>
    <w:rsid w:val="00954F96"/>
    <w:rsid w:val="0095506D"/>
    <w:rsid w:val="009556FE"/>
    <w:rsid w:val="009559A6"/>
    <w:rsid w:val="00956568"/>
    <w:rsid w:val="009602D7"/>
    <w:rsid w:val="00960B3B"/>
    <w:rsid w:val="00960C0A"/>
    <w:rsid w:val="00961068"/>
    <w:rsid w:val="0096175C"/>
    <w:rsid w:val="00961A71"/>
    <w:rsid w:val="00961CD3"/>
    <w:rsid w:val="009622C5"/>
    <w:rsid w:val="00962C2A"/>
    <w:rsid w:val="009642FD"/>
    <w:rsid w:val="00964426"/>
    <w:rsid w:val="00964492"/>
    <w:rsid w:val="00965420"/>
    <w:rsid w:val="00965B16"/>
    <w:rsid w:val="0096610A"/>
    <w:rsid w:val="00966257"/>
    <w:rsid w:val="009666D4"/>
    <w:rsid w:val="009670A5"/>
    <w:rsid w:val="0096762D"/>
    <w:rsid w:val="0096788C"/>
    <w:rsid w:val="00967B0F"/>
    <w:rsid w:val="009701B5"/>
    <w:rsid w:val="00970387"/>
    <w:rsid w:val="00971764"/>
    <w:rsid w:val="00971FDB"/>
    <w:rsid w:val="009727B0"/>
    <w:rsid w:val="009728AE"/>
    <w:rsid w:val="00972ABC"/>
    <w:rsid w:val="00973083"/>
    <w:rsid w:val="00973241"/>
    <w:rsid w:val="00973CF2"/>
    <w:rsid w:val="00974075"/>
    <w:rsid w:val="009743C5"/>
    <w:rsid w:val="0097445F"/>
    <w:rsid w:val="00974C73"/>
    <w:rsid w:val="00974D16"/>
    <w:rsid w:val="009758CD"/>
    <w:rsid w:val="009763CE"/>
    <w:rsid w:val="00976430"/>
    <w:rsid w:val="0097661D"/>
    <w:rsid w:val="00976857"/>
    <w:rsid w:val="0097694F"/>
    <w:rsid w:val="00977666"/>
    <w:rsid w:val="0097790F"/>
    <w:rsid w:val="00977DEA"/>
    <w:rsid w:val="00977E29"/>
    <w:rsid w:val="009805D7"/>
    <w:rsid w:val="00981458"/>
    <w:rsid w:val="00981B8C"/>
    <w:rsid w:val="009832A7"/>
    <w:rsid w:val="00983816"/>
    <w:rsid w:val="00984670"/>
    <w:rsid w:val="009846B0"/>
    <w:rsid w:val="0098487C"/>
    <w:rsid w:val="0098495E"/>
    <w:rsid w:val="009854CB"/>
    <w:rsid w:val="0098581D"/>
    <w:rsid w:val="00985919"/>
    <w:rsid w:val="009863BF"/>
    <w:rsid w:val="00986666"/>
    <w:rsid w:val="00986B26"/>
    <w:rsid w:val="00986FD2"/>
    <w:rsid w:val="009900E4"/>
    <w:rsid w:val="00990334"/>
    <w:rsid w:val="00991071"/>
    <w:rsid w:val="0099116F"/>
    <w:rsid w:val="009921FB"/>
    <w:rsid w:val="00992ED8"/>
    <w:rsid w:val="009941D3"/>
    <w:rsid w:val="00994578"/>
    <w:rsid w:val="009948A9"/>
    <w:rsid w:val="00994E48"/>
    <w:rsid w:val="0099515D"/>
    <w:rsid w:val="009957B0"/>
    <w:rsid w:val="00995999"/>
    <w:rsid w:val="00995AEE"/>
    <w:rsid w:val="00996E2C"/>
    <w:rsid w:val="00996F05"/>
    <w:rsid w:val="00997713"/>
    <w:rsid w:val="00997721"/>
    <w:rsid w:val="00997C7A"/>
    <w:rsid w:val="009A055E"/>
    <w:rsid w:val="009A07AB"/>
    <w:rsid w:val="009A08E3"/>
    <w:rsid w:val="009A144F"/>
    <w:rsid w:val="009A1926"/>
    <w:rsid w:val="009A1C14"/>
    <w:rsid w:val="009A2357"/>
    <w:rsid w:val="009A2537"/>
    <w:rsid w:val="009A261F"/>
    <w:rsid w:val="009A458D"/>
    <w:rsid w:val="009A4D5A"/>
    <w:rsid w:val="009A527D"/>
    <w:rsid w:val="009A535A"/>
    <w:rsid w:val="009A60FC"/>
    <w:rsid w:val="009A65FE"/>
    <w:rsid w:val="009A6787"/>
    <w:rsid w:val="009A6960"/>
    <w:rsid w:val="009A7191"/>
    <w:rsid w:val="009B0C76"/>
    <w:rsid w:val="009B0FDA"/>
    <w:rsid w:val="009B1D6A"/>
    <w:rsid w:val="009B20B9"/>
    <w:rsid w:val="009B23DC"/>
    <w:rsid w:val="009B2714"/>
    <w:rsid w:val="009B2E4A"/>
    <w:rsid w:val="009B34D2"/>
    <w:rsid w:val="009B386F"/>
    <w:rsid w:val="009B3F39"/>
    <w:rsid w:val="009B41DE"/>
    <w:rsid w:val="009B4A5F"/>
    <w:rsid w:val="009B4DC1"/>
    <w:rsid w:val="009B5277"/>
    <w:rsid w:val="009B575D"/>
    <w:rsid w:val="009B586E"/>
    <w:rsid w:val="009B5B48"/>
    <w:rsid w:val="009B6198"/>
    <w:rsid w:val="009B658C"/>
    <w:rsid w:val="009B750B"/>
    <w:rsid w:val="009B7783"/>
    <w:rsid w:val="009B7BBC"/>
    <w:rsid w:val="009C0AF9"/>
    <w:rsid w:val="009C0D11"/>
    <w:rsid w:val="009C1391"/>
    <w:rsid w:val="009C1779"/>
    <w:rsid w:val="009C1E87"/>
    <w:rsid w:val="009C29FF"/>
    <w:rsid w:val="009C2ACA"/>
    <w:rsid w:val="009C2AFC"/>
    <w:rsid w:val="009C2FFD"/>
    <w:rsid w:val="009C33DE"/>
    <w:rsid w:val="009C3C1A"/>
    <w:rsid w:val="009C4B5F"/>
    <w:rsid w:val="009C4DE1"/>
    <w:rsid w:val="009C510F"/>
    <w:rsid w:val="009C56B0"/>
    <w:rsid w:val="009C6615"/>
    <w:rsid w:val="009C6F45"/>
    <w:rsid w:val="009C7068"/>
    <w:rsid w:val="009C72C5"/>
    <w:rsid w:val="009C7675"/>
    <w:rsid w:val="009C777F"/>
    <w:rsid w:val="009C7C81"/>
    <w:rsid w:val="009C7D3B"/>
    <w:rsid w:val="009C7D9A"/>
    <w:rsid w:val="009D00A9"/>
    <w:rsid w:val="009D0424"/>
    <w:rsid w:val="009D0872"/>
    <w:rsid w:val="009D0AF6"/>
    <w:rsid w:val="009D127C"/>
    <w:rsid w:val="009D13A7"/>
    <w:rsid w:val="009D144D"/>
    <w:rsid w:val="009D17EF"/>
    <w:rsid w:val="009D1900"/>
    <w:rsid w:val="009D1CD4"/>
    <w:rsid w:val="009D1E2C"/>
    <w:rsid w:val="009D266D"/>
    <w:rsid w:val="009D2720"/>
    <w:rsid w:val="009D28E3"/>
    <w:rsid w:val="009D2A82"/>
    <w:rsid w:val="009D3474"/>
    <w:rsid w:val="009D3F52"/>
    <w:rsid w:val="009D4C77"/>
    <w:rsid w:val="009D4E0F"/>
    <w:rsid w:val="009D5312"/>
    <w:rsid w:val="009D5482"/>
    <w:rsid w:val="009D558D"/>
    <w:rsid w:val="009D57A7"/>
    <w:rsid w:val="009D5B0E"/>
    <w:rsid w:val="009D6AE0"/>
    <w:rsid w:val="009D6B7F"/>
    <w:rsid w:val="009D6EF1"/>
    <w:rsid w:val="009D6F3C"/>
    <w:rsid w:val="009D7004"/>
    <w:rsid w:val="009D7A36"/>
    <w:rsid w:val="009E0262"/>
    <w:rsid w:val="009E0FAB"/>
    <w:rsid w:val="009E1703"/>
    <w:rsid w:val="009E1D13"/>
    <w:rsid w:val="009E2510"/>
    <w:rsid w:val="009E270B"/>
    <w:rsid w:val="009E2C94"/>
    <w:rsid w:val="009E2F05"/>
    <w:rsid w:val="009E2F26"/>
    <w:rsid w:val="009E2F83"/>
    <w:rsid w:val="009E3362"/>
    <w:rsid w:val="009E3468"/>
    <w:rsid w:val="009E3778"/>
    <w:rsid w:val="009E4AC7"/>
    <w:rsid w:val="009E5B6F"/>
    <w:rsid w:val="009E6842"/>
    <w:rsid w:val="009E6FF2"/>
    <w:rsid w:val="009E7680"/>
    <w:rsid w:val="009E7C6B"/>
    <w:rsid w:val="009F007B"/>
    <w:rsid w:val="009F00E9"/>
    <w:rsid w:val="009F08ED"/>
    <w:rsid w:val="009F0D6D"/>
    <w:rsid w:val="009F1634"/>
    <w:rsid w:val="009F1B00"/>
    <w:rsid w:val="009F20BF"/>
    <w:rsid w:val="009F2287"/>
    <w:rsid w:val="009F2C6C"/>
    <w:rsid w:val="009F35F2"/>
    <w:rsid w:val="009F3984"/>
    <w:rsid w:val="009F3AA9"/>
    <w:rsid w:val="009F43A5"/>
    <w:rsid w:val="009F4A4A"/>
    <w:rsid w:val="009F4CA8"/>
    <w:rsid w:val="009F4EE4"/>
    <w:rsid w:val="009F5CB7"/>
    <w:rsid w:val="009F63B2"/>
    <w:rsid w:val="009F6A0B"/>
    <w:rsid w:val="009F6CEA"/>
    <w:rsid w:val="009F6F68"/>
    <w:rsid w:val="009F7CE3"/>
    <w:rsid w:val="00A002D2"/>
    <w:rsid w:val="00A003EC"/>
    <w:rsid w:val="00A00947"/>
    <w:rsid w:val="00A00FF3"/>
    <w:rsid w:val="00A011D9"/>
    <w:rsid w:val="00A0177E"/>
    <w:rsid w:val="00A027D9"/>
    <w:rsid w:val="00A02F8E"/>
    <w:rsid w:val="00A03124"/>
    <w:rsid w:val="00A0384E"/>
    <w:rsid w:val="00A047CA"/>
    <w:rsid w:val="00A05124"/>
    <w:rsid w:val="00A0513B"/>
    <w:rsid w:val="00A05562"/>
    <w:rsid w:val="00A05920"/>
    <w:rsid w:val="00A059C7"/>
    <w:rsid w:val="00A05AF0"/>
    <w:rsid w:val="00A06127"/>
    <w:rsid w:val="00A0686B"/>
    <w:rsid w:val="00A07360"/>
    <w:rsid w:val="00A0743C"/>
    <w:rsid w:val="00A077B4"/>
    <w:rsid w:val="00A103E0"/>
    <w:rsid w:val="00A10C8C"/>
    <w:rsid w:val="00A10D6E"/>
    <w:rsid w:val="00A10FFD"/>
    <w:rsid w:val="00A1217A"/>
    <w:rsid w:val="00A137E2"/>
    <w:rsid w:val="00A146AC"/>
    <w:rsid w:val="00A14893"/>
    <w:rsid w:val="00A154C3"/>
    <w:rsid w:val="00A1554F"/>
    <w:rsid w:val="00A157D7"/>
    <w:rsid w:val="00A16346"/>
    <w:rsid w:val="00A164CB"/>
    <w:rsid w:val="00A17CA4"/>
    <w:rsid w:val="00A204E7"/>
    <w:rsid w:val="00A21296"/>
    <w:rsid w:val="00A23AC5"/>
    <w:rsid w:val="00A23EB6"/>
    <w:rsid w:val="00A24060"/>
    <w:rsid w:val="00A241F3"/>
    <w:rsid w:val="00A255D8"/>
    <w:rsid w:val="00A25CA6"/>
    <w:rsid w:val="00A26672"/>
    <w:rsid w:val="00A26D48"/>
    <w:rsid w:val="00A26E22"/>
    <w:rsid w:val="00A26E3A"/>
    <w:rsid w:val="00A26FCE"/>
    <w:rsid w:val="00A271BF"/>
    <w:rsid w:val="00A27699"/>
    <w:rsid w:val="00A27DBF"/>
    <w:rsid w:val="00A27F2C"/>
    <w:rsid w:val="00A30277"/>
    <w:rsid w:val="00A304BE"/>
    <w:rsid w:val="00A30E61"/>
    <w:rsid w:val="00A3177A"/>
    <w:rsid w:val="00A323C7"/>
    <w:rsid w:val="00A32652"/>
    <w:rsid w:val="00A32734"/>
    <w:rsid w:val="00A34D34"/>
    <w:rsid w:val="00A34FC0"/>
    <w:rsid w:val="00A35836"/>
    <w:rsid w:val="00A35C8C"/>
    <w:rsid w:val="00A35F49"/>
    <w:rsid w:val="00A36658"/>
    <w:rsid w:val="00A369E9"/>
    <w:rsid w:val="00A36CC0"/>
    <w:rsid w:val="00A36CDF"/>
    <w:rsid w:val="00A37006"/>
    <w:rsid w:val="00A4040D"/>
    <w:rsid w:val="00A405C6"/>
    <w:rsid w:val="00A41F81"/>
    <w:rsid w:val="00A42333"/>
    <w:rsid w:val="00A42669"/>
    <w:rsid w:val="00A42A77"/>
    <w:rsid w:val="00A42EBD"/>
    <w:rsid w:val="00A43675"/>
    <w:rsid w:val="00A43867"/>
    <w:rsid w:val="00A43CD7"/>
    <w:rsid w:val="00A43D17"/>
    <w:rsid w:val="00A44DDF"/>
    <w:rsid w:val="00A44ECE"/>
    <w:rsid w:val="00A4577A"/>
    <w:rsid w:val="00A45AAD"/>
    <w:rsid w:val="00A46741"/>
    <w:rsid w:val="00A46947"/>
    <w:rsid w:val="00A47B6A"/>
    <w:rsid w:val="00A47F92"/>
    <w:rsid w:val="00A5116B"/>
    <w:rsid w:val="00A51321"/>
    <w:rsid w:val="00A52098"/>
    <w:rsid w:val="00A522EC"/>
    <w:rsid w:val="00A527D3"/>
    <w:rsid w:val="00A54126"/>
    <w:rsid w:val="00A544B4"/>
    <w:rsid w:val="00A545A2"/>
    <w:rsid w:val="00A546E4"/>
    <w:rsid w:val="00A54B48"/>
    <w:rsid w:val="00A54DD6"/>
    <w:rsid w:val="00A54DD8"/>
    <w:rsid w:val="00A54EDB"/>
    <w:rsid w:val="00A55E16"/>
    <w:rsid w:val="00A565DB"/>
    <w:rsid w:val="00A5741E"/>
    <w:rsid w:val="00A57597"/>
    <w:rsid w:val="00A5760A"/>
    <w:rsid w:val="00A57FAA"/>
    <w:rsid w:val="00A605DC"/>
    <w:rsid w:val="00A60E4C"/>
    <w:rsid w:val="00A611F0"/>
    <w:rsid w:val="00A61CB4"/>
    <w:rsid w:val="00A61CE9"/>
    <w:rsid w:val="00A62218"/>
    <w:rsid w:val="00A623B9"/>
    <w:rsid w:val="00A62DAE"/>
    <w:rsid w:val="00A63370"/>
    <w:rsid w:val="00A638A8"/>
    <w:rsid w:val="00A63A21"/>
    <w:rsid w:val="00A63B38"/>
    <w:rsid w:val="00A63D50"/>
    <w:rsid w:val="00A640D0"/>
    <w:rsid w:val="00A642B1"/>
    <w:rsid w:val="00A66171"/>
    <w:rsid w:val="00A662EA"/>
    <w:rsid w:val="00A66926"/>
    <w:rsid w:val="00A66BB1"/>
    <w:rsid w:val="00A66E0F"/>
    <w:rsid w:val="00A6713D"/>
    <w:rsid w:val="00A6758D"/>
    <w:rsid w:val="00A67CBB"/>
    <w:rsid w:val="00A718AF"/>
    <w:rsid w:val="00A71F13"/>
    <w:rsid w:val="00A72B59"/>
    <w:rsid w:val="00A72DA5"/>
    <w:rsid w:val="00A72E08"/>
    <w:rsid w:val="00A73099"/>
    <w:rsid w:val="00A736B4"/>
    <w:rsid w:val="00A73759"/>
    <w:rsid w:val="00A739B1"/>
    <w:rsid w:val="00A739C1"/>
    <w:rsid w:val="00A74D3A"/>
    <w:rsid w:val="00A74FD4"/>
    <w:rsid w:val="00A7542F"/>
    <w:rsid w:val="00A75B03"/>
    <w:rsid w:val="00A761CE"/>
    <w:rsid w:val="00A762E7"/>
    <w:rsid w:val="00A76599"/>
    <w:rsid w:val="00A76989"/>
    <w:rsid w:val="00A771A4"/>
    <w:rsid w:val="00A80951"/>
    <w:rsid w:val="00A80BE4"/>
    <w:rsid w:val="00A8119C"/>
    <w:rsid w:val="00A852D5"/>
    <w:rsid w:val="00A85315"/>
    <w:rsid w:val="00A8578E"/>
    <w:rsid w:val="00A85B11"/>
    <w:rsid w:val="00A85C6C"/>
    <w:rsid w:val="00A8618E"/>
    <w:rsid w:val="00A86B30"/>
    <w:rsid w:val="00A874AA"/>
    <w:rsid w:val="00A87C0C"/>
    <w:rsid w:val="00A87D06"/>
    <w:rsid w:val="00A87EAF"/>
    <w:rsid w:val="00A90387"/>
    <w:rsid w:val="00A91051"/>
    <w:rsid w:val="00A9134E"/>
    <w:rsid w:val="00A91555"/>
    <w:rsid w:val="00A91B27"/>
    <w:rsid w:val="00A920C9"/>
    <w:rsid w:val="00A92133"/>
    <w:rsid w:val="00A928B7"/>
    <w:rsid w:val="00A9402A"/>
    <w:rsid w:val="00A948A7"/>
    <w:rsid w:val="00A951B8"/>
    <w:rsid w:val="00A9525D"/>
    <w:rsid w:val="00A9603B"/>
    <w:rsid w:val="00A967C8"/>
    <w:rsid w:val="00A975B9"/>
    <w:rsid w:val="00A976CC"/>
    <w:rsid w:val="00AA0857"/>
    <w:rsid w:val="00AA0B07"/>
    <w:rsid w:val="00AA0BB8"/>
    <w:rsid w:val="00AA0BF4"/>
    <w:rsid w:val="00AA0FF8"/>
    <w:rsid w:val="00AA122B"/>
    <w:rsid w:val="00AA28A8"/>
    <w:rsid w:val="00AA2CF7"/>
    <w:rsid w:val="00AA2D1A"/>
    <w:rsid w:val="00AA3076"/>
    <w:rsid w:val="00AA351B"/>
    <w:rsid w:val="00AA403A"/>
    <w:rsid w:val="00AA4B98"/>
    <w:rsid w:val="00AA542D"/>
    <w:rsid w:val="00AA5D3A"/>
    <w:rsid w:val="00AA6240"/>
    <w:rsid w:val="00AA6367"/>
    <w:rsid w:val="00AA69D9"/>
    <w:rsid w:val="00AA7BC4"/>
    <w:rsid w:val="00AB1790"/>
    <w:rsid w:val="00AB1F47"/>
    <w:rsid w:val="00AB286F"/>
    <w:rsid w:val="00AB2C90"/>
    <w:rsid w:val="00AB2E1B"/>
    <w:rsid w:val="00AB4FEB"/>
    <w:rsid w:val="00AB59C6"/>
    <w:rsid w:val="00AB6AE6"/>
    <w:rsid w:val="00AB7CFA"/>
    <w:rsid w:val="00AC05D4"/>
    <w:rsid w:val="00AC07E8"/>
    <w:rsid w:val="00AC1656"/>
    <w:rsid w:val="00AC1B0D"/>
    <w:rsid w:val="00AC1B76"/>
    <w:rsid w:val="00AC2075"/>
    <w:rsid w:val="00AC226E"/>
    <w:rsid w:val="00AC2898"/>
    <w:rsid w:val="00AC2A23"/>
    <w:rsid w:val="00AC338B"/>
    <w:rsid w:val="00AC3419"/>
    <w:rsid w:val="00AC3568"/>
    <w:rsid w:val="00AC3A8A"/>
    <w:rsid w:val="00AC41AD"/>
    <w:rsid w:val="00AC5B6A"/>
    <w:rsid w:val="00AC5BEB"/>
    <w:rsid w:val="00AC685A"/>
    <w:rsid w:val="00AC7F0C"/>
    <w:rsid w:val="00AD033D"/>
    <w:rsid w:val="00AD0596"/>
    <w:rsid w:val="00AD0E78"/>
    <w:rsid w:val="00AD15AB"/>
    <w:rsid w:val="00AD21BE"/>
    <w:rsid w:val="00AD261E"/>
    <w:rsid w:val="00AD274C"/>
    <w:rsid w:val="00AD2779"/>
    <w:rsid w:val="00AD290A"/>
    <w:rsid w:val="00AD3AE6"/>
    <w:rsid w:val="00AD4110"/>
    <w:rsid w:val="00AD44D4"/>
    <w:rsid w:val="00AD461C"/>
    <w:rsid w:val="00AD4F53"/>
    <w:rsid w:val="00AD5166"/>
    <w:rsid w:val="00AD55DF"/>
    <w:rsid w:val="00AD57A2"/>
    <w:rsid w:val="00AD57B6"/>
    <w:rsid w:val="00AD6484"/>
    <w:rsid w:val="00AD71D9"/>
    <w:rsid w:val="00AD73EC"/>
    <w:rsid w:val="00AD7538"/>
    <w:rsid w:val="00AD7E75"/>
    <w:rsid w:val="00AE0956"/>
    <w:rsid w:val="00AE35A6"/>
    <w:rsid w:val="00AE3890"/>
    <w:rsid w:val="00AE4ED3"/>
    <w:rsid w:val="00AE4FD8"/>
    <w:rsid w:val="00AE52E4"/>
    <w:rsid w:val="00AE5CB0"/>
    <w:rsid w:val="00AE609F"/>
    <w:rsid w:val="00AE63DF"/>
    <w:rsid w:val="00AE6453"/>
    <w:rsid w:val="00AE721D"/>
    <w:rsid w:val="00AE7F26"/>
    <w:rsid w:val="00AF0DDA"/>
    <w:rsid w:val="00AF14E5"/>
    <w:rsid w:val="00AF1F23"/>
    <w:rsid w:val="00AF2DEF"/>
    <w:rsid w:val="00AF2E4D"/>
    <w:rsid w:val="00AF369C"/>
    <w:rsid w:val="00AF401B"/>
    <w:rsid w:val="00AF4216"/>
    <w:rsid w:val="00AF4272"/>
    <w:rsid w:val="00AF450F"/>
    <w:rsid w:val="00AF461A"/>
    <w:rsid w:val="00AF4FAC"/>
    <w:rsid w:val="00AF4FEB"/>
    <w:rsid w:val="00AF5E93"/>
    <w:rsid w:val="00AF6095"/>
    <w:rsid w:val="00AF6239"/>
    <w:rsid w:val="00AF62ED"/>
    <w:rsid w:val="00AF65E4"/>
    <w:rsid w:val="00AF66E7"/>
    <w:rsid w:val="00AF67F6"/>
    <w:rsid w:val="00AF71B4"/>
    <w:rsid w:val="00AF7784"/>
    <w:rsid w:val="00B00055"/>
    <w:rsid w:val="00B000C3"/>
    <w:rsid w:val="00B00601"/>
    <w:rsid w:val="00B00989"/>
    <w:rsid w:val="00B00E08"/>
    <w:rsid w:val="00B00EDD"/>
    <w:rsid w:val="00B00F8E"/>
    <w:rsid w:val="00B0197A"/>
    <w:rsid w:val="00B01D23"/>
    <w:rsid w:val="00B020C5"/>
    <w:rsid w:val="00B02E44"/>
    <w:rsid w:val="00B02ECE"/>
    <w:rsid w:val="00B0381E"/>
    <w:rsid w:val="00B04A7B"/>
    <w:rsid w:val="00B04BCB"/>
    <w:rsid w:val="00B04BD3"/>
    <w:rsid w:val="00B05031"/>
    <w:rsid w:val="00B05E0D"/>
    <w:rsid w:val="00B06576"/>
    <w:rsid w:val="00B06728"/>
    <w:rsid w:val="00B0689C"/>
    <w:rsid w:val="00B06A46"/>
    <w:rsid w:val="00B071EB"/>
    <w:rsid w:val="00B0735B"/>
    <w:rsid w:val="00B073E2"/>
    <w:rsid w:val="00B07418"/>
    <w:rsid w:val="00B0751B"/>
    <w:rsid w:val="00B11100"/>
    <w:rsid w:val="00B11AF7"/>
    <w:rsid w:val="00B11C9E"/>
    <w:rsid w:val="00B1213F"/>
    <w:rsid w:val="00B12BD8"/>
    <w:rsid w:val="00B12E0D"/>
    <w:rsid w:val="00B13A46"/>
    <w:rsid w:val="00B1408F"/>
    <w:rsid w:val="00B14C20"/>
    <w:rsid w:val="00B164AA"/>
    <w:rsid w:val="00B16874"/>
    <w:rsid w:val="00B16A69"/>
    <w:rsid w:val="00B16E06"/>
    <w:rsid w:val="00B17E71"/>
    <w:rsid w:val="00B20114"/>
    <w:rsid w:val="00B20DDD"/>
    <w:rsid w:val="00B213BB"/>
    <w:rsid w:val="00B21477"/>
    <w:rsid w:val="00B21865"/>
    <w:rsid w:val="00B22E61"/>
    <w:rsid w:val="00B22F45"/>
    <w:rsid w:val="00B232F3"/>
    <w:rsid w:val="00B23DEB"/>
    <w:rsid w:val="00B24095"/>
    <w:rsid w:val="00B240B6"/>
    <w:rsid w:val="00B24506"/>
    <w:rsid w:val="00B255A9"/>
    <w:rsid w:val="00B25CA1"/>
    <w:rsid w:val="00B26AE1"/>
    <w:rsid w:val="00B26BF9"/>
    <w:rsid w:val="00B271B6"/>
    <w:rsid w:val="00B272F5"/>
    <w:rsid w:val="00B2742B"/>
    <w:rsid w:val="00B275ED"/>
    <w:rsid w:val="00B27A8E"/>
    <w:rsid w:val="00B30312"/>
    <w:rsid w:val="00B30EA7"/>
    <w:rsid w:val="00B31155"/>
    <w:rsid w:val="00B3367F"/>
    <w:rsid w:val="00B33EF2"/>
    <w:rsid w:val="00B341A7"/>
    <w:rsid w:val="00B35A43"/>
    <w:rsid w:val="00B35EC8"/>
    <w:rsid w:val="00B361C7"/>
    <w:rsid w:val="00B407DA"/>
    <w:rsid w:val="00B40A36"/>
    <w:rsid w:val="00B40C33"/>
    <w:rsid w:val="00B419E3"/>
    <w:rsid w:val="00B41B66"/>
    <w:rsid w:val="00B41C2C"/>
    <w:rsid w:val="00B41FD5"/>
    <w:rsid w:val="00B42619"/>
    <w:rsid w:val="00B426CA"/>
    <w:rsid w:val="00B43136"/>
    <w:rsid w:val="00B434E9"/>
    <w:rsid w:val="00B437ED"/>
    <w:rsid w:val="00B43F75"/>
    <w:rsid w:val="00B4443E"/>
    <w:rsid w:val="00B471F7"/>
    <w:rsid w:val="00B4785C"/>
    <w:rsid w:val="00B47891"/>
    <w:rsid w:val="00B47C7D"/>
    <w:rsid w:val="00B47D96"/>
    <w:rsid w:val="00B47FAD"/>
    <w:rsid w:val="00B50DAE"/>
    <w:rsid w:val="00B5105B"/>
    <w:rsid w:val="00B5113E"/>
    <w:rsid w:val="00B52B77"/>
    <w:rsid w:val="00B52F54"/>
    <w:rsid w:val="00B530A0"/>
    <w:rsid w:val="00B537AA"/>
    <w:rsid w:val="00B538B8"/>
    <w:rsid w:val="00B541FF"/>
    <w:rsid w:val="00B54289"/>
    <w:rsid w:val="00B55122"/>
    <w:rsid w:val="00B55582"/>
    <w:rsid w:val="00B557FF"/>
    <w:rsid w:val="00B55BFF"/>
    <w:rsid w:val="00B56486"/>
    <w:rsid w:val="00B56BE7"/>
    <w:rsid w:val="00B56C74"/>
    <w:rsid w:val="00B6017F"/>
    <w:rsid w:val="00B6038F"/>
    <w:rsid w:val="00B6084F"/>
    <w:rsid w:val="00B60D80"/>
    <w:rsid w:val="00B60E5C"/>
    <w:rsid w:val="00B60E5E"/>
    <w:rsid w:val="00B60F1F"/>
    <w:rsid w:val="00B6114C"/>
    <w:rsid w:val="00B6117B"/>
    <w:rsid w:val="00B61777"/>
    <w:rsid w:val="00B61A86"/>
    <w:rsid w:val="00B6246C"/>
    <w:rsid w:val="00B62B09"/>
    <w:rsid w:val="00B62C1B"/>
    <w:rsid w:val="00B62F12"/>
    <w:rsid w:val="00B63D5F"/>
    <w:rsid w:val="00B644DA"/>
    <w:rsid w:val="00B64CEF"/>
    <w:rsid w:val="00B64F09"/>
    <w:rsid w:val="00B64FAE"/>
    <w:rsid w:val="00B65552"/>
    <w:rsid w:val="00B65A82"/>
    <w:rsid w:val="00B666CD"/>
    <w:rsid w:val="00B66DCA"/>
    <w:rsid w:val="00B67D75"/>
    <w:rsid w:val="00B7036D"/>
    <w:rsid w:val="00B71738"/>
    <w:rsid w:val="00B7209C"/>
    <w:rsid w:val="00B722E6"/>
    <w:rsid w:val="00B723EB"/>
    <w:rsid w:val="00B72402"/>
    <w:rsid w:val="00B73133"/>
    <w:rsid w:val="00B744DF"/>
    <w:rsid w:val="00B74796"/>
    <w:rsid w:val="00B74804"/>
    <w:rsid w:val="00B74A30"/>
    <w:rsid w:val="00B74E2C"/>
    <w:rsid w:val="00B75C14"/>
    <w:rsid w:val="00B761AB"/>
    <w:rsid w:val="00B763F8"/>
    <w:rsid w:val="00B76ADC"/>
    <w:rsid w:val="00B76BA8"/>
    <w:rsid w:val="00B8005A"/>
    <w:rsid w:val="00B80EA4"/>
    <w:rsid w:val="00B81562"/>
    <w:rsid w:val="00B819A2"/>
    <w:rsid w:val="00B835B6"/>
    <w:rsid w:val="00B83FDF"/>
    <w:rsid w:val="00B842E6"/>
    <w:rsid w:val="00B8575B"/>
    <w:rsid w:val="00B85906"/>
    <w:rsid w:val="00B85F8A"/>
    <w:rsid w:val="00B86551"/>
    <w:rsid w:val="00B871BE"/>
    <w:rsid w:val="00B902DC"/>
    <w:rsid w:val="00B90348"/>
    <w:rsid w:val="00B90B3F"/>
    <w:rsid w:val="00B90C4A"/>
    <w:rsid w:val="00B91273"/>
    <w:rsid w:val="00B91609"/>
    <w:rsid w:val="00B91E3A"/>
    <w:rsid w:val="00B923F4"/>
    <w:rsid w:val="00B92A52"/>
    <w:rsid w:val="00B92BCA"/>
    <w:rsid w:val="00B92FB9"/>
    <w:rsid w:val="00B9347E"/>
    <w:rsid w:val="00B939FA"/>
    <w:rsid w:val="00B93A6C"/>
    <w:rsid w:val="00B946BC"/>
    <w:rsid w:val="00B951B7"/>
    <w:rsid w:val="00B95230"/>
    <w:rsid w:val="00B95B76"/>
    <w:rsid w:val="00B9614D"/>
    <w:rsid w:val="00B9660F"/>
    <w:rsid w:val="00B97B25"/>
    <w:rsid w:val="00BA1CC4"/>
    <w:rsid w:val="00BA22C5"/>
    <w:rsid w:val="00BA43AF"/>
    <w:rsid w:val="00BA45E9"/>
    <w:rsid w:val="00BA4751"/>
    <w:rsid w:val="00BA4C7F"/>
    <w:rsid w:val="00BA55E6"/>
    <w:rsid w:val="00BA675B"/>
    <w:rsid w:val="00BA6AE0"/>
    <w:rsid w:val="00BA7127"/>
    <w:rsid w:val="00BA7860"/>
    <w:rsid w:val="00BA799C"/>
    <w:rsid w:val="00BA7D30"/>
    <w:rsid w:val="00BB02CE"/>
    <w:rsid w:val="00BB097B"/>
    <w:rsid w:val="00BB0A21"/>
    <w:rsid w:val="00BB0DFE"/>
    <w:rsid w:val="00BB0EB2"/>
    <w:rsid w:val="00BB1073"/>
    <w:rsid w:val="00BB1885"/>
    <w:rsid w:val="00BB3284"/>
    <w:rsid w:val="00BB34B8"/>
    <w:rsid w:val="00BB389B"/>
    <w:rsid w:val="00BB397B"/>
    <w:rsid w:val="00BB3C4A"/>
    <w:rsid w:val="00BB3FD0"/>
    <w:rsid w:val="00BB42A0"/>
    <w:rsid w:val="00BB5E56"/>
    <w:rsid w:val="00BB61A4"/>
    <w:rsid w:val="00BB68D1"/>
    <w:rsid w:val="00BB6C9A"/>
    <w:rsid w:val="00BC0215"/>
    <w:rsid w:val="00BC130A"/>
    <w:rsid w:val="00BC1410"/>
    <w:rsid w:val="00BC1B65"/>
    <w:rsid w:val="00BC1E5D"/>
    <w:rsid w:val="00BC21ED"/>
    <w:rsid w:val="00BC2502"/>
    <w:rsid w:val="00BC2686"/>
    <w:rsid w:val="00BC32E4"/>
    <w:rsid w:val="00BC3970"/>
    <w:rsid w:val="00BC438A"/>
    <w:rsid w:val="00BC5766"/>
    <w:rsid w:val="00BC58E7"/>
    <w:rsid w:val="00BC7E2F"/>
    <w:rsid w:val="00BD00B9"/>
    <w:rsid w:val="00BD01C0"/>
    <w:rsid w:val="00BD0615"/>
    <w:rsid w:val="00BD0711"/>
    <w:rsid w:val="00BD1381"/>
    <w:rsid w:val="00BD15C9"/>
    <w:rsid w:val="00BD1700"/>
    <w:rsid w:val="00BD19AC"/>
    <w:rsid w:val="00BD1D56"/>
    <w:rsid w:val="00BD200F"/>
    <w:rsid w:val="00BD2C20"/>
    <w:rsid w:val="00BD2ED8"/>
    <w:rsid w:val="00BD2F2E"/>
    <w:rsid w:val="00BD3CF4"/>
    <w:rsid w:val="00BD40BA"/>
    <w:rsid w:val="00BD4198"/>
    <w:rsid w:val="00BD447D"/>
    <w:rsid w:val="00BD5518"/>
    <w:rsid w:val="00BD69FD"/>
    <w:rsid w:val="00BE07B1"/>
    <w:rsid w:val="00BE08E9"/>
    <w:rsid w:val="00BE0919"/>
    <w:rsid w:val="00BE099A"/>
    <w:rsid w:val="00BE0CB3"/>
    <w:rsid w:val="00BE0E20"/>
    <w:rsid w:val="00BE1801"/>
    <w:rsid w:val="00BE19B0"/>
    <w:rsid w:val="00BE2637"/>
    <w:rsid w:val="00BE2C90"/>
    <w:rsid w:val="00BE34A4"/>
    <w:rsid w:val="00BE38D2"/>
    <w:rsid w:val="00BE391D"/>
    <w:rsid w:val="00BE3B0A"/>
    <w:rsid w:val="00BE3DE5"/>
    <w:rsid w:val="00BE3EB5"/>
    <w:rsid w:val="00BE4E6A"/>
    <w:rsid w:val="00BE5410"/>
    <w:rsid w:val="00BE5607"/>
    <w:rsid w:val="00BE58A8"/>
    <w:rsid w:val="00BE59F5"/>
    <w:rsid w:val="00BE606B"/>
    <w:rsid w:val="00BE792A"/>
    <w:rsid w:val="00BF03DD"/>
    <w:rsid w:val="00BF0F31"/>
    <w:rsid w:val="00BF152E"/>
    <w:rsid w:val="00BF1918"/>
    <w:rsid w:val="00BF1BE4"/>
    <w:rsid w:val="00BF22EB"/>
    <w:rsid w:val="00BF3272"/>
    <w:rsid w:val="00BF33D4"/>
    <w:rsid w:val="00BF3488"/>
    <w:rsid w:val="00BF3957"/>
    <w:rsid w:val="00BF4178"/>
    <w:rsid w:val="00BF48B2"/>
    <w:rsid w:val="00BF4B90"/>
    <w:rsid w:val="00BF6F50"/>
    <w:rsid w:val="00BF70D8"/>
    <w:rsid w:val="00BF772B"/>
    <w:rsid w:val="00BF7823"/>
    <w:rsid w:val="00BF7D89"/>
    <w:rsid w:val="00C002D6"/>
    <w:rsid w:val="00C0063E"/>
    <w:rsid w:val="00C00A01"/>
    <w:rsid w:val="00C00E99"/>
    <w:rsid w:val="00C010F9"/>
    <w:rsid w:val="00C01FB1"/>
    <w:rsid w:val="00C03534"/>
    <w:rsid w:val="00C03D1A"/>
    <w:rsid w:val="00C0425D"/>
    <w:rsid w:val="00C04F7B"/>
    <w:rsid w:val="00C054CF"/>
    <w:rsid w:val="00C05CD0"/>
    <w:rsid w:val="00C06330"/>
    <w:rsid w:val="00C065D0"/>
    <w:rsid w:val="00C06FE7"/>
    <w:rsid w:val="00C100B6"/>
    <w:rsid w:val="00C10B55"/>
    <w:rsid w:val="00C12F29"/>
    <w:rsid w:val="00C13B1F"/>
    <w:rsid w:val="00C1411E"/>
    <w:rsid w:val="00C154E4"/>
    <w:rsid w:val="00C15793"/>
    <w:rsid w:val="00C1589A"/>
    <w:rsid w:val="00C167B8"/>
    <w:rsid w:val="00C16C16"/>
    <w:rsid w:val="00C17055"/>
    <w:rsid w:val="00C17471"/>
    <w:rsid w:val="00C1776D"/>
    <w:rsid w:val="00C17923"/>
    <w:rsid w:val="00C17B81"/>
    <w:rsid w:val="00C17CDD"/>
    <w:rsid w:val="00C20290"/>
    <w:rsid w:val="00C20465"/>
    <w:rsid w:val="00C2051F"/>
    <w:rsid w:val="00C20A5E"/>
    <w:rsid w:val="00C20DB7"/>
    <w:rsid w:val="00C2174E"/>
    <w:rsid w:val="00C2206E"/>
    <w:rsid w:val="00C2219E"/>
    <w:rsid w:val="00C223A6"/>
    <w:rsid w:val="00C22C64"/>
    <w:rsid w:val="00C23046"/>
    <w:rsid w:val="00C23BA9"/>
    <w:rsid w:val="00C24544"/>
    <w:rsid w:val="00C24F0D"/>
    <w:rsid w:val="00C25C13"/>
    <w:rsid w:val="00C25CB4"/>
    <w:rsid w:val="00C261B8"/>
    <w:rsid w:val="00C26798"/>
    <w:rsid w:val="00C26835"/>
    <w:rsid w:val="00C26CDC"/>
    <w:rsid w:val="00C27375"/>
    <w:rsid w:val="00C273B5"/>
    <w:rsid w:val="00C274CE"/>
    <w:rsid w:val="00C27F6E"/>
    <w:rsid w:val="00C30143"/>
    <w:rsid w:val="00C313D1"/>
    <w:rsid w:val="00C31724"/>
    <w:rsid w:val="00C3234F"/>
    <w:rsid w:val="00C32881"/>
    <w:rsid w:val="00C32F87"/>
    <w:rsid w:val="00C3351D"/>
    <w:rsid w:val="00C3442B"/>
    <w:rsid w:val="00C35092"/>
    <w:rsid w:val="00C35161"/>
    <w:rsid w:val="00C35273"/>
    <w:rsid w:val="00C3781A"/>
    <w:rsid w:val="00C3793B"/>
    <w:rsid w:val="00C402D9"/>
    <w:rsid w:val="00C40F7B"/>
    <w:rsid w:val="00C41012"/>
    <w:rsid w:val="00C412EC"/>
    <w:rsid w:val="00C41504"/>
    <w:rsid w:val="00C41A30"/>
    <w:rsid w:val="00C41D67"/>
    <w:rsid w:val="00C4254B"/>
    <w:rsid w:val="00C42AD9"/>
    <w:rsid w:val="00C42E64"/>
    <w:rsid w:val="00C430CF"/>
    <w:rsid w:val="00C43393"/>
    <w:rsid w:val="00C4365A"/>
    <w:rsid w:val="00C43ADB"/>
    <w:rsid w:val="00C4423E"/>
    <w:rsid w:val="00C442BB"/>
    <w:rsid w:val="00C449A8"/>
    <w:rsid w:val="00C44ACC"/>
    <w:rsid w:val="00C44D90"/>
    <w:rsid w:val="00C45939"/>
    <w:rsid w:val="00C45CE3"/>
    <w:rsid w:val="00C45D8A"/>
    <w:rsid w:val="00C460AB"/>
    <w:rsid w:val="00C462ED"/>
    <w:rsid w:val="00C47228"/>
    <w:rsid w:val="00C47E1A"/>
    <w:rsid w:val="00C52B86"/>
    <w:rsid w:val="00C5375E"/>
    <w:rsid w:val="00C53DE1"/>
    <w:rsid w:val="00C53F6D"/>
    <w:rsid w:val="00C5463D"/>
    <w:rsid w:val="00C548A8"/>
    <w:rsid w:val="00C54D69"/>
    <w:rsid w:val="00C54E3A"/>
    <w:rsid w:val="00C56AB0"/>
    <w:rsid w:val="00C6088A"/>
    <w:rsid w:val="00C60C4D"/>
    <w:rsid w:val="00C60F34"/>
    <w:rsid w:val="00C6175A"/>
    <w:rsid w:val="00C61AD6"/>
    <w:rsid w:val="00C625CC"/>
    <w:rsid w:val="00C62F0C"/>
    <w:rsid w:val="00C63340"/>
    <w:rsid w:val="00C63746"/>
    <w:rsid w:val="00C638E1"/>
    <w:rsid w:val="00C63BCB"/>
    <w:rsid w:val="00C64935"/>
    <w:rsid w:val="00C6570B"/>
    <w:rsid w:val="00C65780"/>
    <w:rsid w:val="00C66651"/>
    <w:rsid w:val="00C66903"/>
    <w:rsid w:val="00C66AB4"/>
    <w:rsid w:val="00C66E96"/>
    <w:rsid w:val="00C7061D"/>
    <w:rsid w:val="00C709AA"/>
    <w:rsid w:val="00C70F40"/>
    <w:rsid w:val="00C70FD3"/>
    <w:rsid w:val="00C7139E"/>
    <w:rsid w:val="00C71BA8"/>
    <w:rsid w:val="00C72BB1"/>
    <w:rsid w:val="00C72CFB"/>
    <w:rsid w:val="00C7424A"/>
    <w:rsid w:val="00C74596"/>
    <w:rsid w:val="00C74888"/>
    <w:rsid w:val="00C753AD"/>
    <w:rsid w:val="00C75839"/>
    <w:rsid w:val="00C75D38"/>
    <w:rsid w:val="00C76529"/>
    <w:rsid w:val="00C77560"/>
    <w:rsid w:val="00C77C03"/>
    <w:rsid w:val="00C77ED8"/>
    <w:rsid w:val="00C8005E"/>
    <w:rsid w:val="00C8022D"/>
    <w:rsid w:val="00C8025E"/>
    <w:rsid w:val="00C82036"/>
    <w:rsid w:val="00C82BCF"/>
    <w:rsid w:val="00C82EB0"/>
    <w:rsid w:val="00C83953"/>
    <w:rsid w:val="00C83B5D"/>
    <w:rsid w:val="00C8413F"/>
    <w:rsid w:val="00C842FA"/>
    <w:rsid w:val="00C84F66"/>
    <w:rsid w:val="00C85354"/>
    <w:rsid w:val="00C861C7"/>
    <w:rsid w:val="00C86ED6"/>
    <w:rsid w:val="00C878A2"/>
    <w:rsid w:val="00C90027"/>
    <w:rsid w:val="00C9034A"/>
    <w:rsid w:val="00C906A9"/>
    <w:rsid w:val="00C90A1E"/>
    <w:rsid w:val="00C90A26"/>
    <w:rsid w:val="00C90C3F"/>
    <w:rsid w:val="00C90F7A"/>
    <w:rsid w:val="00C9119E"/>
    <w:rsid w:val="00C915CA"/>
    <w:rsid w:val="00C9165F"/>
    <w:rsid w:val="00C918E3"/>
    <w:rsid w:val="00C9190E"/>
    <w:rsid w:val="00C921CE"/>
    <w:rsid w:val="00C92A65"/>
    <w:rsid w:val="00C92D3E"/>
    <w:rsid w:val="00C952AF"/>
    <w:rsid w:val="00C96175"/>
    <w:rsid w:val="00C9766D"/>
    <w:rsid w:val="00C97DD2"/>
    <w:rsid w:val="00CA004C"/>
    <w:rsid w:val="00CA098B"/>
    <w:rsid w:val="00CA0D23"/>
    <w:rsid w:val="00CA1028"/>
    <w:rsid w:val="00CA113F"/>
    <w:rsid w:val="00CA1A39"/>
    <w:rsid w:val="00CA201D"/>
    <w:rsid w:val="00CA2CBE"/>
    <w:rsid w:val="00CA3A5C"/>
    <w:rsid w:val="00CA3F7B"/>
    <w:rsid w:val="00CA42C8"/>
    <w:rsid w:val="00CA4887"/>
    <w:rsid w:val="00CA53C6"/>
    <w:rsid w:val="00CA5816"/>
    <w:rsid w:val="00CA5872"/>
    <w:rsid w:val="00CA5F9F"/>
    <w:rsid w:val="00CA6516"/>
    <w:rsid w:val="00CA6A46"/>
    <w:rsid w:val="00CA6D72"/>
    <w:rsid w:val="00CA79D3"/>
    <w:rsid w:val="00CB03D4"/>
    <w:rsid w:val="00CB06AA"/>
    <w:rsid w:val="00CB148C"/>
    <w:rsid w:val="00CB29E2"/>
    <w:rsid w:val="00CB2E8C"/>
    <w:rsid w:val="00CB3537"/>
    <w:rsid w:val="00CB37AD"/>
    <w:rsid w:val="00CB4095"/>
    <w:rsid w:val="00CB4100"/>
    <w:rsid w:val="00CB45CB"/>
    <w:rsid w:val="00CB48BE"/>
    <w:rsid w:val="00CB51C9"/>
    <w:rsid w:val="00CB5420"/>
    <w:rsid w:val="00CB5421"/>
    <w:rsid w:val="00CB5D68"/>
    <w:rsid w:val="00CB5E07"/>
    <w:rsid w:val="00CB6435"/>
    <w:rsid w:val="00CB645C"/>
    <w:rsid w:val="00CB65A3"/>
    <w:rsid w:val="00CB67C6"/>
    <w:rsid w:val="00CC0653"/>
    <w:rsid w:val="00CC13A8"/>
    <w:rsid w:val="00CC1E9B"/>
    <w:rsid w:val="00CC535C"/>
    <w:rsid w:val="00CC5A61"/>
    <w:rsid w:val="00CC5C6F"/>
    <w:rsid w:val="00CC6860"/>
    <w:rsid w:val="00CC6A6E"/>
    <w:rsid w:val="00CC6D88"/>
    <w:rsid w:val="00CC7D05"/>
    <w:rsid w:val="00CD0366"/>
    <w:rsid w:val="00CD0BAC"/>
    <w:rsid w:val="00CD0DA2"/>
    <w:rsid w:val="00CD1293"/>
    <w:rsid w:val="00CD1AD3"/>
    <w:rsid w:val="00CD1DE3"/>
    <w:rsid w:val="00CD2AEE"/>
    <w:rsid w:val="00CD2BF7"/>
    <w:rsid w:val="00CD3040"/>
    <w:rsid w:val="00CD312C"/>
    <w:rsid w:val="00CD408C"/>
    <w:rsid w:val="00CD41A3"/>
    <w:rsid w:val="00CD464B"/>
    <w:rsid w:val="00CD5B03"/>
    <w:rsid w:val="00CD61FD"/>
    <w:rsid w:val="00CD6C73"/>
    <w:rsid w:val="00CD731A"/>
    <w:rsid w:val="00CE0E7D"/>
    <w:rsid w:val="00CE11E9"/>
    <w:rsid w:val="00CE1533"/>
    <w:rsid w:val="00CE1FB9"/>
    <w:rsid w:val="00CE2110"/>
    <w:rsid w:val="00CE22A4"/>
    <w:rsid w:val="00CE2C95"/>
    <w:rsid w:val="00CE2F52"/>
    <w:rsid w:val="00CE4085"/>
    <w:rsid w:val="00CE4A41"/>
    <w:rsid w:val="00CE4EB1"/>
    <w:rsid w:val="00CE57C8"/>
    <w:rsid w:val="00CE661F"/>
    <w:rsid w:val="00CE7996"/>
    <w:rsid w:val="00CF0180"/>
    <w:rsid w:val="00CF0968"/>
    <w:rsid w:val="00CF1935"/>
    <w:rsid w:val="00CF1C13"/>
    <w:rsid w:val="00CF34AF"/>
    <w:rsid w:val="00CF39C9"/>
    <w:rsid w:val="00CF39EE"/>
    <w:rsid w:val="00CF5FC6"/>
    <w:rsid w:val="00CF6A8A"/>
    <w:rsid w:val="00CF7CEE"/>
    <w:rsid w:val="00D00216"/>
    <w:rsid w:val="00D00732"/>
    <w:rsid w:val="00D0080A"/>
    <w:rsid w:val="00D00AD5"/>
    <w:rsid w:val="00D01515"/>
    <w:rsid w:val="00D01AD9"/>
    <w:rsid w:val="00D01EA4"/>
    <w:rsid w:val="00D02157"/>
    <w:rsid w:val="00D021E9"/>
    <w:rsid w:val="00D024DD"/>
    <w:rsid w:val="00D025BF"/>
    <w:rsid w:val="00D046C6"/>
    <w:rsid w:val="00D054BD"/>
    <w:rsid w:val="00D057BD"/>
    <w:rsid w:val="00D060FD"/>
    <w:rsid w:val="00D06B27"/>
    <w:rsid w:val="00D06C76"/>
    <w:rsid w:val="00D07E75"/>
    <w:rsid w:val="00D07F07"/>
    <w:rsid w:val="00D07F43"/>
    <w:rsid w:val="00D11248"/>
    <w:rsid w:val="00D115AB"/>
    <w:rsid w:val="00D1180F"/>
    <w:rsid w:val="00D118E0"/>
    <w:rsid w:val="00D11C32"/>
    <w:rsid w:val="00D11C36"/>
    <w:rsid w:val="00D12251"/>
    <w:rsid w:val="00D1280E"/>
    <w:rsid w:val="00D12B4F"/>
    <w:rsid w:val="00D131A8"/>
    <w:rsid w:val="00D135D2"/>
    <w:rsid w:val="00D14099"/>
    <w:rsid w:val="00D145B8"/>
    <w:rsid w:val="00D14A7E"/>
    <w:rsid w:val="00D15011"/>
    <w:rsid w:val="00D15F7B"/>
    <w:rsid w:val="00D16D23"/>
    <w:rsid w:val="00D172F4"/>
    <w:rsid w:val="00D204C6"/>
    <w:rsid w:val="00D207BB"/>
    <w:rsid w:val="00D20B59"/>
    <w:rsid w:val="00D223E7"/>
    <w:rsid w:val="00D22C34"/>
    <w:rsid w:val="00D2309F"/>
    <w:rsid w:val="00D23B77"/>
    <w:rsid w:val="00D23F14"/>
    <w:rsid w:val="00D23FC9"/>
    <w:rsid w:val="00D240D7"/>
    <w:rsid w:val="00D24539"/>
    <w:rsid w:val="00D24775"/>
    <w:rsid w:val="00D24BEB"/>
    <w:rsid w:val="00D253D6"/>
    <w:rsid w:val="00D266F1"/>
    <w:rsid w:val="00D273D2"/>
    <w:rsid w:val="00D27958"/>
    <w:rsid w:val="00D279B5"/>
    <w:rsid w:val="00D30D69"/>
    <w:rsid w:val="00D30E31"/>
    <w:rsid w:val="00D31A6B"/>
    <w:rsid w:val="00D31F24"/>
    <w:rsid w:val="00D32448"/>
    <w:rsid w:val="00D3256D"/>
    <w:rsid w:val="00D3342B"/>
    <w:rsid w:val="00D336BB"/>
    <w:rsid w:val="00D33D82"/>
    <w:rsid w:val="00D34A0D"/>
    <w:rsid w:val="00D3631C"/>
    <w:rsid w:val="00D364FF"/>
    <w:rsid w:val="00D36E2A"/>
    <w:rsid w:val="00D36E76"/>
    <w:rsid w:val="00D372B2"/>
    <w:rsid w:val="00D3772C"/>
    <w:rsid w:val="00D37D0C"/>
    <w:rsid w:val="00D400ED"/>
    <w:rsid w:val="00D406C2"/>
    <w:rsid w:val="00D40B0C"/>
    <w:rsid w:val="00D413EA"/>
    <w:rsid w:val="00D413F5"/>
    <w:rsid w:val="00D414DE"/>
    <w:rsid w:val="00D42167"/>
    <w:rsid w:val="00D42A75"/>
    <w:rsid w:val="00D42E8C"/>
    <w:rsid w:val="00D433CE"/>
    <w:rsid w:val="00D444FB"/>
    <w:rsid w:val="00D4476D"/>
    <w:rsid w:val="00D44E95"/>
    <w:rsid w:val="00D451A8"/>
    <w:rsid w:val="00D4560E"/>
    <w:rsid w:val="00D456F8"/>
    <w:rsid w:val="00D45B39"/>
    <w:rsid w:val="00D45DD9"/>
    <w:rsid w:val="00D46EF1"/>
    <w:rsid w:val="00D472D4"/>
    <w:rsid w:val="00D508C2"/>
    <w:rsid w:val="00D50A21"/>
    <w:rsid w:val="00D50EBA"/>
    <w:rsid w:val="00D51C6F"/>
    <w:rsid w:val="00D51C8B"/>
    <w:rsid w:val="00D51E9C"/>
    <w:rsid w:val="00D5214A"/>
    <w:rsid w:val="00D52E75"/>
    <w:rsid w:val="00D532FE"/>
    <w:rsid w:val="00D53CCB"/>
    <w:rsid w:val="00D542BB"/>
    <w:rsid w:val="00D543C5"/>
    <w:rsid w:val="00D544FC"/>
    <w:rsid w:val="00D54616"/>
    <w:rsid w:val="00D55558"/>
    <w:rsid w:val="00D55783"/>
    <w:rsid w:val="00D5680D"/>
    <w:rsid w:val="00D56C6E"/>
    <w:rsid w:val="00D56D76"/>
    <w:rsid w:val="00D574D4"/>
    <w:rsid w:val="00D57FAE"/>
    <w:rsid w:val="00D601BE"/>
    <w:rsid w:val="00D60928"/>
    <w:rsid w:val="00D60A5C"/>
    <w:rsid w:val="00D61206"/>
    <w:rsid w:val="00D618DD"/>
    <w:rsid w:val="00D6226D"/>
    <w:rsid w:val="00D62796"/>
    <w:rsid w:val="00D62A9E"/>
    <w:rsid w:val="00D62D88"/>
    <w:rsid w:val="00D62EE5"/>
    <w:rsid w:val="00D636F5"/>
    <w:rsid w:val="00D63A05"/>
    <w:rsid w:val="00D64219"/>
    <w:rsid w:val="00D64413"/>
    <w:rsid w:val="00D64587"/>
    <w:rsid w:val="00D64595"/>
    <w:rsid w:val="00D64CEB"/>
    <w:rsid w:val="00D651E9"/>
    <w:rsid w:val="00D65584"/>
    <w:rsid w:val="00D65CBE"/>
    <w:rsid w:val="00D660BE"/>
    <w:rsid w:val="00D669B8"/>
    <w:rsid w:val="00D669CA"/>
    <w:rsid w:val="00D66BA6"/>
    <w:rsid w:val="00D66C5B"/>
    <w:rsid w:val="00D70198"/>
    <w:rsid w:val="00D70917"/>
    <w:rsid w:val="00D70DBF"/>
    <w:rsid w:val="00D71343"/>
    <w:rsid w:val="00D7154E"/>
    <w:rsid w:val="00D728A4"/>
    <w:rsid w:val="00D729AB"/>
    <w:rsid w:val="00D72AE8"/>
    <w:rsid w:val="00D72E3D"/>
    <w:rsid w:val="00D735EA"/>
    <w:rsid w:val="00D73C6C"/>
    <w:rsid w:val="00D73F8E"/>
    <w:rsid w:val="00D74085"/>
    <w:rsid w:val="00D74BA0"/>
    <w:rsid w:val="00D75303"/>
    <w:rsid w:val="00D758AC"/>
    <w:rsid w:val="00D760E7"/>
    <w:rsid w:val="00D761C8"/>
    <w:rsid w:val="00D761CB"/>
    <w:rsid w:val="00D76EF8"/>
    <w:rsid w:val="00D77B4C"/>
    <w:rsid w:val="00D77BD6"/>
    <w:rsid w:val="00D80834"/>
    <w:rsid w:val="00D8127C"/>
    <w:rsid w:val="00D816A9"/>
    <w:rsid w:val="00D81915"/>
    <w:rsid w:val="00D82017"/>
    <w:rsid w:val="00D82C0B"/>
    <w:rsid w:val="00D82EBB"/>
    <w:rsid w:val="00D8316A"/>
    <w:rsid w:val="00D84335"/>
    <w:rsid w:val="00D84874"/>
    <w:rsid w:val="00D84ACE"/>
    <w:rsid w:val="00D850D8"/>
    <w:rsid w:val="00D85134"/>
    <w:rsid w:val="00D8556E"/>
    <w:rsid w:val="00D8590C"/>
    <w:rsid w:val="00D86418"/>
    <w:rsid w:val="00D86B23"/>
    <w:rsid w:val="00D87A38"/>
    <w:rsid w:val="00D87CF9"/>
    <w:rsid w:val="00D87F6E"/>
    <w:rsid w:val="00D90068"/>
    <w:rsid w:val="00D90E3C"/>
    <w:rsid w:val="00D914D2"/>
    <w:rsid w:val="00D91C23"/>
    <w:rsid w:val="00D91D66"/>
    <w:rsid w:val="00D92248"/>
    <w:rsid w:val="00D9224D"/>
    <w:rsid w:val="00D925C7"/>
    <w:rsid w:val="00D9344C"/>
    <w:rsid w:val="00D93B28"/>
    <w:rsid w:val="00D9415E"/>
    <w:rsid w:val="00D96540"/>
    <w:rsid w:val="00D96762"/>
    <w:rsid w:val="00D96B91"/>
    <w:rsid w:val="00D97369"/>
    <w:rsid w:val="00D973DA"/>
    <w:rsid w:val="00D974BA"/>
    <w:rsid w:val="00D97636"/>
    <w:rsid w:val="00D9782F"/>
    <w:rsid w:val="00DA020F"/>
    <w:rsid w:val="00DA0569"/>
    <w:rsid w:val="00DA1037"/>
    <w:rsid w:val="00DA1A0F"/>
    <w:rsid w:val="00DA2199"/>
    <w:rsid w:val="00DA2734"/>
    <w:rsid w:val="00DA2AA7"/>
    <w:rsid w:val="00DA2C0D"/>
    <w:rsid w:val="00DA2C1C"/>
    <w:rsid w:val="00DA2C3D"/>
    <w:rsid w:val="00DA2C56"/>
    <w:rsid w:val="00DA433F"/>
    <w:rsid w:val="00DA45E0"/>
    <w:rsid w:val="00DA4B0C"/>
    <w:rsid w:val="00DA4DCC"/>
    <w:rsid w:val="00DA5041"/>
    <w:rsid w:val="00DA5698"/>
    <w:rsid w:val="00DA734A"/>
    <w:rsid w:val="00DA79AF"/>
    <w:rsid w:val="00DB026F"/>
    <w:rsid w:val="00DB04F8"/>
    <w:rsid w:val="00DB0E2B"/>
    <w:rsid w:val="00DB1052"/>
    <w:rsid w:val="00DB1C65"/>
    <w:rsid w:val="00DB20F0"/>
    <w:rsid w:val="00DB21C0"/>
    <w:rsid w:val="00DB2276"/>
    <w:rsid w:val="00DB2B0A"/>
    <w:rsid w:val="00DB31AC"/>
    <w:rsid w:val="00DB3303"/>
    <w:rsid w:val="00DB356E"/>
    <w:rsid w:val="00DB3CD0"/>
    <w:rsid w:val="00DB446D"/>
    <w:rsid w:val="00DB4681"/>
    <w:rsid w:val="00DB4D87"/>
    <w:rsid w:val="00DB5271"/>
    <w:rsid w:val="00DB5349"/>
    <w:rsid w:val="00DB54BC"/>
    <w:rsid w:val="00DB55B3"/>
    <w:rsid w:val="00DB6621"/>
    <w:rsid w:val="00DB67D3"/>
    <w:rsid w:val="00DB6953"/>
    <w:rsid w:val="00DB7748"/>
    <w:rsid w:val="00DB7A9C"/>
    <w:rsid w:val="00DC1031"/>
    <w:rsid w:val="00DC1058"/>
    <w:rsid w:val="00DC15FC"/>
    <w:rsid w:val="00DC2978"/>
    <w:rsid w:val="00DC2C1A"/>
    <w:rsid w:val="00DC2EF0"/>
    <w:rsid w:val="00DC3158"/>
    <w:rsid w:val="00DC3B23"/>
    <w:rsid w:val="00DC3E02"/>
    <w:rsid w:val="00DC5034"/>
    <w:rsid w:val="00DC531B"/>
    <w:rsid w:val="00DC5A0C"/>
    <w:rsid w:val="00DC5CA6"/>
    <w:rsid w:val="00DC6802"/>
    <w:rsid w:val="00DC6943"/>
    <w:rsid w:val="00DC6CA5"/>
    <w:rsid w:val="00DC720A"/>
    <w:rsid w:val="00DC7C80"/>
    <w:rsid w:val="00DD0165"/>
    <w:rsid w:val="00DD059F"/>
    <w:rsid w:val="00DD0EF6"/>
    <w:rsid w:val="00DD0F38"/>
    <w:rsid w:val="00DD18A9"/>
    <w:rsid w:val="00DD1E13"/>
    <w:rsid w:val="00DD20F3"/>
    <w:rsid w:val="00DD25C7"/>
    <w:rsid w:val="00DD25EF"/>
    <w:rsid w:val="00DD3D63"/>
    <w:rsid w:val="00DD456B"/>
    <w:rsid w:val="00DD4618"/>
    <w:rsid w:val="00DD47EE"/>
    <w:rsid w:val="00DD4D87"/>
    <w:rsid w:val="00DD4DB6"/>
    <w:rsid w:val="00DD56F6"/>
    <w:rsid w:val="00DD734F"/>
    <w:rsid w:val="00DD7408"/>
    <w:rsid w:val="00DD75F4"/>
    <w:rsid w:val="00DD7AE2"/>
    <w:rsid w:val="00DE0755"/>
    <w:rsid w:val="00DE0782"/>
    <w:rsid w:val="00DE0C74"/>
    <w:rsid w:val="00DE117E"/>
    <w:rsid w:val="00DE1599"/>
    <w:rsid w:val="00DE16CB"/>
    <w:rsid w:val="00DE1BF2"/>
    <w:rsid w:val="00DE2959"/>
    <w:rsid w:val="00DE2DD4"/>
    <w:rsid w:val="00DE3216"/>
    <w:rsid w:val="00DE3927"/>
    <w:rsid w:val="00DE3A61"/>
    <w:rsid w:val="00DE4D58"/>
    <w:rsid w:val="00DE4D5F"/>
    <w:rsid w:val="00DE5372"/>
    <w:rsid w:val="00DE5810"/>
    <w:rsid w:val="00DE5BD5"/>
    <w:rsid w:val="00DE6295"/>
    <w:rsid w:val="00DE661F"/>
    <w:rsid w:val="00DE6C01"/>
    <w:rsid w:val="00DE70DE"/>
    <w:rsid w:val="00DF13C7"/>
    <w:rsid w:val="00DF16E5"/>
    <w:rsid w:val="00DF1EDC"/>
    <w:rsid w:val="00DF1F50"/>
    <w:rsid w:val="00DF2741"/>
    <w:rsid w:val="00DF28DF"/>
    <w:rsid w:val="00DF33CD"/>
    <w:rsid w:val="00DF3697"/>
    <w:rsid w:val="00DF36C0"/>
    <w:rsid w:val="00DF36C2"/>
    <w:rsid w:val="00DF3CBC"/>
    <w:rsid w:val="00DF3CE9"/>
    <w:rsid w:val="00DF49B1"/>
    <w:rsid w:val="00DF5352"/>
    <w:rsid w:val="00DF573F"/>
    <w:rsid w:val="00DF636B"/>
    <w:rsid w:val="00DF6B4E"/>
    <w:rsid w:val="00DF73D1"/>
    <w:rsid w:val="00E002D5"/>
    <w:rsid w:val="00E00AA5"/>
    <w:rsid w:val="00E00B31"/>
    <w:rsid w:val="00E00F46"/>
    <w:rsid w:val="00E01552"/>
    <w:rsid w:val="00E02BA7"/>
    <w:rsid w:val="00E02D85"/>
    <w:rsid w:val="00E03619"/>
    <w:rsid w:val="00E05845"/>
    <w:rsid w:val="00E061E1"/>
    <w:rsid w:val="00E06770"/>
    <w:rsid w:val="00E067D6"/>
    <w:rsid w:val="00E06A3F"/>
    <w:rsid w:val="00E06A8E"/>
    <w:rsid w:val="00E06B8A"/>
    <w:rsid w:val="00E07024"/>
    <w:rsid w:val="00E07139"/>
    <w:rsid w:val="00E07296"/>
    <w:rsid w:val="00E07865"/>
    <w:rsid w:val="00E07BB1"/>
    <w:rsid w:val="00E07CF3"/>
    <w:rsid w:val="00E107EA"/>
    <w:rsid w:val="00E1171E"/>
    <w:rsid w:val="00E11951"/>
    <w:rsid w:val="00E11E76"/>
    <w:rsid w:val="00E12AFA"/>
    <w:rsid w:val="00E12BA9"/>
    <w:rsid w:val="00E135EA"/>
    <w:rsid w:val="00E13765"/>
    <w:rsid w:val="00E13EAD"/>
    <w:rsid w:val="00E151C1"/>
    <w:rsid w:val="00E1520C"/>
    <w:rsid w:val="00E15C4B"/>
    <w:rsid w:val="00E15E49"/>
    <w:rsid w:val="00E161B1"/>
    <w:rsid w:val="00E16478"/>
    <w:rsid w:val="00E16AA9"/>
    <w:rsid w:val="00E16FB8"/>
    <w:rsid w:val="00E20713"/>
    <w:rsid w:val="00E21218"/>
    <w:rsid w:val="00E21359"/>
    <w:rsid w:val="00E21732"/>
    <w:rsid w:val="00E218ED"/>
    <w:rsid w:val="00E21A23"/>
    <w:rsid w:val="00E21D21"/>
    <w:rsid w:val="00E21DEA"/>
    <w:rsid w:val="00E224D0"/>
    <w:rsid w:val="00E22691"/>
    <w:rsid w:val="00E22814"/>
    <w:rsid w:val="00E23234"/>
    <w:rsid w:val="00E2349B"/>
    <w:rsid w:val="00E2432A"/>
    <w:rsid w:val="00E24342"/>
    <w:rsid w:val="00E2463A"/>
    <w:rsid w:val="00E24DF7"/>
    <w:rsid w:val="00E254D6"/>
    <w:rsid w:val="00E25D52"/>
    <w:rsid w:val="00E2601C"/>
    <w:rsid w:val="00E26549"/>
    <w:rsid w:val="00E26840"/>
    <w:rsid w:val="00E26894"/>
    <w:rsid w:val="00E269F3"/>
    <w:rsid w:val="00E26E90"/>
    <w:rsid w:val="00E26F29"/>
    <w:rsid w:val="00E272D8"/>
    <w:rsid w:val="00E276E8"/>
    <w:rsid w:val="00E277C2"/>
    <w:rsid w:val="00E27F67"/>
    <w:rsid w:val="00E306F1"/>
    <w:rsid w:val="00E30A9E"/>
    <w:rsid w:val="00E30AA4"/>
    <w:rsid w:val="00E30C14"/>
    <w:rsid w:val="00E3132B"/>
    <w:rsid w:val="00E31693"/>
    <w:rsid w:val="00E31C5C"/>
    <w:rsid w:val="00E3272F"/>
    <w:rsid w:val="00E329DD"/>
    <w:rsid w:val="00E32BF4"/>
    <w:rsid w:val="00E33013"/>
    <w:rsid w:val="00E3304C"/>
    <w:rsid w:val="00E33259"/>
    <w:rsid w:val="00E33ADD"/>
    <w:rsid w:val="00E349DE"/>
    <w:rsid w:val="00E356E1"/>
    <w:rsid w:val="00E359CA"/>
    <w:rsid w:val="00E35A36"/>
    <w:rsid w:val="00E36022"/>
    <w:rsid w:val="00E362FE"/>
    <w:rsid w:val="00E36745"/>
    <w:rsid w:val="00E401BE"/>
    <w:rsid w:val="00E40876"/>
    <w:rsid w:val="00E40984"/>
    <w:rsid w:val="00E412D0"/>
    <w:rsid w:val="00E416EC"/>
    <w:rsid w:val="00E425ED"/>
    <w:rsid w:val="00E42F5E"/>
    <w:rsid w:val="00E42FDC"/>
    <w:rsid w:val="00E44B8A"/>
    <w:rsid w:val="00E45AFE"/>
    <w:rsid w:val="00E45B0C"/>
    <w:rsid w:val="00E45D21"/>
    <w:rsid w:val="00E46184"/>
    <w:rsid w:val="00E4618F"/>
    <w:rsid w:val="00E476AF"/>
    <w:rsid w:val="00E47E8A"/>
    <w:rsid w:val="00E47FE1"/>
    <w:rsid w:val="00E50179"/>
    <w:rsid w:val="00E50CAB"/>
    <w:rsid w:val="00E511E3"/>
    <w:rsid w:val="00E51A29"/>
    <w:rsid w:val="00E5387E"/>
    <w:rsid w:val="00E53930"/>
    <w:rsid w:val="00E53E09"/>
    <w:rsid w:val="00E542B0"/>
    <w:rsid w:val="00E548B3"/>
    <w:rsid w:val="00E54DFD"/>
    <w:rsid w:val="00E54FFD"/>
    <w:rsid w:val="00E56D6D"/>
    <w:rsid w:val="00E573D1"/>
    <w:rsid w:val="00E60384"/>
    <w:rsid w:val="00E621E5"/>
    <w:rsid w:val="00E624A0"/>
    <w:rsid w:val="00E631F4"/>
    <w:rsid w:val="00E636A8"/>
    <w:rsid w:val="00E63CA1"/>
    <w:rsid w:val="00E63F2A"/>
    <w:rsid w:val="00E6443E"/>
    <w:rsid w:val="00E64612"/>
    <w:rsid w:val="00E64786"/>
    <w:rsid w:val="00E64B21"/>
    <w:rsid w:val="00E65C3C"/>
    <w:rsid w:val="00E66021"/>
    <w:rsid w:val="00E661AB"/>
    <w:rsid w:val="00E662F3"/>
    <w:rsid w:val="00E663EA"/>
    <w:rsid w:val="00E664BD"/>
    <w:rsid w:val="00E664D9"/>
    <w:rsid w:val="00E674DB"/>
    <w:rsid w:val="00E676FE"/>
    <w:rsid w:val="00E67A85"/>
    <w:rsid w:val="00E70B69"/>
    <w:rsid w:val="00E70C2D"/>
    <w:rsid w:val="00E70E64"/>
    <w:rsid w:val="00E71394"/>
    <w:rsid w:val="00E7169D"/>
    <w:rsid w:val="00E719AC"/>
    <w:rsid w:val="00E72862"/>
    <w:rsid w:val="00E729B5"/>
    <w:rsid w:val="00E72AB6"/>
    <w:rsid w:val="00E72D41"/>
    <w:rsid w:val="00E73593"/>
    <w:rsid w:val="00E735EC"/>
    <w:rsid w:val="00E73EB5"/>
    <w:rsid w:val="00E749EC"/>
    <w:rsid w:val="00E74F6C"/>
    <w:rsid w:val="00E75010"/>
    <w:rsid w:val="00E7517F"/>
    <w:rsid w:val="00E760F8"/>
    <w:rsid w:val="00E769D0"/>
    <w:rsid w:val="00E76D32"/>
    <w:rsid w:val="00E77189"/>
    <w:rsid w:val="00E7730F"/>
    <w:rsid w:val="00E77B11"/>
    <w:rsid w:val="00E77CD8"/>
    <w:rsid w:val="00E77D72"/>
    <w:rsid w:val="00E77FFB"/>
    <w:rsid w:val="00E80322"/>
    <w:rsid w:val="00E805C7"/>
    <w:rsid w:val="00E80C2B"/>
    <w:rsid w:val="00E80C39"/>
    <w:rsid w:val="00E81273"/>
    <w:rsid w:val="00E815D3"/>
    <w:rsid w:val="00E8189F"/>
    <w:rsid w:val="00E81ADB"/>
    <w:rsid w:val="00E81B65"/>
    <w:rsid w:val="00E81FD0"/>
    <w:rsid w:val="00E8204B"/>
    <w:rsid w:val="00E82536"/>
    <w:rsid w:val="00E8270A"/>
    <w:rsid w:val="00E83452"/>
    <w:rsid w:val="00E8393B"/>
    <w:rsid w:val="00E839AB"/>
    <w:rsid w:val="00E83DCB"/>
    <w:rsid w:val="00E84043"/>
    <w:rsid w:val="00E842C1"/>
    <w:rsid w:val="00E843BA"/>
    <w:rsid w:val="00E848EC"/>
    <w:rsid w:val="00E84CB3"/>
    <w:rsid w:val="00E8508E"/>
    <w:rsid w:val="00E853BC"/>
    <w:rsid w:val="00E86F14"/>
    <w:rsid w:val="00E87049"/>
    <w:rsid w:val="00E87571"/>
    <w:rsid w:val="00E87BFB"/>
    <w:rsid w:val="00E87E38"/>
    <w:rsid w:val="00E87EDF"/>
    <w:rsid w:val="00E900A1"/>
    <w:rsid w:val="00E9019A"/>
    <w:rsid w:val="00E90C02"/>
    <w:rsid w:val="00E90D4D"/>
    <w:rsid w:val="00E9156C"/>
    <w:rsid w:val="00E919F3"/>
    <w:rsid w:val="00E91AD4"/>
    <w:rsid w:val="00E92572"/>
    <w:rsid w:val="00E92B2F"/>
    <w:rsid w:val="00E92BA4"/>
    <w:rsid w:val="00E93F1E"/>
    <w:rsid w:val="00E94871"/>
    <w:rsid w:val="00E949BC"/>
    <w:rsid w:val="00E95047"/>
    <w:rsid w:val="00E95C0E"/>
    <w:rsid w:val="00E96714"/>
    <w:rsid w:val="00E969EA"/>
    <w:rsid w:val="00E975FA"/>
    <w:rsid w:val="00E976C7"/>
    <w:rsid w:val="00E97BD3"/>
    <w:rsid w:val="00E97E14"/>
    <w:rsid w:val="00EA053B"/>
    <w:rsid w:val="00EA09C1"/>
    <w:rsid w:val="00EA0AE5"/>
    <w:rsid w:val="00EA0DC2"/>
    <w:rsid w:val="00EA11CA"/>
    <w:rsid w:val="00EA16C3"/>
    <w:rsid w:val="00EA1F76"/>
    <w:rsid w:val="00EA3EB1"/>
    <w:rsid w:val="00EA3EC3"/>
    <w:rsid w:val="00EA526F"/>
    <w:rsid w:val="00EA5442"/>
    <w:rsid w:val="00EA55EA"/>
    <w:rsid w:val="00EA7DA5"/>
    <w:rsid w:val="00EB150A"/>
    <w:rsid w:val="00EB2452"/>
    <w:rsid w:val="00EB24F5"/>
    <w:rsid w:val="00EB3828"/>
    <w:rsid w:val="00EB4153"/>
    <w:rsid w:val="00EB4325"/>
    <w:rsid w:val="00EB48D6"/>
    <w:rsid w:val="00EB5327"/>
    <w:rsid w:val="00EB5D68"/>
    <w:rsid w:val="00EB617E"/>
    <w:rsid w:val="00EB6D83"/>
    <w:rsid w:val="00EB6DD1"/>
    <w:rsid w:val="00EB6FF2"/>
    <w:rsid w:val="00EB75B8"/>
    <w:rsid w:val="00EC0C6A"/>
    <w:rsid w:val="00EC10BB"/>
    <w:rsid w:val="00EC116D"/>
    <w:rsid w:val="00EC142C"/>
    <w:rsid w:val="00EC1643"/>
    <w:rsid w:val="00EC23B3"/>
    <w:rsid w:val="00EC2426"/>
    <w:rsid w:val="00EC338A"/>
    <w:rsid w:val="00EC3DA0"/>
    <w:rsid w:val="00EC4BA2"/>
    <w:rsid w:val="00EC5384"/>
    <w:rsid w:val="00EC54D1"/>
    <w:rsid w:val="00EC56DC"/>
    <w:rsid w:val="00EC5CC1"/>
    <w:rsid w:val="00EC7B4D"/>
    <w:rsid w:val="00EC7CFD"/>
    <w:rsid w:val="00EC7F39"/>
    <w:rsid w:val="00ED0137"/>
    <w:rsid w:val="00ED0449"/>
    <w:rsid w:val="00ED0845"/>
    <w:rsid w:val="00ED0E32"/>
    <w:rsid w:val="00ED111B"/>
    <w:rsid w:val="00ED1DFD"/>
    <w:rsid w:val="00ED209B"/>
    <w:rsid w:val="00ED24D1"/>
    <w:rsid w:val="00ED2D32"/>
    <w:rsid w:val="00ED3637"/>
    <w:rsid w:val="00ED3658"/>
    <w:rsid w:val="00ED3AC7"/>
    <w:rsid w:val="00ED4783"/>
    <w:rsid w:val="00ED5799"/>
    <w:rsid w:val="00ED6F07"/>
    <w:rsid w:val="00ED74DF"/>
    <w:rsid w:val="00ED7B16"/>
    <w:rsid w:val="00EE03F5"/>
    <w:rsid w:val="00EE0AF1"/>
    <w:rsid w:val="00EE0D8D"/>
    <w:rsid w:val="00EE15F7"/>
    <w:rsid w:val="00EE1C79"/>
    <w:rsid w:val="00EE21F8"/>
    <w:rsid w:val="00EE24F0"/>
    <w:rsid w:val="00EE2E9B"/>
    <w:rsid w:val="00EE33F9"/>
    <w:rsid w:val="00EE34B9"/>
    <w:rsid w:val="00EE3D3C"/>
    <w:rsid w:val="00EE4A20"/>
    <w:rsid w:val="00EE4D39"/>
    <w:rsid w:val="00EE5302"/>
    <w:rsid w:val="00EE558E"/>
    <w:rsid w:val="00EE5B4A"/>
    <w:rsid w:val="00EE5B96"/>
    <w:rsid w:val="00EE6276"/>
    <w:rsid w:val="00EE643A"/>
    <w:rsid w:val="00EE6532"/>
    <w:rsid w:val="00EE676F"/>
    <w:rsid w:val="00EE6AEF"/>
    <w:rsid w:val="00EF015E"/>
    <w:rsid w:val="00EF0478"/>
    <w:rsid w:val="00EF0920"/>
    <w:rsid w:val="00EF15BD"/>
    <w:rsid w:val="00EF16AD"/>
    <w:rsid w:val="00EF16D4"/>
    <w:rsid w:val="00EF1B06"/>
    <w:rsid w:val="00EF22C6"/>
    <w:rsid w:val="00EF2D9E"/>
    <w:rsid w:val="00EF2DAB"/>
    <w:rsid w:val="00EF2F82"/>
    <w:rsid w:val="00EF3567"/>
    <w:rsid w:val="00EF3A8F"/>
    <w:rsid w:val="00EF42F1"/>
    <w:rsid w:val="00EF4566"/>
    <w:rsid w:val="00EF4C44"/>
    <w:rsid w:val="00EF5888"/>
    <w:rsid w:val="00EF5B23"/>
    <w:rsid w:val="00EF5D76"/>
    <w:rsid w:val="00EF6074"/>
    <w:rsid w:val="00EF6E41"/>
    <w:rsid w:val="00EF773F"/>
    <w:rsid w:val="00F013FD"/>
    <w:rsid w:val="00F014F6"/>
    <w:rsid w:val="00F01DD1"/>
    <w:rsid w:val="00F01FC5"/>
    <w:rsid w:val="00F02108"/>
    <w:rsid w:val="00F03257"/>
    <w:rsid w:val="00F03F4C"/>
    <w:rsid w:val="00F04190"/>
    <w:rsid w:val="00F04966"/>
    <w:rsid w:val="00F04EFA"/>
    <w:rsid w:val="00F05445"/>
    <w:rsid w:val="00F0648A"/>
    <w:rsid w:val="00F064BC"/>
    <w:rsid w:val="00F06FFC"/>
    <w:rsid w:val="00F079F1"/>
    <w:rsid w:val="00F07D4D"/>
    <w:rsid w:val="00F10A2D"/>
    <w:rsid w:val="00F10C2D"/>
    <w:rsid w:val="00F128A1"/>
    <w:rsid w:val="00F128A2"/>
    <w:rsid w:val="00F12955"/>
    <w:rsid w:val="00F12D1E"/>
    <w:rsid w:val="00F12E27"/>
    <w:rsid w:val="00F137FA"/>
    <w:rsid w:val="00F138B4"/>
    <w:rsid w:val="00F13B93"/>
    <w:rsid w:val="00F13F39"/>
    <w:rsid w:val="00F14A28"/>
    <w:rsid w:val="00F16352"/>
    <w:rsid w:val="00F1669B"/>
    <w:rsid w:val="00F17047"/>
    <w:rsid w:val="00F2005F"/>
    <w:rsid w:val="00F212AF"/>
    <w:rsid w:val="00F217D1"/>
    <w:rsid w:val="00F21E73"/>
    <w:rsid w:val="00F21E82"/>
    <w:rsid w:val="00F22D3A"/>
    <w:rsid w:val="00F2332B"/>
    <w:rsid w:val="00F237A8"/>
    <w:rsid w:val="00F248FA"/>
    <w:rsid w:val="00F24FD4"/>
    <w:rsid w:val="00F25488"/>
    <w:rsid w:val="00F2782E"/>
    <w:rsid w:val="00F27DC6"/>
    <w:rsid w:val="00F30348"/>
    <w:rsid w:val="00F309D6"/>
    <w:rsid w:val="00F31352"/>
    <w:rsid w:val="00F322A8"/>
    <w:rsid w:val="00F32D6E"/>
    <w:rsid w:val="00F33243"/>
    <w:rsid w:val="00F333C9"/>
    <w:rsid w:val="00F3408E"/>
    <w:rsid w:val="00F35B7C"/>
    <w:rsid w:val="00F363A5"/>
    <w:rsid w:val="00F3714D"/>
    <w:rsid w:val="00F37286"/>
    <w:rsid w:val="00F37A65"/>
    <w:rsid w:val="00F37E67"/>
    <w:rsid w:val="00F402C8"/>
    <w:rsid w:val="00F40CEE"/>
    <w:rsid w:val="00F4141A"/>
    <w:rsid w:val="00F4167E"/>
    <w:rsid w:val="00F41854"/>
    <w:rsid w:val="00F42B19"/>
    <w:rsid w:val="00F42DAB"/>
    <w:rsid w:val="00F42F17"/>
    <w:rsid w:val="00F43242"/>
    <w:rsid w:val="00F4358E"/>
    <w:rsid w:val="00F4501A"/>
    <w:rsid w:val="00F4544F"/>
    <w:rsid w:val="00F45DBE"/>
    <w:rsid w:val="00F4649D"/>
    <w:rsid w:val="00F46991"/>
    <w:rsid w:val="00F4720A"/>
    <w:rsid w:val="00F474A3"/>
    <w:rsid w:val="00F478A9"/>
    <w:rsid w:val="00F478C6"/>
    <w:rsid w:val="00F47B9F"/>
    <w:rsid w:val="00F50116"/>
    <w:rsid w:val="00F501B3"/>
    <w:rsid w:val="00F50345"/>
    <w:rsid w:val="00F51126"/>
    <w:rsid w:val="00F5289E"/>
    <w:rsid w:val="00F5325B"/>
    <w:rsid w:val="00F53A14"/>
    <w:rsid w:val="00F54A68"/>
    <w:rsid w:val="00F550A6"/>
    <w:rsid w:val="00F550C9"/>
    <w:rsid w:val="00F55637"/>
    <w:rsid w:val="00F55CA4"/>
    <w:rsid w:val="00F56063"/>
    <w:rsid w:val="00F563A6"/>
    <w:rsid w:val="00F56ACD"/>
    <w:rsid w:val="00F56EAB"/>
    <w:rsid w:val="00F6079D"/>
    <w:rsid w:val="00F60DFB"/>
    <w:rsid w:val="00F61B3E"/>
    <w:rsid w:val="00F62168"/>
    <w:rsid w:val="00F62304"/>
    <w:rsid w:val="00F6284C"/>
    <w:rsid w:val="00F62D30"/>
    <w:rsid w:val="00F63E46"/>
    <w:rsid w:val="00F63E56"/>
    <w:rsid w:val="00F63F29"/>
    <w:rsid w:val="00F644AF"/>
    <w:rsid w:val="00F648A2"/>
    <w:rsid w:val="00F64A53"/>
    <w:rsid w:val="00F64A77"/>
    <w:rsid w:val="00F64CF1"/>
    <w:rsid w:val="00F65E62"/>
    <w:rsid w:val="00F65ED6"/>
    <w:rsid w:val="00F66158"/>
    <w:rsid w:val="00F66705"/>
    <w:rsid w:val="00F667E0"/>
    <w:rsid w:val="00F66813"/>
    <w:rsid w:val="00F67338"/>
    <w:rsid w:val="00F67617"/>
    <w:rsid w:val="00F67EFB"/>
    <w:rsid w:val="00F70569"/>
    <w:rsid w:val="00F70794"/>
    <w:rsid w:val="00F7093E"/>
    <w:rsid w:val="00F7107A"/>
    <w:rsid w:val="00F71163"/>
    <w:rsid w:val="00F71378"/>
    <w:rsid w:val="00F71A8C"/>
    <w:rsid w:val="00F72B67"/>
    <w:rsid w:val="00F73137"/>
    <w:rsid w:val="00F74950"/>
    <w:rsid w:val="00F752C4"/>
    <w:rsid w:val="00F753AE"/>
    <w:rsid w:val="00F757A2"/>
    <w:rsid w:val="00F758AA"/>
    <w:rsid w:val="00F75F58"/>
    <w:rsid w:val="00F760A9"/>
    <w:rsid w:val="00F76A62"/>
    <w:rsid w:val="00F7728B"/>
    <w:rsid w:val="00F77C05"/>
    <w:rsid w:val="00F77F01"/>
    <w:rsid w:val="00F77FFA"/>
    <w:rsid w:val="00F817D1"/>
    <w:rsid w:val="00F81E32"/>
    <w:rsid w:val="00F82DE9"/>
    <w:rsid w:val="00F82F5B"/>
    <w:rsid w:val="00F82F64"/>
    <w:rsid w:val="00F8332B"/>
    <w:rsid w:val="00F83F2D"/>
    <w:rsid w:val="00F843B0"/>
    <w:rsid w:val="00F84BDA"/>
    <w:rsid w:val="00F85467"/>
    <w:rsid w:val="00F85A98"/>
    <w:rsid w:val="00F8648A"/>
    <w:rsid w:val="00F86DFC"/>
    <w:rsid w:val="00F873C6"/>
    <w:rsid w:val="00F8787F"/>
    <w:rsid w:val="00F90D83"/>
    <w:rsid w:val="00F910E6"/>
    <w:rsid w:val="00F924D5"/>
    <w:rsid w:val="00F92807"/>
    <w:rsid w:val="00F92FF3"/>
    <w:rsid w:val="00F9319B"/>
    <w:rsid w:val="00F94255"/>
    <w:rsid w:val="00F9484F"/>
    <w:rsid w:val="00F94BE9"/>
    <w:rsid w:val="00F9520E"/>
    <w:rsid w:val="00F959FD"/>
    <w:rsid w:val="00F95DBB"/>
    <w:rsid w:val="00F964B2"/>
    <w:rsid w:val="00F96814"/>
    <w:rsid w:val="00F9716F"/>
    <w:rsid w:val="00FA0B08"/>
    <w:rsid w:val="00FA0BAD"/>
    <w:rsid w:val="00FA0ECD"/>
    <w:rsid w:val="00FA261A"/>
    <w:rsid w:val="00FA2DE6"/>
    <w:rsid w:val="00FA327E"/>
    <w:rsid w:val="00FA32C8"/>
    <w:rsid w:val="00FA3AB1"/>
    <w:rsid w:val="00FA3EF3"/>
    <w:rsid w:val="00FA4E92"/>
    <w:rsid w:val="00FA568D"/>
    <w:rsid w:val="00FA690F"/>
    <w:rsid w:val="00FA6A33"/>
    <w:rsid w:val="00FA7FD9"/>
    <w:rsid w:val="00FB077A"/>
    <w:rsid w:val="00FB0948"/>
    <w:rsid w:val="00FB0FE2"/>
    <w:rsid w:val="00FB0FF7"/>
    <w:rsid w:val="00FB17DB"/>
    <w:rsid w:val="00FB1E97"/>
    <w:rsid w:val="00FB25FB"/>
    <w:rsid w:val="00FB26D6"/>
    <w:rsid w:val="00FB300C"/>
    <w:rsid w:val="00FB3F64"/>
    <w:rsid w:val="00FB3F72"/>
    <w:rsid w:val="00FB491B"/>
    <w:rsid w:val="00FB4DDA"/>
    <w:rsid w:val="00FB530C"/>
    <w:rsid w:val="00FB5E2C"/>
    <w:rsid w:val="00FB6DE6"/>
    <w:rsid w:val="00FB75DD"/>
    <w:rsid w:val="00FB7E00"/>
    <w:rsid w:val="00FC0722"/>
    <w:rsid w:val="00FC1926"/>
    <w:rsid w:val="00FC260A"/>
    <w:rsid w:val="00FC28FA"/>
    <w:rsid w:val="00FC33DD"/>
    <w:rsid w:val="00FC3744"/>
    <w:rsid w:val="00FC3987"/>
    <w:rsid w:val="00FC3F9D"/>
    <w:rsid w:val="00FC44F3"/>
    <w:rsid w:val="00FC450A"/>
    <w:rsid w:val="00FC473F"/>
    <w:rsid w:val="00FC59ED"/>
    <w:rsid w:val="00FC5B4C"/>
    <w:rsid w:val="00FC5C03"/>
    <w:rsid w:val="00FC60FE"/>
    <w:rsid w:val="00FC639A"/>
    <w:rsid w:val="00FC6C03"/>
    <w:rsid w:val="00FC722B"/>
    <w:rsid w:val="00FC73F5"/>
    <w:rsid w:val="00FC79C8"/>
    <w:rsid w:val="00FC7E0B"/>
    <w:rsid w:val="00FD0513"/>
    <w:rsid w:val="00FD0623"/>
    <w:rsid w:val="00FD2BC9"/>
    <w:rsid w:val="00FD2DAA"/>
    <w:rsid w:val="00FD2F81"/>
    <w:rsid w:val="00FD31BF"/>
    <w:rsid w:val="00FD359D"/>
    <w:rsid w:val="00FD3989"/>
    <w:rsid w:val="00FD555D"/>
    <w:rsid w:val="00FD5A46"/>
    <w:rsid w:val="00FD5B69"/>
    <w:rsid w:val="00FD6CF6"/>
    <w:rsid w:val="00FD747C"/>
    <w:rsid w:val="00FD7657"/>
    <w:rsid w:val="00FD7C6F"/>
    <w:rsid w:val="00FD7D48"/>
    <w:rsid w:val="00FD7D64"/>
    <w:rsid w:val="00FD7E6B"/>
    <w:rsid w:val="00FE053D"/>
    <w:rsid w:val="00FE117C"/>
    <w:rsid w:val="00FE1233"/>
    <w:rsid w:val="00FE1E8F"/>
    <w:rsid w:val="00FE2D3F"/>
    <w:rsid w:val="00FE3B1D"/>
    <w:rsid w:val="00FE4D89"/>
    <w:rsid w:val="00FE5217"/>
    <w:rsid w:val="00FE57C9"/>
    <w:rsid w:val="00FE5EF1"/>
    <w:rsid w:val="00FE708B"/>
    <w:rsid w:val="00FF0481"/>
    <w:rsid w:val="00FF0707"/>
    <w:rsid w:val="00FF074B"/>
    <w:rsid w:val="00FF1CE8"/>
    <w:rsid w:val="00FF1DC3"/>
    <w:rsid w:val="00FF2E26"/>
    <w:rsid w:val="00FF33B3"/>
    <w:rsid w:val="00FF372E"/>
    <w:rsid w:val="00FF42C6"/>
    <w:rsid w:val="00FF4D44"/>
    <w:rsid w:val="00FF55DF"/>
    <w:rsid w:val="00FF699D"/>
    <w:rsid w:val="00FF7446"/>
    <w:rsid w:val="00FF7457"/>
    <w:rsid w:val="00FF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4561B"/>
  <w15:docId w15:val="{E5284147-ADC3-4581-9F85-00BA6766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CF"/>
    <w:pPr>
      <w:spacing w:after="160" w:line="259" w:lineRule="auto"/>
    </w:pPr>
    <w:rPr>
      <w:rFonts w:ascii="Times New Roman" w:hAnsi="Times New Roman"/>
      <w:sz w:val="28"/>
      <w:szCs w:val="22"/>
    </w:rPr>
  </w:style>
  <w:style w:type="paragraph" w:styleId="Heading2">
    <w:name w:val="heading 2"/>
    <w:basedOn w:val="Normal"/>
    <w:link w:val="Heading2Char"/>
    <w:uiPriority w:val="9"/>
    <w:qFormat/>
    <w:rsid w:val="00074E2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C82BCF"/>
    <w:rPr>
      <w:rFonts w:ascii="Times New Roman" w:hAnsi="Times New Roman"/>
      <w:sz w:val="20"/>
      <w:szCs w:val="20"/>
    </w:rPr>
  </w:style>
  <w:style w:type="paragraph" w:styleId="FootnoteText">
    <w:name w:val="footnote text"/>
    <w:basedOn w:val="Normal"/>
    <w:link w:val="FootnoteTextChar"/>
    <w:uiPriority w:val="99"/>
    <w:unhideWhenUsed/>
    <w:rsid w:val="00C82BCF"/>
    <w:pPr>
      <w:spacing w:after="0" w:line="240" w:lineRule="auto"/>
    </w:pPr>
    <w:rPr>
      <w:sz w:val="20"/>
      <w:szCs w:val="20"/>
    </w:rPr>
  </w:style>
  <w:style w:type="character" w:customStyle="1" w:styleId="HeaderChar">
    <w:name w:val="Header Char"/>
    <w:link w:val="Header"/>
    <w:uiPriority w:val="99"/>
    <w:rsid w:val="00C82BCF"/>
    <w:rPr>
      <w:rFonts w:ascii="Times New Roman" w:hAnsi="Times New Roman"/>
      <w:sz w:val="28"/>
    </w:rPr>
  </w:style>
  <w:style w:type="paragraph" w:styleId="Header">
    <w:name w:val="header"/>
    <w:basedOn w:val="Normal"/>
    <w:link w:val="HeaderChar"/>
    <w:uiPriority w:val="99"/>
    <w:unhideWhenUsed/>
    <w:rsid w:val="00C82BCF"/>
    <w:pPr>
      <w:tabs>
        <w:tab w:val="center" w:pos="4680"/>
        <w:tab w:val="right" w:pos="9360"/>
      </w:tabs>
      <w:spacing w:after="0" w:line="240" w:lineRule="auto"/>
    </w:pPr>
    <w:rPr>
      <w:szCs w:val="20"/>
    </w:rPr>
  </w:style>
  <w:style w:type="character" w:customStyle="1" w:styleId="FooterChar">
    <w:name w:val="Footer Char"/>
    <w:link w:val="Footer"/>
    <w:uiPriority w:val="99"/>
    <w:rsid w:val="00C82BCF"/>
    <w:rPr>
      <w:rFonts w:ascii="Times New Roman" w:hAnsi="Times New Roman"/>
      <w:sz w:val="28"/>
    </w:rPr>
  </w:style>
  <w:style w:type="paragraph" w:styleId="Footer">
    <w:name w:val="footer"/>
    <w:basedOn w:val="Normal"/>
    <w:link w:val="FooterChar"/>
    <w:uiPriority w:val="99"/>
    <w:unhideWhenUsed/>
    <w:rsid w:val="00C82BCF"/>
    <w:pPr>
      <w:tabs>
        <w:tab w:val="center" w:pos="4680"/>
        <w:tab w:val="right" w:pos="9360"/>
      </w:tabs>
      <w:spacing w:after="0" w:line="240" w:lineRule="auto"/>
    </w:pPr>
    <w:rPr>
      <w:szCs w:val="20"/>
    </w:rPr>
  </w:style>
  <w:style w:type="character" w:customStyle="1" w:styleId="CommentTextChar">
    <w:name w:val="Comment Text Char"/>
    <w:link w:val="CommentText"/>
    <w:uiPriority w:val="99"/>
    <w:rsid w:val="00C82BCF"/>
    <w:rPr>
      <w:rFonts w:ascii="Times New Roman" w:hAnsi="Times New Roman"/>
      <w:sz w:val="20"/>
      <w:szCs w:val="20"/>
    </w:rPr>
  </w:style>
  <w:style w:type="paragraph" w:styleId="CommentText">
    <w:name w:val="annotation text"/>
    <w:basedOn w:val="Normal"/>
    <w:link w:val="CommentTextChar"/>
    <w:uiPriority w:val="99"/>
    <w:unhideWhenUsed/>
    <w:rsid w:val="00C82BCF"/>
    <w:pPr>
      <w:spacing w:line="240" w:lineRule="auto"/>
    </w:pPr>
    <w:rPr>
      <w:sz w:val="20"/>
      <w:szCs w:val="20"/>
    </w:rPr>
  </w:style>
  <w:style w:type="character" w:customStyle="1" w:styleId="CommentSubjectChar">
    <w:name w:val="Comment Subject Char"/>
    <w:link w:val="CommentSubject"/>
    <w:uiPriority w:val="99"/>
    <w:semiHidden/>
    <w:rsid w:val="00C82BCF"/>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C82BCF"/>
    <w:rPr>
      <w:b/>
      <w:bCs/>
    </w:rPr>
  </w:style>
  <w:style w:type="character" w:customStyle="1" w:styleId="BalloonTextChar">
    <w:name w:val="Balloon Text Char"/>
    <w:link w:val="BalloonText"/>
    <w:uiPriority w:val="99"/>
    <w:semiHidden/>
    <w:rsid w:val="00C82BCF"/>
    <w:rPr>
      <w:rFonts w:ascii="Tahoma" w:hAnsi="Tahoma" w:cs="Tahoma"/>
      <w:sz w:val="16"/>
      <w:szCs w:val="16"/>
    </w:rPr>
  </w:style>
  <w:style w:type="paragraph" w:styleId="BalloonText">
    <w:name w:val="Balloon Text"/>
    <w:basedOn w:val="Normal"/>
    <w:link w:val="BalloonTextChar"/>
    <w:uiPriority w:val="99"/>
    <w:semiHidden/>
    <w:unhideWhenUsed/>
    <w:rsid w:val="00C82BCF"/>
    <w:pPr>
      <w:spacing w:after="0" w:line="240" w:lineRule="auto"/>
    </w:pPr>
    <w:rPr>
      <w:rFonts w:ascii="Tahoma" w:hAnsi="Tahoma"/>
      <w:sz w:val="16"/>
      <w:szCs w:val="16"/>
    </w:rPr>
  </w:style>
  <w:style w:type="character" w:styleId="FootnoteReference">
    <w:name w:val="footnote reference"/>
    <w:uiPriority w:val="99"/>
    <w:semiHidden/>
    <w:unhideWhenUsed/>
    <w:rsid w:val="00C82BCF"/>
    <w:rPr>
      <w:vertAlign w:val="superscript"/>
    </w:rPr>
  </w:style>
  <w:style w:type="table" w:customStyle="1" w:styleId="GridTable6Colorful-Accent11">
    <w:name w:val="Grid Table 6 Colorful - Accent 11"/>
    <w:basedOn w:val="TableNormal"/>
    <w:uiPriority w:val="51"/>
    <w:rsid w:val="00947C67"/>
    <w:rPr>
      <w:rFonts w:ascii="Times New Roman" w:hAnsi="Times New Roman"/>
      <w:color w:val="365F91"/>
      <w:sz w:val="28"/>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2020F2"/>
    <w:pPr>
      <w:ind w:left="720"/>
      <w:contextualSpacing/>
    </w:pPr>
  </w:style>
  <w:style w:type="table" w:styleId="TableGrid">
    <w:name w:val="Table Grid"/>
    <w:basedOn w:val="TableNormal"/>
    <w:uiPriority w:val="39"/>
    <w:rsid w:val="0056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10C2D"/>
    <w:rPr>
      <w:sz w:val="16"/>
      <w:szCs w:val="16"/>
    </w:rPr>
  </w:style>
  <w:style w:type="paragraph" w:styleId="Revision">
    <w:name w:val="Revision"/>
    <w:hidden/>
    <w:uiPriority w:val="99"/>
    <w:semiHidden/>
    <w:rsid w:val="00F10C2D"/>
    <w:rPr>
      <w:rFonts w:ascii="Times New Roman" w:hAnsi="Times New Roman"/>
      <w:sz w:val="28"/>
      <w:szCs w:val="22"/>
    </w:rPr>
  </w:style>
  <w:style w:type="table" w:customStyle="1" w:styleId="GridTable4-Accent11">
    <w:name w:val="Grid Table 4 - Accent 11"/>
    <w:basedOn w:val="TableNormal"/>
    <w:uiPriority w:val="49"/>
    <w:rsid w:val="00486020"/>
    <w:rPr>
      <w:rFonts w:ascii="Times New Roman" w:eastAsiaTheme="minorHAnsi" w:hAnsi="Times New Roman" w:cstheme="minorBidi"/>
      <w:sz w:val="28"/>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F05445"/>
    <w:pPr>
      <w:spacing w:before="100" w:beforeAutospacing="1" w:after="100" w:afterAutospacing="1" w:line="240" w:lineRule="auto"/>
    </w:pPr>
    <w:rPr>
      <w:rFonts w:eastAsia="Times New Roman"/>
      <w:sz w:val="24"/>
      <w:szCs w:val="24"/>
    </w:rPr>
  </w:style>
  <w:style w:type="table" w:customStyle="1" w:styleId="GridTable4-Accent21">
    <w:name w:val="Grid Table 4 - Accent 21"/>
    <w:basedOn w:val="TableNormal"/>
    <w:uiPriority w:val="49"/>
    <w:rsid w:val="005327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163824"/>
    <w:rPr>
      <w:color w:val="0000FF"/>
      <w:u w:val="single"/>
    </w:rPr>
  </w:style>
  <w:style w:type="character" w:customStyle="1" w:styleId="fontstyle01">
    <w:name w:val="fontstyle01"/>
    <w:basedOn w:val="DefaultParagraphFont"/>
    <w:rsid w:val="00823FC1"/>
    <w:rPr>
      <w:rFonts w:ascii="ArialMT" w:hAnsi="ArialMT" w:hint="default"/>
      <w:b w:val="0"/>
      <w:bCs w:val="0"/>
      <w:i w:val="0"/>
      <w:iCs w:val="0"/>
      <w:color w:val="000000"/>
      <w:sz w:val="20"/>
      <w:szCs w:val="20"/>
    </w:rPr>
  </w:style>
  <w:style w:type="table" w:customStyle="1" w:styleId="GridTable6Colorful-Accent12">
    <w:name w:val="Grid Table 6 Colorful - Accent 12"/>
    <w:basedOn w:val="TableNormal"/>
    <w:uiPriority w:val="51"/>
    <w:rsid w:val="00FA4E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074E24"/>
    <w:rPr>
      <w:rFonts w:ascii="Times New Roman" w:eastAsia="Times New Roman" w:hAnsi="Times New Roman"/>
      <w:b/>
      <w:bCs/>
      <w:sz w:val="36"/>
      <w:szCs w:val="36"/>
    </w:rPr>
  </w:style>
  <w:style w:type="table" w:customStyle="1" w:styleId="GridTable6Colorful-Accent13">
    <w:name w:val="Grid Table 6 Colorful - Accent 13"/>
    <w:basedOn w:val="TableNormal"/>
    <w:uiPriority w:val="51"/>
    <w:rsid w:val="00B800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D279B5"/>
    <w:rPr>
      <w:color w:val="800080" w:themeColor="followedHyperlink"/>
      <w:u w:val="single"/>
    </w:rPr>
  </w:style>
  <w:style w:type="table" w:styleId="GridTable6Colorful-Accent1">
    <w:name w:val="Grid Table 6 Colorful Accent 1"/>
    <w:basedOn w:val="TableNormal"/>
    <w:uiPriority w:val="51"/>
    <w:rsid w:val="00C158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5F7029"/>
    <w:rPr>
      <w:rFonts w:ascii="Times New Roman" w:eastAsiaTheme="minorHAnsi" w:hAnsi="Times New Roman" w:cstheme="minorBidi"/>
      <w:sz w:val="28"/>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932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ource-present">
    <w:name w:val="source-present"/>
    <w:basedOn w:val="DefaultParagraphFont"/>
    <w:rsid w:val="0054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474">
      <w:bodyDiv w:val="1"/>
      <w:marLeft w:val="0"/>
      <w:marRight w:val="0"/>
      <w:marTop w:val="0"/>
      <w:marBottom w:val="0"/>
      <w:divBdr>
        <w:top w:val="none" w:sz="0" w:space="0" w:color="auto"/>
        <w:left w:val="none" w:sz="0" w:space="0" w:color="auto"/>
        <w:bottom w:val="none" w:sz="0" w:space="0" w:color="auto"/>
        <w:right w:val="none" w:sz="0" w:space="0" w:color="auto"/>
      </w:divBdr>
    </w:div>
    <w:div w:id="116723268">
      <w:bodyDiv w:val="1"/>
      <w:marLeft w:val="0"/>
      <w:marRight w:val="0"/>
      <w:marTop w:val="0"/>
      <w:marBottom w:val="0"/>
      <w:divBdr>
        <w:top w:val="none" w:sz="0" w:space="0" w:color="auto"/>
        <w:left w:val="none" w:sz="0" w:space="0" w:color="auto"/>
        <w:bottom w:val="none" w:sz="0" w:space="0" w:color="auto"/>
        <w:right w:val="none" w:sz="0" w:space="0" w:color="auto"/>
      </w:divBdr>
    </w:div>
    <w:div w:id="132144413">
      <w:bodyDiv w:val="1"/>
      <w:marLeft w:val="0"/>
      <w:marRight w:val="0"/>
      <w:marTop w:val="0"/>
      <w:marBottom w:val="0"/>
      <w:divBdr>
        <w:top w:val="none" w:sz="0" w:space="0" w:color="auto"/>
        <w:left w:val="none" w:sz="0" w:space="0" w:color="auto"/>
        <w:bottom w:val="none" w:sz="0" w:space="0" w:color="auto"/>
        <w:right w:val="none" w:sz="0" w:space="0" w:color="auto"/>
      </w:divBdr>
    </w:div>
    <w:div w:id="135413109">
      <w:bodyDiv w:val="1"/>
      <w:marLeft w:val="0"/>
      <w:marRight w:val="0"/>
      <w:marTop w:val="0"/>
      <w:marBottom w:val="0"/>
      <w:divBdr>
        <w:top w:val="none" w:sz="0" w:space="0" w:color="auto"/>
        <w:left w:val="none" w:sz="0" w:space="0" w:color="auto"/>
        <w:bottom w:val="none" w:sz="0" w:space="0" w:color="auto"/>
        <w:right w:val="none" w:sz="0" w:space="0" w:color="auto"/>
      </w:divBdr>
    </w:div>
    <w:div w:id="139735324">
      <w:bodyDiv w:val="1"/>
      <w:marLeft w:val="0"/>
      <w:marRight w:val="0"/>
      <w:marTop w:val="0"/>
      <w:marBottom w:val="0"/>
      <w:divBdr>
        <w:top w:val="none" w:sz="0" w:space="0" w:color="auto"/>
        <w:left w:val="none" w:sz="0" w:space="0" w:color="auto"/>
        <w:bottom w:val="none" w:sz="0" w:space="0" w:color="auto"/>
        <w:right w:val="none" w:sz="0" w:space="0" w:color="auto"/>
      </w:divBdr>
    </w:div>
    <w:div w:id="158665556">
      <w:bodyDiv w:val="1"/>
      <w:marLeft w:val="0"/>
      <w:marRight w:val="0"/>
      <w:marTop w:val="0"/>
      <w:marBottom w:val="0"/>
      <w:divBdr>
        <w:top w:val="none" w:sz="0" w:space="0" w:color="auto"/>
        <w:left w:val="none" w:sz="0" w:space="0" w:color="auto"/>
        <w:bottom w:val="none" w:sz="0" w:space="0" w:color="auto"/>
        <w:right w:val="none" w:sz="0" w:space="0" w:color="auto"/>
      </w:divBdr>
    </w:div>
    <w:div w:id="226497553">
      <w:bodyDiv w:val="1"/>
      <w:marLeft w:val="0"/>
      <w:marRight w:val="0"/>
      <w:marTop w:val="0"/>
      <w:marBottom w:val="0"/>
      <w:divBdr>
        <w:top w:val="none" w:sz="0" w:space="0" w:color="auto"/>
        <w:left w:val="none" w:sz="0" w:space="0" w:color="auto"/>
        <w:bottom w:val="none" w:sz="0" w:space="0" w:color="auto"/>
        <w:right w:val="none" w:sz="0" w:space="0" w:color="auto"/>
      </w:divBdr>
    </w:div>
    <w:div w:id="249511961">
      <w:bodyDiv w:val="1"/>
      <w:marLeft w:val="0"/>
      <w:marRight w:val="0"/>
      <w:marTop w:val="0"/>
      <w:marBottom w:val="0"/>
      <w:divBdr>
        <w:top w:val="none" w:sz="0" w:space="0" w:color="auto"/>
        <w:left w:val="none" w:sz="0" w:space="0" w:color="auto"/>
        <w:bottom w:val="none" w:sz="0" w:space="0" w:color="auto"/>
        <w:right w:val="none" w:sz="0" w:space="0" w:color="auto"/>
      </w:divBdr>
    </w:div>
    <w:div w:id="264577645">
      <w:bodyDiv w:val="1"/>
      <w:marLeft w:val="0"/>
      <w:marRight w:val="0"/>
      <w:marTop w:val="0"/>
      <w:marBottom w:val="0"/>
      <w:divBdr>
        <w:top w:val="none" w:sz="0" w:space="0" w:color="auto"/>
        <w:left w:val="none" w:sz="0" w:space="0" w:color="auto"/>
        <w:bottom w:val="none" w:sz="0" w:space="0" w:color="auto"/>
        <w:right w:val="none" w:sz="0" w:space="0" w:color="auto"/>
      </w:divBdr>
    </w:div>
    <w:div w:id="268896401">
      <w:bodyDiv w:val="1"/>
      <w:marLeft w:val="0"/>
      <w:marRight w:val="0"/>
      <w:marTop w:val="0"/>
      <w:marBottom w:val="0"/>
      <w:divBdr>
        <w:top w:val="none" w:sz="0" w:space="0" w:color="auto"/>
        <w:left w:val="none" w:sz="0" w:space="0" w:color="auto"/>
        <w:bottom w:val="none" w:sz="0" w:space="0" w:color="auto"/>
        <w:right w:val="none" w:sz="0" w:space="0" w:color="auto"/>
      </w:divBdr>
    </w:div>
    <w:div w:id="312024393">
      <w:bodyDiv w:val="1"/>
      <w:marLeft w:val="0"/>
      <w:marRight w:val="0"/>
      <w:marTop w:val="0"/>
      <w:marBottom w:val="0"/>
      <w:divBdr>
        <w:top w:val="none" w:sz="0" w:space="0" w:color="auto"/>
        <w:left w:val="none" w:sz="0" w:space="0" w:color="auto"/>
        <w:bottom w:val="none" w:sz="0" w:space="0" w:color="auto"/>
        <w:right w:val="none" w:sz="0" w:space="0" w:color="auto"/>
      </w:divBdr>
      <w:divsChild>
        <w:div w:id="94597055">
          <w:marLeft w:val="0"/>
          <w:marRight w:val="0"/>
          <w:marTop w:val="0"/>
          <w:marBottom w:val="0"/>
          <w:divBdr>
            <w:top w:val="none" w:sz="0" w:space="0" w:color="auto"/>
            <w:left w:val="none" w:sz="0" w:space="0" w:color="auto"/>
            <w:bottom w:val="none" w:sz="0" w:space="0" w:color="auto"/>
            <w:right w:val="none" w:sz="0" w:space="0" w:color="auto"/>
          </w:divBdr>
          <w:divsChild>
            <w:div w:id="479689359">
              <w:marLeft w:val="0"/>
              <w:marRight w:val="0"/>
              <w:marTop w:val="360"/>
              <w:marBottom w:val="0"/>
              <w:divBdr>
                <w:top w:val="none" w:sz="0" w:space="0" w:color="auto"/>
                <w:left w:val="none" w:sz="0" w:space="0" w:color="auto"/>
                <w:bottom w:val="none" w:sz="0" w:space="0" w:color="auto"/>
                <w:right w:val="none" w:sz="0" w:space="0" w:color="auto"/>
              </w:divBdr>
            </w:div>
            <w:div w:id="575746455">
              <w:marLeft w:val="0"/>
              <w:marRight w:val="0"/>
              <w:marTop w:val="150"/>
              <w:marBottom w:val="0"/>
              <w:divBdr>
                <w:top w:val="none" w:sz="0" w:space="0" w:color="auto"/>
                <w:left w:val="none" w:sz="0" w:space="0" w:color="auto"/>
                <w:bottom w:val="none" w:sz="0" w:space="0" w:color="auto"/>
                <w:right w:val="none" w:sz="0" w:space="0" w:color="auto"/>
              </w:divBdr>
              <w:divsChild>
                <w:div w:id="3162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377">
          <w:marLeft w:val="0"/>
          <w:marRight w:val="0"/>
          <w:marTop w:val="0"/>
          <w:marBottom w:val="0"/>
          <w:divBdr>
            <w:top w:val="none" w:sz="0" w:space="0" w:color="auto"/>
            <w:left w:val="none" w:sz="0" w:space="0" w:color="auto"/>
            <w:bottom w:val="single" w:sz="6" w:space="11" w:color="D9D9D9"/>
            <w:right w:val="none" w:sz="0" w:space="0" w:color="auto"/>
          </w:divBdr>
          <w:divsChild>
            <w:div w:id="323243172">
              <w:marLeft w:val="0"/>
              <w:marRight w:val="0"/>
              <w:marTop w:val="0"/>
              <w:marBottom w:val="0"/>
              <w:divBdr>
                <w:top w:val="none" w:sz="0" w:space="0" w:color="auto"/>
                <w:left w:val="none" w:sz="0" w:space="0" w:color="auto"/>
                <w:bottom w:val="none" w:sz="0" w:space="0" w:color="auto"/>
                <w:right w:val="none" w:sz="0" w:space="0" w:color="auto"/>
              </w:divBdr>
            </w:div>
            <w:div w:id="1012806621">
              <w:marLeft w:val="0"/>
              <w:marRight w:val="0"/>
              <w:marTop w:val="0"/>
              <w:marBottom w:val="0"/>
              <w:divBdr>
                <w:top w:val="none" w:sz="0" w:space="0" w:color="auto"/>
                <w:left w:val="none" w:sz="0" w:space="0" w:color="auto"/>
                <w:bottom w:val="none" w:sz="0" w:space="0" w:color="auto"/>
                <w:right w:val="none" w:sz="0" w:space="0" w:color="auto"/>
              </w:divBdr>
              <w:divsChild>
                <w:div w:id="630407287">
                  <w:marLeft w:val="0"/>
                  <w:marRight w:val="0"/>
                  <w:marTop w:val="0"/>
                  <w:marBottom w:val="0"/>
                  <w:divBdr>
                    <w:top w:val="none" w:sz="0" w:space="0" w:color="auto"/>
                    <w:left w:val="none" w:sz="0" w:space="0" w:color="auto"/>
                    <w:bottom w:val="none" w:sz="0" w:space="0" w:color="auto"/>
                    <w:right w:val="none" w:sz="0" w:space="0" w:color="auto"/>
                  </w:divBdr>
                  <w:divsChild>
                    <w:div w:id="1212303476">
                      <w:marLeft w:val="0"/>
                      <w:marRight w:val="0"/>
                      <w:marTop w:val="0"/>
                      <w:marBottom w:val="0"/>
                      <w:divBdr>
                        <w:top w:val="none" w:sz="0" w:space="0" w:color="auto"/>
                        <w:left w:val="none" w:sz="0" w:space="0" w:color="auto"/>
                        <w:bottom w:val="none" w:sz="0" w:space="0" w:color="auto"/>
                        <w:right w:val="none" w:sz="0" w:space="0" w:color="auto"/>
                      </w:divBdr>
                      <w:divsChild>
                        <w:div w:id="1116799255">
                          <w:marLeft w:val="0"/>
                          <w:marRight w:val="0"/>
                          <w:marTop w:val="0"/>
                          <w:marBottom w:val="0"/>
                          <w:divBdr>
                            <w:top w:val="none" w:sz="0" w:space="0" w:color="auto"/>
                            <w:left w:val="none" w:sz="0" w:space="0" w:color="auto"/>
                            <w:bottom w:val="none" w:sz="0" w:space="0" w:color="auto"/>
                            <w:right w:val="none" w:sz="0" w:space="0" w:color="auto"/>
                          </w:divBdr>
                          <w:divsChild>
                            <w:div w:id="907688449">
                              <w:marLeft w:val="0"/>
                              <w:marRight w:val="0"/>
                              <w:marTop w:val="0"/>
                              <w:marBottom w:val="0"/>
                              <w:divBdr>
                                <w:top w:val="none" w:sz="0" w:space="0" w:color="auto"/>
                                <w:left w:val="none" w:sz="0" w:space="0" w:color="auto"/>
                                <w:bottom w:val="none" w:sz="0" w:space="0" w:color="auto"/>
                                <w:right w:val="none" w:sz="0" w:space="0" w:color="auto"/>
                              </w:divBdr>
                              <w:divsChild>
                                <w:div w:id="1106578267">
                                  <w:marLeft w:val="0"/>
                                  <w:marRight w:val="0"/>
                                  <w:marTop w:val="0"/>
                                  <w:marBottom w:val="0"/>
                                  <w:divBdr>
                                    <w:top w:val="none" w:sz="0" w:space="0" w:color="auto"/>
                                    <w:left w:val="none" w:sz="0" w:space="0" w:color="auto"/>
                                    <w:bottom w:val="none" w:sz="0" w:space="0" w:color="auto"/>
                                    <w:right w:val="none" w:sz="0" w:space="0" w:color="auto"/>
                                  </w:divBdr>
                                  <w:divsChild>
                                    <w:div w:id="1992174039">
                                      <w:marLeft w:val="0"/>
                                      <w:marRight w:val="0"/>
                                      <w:marTop w:val="0"/>
                                      <w:marBottom w:val="0"/>
                                      <w:divBdr>
                                        <w:top w:val="none" w:sz="0" w:space="0" w:color="auto"/>
                                        <w:left w:val="none" w:sz="0" w:space="0" w:color="auto"/>
                                        <w:bottom w:val="none" w:sz="0" w:space="0" w:color="auto"/>
                                        <w:right w:val="none" w:sz="0" w:space="0" w:color="auto"/>
                                      </w:divBdr>
                                      <w:divsChild>
                                        <w:div w:id="596908143">
                                          <w:marLeft w:val="0"/>
                                          <w:marRight w:val="0"/>
                                          <w:marTop w:val="0"/>
                                          <w:marBottom w:val="0"/>
                                          <w:divBdr>
                                            <w:top w:val="none" w:sz="0" w:space="0" w:color="auto"/>
                                            <w:left w:val="none" w:sz="0" w:space="0" w:color="auto"/>
                                            <w:bottom w:val="none" w:sz="0" w:space="0" w:color="auto"/>
                                            <w:right w:val="none" w:sz="0" w:space="0" w:color="auto"/>
                                          </w:divBdr>
                                          <w:divsChild>
                                            <w:div w:id="11938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30014">
      <w:bodyDiv w:val="1"/>
      <w:marLeft w:val="0"/>
      <w:marRight w:val="0"/>
      <w:marTop w:val="0"/>
      <w:marBottom w:val="0"/>
      <w:divBdr>
        <w:top w:val="none" w:sz="0" w:space="0" w:color="auto"/>
        <w:left w:val="none" w:sz="0" w:space="0" w:color="auto"/>
        <w:bottom w:val="none" w:sz="0" w:space="0" w:color="auto"/>
        <w:right w:val="none" w:sz="0" w:space="0" w:color="auto"/>
      </w:divBdr>
    </w:div>
    <w:div w:id="321740418">
      <w:bodyDiv w:val="1"/>
      <w:marLeft w:val="0"/>
      <w:marRight w:val="0"/>
      <w:marTop w:val="0"/>
      <w:marBottom w:val="0"/>
      <w:divBdr>
        <w:top w:val="none" w:sz="0" w:space="0" w:color="auto"/>
        <w:left w:val="none" w:sz="0" w:space="0" w:color="auto"/>
        <w:bottom w:val="none" w:sz="0" w:space="0" w:color="auto"/>
        <w:right w:val="none" w:sz="0" w:space="0" w:color="auto"/>
      </w:divBdr>
    </w:div>
    <w:div w:id="322852386">
      <w:bodyDiv w:val="1"/>
      <w:marLeft w:val="0"/>
      <w:marRight w:val="0"/>
      <w:marTop w:val="0"/>
      <w:marBottom w:val="0"/>
      <w:divBdr>
        <w:top w:val="none" w:sz="0" w:space="0" w:color="auto"/>
        <w:left w:val="none" w:sz="0" w:space="0" w:color="auto"/>
        <w:bottom w:val="none" w:sz="0" w:space="0" w:color="auto"/>
        <w:right w:val="none" w:sz="0" w:space="0" w:color="auto"/>
      </w:divBdr>
    </w:div>
    <w:div w:id="330304722">
      <w:bodyDiv w:val="1"/>
      <w:marLeft w:val="0"/>
      <w:marRight w:val="0"/>
      <w:marTop w:val="0"/>
      <w:marBottom w:val="0"/>
      <w:divBdr>
        <w:top w:val="none" w:sz="0" w:space="0" w:color="auto"/>
        <w:left w:val="none" w:sz="0" w:space="0" w:color="auto"/>
        <w:bottom w:val="none" w:sz="0" w:space="0" w:color="auto"/>
        <w:right w:val="none" w:sz="0" w:space="0" w:color="auto"/>
      </w:divBdr>
    </w:div>
    <w:div w:id="332730194">
      <w:bodyDiv w:val="1"/>
      <w:marLeft w:val="0"/>
      <w:marRight w:val="0"/>
      <w:marTop w:val="0"/>
      <w:marBottom w:val="0"/>
      <w:divBdr>
        <w:top w:val="none" w:sz="0" w:space="0" w:color="auto"/>
        <w:left w:val="none" w:sz="0" w:space="0" w:color="auto"/>
        <w:bottom w:val="none" w:sz="0" w:space="0" w:color="auto"/>
        <w:right w:val="none" w:sz="0" w:space="0" w:color="auto"/>
      </w:divBdr>
    </w:div>
    <w:div w:id="352996610">
      <w:bodyDiv w:val="1"/>
      <w:marLeft w:val="0"/>
      <w:marRight w:val="0"/>
      <w:marTop w:val="0"/>
      <w:marBottom w:val="0"/>
      <w:divBdr>
        <w:top w:val="none" w:sz="0" w:space="0" w:color="auto"/>
        <w:left w:val="none" w:sz="0" w:space="0" w:color="auto"/>
        <w:bottom w:val="none" w:sz="0" w:space="0" w:color="auto"/>
        <w:right w:val="none" w:sz="0" w:space="0" w:color="auto"/>
      </w:divBdr>
    </w:div>
    <w:div w:id="385229026">
      <w:bodyDiv w:val="1"/>
      <w:marLeft w:val="0"/>
      <w:marRight w:val="0"/>
      <w:marTop w:val="0"/>
      <w:marBottom w:val="0"/>
      <w:divBdr>
        <w:top w:val="none" w:sz="0" w:space="0" w:color="auto"/>
        <w:left w:val="none" w:sz="0" w:space="0" w:color="auto"/>
        <w:bottom w:val="none" w:sz="0" w:space="0" w:color="auto"/>
        <w:right w:val="none" w:sz="0" w:space="0" w:color="auto"/>
      </w:divBdr>
    </w:div>
    <w:div w:id="460342976">
      <w:bodyDiv w:val="1"/>
      <w:marLeft w:val="0"/>
      <w:marRight w:val="0"/>
      <w:marTop w:val="0"/>
      <w:marBottom w:val="0"/>
      <w:divBdr>
        <w:top w:val="none" w:sz="0" w:space="0" w:color="auto"/>
        <w:left w:val="none" w:sz="0" w:space="0" w:color="auto"/>
        <w:bottom w:val="none" w:sz="0" w:space="0" w:color="auto"/>
        <w:right w:val="none" w:sz="0" w:space="0" w:color="auto"/>
      </w:divBdr>
    </w:div>
    <w:div w:id="489518301">
      <w:bodyDiv w:val="1"/>
      <w:marLeft w:val="0"/>
      <w:marRight w:val="0"/>
      <w:marTop w:val="0"/>
      <w:marBottom w:val="0"/>
      <w:divBdr>
        <w:top w:val="none" w:sz="0" w:space="0" w:color="auto"/>
        <w:left w:val="none" w:sz="0" w:space="0" w:color="auto"/>
        <w:bottom w:val="none" w:sz="0" w:space="0" w:color="auto"/>
        <w:right w:val="none" w:sz="0" w:space="0" w:color="auto"/>
      </w:divBdr>
    </w:div>
    <w:div w:id="491869582">
      <w:bodyDiv w:val="1"/>
      <w:marLeft w:val="0"/>
      <w:marRight w:val="0"/>
      <w:marTop w:val="0"/>
      <w:marBottom w:val="0"/>
      <w:divBdr>
        <w:top w:val="none" w:sz="0" w:space="0" w:color="auto"/>
        <w:left w:val="none" w:sz="0" w:space="0" w:color="auto"/>
        <w:bottom w:val="none" w:sz="0" w:space="0" w:color="auto"/>
        <w:right w:val="none" w:sz="0" w:space="0" w:color="auto"/>
      </w:divBdr>
    </w:div>
    <w:div w:id="507645076">
      <w:bodyDiv w:val="1"/>
      <w:marLeft w:val="0"/>
      <w:marRight w:val="0"/>
      <w:marTop w:val="0"/>
      <w:marBottom w:val="0"/>
      <w:divBdr>
        <w:top w:val="none" w:sz="0" w:space="0" w:color="auto"/>
        <w:left w:val="none" w:sz="0" w:space="0" w:color="auto"/>
        <w:bottom w:val="none" w:sz="0" w:space="0" w:color="auto"/>
        <w:right w:val="none" w:sz="0" w:space="0" w:color="auto"/>
      </w:divBdr>
    </w:div>
    <w:div w:id="543249983">
      <w:bodyDiv w:val="1"/>
      <w:marLeft w:val="0"/>
      <w:marRight w:val="0"/>
      <w:marTop w:val="0"/>
      <w:marBottom w:val="0"/>
      <w:divBdr>
        <w:top w:val="none" w:sz="0" w:space="0" w:color="auto"/>
        <w:left w:val="none" w:sz="0" w:space="0" w:color="auto"/>
        <w:bottom w:val="none" w:sz="0" w:space="0" w:color="auto"/>
        <w:right w:val="none" w:sz="0" w:space="0" w:color="auto"/>
      </w:divBdr>
    </w:div>
    <w:div w:id="667947412">
      <w:bodyDiv w:val="1"/>
      <w:marLeft w:val="0"/>
      <w:marRight w:val="0"/>
      <w:marTop w:val="0"/>
      <w:marBottom w:val="0"/>
      <w:divBdr>
        <w:top w:val="none" w:sz="0" w:space="0" w:color="auto"/>
        <w:left w:val="none" w:sz="0" w:space="0" w:color="auto"/>
        <w:bottom w:val="none" w:sz="0" w:space="0" w:color="auto"/>
        <w:right w:val="none" w:sz="0" w:space="0" w:color="auto"/>
      </w:divBdr>
    </w:div>
    <w:div w:id="684013085">
      <w:bodyDiv w:val="1"/>
      <w:marLeft w:val="0"/>
      <w:marRight w:val="0"/>
      <w:marTop w:val="0"/>
      <w:marBottom w:val="0"/>
      <w:divBdr>
        <w:top w:val="none" w:sz="0" w:space="0" w:color="auto"/>
        <w:left w:val="none" w:sz="0" w:space="0" w:color="auto"/>
        <w:bottom w:val="none" w:sz="0" w:space="0" w:color="auto"/>
        <w:right w:val="none" w:sz="0" w:space="0" w:color="auto"/>
      </w:divBdr>
    </w:div>
    <w:div w:id="704140909">
      <w:bodyDiv w:val="1"/>
      <w:marLeft w:val="0"/>
      <w:marRight w:val="0"/>
      <w:marTop w:val="0"/>
      <w:marBottom w:val="0"/>
      <w:divBdr>
        <w:top w:val="none" w:sz="0" w:space="0" w:color="auto"/>
        <w:left w:val="none" w:sz="0" w:space="0" w:color="auto"/>
        <w:bottom w:val="none" w:sz="0" w:space="0" w:color="auto"/>
        <w:right w:val="none" w:sz="0" w:space="0" w:color="auto"/>
      </w:divBdr>
    </w:div>
    <w:div w:id="708727384">
      <w:bodyDiv w:val="1"/>
      <w:marLeft w:val="0"/>
      <w:marRight w:val="0"/>
      <w:marTop w:val="0"/>
      <w:marBottom w:val="0"/>
      <w:divBdr>
        <w:top w:val="none" w:sz="0" w:space="0" w:color="auto"/>
        <w:left w:val="none" w:sz="0" w:space="0" w:color="auto"/>
        <w:bottom w:val="none" w:sz="0" w:space="0" w:color="auto"/>
        <w:right w:val="none" w:sz="0" w:space="0" w:color="auto"/>
      </w:divBdr>
    </w:div>
    <w:div w:id="710542755">
      <w:bodyDiv w:val="1"/>
      <w:marLeft w:val="0"/>
      <w:marRight w:val="0"/>
      <w:marTop w:val="0"/>
      <w:marBottom w:val="0"/>
      <w:divBdr>
        <w:top w:val="none" w:sz="0" w:space="0" w:color="auto"/>
        <w:left w:val="none" w:sz="0" w:space="0" w:color="auto"/>
        <w:bottom w:val="none" w:sz="0" w:space="0" w:color="auto"/>
        <w:right w:val="none" w:sz="0" w:space="0" w:color="auto"/>
      </w:divBdr>
    </w:div>
    <w:div w:id="728960721">
      <w:bodyDiv w:val="1"/>
      <w:marLeft w:val="0"/>
      <w:marRight w:val="0"/>
      <w:marTop w:val="0"/>
      <w:marBottom w:val="0"/>
      <w:divBdr>
        <w:top w:val="none" w:sz="0" w:space="0" w:color="auto"/>
        <w:left w:val="none" w:sz="0" w:space="0" w:color="auto"/>
        <w:bottom w:val="none" w:sz="0" w:space="0" w:color="auto"/>
        <w:right w:val="none" w:sz="0" w:space="0" w:color="auto"/>
      </w:divBdr>
    </w:div>
    <w:div w:id="812648161">
      <w:bodyDiv w:val="1"/>
      <w:marLeft w:val="0"/>
      <w:marRight w:val="0"/>
      <w:marTop w:val="0"/>
      <w:marBottom w:val="0"/>
      <w:divBdr>
        <w:top w:val="none" w:sz="0" w:space="0" w:color="auto"/>
        <w:left w:val="none" w:sz="0" w:space="0" w:color="auto"/>
        <w:bottom w:val="none" w:sz="0" w:space="0" w:color="auto"/>
        <w:right w:val="none" w:sz="0" w:space="0" w:color="auto"/>
      </w:divBdr>
    </w:div>
    <w:div w:id="836383912">
      <w:bodyDiv w:val="1"/>
      <w:marLeft w:val="0"/>
      <w:marRight w:val="0"/>
      <w:marTop w:val="0"/>
      <w:marBottom w:val="0"/>
      <w:divBdr>
        <w:top w:val="none" w:sz="0" w:space="0" w:color="auto"/>
        <w:left w:val="none" w:sz="0" w:space="0" w:color="auto"/>
        <w:bottom w:val="none" w:sz="0" w:space="0" w:color="auto"/>
        <w:right w:val="none" w:sz="0" w:space="0" w:color="auto"/>
      </w:divBdr>
      <w:divsChild>
        <w:div w:id="159784036">
          <w:marLeft w:val="0"/>
          <w:marRight w:val="0"/>
          <w:marTop w:val="0"/>
          <w:marBottom w:val="0"/>
          <w:divBdr>
            <w:top w:val="none" w:sz="0" w:space="0" w:color="auto"/>
            <w:left w:val="none" w:sz="0" w:space="0" w:color="auto"/>
            <w:bottom w:val="none" w:sz="0" w:space="0" w:color="auto"/>
            <w:right w:val="none" w:sz="0" w:space="0" w:color="auto"/>
          </w:divBdr>
          <w:divsChild>
            <w:div w:id="12362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523">
      <w:bodyDiv w:val="1"/>
      <w:marLeft w:val="0"/>
      <w:marRight w:val="0"/>
      <w:marTop w:val="0"/>
      <w:marBottom w:val="0"/>
      <w:divBdr>
        <w:top w:val="none" w:sz="0" w:space="0" w:color="auto"/>
        <w:left w:val="none" w:sz="0" w:space="0" w:color="auto"/>
        <w:bottom w:val="none" w:sz="0" w:space="0" w:color="auto"/>
        <w:right w:val="none" w:sz="0" w:space="0" w:color="auto"/>
      </w:divBdr>
    </w:div>
    <w:div w:id="949817394">
      <w:bodyDiv w:val="1"/>
      <w:marLeft w:val="0"/>
      <w:marRight w:val="0"/>
      <w:marTop w:val="0"/>
      <w:marBottom w:val="0"/>
      <w:divBdr>
        <w:top w:val="none" w:sz="0" w:space="0" w:color="auto"/>
        <w:left w:val="none" w:sz="0" w:space="0" w:color="auto"/>
        <w:bottom w:val="none" w:sz="0" w:space="0" w:color="auto"/>
        <w:right w:val="none" w:sz="0" w:space="0" w:color="auto"/>
      </w:divBdr>
    </w:div>
    <w:div w:id="995454857">
      <w:bodyDiv w:val="1"/>
      <w:marLeft w:val="0"/>
      <w:marRight w:val="0"/>
      <w:marTop w:val="0"/>
      <w:marBottom w:val="0"/>
      <w:divBdr>
        <w:top w:val="none" w:sz="0" w:space="0" w:color="auto"/>
        <w:left w:val="none" w:sz="0" w:space="0" w:color="auto"/>
        <w:bottom w:val="none" w:sz="0" w:space="0" w:color="auto"/>
        <w:right w:val="none" w:sz="0" w:space="0" w:color="auto"/>
      </w:divBdr>
    </w:div>
    <w:div w:id="1011299597">
      <w:bodyDiv w:val="1"/>
      <w:marLeft w:val="0"/>
      <w:marRight w:val="0"/>
      <w:marTop w:val="0"/>
      <w:marBottom w:val="0"/>
      <w:divBdr>
        <w:top w:val="none" w:sz="0" w:space="0" w:color="auto"/>
        <w:left w:val="none" w:sz="0" w:space="0" w:color="auto"/>
        <w:bottom w:val="none" w:sz="0" w:space="0" w:color="auto"/>
        <w:right w:val="none" w:sz="0" w:space="0" w:color="auto"/>
      </w:divBdr>
    </w:div>
    <w:div w:id="1023749670">
      <w:bodyDiv w:val="1"/>
      <w:marLeft w:val="0"/>
      <w:marRight w:val="0"/>
      <w:marTop w:val="0"/>
      <w:marBottom w:val="0"/>
      <w:divBdr>
        <w:top w:val="none" w:sz="0" w:space="0" w:color="auto"/>
        <w:left w:val="none" w:sz="0" w:space="0" w:color="auto"/>
        <w:bottom w:val="none" w:sz="0" w:space="0" w:color="auto"/>
        <w:right w:val="none" w:sz="0" w:space="0" w:color="auto"/>
      </w:divBdr>
    </w:div>
    <w:div w:id="1030958353">
      <w:bodyDiv w:val="1"/>
      <w:marLeft w:val="0"/>
      <w:marRight w:val="0"/>
      <w:marTop w:val="0"/>
      <w:marBottom w:val="0"/>
      <w:divBdr>
        <w:top w:val="none" w:sz="0" w:space="0" w:color="auto"/>
        <w:left w:val="none" w:sz="0" w:space="0" w:color="auto"/>
        <w:bottom w:val="none" w:sz="0" w:space="0" w:color="auto"/>
        <w:right w:val="none" w:sz="0" w:space="0" w:color="auto"/>
      </w:divBdr>
    </w:div>
    <w:div w:id="1038816988">
      <w:bodyDiv w:val="1"/>
      <w:marLeft w:val="0"/>
      <w:marRight w:val="0"/>
      <w:marTop w:val="0"/>
      <w:marBottom w:val="0"/>
      <w:divBdr>
        <w:top w:val="none" w:sz="0" w:space="0" w:color="auto"/>
        <w:left w:val="none" w:sz="0" w:space="0" w:color="auto"/>
        <w:bottom w:val="none" w:sz="0" w:space="0" w:color="auto"/>
        <w:right w:val="none" w:sz="0" w:space="0" w:color="auto"/>
      </w:divBdr>
    </w:div>
    <w:div w:id="1057240513">
      <w:bodyDiv w:val="1"/>
      <w:marLeft w:val="0"/>
      <w:marRight w:val="0"/>
      <w:marTop w:val="0"/>
      <w:marBottom w:val="0"/>
      <w:divBdr>
        <w:top w:val="none" w:sz="0" w:space="0" w:color="auto"/>
        <w:left w:val="none" w:sz="0" w:space="0" w:color="auto"/>
        <w:bottom w:val="none" w:sz="0" w:space="0" w:color="auto"/>
        <w:right w:val="none" w:sz="0" w:space="0" w:color="auto"/>
      </w:divBdr>
    </w:div>
    <w:div w:id="1060979969">
      <w:bodyDiv w:val="1"/>
      <w:marLeft w:val="0"/>
      <w:marRight w:val="0"/>
      <w:marTop w:val="0"/>
      <w:marBottom w:val="0"/>
      <w:divBdr>
        <w:top w:val="none" w:sz="0" w:space="0" w:color="auto"/>
        <w:left w:val="none" w:sz="0" w:space="0" w:color="auto"/>
        <w:bottom w:val="none" w:sz="0" w:space="0" w:color="auto"/>
        <w:right w:val="none" w:sz="0" w:space="0" w:color="auto"/>
      </w:divBdr>
    </w:div>
    <w:div w:id="1064065585">
      <w:bodyDiv w:val="1"/>
      <w:marLeft w:val="0"/>
      <w:marRight w:val="0"/>
      <w:marTop w:val="0"/>
      <w:marBottom w:val="0"/>
      <w:divBdr>
        <w:top w:val="none" w:sz="0" w:space="0" w:color="auto"/>
        <w:left w:val="none" w:sz="0" w:space="0" w:color="auto"/>
        <w:bottom w:val="none" w:sz="0" w:space="0" w:color="auto"/>
        <w:right w:val="none" w:sz="0" w:space="0" w:color="auto"/>
      </w:divBdr>
    </w:div>
    <w:div w:id="1066104554">
      <w:bodyDiv w:val="1"/>
      <w:marLeft w:val="0"/>
      <w:marRight w:val="0"/>
      <w:marTop w:val="0"/>
      <w:marBottom w:val="0"/>
      <w:divBdr>
        <w:top w:val="none" w:sz="0" w:space="0" w:color="auto"/>
        <w:left w:val="none" w:sz="0" w:space="0" w:color="auto"/>
        <w:bottom w:val="none" w:sz="0" w:space="0" w:color="auto"/>
        <w:right w:val="none" w:sz="0" w:space="0" w:color="auto"/>
      </w:divBdr>
    </w:div>
    <w:div w:id="1090614729">
      <w:bodyDiv w:val="1"/>
      <w:marLeft w:val="0"/>
      <w:marRight w:val="0"/>
      <w:marTop w:val="0"/>
      <w:marBottom w:val="0"/>
      <w:divBdr>
        <w:top w:val="none" w:sz="0" w:space="0" w:color="auto"/>
        <w:left w:val="none" w:sz="0" w:space="0" w:color="auto"/>
        <w:bottom w:val="none" w:sz="0" w:space="0" w:color="auto"/>
        <w:right w:val="none" w:sz="0" w:space="0" w:color="auto"/>
      </w:divBdr>
    </w:div>
    <w:div w:id="1131633943">
      <w:bodyDiv w:val="1"/>
      <w:marLeft w:val="0"/>
      <w:marRight w:val="0"/>
      <w:marTop w:val="0"/>
      <w:marBottom w:val="0"/>
      <w:divBdr>
        <w:top w:val="none" w:sz="0" w:space="0" w:color="auto"/>
        <w:left w:val="none" w:sz="0" w:space="0" w:color="auto"/>
        <w:bottom w:val="none" w:sz="0" w:space="0" w:color="auto"/>
        <w:right w:val="none" w:sz="0" w:space="0" w:color="auto"/>
      </w:divBdr>
    </w:div>
    <w:div w:id="1160847919">
      <w:bodyDiv w:val="1"/>
      <w:marLeft w:val="0"/>
      <w:marRight w:val="0"/>
      <w:marTop w:val="0"/>
      <w:marBottom w:val="0"/>
      <w:divBdr>
        <w:top w:val="none" w:sz="0" w:space="0" w:color="auto"/>
        <w:left w:val="none" w:sz="0" w:space="0" w:color="auto"/>
        <w:bottom w:val="none" w:sz="0" w:space="0" w:color="auto"/>
        <w:right w:val="none" w:sz="0" w:space="0" w:color="auto"/>
      </w:divBdr>
    </w:div>
    <w:div w:id="1172991877">
      <w:bodyDiv w:val="1"/>
      <w:marLeft w:val="0"/>
      <w:marRight w:val="0"/>
      <w:marTop w:val="0"/>
      <w:marBottom w:val="0"/>
      <w:divBdr>
        <w:top w:val="none" w:sz="0" w:space="0" w:color="auto"/>
        <w:left w:val="none" w:sz="0" w:space="0" w:color="auto"/>
        <w:bottom w:val="none" w:sz="0" w:space="0" w:color="auto"/>
        <w:right w:val="none" w:sz="0" w:space="0" w:color="auto"/>
      </w:divBdr>
    </w:div>
    <w:div w:id="1183591759">
      <w:bodyDiv w:val="1"/>
      <w:marLeft w:val="0"/>
      <w:marRight w:val="0"/>
      <w:marTop w:val="0"/>
      <w:marBottom w:val="0"/>
      <w:divBdr>
        <w:top w:val="none" w:sz="0" w:space="0" w:color="auto"/>
        <w:left w:val="none" w:sz="0" w:space="0" w:color="auto"/>
        <w:bottom w:val="none" w:sz="0" w:space="0" w:color="auto"/>
        <w:right w:val="none" w:sz="0" w:space="0" w:color="auto"/>
      </w:divBdr>
    </w:div>
    <w:div w:id="1212233992">
      <w:bodyDiv w:val="1"/>
      <w:marLeft w:val="0"/>
      <w:marRight w:val="0"/>
      <w:marTop w:val="0"/>
      <w:marBottom w:val="0"/>
      <w:divBdr>
        <w:top w:val="none" w:sz="0" w:space="0" w:color="auto"/>
        <w:left w:val="none" w:sz="0" w:space="0" w:color="auto"/>
        <w:bottom w:val="none" w:sz="0" w:space="0" w:color="auto"/>
        <w:right w:val="none" w:sz="0" w:space="0" w:color="auto"/>
      </w:divBdr>
    </w:div>
    <w:div w:id="1248032883">
      <w:bodyDiv w:val="1"/>
      <w:marLeft w:val="0"/>
      <w:marRight w:val="0"/>
      <w:marTop w:val="0"/>
      <w:marBottom w:val="0"/>
      <w:divBdr>
        <w:top w:val="none" w:sz="0" w:space="0" w:color="auto"/>
        <w:left w:val="none" w:sz="0" w:space="0" w:color="auto"/>
        <w:bottom w:val="none" w:sz="0" w:space="0" w:color="auto"/>
        <w:right w:val="none" w:sz="0" w:space="0" w:color="auto"/>
      </w:divBdr>
    </w:div>
    <w:div w:id="1349985146">
      <w:bodyDiv w:val="1"/>
      <w:marLeft w:val="0"/>
      <w:marRight w:val="0"/>
      <w:marTop w:val="0"/>
      <w:marBottom w:val="0"/>
      <w:divBdr>
        <w:top w:val="none" w:sz="0" w:space="0" w:color="auto"/>
        <w:left w:val="none" w:sz="0" w:space="0" w:color="auto"/>
        <w:bottom w:val="none" w:sz="0" w:space="0" w:color="auto"/>
        <w:right w:val="none" w:sz="0" w:space="0" w:color="auto"/>
      </w:divBdr>
    </w:div>
    <w:div w:id="1442148871">
      <w:bodyDiv w:val="1"/>
      <w:marLeft w:val="0"/>
      <w:marRight w:val="0"/>
      <w:marTop w:val="0"/>
      <w:marBottom w:val="0"/>
      <w:divBdr>
        <w:top w:val="none" w:sz="0" w:space="0" w:color="auto"/>
        <w:left w:val="none" w:sz="0" w:space="0" w:color="auto"/>
        <w:bottom w:val="none" w:sz="0" w:space="0" w:color="auto"/>
        <w:right w:val="none" w:sz="0" w:space="0" w:color="auto"/>
      </w:divBdr>
    </w:div>
    <w:div w:id="1446534024">
      <w:bodyDiv w:val="1"/>
      <w:marLeft w:val="0"/>
      <w:marRight w:val="0"/>
      <w:marTop w:val="0"/>
      <w:marBottom w:val="0"/>
      <w:divBdr>
        <w:top w:val="none" w:sz="0" w:space="0" w:color="auto"/>
        <w:left w:val="none" w:sz="0" w:space="0" w:color="auto"/>
        <w:bottom w:val="none" w:sz="0" w:space="0" w:color="auto"/>
        <w:right w:val="none" w:sz="0" w:space="0" w:color="auto"/>
      </w:divBdr>
    </w:div>
    <w:div w:id="1446652824">
      <w:bodyDiv w:val="1"/>
      <w:marLeft w:val="0"/>
      <w:marRight w:val="0"/>
      <w:marTop w:val="0"/>
      <w:marBottom w:val="0"/>
      <w:divBdr>
        <w:top w:val="none" w:sz="0" w:space="0" w:color="auto"/>
        <w:left w:val="none" w:sz="0" w:space="0" w:color="auto"/>
        <w:bottom w:val="none" w:sz="0" w:space="0" w:color="auto"/>
        <w:right w:val="none" w:sz="0" w:space="0" w:color="auto"/>
      </w:divBdr>
    </w:div>
    <w:div w:id="1473475412">
      <w:bodyDiv w:val="1"/>
      <w:marLeft w:val="0"/>
      <w:marRight w:val="0"/>
      <w:marTop w:val="0"/>
      <w:marBottom w:val="0"/>
      <w:divBdr>
        <w:top w:val="none" w:sz="0" w:space="0" w:color="auto"/>
        <w:left w:val="none" w:sz="0" w:space="0" w:color="auto"/>
        <w:bottom w:val="none" w:sz="0" w:space="0" w:color="auto"/>
        <w:right w:val="none" w:sz="0" w:space="0" w:color="auto"/>
      </w:divBdr>
    </w:div>
    <w:div w:id="1490630257">
      <w:bodyDiv w:val="1"/>
      <w:marLeft w:val="0"/>
      <w:marRight w:val="0"/>
      <w:marTop w:val="0"/>
      <w:marBottom w:val="0"/>
      <w:divBdr>
        <w:top w:val="none" w:sz="0" w:space="0" w:color="auto"/>
        <w:left w:val="none" w:sz="0" w:space="0" w:color="auto"/>
        <w:bottom w:val="none" w:sz="0" w:space="0" w:color="auto"/>
        <w:right w:val="none" w:sz="0" w:space="0" w:color="auto"/>
      </w:divBdr>
    </w:div>
    <w:div w:id="1496871909">
      <w:bodyDiv w:val="1"/>
      <w:marLeft w:val="0"/>
      <w:marRight w:val="0"/>
      <w:marTop w:val="0"/>
      <w:marBottom w:val="0"/>
      <w:divBdr>
        <w:top w:val="none" w:sz="0" w:space="0" w:color="auto"/>
        <w:left w:val="none" w:sz="0" w:space="0" w:color="auto"/>
        <w:bottom w:val="none" w:sz="0" w:space="0" w:color="auto"/>
        <w:right w:val="none" w:sz="0" w:space="0" w:color="auto"/>
      </w:divBdr>
    </w:div>
    <w:div w:id="1497066007">
      <w:bodyDiv w:val="1"/>
      <w:marLeft w:val="0"/>
      <w:marRight w:val="0"/>
      <w:marTop w:val="0"/>
      <w:marBottom w:val="0"/>
      <w:divBdr>
        <w:top w:val="none" w:sz="0" w:space="0" w:color="auto"/>
        <w:left w:val="none" w:sz="0" w:space="0" w:color="auto"/>
        <w:bottom w:val="none" w:sz="0" w:space="0" w:color="auto"/>
        <w:right w:val="none" w:sz="0" w:space="0" w:color="auto"/>
      </w:divBdr>
    </w:div>
    <w:div w:id="1520394333">
      <w:bodyDiv w:val="1"/>
      <w:marLeft w:val="0"/>
      <w:marRight w:val="0"/>
      <w:marTop w:val="0"/>
      <w:marBottom w:val="0"/>
      <w:divBdr>
        <w:top w:val="none" w:sz="0" w:space="0" w:color="auto"/>
        <w:left w:val="none" w:sz="0" w:space="0" w:color="auto"/>
        <w:bottom w:val="none" w:sz="0" w:space="0" w:color="auto"/>
        <w:right w:val="none" w:sz="0" w:space="0" w:color="auto"/>
      </w:divBdr>
    </w:div>
    <w:div w:id="1521165048">
      <w:bodyDiv w:val="1"/>
      <w:marLeft w:val="0"/>
      <w:marRight w:val="0"/>
      <w:marTop w:val="0"/>
      <w:marBottom w:val="0"/>
      <w:divBdr>
        <w:top w:val="none" w:sz="0" w:space="0" w:color="auto"/>
        <w:left w:val="none" w:sz="0" w:space="0" w:color="auto"/>
        <w:bottom w:val="none" w:sz="0" w:space="0" w:color="auto"/>
        <w:right w:val="none" w:sz="0" w:space="0" w:color="auto"/>
      </w:divBdr>
    </w:div>
    <w:div w:id="1525829738">
      <w:bodyDiv w:val="1"/>
      <w:marLeft w:val="0"/>
      <w:marRight w:val="0"/>
      <w:marTop w:val="0"/>
      <w:marBottom w:val="0"/>
      <w:divBdr>
        <w:top w:val="none" w:sz="0" w:space="0" w:color="auto"/>
        <w:left w:val="none" w:sz="0" w:space="0" w:color="auto"/>
        <w:bottom w:val="none" w:sz="0" w:space="0" w:color="auto"/>
        <w:right w:val="none" w:sz="0" w:space="0" w:color="auto"/>
      </w:divBdr>
    </w:div>
    <w:div w:id="1538664052">
      <w:bodyDiv w:val="1"/>
      <w:marLeft w:val="0"/>
      <w:marRight w:val="0"/>
      <w:marTop w:val="0"/>
      <w:marBottom w:val="0"/>
      <w:divBdr>
        <w:top w:val="none" w:sz="0" w:space="0" w:color="auto"/>
        <w:left w:val="none" w:sz="0" w:space="0" w:color="auto"/>
        <w:bottom w:val="none" w:sz="0" w:space="0" w:color="auto"/>
        <w:right w:val="none" w:sz="0" w:space="0" w:color="auto"/>
      </w:divBdr>
    </w:div>
    <w:div w:id="1605650019">
      <w:bodyDiv w:val="1"/>
      <w:marLeft w:val="0"/>
      <w:marRight w:val="0"/>
      <w:marTop w:val="0"/>
      <w:marBottom w:val="0"/>
      <w:divBdr>
        <w:top w:val="none" w:sz="0" w:space="0" w:color="auto"/>
        <w:left w:val="none" w:sz="0" w:space="0" w:color="auto"/>
        <w:bottom w:val="none" w:sz="0" w:space="0" w:color="auto"/>
        <w:right w:val="none" w:sz="0" w:space="0" w:color="auto"/>
      </w:divBdr>
    </w:div>
    <w:div w:id="1635326601">
      <w:bodyDiv w:val="1"/>
      <w:marLeft w:val="0"/>
      <w:marRight w:val="0"/>
      <w:marTop w:val="0"/>
      <w:marBottom w:val="0"/>
      <w:divBdr>
        <w:top w:val="none" w:sz="0" w:space="0" w:color="auto"/>
        <w:left w:val="none" w:sz="0" w:space="0" w:color="auto"/>
        <w:bottom w:val="none" w:sz="0" w:space="0" w:color="auto"/>
        <w:right w:val="none" w:sz="0" w:space="0" w:color="auto"/>
      </w:divBdr>
    </w:div>
    <w:div w:id="1657227272">
      <w:bodyDiv w:val="1"/>
      <w:marLeft w:val="0"/>
      <w:marRight w:val="0"/>
      <w:marTop w:val="0"/>
      <w:marBottom w:val="0"/>
      <w:divBdr>
        <w:top w:val="none" w:sz="0" w:space="0" w:color="auto"/>
        <w:left w:val="none" w:sz="0" w:space="0" w:color="auto"/>
        <w:bottom w:val="none" w:sz="0" w:space="0" w:color="auto"/>
        <w:right w:val="none" w:sz="0" w:space="0" w:color="auto"/>
      </w:divBdr>
    </w:div>
    <w:div w:id="1665014320">
      <w:bodyDiv w:val="1"/>
      <w:marLeft w:val="0"/>
      <w:marRight w:val="0"/>
      <w:marTop w:val="0"/>
      <w:marBottom w:val="0"/>
      <w:divBdr>
        <w:top w:val="none" w:sz="0" w:space="0" w:color="auto"/>
        <w:left w:val="none" w:sz="0" w:space="0" w:color="auto"/>
        <w:bottom w:val="none" w:sz="0" w:space="0" w:color="auto"/>
        <w:right w:val="none" w:sz="0" w:space="0" w:color="auto"/>
      </w:divBdr>
    </w:div>
    <w:div w:id="1681195444">
      <w:bodyDiv w:val="1"/>
      <w:marLeft w:val="0"/>
      <w:marRight w:val="0"/>
      <w:marTop w:val="0"/>
      <w:marBottom w:val="0"/>
      <w:divBdr>
        <w:top w:val="none" w:sz="0" w:space="0" w:color="auto"/>
        <w:left w:val="none" w:sz="0" w:space="0" w:color="auto"/>
        <w:bottom w:val="none" w:sz="0" w:space="0" w:color="auto"/>
        <w:right w:val="none" w:sz="0" w:space="0" w:color="auto"/>
      </w:divBdr>
    </w:div>
    <w:div w:id="1739739821">
      <w:bodyDiv w:val="1"/>
      <w:marLeft w:val="0"/>
      <w:marRight w:val="0"/>
      <w:marTop w:val="0"/>
      <w:marBottom w:val="0"/>
      <w:divBdr>
        <w:top w:val="none" w:sz="0" w:space="0" w:color="auto"/>
        <w:left w:val="none" w:sz="0" w:space="0" w:color="auto"/>
        <w:bottom w:val="none" w:sz="0" w:space="0" w:color="auto"/>
        <w:right w:val="none" w:sz="0" w:space="0" w:color="auto"/>
      </w:divBdr>
    </w:div>
    <w:div w:id="1751779872">
      <w:bodyDiv w:val="1"/>
      <w:marLeft w:val="0"/>
      <w:marRight w:val="0"/>
      <w:marTop w:val="0"/>
      <w:marBottom w:val="0"/>
      <w:divBdr>
        <w:top w:val="none" w:sz="0" w:space="0" w:color="auto"/>
        <w:left w:val="none" w:sz="0" w:space="0" w:color="auto"/>
        <w:bottom w:val="none" w:sz="0" w:space="0" w:color="auto"/>
        <w:right w:val="none" w:sz="0" w:space="0" w:color="auto"/>
      </w:divBdr>
    </w:div>
    <w:div w:id="1810903091">
      <w:bodyDiv w:val="1"/>
      <w:marLeft w:val="0"/>
      <w:marRight w:val="0"/>
      <w:marTop w:val="0"/>
      <w:marBottom w:val="0"/>
      <w:divBdr>
        <w:top w:val="none" w:sz="0" w:space="0" w:color="auto"/>
        <w:left w:val="none" w:sz="0" w:space="0" w:color="auto"/>
        <w:bottom w:val="none" w:sz="0" w:space="0" w:color="auto"/>
        <w:right w:val="none" w:sz="0" w:space="0" w:color="auto"/>
      </w:divBdr>
    </w:div>
    <w:div w:id="1826554634">
      <w:bodyDiv w:val="1"/>
      <w:marLeft w:val="0"/>
      <w:marRight w:val="0"/>
      <w:marTop w:val="0"/>
      <w:marBottom w:val="0"/>
      <w:divBdr>
        <w:top w:val="none" w:sz="0" w:space="0" w:color="auto"/>
        <w:left w:val="none" w:sz="0" w:space="0" w:color="auto"/>
        <w:bottom w:val="none" w:sz="0" w:space="0" w:color="auto"/>
        <w:right w:val="none" w:sz="0" w:space="0" w:color="auto"/>
      </w:divBdr>
    </w:div>
    <w:div w:id="1878811465">
      <w:bodyDiv w:val="1"/>
      <w:marLeft w:val="0"/>
      <w:marRight w:val="0"/>
      <w:marTop w:val="0"/>
      <w:marBottom w:val="0"/>
      <w:divBdr>
        <w:top w:val="none" w:sz="0" w:space="0" w:color="auto"/>
        <w:left w:val="none" w:sz="0" w:space="0" w:color="auto"/>
        <w:bottom w:val="none" w:sz="0" w:space="0" w:color="auto"/>
        <w:right w:val="none" w:sz="0" w:space="0" w:color="auto"/>
      </w:divBdr>
    </w:div>
    <w:div w:id="1915048885">
      <w:bodyDiv w:val="1"/>
      <w:marLeft w:val="0"/>
      <w:marRight w:val="0"/>
      <w:marTop w:val="0"/>
      <w:marBottom w:val="0"/>
      <w:divBdr>
        <w:top w:val="none" w:sz="0" w:space="0" w:color="auto"/>
        <w:left w:val="none" w:sz="0" w:space="0" w:color="auto"/>
        <w:bottom w:val="none" w:sz="0" w:space="0" w:color="auto"/>
        <w:right w:val="none" w:sz="0" w:space="0" w:color="auto"/>
      </w:divBdr>
    </w:div>
    <w:div w:id="1928464380">
      <w:bodyDiv w:val="1"/>
      <w:marLeft w:val="0"/>
      <w:marRight w:val="0"/>
      <w:marTop w:val="0"/>
      <w:marBottom w:val="0"/>
      <w:divBdr>
        <w:top w:val="none" w:sz="0" w:space="0" w:color="auto"/>
        <w:left w:val="none" w:sz="0" w:space="0" w:color="auto"/>
        <w:bottom w:val="none" w:sz="0" w:space="0" w:color="auto"/>
        <w:right w:val="none" w:sz="0" w:space="0" w:color="auto"/>
      </w:divBdr>
    </w:div>
    <w:div w:id="1965118060">
      <w:bodyDiv w:val="1"/>
      <w:marLeft w:val="0"/>
      <w:marRight w:val="0"/>
      <w:marTop w:val="0"/>
      <w:marBottom w:val="0"/>
      <w:divBdr>
        <w:top w:val="none" w:sz="0" w:space="0" w:color="auto"/>
        <w:left w:val="none" w:sz="0" w:space="0" w:color="auto"/>
        <w:bottom w:val="none" w:sz="0" w:space="0" w:color="auto"/>
        <w:right w:val="none" w:sz="0" w:space="0" w:color="auto"/>
      </w:divBdr>
    </w:div>
    <w:div w:id="1973974777">
      <w:bodyDiv w:val="1"/>
      <w:marLeft w:val="0"/>
      <w:marRight w:val="0"/>
      <w:marTop w:val="0"/>
      <w:marBottom w:val="0"/>
      <w:divBdr>
        <w:top w:val="none" w:sz="0" w:space="0" w:color="auto"/>
        <w:left w:val="none" w:sz="0" w:space="0" w:color="auto"/>
        <w:bottom w:val="none" w:sz="0" w:space="0" w:color="auto"/>
        <w:right w:val="none" w:sz="0" w:space="0" w:color="auto"/>
      </w:divBdr>
    </w:div>
    <w:div w:id="2018848848">
      <w:bodyDiv w:val="1"/>
      <w:marLeft w:val="0"/>
      <w:marRight w:val="0"/>
      <w:marTop w:val="0"/>
      <w:marBottom w:val="0"/>
      <w:divBdr>
        <w:top w:val="none" w:sz="0" w:space="0" w:color="auto"/>
        <w:left w:val="none" w:sz="0" w:space="0" w:color="auto"/>
        <w:bottom w:val="none" w:sz="0" w:space="0" w:color="auto"/>
        <w:right w:val="none" w:sz="0" w:space="0" w:color="auto"/>
      </w:divBdr>
    </w:div>
    <w:div w:id="2056273418">
      <w:bodyDiv w:val="1"/>
      <w:marLeft w:val="0"/>
      <w:marRight w:val="0"/>
      <w:marTop w:val="0"/>
      <w:marBottom w:val="0"/>
      <w:divBdr>
        <w:top w:val="none" w:sz="0" w:space="0" w:color="auto"/>
        <w:left w:val="none" w:sz="0" w:space="0" w:color="auto"/>
        <w:bottom w:val="none" w:sz="0" w:space="0" w:color="auto"/>
        <w:right w:val="none" w:sz="0" w:space="0" w:color="auto"/>
      </w:divBdr>
    </w:div>
    <w:div w:id="2088257562">
      <w:bodyDiv w:val="1"/>
      <w:marLeft w:val="0"/>
      <w:marRight w:val="0"/>
      <w:marTop w:val="0"/>
      <w:marBottom w:val="0"/>
      <w:divBdr>
        <w:top w:val="none" w:sz="0" w:space="0" w:color="auto"/>
        <w:left w:val="none" w:sz="0" w:space="0" w:color="auto"/>
        <w:bottom w:val="none" w:sz="0" w:space="0" w:color="auto"/>
        <w:right w:val="none" w:sz="0" w:space="0" w:color="auto"/>
      </w:divBdr>
    </w:div>
    <w:div w:id="2105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www.fao.org/worldfoodsituation/foodpricesindex/en/" TargetMode="External"/><Relationship Id="rId2" Type="http://schemas.openxmlformats.org/officeDocument/2006/relationships/hyperlink" Target="https://thedocs.worldbank.org/en/doc/abf6fab46b08d9edfcf1187e6a3e108e-0350012023/related/Global-Monthly-Sept2024.pdf" TargetMode="External"/><Relationship Id="rId1" Type="http://schemas.openxmlformats.org/officeDocument/2006/relationships/hyperlink" Target="https://www.adb.org/publications/asian-development-outlook-september-2024" TargetMode="External"/><Relationship Id="rId6" Type="http://schemas.openxmlformats.org/officeDocument/2006/relationships/hyperlink" Target="https://www.imf.org/en/Publications/CR/Issues/2024/09/27/Vietnam-2024-Article-IV-Consultation-Press-Release-Staff-Report-and-Statement-by-the-555679?fbclid=IwY2xjawFm69pleHRuA2FlbQIxMAABHS_zlnogLEwV33GZyo3DK3AUGqAmm-xCAAvW9zY_8_mwDleoyfhiVXF7xQ_aem_eOYZfZIM2QKJSCB5B52PQw" TargetMode="External"/><Relationship Id="rId5" Type="http://schemas.openxmlformats.org/officeDocument/2006/relationships/hyperlink" Target="http://documents1.worldbank.org/curated/en/099145408232417063/pdf/IDU1dc8e9b8a11b4714a291af17167d8f89b52a5.pdf" TargetMode="External"/><Relationship Id="rId4" Type="http://schemas.openxmlformats.org/officeDocument/2006/relationships/hyperlink" Target="https://tradingeconomics.com/united-states/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B8D7-DB4F-4AF5-86AA-1500C197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4920</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ltthuyen</dc:creator>
  <cp:keywords/>
  <dc:description/>
  <cp:lastModifiedBy>Trương Văn Vinh</cp:lastModifiedBy>
  <cp:revision>5</cp:revision>
  <cp:lastPrinted>2024-09-27T07:11:00Z</cp:lastPrinted>
  <dcterms:created xsi:type="dcterms:W3CDTF">2024-10-05T06:11:00Z</dcterms:created>
  <dcterms:modified xsi:type="dcterms:W3CDTF">2024-10-05T09:17:00Z</dcterms:modified>
</cp:coreProperties>
</file>