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5293C" w14:textId="77777777" w:rsidR="00791FF1" w:rsidRPr="00546806" w:rsidRDefault="00791FF1" w:rsidP="00546806">
      <w:pPr>
        <w:spacing w:after="0"/>
        <w:jc w:val="center"/>
        <w:rPr>
          <w:rFonts w:ascii="Times New Roman" w:hAnsi="Times New Roman" w:cs="Times New Roman"/>
          <w:b/>
          <w:bCs/>
          <w:szCs w:val="30"/>
          <w:lang w:val="pt-BR"/>
        </w:rPr>
      </w:pPr>
    </w:p>
    <w:tbl>
      <w:tblPr>
        <w:tblpPr w:leftFromText="180" w:rightFromText="180" w:vertAnchor="text" w:horzAnchor="margin" w:tblpXSpec="center" w:tblpY="-386"/>
        <w:tblW w:w="10710" w:type="dxa"/>
        <w:tblLayout w:type="fixed"/>
        <w:tblLook w:val="0000" w:firstRow="0" w:lastRow="0" w:firstColumn="0" w:lastColumn="0" w:noHBand="0" w:noVBand="0"/>
      </w:tblPr>
      <w:tblGrid>
        <w:gridCol w:w="5490"/>
        <w:gridCol w:w="5220"/>
      </w:tblGrid>
      <w:tr w:rsidR="006606E3" w:rsidRPr="00546806" w14:paraId="6D57F405" w14:textId="77777777" w:rsidTr="0041160F">
        <w:trPr>
          <w:trHeight w:val="1026"/>
        </w:trPr>
        <w:tc>
          <w:tcPr>
            <w:tcW w:w="5490" w:type="dxa"/>
          </w:tcPr>
          <w:p w14:paraId="4C4A07A7" w14:textId="77777777" w:rsidR="006606E3" w:rsidRPr="00546806" w:rsidRDefault="006606E3" w:rsidP="00546806">
            <w:pPr>
              <w:ind w:left="72" w:right="-115"/>
              <w:jc w:val="center"/>
              <w:rPr>
                <w:rFonts w:ascii="Times New Roman" w:hAnsi="Times New Roman" w:cs="Times New Roman"/>
                <w:spacing w:val="-6"/>
                <w:sz w:val="24"/>
                <w:szCs w:val="24"/>
              </w:rPr>
            </w:pPr>
            <w:r w:rsidRPr="00546806">
              <w:rPr>
                <w:rFonts w:ascii="Times New Roman" w:hAnsi="Times New Roman" w:cs="Times New Roman"/>
                <w:spacing w:val="-6"/>
                <w:sz w:val="24"/>
                <w:szCs w:val="24"/>
              </w:rPr>
              <w:softHyphen/>
            </w:r>
            <w:r w:rsidRPr="00546806">
              <w:rPr>
                <w:rFonts w:ascii="Times New Roman" w:hAnsi="Times New Roman" w:cs="Times New Roman"/>
                <w:spacing w:val="-6"/>
                <w:sz w:val="24"/>
                <w:szCs w:val="24"/>
              </w:rPr>
              <w:softHyphen/>
            </w:r>
            <w:r w:rsidRPr="00546806">
              <w:rPr>
                <w:rFonts w:ascii="Times New Roman" w:hAnsi="Times New Roman" w:cs="Times New Roman"/>
                <w:spacing w:val="-6"/>
                <w:sz w:val="24"/>
                <w:szCs w:val="24"/>
              </w:rPr>
              <w:softHyphen/>
            </w:r>
            <w:r w:rsidRPr="00546806">
              <w:rPr>
                <w:rFonts w:ascii="Times New Roman" w:hAnsi="Times New Roman" w:cs="Times New Roman"/>
                <w:spacing w:val="-6"/>
                <w:sz w:val="24"/>
                <w:szCs w:val="24"/>
              </w:rPr>
              <w:softHyphen/>
              <w:t>MINISTRY OF PLANNING AND INVESTMENT</w:t>
            </w:r>
          </w:p>
          <w:p w14:paraId="4F147147" w14:textId="77777777" w:rsidR="006606E3" w:rsidRPr="00546806" w:rsidRDefault="006606E3" w:rsidP="00546806">
            <w:pPr>
              <w:ind w:left="72" w:right="-115"/>
              <w:jc w:val="center"/>
              <w:rPr>
                <w:rFonts w:ascii="Times New Roman" w:hAnsi="Times New Roman" w:cs="Times New Roman"/>
                <w:b/>
                <w:bCs/>
                <w:spacing w:val="-6"/>
                <w:sz w:val="24"/>
                <w:szCs w:val="24"/>
              </w:rPr>
            </w:pPr>
            <w:r w:rsidRPr="00546806">
              <w:rPr>
                <w:rFonts w:ascii="Times New Roman" w:hAnsi="Times New Roman" w:cs="Times New Roman"/>
                <w:noProof/>
                <w:lang w:val="en-US" w:eastAsia="ko-KR"/>
              </w:rPr>
              <mc:AlternateContent>
                <mc:Choice Requires="wps">
                  <w:drawing>
                    <wp:anchor distT="4294967293" distB="4294967293" distL="114300" distR="114300" simplePos="0" relativeHeight="251665408" behindDoc="0" locked="0" layoutInCell="1" allowOverlap="1" wp14:anchorId="62395DB9" wp14:editId="4DCD706D">
                      <wp:simplePos x="0" y="0"/>
                      <wp:positionH relativeFrom="column">
                        <wp:posOffset>1145540</wp:posOffset>
                      </wp:positionH>
                      <wp:positionV relativeFrom="paragraph">
                        <wp:posOffset>203199</wp:posOffset>
                      </wp:positionV>
                      <wp:extent cx="97155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9EAB78" id="Straight Connector 13"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0.2pt,16pt" to="166.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cnrwEAAEgDAAAOAAAAZHJzL2Uyb0RvYy54bWysU8Fu2zAMvQ/YPwi6L3YCdN2MOD2k6y7d&#10;FqDdBzCSbAuTRYFUYufvJ6lJWmy3YT4Ikkg+vfdIr+/m0YmjIbboW7lc1FIYr1Bb37fy5/PDh09S&#10;cASvwaE3rTwZlneb9+/WU2jMCgd02pBIIJ6bKbRyiDE0VcVqMCPwAoPxKdghjRDTkfpKE0wJfXTV&#10;qq4/VhOSDoTKMKfb+5eg3BT8rjMq/ug6NlG4ViZusaxU1n1eq80amp4gDFadacA/sBjB+vToFeoe&#10;IogD2b+gRqsIGbu4UDhW2HVWmaIhqVnWf6h5GiCYoiWZw+FqE/8/WPX9uPU7ytTV7J/CI6pfLDxu&#10;B/C9KQSeTyE1bpmtqqbAzbUkHzjsSOynb6hTDhwiFhfmjsYMmfSJuZh9uppt5ihUuvx8u7y5SS1R&#10;l1AFzaUuEMevBkeRN6101mcboIHjI8fMA5pLSr72+GCdK610XkyJ7Oq2rksFo7M6R3MeU7/fOhJH&#10;yNNQvqIqRd6mER68LmiDAf3lvI9g3cs+ve782YysPw8bN3vUpx1dTErtKjTPo5Xn4e25VL/+AJvf&#10;AAAA//8DAFBLAwQUAAYACAAAACEAppjvXN0AAAAJAQAADwAAAGRycy9kb3ducmV2LnhtbEyPQUvD&#10;QBCF74L/YRnBm92YiIaYTRGlFMVLW8HrNBmz0exsmt228d870oMe35uPN++V88n16kBj6DwbuJ4l&#10;oIhr33TcGnjbLK5yUCEiN9h7JgPfFGBenZ+VWDT+yCs6rGOrJIRDgQZsjEOhdagtOQwzPxDL7cOP&#10;DqPIsdXNiEcJd71Ok+RWO+xYPlgc6NFS/bXeOwP4tFzF9zx9ueue7evnZrFb2nxnzOXF9HAPKtIU&#10;/2D4rS/VoZJOW7/nJqhedJ7cCGogS2WTAFmWibE9Gboq9f8F1Q8AAAD//wMAUEsBAi0AFAAGAAgA&#10;AAAhALaDOJL+AAAA4QEAABMAAAAAAAAAAAAAAAAAAAAAAFtDb250ZW50X1R5cGVzXS54bWxQSwEC&#10;LQAUAAYACAAAACEAOP0h/9YAAACUAQAACwAAAAAAAAAAAAAAAAAvAQAAX3JlbHMvLnJlbHNQSwEC&#10;LQAUAAYACAAAACEAFFwHJ68BAABIAwAADgAAAAAAAAAAAAAAAAAuAgAAZHJzL2Uyb0RvYy54bWxQ&#10;SwECLQAUAAYACAAAACEAppjvXN0AAAAJAQAADwAAAAAAAAAAAAAAAAAJBAAAZHJzL2Rvd25yZXYu&#10;eG1sUEsFBgAAAAAEAAQA8wAAABMFAAAAAA==&#10;" strokeweight="1pt"/>
                  </w:pict>
                </mc:Fallback>
              </mc:AlternateContent>
            </w:r>
            <w:r w:rsidRPr="00546806">
              <w:rPr>
                <w:rFonts w:ascii="Times New Roman" w:hAnsi="Times New Roman" w:cs="Times New Roman"/>
                <w:b/>
                <w:bCs/>
                <w:spacing w:val="-6"/>
                <w:sz w:val="24"/>
                <w:szCs w:val="24"/>
              </w:rPr>
              <w:t>GENERAL STATISTICS OFFICE</w:t>
            </w:r>
          </w:p>
          <w:p w14:paraId="5E4A81F0" w14:textId="77777777" w:rsidR="006606E3" w:rsidRPr="00546806" w:rsidRDefault="006606E3" w:rsidP="00546806">
            <w:pPr>
              <w:spacing w:before="120"/>
              <w:ind w:left="16" w:right="-18"/>
              <w:jc w:val="center"/>
              <w:rPr>
                <w:rFonts w:ascii="Times New Roman" w:hAnsi="Times New Roman" w:cs="Times New Roman"/>
                <w:sz w:val="26"/>
                <w:szCs w:val="26"/>
                <w:lang w:val="vi-VN"/>
              </w:rPr>
            </w:pPr>
          </w:p>
        </w:tc>
        <w:tc>
          <w:tcPr>
            <w:tcW w:w="5220" w:type="dxa"/>
          </w:tcPr>
          <w:p w14:paraId="6B67C986" w14:textId="77777777" w:rsidR="006606E3" w:rsidRPr="00546806" w:rsidRDefault="006606E3" w:rsidP="00546806">
            <w:pPr>
              <w:rPr>
                <w:rFonts w:ascii="Times New Roman" w:hAnsi="Times New Roman" w:cs="Times New Roman"/>
                <w:b/>
                <w:bCs/>
                <w:sz w:val="24"/>
                <w:szCs w:val="24"/>
              </w:rPr>
            </w:pPr>
            <w:r w:rsidRPr="00546806">
              <w:rPr>
                <w:rFonts w:ascii="Times New Roman" w:hAnsi="Times New Roman" w:cs="Times New Roman"/>
                <w:b/>
                <w:bCs/>
                <w:sz w:val="24"/>
                <w:szCs w:val="24"/>
              </w:rPr>
              <w:t>SOCIALIST REPUBLIC OF VIET NAM</w:t>
            </w:r>
          </w:p>
          <w:p w14:paraId="07AB04C2" w14:textId="77777777" w:rsidR="006606E3" w:rsidRPr="00546806" w:rsidRDefault="006606E3" w:rsidP="00546806">
            <w:pPr>
              <w:rPr>
                <w:rFonts w:ascii="Times New Roman" w:hAnsi="Times New Roman" w:cs="Times New Roman"/>
                <w:b/>
                <w:bCs/>
                <w:sz w:val="24"/>
                <w:szCs w:val="24"/>
              </w:rPr>
            </w:pPr>
            <w:r w:rsidRPr="00546806">
              <w:rPr>
                <w:rFonts w:ascii="Times New Roman" w:hAnsi="Times New Roman" w:cs="Times New Roman"/>
                <w:noProof/>
                <w:lang w:val="en-US" w:eastAsia="ko-KR"/>
              </w:rPr>
              <mc:AlternateContent>
                <mc:Choice Requires="wps">
                  <w:drawing>
                    <wp:anchor distT="4294967293" distB="4294967293" distL="114300" distR="114300" simplePos="0" relativeHeight="251666432" behindDoc="0" locked="0" layoutInCell="1" allowOverlap="1" wp14:anchorId="5D5EE6DA" wp14:editId="1CCB308F">
                      <wp:simplePos x="0" y="0"/>
                      <wp:positionH relativeFrom="column">
                        <wp:posOffset>336550</wp:posOffset>
                      </wp:positionH>
                      <wp:positionV relativeFrom="paragraph">
                        <wp:posOffset>203199</wp:posOffset>
                      </wp:positionV>
                      <wp:extent cx="188404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1198BE" id="Straight Connector 10"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5pt,16pt" to="17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7OmsAEAAEkDAAAOAAAAZHJzL2Uyb0RvYy54bWysU8Fu2zAMvQ/YPwi6L3aCbguMOD2k6y7d&#10;FqDdBzCSbAuVRYFU4uTvJ6lJWmy3oT4IpEg+PT7Sq9vj6MTBEFv0rZzPaimMV6it71v5++n+01IK&#10;juA1OPSmlSfD8nb98cNqCo1Z4IBOGxIJxHMzhVYOMYamqlgNZgSeYTA+BTukEWJyqa80wZTQR1ct&#10;6vpLNSHpQKgMc7q9ewnKdcHvOqPir65jE4VrZeIWy0nl3OWzWq+g6QnCYNWZBvwHixGsT49eoe4g&#10;gtiT/QdqtIqQsYszhWOFXWeVKT2kbub1X908DhBM6SWJw+EqE78frPp52PgtZerq6B/DA6pnFh43&#10;A/jeFAJPp5AGN89SVVPg5lqSHQ5bErvpB+qUA/uIRYVjR2OGTP2JYxH7dBXbHKNQ6XK+XN7UN5+l&#10;UJdYBc2lMBDH7wZHkY1WOuuzDtDA4YFjJgLNJSVfe7y3zpVZOi+mBL74WtelgtFZnaM5j6nfbRyJ&#10;A+R1KF9pK0XephHuvS5ogwH97WxHsO7FTq87f1YjC5C3jZsd6tOWLiqleRWa593KC/HWL9Wvf8D6&#10;DwAAAP//AwBQSwMEFAAGAAgAAAAhADoPbIXfAAAACAEAAA8AAABkcnMvZG93bnJldi54bWxMj0FP&#10;wzAMhe9I/IfISNxYSgusK00nBJomEJdtSLt6jWkKjdM12Vb+PUEc4GTZ7+n5e+V8tJ040uBbxwqu&#10;JwkI4trplhsFb5vFVQ7CB2SNnWNS8EUe5tX5WYmFdide0XEdGhFD2BeowITQF1L62pBFP3E9cdTe&#10;3WAxxHVopB7wFMNtJ9MkuZMWW44fDPb0aKj+XB+sAnxarsI2T1+m7bN5/dgs9kuT75W6vBgf7kEE&#10;GsOfGX7wIzpUkWnnDqy96BTcZrFKUJClcUY9u5lNQex+D7Iq5f8C1TcAAAD//wMAUEsBAi0AFAAG&#10;AAgAAAAhALaDOJL+AAAA4QEAABMAAAAAAAAAAAAAAAAAAAAAAFtDb250ZW50X1R5cGVzXS54bWxQ&#10;SwECLQAUAAYACAAAACEAOP0h/9YAAACUAQAACwAAAAAAAAAAAAAAAAAvAQAAX3JlbHMvLnJlbHNQ&#10;SwECLQAUAAYACAAAACEARt+zprABAABJAwAADgAAAAAAAAAAAAAAAAAuAgAAZHJzL2Uyb0RvYy54&#10;bWxQSwECLQAUAAYACAAAACEAOg9shd8AAAAIAQAADwAAAAAAAAAAAAAAAAAKBAAAZHJzL2Rvd25y&#10;ZXYueG1sUEsFBgAAAAAEAAQA8wAAABYFAAAAAA==&#10;" strokeweight="1pt"/>
                  </w:pict>
                </mc:Fallback>
              </mc:AlternateContent>
            </w:r>
            <w:r w:rsidRPr="00546806">
              <w:rPr>
                <w:rFonts w:ascii="Times New Roman" w:hAnsi="Times New Roman" w:cs="Times New Roman"/>
                <w:b/>
                <w:bCs/>
                <w:sz w:val="24"/>
                <w:szCs w:val="24"/>
              </w:rPr>
              <w:t>Independence-Freedom-Happiness</w:t>
            </w:r>
          </w:p>
          <w:p w14:paraId="46E22951" w14:textId="40C649DB" w:rsidR="006606E3" w:rsidRPr="00546806" w:rsidRDefault="006606E3" w:rsidP="00546806">
            <w:pPr>
              <w:ind w:left="72"/>
              <w:jc w:val="center"/>
              <w:rPr>
                <w:rFonts w:ascii="Times New Roman" w:hAnsi="Times New Roman" w:cs="Times New Roman"/>
                <w:b/>
                <w:bCs/>
                <w:i/>
                <w:iCs/>
                <w:sz w:val="26"/>
                <w:szCs w:val="26"/>
              </w:rPr>
            </w:pPr>
            <w:r w:rsidRPr="00546806">
              <w:rPr>
                <w:rFonts w:ascii="Times New Roman" w:hAnsi="Times New Roman" w:cs="Times New Roman"/>
                <w:i/>
                <w:iCs/>
                <w:sz w:val="26"/>
                <w:szCs w:val="26"/>
              </w:rPr>
              <w:t xml:space="preserve">Ha Noi, </w:t>
            </w:r>
            <w:r w:rsidR="00DA5DC0">
              <w:rPr>
                <w:rFonts w:ascii="Times New Roman" w:hAnsi="Times New Roman" w:cs="Times New Roman"/>
                <w:i/>
                <w:iCs/>
                <w:sz w:val="26"/>
                <w:szCs w:val="26"/>
              </w:rPr>
              <w:t>6</w:t>
            </w:r>
            <w:r w:rsidRPr="00546806">
              <w:rPr>
                <w:rFonts w:ascii="Times New Roman" w:hAnsi="Times New Roman" w:cs="Times New Roman"/>
                <w:i/>
                <w:iCs/>
                <w:sz w:val="26"/>
                <w:szCs w:val="26"/>
                <w:vertAlign w:val="superscript"/>
              </w:rPr>
              <w:t>th</w:t>
            </w:r>
            <w:r w:rsidRPr="00546806">
              <w:rPr>
                <w:rFonts w:ascii="Times New Roman" w:hAnsi="Times New Roman" w:cs="Times New Roman"/>
                <w:i/>
                <w:iCs/>
                <w:sz w:val="26"/>
                <w:szCs w:val="26"/>
              </w:rPr>
              <w:t xml:space="preserve"> </w:t>
            </w:r>
            <w:r w:rsidR="00DA5DC0">
              <w:rPr>
                <w:rFonts w:ascii="Times New Roman" w:hAnsi="Times New Roman" w:cs="Times New Roman"/>
                <w:i/>
                <w:iCs/>
                <w:sz w:val="26"/>
                <w:szCs w:val="26"/>
              </w:rPr>
              <w:t>October</w:t>
            </w:r>
            <w:r w:rsidRPr="00546806">
              <w:rPr>
                <w:rFonts w:ascii="Times New Roman" w:hAnsi="Times New Roman" w:cs="Times New Roman"/>
                <w:i/>
                <w:iCs/>
                <w:sz w:val="26"/>
                <w:szCs w:val="26"/>
              </w:rPr>
              <w:t>, 202</w:t>
            </w:r>
            <w:r w:rsidR="00DA5DC0">
              <w:rPr>
                <w:rFonts w:ascii="Times New Roman" w:hAnsi="Times New Roman" w:cs="Times New Roman"/>
                <w:i/>
                <w:iCs/>
                <w:sz w:val="26"/>
                <w:szCs w:val="26"/>
              </w:rPr>
              <w:t>4</w:t>
            </w:r>
          </w:p>
        </w:tc>
      </w:tr>
    </w:tbl>
    <w:p w14:paraId="306275B2" w14:textId="77777777" w:rsidR="006606E3" w:rsidRPr="00546806" w:rsidRDefault="006606E3" w:rsidP="00546806">
      <w:pPr>
        <w:spacing w:after="0"/>
        <w:jc w:val="center"/>
        <w:rPr>
          <w:rFonts w:ascii="Times New Roman" w:hAnsi="Times New Roman" w:cs="Times New Roman"/>
          <w:b/>
          <w:bCs/>
          <w:sz w:val="30"/>
          <w:szCs w:val="30"/>
          <w:lang w:val="pt-BR"/>
        </w:rPr>
      </w:pPr>
    </w:p>
    <w:p w14:paraId="01287D83" w14:textId="77777777" w:rsidR="006606E3" w:rsidRPr="00546806" w:rsidRDefault="006606E3" w:rsidP="00546806">
      <w:pPr>
        <w:spacing w:after="0"/>
        <w:jc w:val="center"/>
        <w:rPr>
          <w:rFonts w:ascii="Times New Roman" w:hAnsi="Times New Roman" w:cs="Times New Roman"/>
          <w:b/>
          <w:bCs/>
          <w:sz w:val="30"/>
          <w:szCs w:val="30"/>
          <w:lang w:val="pt-BR"/>
        </w:rPr>
      </w:pPr>
      <w:r w:rsidRPr="00546806">
        <w:rPr>
          <w:rFonts w:ascii="Times New Roman" w:hAnsi="Times New Roman" w:cs="Times New Roman"/>
          <w:b/>
          <w:bCs/>
          <w:sz w:val="30"/>
          <w:szCs w:val="30"/>
          <w:lang w:val="pt-BR"/>
        </w:rPr>
        <w:t>PRESS RELEASE</w:t>
      </w:r>
    </w:p>
    <w:p w14:paraId="34ABC83B" w14:textId="7736BB68" w:rsidR="004D1EA5" w:rsidRPr="00546806" w:rsidRDefault="006606E3" w:rsidP="00546806">
      <w:pPr>
        <w:spacing w:after="0"/>
        <w:jc w:val="center"/>
        <w:rPr>
          <w:rFonts w:ascii="Times New Roman" w:hAnsi="Times New Roman" w:cs="Times New Roman"/>
          <w:b/>
          <w:bCs/>
          <w:sz w:val="30"/>
          <w:szCs w:val="30"/>
          <w:lang w:val="pt-BR"/>
        </w:rPr>
      </w:pPr>
      <w:r w:rsidRPr="00546806">
        <w:rPr>
          <w:rFonts w:ascii="Times New Roman" w:hAnsi="Times New Roman" w:cs="Times New Roman"/>
          <w:b/>
          <w:bCs/>
          <w:sz w:val="30"/>
          <w:szCs w:val="30"/>
          <w:lang w:val="pt-BR"/>
        </w:rPr>
        <w:t xml:space="preserve">Socio-economic situation in the third quarter and nine months </w:t>
      </w:r>
      <w:r w:rsidRPr="00546806">
        <w:rPr>
          <w:rFonts w:ascii="Times New Roman" w:hAnsi="Times New Roman" w:cs="Times New Roman"/>
          <w:b/>
          <w:bCs/>
          <w:sz w:val="30"/>
          <w:szCs w:val="30"/>
          <w:lang w:val="vi-VN"/>
        </w:rPr>
        <w:t>of 202</w:t>
      </w:r>
      <w:r w:rsidR="00DA5DC0">
        <w:rPr>
          <w:rFonts w:ascii="Times New Roman" w:hAnsi="Times New Roman" w:cs="Times New Roman"/>
          <w:b/>
          <w:bCs/>
          <w:sz w:val="30"/>
          <w:szCs w:val="30"/>
          <w:lang w:val="en-US"/>
        </w:rPr>
        <w:t>4</w:t>
      </w:r>
      <w:r w:rsidR="000F7DF2" w:rsidRPr="00546806">
        <w:rPr>
          <w:rStyle w:val="FootnoteReference"/>
          <w:rFonts w:ascii="Times New Roman" w:hAnsi="Times New Roman"/>
          <w:b/>
          <w:bCs/>
          <w:sz w:val="30"/>
          <w:szCs w:val="30"/>
          <w:lang w:val="pt-BR"/>
        </w:rPr>
        <w:footnoteReference w:id="1"/>
      </w:r>
    </w:p>
    <w:p w14:paraId="3D2D4F4F" w14:textId="77777777" w:rsidR="004D1EA5" w:rsidRPr="00546806" w:rsidRDefault="00005AF6" w:rsidP="00546806">
      <w:pPr>
        <w:spacing w:after="0"/>
        <w:jc w:val="center"/>
        <w:rPr>
          <w:rFonts w:ascii="Times New Roman" w:hAnsi="Times New Roman" w:cs="Times New Roman"/>
          <w:b/>
          <w:bCs/>
          <w:sz w:val="18"/>
          <w:szCs w:val="34"/>
          <w:lang w:val="pt-BR"/>
        </w:rPr>
      </w:pPr>
      <w:r w:rsidRPr="00546806">
        <w:rPr>
          <w:rFonts w:ascii="Times New Roman" w:hAnsi="Times New Roman" w:cs="Times New Roman"/>
          <w:b/>
          <w:bCs/>
          <w:noProof/>
          <w:sz w:val="12"/>
          <w:szCs w:val="28"/>
          <w:lang w:eastAsia="en-GB"/>
        </w:rPr>
        <mc:AlternateContent>
          <mc:Choice Requires="wps">
            <w:drawing>
              <wp:anchor distT="4294967294" distB="4294967294" distL="114300" distR="114300" simplePos="0" relativeHeight="251660288" behindDoc="0" locked="0" layoutInCell="1" allowOverlap="1" wp14:anchorId="5C301F72" wp14:editId="3D3347D5">
                <wp:simplePos x="0" y="0"/>
                <wp:positionH relativeFrom="column">
                  <wp:posOffset>2120265</wp:posOffset>
                </wp:positionH>
                <wp:positionV relativeFrom="paragraph">
                  <wp:posOffset>62864</wp:posOffset>
                </wp:positionV>
                <wp:extent cx="1552575" cy="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F9E44F" id="_x0000_t32" coordsize="21600,21600" o:spt="32" o:oned="t" path="m,l21600,21600e" filled="f">
                <v:path arrowok="t" fillok="f" o:connecttype="none"/>
                <o:lock v:ext="edit" shapetype="t"/>
              </v:shapetype>
              <v:shape id="AutoShape 4" o:spid="_x0000_s1026" type="#_x0000_t32" style="position:absolute;margin-left:166.95pt;margin-top:4.95pt;width:122.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G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PpZPowxYhefQkpronGOv+Z6x4Fo8TOWyLazldaKRBe2yyWIYdn&#10;5wMtUlwTQlWlN0LKqL9UaCjxAirFBKelYMEZwpxtd5W06EDCBsVf7BE892FW7xWLYB0nbH2xPRHy&#10;bENxqQIeNAZ0LtZ5RX4s0sV6vp7no3wyW4/ytK5HT5sqH8022cO0/lRXVZ39DNSyvOgEY1wFdtd1&#10;zfK/W4fLwzkv2m1hb2NI3qPHeQHZ638kHZUNYp7XYqfZaWuvisOGxuDLawpP4P4O9v2bX/0CAAD/&#10;/wMAUEsDBBQABgAIAAAAIQBkzlq73AAAAAcBAAAPAAAAZHJzL2Rvd25yZXYueG1sTI5BT8JAFITv&#10;Jv6HzTPxYmALFaGlW0JMOHgUSLwu3Wdb6b5tulta+PU+vehpMpnJzJdtRtuIC3a+dqRgNo1AIBXO&#10;1FQqOB52kxUIHzQZ3ThCBVf0sMnv7zKdGjfQO172oRQ8Qj7VCqoQ2lRKX1RotZ+6FomzT9dZHdh2&#10;pTSdHnjcNnIeRS/S6pr4odItvlZYnPe9VYC+X8yibWLL49ttePqY376G9qDU48O4XYMIOIa/Mvzg&#10;MzrkzHRyPRkvGgVxHCdcVZCwcL5Yrp5BnH69zDP5nz//BgAA//8DAFBLAQItABQABgAIAAAAIQC2&#10;gziS/gAAAOEBAAATAAAAAAAAAAAAAAAAAAAAAABbQ29udGVudF9UeXBlc10ueG1sUEsBAi0AFAAG&#10;AAgAAAAhADj9If/WAAAAlAEAAAsAAAAAAAAAAAAAAAAALwEAAF9yZWxzLy5yZWxzUEsBAi0AFAAG&#10;AAgAAAAhAJM/5MYdAgAAOwQAAA4AAAAAAAAAAAAAAAAALgIAAGRycy9lMm9Eb2MueG1sUEsBAi0A&#10;FAAGAAgAAAAhAGTOWrvcAAAABwEAAA8AAAAAAAAAAAAAAAAAdwQAAGRycy9kb3ducmV2LnhtbFBL&#10;BQYAAAAABAAEAPMAAACABQAAAAA=&#10;"/>
            </w:pict>
          </mc:Fallback>
        </mc:AlternateContent>
      </w:r>
    </w:p>
    <w:p w14:paraId="745CE14C" w14:textId="77777777" w:rsidR="00176002" w:rsidRPr="00546806" w:rsidRDefault="00176002" w:rsidP="00546806">
      <w:pPr>
        <w:spacing w:after="40"/>
        <w:ind w:firstLine="567"/>
        <w:jc w:val="both"/>
        <w:rPr>
          <w:rFonts w:ascii="Times New Roman" w:hAnsi="Times New Roman" w:cs="Times New Roman"/>
          <w:b/>
          <w:bCs/>
          <w:sz w:val="28"/>
          <w:szCs w:val="28"/>
          <w:lang w:val="de-DE"/>
        </w:rPr>
      </w:pPr>
      <w:r w:rsidRPr="00546806">
        <w:rPr>
          <w:rFonts w:ascii="Times New Roman" w:hAnsi="Times New Roman" w:cs="Times New Roman"/>
          <w:b/>
          <w:bCs/>
          <w:sz w:val="28"/>
          <w:szCs w:val="28"/>
          <w:lang w:val="de-DE"/>
        </w:rPr>
        <w:t>INTERNATIONAL AND GLOBAL ECONOMIC CONTEXT</w:t>
      </w:r>
    </w:p>
    <w:p w14:paraId="6FA6DDE1" w14:textId="1FA5B45E" w:rsidR="00DA5DC0" w:rsidRPr="00DA5DC0" w:rsidRDefault="00DA5DC0" w:rsidP="00DA5DC0">
      <w:pPr>
        <w:spacing w:after="40"/>
        <w:ind w:firstLine="567"/>
        <w:jc w:val="both"/>
        <w:rPr>
          <w:rFonts w:ascii="Times New Roman" w:hAnsi="Times New Roman" w:cs="Times New Roman"/>
          <w:sz w:val="28"/>
          <w:szCs w:val="28"/>
          <w:lang w:val="pl-PL"/>
        </w:rPr>
      </w:pPr>
      <w:bookmarkStart w:id="0" w:name="_Hlk67685084"/>
      <w:r w:rsidRPr="00DA5DC0">
        <w:rPr>
          <w:rFonts w:ascii="Times New Roman" w:hAnsi="Times New Roman" w:cs="Times New Roman"/>
          <w:sz w:val="28"/>
          <w:szCs w:val="28"/>
          <w:lang w:val="pl-PL"/>
        </w:rPr>
        <w:t>The global economic situation continues to be complex, fast-changing, and unpredictable, characterized by various risks and instabilities. Strategic competition among major countries is intensifying, geopolitical tensions, and military conflicts are escalating in several nations, affecting global peace and stability, which in turn undermines trade, investment, production, and consumption systems. Additionally, natural disasters and extreme weather conditions severely impact the lives of people and the socio-economic development of countries. However, after numerous fluctuations, the global economy is gradually stabilizing as global merchandise trade improves, inflationary pressures are easing, financial conditions continue to loosen, and labor supply is increasing. The global economy is on a slow recovery trend. In September 2024, most international organizations upgraded their forecasts for global economic growth by 0.1 to 0.3 percentage points compared to previous forecasts, achieving growth rates of 2.7% to 3.2%, similar to growth in 2023.</w:t>
      </w:r>
    </w:p>
    <w:p w14:paraId="2951C5C9" w14:textId="00A4FF8C" w:rsidR="00DA5DC0" w:rsidRPr="00DA5DC0" w:rsidRDefault="00DA5DC0" w:rsidP="00DA5DC0">
      <w:pPr>
        <w:spacing w:after="40"/>
        <w:ind w:firstLine="567"/>
        <w:jc w:val="both"/>
        <w:rPr>
          <w:rFonts w:ascii="Times New Roman" w:hAnsi="Times New Roman" w:cs="Times New Roman"/>
          <w:sz w:val="28"/>
          <w:szCs w:val="28"/>
          <w:lang w:val="pl-PL"/>
        </w:rPr>
      </w:pPr>
      <w:r w:rsidRPr="00DA5DC0">
        <w:rPr>
          <w:rFonts w:ascii="Times New Roman" w:hAnsi="Times New Roman" w:cs="Times New Roman"/>
          <w:sz w:val="28"/>
          <w:szCs w:val="28"/>
          <w:lang w:val="pl-PL"/>
        </w:rPr>
        <w:t>The United Nations (UN)</w:t>
      </w:r>
      <w:r>
        <w:rPr>
          <w:rStyle w:val="FootnoteReference"/>
          <w:rFonts w:ascii="Times New Roman" w:hAnsi="Times New Roman"/>
          <w:sz w:val="28"/>
          <w:szCs w:val="28"/>
          <w:lang w:val="pl-PL"/>
        </w:rPr>
        <w:footnoteReference w:id="2"/>
      </w:r>
      <w:r w:rsidRPr="00DA5DC0">
        <w:rPr>
          <w:rFonts w:ascii="Times New Roman" w:hAnsi="Times New Roman" w:cs="Times New Roman"/>
          <w:sz w:val="28"/>
          <w:szCs w:val="28"/>
          <w:lang w:val="pl-PL"/>
        </w:rPr>
        <w:t xml:space="preserve"> forecasts global economic growth at 2.7%, up by 0.3 percentage points from the January 2024 forecast; Fitch Ratings (FR)</w:t>
      </w:r>
      <w:r>
        <w:rPr>
          <w:rStyle w:val="FootnoteReference"/>
          <w:rFonts w:ascii="Times New Roman" w:hAnsi="Times New Roman"/>
          <w:sz w:val="28"/>
          <w:szCs w:val="28"/>
          <w:lang w:val="pl-PL"/>
        </w:rPr>
        <w:footnoteReference w:id="3"/>
      </w:r>
      <w:r w:rsidRPr="00DA5DC0">
        <w:rPr>
          <w:rFonts w:ascii="Times New Roman" w:hAnsi="Times New Roman" w:cs="Times New Roman"/>
          <w:sz w:val="28"/>
          <w:szCs w:val="28"/>
          <w:lang w:val="pl-PL"/>
        </w:rPr>
        <w:t xml:space="preserve"> predicts global economic growth for 2024 at 2.7%, an increase of 0.1 percentage points from the June 2024 forecast; the Organization for Economic Co-operation and Development (OECD)</w:t>
      </w:r>
      <w:r>
        <w:rPr>
          <w:rStyle w:val="FootnoteReference"/>
          <w:rFonts w:ascii="Times New Roman" w:hAnsi="Times New Roman"/>
          <w:sz w:val="28"/>
          <w:szCs w:val="28"/>
          <w:lang w:val="pl-PL"/>
        </w:rPr>
        <w:footnoteReference w:id="4"/>
      </w:r>
      <w:r w:rsidRPr="00DA5DC0">
        <w:rPr>
          <w:rFonts w:ascii="Times New Roman" w:hAnsi="Times New Roman" w:cs="Times New Roman"/>
          <w:sz w:val="28"/>
          <w:szCs w:val="28"/>
          <w:lang w:val="pl-PL"/>
        </w:rPr>
        <w:t xml:space="preserve"> projects a growth of 3.2%, higher by 0.1 percentage points </w:t>
      </w:r>
      <w:r w:rsidRPr="00DA5DC0">
        <w:rPr>
          <w:rFonts w:ascii="Times New Roman" w:hAnsi="Times New Roman" w:cs="Times New Roman"/>
          <w:sz w:val="28"/>
          <w:szCs w:val="28"/>
          <w:lang w:val="pl-PL"/>
        </w:rPr>
        <w:lastRenderedPageBreak/>
        <w:t>from the May 2024 forecast; and the International Monetary Fund (IMF)</w:t>
      </w:r>
      <w:r>
        <w:rPr>
          <w:rStyle w:val="FootnoteReference"/>
          <w:rFonts w:ascii="Times New Roman" w:hAnsi="Times New Roman"/>
          <w:sz w:val="28"/>
          <w:szCs w:val="28"/>
          <w:lang w:val="pl-PL"/>
        </w:rPr>
        <w:footnoteReference w:id="5"/>
      </w:r>
      <w:r w:rsidRPr="00DA5DC0">
        <w:rPr>
          <w:rFonts w:ascii="Times New Roman" w:hAnsi="Times New Roman" w:cs="Times New Roman"/>
          <w:sz w:val="28"/>
          <w:szCs w:val="28"/>
          <w:lang w:val="pl-PL"/>
        </w:rPr>
        <w:t xml:space="preserve"> forecasts a growth of 3.2%, unchanged from the April 2024 forecast.</w:t>
      </w:r>
    </w:p>
    <w:p w14:paraId="205946FB" w14:textId="57AD1263" w:rsidR="00DA5DC0" w:rsidRPr="00DA5DC0" w:rsidRDefault="00DA5DC0" w:rsidP="00DA5DC0">
      <w:pPr>
        <w:spacing w:after="40"/>
        <w:ind w:firstLine="567"/>
        <w:jc w:val="both"/>
        <w:rPr>
          <w:rFonts w:ascii="Times New Roman" w:hAnsi="Times New Roman" w:cs="Times New Roman"/>
          <w:sz w:val="28"/>
          <w:szCs w:val="28"/>
          <w:lang w:val="pl-PL"/>
        </w:rPr>
      </w:pPr>
      <w:r w:rsidRPr="00DA5DC0">
        <w:rPr>
          <w:rFonts w:ascii="Times New Roman" w:hAnsi="Times New Roman" w:cs="Times New Roman"/>
          <w:sz w:val="28"/>
          <w:szCs w:val="28"/>
          <w:lang w:val="pl-PL"/>
        </w:rPr>
        <w:t>Regionally, the Asian Development Bank (ADB) forecasts Singapore's growth at 2.6%, up by 0.2 percentage points from the July 2024 forecast; Thailand at 2.3%, down by 0.3 percentage points; maintaining Malaysia's growth at 4.5%; Indonesia at 5.0%; and the Philippines at 6.0%. For Vietnam, the World Bank (WB) forecasts GDP growth at 6.1%, an increase of 0.6 percentage points from the June 2024 forecast; ADB maintains its growth forecast at 6% (unchanged from the July 2024 forecast); and IMF predicts 6.1%, an increase of 0.6 percentage points from the April 2024 forecast.</w:t>
      </w:r>
    </w:p>
    <w:p w14:paraId="2B7A926D" w14:textId="18503279" w:rsidR="00DA5DC0" w:rsidRPr="00DA5DC0" w:rsidRDefault="00DA5DC0" w:rsidP="00DA5DC0">
      <w:pPr>
        <w:spacing w:after="40"/>
        <w:ind w:firstLine="567"/>
        <w:jc w:val="both"/>
        <w:rPr>
          <w:rFonts w:ascii="Times New Roman" w:hAnsi="Times New Roman" w:cs="Times New Roman"/>
          <w:sz w:val="28"/>
          <w:szCs w:val="28"/>
          <w:lang w:val="pl-PL"/>
        </w:rPr>
      </w:pPr>
      <w:r w:rsidRPr="00DA5DC0">
        <w:rPr>
          <w:rFonts w:ascii="Times New Roman" w:hAnsi="Times New Roman" w:cs="Times New Roman"/>
          <w:sz w:val="28"/>
          <w:szCs w:val="28"/>
          <w:lang w:val="pl-PL"/>
        </w:rPr>
        <w:t>Domestically, Typhoon No. 3 caused significant damage to lives, property, infrastructure, and the agricultural, forestry, and fishery production in northern provinces. In response, the government, led by the Prime Minister, is decisively directing ministries, sectors, and localities to promptly recover from the storm’s aftermath, stabilize people’s livelihoods, boost business production, maintain macroeconomic stability, and actively promote economic growth. They are implementing measures outlined in Resolution No. 01/NQ-CP dated January 5, 2024, regarding key tasks and solutions for socio-economic development planning and the state budget for 2024; Resolution No. 02/NQ-CP dated January 5, 2024, concerning key tasks and solutions for improving the business environment and enhancing national competitiveness in 2024; the monthly regular government meeting resolutions; and Resolution No. 143/NQ-CP dated September 17, 2024, on urgent tasks and solutions to address the aftermath of Typhoon No. 3. Ministries, sectors, and localities are closely monitoring fluctuations in the global and domestic economic situations while striving to fulfill the assigned tasks and solutions, thereby fostering confidence and support from the public and the business community. The socio-economic results for the third quarter and the first nine months of 2024 continue to show positive trends, with various sectors achieving significant outcomes, setting the stage for growth in the remaining months of the year.</w:t>
      </w:r>
    </w:p>
    <w:p w14:paraId="0935984C" w14:textId="77777777" w:rsidR="006D78A7" w:rsidRPr="00546806" w:rsidRDefault="006D78A7" w:rsidP="00546806">
      <w:pPr>
        <w:spacing w:after="40"/>
        <w:ind w:firstLine="567"/>
        <w:jc w:val="both"/>
        <w:rPr>
          <w:rFonts w:ascii="Times New Roman" w:hAnsi="Times New Roman" w:cs="Times New Roman"/>
          <w:b/>
          <w:bCs/>
          <w:sz w:val="28"/>
          <w:szCs w:val="28"/>
          <w:lang w:val="de-DE"/>
        </w:rPr>
      </w:pPr>
      <w:r w:rsidRPr="00546806">
        <w:rPr>
          <w:rFonts w:ascii="Times New Roman" w:hAnsi="Times New Roman" w:cs="Times New Roman"/>
          <w:b/>
          <w:bCs/>
          <w:sz w:val="28"/>
          <w:szCs w:val="28"/>
          <w:lang w:val="de-DE"/>
        </w:rPr>
        <w:t>I. ECONOMIC GROWTH</w:t>
      </w:r>
    </w:p>
    <w:bookmarkEnd w:id="0"/>
    <w:p w14:paraId="034A77EA" w14:textId="77777777" w:rsidR="00DA5DC0" w:rsidRPr="00ED51DE" w:rsidRDefault="00DA5DC0" w:rsidP="00DA5DC0">
      <w:pPr>
        <w:tabs>
          <w:tab w:val="left" w:pos="630"/>
        </w:tabs>
        <w:spacing w:after="120" w:line="264" w:lineRule="auto"/>
        <w:ind w:firstLine="720"/>
        <w:jc w:val="both"/>
        <w:rPr>
          <w:rFonts w:ascii="Times New Roman" w:hAnsi="Times New Roman" w:cs="Times New Roman"/>
          <w:color w:val="000000" w:themeColor="text1"/>
          <w:sz w:val="28"/>
          <w:szCs w:val="28"/>
          <w:lang w:val="de-DE"/>
        </w:rPr>
      </w:pPr>
      <w:r w:rsidRPr="00ED51DE">
        <w:rPr>
          <w:rFonts w:ascii="Times New Roman" w:hAnsi="Times New Roman" w:cs="Times New Roman"/>
          <w:b/>
          <w:i/>
          <w:color w:val="000000" w:themeColor="text1"/>
          <w:sz w:val="28"/>
          <w:szCs w:val="28"/>
          <w:lang w:val="de-DE"/>
        </w:rPr>
        <w:t xml:space="preserve">1. </w:t>
      </w:r>
      <w:r w:rsidRPr="001B175A">
        <w:rPr>
          <w:rFonts w:ascii="Times New Roman" w:hAnsi="Times New Roman" w:cs="Times New Roman"/>
          <w:b/>
          <w:i/>
          <w:color w:val="000000" w:themeColor="text1"/>
          <w:sz w:val="28"/>
          <w:szCs w:val="28"/>
          <w:lang w:val="de-DE"/>
        </w:rPr>
        <w:t>Gross domestic product (GDP) in the third quarter of 2024 was estimated to increase by 7.40% over the same period last year</w:t>
      </w:r>
      <w:r w:rsidRPr="00ED51DE">
        <w:rPr>
          <w:rFonts w:ascii="Times New Roman" w:hAnsi="Times New Roman" w:cs="Times New Roman"/>
          <w:color w:val="000000" w:themeColor="text1"/>
          <w:sz w:val="28"/>
          <w:szCs w:val="28"/>
          <w:lang w:val="de-DE"/>
        </w:rPr>
        <w:t xml:space="preserve">. </w:t>
      </w:r>
      <w:r w:rsidRPr="00ED45E2">
        <w:rPr>
          <w:rFonts w:ascii="Times New Roman" w:hAnsi="Times New Roman" w:cs="Times New Roman"/>
          <w:sz w:val="28"/>
          <w:szCs w:val="28"/>
          <w:lang w:val="de-DE"/>
        </w:rPr>
        <w:t>Of which, the agriculture, forestry and fishery sector increased by 2.58%, only higher than the growth rate of the same period in 2021 in the period 2020-2024</w:t>
      </w:r>
      <w:r w:rsidRPr="00ED45E2">
        <w:rPr>
          <w:rStyle w:val="FootnoteReference"/>
          <w:rFonts w:ascii="Times New Roman" w:hAnsi="Times New Roman"/>
          <w:sz w:val="28"/>
          <w:szCs w:val="28"/>
          <w:lang w:val="de-DE"/>
        </w:rPr>
        <w:footnoteReference w:id="6"/>
      </w:r>
      <w:r w:rsidRPr="00ED51DE">
        <w:rPr>
          <w:rFonts w:ascii="Times New Roman" w:hAnsi="Times New Roman" w:cs="Times New Roman"/>
          <w:color w:val="000000" w:themeColor="text1"/>
          <w:sz w:val="28"/>
          <w:szCs w:val="28"/>
          <w:lang w:val="de-DE"/>
        </w:rPr>
        <w:t xml:space="preserve">, </w:t>
      </w:r>
      <w:r w:rsidRPr="00ED45E2">
        <w:rPr>
          <w:rFonts w:ascii="Times New Roman" w:hAnsi="Times New Roman" w:cs="Times New Roman"/>
          <w:sz w:val="28"/>
          <w:szCs w:val="28"/>
          <w:lang w:val="de-DE"/>
        </w:rPr>
        <w:t xml:space="preserve">contributing </w:t>
      </w:r>
      <w:r w:rsidRPr="00ED45E2">
        <w:rPr>
          <w:rFonts w:ascii="Times New Roman" w:hAnsi="Times New Roman" w:cs="Times New Roman"/>
          <w:sz w:val="28"/>
          <w:szCs w:val="28"/>
          <w:lang w:val="de-DE"/>
        </w:rPr>
        <w:lastRenderedPageBreak/>
        <w:t>4.08% to the to</w:t>
      </w:r>
      <w:r>
        <w:rPr>
          <w:rFonts w:ascii="Times New Roman" w:hAnsi="Times New Roman" w:cs="Times New Roman"/>
          <w:sz w:val="28"/>
          <w:szCs w:val="28"/>
          <w:lang w:val="de-DE"/>
        </w:rPr>
        <w:t>tal added value of the whole</w:t>
      </w:r>
      <w:r w:rsidRPr="00ED45E2">
        <w:rPr>
          <w:rFonts w:ascii="Times New Roman" w:hAnsi="Times New Roman" w:cs="Times New Roman"/>
          <w:sz w:val="28"/>
          <w:szCs w:val="28"/>
          <w:lang w:val="de-DE"/>
        </w:rPr>
        <w:t xml:space="preserve"> economy;</w:t>
      </w:r>
      <w:r w:rsidRPr="00ED51DE">
        <w:rPr>
          <w:rFonts w:ascii="Times New Roman" w:hAnsi="Times New Roman" w:cs="Times New Roman"/>
          <w:color w:val="000000" w:themeColor="text1"/>
          <w:sz w:val="28"/>
          <w:szCs w:val="28"/>
          <w:lang w:val="de-DE"/>
        </w:rPr>
        <w:t xml:space="preserve"> </w:t>
      </w:r>
      <w:r w:rsidRPr="00ED45E2">
        <w:rPr>
          <w:rFonts w:ascii="Times New Roman" w:hAnsi="Times New Roman" w:cs="Times New Roman"/>
          <w:sz w:val="28"/>
          <w:szCs w:val="28"/>
          <w:lang w:val="de-DE"/>
        </w:rPr>
        <w:t>the industr</w:t>
      </w:r>
      <w:r>
        <w:rPr>
          <w:rFonts w:ascii="Times New Roman" w:hAnsi="Times New Roman" w:cs="Times New Roman"/>
          <w:sz w:val="28"/>
          <w:szCs w:val="28"/>
          <w:lang w:val="de-DE"/>
        </w:rPr>
        <w:t>ial</w:t>
      </w:r>
      <w:r w:rsidRPr="00ED45E2">
        <w:rPr>
          <w:rFonts w:ascii="Times New Roman" w:hAnsi="Times New Roman" w:cs="Times New Roman"/>
          <w:sz w:val="28"/>
          <w:szCs w:val="28"/>
          <w:lang w:val="de-DE"/>
        </w:rPr>
        <w:t xml:space="preserve"> and construction sector increased by 9.11%, contributing 48.88%</w:t>
      </w:r>
      <w:r w:rsidRPr="00ED51DE">
        <w:rPr>
          <w:rFonts w:ascii="Times New Roman" w:hAnsi="Times New Roman" w:cs="Times New Roman"/>
          <w:color w:val="000000" w:themeColor="text1"/>
          <w:sz w:val="28"/>
          <w:szCs w:val="28"/>
          <w:lang w:val="de-DE"/>
        </w:rPr>
        <w:t xml:space="preserve">, </w:t>
      </w:r>
      <w:r w:rsidRPr="00ED45E2">
        <w:rPr>
          <w:rFonts w:ascii="Times New Roman" w:hAnsi="Times New Roman" w:cs="Times New Roman"/>
          <w:color w:val="000000" w:themeColor="text1"/>
          <w:sz w:val="28"/>
          <w:szCs w:val="28"/>
          <w:lang w:val="de-DE"/>
        </w:rPr>
        <w:t xml:space="preserve">of which the manufacturing industry was the bright spot of the economy with a growth rate of 11.41%, this is the highest growth rate of the </w:t>
      </w:r>
      <w:r>
        <w:rPr>
          <w:rFonts w:ascii="Times New Roman" w:hAnsi="Times New Roman" w:cs="Times New Roman"/>
          <w:color w:val="000000" w:themeColor="text1"/>
          <w:sz w:val="28"/>
          <w:szCs w:val="28"/>
          <w:lang w:val="de-DE"/>
        </w:rPr>
        <w:t>same period in the past 6 years</w:t>
      </w:r>
      <w:r w:rsidRPr="00ED45E2">
        <w:rPr>
          <w:rStyle w:val="FootnoteReference"/>
          <w:rFonts w:ascii="Times New Roman" w:hAnsi="Times New Roman"/>
          <w:color w:val="000000" w:themeColor="text1"/>
          <w:sz w:val="28"/>
          <w:szCs w:val="28"/>
          <w:lang w:val="de-DE"/>
        </w:rPr>
        <w:footnoteReference w:id="7"/>
      </w:r>
      <w:r w:rsidRPr="00ED45E2">
        <w:rPr>
          <w:rFonts w:ascii="Times New Roman" w:hAnsi="Times New Roman" w:cs="Times New Roman"/>
          <w:sz w:val="28"/>
          <w:szCs w:val="28"/>
          <w:lang w:val="de-DE"/>
        </w:rPr>
        <w:t>; the service sector increased by 7.51%, contributing 47.04%.</w:t>
      </w:r>
      <w:r w:rsidRPr="00ED51DE">
        <w:rPr>
          <w:rFonts w:ascii="Times New Roman" w:hAnsi="Times New Roman" w:cs="Times New Roman"/>
          <w:color w:val="000000" w:themeColor="text1"/>
          <w:sz w:val="28"/>
          <w:szCs w:val="28"/>
          <w:lang w:val="de-DE"/>
        </w:rPr>
        <w:t xml:space="preserve"> </w:t>
      </w:r>
    </w:p>
    <w:p w14:paraId="5AE6F73D" w14:textId="77777777" w:rsidR="00DA5DC0" w:rsidRPr="00ED51DE" w:rsidRDefault="00DA5DC0" w:rsidP="00DA5DC0">
      <w:pPr>
        <w:tabs>
          <w:tab w:val="left" w:pos="630"/>
        </w:tabs>
        <w:spacing w:after="120" w:line="264" w:lineRule="auto"/>
        <w:ind w:firstLine="720"/>
        <w:jc w:val="both"/>
        <w:rPr>
          <w:rFonts w:ascii="Times New Roman" w:hAnsi="Times New Roman" w:cs="Times New Roman"/>
          <w:color w:val="000000" w:themeColor="text1"/>
          <w:spacing w:val="-2"/>
          <w:sz w:val="28"/>
          <w:szCs w:val="28"/>
          <w:lang w:val="de-DE"/>
        </w:rPr>
      </w:pPr>
      <w:r w:rsidRPr="001B175A">
        <w:rPr>
          <w:rFonts w:ascii="Times New Roman" w:hAnsi="Times New Roman" w:cs="Times New Roman"/>
          <w:b/>
          <w:i/>
          <w:color w:val="000000" w:themeColor="text1"/>
          <w:spacing w:val="-2"/>
          <w:sz w:val="28"/>
          <w:szCs w:val="28"/>
        </w:rPr>
        <w:t>GDP in nine months of 2024 was estimated to increase by 6.82% over the same period last year</w:t>
      </w:r>
      <w:r w:rsidRPr="00ED51DE">
        <w:rPr>
          <w:rFonts w:ascii="Times New Roman" w:hAnsi="Times New Roman" w:cs="Times New Roman"/>
          <w:color w:val="000000" w:themeColor="text1"/>
          <w:spacing w:val="-2"/>
          <w:sz w:val="28"/>
          <w:szCs w:val="28"/>
          <w:lang w:val="de-DE"/>
        </w:rPr>
        <w:t xml:space="preserve">. </w:t>
      </w:r>
      <w:r w:rsidRPr="00ED45E2">
        <w:rPr>
          <w:rFonts w:ascii="Times New Roman" w:hAnsi="Times New Roman" w:cs="Times New Roman"/>
          <w:spacing w:val="-2"/>
          <w:sz w:val="28"/>
          <w:szCs w:val="28"/>
          <w:lang w:val="de-DE"/>
        </w:rPr>
        <w:t>Of which, the agriculture, forestry and fishery sector increased by 3.20%</w:t>
      </w:r>
      <w:r w:rsidRPr="00ED51DE">
        <w:rPr>
          <w:rFonts w:ascii="Times New Roman" w:hAnsi="Times New Roman" w:cs="Times New Roman"/>
          <w:color w:val="000000" w:themeColor="text1"/>
          <w:spacing w:val="-2"/>
          <w:sz w:val="28"/>
          <w:szCs w:val="28"/>
          <w:lang w:val="de-DE"/>
        </w:rPr>
        <w:t xml:space="preserve">, </w:t>
      </w:r>
      <w:r w:rsidRPr="00ED51DE">
        <w:rPr>
          <w:rFonts w:ascii="Times New Roman" w:hAnsi="Times New Roman" w:cs="Times New Roman"/>
          <w:color w:val="000000" w:themeColor="text1"/>
          <w:spacing w:val="-2"/>
          <w:sz w:val="28"/>
          <w:szCs w:val="28"/>
          <w:lang w:val="vi-VN"/>
        </w:rPr>
        <w:t>(</w:t>
      </w:r>
      <w:r w:rsidRPr="00ED45E2">
        <w:rPr>
          <w:rFonts w:ascii="Times New Roman" w:hAnsi="Times New Roman" w:cs="Times New Roman"/>
          <w:spacing w:val="-2"/>
          <w:sz w:val="28"/>
          <w:szCs w:val="28"/>
          <w:lang w:val="de-DE"/>
        </w:rPr>
        <w:t>contributing 5.37% to the total added value of the whole economy</w:t>
      </w:r>
      <w:r w:rsidRPr="00ED51DE">
        <w:rPr>
          <w:rFonts w:ascii="Times New Roman" w:hAnsi="Times New Roman" w:cs="Times New Roman"/>
          <w:color w:val="000000" w:themeColor="text1"/>
          <w:spacing w:val="-2"/>
          <w:sz w:val="28"/>
          <w:szCs w:val="28"/>
          <w:lang w:val="vi-VN"/>
        </w:rPr>
        <w:t>)</w:t>
      </w:r>
      <w:r>
        <w:rPr>
          <w:rFonts w:ascii="Times New Roman" w:hAnsi="Times New Roman" w:cs="Times New Roman"/>
          <w:color w:val="000000" w:themeColor="text1"/>
          <w:spacing w:val="-2"/>
          <w:sz w:val="28"/>
          <w:szCs w:val="28"/>
          <w:lang w:val="en-US"/>
        </w:rPr>
        <w:t>,</w:t>
      </w:r>
      <w:r w:rsidRPr="00ED51DE">
        <w:rPr>
          <w:rFonts w:ascii="Times New Roman" w:hAnsi="Times New Roman" w:cs="Times New Roman"/>
          <w:color w:val="000000" w:themeColor="text1"/>
          <w:spacing w:val="-2"/>
          <w:sz w:val="28"/>
          <w:szCs w:val="28"/>
          <w:lang w:val="vi-VN"/>
        </w:rPr>
        <w:t xml:space="preserve"> </w:t>
      </w:r>
      <w:r w:rsidRPr="001B175A">
        <w:rPr>
          <w:rFonts w:ascii="Times New Roman" w:hAnsi="Times New Roman" w:cs="Times New Roman"/>
          <w:spacing w:val="-7"/>
          <w:sz w:val="28"/>
          <w:szCs w:val="28"/>
          <w:lang w:val="de-DE"/>
        </w:rPr>
        <w:t>only higher than the growth rate of the same period in 2020 in the 2020-2024 period</w:t>
      </w:r>
      <w:r w:rsidRPr="001B175A">
        <w:rPr>
          <w:rStyle w:val="FootnoteReference"/>
          <w:rFonts w:ascii="Times New Roman" w:hAnsi="Times New Roman"/>
          <w:spacing w:val="-7"/>
          <w:sz w:val="28"/>
          <w:szCs w:val="28"/>
          <w:lang w:val="de-DE"/>
        </w:rPr>
        <w:footnoteReference w:id="8"/>
      </w:r>
      <w:r>
        <w:rPr>
          <w:rFonts w:ascii="Times New Roman" w:hAnsi="Times New Roman" w:cs="Times New Roman"/>
          <w:color w:val="000000" w:themeColor="text1"/>
          <w:spacing w:val="-7"/>
          <w:sz w:val="28"/>
          <w:szCs w:val="28"/>
          <w:lang w:val="de-DE"/>
        </w:rPr>
        <w:t xml:space="preserve"> </w:t>
      </w:r>
      <w:r w:rsidRPr="001B175A">
        <w:rPr>
          <w:rFonts w:ascii="Times New Roman" w:hAnsi="Times New Roman" w:cs="Times New Roman"/>
          <w:color w:val="000000" w:themeColor="text1"/>
          <w:spacing w:val="-7"/>
          <w:sz w:val="28"/>
          <w:szCs w:val="28"/>
          <w:lang w:val="de-DE"/>
        </w:rPr>
        <w:t>Due to the severe impact of storm No. 3 in September 2024, growth was lower than th</w:t>
      </w:r>
      <w:r>
        <w:rPr>
          <w:rFonts w:ascii="Times New Roman" w:hAnsi="Times New Roman" w:cs="Times New Roman"/>
          <w:color w:val="000000" w:themeColor="text1"/>
          <w:spacing w:val="-7"/>
          <w:sz w:val="28"/>
          <w:szCs w:val="28"/>
          <w:lang w:val="de-DE"/>
        </w:rPr>
        <w:t>e same period in previous years</w:t>
      </w:r>
      <w:r w:rsidRPr="000814E4">
        <w:rPr>
          <w:rFonts w:ascii="Times New Roman" w:hAnsi="Times New Roman" w:cs="Times New Roman"/>
          <w:color w:val="000000" w:themeColor="text1"/>
          <w:spacing w:val="-2"/>
          <w:sz w:val="28"/>
          <w:szCs w:val="28"/>
          <w:lang w:val="de-DE"/>
        </w:rPr>
        <w:t>;</w:t>
      </w:r>
      <w:r w:rsidRPr="00ED51DE">
        <w:rPr>
          <w:rFonts w:ascii="Times New Roman" w:hAnsi="Times New Roman" w:cs="Times New Roman"/>
          <w:color w:val="000000" w:themeColor="text1"/>
          <w:spacing w:val="-2"/>
          <w:sz w:val="28"/>
          <w:szCs w:val="28"/>
          <w:lang w:val="de-DE"/>
        </w:rPr>
        <w:t xml:space="preserve"> </w:t>
      </w:r>
      <w:r w:rsidRPr="00ED45E2">
        <w:rPr>
          <w:rFonts w:ascii="Times New Roman" w:hAnsi="Times New Roman" w:cs="Times New Roman"/>
          <w:spacing w:val="-2"/>
          <w:sz w:val="28"/>
          <w:szCs w:val="28"/>
          <w:lang w:val="de-DE"/>
        </w:rPr>
        <w:t>; the industry and construction sector increased by 8.19%</w:t>
      </w:r>
      <w:r w:rsidRPr="00ED51DE">
        <w:rPr>
          <w:rFonts w:ascii="Times New Roman" w:hAnsi="Times New Roman" w:cs="Times New Roman"/>
          <w:color w:val="000000" w:themeColor="text1"/>
          <w:spacing w:val="-2"/>
          <w:sz w:val="28"/>
          <w:szCs w:val="28"/>
          <w:lang w:val="vi-VN"/>
        </w:rPr>
        <w:t xml:space="preserve"> (</w:t>
      </w:r>
      <w:r w:rsidRPr="00ED45E2">
        <w:rPr>
          <w:rFonts w:ascii="Times New Roman" w:hAnsi="Times New Roman" w:cs="Times New Roman"/>
          <w:spacing w:val="-2"/>
          <w:sz w:val="28"/>
          <w:szCs w:val="28"/>
          <w:lang w:val="de-DE"/>
        </w:rPr>
        <w:t>contributing 46.22%</w:t>
      </w:r>
      <w:r w:rsidRPr="00ED51DE">
        <w:rPr>
          <w:rFonts w:ascii="Times New Roman" w:hAnsi="Times New Roman" w:cs="Times New Roman"/>
          <w:color w:val="000000" w:themeColor="text1"/>
          <w:spacing w:val="-2"/>
          <w:sz w:val="28"/>
          <w:szCs w:val="28"/>
          <w:lang w:val="vi-VN"/>
        </w:rPr>
        <w:t xml:space="preserve">), </w:t>
      </w:r>
      <w:r w:rsidRPr="001B175A">
        <w:rPr>
          <w:rFonts w:ascii="Times New Roman" w:hAnsi="Times New Roman" w:cs="Times New Roman"/>
          <w:color w:val="000000" w:themeColor="text1"/>
          <w:spacing w:val="-2"/>
          <w:sz w:val="28"/>
          <w:szCs w:val="28"/>
          <w:lang w:val="vi-VN"/>
        </w:rPr>
        <w:t xml:space="preserve">In which, the manufacturing </w:t>
      </w:r>
      <w:r>
        <w:rPr>
          <w:rFonts w:ascii="Times New Roman" w:hAnsi="Times New Roman" w:cs="Times New Roman"/>
          <w:color w:val="000000" w:themeColor="text1"/>
          <w:spacing w:val="-2"/>
          <w:sz w:val="28"/>
          <w:szCs w:val="28"/>
          <w:lang w:val="en-US"/>
        </w:rPr>
        <w:t>sector</w:t>
      </w:r>
      <w:r w:rsidRPr="001B175A">
        <w:rPr>
          <w:rFonts w:ascii="Times New Roman" w:hAnsi="Times New Roman" w:cs="Times New Roman"/>
          <w:color w:val="000000" w:themeColor="text1"/>
          <w:spacing w:val="-2"/>
          <w:sz w:val="28"/>
          <w:szCs w:val="28"/>
          <w:lang w:val="vi-VN"/>
        </w:rPr>
        <w:t xml:space="preserve"> was the growth driver with a growth rate of 9.76%; the service sector increased by 6.95% (contributing 48.41%), in which some market service sectors maintained growth momentum, contributing positively to the growth of the entire economy such as: wholesale and retail increased by 7.56% over the same period last year; transportation and warehousing increased by 11.03%; financial, banking and insurance activities increased by 6.47%; accommodation and catering services increased by 9.48%.</w:t>
      </w:r>
    </w:p>
    <w:p w14:paraId="69A7D7F2" w14:textId="77777777" w:rsidR="00DA5DC0" w:rsidRPr="00ED51DE" w:rsidRDefault="00DA5DC0" w:rsidP="00DA5DC0">
      <w:pPr>
        <w:tabs>
          <w:tab w:val="left" w:pos="630"/>
        </w:tabs>
        <w:spacing w:after="120" w:line="264" w:lineRule="auto"/>
        <w:ind w:firstLine="720"/>
        <w:jc w:val="both"/>
        <w:rPr>
          <w:rFonts w:ascii="Times New Roman" w:hAnsi="Times New Roman" w:cs="Times New Roman"/>
          <w:color w:val="000000" w:themeColor="text1"/>
          <w:spacing w:val="-2"/>
          <w:sz w:val="28"/>
          <w:szCs w:val="28"/>
          <w:shd w:val="clear" w:color="auto" w:fill="FFFFFF"/>
          <w:lang w:val="de-DE"/>
        </w:rPr>
      </w:pPr>
      <w:r w:rsidRPr="00ED45E2">
        <w:rPr>
          <w:rFonts w:ascii="Times New Roman" w:hAnsi="Times New Roman" w:cs="Times New Roman"/>
          <w:spacing w:val="-2"/>
          <w:sz w:val="28"/>
          <w:szCs w:val="28"/>
          <w:shd w:val="clear" w:color="auto" w:fill="FFFFFF"/>
          <w:lang w:val="de-DE"/>
        </w:rPr>
        <w:t>Regarding the economic structure in nine months of 2024, the agriculture, forestry and fishery sector accounts for 11.64%; the industry and construction sector accounts for 37.10%; the service sector accounts for 42.80%; product taxes minus product subsidies account for 8.46% (The corresponding structure in the same period of 2023 is 11.80%; 36.98%; 42.61%; 8.61%).</w:t>
      </w:r>
    </w:p>
    <w:p w14:paraId="67144843" w14:textId="77777777" w:rsidR="00DA5DC0" w:rsidRPr="00ED51DE" w:rsidRDefault="00DA5DC0" w:rsidP="00DA5DC0">
      <w:pPr>
        <w:pStyle w:val="BodyTextIndent"/>
        <w:tabs>
          <w:tab w:val="left" w:pos="630"/>
        </w:tabs>
        <w:spacing w:after="120" w:line="264" w:lineRule="auto"/>
        <w:ind w:firstLine="720"/>
        <w:rPr>
          <w:rFonts w:ascii="Times New Roman" w:hAnsi="Times New Roman" w:cs="Times New Roman"/>
          <w:color w:val="000000" w:themeColor="text1"/>
          <w:lang w:val="de-DE"/>
        </w:rPr>
      </w:pPr>
      <w:r w:rsidRPr="00ED45E2">
        <w:rPr>
          <w:rFonts w:ascii="Times New Roman" w:hAnsi="Times New Roman" w:cs="Times New Roman"/>
          <w:lang w:val="de-DE"/>
        </w:rPr>
        <w:t xml:space="preserve">Regarding GDP </w:t>
      </w:r>
      <w:r w:rsidRPr="004630CB">
        <w:rPr>
          <w:rFonts w:ascii="Times New Roman" w:hAnsi="Times New Roman" w:cs="Times New Roman"/>
          <w:spacing w:val="-2"/>
          <w:lang w:val="de-DE"/>
        </w:rPr>
        <w:t>expenditure</w:t>
      </w:r>
      <w:r w:rsidRPr="00ED45E2">
        <w:rPr>
          <w:rFonts w:ascii="Times New Roman" w:hAnsi="Times New Roman" w:cs="Times New Roman"/>
          <w:lang w:val="de-DE"/>
        </w:rPr>
        <w:t xml:space="preserve"> in nine months of 2024, final consumption increased by 6.18% over the same period in 2023, contributing 62.66% to the overall growth rate of the economy; </w:t>
      </w:r>
      <w:r>
        <w:rPr>
          <w:rFonts w:ascii="Times New Roman" w:hAnsi="Times New Roman" w:cs="Times New Roman"/>
          <w:spacing w:val="-2"/>
          <w:lang w:val="de-DE"/>
        </w:rPr>
        <w:t>g</w:t>
      </w:r>
      <w:r w:rsidRPr="004630CB">
        <w:rPr>
          <w:rFonts w:ascii="Times New Roman" w:hAnsi="Times New Roman" w:cs="Times New Roman"/>
          <w:spacing w:val="-2"/>
          <w:lang w:val="de-DE"/>
        </w:rPr>
        <w:t>ross capital formation</w:t>
      </w:r>
      <w:r w:rsidRPr="00ED45E2">
        <w:rPr>
          <w:rFonts w:ascii="Times New Roman" w:hAnsi="Times New Roman" w:cs="Times New Roman"/>
          <w:lang w:val="de-DE"/>
        </w:rPr>
        <w:t xml:space="preserve"> increased by 6.86%, contributing 36.68%; exports of goods and services increased by 16.94%; imports of goods and services increased by 17.05%; the difference between exports and imports of goods and services contributed 0.66%.</w:t>
      </w:r>
    </w:p>
    <w:p w14:paraId="6E76DA52" w14:textId="77777777" w:rsidR="00DA5DC0" w:rsidRPr="00DA5DC0" w:rsidRDefault="00DA5DC0" w:rsidP="00DA5DC0">
      <w:pPr>
        <w:tabs>
          <w:tab w:val="left" w:pos="720"/>
        </w:tabs>
        <w:spacing w:after="120" w:line="264" w:lineRule="auto"/>
        <w:ind w:firstLine="720"/>
        <w:jc w:val="both"/>
        <w:rPr>
          <w:rFonts w:ascii="Times New Roman" w:hAnsi="Times New Roman"/>
          <w:b/>
          <w:i/>
          <w:color w:val="000000"/>
          <w:sz w:val="28"/>
          <w:szCs w:val="28"/>
          <w:lang w:val="af-ZA"/>
        </w:rPr>
      </w:pPr>
      <w:r w:rsidRPr="00DA5DC0">
        <w:rPr>
          <w:rFonts w:ascii="Times New Roman" w:hAnsi="Times New Roman" w:cs="Times New Roman"/>
          <w:b/>
          <w:i/>
          <w:iCs/>
          <w:color w:val="000000"/>
          <w:sz w:val="28"/>
          <w:szCs w:val="28"/>
          <w:lang w:val="fr-FR"/>
        </w:rPr>
        <w:t>2</w:t>
      </w:r>
      <w:r w:rsidRPr="00DA5DC0">
        <w:rPr>
          <w:rFonts w:ascii="Times New Roman" w:hAnsi="Times New Roman"/>
          <w:b/>
          <w:i/>
          <w:color w:val="000000"/>
          <w:sz w:val="28"/>
          <w:szCs w:val="28"/>
          <w:lang w:val="af-ZA"/>
        </w:rPr>
        <w:t xml:space="preserve"> Agricultural, forestry and fishery production in September was severely affected by storm No. 3 and prolonged heavy rains, causing great damage to crops, livestock and aquaculture in many northern provinces. However, </w:t>
      </w:r>
      <w:r w:rsidRPr="00DA5DC0">
        <w:rPr>
          <w:rFonts w:ascii="Times New Roman" w:hAnsi="Times New Roman"/>
          <w:b/>
          <w:i/>
          <w:color w:val="000000"/>
          <w:sz w:val="28"/>
          <w:szCs w:val="28"/>
          <w:lang w:val="af-ZA"/>
        </w:rPr>
        <w:lastRenderedPageBreak/>
        <w:t>agricultural, forestry and fishery production in the third quarter and the first nine months of 2024 nationwide still maintained growth, meeting domestic consumption demand and serving exports. Winter-spring and summer-autumn rice production achieved good results. The output of some fruit trees increased significantly compared to the same period last year due to maximum exploitation of the export market. Poultry flocks nationwide developed stably. Forestry production was favorable due to high prices of raw wood and exports of wood products to major markets.</w:t>
      </w:r>
    </w:p>
    <w:p w14:paraId="60A27D1D" w14:textId="77777777" w:rsidR="00DA5DC0" w:rsidRPr="00DA5DC0" w:rsidRDefault="00DA5DC0" w:rsidP="00DA5DC0">
      <w:pPr>
        <w:tabs>
          <w:tab w:val="left" w:pos="720"/>
        </w:tabs>
        <w:spacing w:after="120" w:line="264" w:lineRule="auto"/>
        <w:ind w:firstLine="720"/>
        <w:jc w:val="both"/>
        <w:rPr>
          <w:rFonts w:ascii="Times New Roman" w:hAnsi="Times New Roman" w:cs="Times New Roman"/>
          <w:b/>
          <w:i/>
          <w:sz w:val="28"/>
          <w:szCs w:val="28"/>
          <w:lang w:val="de-DE"/>
        </w:rPr>
      </w:pPr>
      <w:r w:rsidRPr="00DA5DC0">
        <w:rPr>
          <w:rFonts w:ascii="Times New Roman" w:hAnsi="Times New Roman" w:cs="Times New Roman"/>
          <w:b/>
          <w:i/>
          <w:sz w:val="28"/>
          <w:szCs w:val="28"/>
          <w:lang w:val="de-DE"/>
        </w:rPr>
        <w:t xml:space="preserve">a) </w:t>
      </w:r>
      <w:r w:rsidRPr="00DA5DC0">
        <w:rPr>
          <w:rFonts w:ascii="Times New Roman" w:hAnsi="Times New Roman" w:cs="Times New Roman"/>
          <w:b/>
          <w:i/>
          <w:sz w:val="28"/>
          <w:szCs w:val="28"/>
          <w:lang w:val="fr-FR"/>
        </w:rPr>
        <w:t>Agriculture</w:t>
      </w:r>
    </w:p>
    <w:p w14:paraId="54A6BD64" w14:textId="77777777" w:rsidR="00DA5DC0" w:rsidRPr="00DA5DC0" w:rsidRDefault="00DA5DC0" w:rsidP="00DA5DC0">
      <w:pPr>
        <w:tabs>
          <w:tab w:val="left" w:pos="630"/>
        </w:tabs>
        <w:spacing w:after="120" w:line="264" w:lineRule="auto"/>
        <w:ind w:firstLine="720"/>
        <w:jc w:val="both"/>
        <w:rPr>
          <w:rFonts w:ascii="Times New Roman" w:hAnsi="Times New Roman"/>
          <w:color w:val="000000"/>
          <w:spacing w:val="4"/>
          <w:sz w:val="28"/>
          <w:szCs w:val="28"/>
          <w:lang w:val="af-ZA"/>
        </w:rPr>
      </w:pPr>
      <w:r w:rsidRPr="00DA5DC0">
        <w:rPr>
          <w:rFonts w:ascii="Times New Roman" w:hAnsi="Times New Roman" w:cs="Times New Roman"/>
          <w:sz w:val="28"/>
          <w:szCs w:val="28"/>
          <w:lang w:val="de-DE"/>
        </w:rPr>
        <w:t>The total summer-autumn rice cultivation area of ​​the country this year was estimated at 1,909.2 thousand hectares, down 3.6 thousand hectares</w:t>
      </w:r>
      <w:r w:rsidRPr="00DA5DC0">
        <w:rPr>
          <w:rFonts w:ascii="Times New Roman" w:hAnsi="Times New Roman" w:cs="Times New Roman"/>
          <w:color w:val="000000"/>
          <w:spacing w:val="2"/>
          <w:sz w:val="28"/>
          <w:szCs w:val="28"/>
          <w:vertAlign w:val="superscript"/>
          <w:lang w:val="de-DE"/>
        </w:rPr>
        <w:footnoteReference w:id="9"/>
      </w:r>
      <w:r w:rsidRPr="00DA5DC0">
        <w:rPr>
          <w:rFonts w:ascii="Times New Roman" w:hAnsi="Times New Roman" w:cs="Times New Roman"/>
          <w:sz w:val="28"/>
          <w:szCs w:val="28"/>
          <w:lang w:val="de-DE"/>
        </w:rPr>
        <w:t xml:space="preserve"> compared to the 2023 summer-autumn crop, due to the impact of drought, salinity, and many localities changing land use purposes, crop structure and seasons. with a large decrease in summer-autumn rice area were: Tien Giang decreased by 5.4 thousand hectares; Khanh Hoa decreased by 2.3 thousand hectares; Vinh Long decreased by 0.9 thousand hectares... By September 20, 2024, the whole country harvested 1,800.4 thousand hectares of summer-autumn rice, accounting for 94.3% of the cultivated area and equal to 100.4% of the same period last year. </w:t>
      </w:r>
    </w:p>
    <w:p w14:paraId="1BBC88D6" w14:textId="77777777" w:rsidR="00DA5DC0" w:rsidRPr="00DA5DC0" w:rsidRDefault="00DA5DC0" w:rsidP="00DA5DC0">
      <w:pPr>
        <w:spacing w:after="120" w:line="288" w:lineRule="auto"/>
        <w:ind w:firstLine="720"/>
        <w:jc w:val="both"/>
        <w:rPr>
          <w:rFonts w:ascii="Times New Roman" w:hAnsi="Times New Roman" w:cs="Times New Roman"/>
          <w:sz w:val="28"/>
          <w:szCs w:val="28"/>
          <w:lang w:val="de-DE"/>
        </w:rPr>
      </w:pPr>
      <w:r w:rsidRPr="00DA5DC0">
        <w:rPr>
          <w:rFonts w:ascii="Times New Roman" w:hAnsi="Times New Roman" w:cs="Times New Roman"/>
          <w:sz w:val="28"/>
          <w:szCs w:val="28"/>
          <w:lang w:val="de-DE"/>
        </w:rPr>
        <w:t>As of September 20, 2024, the total winter rice cultivation area nationwide reached 1,464.9 thousand hectares, equal to 99.6% of the same period last year, of which the northern localities reached 996.6 thousand hectares, equal to 99.1%</w:t>
      </w:r>
      <w:r w:rsidRPr="00DA5DC0">
        <w:rPr>
          <w:rFonts w:ascii="Times New Roman" w:hAnsi="Times New Roman" w:cs="Times New Roman"/>
          <w:color w:val="000000"/>
          <w:sz w:val="28"/>
          <w:szCs w:val="28"/>
          <w:vertAlign w:val="superscript"/>
          <w:lang w:val="af-ZA"/>
        </w:rPr>
        <w:footnoteReference w:id="10"/>
      </w:r>
      <w:r w:rsidRPr="00DA5DC0">
        <w:rPr>
          <w:rFonts w:ascii="Times New Roman" w:hAnsi="Times New Roman" w:cs="Times New Roman"/>
          <w:sz w:val="28"/>
          <w:szCs w:val="28"/>
          <w:lang w:val="de-DE"/>
        </w:rPr>
        <w:t xml:space="preserve">, and the southern localities reached 468.3 thousand hectares, equal to 100.5%. Up to now, the winter rice in the northern localities is in the flowering stage, some early rice crops are in the firm, ripe stage and have harvested 141.9 thousand hectares, accounting for 14.2% of the cultivated area and equal to 110.4% of the same period last year. </w:t>
      </w:r>
    </w:p>
    <w:p w14:paraId="2ADA359D" w14:textId="77777777" w:rsidR="00DA5DC0" w:rsidRPr="00DA5DC0" w:rsidRDefault="00DA5DC0" w:rsidP="00DA5DC0">
      <w:pPr>
        <w:spacing w:after="120" w:line="288" w:lineRule="auto"/>
        <w:ind w:firstLine="720"/>
        <w:jc w:val="both"/>
        <w:rPr>
          <w:rFonts w:ascii="Times New Roman" w:hAnsi="Times New Roman" w:cs="Times New Roman"/>
          <w:sz w:val="28"/>
          <w:szCs w:val="28"/>
          <w:lang w:val="de-DE"/>
        </w:rPr>
      </w:pPr>
      <w:r w:rsidRPr="00DA5DC0">
        <w:rPr>
          <w:rFonts w:ascii="Times New Roman" w:hAnsi="Times New Roman" w:cs="Times New Roman"/>
          <w:sz w:val="28"/>
          <w:szCs w:val="28"/>
          <w:lang w:val="de-DE"/>
        </w:rPr>
        <w:t>This year's winter rice crop in the northern provinces took place in unfavorable weather conditions: Heavy rains lasted from the beginning of the crop, followed by the consecutive impacts of two storms, especially storm No. 3 and the storm circulation causing flooding</w:t>
      </w:r>
      <w:r w:rsidRPr="00DA5DC0">
        <w:rPr>
          <w:rFonts w:ascii="Times New Roman" w:hAnsi="Times New Roman" w:cs="Times New Roman"/>
          <w:color w:val="000000"/>
          <w:sz w:val="28"/>
          <w:szCs w:val="28"/>
          <w:vertAlign w:val="superscript"/>
          <w:lang w:val="af-ZA"/>
        </w:rPr>
        <w:footnoteReference w:id="11"/>
      </w:r>
      <w:r w:rsidRPr="00DA5DC0">
        <w:rPr>
          <w:rFonts w:ascii="Times New Roman" w:hAnsi="Times New Roman" w:cs="Times New Roman"/>
          <w:sz w:val="28"/>
          <w:szCs w:val="28"/>
          <w:lang w:val="de-DE"/>
        </w:rPr>
        <w:t xml:space="preserve">. According to preliminary reports </w:t>
      </w:r>
      <w:r w:rsidRPr="00DA5DC0">
        <w:rPr>
          <w:rFonts w:ascii="Times New Roman" w:hAnsi="Times New Roman" w:cs="Times New Roman"/>
          <w:sz w:val="28"/>
          <w:szCs w:val="28"/>
          <w:lang w:val="de-DE"/>
        </w:rPr>
        <w:lastRenderedPageBreak/>
        <w:t>from localities, many areas of winter rice were completely lost</w:t>
      </w:r>
      <w:r w:rsidRPr="00DA5DC0">
        <w:rPr>
          <w:rFonts w:ascii="Times New Roman" w:hAnsi="Times New Roman" w:cs="Times New Roman"/>
          <w:sz w:val="28"/>
          <w:szCs w:val="28"/>
          <w:vertAlign w:val="superscript"/>
          <w:lang w:val="vi-VN"/>
        </w:rPr>
        <w:footnoteReference w:id="12"/>
      </w:r>
      <w:r w:rsidRPr="00DA5DC0">
        <w:rPr>
          <w:rFonts w:ascii="Times New Roman" w:hAnsi="Times New Roman"/>
          <w:sz w:val="28"/>
          <w:szCs w:val="28"/>
          <w:lang w:val="vi-VN"/>
        </w:rPr>
        <w:t xml:space="preserve"> </w:t>
      </w:r>
      <w:r w:rsidRPr="00DA5DC0">
        <w:rPr>
          <w:rFonts w:ascii="Times New Roman" w:hAnsi="Times New Roman" w:cs="Times New Roman"/>
          <w:sz w:val="28"/>
          <w:szCs w:val="28"/>
          <w:lang w:val="de-DE"/>
        </w:rPr>
        <w:t xml:space="preserve"> due to the impact of storm No. 3, including 16.9 thousand hectares in Bac Giang; 10.1 thousand hectares in Hai Phong; 7.8 thousand hectares in Nam Dinh; 7.2 thousand hectares in Thai Binh; 5.2 thousand hectares in Hung Yen; 5.5 thousand hectares in Thai Nguyen; 4.1 thousand hectares in Lang Son; 2.4 thousand hectares in Yen Bai; 1.7 thousand hectares in Vinh Phuc; and 0.8 thousand hectares in Ha Nam</w:t>
      </w:r>
      <w:r w:rsidRPr="00DA5DC0">
        <w:rPr>
          <w:rFonts w:ascii="Times New Roman" w:hAnsi="Times New Roman"/>
          <w:sz w:val="28"/>
          <w:szCs w:val="28"/>
          <w:lang w:val="en-US"/>
        </w:rPr>
        <w:t>.</w:t>
      </w:r>
    </w:p>
    <w:p w14:paraId="10478089" w14:textId="77777777" w:rsidR="00DA5DC0" w:rsidRPr="00DA5DC0" w:rsidRDefault="00DA5DC0" w:rsidP="00DA5DC0">
      <w:pPr>
        <w:spacing w:after="120" w:line="264" w:lineRule="auto"/>
        <w:ind w:firstLine="720"/>
        <w:jc w:val="both"/>
        <w:rPr>
          <w:rFonts w:ascii="Times New Roman" w:hAnsi="Times New Roman" w:cs="Times New Roman"/>
          <w:i/>
          <w:sz w:val="28"/>
          <w:szCs w:val="28"/>
          <w:lang w:val="de-DE"/>
        </w:rPr>
      </w:pPr>
      <w:r w:rsidRPr="00DA5DC0">
        <w:rPr>
          <w:rFonts w:ascii="Times New Roman" w:hAnsi="Times New Roman" w:cs="Times New Roman"/>
          <w:sz w:val="28"/>
          <w:szCs w:val="28"/>
          <w:lang w:val="de-DE"/>
        </w:rPr>
        <w:t>As of September 20, 2024, the provinces in the Mekong Delta have sown 626 thousand hectares of autumn-winter rice, an increase of 2.9% over the same period in 2023. The autumn-winter rice area has increased significantly due to favorable weather, sufficient irrigation water, and famers taking advantage of the opportunity to sow. Currently, autumn-winter rice is in the stage of full flowering. However, high tides may affect some rice areas from the green to ripe stage; the agricultural sector needs to strengthen supervision, monitoring, and timely notification of weather and pest situations, and at the same time prepare necessary means to protect unharvested autumn-winter rice areas.</w:t>
      </w:r>
    </w:p>
    <w:p w14:paraId="221AB999" w14:textId="77777777" w:rsidR="00DA5DC0" w:rsidRPr="00DA5DC0" w:rsidRDefault="00DA5DC0" w:rsidP="00DA5DC0">
      <w:pPr>
        <w:tabs>
          <w:tab w:val="left" w:pos="630"/>
          <w:tab w:val="center" w:pos="5062"/>
        </w:tabs>
        <w:spacing w:after="120" w:line="264" w:lineRule="auto"/>
        <w:ind w:firstLine="720"/>
        <w:jc w:val="both"/>
        <w:rPr>
          <w:rFonts w:ascii="Times New Roman" w:hAnsi="Times New Roman" w:cs="Times New Roman"/>
          <w:sz w:val="28"/>
          <w:szCs w:val="28"/>
          <w:lang w:val="de-DE"/>
        </w:rPr>
      </w:pPr>
      <w:r w:rsidRPr="00DA5DC0">
        <w:rPr>
          <w:rFonts w:ascii="Times New Roman" w:hAnsi="Times New Roman"/>
          <w:color w:val="000000"/>
          <w:sz w:val="28"/>
          <w:szCs w:val="28"/>
          <w:lang w:val="af-ZA"/>
        </w:rPr>
        <w:tab/>
      </w:r>
      <w:r w:rsidRPr="00DA5DC0">
        <w:rPr>
          <w:rFonts w:ascii="Times New Roman" w:hAnsi="Times New Roman" w:cs="Times New Roman"/>
          <w:sz w:val="28"/>
          <w:szCs w:val="28"/>
          <w:lang w:val="de-DE"/>
        </w:rPr>
        <w:t>As of September 20, 2024, localities across the country have planted 815 thousand hectares of corn, equal to 99% of the same period last year; 74.1 thousand hectares of sweet potatoes, equal to 101.8%; 27.9 thousand hectares of soybeans, equal to 95.3%; 142.1 thousand hectares of peanuts, equal to 97.7%; 1,022.8 thousand hectares of various vegetables and beans, equal to 100.4%. Due to the impact of storm No. 3, some localities have lost all vegetable areas such as Hung Yen 2.26 thousand hectares; Bac Giang 1.25 thousand hectares; Ha Nam 0.45 thousand hectares; Thai Binh 0.3 thousand hectares; Lao Cai 0.38 thousand hectares; Thai Nguyen 0.36 thousand hectares...</w:t>
      </w:r>
    </w:p>
    <w:p w14:paraId="764EF467" w14:textId="77777777" w:rsidR="00DA5DC0" w:rsidRPr="00DA5DC0" w:rsidRDefault="00DA5DC0" w:rsidP="00DA5DC0">
      <w:pPr>
        <w:tabs>
          <w:tab w:val="left" w:pos="630"/>
          <w:tab w:val="center" w:pos="5062"/>
        </w:tabs>
        <w:spacing w:after="120" w:line="264" w:lineRule="auto"/>
        <w:ind w:firstLine="720"/>
        <w:jc w:val="both"/>
        <w:rPr>
          <w:rFonts w:ascii="Times New Roman" w:hAnsi="Times New Roman" w:cs="Times New Roman"/>
          <w:sz w:val="28"/>
          <w:szCs w:val="28"/>
          <w:lang w:val="de-DE"/>
        </w:rPr>
      </w:pPr>
      <w:r w:rsidRPr="00DA5DC0">
        <w:rPr>
          <w:rFonts w:ascii="Times New Roman" w:hAnsi="Times New Roman" w:cs="Times New Roman"/>
          <w:sz w:val="28"/>
          <w:szCs w:val="28"/>
          <w:lang w:val="de-DE"/>
        </w:rPr>
        <w:t>In the nine months of 2024, the output of some major industrial crops was as follows: Tea buds reached 927.3 thousand tons, up 0.1%; rubber reached 877.6 thousand tons, up 2.7%; Coconut output reached 1,574.7 thousand tons, up 5.1%; pepper output reached 244.6 thousand tons, up 3.2%. The output of some fruit trees increased quite well: Durian output reached 984.8 thousand tons, up 16.6% over the same period last year; mango output reached 858.4 thousand tons, up 3.6%; orange output reached 1,084.4 thousand tons, up 2.3%; dragon fruit output reached 692.8 thousand tons, up 1.3%.</w:t>
      </w:r>
    </w:p>
    <w:p w14:paraId="4E02FABE" w14:textId="77777777" w:rsidR="00DA5DC0" w:rsidRPr="00DA5DC0" w:rsidRDefault="00DA5DC0" w:rsidP="00DA5DC0">
      <w:pPr>
        <w:tabs>
          <w:tab w:val="left" w:pos="630"/>
          <w:tab w:val="center" w:pos="5062"/>
        </w:tabs>
        <w:spacing w:after="120" w:line="269" w:lineRule="auto"/>
        <w:ind w:firstLine="720"/>
        <w:jc w:val="both"/>
        <w:rPr>
          <w:rFonts w:ascii="Times New Roman" w:hAnsi="Times New Roman" w:cs="Times New Roman"/>
          <w:sz w:val="28"/>
          <w:szCs w:val="28"/>
          <w:lang w:val="de-DE"/>
        </w:rPr>
      </w:pPr>
      <w:r w:rsidRPr="00DA5DC0">
        <w:rPr>
          <w:rFonts w:ascii="Times New Roman" w:hAnsi="Times New Roman" w:cs="Times New Roman"/>
          <w:sz w:val="28"/>
          <w:szCs w:val="28"/>
          <w:lang w:val="de-DE"/>
        </w:rPr>
        <w:lastRenderedPageBreak/>
        <w:t>Buffalo and cow husbandry during 9 months tended to decrease</w:t>
      </w:r>
      <w:r w:rsidRPr="00DA5DC0">
        <w:rPr>
          <w:rFonts w:ascii="Times New Roman" w:hAnsi="Times New Roman" w:cs="Times New Roman"/>
          <w:sz w:val="28"/>
          <w:szCs w:val="28"/>
          <w:vertAlign w:val="superscript"/>
          <w:lang w:val="pt-BR"/>
        </w:rPr>
        <w:footnoteReference w:id="13"/>
      </w:r>
      <w:r w:rsidRPr="00DA5DC0">
        <w:rPr>
          <w:rFonts w:ascii="Times New Roman" w:hAnsi="Times New Roman" w:cs="Times New Roman"/>
          <w:sz w:val="28"/>
          <w:szCs w:val="28"/>
          <w:lang w:val="de-DE"/>
        </w:rPr>
        <w:t>. The price of live pigs increased</w:t>
      </w:r>
      <w:r w:rsidRPr="00DA5DC0">
        <w:rPr>
          <w:rFonts w:ascii="Times New Roman" w:hAnsi="Times New Roman" w:cs="Times New Roman"/>
          <w:color w:val="0D0D0D"/>
          <w:sz w:val="28"/>
          <w:szCs w:val="28"/>
          <w:vertAlign w:val="superscript"/>
          <w:lang w:val="pt-BR"/>
        </w:rPr>
        <w:footnoteReference w:id="14"/>
      </w:r>
      <w:r w:rsidRPr="00DA5DC0">
        <w:rPr>
          <w:rFonts w:ascii="Times New Roman" w:hAnsi="Times New Roman" w:cs="Times New Roman"/>
          <w:sz w:val="28"/>
          <w:szCs w:val="28"/>
          <w:lang w:val="de-DE"/>
        </w:rPr>
        <w:t xml:space="preserve"> but the complicated developments of African swine fever in some localities affected the production situation of livestock households. Poultry farming in the provinces of the Red River Delta in September was affected by storm No. 3, but in general, the poultry flock nationwide maintained stable growth, poultry farming in enterprises grew quite well, and the disease was controlled. </w:t>
      </w:r>
    </w:p>
    <w:p w14:paraId="635A3771" w14:textId="77777777" w:rsidR="00DA5DC0" w:rsidRPr="00DA5DC0" w:rsidRDefault="00DA5DC0" w:rsidP="00DA5DC0">
      <w:pPr>
        <w:spacing w:before="40" w:after="40"/>
        <w:jc w:val="center"/>
        <w:rPr>
          <w:rFonts w:ascii="Arial" w:hAnsi="Arial" w:cs="Arial"/>
          <w:b/>
          <w:bCs/>
          <w:sz w:val="24"/>
          <w:szCs w:val="26"/>
          <w:lang w:val="en-US"/>
        </w:rPr>
      </w:pPr>
      <w:r w:rsidRPr="00DA5DC0">
        <w:rPr>
          <w:rFonts w:ascii="Times New Roman" w:hAnsi="Times New Roman" w:cs="Times New Roman"/>
          <w:b/>
          <w:bCs/>
          <w:sz w:val="26"/>
          <w:szCs w:val="26"/>
          <w:lang w:val="en-US"/>
        </w:rPr>
        <w:t>Table: Main products of livestock</w:t>
      </w:r>
    </w:p>
    <w:tbl>
      <w:tblPr>
        <w:tblW w:w="9505" w:type="dxa"/>
        <w:jc w:val="center"/>
        <w:tblLook w:val="04A0" w:firstRow="1" w:lastRow="0" w:firstColumn="1" w:lastColumn="0" w:noHBand="0" w:noVBand="1"/>
      </w:tblPr>
      <w:tblGrid>
        <w:gridCol w:w="2689"/>
        <w:gridCol w:w="1847"/>
        <w:gridCol w:w="1418"/>
        <w:gridCol w:w="1984"/>
        <w:gridCol w:w="1567"/>
      </w:tblGrid>
      <w:tr w:rsidR="00DA5DC0" w:rsidRPr="00DA5DC0" w14:paraId="59293266" w14:textId="77777777" w:rsidTr="00C8631B">
        <w:trPr>
          <w:trHeight w:val="360"/>
          <w:jc w:val="center"/>
        </w:trPr>
        <w:tc>
          <w:tcPr>
            <w:tcW w:w="2689" w:type="dxa"/>
            <w:tcBorders>
              <w:top w:val="single" w:sz="4" w:space="0" w:color="auto"/>
            </w:tcBorders>
            <w:shd w:val="clear" w:color="auto" w:fill="auto"/>
            <w:noWrap/>
            <w:vAlign w:val="bottom"/>
            <w:hideMark/>
          </w:tcPr>
          <w:p w14:paraId="170DE3E3" w14:textId="77777777" w:rsidR="00DA5DC0" w:rsidRPr="00DA5DC0" w:rsidRDefault="00DA5DC0" w:rsidP="00DA5DC0">
            <w:pPr>
              <w:jc w:val="center"/>
              <w:rPr>
                <w:rFonts w:ascii="Times New Roman" w:hAnsi="Times New Roman" w:cs="Times New Roman"/>
                <w:b/>
                <w:bCs/>
                <w:sz w:val="20"/>
                <w:szCs w:val="20"/>
                <w:lang w:val="en-US"/>
              </w:rPr>
            </w:pPr>
            <w:r w:rsidRPr="00DA5DC0">
              <w:rPr>
                <w:rFonts w:ascii="Times New Roman" w:hAnsi="Times New Roman" w:cs="Times New Roman"/>
                <w:b/>
                <w:bCs/>
                <w:sz w:val="20"/>
                <w:szCs w:val="20"/>
                <w:lang w:val="en-US"/>
              </w:rPr>
              <w:t> </w:t>
            </w:r>
          </w:p>
        </w:tc>
        <w:tc>
          <w:tcPr>
            <w:tcW w:w="1847" w:type="dxa"/>
            <w:tcBorders>
              <w:top w:val="single" w:sz="4" w:space="0" w:color="auto"/>
            </w:tcBorders>
            <w:shd w:val="clear" w:color="auto" w:fill="auto"/>
            <w:vAlign w:val="center"/>
            <w:hideMark/>
          </w:tcPr>
          <w:p w14:paraId="0AEC3C48" w14:textId="77777777" w:rsidR="00DA5DC0" w:rsidRPr="00DA5DC0" w:rsidRDefault="00DA5DC0" w:rsidP="00DA5DC0">
            <w:pPr>
              <w:jc w:val="center"/>
              <w:rPr>
                <w:rFonts w:ascii="Times New Roman" w:hAnsi="Times New Roman" w:cs="Times New Roman"/>
                <w:sz w:val="18"/>
                <w:szCs w:val="18"/>
                <w:lang w:val="en-US"/>
              </w:rPr>
            </w:pPr>
            <w:r w:rsidRPr="00DA5DC0">
              <w:rPr>
                <w:rFonts w:ascii="Times New Roman" w:hAnsi="Times New Roman" w:cs="Times New Roman"/>
                <w:sz w:val="18"/>
                <w:szCs w:val="18"/>
                <w:lang w:val="en-US"/>
              </w:rPr>
              <w:t>Estimate</w:t>
            </w:r>
          </w:p>
        </w:tc>
        <w:tc>
          <w:tcPr>
            <w:tcW w:w="1418" w:type="dxa"/>
            <w:tcBorders>
              <w:top w:val="single" w:sz="4" w:space="0" w:color="auto"/>
            </w:tcBorders>
            <w:shd w:val="clear" w:color="auto" w:fill="auto"/>
            <w:vAlign w:val="center"/>
            <w:hideMark/>
          </w:tcPr>
          <w:p w14:paraId="23D14E34" w14:textId="77777777" w:rsidR="00DA5DC0" w:rsidRPr="00DA5DC0" w:rsidRDefault="00DA5DC0" w:rsidP="00DA5DC0">
            <w:pPr>
              <w:jc w:val="center"/>
              <w:rPr>
                <w:rFonts w:ascii="Times New Roman" w:hAnsi="Times New Roman" w:cs="Times New Roman"/>
                <w:sz w:val="18"/>
                <w:szCs w:val="18"/>
                <w:lang w:val="en-US"/>
              </w:rPr>
            </w:pPr>
            <w:r w:rsidRPr="00DA5DC0">
              <w:rPr>
                <w:rFonts w:ascii="Times New Roman" w:hAnsi="Times New Roman" w:cs="Times New Roman"/>
                <w:sz w:val="18"/>
                <w:szCs w:val="18"/>
                <w:lang w:val="en-US"/>
              </w:rPr>
              <w:t>Accrued</w:t>
            </w:r>
          </w:p>
        </w:tc>
        <w:tc>
          <w:tcPr>
            <w:tcW w:w="3551" w:type="dxa"/>
            <w:gridSpan w:val="2"/>
            <w:tcBorders>
              <w:top w:val="single" w:sz="4" w:space="0" w:color="auto"/>
            </w:tcBorders>
            <w:shd w:val="clear" w:color="auto" w:fill="auto"/>
            <w:vAlign w:val="center"/>
            <w:hideMark/>
          </w:tcPr>
          <w:p w14:paraId="2FB1F5A3" w14:textId="77777777" w:rsidR="00DA5DC0" w:rsidRPr="00DA5DC0" w:rsidRDefault="00DA5DC0" w:rsidP="00DA5DC0">
            <w:pPr>
              <w:rPr>
                <w:rFonts w:ascii="Times New Roman" w:hAnsi="Times New Roman" w:cs="Times New Roman"/>
                <w:sz w:val="18"/>
                <w:szCs w:val="18"/>
                <w:lang w:val="en-US"/>
              </w:rPr>
            </w:pPr>
            <w:r w:rsidRPr="00DA5DC0">
              <w:rPr>
                <w:rFonts w:ascii="Times New Roman" w:hAnsi="Times New Roman" w:cs="Times New Roman"/>
                <w:sz w:val="18"/>
                <w:szCs w:val="18"/>
                <w:lang w:val="en-US"/>
              </w:rPr>
              <w:t>Compared with the same period last year (%)</w:t>
            </w:r>
          </w:p>
        </w:tc>
      </w:tr>
      <w:tr w:rsidR="00DA5DC0" w:rsidRPr="00DA5DC0" w14:paraId="103F84FA" w14:textId="77777777" w:rsidTr="00C8631B">
        <w:trPr>
          <w:trHeight w:val="360"/>
          <w:jc w:val="center"/>
        </w:trPr>
        <w:tc>
          <w:tcPr>
            <w:tcW w:w="2689" w:type="dxa"/>
            <w:shd w:val="clear" w:color="auto" w:fill="auto"/>
            <w:noWrap/>
            <w:vAlign w:val="center"/>
            <w:hideMark/>
          </w:tcPr>
          <w:p w14:paraId="1C7F5823" w14:textId="77777777" w:rsidR="00DA5DC0" w:rsidRPr="00DA5DC0" w:rsidRDefault="00DA5DC0" w:rsidP="00DA5DC0">
            <w:pPr>
              <w:jc w:val="center"/>
              <w:rPr>
                <w:rFonts w:ascii="Times New Roman" w:hAnsi="Times New Roman" w:cs="Times New Roman"/>
                <w:sz w:val="18"/>
                <w:szCs w:val="18"/>
                <w:lang w:val="en-US"/>
              </w:rPr>
            </w:pPr>
          </w:p>
        </w:tc>
        <w:tc>
          <w:tcPr>
            <w:tcW w:w="1847" w:type="dxa"/>
            <w:shd w:val="clear" w:color="auto" w:fill="auto"/>
            <w:vAlign w:val="center"/>
            <w:hideMark/>
          </w:tcPr>
          <w:p w14:paraId="5C64EB77" w14:textId="77777777" w:rsidR="00DA5DC0" w:rsidRPr="00DA5DC0" w:rsidRDefault="00DA5DC0" w:rsidP="00DA5DC0">
            <w:pPr>
              <w:jc w:val="center"/>
              <w:rPr>
                <w:rFonts w:ascii="Times New Roman" w:hAnsi="Times New Roman" w:cs="Times New Roman"/>
                <w:sz w:val="18"/>
                <w:szCs w:val="18"/>
                <w:lang w:val="en-US"/>
              </w:rPr>
            </w:pPr>
            <w:r w:rsidRPr="00DA5DC0">
              <w:rPr>
                <w:rFonts w:ascii="Times New Roman" w:hAnsi="Times New Roman" w:cs="Times New Roman"/>
                <w:sz w:val="18"/>
                <w:szCs w:val="18"/>
                <w:lang w:val="en-US"/>
              </w:rPr>
              <w:t xml:space="preserve">third quarter </w:t>
            </w:r>
          </w:p>
        </w:tc>
        <w:tc>
          <w:tcPr>
            <w:tcW w:w="1418" w:type="dxa"/>
            <w:shd w:val="clear" w:color="auto" w:fill="auto"/>
            <w:vAlign w:val="center"/>
            <w:hideMark/>
          </w:tcPr>
          <w:p w14:paraId="26AA0947" w14:textId="77777777" w:rsidR="00DA5DC0" w:rsidRPr="00DA5DC0" w:rsidRDefault="00DA5DC0" w:rsidP="00DA5DC0">
            <w:pPr>
              <w:jc w:val="center"/>
              <w:rPr>
                <w:rFonts w:ascii="Times New Roman" w:hAnsi="Times New Roman" w:cs="Times New Roman"/>
                <w:sz w:val="18"/>
                <w:szCs w:val="18"/>
                <w:lang w:val="en-US"/>
              </w:rPr>
            </w:pPr>
            <w:r w:rsidRPr="00DA5DC0">
              <w:rPr>
                <w:rFonts w:ascii="Times New Roman" w:hAnsi="Times New Roman" w:cs="Times New Roman"/>
                <w:sz w:val="18"/>
                <w:szCs w:val="18"/>
                <w:lang w:val="en-US"/>
              </w:rPr>
              <w:t xml:space="preserve">9 months </w:t>
            </w:r>
          </w:p>
        </w:tc>
        <w:tc>
          <w:tcPr>
            <w:tcW w:w="1984" w:type="dxa"/>
            <w:shd w:val="clear" w:color="auto" w:fill="auto"/>
            <w:vAlign w:val="center"/>
            <w:hideMark/>
          </w:tcPr>
          <w:p w14:paraId="6432A27C" w14:textId="77777777" w:rsidR="00DA5DC0" w:rsidRPr="00DA5DC0" w:rsidRDefault="00DA5DC0" w:rsidP="00DA5DC0">
            <w:pPr>
              <w:jc w:val="center"/>
              <w:rPr>
                <w:rFonts w:ascii="Times New Roman" w:hAnsi="Times New Roman" w:cs="Times New Roman"/>
                <w:sz w:val="18"/>
                <w:szCs w:val="18"/>
                <w:lang w:val="en-US"/>
              </w:rPr>
            </w:pPr>
            <w:r w:rsidRPr="00DA5DC0">
              <w:rPr>
                <w:rFonts w:ascii="Times New Roman" w:hAnsi="Times New Roman" w:cs="Times New Roman"/>
                <w:sz w:val="18"/>
                <w:szCs w:val="18"/>
                <w:lang w:val="en-US"/>
              </w:rPr>
              <w:t>third quarter</w:t>
            </w:r>
          </w:p>
        </w:tc>
        <w:tc>
          <w:tcPr>
            <w:tcW w:w="1567" w:type="dxa"/>
            <w:shd w:val="clear" w:color="auto" w:fill="auto"/>
            <w:vAlign w:val="center"/>
            <w:hideMark/>
          </w:tcPr>
          <w:p w14:paraId="05906A02" w14:textId="77777777" w:rsidR="00DA5DC0" w:rsidRPr="00DA5DC0" w:rsidRDefault="00DA5DC0" w:rsidP="00DA5DC0">
            <w:pPr>
              <w:jc w:val="center"/>
              <w:rPr>
                <w:rFonts w:ascii="Times New Roman" w:hAnsi="Times New Roman" w:cs="Times New Roman"/>
                <w:sz w:val="18"/>
                <w:szCs w:val="18"/>
                <w:lang w:val="en-US"/>
              </w:rPr>
            </w:pPr>
            <w:r w:rsidRPr="00DA5DC0">
              <w:rPr>
                <w:rFonts w:ascii="Times New Roman" w:hAnsi="Times New Roman" w:cs="Times New Roman"/>
                <w:sz w:val="18"/>
                <w:szCs w:val="18"/>
                <w:lang w:val="en-US"/>
              </w:rPr>
              <w:t>9 months</w:t>
            </w:r>
          </w:p>
        </w:tc>
      </w:tr>
      <w:tr w:rsidR="00DA5DC0" w:rsidRPr="00DA5DC0" w14:paraId="416D7315" w14:textId="77777777" w:rsidTr="00C8631B">
        <w:trPr>
          <w:trHeight w:val="360"/>
          <w:jc w:val="center"/>
        </w:trPr>
        <w:tc>
          <w:tcPr>
            <w:tcW w:w="2689" w:type="dxa"/>
            <w:shd w:val="clear" w:color="auto" w:fill="auto"/>
            <w:noWrap/>
            <w:vAlign w:val="bottom"/>
            <w:hideMark/>
          </w:tcPr>
          <w:p w14:paraId="6FDD31C6" w14:textId="77777777" w:rsidR="00DA5DC0" w:rsidRPr="00DA5DC0" w:rsidRDefault="00DA5DC0" w:rsidP="00DA5DC0">
            <w:pPr>
              <w:jc w:val="center"/>
              <w:rPr>
                <w:rFonts w:ascii="Times New Roman" w:hAnsi="Times New Roman" w:cs="Times New Roman"/>
                <w:sz w:val="18"/>
                <w:szCs w:val="18"/>
                <w:lang w:val="en-US"/>
              </w:rPr>
            </w:pPr>
          </w:p>
        </w:tc>
        <w:tc>
          <w:tcPr>
            <w:tcW w:w="1847" w:type="dxa"/>
            <w:tcBorders>
              <w:bottom w:val="single" w:sz="4" w:space="0" w:color="auto"/>
            </w:tcBorders>
            <w:shd w:val="clear" w:color="auto" w:fill="auto"/>
            <w:vAlign w:val="center"/>
            <w:hideMark/>
          </w:tcPr>
          <w:p w14:paraId="13CB79A9" w14:textId="77777777" w:rsidR="00DA5DC0" w:rsidRPr="00DA5DC0" w:rsidRDefault="00DA5DC0" w:rsidP="00DA5DC0">
            <w:pPr>
              <w:jc w:val="center"/>
              <w:rPr>
                <w:rFonts w:ascii="Times New Roman" w:hAnsi="Times New Roman" w:cs="Times New Roman"/>
                <w:sz w:val="18"/>
                <w:szCs w:val="18"/>
                <w:lang w:val="en-US"/>
              </w:rPr>
            </w:pPr>
            <w:r w:rsidRPr="00DA5DC0">
              <w:rPr>
                <w:rFonts w:ascii="Times New Roman" w:hAnsi="Times New Roman" w:cs="Times New Roman"/>
                <w:sz w:val="18"/>
                <w:szCs w:val="18"/>
                <w:lang w:val="en-US"/>
              </w:rPr>
              <w:t>of 2024</w:t>
            </w:r>
          </w:p>
        </w:tc>
        <w:tc>
          <w:tcPr>
            <w:tcW w:w="1418" w:type="dxa"/>
            <w:tcBorders>
              <w:bottom w:val="single" w:sz="4" w:space="0" w:color="auto"/>
            </w:tcBorders>
            <w:shd w:val="clear" w:color="auto" w:fill="auto"/>
            <w:vAlign w:val="center"/>
            <w:hideMark/>
          </w:tcPr>
          <w:p w14:paraId="0006FE46" w14:textId="77777777" w:rsidR="00DA5DC0" w:rsidRPr="00DA5DC0" w:rsidRDefault="00DA5DC0" w:rsidP="00DA5DC0">
            <w:pPr>
              <w:jc w:val="center"/>
              <w:rPr>
                <w:rFonts w:ascii="Times New Roman" w:hAnsi="Times New Roman" w:cs="Times New Roman"/>
                <w:sz w:val="18"/>
                <w:szCs w:val="18"/>
                <w:lang w:val="en-US"/>
              </w:rPr>
            </w:pPr>
            <w:r w:rsidRPr="00DA5DC0">
              <w:rPr>
                <w:rFonts w:ascii="Times New Roman" w:hAnsi="Times New Roman" w:cs="Times New Roman"/>
                <w:sz w:val="18"/>
                <w:szCs w:val="18"/>
                <w:lang w:val="en-US"/>
              </w:rPr>
              <w:t>of 2024</w:t>
            </w:r>
          </w:p>
        </w:tc>
        <w:tc>
          <w:tcPr>
            <w:tcW w:w="1984" w:type="dxa"/>
            <w:tcBorders>
              <w:bottom w:val="single" w:sz="4" w:space="0" w:color="auto"/>
            </w:tcBorders>
            <w:shd w:val="clear" w:color="auto" w:fill="auto"/>
            <w:vAlign w:val="center"/>
            <w:hideMark/>
          </w:tcPr>
          <w:p w14:paraId="2755678C" w14:textId="77777777" w:rsidR="00DA5DC0" w:rsidRPr="00DA5DC0" w:rsidRDefault="00DA5DC0" w:rsidP="00DA5DC0">
            <w:pPr>
              <w:jc w:val="center"/>
              <w:rPr>
                <w:rFonts w:ascii="Times New Roman" w:hAnsi="Times New Roman" w:cs="Times New Roman"/>
                <w:sz w:val="18"/>
                <w:szCs w:val="18"/>
                <w:lang w:val="en-US"/>
              </w:rPr>
            </w:pPr>
            <w:r w:rsidRPr="00DA5DC0">
              <w:rPr>
                <w:rFonts w:ascii="Times New Roman" w:hAnsi="Times New Roman" w:cs="Times New Roman"/>
                <w:sz w:val="18"/>
                <w:szCs w:val="18"/>
                <w:lang w:val="en-US"/>
              </w:rPr>
              <w:t>of 2024</w:t>
            </w:r>
          </w:p>
        </w:tc>
        <w:tc>
          <w:tcPr>
            <w:tcW w:w="1567" w:type="dxa"/>
            <w:tcBorders>
              <w:bottom w:val="single" w:sz="4" w:space="0" w:color="auto"/>
            </w:tcBorders>
            <w:shd w:val="clear" w:color="auto" w:fill="auto"/>
            <w:vAlign w:val="center"/>
            <w:hideMark/>
          </w:tcPr>
          <w:p w14:paraId="12722E78" w14:textId="77777777" w:rsidR="00DA5DC0" w:rsidRPr="00DA5DC0" w:rsidRDefault="00DA5DC0" w:rsidP="00DA5DC0">
            <w:pPr>
              <w:jc w:val="center"/>
              <w:rPr>
                <w:rFonts w:ascii="Times New Roman" w:hAnsi="Times New Roman" w:cs="Times New Roman"/>
                <w:sz w:val="18"/>
                <w:szCs w:val="18"/>
                <w:lang w:val="en-US"/>
              </w:rPr>
            </w:pPr>
            <w:r w:rsidRPr="00DA5DC0">
              <w:rPr>
                <w:rFonts w:ascii="Times New Roman" w:hAnsi="Times New Roman" w:cs="Times New Roman"/>
                <w:sz w:val="18"/>
                <w:szCs w:val="18"/>
                <w:lang w:val="en-US"/>
              </w:rPr>
              <w:t>of 2024</w:t>
            </w:r>
          </w:p>
        </w:tc>
      </w:tr>
      <w:tr w:rsidR="00DA5DC0" w:rsidRPr="00DA5DC0" w14:paraId="3422E3E3" w14:textId="77777777" w:rsidTr="00C8631B">
        <w:trPr>
          <w:trHeight w:val="402"/>
          <w:jc w:val="center"/>
        </w:trPr>
        <w:tc>
          <w:tcPr>
            <w:tcW w:w="4536" w:type="dxa"/>
            <w:gridSpan w:val="2"/>
            <w:shd w:val="clear" w:color="auto" w:fill="auto"/>
            <w:noWrap/>
            <w:vAlign w:val="bottom"/>
            <w:hideMark/>
          </w:tcPr>
          <w:p w14:paraId="1EE4BD08" w14:textId="77777777" w:rsidR="00DA5DC0" w:rsidRPr="00DA5DC0" w:rsidRDefault="00DA5DC0" w:rsidP="00DA5DC0">
            <w:pPr>
              <w:rPr>
                <w:rFonts w:ascii="Times New Roman" w:hAnsi="Times New Roman" w:cs="Times New Roman"/>
                <w:b/>
                <w:bCs/>
                <w:color w:val="000000"/>
                <w:sz w:val="20"/>
                <w:szCs w:val="20"/>
                <w:lang w:val="en-US"/>
              </w:rPr>
            </w:pPr>
          </w:p>
          <w:p w14:paraId="48348B8F" w14:textId="77777777" w:rsidR="00DA5DC0" w:rsidRPr="00DA5DC0" w:rsidRDefault="00DA5DC0" w:rsidP="00DA5DC0">
            <w:pPr>
              <w:rPr>
                <w:rFonts w:ascii="Times New Roman" w:hAnsi="Times New Roman" w:cs="Times New Roman"/>
                <w:b/>
                <w:bCs/>
                <w:color w:val="000000"/>
                <w:sz w:val="20"/>
                <w:szCs w:val="20"/>
                <w:lang w:val="en-US"/>
              </w:rPr>
            </w:pPr>
            <w:r w:rsidRPr="00DA5DC0">
              <w:rPr>
                <w:rFonts w:ascii="Times New Roman" w:hAnsi="Times New Roman" w:cs="Times New Roman"/>
                <w:b/>
                <w:bCs/>
                <w:color w:val="000000"/>
                <w:sz w:val="20"/>
                <w:szCs w:val="20"/>
                <w:lang w:val="en-US"/>
              </w:rPr>
              <w:t>Output of living-weight (Thous. tons)</w:t>
            </w:r>
          </w:p>
        </w:tc>
        <w:tc>
          <w:tcPr>
            <w:tcW w:w="1418" w:type="dxa"/>
            <w:shd w:val="clear" w:color="auto" w:fill="auto"/>
            <w:noWrap/>
            <w:vAlign w:val="bottom"/>
            <w:hideMark/>
          </w:tcPr>
          <w:p w14:paraId="22DADADF" w14:textId="77777777" w:rsidR="00DA5DC0" w:rsidRPr="00DA5DC0" w:rsidRDefault="00DA5DC0" w:rsidP="00DA5DC0">
            <w:pPr>
              <w:rPr>
                <w:rFonts w:ascii="Times New Roman" w:hAnsi="Times New Roman" w:cs="Times New Roman"/>
                <w:sz w:val="20"/>
                <w:szCs w:val="20"/>
                <w:lang w:val="en-US"/>
              </w:rPr>
            </w:pPr>
          </w:p>
        </w:tc>
        <w:tc>
          <w:tcPr>
            <w:tcW w:w="1984" w:type="dxa"/>
            <w:shd w:val="clear" w:color="auto" w:fill="auto"/>
            <w:noWrap/>
            <w:vAlign w:val="bottom"/>
            <w:hideMark/>
          </w:tcPr>
          <w:p w14:paraId="410B6265" w14:textId="77777777" w:rsidR="00DA5DC0" w:rsidRPr="00DA5DC0" w:rsidRDefault="00DA5DC0" w:rsidP="00DA5DC0">
            <w:pPr>
              <w:rPr>
                <w:rFonts w:ascii="Times New Roman" w:hAnsi="Times New Roman" w:cs="Times New Roman"/>
                <w:sz w:val="20"/>
                <w:szCs w:val="20"/>
                <w:lang w:val="en-US"/>
              </w:rPr>
            </w:pPr>
          </w:p>
        </w:tc>
        <w:tc>
          <w:tcPr>
            <w:tcW w:w="1567" w:type="dxa"/>
            <w:shd w:val="clear" w:color="auto" w:fill="auto"/>
            <w:noWrap/>
            <w:vAlign w:val="bottom"/>
            <w:hideMark/>
          </w:tcPr>
          <w:p w14:paraId="6CCA9E2C" w14:textId="77777777" w:rsidR="00DA5DC0" w:rsidRPr="00DA5DC0" w:rsidRDefault="00DA5DC0" w:rsidP="00DA5DC0">
            <w:pPr>
              <w:rPr>
                <w:rFonts w:ascii="Times New Roman" w:hAnsi="Times New Roman" w:cs="Times New Roman"/>
                <w:sz w:val="20"/>
                <w:szCs w:val="20"/>
                <w:lang w:val="en-US"/>
              </w:rPr>
            </w:pPr>
          </w:p>
        </w:tc>
      </w:tr>
      <w:tr w:rsidR="00DA5DC0" w:rsidRPr="00DA5DC0" w14:paraId="2D8AAE7B" w14:textId="77777777" w:rsidTr="00C8631B">
        <w:trPr>
          <w:trHeight w:val="402"/>
          <w:jc w:val="center"/>
        </w:trPr>
        <w:tc>
          <w:tcPr>
            <w:tcW w:w="2689" w:type="dxa"/>
            <w:shd w:val="clear" w:color="auto" w:fill="auto"/>
            <w:hideMark/>
          </w:tcPr>
          <w:p w14:paraId="398D5681" w14:textId="77777777" w:rsidR="00DA5DC0" w:rsidRPr="00DA5DC0" w:rsidRDefault="00DA5DC0" w:rsidP="00DA5DC0">
            <w:pPr>
              <w:ind w:firstLineChars="100" w:firstLine="200"/>
              <w:rPr>
                <w:rFonts w:ascii="Times New Roman" w:hAnsi="Times New Roman" w:cs="Times New Roman"/>
                <w:sz w:val="20"/>
                <w:szCs w:val="20"/>
                <w:lang w:val="en-US"/>
              </w:rPr>
            </w:pPr>
            <w:r w:rsidRPr="00DA5DC0">
              <w:rPr>
                <w:rFonts w:ascii="Times New Roman" w:hAnsi="Times New Roman" w:cs="Times New Roman"/>
                <w:sz w:val="20"/>
                <w:szCs w:val="20"/>
                <w:lang w:val="en-US"/>
              </w:rPr>
              <w:t>Pig</w:t>
            </w:r>
          </w:p>
        </w:tc>
        <w:tc>
          <w:tcPr>
            <w:tcW w:w="1847" w:type="dxa"/>
            <w:shd w:val="clear" w:color="auto" w:fill="auto"/>
            <w:noWrap/>
            <w:vAlign w:val="bottom"/>
            <w:hideMark/>
          </w:tcPr>
          <w:p w14:paraId="7E3C60EF" w14:textId="77777777" w:rsidR="00DA5DC0" w:rsidRPr="00DA5DC0" w:rsidRDefault="00DA5DC0" w:rsidP="00DA5DC0">
            <w:pPr>
              <w:spacing w:after="0" w:line="240" w:lineRule="auto"/>
              <w:ind w:right="244" w:firstLineChars="12" w:firstLine="24"/>
              <w:jc w:val="right"/>
              <w:rPr>
                <w:rFonts w:ascii="Arial" w:hAnsi="Arial" w:cs="Arial"/>
                <w:sz w:val="20"/>
                <w:szCs w:val="20"/>
                <w:lang w:val="en-US"/>
              </w:rPr>
            </w:pPr>
            <w:r w:rsidRPr="00DA5DC0">
              <w:rPr>
                <w:rFonts w:ascii="Arial" w:hAnsi="Arial" w:cs="Arial"/>
                <w:sz w:val="20"/>
                <w:szCs w:val="20"/>
              </w:rPr>
              <w:t>1,287.6</w:t>
            </w:r>
          </w:p>
        </w:tc>
        <w:tc>
          <w:tcPr>
            <w:tcW w:w="1418" w:type="dxa"/>
            <w:shd w:val="clear" w:color="auto" w:fill="auto"/>
            <w:noWrap/>
            <w:vAlign w:val="bottom"/>
            <w:hideMark/>
          </w:tcPr>
          <w:p w14:paraId="6D5FBB5D" w14:textId="77777777" w:rsidR="00DA5DC0" w:rsidRPr="00DA5DC0" w:rsidRDefault="00DA5DC0" w:rsidP="00DA5DC0">
            <w:pPr>
              <w:spacing w:after="0" w:line="240" w:lineRule="auto"/>
              <w:ind w:right="244" w:firstLineChars="12" w:firstLine="24"/>
              <w:jc w:val="right"/>
              <w:rPr>
                <w:rFonts w:ascii="Arial" w:hAnsi="Arial" w:cs="Arial"/>
                <w:sz w:val="20"/>
                <w:szCs w:val="20"/>
                <w:lang w:val="en-US"/>
              </w:rPr>
            </w:pPr>
            <w:r w:rsidRPr="00DA5DC0">
              <w:rPr>
                <w:rFonts w:ascii="Arial" w:hAnsi="Arial" w:cs="Arial"/>
                <w:sz w:val="20"/>
                <w:szCs w:val="20"/>
                <w:lang w:val="en-US"/>
              </w:rPr>
              <w:t>3,835.0</w:t>
            </w:r>
          </w:p>
        </w:tc>
        <w:tc>
          <w:tcPr>
            <w:tcW w:w="1984" w:type="dxa"/>
            <w:shd w:val="clear" w:color="auto" w:fill="auto"/>
            <w:noWrap/>
            <w:vAlign w:val="bottom"/>
            <w:hideMark/>
          </w:tcPr>
          <w:p w14:paraId="0CA3D972" w14:textId="77777777" w:rsidR="00DA5DC0" w:rsidRPr="00DA5DC0" w:rsidRDefault="00DA5DC0" w:rsidP="00DA5DC0">
            <w:pPr>
              <w:spacing w:after="0" w:line="240" w:lineRule="auto"/>
              <w:ind w:right="204" w:firstLineChars="100" w:firstLine="200"/>
              <w:jc w:val="right"/>
              <w:rPr>
                <w:rFonts w:ascii="Arial" w:hAnsi="Arial" w:cs="Arial"/>
                <w:sz w:val="20"/>
                <w:szCs w:val="20"/>
                <w:lang w:val="en-US"/>
              </w:rPr>
            </w:pPr>
            <w:r w:rsidRPr="00DA5DC0">
              <w:rPr>
                <w:rFonts w:ascii="Arial" w:hAnsi="Arial" w:cs="Arial"/>
                <w:sz w:val="20"/>
                <w:szCs w:val="20"/>
                <w:lang w:val="en-US"/>
              </w:rPr>
              <w:t>4.5</w:t>
            </w:r>
          </w:p>
        </w:tc>
        <w:tc>
          <w:tcPr>
            <w:tcW w:w="1567" w:type="dxa"/>
            <w:shd w:val="clear" w:color="auto" w:fill="auto"/>
            <w:noWrap/>
            <w:vAlign w:val="bottom"/>
            <w:hideMark/>
          </w:tcPr>
          <w:p w14:paraId="04D9AB3B" w14:textId="77777777" w:rsidR="00DA5DC0" w:rsidRPr="00DA5DC0" w:rsidRDefault="00DA5DC0" w:rsidP="00DA5DC0">
            <w:pPr>
              <w:spacing w:after="0" w:line="240" w:lineRule="auto"/>
              <w:ind w:right="204" w:firstLineChars="100" w:firstLine="200"/>
              <w:jc w:val="right"/>
              <w:rPr>
                <w:rFonts w:ascii="Arial" w:hAnsi="Arial" w:cs="Arial"/>
                <w:sz w:val="20"/>
                <w:szCs w:val="20"/>
                <w:lang w:val="en-US"/>
              </w:rPr>
            </w:pPr>
            <w:r w:rsidRPr="00DA5DC0">
              <w:rPr>
                <w:rFonts w:ascii="Arial" w:hAnsi="Arial" w:cs="Arial"/>
                <w:sz w:val="20"/>
                <w:szCs w:val="20"/>
                <w:lang w:val="en-US"/>
              </w:rPr>
              <w:t>5.2</w:t>
            </w:r>
          </w:p>
        </w:tc>
      </w:tr>
      <w:tr w:rsidR="00DA5DC0" w:rsidRPr="00DA5DC0" w14:paraId="0E69B96D" w14:textId="77777777" w:rsidTr="00C8631B">
        <w:trPr>
          <w:trHeight w:val="402"/>
          <w:jc w:val="center"/>
        </w:trPr>
        <w:tc>
          <w:tcPr>
            <w:tcW w:w="2689" w:type="dxa"/>
            <w:shd w:val="clear" w:color="auto" w:fill="auto"/>
            <w:hideMark/>
          </w:tcPr>
          <w:p w14:paraId="3C54796E" w14:textId="77777777" w:rsidR="00DA5DC0" w:rsidRPr="00DA5DC0" w:rsidRDefault="00DA5DC0" w:rsidP="00DA5DC0">
            <w:pPr>
              <w:ind w:firstLineChars="100" w:firstLine="200"/>
              <w:rPr>
                <w:rFonts w:ascii="Times New Roman" w:hAnsi="Times New Roman" w:cs="Times New Roman"/>
                <w:sz w:val="20"/>
                <w:szCs w:val="20"/>
                <w:lang w:val="en-US"/>
              </w:rPr>
            </w:pPr>
            <w:r w:rsidRPr="00DA5DC0">
              <w:rPr>
                <w:rFonts w:ascii="Times New Roman" w:hAnsi="Times New Roman" w:cs="Times New Roman"/>
                <w:sz w:val="20"/>
                <w:szCs w:val="20"/>
                <w:lang w:val="en-US"/>
              </w:rPr>
              <w:t>Pounltry</w:t>
            </w:r>
          </w:p>
        </w:tc>
        <w:tc>
          <w:tcPr>
            <w:tcW w:w="1847" w:type="dxa"/>
            <w:shd w:val="clear" w:color="auto" w:fill="auto"/>
            <w:noWrap/>
            <w:vAlign w:val="bottom"/>
            <w:hideMark/>
          </w:tcPr>
          <w:p w14:paraId="0FC33526" w14:textId="77777777" w:rsidR="00DA5DC0" w:rsidRPr="00DA5DC0" w:rsidRDefault="00DA5DC0" w:rsidP="00DA5DC0">
            <w:pPr>
              <w:spacing w:after="0" w:line="240" w:lineRule="auto"/>
              <w:ind w:right="244" w:firstLineChars="12" w:firstLine="24"/>
              <w:jc w:val="right"/>
              <w:rPr>
                <w:rFonts w:ascii="Arial" w:hAnsi="Arial" w:cs="Arial"/>
                <w:sz w:val="20"/>
                <w:szCs w:val="20"/>
                <w:lang w:val="en-US"/>
              </w:rPr>
            </w:pPr>
            <w:r w:rsidRPr="00DA5DC0">
              <w:rPr>
                <w:rFonts w:ascii="Arial" w:hAnsi="Arial" w:cs="Arial"/>
                <w:sz w:val="20"/>
                <w:szCs w:val="20"/>
              </w:rPr>
              <w:t>603.9</w:t>
            </w:r>
          </w:p>
        </w:tc>
        <w:tc>
          <w:tcPr>
            <w:tcW w:w="1418" w:type="dxa"/>
            <w:shd w:val="clear" w:color="auto" w:fill="auto"/>
            <w:noWrap/>
            <w:vAlign w:val="bottom"/>
            <w:hideMark/>
          </w:tcPr>
          <w:p w14:paraId="4EDAB185" w14:textId="77777777" w:rsidR="00DA5DC0" w:rsidRPr="00DA5DC0" w:rsidRDefault="00DA5DC0" w:rsidP="00DA5DC0">
            <w:pPr>
              <w:spacing w:after="0" w:line="240" w:lineRule="auto"/>
              <w:ind w:right="244" w:firstLineChars="12" w:firstLine="24"/>
              <w:jc w:val="right"/>
              <w:rPr>
                <w:rFonts w:ascii="Arial" w:hAnsi="Arial" w:cs="Arial"/>
                <w:sz w:val="20"/>
                <w:szCs w:val="20"/>
                <w:lang w:val="en-US"/>
              </w:rPr>
            </w:pPr>
            <w:r w:rsidRPr="00DA5DC0">
              <w:rPr>
                <w:rFonts w:ascii="Arial" w:hAnsi="Arial" w:cs="Arial"/>
                <w:sz w:val="20"/>
                <w:szCs w:val="20"/>
              </w:rPr>
              <w:t>1,821.6</w:t>
            </w:r>
          </w:p>
        </w:tc>
        <w:tc>
          <w:tcPr>
            <w:tcW w:w="1984" w:type="dxa"/>
            <w:shd w:val="clear" w:color="auto" w:fill="auto"/>
            <w:noWrap/>
            <w:vAlign w:val="bottom"/>
            <w:hideMark/>
          </w:tcPr>
          <w:p w14:paraId="36D9166E" w14:textId="77777777" w:rsidR="00DA5DC0" w:rsidRPr="00DA5DC0" w:rsidRDefault="00DA5DC0" w:rsidP="00DA5DC0">
            <w:pPr>
              <w:spacing w:after="0" w:line="240" w:lineRule="auto"/>
              <w:ind w:right="204" w:firstLineChars="100" w:firstLine="200"/>
              <w:jc w:val="right"/>
              <w:rPr>
                <w:rFonts w:ascii="Arial" w:hAnsi="Arial" w:cs="Arial"/>
                <w:sz w:val="20"/>
                <w:szCs w:val="20"/>
                <w:lang w:val="en-US"/>
              </w:rPr>
            </w:pPr>
            <w:r w:rsidRPr="00DA5DC0">
              <w:rPr>
                <w:rFonts w:ascii="Arial" w:hAnsi="Arial" w:cs="Arial"/>
                <w:sz w:val="20"/>
                <w:szCs w:val="20"/>
                <w:lang w:val="en-US"/>
              </w:rPr>
              <w:t>3.8</w:t>
            </w:r>
          </w:p>
        </w:tc>
        <w:tc>
          <w:tcPr>
            <w:tcW w:w="1567" w:type="dxa"/>
            <w:shd w:val="clear" w:color="auto" w:fill="auto"/>
            <w:noWrap/>
            <w:vAlign w:val="bottom"/>
            <w:hideMark/>
          </w:tcPr>
          <w:p w14:paraId="413E4F01" w14:textId="77777777" w:rsidR="00DA5DC0" w:rsidRPr="00DA5DC0" w:rsidRDefault="00DA5DC0" w:rsidP="00DA5DC0">
            <w:pPr>
              <w:spacing w:after="0" w:line="240" w:lineRule="auto"/>
              <w:ind w:right="204" w:firstLineChars="100" w:firstLine="200"/>
              <w:jc w:val="right"/>
              <w:rPr>
                <w:rFonts w:ascii="Arial" w:hAnsi="Arial" w:cs="Arial"/>
                <w:sz w:val="20"/>
                <w:szCs w:val="20"/>
                <w:lang w:val="en-US"/>
              </w:rPr>
            </w:pPr>
            <w:r w:rsidRPr="00DA5DC0">
              <w:rPr>
                <w:rFonts w:ascii="Arial" w:hAnsi="Arial" w:cs="Arial"/>
                <w:sz w:val="20"/>
                <w:szCs w:val="20"/>
                <w:lang w:val="en-US"/>
              </w:rPr>
              <w:t>4.9</w:t>
            </w:r>
          </w:p>
        </w:tc>
      </w:tr>
      <w:tr w:rsidR="00DA5DC0" w:rsidRPr="00DA5DC0" w14:paraId="677E1537" w14:textId="77777777" w:rsidTr="00C8631B">
        <w:trPr>
          <w:trHeight w:val="402"/>
          <w:jc w:val="center"/>
        </w:trPr>
        <w:tc>
          <w:tcPr>
            <w:tcW w:w="2689" w:type="dxa"/>
            <w:shd w:val="clear" w:color="auto" w:fill="auto"/>
          </w:tcPr>
          <w:p w14:paraId="08FB38D5" w14:textId="77777777" w:rsidR="00DA5DC0" w:rsidRPr="00DA5DC0" w:rsidRDefault="00DA5DC0" w:rsidP="00DA5DC0">
            <w:pPr>
              <w:ind w:firstLineChars="100" w:firstLine="200"/>
              <w:rPr>
                <w:rFonts w:ascii="Times New Roman" w:hAnsi="Times New Roman" w:cs="Times New Roman"/>
                <w:sz w:val="20"/>
                <w:szCs w:val="20"/>
                <w:lang w:val="en-US"/>
              </w:rPr>
            </w:pPr>
            <w:r w:rsidRPr="00DA5DC0">
              <w:rPr>
                <w:rFonts w:ascii="Times New Roman" w:hAnsi="Times New Roman" w:cs="Times New Roman"/>
                <w:sz w:val="20"/>
                <w:szCs w:val="20"/>
                <w:lang w:val="en-US"/>
              </w:rPr>
              <w:t>Buffalo</w:t>
            </w:r>
          </w:p>
        </w:tc>
        <w:tc>
          <w:tcPr>
            <w:tcW w:w="1847" w:type="dxa"/>
            <w:shd w:val="clear" w:color="auto" w:fill="auto"/>
            <w:noWrap/>
            <w:vAlign w:val="bottom"/>
          </w:tcPr>
          <w:p w14:paraId="28BFF9A1" w14:textId="77777777" w:rsidR="00DA5DC0" w:rsidRPr="00DA5DC0" w:rsidRDefault="00DA5DC0" w:rsidP="00DA5DC0">
            <w:pPr>
              <w:spacing w:after="0" w:line="240" w:lineRule="auto"/>
              <w:ind w:right="244" w:firstLineChars="12" w:firstLine="24"/>
              <w:jc w:val="right"/>
              <w:rPr>
                <w:rFonts w:ascii="Arial" w:hAnsi="Arial" w:cs="Arial"/>
                <w:sz w:val="20"/>
                <w:szCs w:val="20"/>
                <w:lang w:val="en-US"/>
              </w:rPr>
            </w:pPr>
            <w:r w:rsidRPr="00DA5DC0">
              <w:rPr>
                <w:rFonts w:ascii="Arial" w:hAnsi="Arial" w:cs="Arial"/>
                <w:sz w:val="20"/>
                <w:szCs w:val="20"/>
              </w:rPr>
              <w:t>28.4</w:t>
            </w:r>
          </w:p>
        </w:tc>
        <w:tc>
          <w:tcPr>
            <w:tcW w:w="1418" w:type="dxa"/>
            <w:shd w:val="clear" w:color="auto" w:fill="auto"/>
            <w:noWrap/>
            <w:vAlign w:val="bottom"/>
          </w:tcPr>
          <w:p w14:paraId="67D85C71" w14:textId="77777777" w:rsidR="00DA5DC0" w:rsidRPr="00DA5DC0" w:rsidRDefault="00DA5DC0" w:rsidP="00DA5DC0">
            <w:pPr>
              <w:spacing w:after="0" w:line="240" w:lineRule="auto"/>
              <w:ind w:right="244" w:firstLineChars="12" w:firstLine="24"/>
              <w:jc w:val="right"/>
              <w:rPr>
                <w:rFonts w:ascii="Arial" w:hAnsi="Arial" w:cs="Arial"/>
                <w:sz w:val="20"/>
                <w:szCs w:val="20"/>
                <w:lang w:val="en-US"/>
              </w:rPr>
            </w:pPr>
            <w:r w:rsidRPr="00DA5DC0">
              <w:rPr>
                <w:rFonts w:ascii="Arial" w:hAnsi="Arial" w:cs="Arial"/>
                <w:sz w:val="20"/>
                <w:szCs w:val="20"/>
              </w:rPr>
              <w:t>90.5</w:t>
            </w:r>
          </w:p>
        </w:tc>
        <w:tc>
          <w:tcPr>
            <w:tcW w:w="1984" w:type="dxa"/>
            <w:shd w:val="clear" w:color="auto" w:fill="auto"/>
            <w:noWrap/>
            <w:vAlign w:val="bottom"/>
          </w:tcPr>
          <w:p w14:paraId="725F5BC6" w14:textId="77777777" w:rsidR="00DA5DC0" w:rsidRPr="00DA5DC0" w:rsidRDefault="00DA5DC0" w:rsidP="00DA5DC0">
            <w:pPr>
              <w:spacing w:after="0" w:line="240" w:lineRule="auto"/>
              <w:ind w:right="204" w:firstLineChars="100" w:firstLine="200"/>
              <w:jc w:val="right"/>
              <w:rPr>
                <w:rFonts w:ascii="Arial" w:hAnsi="Arial" w:cs="Arial"/>
                <w:sz w:val="20"/>
                <w:szCs w:val="20"/>
                <w:lang w:val="en-US"/>
              </w:rPr>
            </w:pPr>
            <w:r w:rsidRPr="00DA5DC0">
              <w:rPr>
                <w:rFonts w:ascii="Arial" w:hAnsi="Arial" w:cs="Arial"/>
                <w:sz w:val="20"/>
                <w:szCs w:val="20"/>
                <w:lang w:val="en-US"/>
              </w:rPr>
              <w:t>-0.4</w:t>
            </w:r>
          </w:p>
        </w:tc>
        <w:tc>
          <w:tcPr>
            <w:tcW w:w="1567" w:type="dxa"/>
            <w:shd w:val="clear" w:color="auto" w:fill="auto"/>
            <w:noWrap/>
            <w:vAlign w:val="bottom"/>
          </w:tcPr>
          <w:p w14:paraId="4F50BD61" w14:textId="77777777" w:rsidR="00DA5DC0" w:rsidRPr="00DA5DC0" w:rsidRDefault="00DA5DC0" w:rsidP="00DA5DC0">
            <w:pPr>
              <w:spacing w:after="0" w:line="240" w:lineRule="auto"/>
              <w:ind w:right="204" w:firstLineChars="100" w:firstLine="200"/>
              <w:jc w:val="right"/>
              <w:rPr>
                <w:rFonts w:ascii="Arial" w:hAnsi="Arial" w:cs="Arial"/>
                <w:sz w:val="20"/>
                <w:szCs w:val="20"/>
                <w:lang w:val="en-US"/>
              </w:rPr>
            </w:pPr>
            <w:r w:rsidRPr="00DA5DC0">
              <w:rPr>
                <w:rFonts w:ascii="Arial" w:hAnsi="Arial" w:cs="Arial"/>
                <w:sz w:val="20"/>
                <w:szCs w:val="20"/>
                <w:lang w:val="en-US"/>
              </w:rPr>
              <w:t>-0.1</w:t>
            </w:r>
          </w:p>
        </w:tc>
      </w:tr>
      <w:tr w:rsidR="00DA5DC0" w:rsidRPr="00DA5DC0" w14:paraId="12865940" w14:textId="77777777" w:rsidTr="00C8631B">
        <w:trPr>
          <w:trHeight w:val="402"/>
          <w:jc w:val="center"/>
        </w:trPr>
        <w:tc>
          <w:tcPr>
            <w:tcW w:w="2689" w:type="dxa"/>
            <w:shd w:val="clear" w:color="auto" w:fill="auto"/>
          </w:tcPr>
          <w:p w14:paraId="6B00DD28" w14:textId="77777777" w:rsidR="00DA5DC0" w:rsidRPr="00DA5DC0" w:rsidRDefault="00DA5DC0" w:rsidP="00DA5DC0">
            <w:pPr>
              <w:ind w:firstLineChars="100" w:firstLine="200"/>
              <w:rPr>
                <w:rFonts w:ascii="Times New Roman" w:hAnsi="Times New Roman" w:cs="Times New Roman"/>
                <w:sz w:val="20"/>
                <w:szCs w:val="20"/>
                <w:lang w:val="en-US"/>
              </w:rPr>
            </w:pPr>
            <w:r w:rsidRPr="00DA5DC0">
              <w:rPr>
                <w:rFonts w:ascii="Times New Roman" w:hAnsi="Times New Roman" w:cs="Times New Roman"/>
                <w:sz w:val="20"/>
                <w:szCs w:val="20"/>
                <w:lang w:val="en-US"/>
              </w:rPr>
              <w:t>Cattle</w:t>
            </w:r>
          </w:p>
        </w:tc>
        <w:tc>
          <w:tcPr>
            <w:tcW w:w="1847" w:type="dxa"/>
            <w:shd w:val="clear" w:color="auto" w:fill="auto"/>
            <w:noWrap/>
            <w:vAlign w:val="bottom"/>
          </w:tcPr>
          <w:p w14:paraId="1B31433E" w14:textId="77777777" w:rsidR="00DA5DC0" w:rsidRPr="00DA5DC0" w:rsidRDefault="00DA5DC0" w:rsidP="00DA5DC0">
            <w:pPr>
              <w:spacing w:after="0" w:line="240" w:lineRule="auto"/>
              <w:ind w:right="244" w:firstLineChars="12" w:firstLine="24"/>
              <w:jc w:val="right"/>
              <w:rPr>
                <w:rFonts w:ascii="Arial" w:hAnsi="Arial" w:cs="Arial"/>
                <w:sz w:val="20"/>
                <w:szCs w:val="20"/>
                <w:lang w:val="en-US"/>
              </w:rPr>
            </w:pPr>
            <w:r w:rsidRPr="00DA5DC0">
              <w:rPr>
                <w:rFonts w:ascii="Arial" w:hAnsi="Arial" w:cs="Arial"/>
                <w:sz w:val="20"/>
                <w:szCs w:val="20"/>
              </w:rPr>
              <w:t>122.2</w:t>
            </w:r>
          </w:p>
        </w:tc>
        <w:tc>
          <w:tcPr>
            <w:tcW w:w="1418" w:type="dxa"/>
            <w:shd w:val="clear" w:color="auto" w:fill="auto"/>
            <w:noWrap/>
            <w:vAlign w:val="bottom"/>
          </w:tcPr>
          <w:p w14:paraId="4BED50CE" w14:textId="77777777" w:rsidR="00DA5DC0" w:rsidRPr="00DA5DC0" w:rsidRDefault="00DA5DC0" w:rsidP="00DA5DC0">
            <w:pPr>
              <w:spacing w:after="0" w:line="240" w:lineRule="auto"/>
              <w:ind w:right="244" w:firstLineChars="12" w:firstLine="24"/>
              <w:jc w:val="right"/>
              <w:rPr>
                <w:rFonts w:ascii="Arial" w:hAnsi="Arial" w:cs="Arial"/>
                <w:sz w:val="20"/>
                <w:szCs w:val="20"/>
                <w:lang w:val="en-US"/>
              </w:rPr>
            </w:pPr>
            <w:r w:rsidRPr="00DA5DC0">
              <w:rPr>
                <w:rFonts w:ascii="Arial" w:hAnsi="Arial" w:cs="Arial"/>
                <w:sz w:val="20"/>
                <w:szCs w:val="20"/>
              </w:rPr>
              <w:t>378.1</w:t>
            </w:r>
          </w:p>
        </w:tc>
        <w:tc>
          <w:tcPr>
            <w:tcW w:w="1984" w:type="dxa"/>
            <w:shd w:val="clear" w:color="auto" w:fill="auto"/>
            <w:noWrap/>
            <w:vAlign w:val="bottom"/>
          </w:tcPr>
          <w:p w14:paraId="6A41B9E9" w14:textId="77777777" w:rsidR="00DA5DC0" w:rsidRPr="00DA5DC0" w:rsidRDefault="00DA5DC0" w:rsidP="00DA5DC0">
            <w:pPr>
              <w:spacing w:after="0" w:line="240" w:lineRule="auto"/>
              <w:ind w:right="204" w:firstLineChars="100" w:firstLine="200"/>
              <w:jc w:val="right"/>
              <w:rPr>
                <w:rFonts w:ascii="Arial" w:hAnsi="Arial" w:cs="Arial"/>
                <w:sz w:val="20"/>
                <w:szCs w:val="20"/>
                <w:lang w:val="en-US"/>
              </w:rPr>
            </w:pPr>
            <w:r w:rsidRPr="00DA5DC0">
              <w:rPr>
                <w:rFonts w:ascii="Arial" w:hAnsi="Arial" w:cs="Arial"/>
                <w:sz w:val="20"/>
                <w:szCs w:val="20"/>
                <w:lang w:val="en-US"/>
              </w:rPr>
              <w:t>1.5</w:t>
            </w:r>
          </w:p>
        </w:tc>
        <w:tc>
          <w:tcPr>
            <w:tcW w:w="1567" w:type="dxa"/>
            <w:shd w:val="clear" w:color="auto" w:fill="auto"/>
            <w:noWrap/>
            <w:vAlign w:val="bottom"/>
          </w:tcPr>
          <w:p w14:paraId="76861FFE" w14:textId="77777777" w:rsidR="00DA5DC0" w:rsidRPr="00DA5DC0" w:rsidRDefault="00DA5DC0" w:rsidP="00DA5DC0">
            <w:pPr>
              <w:spacing w:after="0" w:line="240" w:lineRule="auto"/>
              <w:ind w:right="204" w:firstLineChars="100" w:firstLine="200"/>
              <w:jc w:val="right"/>
              <w:rPr>
                <w:rFonts w:ascii="Arial" w:hAnsi="Arial" w:cs="Arial"/>
                <w:sz w:val="20"/>
                <w:szCs w:val="20"/>
                <w:lang w:val="en-US"/>
              </w:rPr>
            </w:pPr>
            <w:r w:rsidRPr="00DA5DC0">
              <w:rPr>
                <w:rFonts w:ascii="Arial" w:hAnsi="Arial" w:cs="Arial"/>
                <w:sz w:val="20"/>
                <w:szCs w:val="20"/>
                <w:lang w:val="en-US"/>
              </w:rPr>
              <w:t>1.3</w:t>
            </w:r>
          </w:p>
        </w:tc>
      </w:tr>
      <w:tr w:rsidR="00DA5DC0" w:rsidRPr="00DA5DC0" w14:paraId="3A641B0E" w14:textId="77777777" w:rsidTr="00C8631B">
        <w:trPr>
          <w:trHeight w:val="402"/>
          <w:jc w:val="center"/>
        </w:trPr>
        <w:tc>
          <w:tcPr>
            <w:tcW w:w="2689" w:type="dxa"/>
            <w:shd w:val="clear" w:color="auto" w:fill="auto"/>
            <w:noWrap/>
            <w:hideMark/>
          </w:tcPr>
          <w:p w14:paraId="471A9709" w14:textId="77777777" w:rsidR="00DA5DC0" w:rsidRPr="00DA5DC0" w:rsidRDefault="00DA5DC0" w:rsidP="00DA5DC0">
            <w:pPr>
              <w:rPr>
                <w:rFonts w:ascii="Times New Roman" w:hAnsi="Times New Roman" w:cs="Times New Roman"/>
                <w:sz w:val="20"/>
                <w:szCs w:val="20"/>
                <w:lang w:val="en-US"/>
              </w:rPr>
            </w:pPr>
            <w:r w:rsidRPr="00DA5DC0">
              <w:rPr>
                <w:rFonts w:ascii="Times New Roman" w:hAnsi="Times New Roman" w:cs="Times New Roman"/>
                <w:sz w:val="20"/>
                <w:szCs w:val="20"/>
                <w:lang w:val="en-US"/>
              </w:rPr>
              <w:t>Eggs (Mill. pieces)</w:t>
            </w:r>
          </w:p>
        </w:tc>
        <w:tc>
          <w:tcPr>
            <w:tcW w:w="1847" w:type="dxa"/>
            <w:shd w:val="clear" w:color="auto" w:fill="auto"/>
            <w:noWrap/>
            <w:vAlign w:val="bottom"/>
            <w:hideMark/>
          </w:tcPr>
          <w:p w14:paraId="6221033E" w14:textId="77777777" w:rsidR="00DA5DC0" w:rsidRPr="00DA5DC0" w:rsidRDefault="00DA5DC0" w:rsidP="00DA5DC0">
            <w:pPr>
              <w:spacing w:after="0" w:line="240" w:lineRule="auto"/>
              <w:ind w:right="244" w:firstLineChars="12" w:firstLine="24"/>
              <w:jc w:val="right"/>
              <w:rPr>
                <w:rFonts w:ascii="Arial" w:hAnsi="Arial" w:cs="Arial"/>
                <w:sz w:val="20"/>
                <w:szCs w:val="20"/>
                <w:lang w:val="en-US"/>
              </w:rPr>
            </w:pPr>
            <w:r w:rsidRPr="00DA5DC0">
              <w:rPr>
                <w:rFonts w:ascii="Arial" w:hAnsi="Arial" w:cs="Arial"/>
                <w:sz w:val="20"/>
                <w:szCs w:val="20"/>
              </w:rPr>
              <w:t>4,884.1</w:t>
            </w:r>
          </w:p>
        </w:tc>
        <w:tc>
          <w:tcPr>
            <w:tcW w:w="1418" w:type="dxa"/>
            <w:shd w:val="clear" w:color="auto" w:fill="auto"/>
            <w:noWrap/>
            <w:vAlign w:val="bottom"/>
            <w:hideMark/>
          </w:tcPr>
          <w:p w14:paraId="27864C99" w14:textId="77777777" w:rsidR="00DA5DC0" w:rsidRPr="00DA5DC0" w:rsidRDefault="00DA5DC0" w:rsidP="00DA5DC0">
            <w:pPr>
              <w:spacing w:after="0" w:line="240" w:lineRule="auto"/>
              <w:ind w:right="244" w:firstLineChars="12" w:firstLine="24"/>
              <w:jc w:val="right"/>
              <w:rPr>
                <w:rFonts w:ascii="Arial" w:hAnsi="Arial" w:cs="Arial"/>
                <w:sz w:val="20"/>
                <w:szCs w:val="20"/>
                <w:lang w:val="en-US"/>
              </w:rPr>
            </w:pPr>
            <w:r w:rsidRPr="00DA5DC0">
              <w:rPr>
                <w:rFonts w:ascii="Arial" w:hAnsi="Arial" w:cs="Arial"/>
                <w:sz w:val="20"/>
                <w:szCs w:val="20"/>
              </w:rPr>
              <w:t>14,954.7</w:t>
            </w:r>
          </w:p>
        </w:tc>
        <w:tc>
          <w:tcPr>
            <w:tcW w:w="1984" w:type="dxa"/>
            <w:shd w:val="clear" w:color="auto" w:fill="auto"/>
            <w:noWrap/>
            <w:vAlign w:val="bottom"/>
            <w:hideMark/>
          </w:tcPr>
          <w:p w14:paraId="663552B6" w14:textId="77777777" w:rsidR="00DA5DC0" w:rsidRPr="00DA5DC0" w:rsidRDefault="00DA5DC0" w:rsidP="00DA5DC0">
            <w:pPr>
              <w:spacing w:after="0" w:line="240" w:lineRule="auto"/>
              <w:ind w:right="204" w:firstLineChars="100" w:firstLine="200"/>
              <w:jc w:val="right"/>
              <w:rPr>
                <w:rFonts w:ascii="Arial" w:hAnsi="Arial" w:cs="Arial"/>
                <w:sz w:val="20"/>
                <w:szCs w:val="20"/>
                <w:lang w:val="en-US"/>
              </w:rPr>
            </w:pPr>
            <w:r w:rsidRPr="00DA5DC0">
              <w:rPr>
                <w:rFonts w:ascii="Arial" w:hAnsi="Arial" w:cs="Arial"/>
                <w:sz w:val="20"/>
                <w:szCs w:val="20"/>
                <w:lang w:val="en-US"/>
              </w:rPr>
              <w:t>4.7</w:t>
            </w:r>
          </w:p>
        </w:tc>
        <w:tc>
          <w:tcPr>
            <w:tcW w:w="1567" w:type="dxa"/>
            <w:shd w:val="clear" w:color="auto" w:fill="auto"/>
            <w:noWrap/>
            <w:vAlign w:val="bottom"/>
            <w:hideMark/>
          </w:tcPr>
          <w:p w14:paraId="26B2F4BF" w14:textId="77777777" w:rsidR="00DA5DC0" w:rsidRPr="00DA5DC0" w:rsidRDefault="00DA5DC0" w:rsidP="00DA5DC0">
            <w:pPr>
              <w:spacing w:after="0" w:line="240" w:lineRule="auto"/>
              <w:ind w:right="204" w:firstLineChars="100" w:firstLine="200"/>
              <w:jc w:val="right"/>
              <w:rPr>
                <w:rFonts w:ascii="Arial" w:hAnsi="Arial" w:cs="Arial"/>
                <w:sz w:val="20"/>
                <w:szCs w:val="20"/>
                <w:lang w:val="en-US"/>
              </w:rPr>
            </w:pPr>
            <w:r w:rsidRPr="00DA5DC0">
              <w:rPr>
                <w:rFonts w:ascii="Arial" w:hAnsi="Arial" w:cs="Arial"/>
                <w:sz w:val="20"/>
                <w:szCs w:val="20"/>
                <w:lang w:val="en-US"/>
              </w:rPr>
              <w:t>5.0</w:t>
            </w:r>
          </w:p>
        </w:tc>
      </w:tr>
      <w:tr w:rsidR="00DA5DC0" w:rsidRPr="00DA5DC0" w14:paraId="2D213E6F" w14:textId="77777777" w:rsidTr="00C8631B">
        <w:trPr>
          <w:trHeight w:val="402"/>
          <w:jc w:val="center"/>
        </w:trPr>
        <w:tc>
          <w:tcPr>
            <w:tcW w:w="2689" w:type="dxa"/>
            <w:tcBorders>
              <w:bottom w:val="single" w:sz="4" w:space="0" w:color="auto"/>
            </w:tcBorders>
            <w:shd w:val="clear" w:color="auto" w:fill="auto"/>
            <w:noWrap/>
            <w:hideMark/>
          </w:tcPr>
          <w:p w14:paraId="2D6EAF7E" w14:textId="77777777" w:rsidR="00DA5DC0" w:rsidRPr="00DA5DC0" w:rsidRDefault="00DA5DC0" w:rsidP="00DA5DC0">
            <w:pPr>
              <w:rPr>
                <w:rFonts w:ascii="Times New Roman" w:hAnsi="Times New Roman" w:cs="Times New Roman"/>
                <w:sz w:val="20"/>
                <w:szCs w:val="20"/>
                <w:lang w:val="en-US"/>
              </w:rPr>
            </w:pPr>
            <w:r w:rsidRPr="00DA5DC0">
              <w:rPr>
                <w:rFonts w:ascii="Times New Roman" w:hAnsi="Times New Roman" w:cs="Times New Roman"/>
                <w:sz w:val="20"/>
                <w:szCs w:val="20"/>
                <w:lang w:val="en-US"/>
              </w:rPr>
              <w:t>Milk (Thous. tons)</w:t>
            </w:r>
          </w:p>
        </w:tc>
        <w:tc>
          <w:tcPr>
            <w:tcW w:w="1847" w:type="dxa"/>
            <w:tcBorders>
              <w:bottom w:val="single" w:sz="4" w:space="0" w:color="auto"/>
            </w:tcBorders>
            <w:shd w:val="clear" w:color="auto" w:fill="auto"/>
            <w:noWrap/>
            <w:vAlign w:val="bottom"/>
            <w:hideMark/>
          </w:tcPr>
          <w:p w14:paraId="0A4F5296" w14:textId="77777777" w:rsidR="00DA5DC0" w:rsidRPr="00DA5DC0" w:rsidRDefault="00DA5DC0" w:rsidP="00DA5DC0">
            <w:pPr>
              <w:spacing w:after="0" w:line="240" w:lineRule="auto"/>
              <w:ind w:right="244" w:firstLineChars="12" w:firstLine="24"/>
              <w:jc w:val="right"/>
              <w:rPr>
                <w:rFonts w:ascii="Arial" w:hAnsi="Arial" w:cs="Arial"/>
                <w:sz w:val="20"/>
                <w:szCs w:val="20"/>
                <w:lang w:val="en-US"/>
              </w:rPr>
            </w:pPr>
            <w:r w:rsidRPr="00DA5DC0">
              <w:rPr>
                <w:rFonts w:ascii="Arial" w:hAnsi="Arial" w:cs="Arial"/>
                <w:sz w:val="20"/>
                <w:szCs w:val="20"/>
              </w:rPr>
              <w:t>298.6</w:t>
            </w:r>
          </w:p>
        </w:tc>
        <w:tc>
          <w:tcPr>
            <w:tcW w:w="1418" w:type="dxa"/>
            <w:tcBorders>
              <w:bottom w:val="single" w:sz="4" w:space="0" w:color="auto"/>
            </w:tcBorders>
            <w:shd w:val="clear" w:color="auto" w:fill="auto"/>
            <w:noWrap/>
            <w:vAlign w:val="bottom"/>
            <w:hideMark/>
          </w:tcPr>
          <w:p w14:paraId="202007DB" w14:textId="77777777" w:rsidR="00DA5DC0" w:rsidRPr="00DA5DC0" w:rsidRDefault="00DA5DC0" w:rsidP="00DA5DC0">
            <w:pPr>
              <w:spacing w:after="0" w:line="240" w:lineRule="auto"/>
              <w:ind w:right="244" w:firstLineChars="12" w:firstLine="24"/>
              <w:jc w:val="right"/>
              <w:rPr>
                <w:rFonts w:ascii="Arial" w:hAnsi="Arial" w:cs="Arial"/>
                <w:sz w:val="20"/>
                <w:szCs w:val="20"/>
                <w:lang w:val="en-US"/>
              </w:rPr>
            </w:pPr>
            <w:r w:rsidRPr="00DA5DC0">
              <w:rPr>
                <w:rFonts w:ascii="Arial" w:hAnsi="Arial" w:cs="Arial"/>
                <w:sz w:val="20"/>
                <w:szCs w:val="20"/>
              </w:rPr>
              <w:t>942.3</w:t>
            </w:r>
          </w:p>
        </w:tc>
        <w:tc>
          <w:tcPr>
            <w:tcW w:w="1984" w:type="dxa"/>
            <w:tcBorders>
              <w:bottom w:val="single" w:sz="4" w:space="0" w:color="auto"/>
            </w:tcBorders>
            <w:shd w:val="clear" w:color="auto" w:fill="auto"/>
            <w:noWrap/>
            <w:vAlign w:val="bottom"/>
            <w:hideMark/>
          </w:tcPr>
          <w:p w14:paraId="07DA1B5A" w14:textId="77777777" w:rsidR="00DA5DC0" w:rsidRPr="00DA5DC0" w:rsidRDefault="00DA5DC0" w:rsidP="00DA5DC0">
            <w:pPr>
              <w:spacing w:after="0" w:line="240" w:lineRule="auto"/>
              <w:ind w:right="204" w:firstLineChars="100" w:firstLine="200"/>
              <w:jc w:val="right"/>
              <w:rPr>
                <w:rFonts w:ascii="Arial" w:hAnsi="Arial" w:cs="Arial"/>
                <w:sz w:val="20"/>
                <w:szCs w:val="20"/>
                <w:lang w:val="en-US"/>
              </w:rPr>
            </w:pPr>
            <w:r w:rsidRPr="00DA5DC0">
              <w:rPr>
                <w:rFonts w:ascii="Arial" w:hAnsi="Arial" w:cs="Arial"/>
                <w:sz w:val="20"/>
                <w:szCs w:val="20"/>
                <w:lang w:val="en-US"/>
              </w:rPr>
              <w:t>5.8</w:t>
            </w:r>
          </w:p>
        </w:tc>
        <w:tc>
          <w:tcPr>
            <w:tcW w:w="1567" w:type="dxa"/>
            <w:tcBorders>
              <w:bottom w:val="single" w:sz="4" w:space="0" w:color="auto"/>
            </w:tcBorders>
            <w:shd w:val="clear" w:color="auto" w:fill="auto"/>
            <w:noWrap/>
            <w:vAlign w:val="bottom"/>
            <w:hideMark/>
          </w:tcPr>
          <w:p w14:paraId="5558076A" w14:textId="77777777" w:rsidR="00DA5DC0" w:rsidRPr="00DA5DC0" w:rsidRDefault="00DA5DC0" w:rsidP="00DA5DC0">
            <w:pPr>
              <w:spacing w:after="0" w:line="240" w:lineRule="auto"/>
              <w:ind w:right="204" w:firstLineChars="100" w:firstLine="200"/>
              <w:jc w:val="right"/>
              <w:rPr>
                <w:rFonts w:ascii="Arial" w:hAnsi="Arial" w:cs="Arial"/>
                <w:sz w:val="20"/>
                <w:szCs w:val="20"/>
                <w:lang w:val="en-US"/>
              </w:rPr>
            </w:pPr>
            <w:r w:rsidRPr="00DA5DC0">
              <w:rPr>
                <w:rFonts w:ascii="Arial" w:hAnsi="Arial" w:cs="Arial"/>
                <w:sz w:val="20"/>
                <w:szCs w:val="20"/>
                <w:lang w:val="en-US"/>
              </w:rPr>
              <w:t>5.6</w:t>
            </w:r>
          </w:p>
        </w:tc>
      </w:tr>
    </w:tbl>
    <w:p w14:paraId="605EFBEC" w14:textId="77777777" w:rsidR="00484CAB" w:rsidRPr="00546806" w:rsidRDefault="00484CAB" w:rsidP="00DA5DC0">
      <w:pPr>
        <w:spacing w:before="40" w:after="40"/>
        <w:rPr>
          <w:rFonts w:ascii="Times New Roman" w:hAnsi="Times New Roman" w:cs="Times New Roman"/>
          <w:b/>
          <w:bCs/>
          <w:sz w:val="24"/>
          <w:szCs w:val="26"/>
          <w:lang w:val="en-US"/>
        </w:rPr>
      </w:pPr>
    </w:p>
    <w:p w14:paraId="4B94D681" w14:textId="77777777" w:rsidR="00DA5DC0" w:rsidRPr="00DA5DC0" w:rsidRDefault="00DA5DC0" w:rsidP="00DA5DC0">
      <w:pPr>
        <w:shd w:val="clear" w:color="auto" w:fill="FFFFFF"/>
        <w:spacing w:after="120"/>
        <w:ind w:firstLine="567"/>
        <w:jc w:val="both"/>
        <w:rPr>
          <w:rFonts w:ascii="Times New Roman" w:hAnsi="Times New Roman" w:cs="Times New Roman"/>
          <w:b/>
          <w:i/>
          <w:sz w:val="28"/>
          <w:szCs w:val="28"/>
          <w:lang w:val="de-DE"/>
        </w:rPr>
      </w:pPr>
      <w:r w:rsidRPr="00DA5DC0">
        <w:rPr>
          <w:rFonts w:ascii="Times New Roman" w:hAnsi="Times New Roman" w:cs="Times New Roman"/>
          <w:b/>
          <w:i/>
          <w:sz w:val="28"/>
          <w:szCs w:val="28"/>
          <w:lang w:val="de-DE"/>
        </w:rPr>
        <w:t>b) Forestry</w:t>
      </w:r>
    </w:p>
    <w:p w14:paraId="1F44958D" w14:textId="007F8230" w:rsidR="00DA5DC0" w:rsidRPr="00DA5DC0" w:rsidRDefault="00DA5DC0" w:rsidP="00DA5DC0">
      <w:pPr>
        <w:shd w:val="clear" w:color="auto" w:fill="FFFFFF"/>
        <w:spacing w:after="120"/>
        <w:ind w:firstLine="567"/>
        <w:jc w:val="both"/>
        <w:rPr>
          <w:rFonts w:ascii="Times New Roman" w:hAnsi="Times New Roman" w:cs="Times New Roman"/>
          <w:bCs/>
          <w:iCs/>
          <w:sz w:val="28"/>
          <w:szCs w:val="28"/>
          <w:lang w:val="de-DE"/>
        </w:rPr>
      </w:pPr>
      <w:r w:rsidRPr="00DA5DC0">
        <w:rPr>
          <w:rFonts w:ascii="Times New Roman" w:hAnsi="Times New Roman" w:cs="Times New Roman"/>
          <w:bCs/>
          <w:iCs/>
          <w:sz w:val="28"/>
          <w:szCs w:val="28"/>
          <w:lang w:val="de-DE"/>
        </w:rPr>
        <w:t>In the first nine months of 2024, the area of newly concentrated forest plantations across the country is estimated to reach 200,000 hectares, an increase of 3.4% compared to the same period last year. The number of scattered forestry trees planted is 71.3 million, up by 3.3%, while the volume of timber harvested is 16.0689 million cubic meters, an increase of 7.0%.</w:t>
      </w:r>
    </w:p>
    <w:p w14:paraId="55E06468" w14:textId="4BB1D685" w:rsidR="00DA5DC0" w:rsidRPr="00DA5DC0" w:rsidRDefault="00DA5DC0" w:rsidP="00DA5DC0">
      <w:pPr>
        <w:shd w:val="clear" w:color="auto" w:fill="FFFFFF"/>
        <w:spacing w:after="120"/>
        <w:ind w:firstLine="567"/>
        <w:jc w:val="both"/>
        <w:rPr>
          <w:rFonts w:ascii="Times New Roman" w:hAnsi="Times New Roman" w:cs="Times New Roman"/>
          <w:bCs/>
          <w:iCs/>
          <w:sz w:val="28"/>
          <w:szCs w:val="28"/>
          <w:lang w:val="de-DE"/>
        </w:rPr>
      </w:pPr>
      <w:r w:rsidRPr="00DA5DC0">
        <w:rPr>
          <w:rFonts w:ascii="Times New Roman" w:hAnsi="Times New Roman" w:cs="Times New Roman"/>
          <w:bCs/>
          <w:iCs/>
          <w:sz w:val="28"/>
          <w:szCs w:val="28"/>
          <w:lang w:val="de-DE"/>
        </w:rPr>
        <w:t>The area of forest damage in the first nine months of 2024 amounts to 1,445.7 hectares, a decrease of 9.3% compared to the same period last year. Of this, the area of forest cut down is 705.3 hectares, down 23.5%; the area of forest burned is 740.4 hectares, an increase of 10.2%. Specifically, the area of forest affected by Typhoon No. 3 is estimated at 190.0 hectares.</w:t>
      </w:r>
    </w:p>
    <w:p w14:paraId="1C78C053" w14:textId="77777777" w:rsidR="00DA5DC0" w:rsidRPr="00DA5DC0" w:rsidRDefault="00DA5DC0" w:rsidP="00DA5DC0">
      <w:pPr>
        <w:shd w:val="clear" w:color="auto" w:fill="FFFFFF"/>
        <w:spacing w:after="120"/>
        <w:ind w:firstLine="567"/>
        <w:jc w:val="both"/>
        <w:rPr>
          <w:rFonts w:ascii="Times New Roman" w:hAnsi="Times New Roman" w:cs="Times New Roman"/>
          <w:b/>
          <w:i/>
          <w:sz w:val="28"/>
          <w:szCs w:val="28"/>
          <w:lang w:val="de-DE"/>
        </w:rPr>
      </w:pPr>
      <w:r w:rsidRPr="00DA5DC0">
        <w:rPr>
          <w:rFonts w:ascii="Times New Roman" w:hAnsi="Times New Roman" w:cs="Times New Roman"/>
          <w:b/>
          <w:i/>
          <w:sz w:val="28"/>
          <w:szCs w:val="28"/>
          <w:lang w:val="de-DE"/>
        </w:rPr>
        <w:lastRenderedPageBreak/>
        <w:t>c) Fisheries</w:t>
      </w:r>
    </w:p>
    <w:p w14:paraId="73995486" w14:textId="2C22BCCD" w:rsidR="00DA5DC0" w:rsidRPr="00DA5DC0" w:rsidRDefault="00DA5DC0" w:rsidP="00DA5DC0">
      <w:pPr>
        <w:shd w:val="clear" w:color="auto" w:fill="FFFFFF"/>
        <w:spacing w:after="120"/>
        <w:ind w:firstLine="567"/>
        <w:jc w:val="both"/>
        <w:rPr>
          <w:rFonts w:ascii="Times New Roman" w:hAnsi="Times New Roman" w:cs="Times New Roman"/>
          <w:bCs/>
          <w:iCs/>
          <w:sz w:val="28"/>
          <w:szCs w:val="28"/>
          <w:lang w:val="de-DE"/>
        </w:rPr>
      </w:pPr>
      <w:r w:rsidRPr="00DA5DC0">
        <w:rPr>
          <w:rFonts w:ascii="Times New Roman" w:hAnsi="Times New Roman" w:cs="Times New Roman"/>
          <w:bCs/>
          <w:iCs/>
          <w:sz w:val="28"/>
          <w:szCs w:val="28"/>
          <w:lang w:val="de-DE"/>
        </w:rPr>
        <w:t>Seafood production activities in September in the northern coastal provinces were severely affected by Typhoon No. 3. However, thanks to the production results in key regions of the Mekong Delta, aquaculture activities nationwide continued to grow.</w:t>
      </w:r>
    </w:p>
    <w:p w14:paraId="7D5BF844" w14:textId="2AE84819" w:rsidR="00DA5DC0" w:rsidRPr="00DA5DC0" w:rsidRDefault="00DA5DC0" w:rsidP="00DA5DC0">
      <w:pPr>
        <w:shd w:val="clear" w:color="auto" w:fill="FFFFFF"/>
        <w:spacing w:after="120"/>
        <w:ind w:firstLine="567"/>
        <w:jc w:val="both"/>
        <w:rPr>
          <w:rFonts w:ascii="Times New Roman" w:hAnsi="Times New Roman" w:cs="Times New Roman"/>
          <w:bCs/>
          <w:iCs/>
          <w:sz w:val="28"/>
          <w:szCs w:val="28"/>
          <w:lang w:val="de-DE"/>
        </w:rPr>
      </w:pPr>
      <w:r w:rsidRPr="00DA5DC0">
        <w:rPr>
          <w:rFonts w:ascii="Times New Roman" w:hAnsi="Times New Roman" w:cs="Times New Roman"/>
          <w:bCs/>
          <w:iCs/>
          <w:sz w:val="28"/>
          <w:szCs w:val="28"/>
          <w:lang w:val="de-DE"/>
        </w:rPr>
        <w:t>Total seafood production in the first nine months of 2024 is estimated at 7,019.1 thousand tons, an increase of 2.4% compared to the same period last year (with the third quarter of 2024 estimated at 2,638.4 thousand tons, up 2.2%). This includes: fish at 4,918.3 thousand tons (up 2.3%); shrimp at 1,081.7 thousand tons (up 4.1%); and other seafood at 1,019.1 thousand tons (up 1.2%).</w:t>
      </w:r>
    </w:p>
    <w:p w14:paraId="40994C20" w14:textId="3E125945" w:rsidR="00DA5DC0" w:rsidRPr="00DA5DC0" w:rsidRDefault="00DA5DC0" w:rsidP="00DA5DC0">
      <w:pPr>
        <w:shd w:val="clear" w:color="auto" w:fill="FFFFFF"/>
        <w:spacing w:after="120"/>
        <w:ind w:firstLine="567"/>
        <w:jc w:val="both"/>
        <w:rPr>
          <w:rFonts w:ascii="Times New Roman" w:hAnsi="Times New Roman" w:cs="Times New Roman"/>
          <w:bCs/>
          <w:iCs/>
          <w:sz w:val="28"/>
          <w:szCs w:val="28"/>
          <w:lang w:val="de-DE"/>
        </w:rPr>
      </w:pPr>
      <w:r w:rsidRPr="00DA5DC0">
        <w:rPr>
          <w:rFonts w:ascii="Times New Roman" w:hAnsi="Times New Roman" w:cs="Times New Roman"/>
          <w:bCs/>
          <w:iCs/>
          <w:sz w:val="28"/>
          <w:szCs w:val="28"/>
          <w:lang w:val="de-DE"/>
        </w:rPr>
        <w:t>The output of aquaculture in the first nine months of 2024 is estimated at 4,044.8 thousand tons, an increase of 3.7% compared to the same period last year (with the third quarter of 2024 estimated at 1,617.4 thousand tons, up 3.4%). This includes: fish at 2,595.2 thousand tons (up 3.8%); shrimp at 976.0 thousand tons (up 4.5%); and other seafood at 473.6 thousand tons (up 1.7%). The damage caused by Typhoon No. 3 is estimated at 35,000 hectares, with more than 11,800 aquaculture cages destroyed or swept away, primarily in Quang Ninh and Hai Phong provinces. Specifically, catfish production is estimated at 1,259.5 thousand tons, an increase of 4.6% compared to the same period last year; white-leg shrimp production is 701.4 thousand tons, up 5.3%; and black tiger shrimp production is 210.3 thousand tons, up 2.2%.</w:t>
      </w:r>
    </w:p>
    <w:p w14:paraId="0CAC0DCB" w14:textId="540A5193" w:rsidR="00484CAB" w:rsidRDefault="00DA5DC0" w:rsidP="00DA5DC0">
      <w:pPr>
        <w:shd w:val="clear" w:color="auto" w:fill="FFFFFF"/>
        <w:spacing w:after="120"/>
        <w:ind w:firstLine="567"/>
        <w:jc w:val="both"/>
        <w:rPr>
          <w:rFonts w:ascii="Times New Roman" w:hAnsi="Times New Roman" w:cs="Times New Roman"/>
          <w:bCs/>
          <w:iCs/>
          <w:color w:val="000000" w:themeColor="text1"/>
          <w:spacing w:val="2"/>
          <w:sz w:val="28"/>
          <w:szCs w:val="28"/>
          <w:lang w:val="de-DE"/>
        </w:rPr>
      </w:pPr>
      <w:r w:rsidRPr="00DA5DC0">
        <w:rPr>
          <w:rFonts w:ascii="Times New Roman" w:hAnsi="Times New Roman" w:cs="Times New Roman"/>
          <w:bCs/>
          <w:iCs/>
          <w:sz w:val="28"/>
          <w:szCs w:val="28"/>
          <w:lang w:val="de-DE"/>
        </w:rPr>
        <w:t>The output of captured seafood in the first nine months of 2024 is estimated at 2,974.3 thousand tons, an increase of 0.7% compared to the same period last year (with the third quarter of 2024 estimated at 1,021.0 thousand tons, up 0.3%). This includes: fish at 2,323.1 thousand tons (up 0.7%); shrimp at 105.7 thousand tons (up 0.7%); and other seafood at 545.5 thousand tons (up 0.8%).</w:t>
      </w:r>
      <w:r w:rsidR="00484CAB" w:rsidRPr="00DA5DC0">
        <w:rPr>
          <w:rFonts w:ascii="Times New Roman" w:hAnsi="Times New Roman" w:cs="Times New Roman"/>
          <w:bCs/>
          <w:iCs/>
          <w:sz w:val="28"/>
          <w:szCs w:val="28"/>
        </w:rPr>
        <w:t xml:space="preserve">3. </w:t>
      </w:r>
      <w:r w:rsidR="00484CAB" w:rsidRPr="00DA5DC0">
        <w:rPr>
          <w:rFonts w:ascii="Times New Roman" w:hAnsi="Times New Roman" w:cs="Times New Roman"/>
          <w:bCs/>
          <w:iCs/>
          <w:color w:val="000000" w:themeColor="text1"/>
          <w:spacing w:val="2"/>
          <w:sz w:val="28"/>
          <w:szCs w:val="28"/>
          <w:lang w:val="de-DE"/>
        </w:rPr>
        <w:t>Production and business activities in the third quarter of 2023 grew more positively than the previous quarter, the growth rate of value added in the industrial sector was estimated at 4.57% compared to the third quarter of 2022</w:t>
      </w:r>
      <w:r w:rsidR="00484CAB" w:rsidRPr="00DA5DC0">
        <w:rPr>
          <w:rFonts w:ascii="Times New Roman" w:hAnsi="Times New Roman" w:cs="Times New Roman"/>
          <w:bCs/>
          <w:iCs/>
          <w:color w:val="000000" w:themeColor="text1"/>
          <w:spacing w:val="2"/>
          <w:sz w:val="28"/>
          <w:szCs w:val="28"/>
          <w:vertAlign w:val="superscript"/>
        </w:rPr>
        <w:footnoteReference w:id="15"/>
      </w:r>
      <w:r w:rsidR="00484CAB" w:rsidRPr="00DA5DC0">
        <w:rPr>
          <w:rFonts w:ascii="Times New Roman" w:hAnsi="Times New Roman" w:cs="Times New Roman"/>
          <w:bCs/>
          <w:iCs/>
          <w:color w:val="000000" w:themeColor="text1"/>
          <w:spacing w:val="2"/>
          <w:sz w:val="28"/>
          <w:szCs w:val="28"/>
          <w:lang w:val="de-DE"/>
        </w:rPr>
        <w:t>. In the 9 months of 2023, the added value of the industrial sector increased by 1.65% over the same period last year, of which the manufacturing industry increased by 1.98%.</w:t>
      </w:r>
    </w:p>
    <w:p w14:paraId="646A3D82" w14:textId="09A876EF" w:rsidR="008606C2" w:rsidRPr="008606C2" w:rsidRDefault="008606C2" w:rsidP="008606C2">
      <w:pPr>
        <w:spacing w:after="160" w:line="278" w:lineRule="auto"/>
        <w:ind w:firstLine="720"/>
        <w:jc w:val="both"/>
        <w:rPr>
          <w:rFonts w:ascii="Times New Roman" w:eastAsia="Aptos" w:hAnsi="Times New Roman" w:cs="Times New Roman"/>
          <w:b/>
          <w:bCs/>
          <w:i/>
          <w:iCs/>
          <w:kern w:val="2"/>
          <w:sz w:val="28"/>
          <w:szCs w:val="28"/>
          <w:lang w:val="en-US"/>
          <w14:ligatures w14:val="standardContextual"/>
        </w:rPr>
      </w:pPr>
      <w:r w:rsidRPr="008606C2">
        <w:rPr>
          <w:rFonts w:ascii="Times New Roman" w:eastAsia="Aptos" w:hAnsi="Times New Roman" w:cs="Times New Roman"/>
          <w:b/>
          <w:bCs/>
          <w:i/>
          <w:iCs/>
          <w:kern w:val="2"/>
          <w:sz w:val="28"/>
          <w:szCs w:val="28"/>
          <w:lang w:val="en-US"/>
          <w14:ligatures w14:val="standardContextual"/>
        </w:rPr>
        <w:t xml:space="preserve">3. Industrial production activity in Q3/2024 showed more </w:t>
      </w:r>
      <w:r w:rsidRPr="008606C2">
        <w:rPr>
          <w:rFonts w:ascii="Times New Roman" w:eastAsia="Aptos" w:hAnsi="Times New Roman" w:cs="Times New Roman"/>
          <w:b/>
          <w:bCs/>
          <w:i/>
          <w:iCs/>
          <w:kern w:val="2"/>
          <w:sz w:val="28"/>
          <w:szCs w:val="28"/>
          <w:lang w:val="en-US"/>
          <w14:ligatures w14:val="standardContextual"/>
        </w:rPr>
        <w:t>growth</w:t>
      </w:r>
      <w:r w:rsidRPr="008606C2">
        <w:rPr>
          <w:rFonts w:ascii="Times New Roman" w:eastAsia="Aptos" w:hAnsi="Times New Roman" w:cs="Times New Roman"/>
          <w:b/>
          <w:bCs/>
          <w:i/>
          <w:iCs/>
          <w:kern w:val="2"/>
          <w:sz w:val="28"/>
          <w:szCs w:val="28"/>
          <w:lang w:val="en-US"/>
          <w14:ligatures w14:val="standardContextual"/>
        </w:rPr>
        <w:t xml:space="preserve"> than the previous quarter, with the industrial sector’s value-added growth rate estimated at 9.59% compared to Q3/2023. Overall, for the first nine months of 2024, the </w:t>
      </w:r>
      <w:r w:rsidRPr="008606C2">
        <w:rPr>
          <w:rFonts w:ascii="Times New Roman" w:eastAsia="Aptos" w:hAnsi="Times New Roman" w:cs="Times New Roman"/>
          <w:b/>
          <w:bCs/>
          <w:i/>
          <w:iCs/>
          <w:kern w:val="2"/>
          <w:sz w:val="28"/>
          <w:szCs w:val="28"/>
          <w:lang w:val="en-US"/>
          <w14:ligatures w14:val="standardContextual"/>
        </w:rPr>
        <w:lastRenderedPageBreak/>
        <w:t>industrial sector’s value added increased by 8.34% compared to the same period last year, with the manufacturing and processing industry growing by 9.76%.</w:t>
      </w:r>
    </w:p>
    <w:p w14:paraId="5AC69870" w14:textId="77777777" w:rsidR="008606C2" w:rsidRPr="008606C2" w:rsidRDefault="008606C2" w:rsidP="008606C2">
      <w:pPr>
        <w:spacing w:after="160" w:line="278" w:lineRule="auto"/>
        <w:ind w:firstLine="720"/>
        <w:jc w:val="both"/>
        <w:rPr>
          <w:rFonts w:ascii="Times New Roman" w:eastAsia="Aptos" w:hAnsi="Times New Roman" w:cs="Times New Roman"/>
          <w:kern w:val="2"/>
          <w:sz w:val="28"/>
          <w:szCs w:val="28"/>
          <w:lang w:val="en-US"/>
          <w14:ligatures w14:val="standardContextual"/>
        </w:rPr>
      </w:pPr>
      <w:r w:rsidRPr="008606C2">
        <w:rPr>
          <w:rFonts w:ascii="Times New Roman" w:eastAsia="Aptos" w:hAnsi="Times New Roman" w:cs="Times New Roman"/>
          <w:kern w:val="2"/>
          <w:sz w:val="28"/>
          <w:szCs w:val="28"/>
          <w:lang w:val="en-US"/>
          <w14:ligatures w14:val="standardContextual"/>
        </w:rPr>
        <w:t>The value added for the entire industrial sector in the first nine months of 2024 is estimated to have increased by 8.34% compared to the same period last year (Q1 increased by 6.47%; Q2 increased by 8.78%; Q3 increased by 9.59%). Among this, the manufacturing and processing industry grew by 9.76% (Q1 increased by 7.21%; Q2 increased by 10.39%; Q3 increased by 11.41%), contributing 2.44 percentage points to the overall growth in total value added of the economy; the electricity production and distribution sector increased by 11.11%, contributing 0.43 percentage points; the water supply and waste, wastewater treatment sector grew by 9.83%, contributing 0.06 percentage points; meanwhile, the mining sector decreased by 7.01%, reducing 0.22 percentage points from the overall growth.</w:t>
      </w:r>
    </w:p>
    <w:p w14:paraId="0FD2F654" w14:textId="77777777" w:rsidR="008606C2" w:rsidRPr="008606C2" w:rsidRDefault="008606C2" w:rsidP="008606C2">
      <w:pPr>
        <w:spacing w:after="160" w:line="278" w:lineRule="auto"/>
        <w:ind w:firstLine="720"/>
        <w:jc w:val="both"/>
        <w:rPr>
          <w:rFonts w:ascii="Times New Roman" w:eastAsia="Aptos" w:hAnsi="Times New Roman" w:cs="Times New Roman"/>
          <w:kern w:val="2"/>
          <w:sz w:val="28"/>
          <w:szCs w:val="28"/>
          <w:lang w:val="en-US"/>
          <w14:ligatures w14:val="standardContextual"/>
        </w:rPr>
      </w:pPr>
      <w:r w:rsidRPr="008606C2">
        <w:rPr>
          <w:rFonts w:ascii="Times New Roman" w:eastAsia="Aptos" w:hAnsi="Times New Roman" w:cs="Times New Roman"/>
          <w:kern w:val="2"/>
          <w:sz w:val="28"/>
          <w:szCs w:val="28"/>
          <w:lang w:val="en-US"/>
          <w14:ligatures w14:val="standardContextual"/>
        </w:rPr>
        <w:t>Several key industrial products saw significant increases in the first nine months of 2024 compared to the same period last year: steel bars and angles increased by 26.7%; gasoline and oil increased by 20.3%; rolled steel rose by 16.8%; fabric woven from natural fibers increased by 15.9%; refined sugar increased by 13.5%; NPK compound fertilizers increased by 13.3%; powdered milk rose by 12.1%; and automobiles increased by 11.9%. On the other hand, some products declined compared to the same period last year: natural gas in gaseous form decreased by 16.5%; LPG gas dropped by 15.0%; mobile phones fell by 7.6%; crude oil extraction declined by 5.9%; clean coal decreased by 4.2%; beer production fell by 2.8%; and alumina decreased by 2.3%.</w:t>
      </w:r>
    </w:p>
    <w:p w14:paraId="2B40AEBD" w14:textId="77777777" w:rsidR="008606C2" w:rsidRPr="008606C2" w:rsidRDefault="008606C2" w:rsidP="008606C2">
      <w:pPr>
        <w:spacing w:after="160" w:line="278" w:lineRule="auto"/>
        <w:ind w:firstLine="720"/>
        <w:jc w:val="both"/>
        <w:rPr>
          <w:rFonts w:ascii="Times New Roman" w:eastAsia="Aptos" w:hAnsi="Times New Roman" w:cs="Times New Roman"/>
          <w:kern w:val="2"/>
          <w:sz w:val="28"/>
          <w:szCs w:val="28"/>
          <w:lang w:val="en-US"/>
          <w14:ligatures w14:val="standardContextual"/>
        </w:rPr>
      </w:pPr>
      <w:r w:rsidRPr="008606C2">
        <w:rPr>
          <w:rFonts w:ascii="Times New Roman" w:eastAsia="Aptos" w:hAnsi="Times New Roman" w:cs="Times New Roman"/>
          <w:kern w:val="2"/>
          <w:sz w:val="28"/>
          <w:szCs w:val="28"/>
          <w:lang w:val="en-US"/>
          <w14:ligatures w14:val="standardContextual"/>
        </w:rPr>
        <w:t>The consumption index of the entire manufacturing and processing industry in September 2024 decreased by 2.1% compared to the previous month but increased by 12.7% compared to the same period last year. For the first nine months of 2024, the consumption index of the entire manufacturing and processing industry increased by 12.5% compared to the same period in 2023 (in the same period of 2023, the increase was 0.6%).</w:t>
      </w:r>
    </w:p>
    <w:p w14:paraId="6B7C414E" w14:textId="77777777" w:rsidR="008606C2" w:rsidRPr="008606C2" w:rsidRDefault="008606C2" w:rsidP="008606C2">
      <w:pPr>
        <w:spacing w:after="160" w:line="278" w:lineRule="auto"/>
        <w:ind w:firstLine="720"/>
        <w:jc w:val="both"/>
        <w:rPr>
          <w:rFonts w:ascii="Times New Roman" w:eastAsia="Aptos" w:hAnsi="Times New Roman" w:cs="Times New Roman"/>
          <w:kern w:val="2"/>
          <w:sz w:val="28"/>
          <w:szCs w:val="28"/>
          <w:lang w:val="en-US"/>
          <w14:ligatures w14:val="standardContextual"/>
        </w:rPr>
      </w:pPr>
      <w:r w:rsidRPr="008606C2">
        <w:rPr>
          <w:rFonts w:ascii="Times New Roman" w:eastAsia="Aptos" w:hAnsi="Times New Roman" w:cs="Times New Roman"/>
          <w:kern w:val="2"/>
          <w:sz w:val="28"/>
          <w:szCs w:val="28"/>
          <w:lang w:val="en-US"/>
          <w14:ligatures w14:val="standardContextual"/>
        </w:rPr>
        <w:t>The inventory index of the entire manufacturing and processing industry at the end of September 30, 2024, is estimated to have increased by 5.2% compared to the previous month and increased by 8.5% compared to the same time last year (at the same time last year, the increase was 19.4%). The average inventory ratio for the entire manufacturing and processing industry in the first nine months of 2024 was 76.8% (compared to 85.3% in the same period of 2023).</w:t>
      </w:r>
    </w:p>
    <w:p w14:paraId="61E221F5" w14:textId="316F5ACA" w:rsidR="008606C2" w:rsidRPr="008606C2" w:rsidRDefault="008606C2" w:rsidP="008606C2">
      <w:pPr>
        <w:spacing w:after="160" w:line="278" w:lineRule="auto"/>
        <w:ind w:firstLine="720"/>
        <w:jc w:val="both"/>
        <w:rPr>
          <w:rFonts w:ascii="Times New Roman" w:eastAsia="Aptos" w:hAnsi="Times New Roman" w:cs="Times New Roman"/>
          <w:kern w:val="2"/>
          <w:sz w:val="28"/>
          <w:szCs w:val="28"/>
          <w:lang w:val="en-US"/>
          <w14:ligatures w14:val="standardContextual"/>
        </w:rPr>
      </w:pPr>
      <w:r w:rsidRPr="008606C2">
        <w:rPr>
          <w:rFonts w:ascii="Times New Roman" w:eastAsia="Aptos" w:hAnsi="Times New Roman" w:cs="Times New Roman"/>
          <w:kern w:val="2"/>
          <w:sz w:val="28"/>
          <w:szCs w:val="28"/>
          <w:lang w:val="en-US"/>
          <w14:ligatures w14:val="standardContextual"/>
        </w:rPr>
        <w:lastRenderedPageBreak/>
        <w:t>The number of workers employed in industrial enterprises as of September 1, 2024, increased by 1.1% compared to the previous month and increased by 5.2% compared to the same time last year.</w:t>
      </w:r>
    </w:p>
    <w:p w14:paraId="14F88722" w14:textId="77777777" w:rsidR="008606C2" w:rsidRPr="00227BB5" w:rsidRDefault="008606C2" w:rsidP="008606C2">
      <w:pPr>
        <w:spacing w:before="120" w:after="120" w:line="360" w:lineRule="exact"/>
        <w:ind w:firstLine="567"/>
        <w:jc w:val="both"/>
        <w:rPr>
          <w:rFonts w:ascii="Times New Roman" w:hAnsi="Times New Roman" w:cs="Times New Roman"/>
          <w:sz w:val="28"/>
          <w:szCs w:val="28"/>
          <w:lang w:val="it-IT"/>
        </w:rPr>
      </w:pPr>
      <w:r w:rsidRPr="00227BB5">
        <w:rPr>
          <w:rFonts w:ascii="Times New Roman" w:hAnsi="Times New Roman" w:cs="Times New Roman"/>
          <w:b/>
          <w:bCs/>
          <w:sz w:val="28"/>
          <w:szCs w:val="28"/>
          <w:lang w:val="pl-PL"/>
        </w:rPr>
        <w:t>4. Enterprise activities</w:t>
      </w:r>
    </w:p>
    <w:p w14:paraId="1D64D8B4" w14:textId="77777777" w:rsidR="008606C2" w:rsidRPr="00227BB5" w:rsidRDefault="008606C2" w:rsidP="008606C2">
      <w:pPr>
        <w:spacing w:before="120" w:after="120" w:line="360" w:lineRule="exact"/>
        <w:ind w:firstLine="567"/>
        <w:jc w:val="both"/>
        <w:rPr>
          <w:rFonts w:ascii="Times New Roman" w:hAnsi="Times New Roman" w:cs="Times New Roman"/>
          <w:i/>
          <w:sz w:val="28"/>
          <w:szCs w:val="28"/>
          <w:lang w:val="it-IT"/>
        </w:rPr>
      </w:pPr>
      <w:r w:rsidRPr="00227BB5">
        <w:rPr>
          <w:rFonts w:ascii="Times New Roman" w:hAnsi="Times New Roman" w:cs="Times New Roman"/>
          <w:b/>
          <w:bCs/>
          <w:i/>
          <w:sz w:val="28"/>
          <w:szCs w:val="28"/>
          <w:lang w:val="pl-PL"/>
        </w:rPr>
        <w:t>a)</w:t>
      </w:r>
      <w:r w:rsidRPr="00227BB5">
        <w:rPr>
          <w:rFonts w:ascii="Times New Roman" w:hAnsi="Times New Roman" w:cs="Times New Roman"/>
          <w:b/>
          <w:bCs/>
          <w:i/>
          <w:sz w:val="28"/>
          <w:szCs w:val="28"/>
          <w:lang w:val="it-IT"/>
        </w:rPr>
        <w:t xml:space="preserve"> </w:t>
      </w:r>
      <w:r w:rsidRPr="00227BB5">
        <w:rPr>
          <w:rFonts w:ascii="Times New Roman" w:hAnsi="Times New Roman" w:cs="Times New Roman"/>
          <w:b/>
          <w:i/>
          <w:sz w:val="28"/>
          <w:szCs w:val="28"/>
          <w:lang w:val="it-IT"/>
        </w:rPr>
        <w:t xml:space="preserve">Enterprise registration status </w:t>
      </w:r>
      <w:r w:rsidRPr="00227BB5">
        <w:rPr>
          <w:rFonts w:ascii="Times New Roman" w:hAnsi="Times New Roman" w:cs="Times New Roman"/>
          <w:bCs/>
          <w:i/>
          <w:sz w:val="28"/>
          <w:szCs w:val="28"/>
          <w:vertAlign w:val="superscript"/>
        </w:rPr>
        <w:footnoteReference w:id="16"/>
      </w:r>
    </w:p>
    <w:p w14:paraId="40DA3174" w14:textId="77777777" w:rsidR="008606C2" w:rsidRPr="00227BB5" w:rsidRDefault="008606C2" w:rsidP="008606C2">
      <w:pPr>
        <w:spacing w:after="40" w:line="300" w:lineRule="auto"/>
        <w:ind w:firstLine="567"/>
        <w:jc w:val="both"/>
        <w:rPr>
          <w:rFonts w:ascii="Times New Roman" w:hAnsi="Times New Roman" w:cs="Times New Roman"/>
          <w:sz w:val="28"/>
          <w:szCs w:val="28"/>
          <w:lang w:val="it-IT"/>
        </w:rPr>
      </w:pPr>
      <w:r w:rsidRPr="00227BB5">
        <w:rPr>
          <w:rFonts w:ascii="Times New Roman" w:hAnsi="Times New Roman" w:cs="Times New Roman"/>
          <w:sz w:val="28"/>
          <w:szCs w:val="28"/>
          <w:lang w:val="it-IT"/>
        </w:rPr>
        <w:t xml:space="preserve">In </w:t>
      </w:r>
      <w:r>
        <w:rPr>
          <w:rFonts w:ascii="Times New Roman" w:hAnsi="Times New Roman" w:cs="Times New Roman"/>
          <w:sz w:val="28"/>
          <w:szCs w:val="28"/>
          <w:lang w:val="it-IT"/>
        </w:rPr>
        <w:t>September</w:t>
      </w:r>
      <w:r w:rsidRPr="00227BB5">
        <w:rPr>
          <w:rFonts w:ascii="Times New Roman" w:hAnsi="Times New Roman" w:cs="Times New Roman"/>
          <w:sz w:val="28"/>
          <w:szCs w:val="28"/>
          <w:lang w:val="it-IT"/>
        </w:rPr>
        <w:t xml:space="preserve">, the whole country had </w:t>
      </w:r>
      <w:r>
        <w:rPr>
          <w:rFonts w:ascii="Times New Roman" w:hAnsi="Times New Roman" w:cs="Times New Roman"/>
          <w:sz w:val="28"/>
          <w:szCs w:val="28"/>
          <w:lang w:val="it-IT"/>
        </w:rPr>
        <w:t>11.2</w:t>
      </w:r>
      <w:r w:rsidRPr="00227BB5">
        <w:rPr>
          <w:rFonts w:ascii="Times New Roman" w:hAnsi="Times New Roman" w:cs="Times New Roman"/>
          <w:sz w:val="28"/>
          <w:szCs w:val="28"/>
          <w:lang w:val="it-IT"/>
        </w:rPr>
        <w:t xml:space="preserve"> thousand newly established enterprises with registered capital was </w:t>
      </w:r>
      <w:r>
        <w:rPr>
          <w:rFonts w:ascii="Times New Roman" w:hAnsi="Times New Roman" w:cs="Times New Roman"/>
          <w:sz w:val="28"/>
          <w:szCs w:val="28"/>
          <w:lang w:val="it-IT"/>
        </w:rPr>
        <w:t>92.8</w:t>
      </w:r>
      <w:r w:rsidRPr="00227BB5">
        <w:rPr>
          <w:rFonts w:ascii="Times New Roman" w:hAnsi="Times New Roman" w:cs="Times New Roman"/>
          <w:sz w:val="28"/>
          <w:szCs w:val="28"/>
          <w:lang w:val="it-IT"/>
        </w:rPr>
        <w:t xml:space="preserve"> trillion VND and a total number of registered employees of </w:t>
      </w:r>
      <w:r>
        <w:rPr>
          <w:rFonts w:ascii="Times New Roman" w:hAnsi="Times New Roman" w:cs="Times New Roman"/>
          <w:sz w:val="28"/>
          <w:szCs w:val="28"/>
          <w:lang w:val="it-IT"/>
        </w:rPr>
        <w:t>nearly 63</w:t>
      </w:r>
      <w:r w:rsidRPr="00227BB5">
        <w:rPr>
          <w:rFonts w:ascii="Times New Roman" w:hAnsi="Times New Roman" w:cs="Times New Roman"/>
          <w:sz w:val="28"/>
          <w:szCs w:val="28"/>
          <w:lang w:val="it-IT"/>
        </w:rPr>
        <w:t xml:space="preserve"> thousand employees, </w:t>
      </w:r>
      <w:r>
        <w:rPr>
          <w:rFonts w:ascii="Times New Roman" w:hAnsi="Times New Roman" w:cs="Times New Roman"/>
          <w:sz w:val="28"/>
          <w:szCs w:val="28"/>
          <w:lang w:val="it-IT"/>
        </w:rPr>
        <w:t>down 16.3</w:t>
      </w:r>
      <w:r w:rsidRPr="00227BB5">
        <w:rPr>
          <w:rFonts w:ascii="Times New Roman" w:hAnsi="Times New Roman" w:cs="Times New Roman"/>
          <w:sz w:val="28"/>
          <w:szCs w:val="28"/>
          <w:lang w:val="it-IT"/>
        </w:rPr>
        <w:t xml:space="preserve">% in the number of enterprises, </w:t>
      </w:r>
      <w:r>
        <w:rPr>
          <w:rFonts w:ascii="Times New Roman" w:hAnsi="Times New Roman" w:cs="Times New Roman"/>
          <w:sz w:val="28"/>
          <w:szCs w:val="28"/>
          <w:lang w:val="it-IT"/>
        </w:rPr>
        <w:t>down 25.5</w:t>
      </w:r>
      <w:r w:rsidRPr="00227BB5">
        <w:rPr>
          <w:rFonts w:ascii="Times New Roman" w:hAnsi="Times New Roman" w:cs="Times New Roman"/>
          <w:sz w:val="28"/>
          <w:szCs w:val="28"/>
          <w:lang w:val="it-IT"/>
        </w:rPr>
        <w:t xml:space="preserve">% in registered capital and </w:t>
      </w:r>
      <w:r>
        <w:rPr>
          <w:rFonts w:ascii="Times New Roman" w:hAnsi="Times New Roman" w:cs="Times New Roman"/>
          <w:sz w:val="28"/>
          <w:szCs w:val="28"/>
          <w:lang w:val="it-IT"/>
        </w:rPr>
        <w:t>down 12.3</w:t>
      </w:r>
      <w:r w:rsidRPr="00227BB5">
        <w:rPr>
          <w:rFonts w:ascii="Times New Roman" w:hAnsi="Times New Roman" w:cs="Times New Roman"/>
          <w:sz w:val="28"/>
          <w:szCs w:val="28"/>
          <w:lang w:val="it-IT"/>
        </w:rPr>
        <w:t xml:space="preserve">% in the number of employees compared to </w:t>
      </w:r>
      <w:r>
        <w:rPr>
          <w:rFonts w:ascii="Times New Roman" w:hAnsi="Times New Roman" w:cs="Times New Roman"/>
          <w:sz w:val="28"/>
          <w:szCs w:val="28"/>
          <w:lang w:val="it-IT"/>
        </w:rPr>
        <w:t>August</w:t>
      </w:r>
      <w:r w:rsidRPr="00227BB5">
        <w:rPr>
          <w:rFonts w:ascii="Times New Roman" w:hAnsi="Times New Roman" w:cs="Times New Roman"/>
          <w:sz w:val="28"/>
          <w:szCs w:val="28"/>
          <w:lang w:val="it-IT"/>
        </w:rPr>
        <w:t xml:space="preserve"> 2024. The average registered capital of a newly established enterprise in the month reached </w:t>
      </w:r>
      <w:r>
        <w:rPr>
          <w:rFonts w:ascii="Times New Roman" w:hAnsi="Times New Roman" w:cs="Times New Roman"/>
          <w:sz w:val="28"/>
          <w:szCs w:val="28"/>
          <w:lang w:val="it-IT"/>
        </w:rPr>
        <w:t>8.3</w:t>
      </w:r>
      <w:r w:rsidRPr="00227BB5">
        <w:rPr>
          <w:rFonts w:ascii="Times New Roman" w:hAnsi="Times New Roman" w:cs="Times New Roman"/>
          <w:sz w:val="28"/>
          <w:szCs w:val="28"/>
          <w:lang w:val="it-IT"/>
        </w:rPr>
        <w:t xml:space="preserve"> billion VND, </w:t>
      </w:r>
      <w:r>
        <w:rPr>
          <w:rFonts w:ascii="Times New Roman" w:hAnsi="Times New Roman" w:cs="Times New Roman"/>
          <w:sz w:val="28"/>
          <w:szCs w:val="28"/>
          <w:lang w:val="it-IT"/>
        </w:rPr>
        <w:t>an increase</w:t>
      </w:r>
      <w:r w:rsidRPr="00227BB5">
        <w:rPr>
          <w:rFonts w:ascii="Times New Roman" w:hAnsi="Times New Roman" w:cs="Times New Roman"/>
          <w:sz w:val="28"/>
          <w:szCs w:val="28"/>
          <w:lang w:val="it-IT"/>
        </w:rPr>
        <w:t xml:space="preserve"> of </w:t>
      </w:r>
      <w:r>
        <w:rPr>
          <w:rFonts w:ascii="Times New Roman" w:hAnsi="Times New Roman" w:cs="Times New Roman"/>
          <w:sz w:val="28"/>
          <w:szCs w:val="28"/>
          <w:lang w:val="it-IT"/>
        </w:rPr>
        <w:t>11.1</w:t>
      </w:r>
      <w:r w:rsidRPr="00227BB5">
        <w:rPr>
          <w:rFonts w:ascii="Times New Roman" w:hAnsi="Times New Roman" w:cs="Times New Roman"/>
          <w:sz w:val="28"/>
          <w:szCs w:val="28"/>
          <w:lang w:val="it-IT"/>
        </w:rPr>
        <w:t xml:space="preserve">% compared to the </w:t>
      </w:r>
      <w:r>
        <w:rPr>
          <w:rFonts w:ascii="Times New Roman" w:hAnsi="Times New Roman" w:cs="Times New Roman"/>
          <w:sz w:val="28"/>
          <w:szCs w:val="28"/>
          <w:lang w:val="it-IT"/>
        </w:rPr>
        <w:t>last</w:t>
      </w:r>
      <w:r w:rsidRPr="00227BB5">
        <w:rPr>
          <w:rFonts w:ascii="Times New Roman" w:hAnsi="Times New Roman" w:cs="Times New Roman"/>
          <w:sz w:val="28"/>
          <w:szCs w:val="28"/>
          <w:lang w:val="it-IT"/>
        </w:rPr>
        <w:t xml:space="preserve"> month and </w:t>
      </w:r>
      <w:r>
        <w:rPr>
          <w:rFonts w:ascii="Times New Roman" w:hAnsi="Times New Roman" w:cs="Times New Roman"/>
          <w:sz w:val="28"/>
          <w:szCs w:val="28"/>
          <w:lang w:val="it-IT"/>
        </w:rPr>
        <w:t>down</w:t>
      </w:r>
      <w:r w:rsidRPr="00227BB5">
        <w:rPr>
          <w:rFonts w:ascii="Times New Roman" w:hAnsi="Times New Roman" w:cs="Times New Roman"/>
          <w:sz w:val="28"/>
          <w:szCs w:val="28"/>
          <w:lang w:val="it-IT"/>
        </w:rPr>
        <w:t xml:space="preserve"> </w:t>
      </w:r>
      <w:r>
        <w:rPr>
          <w:rFonts w:ascii="Times New Roman" w:hAnsi="Times New Roman" w:cs="Times New Roman"/>
          <w:sz w:val="28"/>
          <w:szCs w:val="28"/>
          <w:lang w:val="it-IT"/>
        </w:rPr>
        <w:t>0.8</w:t>
      </w:r>
      <w:r w:rsidRPr="00227BB5">
        <w:rPr>
          <w:rFonts w:ascii="Times New Roman" w:hAnsi="Times New Roman" w:cs="Times New Roman"/>
          <w:sz w:val="28"/>
          <w:szCs w:val="28"/>
          <w:lang w:val="it-IT"/>
        </w:rPr>
        <w:t xml:space="preserve">% </w:t>
      </w:r>
      <w:r>
        <w:rPr>
          <w:rFonts w:ascii="Times New Roman" w:hAnsi="Times New Roman" w:cs="Times New Roman"/>
          <w:sz w:val="28"/>
          <w:szCs w:val="28"/>
          <w:lang w:val="it-IT"/>
        </w:rPr>
        <w:t>compared to</w:t>
      </w:r>
      <w:r w:rsidRPr="00227BB5">
        <w:rPr>
          <w:rFonts w:ascii="Times New Roman" w:hAnsi="Times New Roman" w:cs="Times New Roman"/>
          <w:sz w:val="28"/>
          <w:szCs w:val="28"/>
          <w:lang w:val="it-IT"/>
        </w:rPr>
        <w:t xml:space="preserve"> the same period </w:t>
      </w:r>
      <w:r>
        <w:rPr>
          <w:rFonts w:ascii="Times New Roman" w:hAnsi="Times New Roman" w:cs="Times New Roman"/>
          <w:sz w:val="28"/>
          <w:szCs w:val="28"/>
          <w:lang w:val="it-IT"/>
        </w:rPr>
        <w:t>of 2023</w:t>
      </w:r>
      <w:r w:rsidRPr="00227BB5">
        <w:rPr>
          <w:rFonts w:ascii="Times New Roman" w:hAnsi="Times New Roman" w:cs="Times New Roman"/>
          <w:sz w:val="28"/>
          <w:szCs w:val="28"/>
          <w:lang w:val="it-IT"/>
        </w:rPr>
        <w:t xml:space="preserve">. </w:t>
      </w:r>
      <w:r>
        <w:rPr>
          <w:rFonts w:ascii="Times New Roman" w:hAnsi="Times New Roman" w:cs="Times New Roman"/>
          <w:sz w:val="28"/>
          <w:szCs w:val="28"/>
          <w:lang w:val="it-IT"/>
        </w:rPr>
        <w:t>Besides</w:t>
      </w:r>
      <w:r w:rsidRPr="00227BB5">
        <w:rPr>
          <w:rFonts w:ascii="Times New Roman" w:hAnsi="Times New Roman" w:cs="Times New Roman"/>
          <w:sz w:val="28"/>
          <w:szCs w:val="28"/>
          <w:lang w:val="it-IT"/>
        </w:rPr>
        <w:t xml:space="preserve">, </w:t>
      </w:r>
      <w:r>
        <w:rPr>
          <w:rFonts w:ascii="Times New Roman" w:hAnsi="Times New Roman" w:cs="Times New Roman"/>
          <w:sz w:val="28"/>
          <w:szCs w:val="28"/>
          <w:lang w:val="it-IT"/>
        </w:rPr>
        <w:t>there were</w:t>
      </w:r>
      <w:r w:rsidRPr="00227BB5">
        <w:rPr>
          <w:rFonts w:ascii="Times New Roman" w:hAnsi="Times New Roman" w:cs="Times New Roman"/>
          <w:sz w:val="28"/>
          <w:szCs w:val="28"/>
          <w:lang w:val="it-IT"/>
        </w:rPr>
        <w:t xml:space="preserve"> </w:t>
      </w:r>
      <w:r>
        <w:rPr>
          <w:rFonts w:ascii="Times New Roman" w:hAnsi="Times New Roman" w:cs="Times New Roman"/>
          <w:sz w:val="28"/>
          <w:szCs w:val="28"/>
          <w:lang w:val="it-IT"/>
        </w:rPr>
        <w:t>nearly</w:t>
      </w:r>
      <w:r w:rsidRPr="00227BB5">
        <w:rPr>
          <w:rFonts w:ascii="Times New Roman" w:hAnsi="Times New Roman" w:cs="Times New Roman"/>
          <w:sz w:val="28"/>
          <w:szCs w:val="28"/>
          <w:lang w:val="it-IT"/>
        </w:rPr>
        <w:t xml:space="preserve"> </w:t>
      </w:r>
      <w:r>
        <w:rPr>
          <w:rFonts w:ascii="Times New Roman" w:hAnsi="Times New Roman" w:cs="Times New Roman"/>
          <w:sz w:val="28"/>
          <w:szCs w:val="28"/>
          <w:lang w:val="it-IT"/>
        </w:rPr>
        <w:t>6.5</w:t>
      </w:r>
      <w:r w:rsidRPr="00227BB5">
        <w:rPr>
          <w:rFonts w:ascii="Times New Roman" w:hAnsi="Times New Roman" w:cs="Times New Roman"/>
          <w:sz w:val="28"/>
          <w:szCs w:val="28"/>
          <w:lang w:val="it-IT"/>
        </w:rPr>
        <w:t xml:space="preserve"> thousand enterprises</w:t>
      </w:r>
      <w:r>
        <w:rPr>
          <w:rFonts w:ascii="Times New Roman" w:hAnsi="Times New Roman" w:cs="Times New Roman"/>
          <w:sz w:val="28"/>
          <w:szCs w:val="28"/>
          <w:lang w:val="it-IT"/>
        </w:rPr>
        <w:t xml:space="preserve"> resumed in the whole country</w:t>
      </w:r>
      <w:r w:rsidRPr="00227BB5">
        <w:rPr>
          <w:rFonts w:ascii="Times New Roman" w:hAnsi="Times New Roman" w:cs="Times New Roman"/>
          <w:sz w:val="28"/>
          <w:szCs w:val="28"/>
          <w:lang w:val="it-IT"/>
        </w:rPr>
        <w:t xml:space="preserve">, </w:t>
      </w:r>
      <w:r>
        <w:rPr>
          <w:rFonts w:ascii="Times New Roman" w:hAnsi="Times New Roman" w:cs="Times New Roman"/>
          <w:sz w:val="28"/>
          <w:szCs w:val="28"/>
          <w:lang w:val="it-IT"/>
        </w:rPr>
        <w:t>down 23.7</w:t>
      </w:r>
      <w:r w:rsidRPr="00227BB5">
        <w:rPr>
          <w:rFonts w:ascii="Times New Roman" w:hAnsi="Times New Roman" w:cs="Times New Roman"/>
          <w:sz w:val="28"/>
          <w:szCs w:val="28"/>
          <w:lang w:val="it-IT"/>
        </w:rPr>
        <w:t xml:space="preserve">% compared to the previous month and </w:t>
      </w:r>
      <w:r>
        <w:rPr>
          <w:rFonts w:ascii="Times New Roman" w:hAnsi="Times New Roman" w:cs="Times New Roman"/>
          <w:sz w:val="28"/>
          <w:szCs w:val="28"/>
          <w:lang w:val="it-IT"/>
        </w:rPr>
        <w:t>up 11.6</w:t>
      </w:r>
      <w:r w:rsidRPr="00227BB5">
        <w:rPr>
          <w:rFonts w:ascii="Times New Roman" w:hAnsi="Times New Roman" w:cs="Times New Roman"/>
          <w:sz w:val="28"/>
          <w:szCs w:val="28"/>
          <w:lang w:val="it-IT"/>
        </w:rPr>
        <w:t xml:space="preserve">% compared to the same period </w:t>
      </w:r>
      <w:r>
        <w:rPr>
          <w:rFonts w:ascii="Times New Roman" w:hAnsi="Times New Roman" w:cs="Times New Roman"/>
          <w:sz w:val="28"/>
          <w:szCs w:val="28"/>
          <w:lang w:val="it-IT"/>
        </w:rPr>
        <w:t>of</w:t>
      </w:r>
      <w:r w:rsidRPr="00227BB5">
        <w:rPr>
          <w:rFonts w:ascii="Times New Roman" w:hAnsi="Times New Roman" w:cs="Times New Roman"/>
          <w:sz w:val="28"/>
          <w:szCs w:val="28"/>
          <w:lang w:val="it-IT"/>
        </w:rPr>
        <w:t xml:space="preserve"> 2023.</w:t>
      </w:r>
    </w:p>
    <w:p w14:paraId="0DA81499" w14:textId="77777777" w:rsidR="008606C2" w:rsidRPr="00227BB5" w:rsidRDefault="008606C2" w:rsidP="008606C2">
      <w:pPr>
        <w:spacing w:after="40" w:line="30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Generally, i</w:t>
      </w:r>
      <w:r w:rsidRPr="00227BB5">
        <w:rPr>
          <w:rFonts w:ascii="Times New Roman" w:hAnsi="Times New Roman" w:cs="Times New Roman"/>
          <w:sz w:val="28"/>
          <w:szCs w:val="28"/>
          <w:lang w:val="en-US"/>
        </w:rPr>
        <w:t xml:space="preserve">n the </w:t>
      </w:r>
      <w:r>
        <w:rPr>
          <w:rFonts w:ascii="Times New Roman" w:hAnsi="Times New Roman" w:cs="Times New Roman"/>
          <w:sz w:val="28"/>
          <w:szCs w:val="28"/>
          <w:lang w:val="en-US"/>
        </w:rPr>
        <w:t>nine months</w:t>
      </w:r>
      <w:r w:rsidRPr="00227BB5">
        <w:rPr>
          <w:rFonts w:ascii="Times New Roman" w:hAnsi="Times New Roman" w:cs="Times New Roman"/>
          <w:sz w:val="28"/>
          <w:szCs w:val="28"/>
          <w:lang w:val="en-US"/>
        </w:rPr>
        <w:t xml:space="preserve"> of 2024, the</w:t>
      </w:r>
      <w:r>
        <w:rPr>
          <w:rFonts w:ascii="Times New Roman" w:hAnsi="Times New Roman" w:cs="Times New Roman"/>
          <w:sz w:val="28"/>
          <w:szCs w:val="28"/>
          <w:lang w:val="en-US"/>
        </w:rPr>
        <w:t xml:space="preserve"> whole</w:t>
      </w:r>
      <w:r w:rsidRPr="00227BB5">
        <w:rPr>
          <w:rFonts w:ascii="Times New Roman" w:hAnsi="Times New Roman" w:cs="Times New Roman"/>
          <w:sz w:val="28"/>
          <w:szCs w:val="28"/>
          <w:lang w:val="en-US"/>
        </w:rPr>
        <w:t xml:space="preserve"> country had </w:t>
      </w:r>
      <w:r>
        <w:rPr>
          <w:rFonts w:ascii="Times New Roman" w:hAnsi="Times New Roman" w:cs="Times New Roman"/>
          <w:sz w:val="28"/>
          <w:szCs w:val="28"/>
          <w:lang w:val="en-US"/>
        </w:rPr>
        <w:t>neaaly 121.9</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thousand newly registered enterprises with a total registered capital of</w:t>
      </w:r>
      <w:r w:rsidRPr="00227BB5">
        <w:rPr>
          <w:rFonts w:ascii="Times New Roman" w:hAnsi="Times New Roman" w:cs="Times New Roman"/>
          <w:sz w:val="28"/>
          <w:szCs w:val="28"/>
          <w:lang w:val="it-IT"/>
        </w:rPr>
        <w:t xml:space="preserve"> </w:t>
      </w:r>
      <w:r>
        <w:rPr>
          <w:rFonts w:ascii="Times New Roman" w:hAnsi="Times New Roman" w:cs="Times New Roman"/>
          <w:sz w:val="28"/>
          <w:szCs w:val="28"/>
          <w:lang w:val="it-IT"/>
        </w:rPr>
        <w:t>1,158.5</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 xml:space="preserve">trillion VND and </w:t>
      </w:r>
      <w:r>
        <w:rPr>
          <w:rFonts w:ascii="Times New Roman" w:hAnsi="Times New Roman" w:cs="Times New Roman"/>
          <w:sz w:val="28"/>
          <w:szCs w:val="28"/>
          <w:lang w:val="en-US"/>
        </w:rPr>
        <w:t>a</w:t>
      </w:r>
      <w:r w:rsidRPr="00227BB5">
        <w:rPr>
          <w:rFonts w:ascii="Times New Roman" w:hAnsi="Times New Roman" w:cs="Times New Roman"/>
          <w:sz w:val="28"/>
          <w:szCs w:val="28"/>
          <w:lang w:val="en-US"/>
        </w:rPr>
        <w:t xml:space="preserve"> total number of registered employees was </w:t>
      </w:r>
      <w:r>
        <w:rPr>
          <w:rFonts w:ascii="Times New Roman" w:hAnsi="Times New Roman" w:cs="Times New Roman"/>
          <w:sz w:val="28"/>
          <w:szCs w:val="28"/>
          <w:lang w:val="en-US"/>
        </w:rPr>
        <w:t>over 735.0</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 xml:space="preserve">thousand employees, </w:t>
      </w:r>
      <w:r>
        <w:rPr>
          <w:rFonts w:ascii="Times New Roman" w:hAnsi="Times New Roman" w:cs="Times New Roman"/>
          <w:sz w:val="28"/>
          <w:szCs w:val="28"/>
          <w:lang w:val="en-US"/>
        </w:rPr>
        <w:t>up</w:t>
      </w:r>
      <w:r>
        <w:rPr>
          <w:rFonts w:ascii="Times New Roman" w:hAnsi="Times New Roman" w:cs="Times New Roman"/>
          <w:sz w:val="28"/>
          <w:szCs w:val="28"/>
          <w:lang w:val="it-IT"/>
        </w:rPr>
        <w:t xml:space="preserve"> 3.4</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 xml:space="preserve">in the number of enterprises, </w:t>
      </w:r>
      <w:r>
        <w:rPr>
          <w:rFonts w:ascii="Times New Roman" w:hAnsi="Times New Roman" w:cs="Times New Roman"/>
          <w:sz w:val="28"/>
          <w:szCs w:val="28"/>
          <w:lang w:val="en-US"/>
        </w:rPr>
        <w:t>up 3.4</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 xml:space="preserve">in registered capital and </w:t>
      </w:r>
      <w:r>
        <w:rPr>
          <w:rFonts w:ascii="Times New Roman" w:hAnsi="Times New Roman" w:cs="Times New Roman"/>
          <w:sz w:val="28"/>
          <w:szCs w:val="28"/>
          <w:lang w:val="en-US"/>
        </w:rPr>
        <w:t>down 3.4</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 xml:space="preserve">in the number of employees compared to the same period last year. The average registered capital of a newly established enterprise in the </w:t>
      </w:r>
      <w:r>
        <w:rPr>
          <w:rFonts w:ascii="Times New Roman" w:hAnsi="Times New Roman" w:cs="Times New Roman"/>
          <w:sz w:val="28"/>
          <w:szCs w:val="28"/>
          <w:lang w:val="en-US"/>
        </w:rPr>
        <w:t>nine</w:t>
      </w:r>
      <w:r w:rsidRPr="00227BB5">
        <w:rPr>
          <w:rFonts w:ascii="Times New Roman" w:hAnsi="Times New Roman" w:cs="Times New Roman"/>
          <w:sz w:val="28"/>
          <w:szCs w:val="28"/>
          <w:lang w:val="en-US"/>
        </w:rPr>
        <w:t xml:space="preserve"> months of 2024 </w:t>
      </w:r>
      <w:r>
        <w:rPr>
          <w:rFonts w:ascii="Times New Roman" w:hAnsi="Times New Roman" w:cs="Times New Roman"/>
          <w:sz w:val="28"/>
          <w:szCs w:val="28"/>
          <w:lang w:val="en-US"/>
        </w:rPr>
        <w:t>achieved</w:t>
      </w:r>
      <w:r w:rsidRPr="00227BB5">
        <w:rPr>
          <w:rFonts w:ascii="Times New Roman" w:hAnsi="Times New Roman" w:cs="Times New Roman"/>
          <w:sz w:val="28"/>
          <w:szCs w:val="28"/>
          <w:lang w:val="it-IT"/>
        </w:rPr>
        <w:t xml:space="preserve"> 9.</w:t>
      </w:r>
      <w:r>
        <w:rPr>
          <w:rFonts w:ascii="Times New Roman" w:hAnsi="Times New Roman" w:cs="Times New Roman"/>
          <w:sz w:val="28"/>
          <w:szCs w:val="28"/>
          <w:lang w:val="it-IT"/>
        </w:rPr>
        <w:t>5</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 xml:space="preserve">billion VND, </w:t>
      </w:r>
      <w:r>
        <w:rPr>
          <w:rFonts w:ascii="Times New Roman" w:hAnsi="Times New Roman" w:cs="Times New Roman"/>
          <w:sz w:val="28"/>
          <w:szCs w:val="28"/>
          <w:lang w:val="en-US"/>
        </w:rPr>
        <w:t>equal to the same period of 2023</w:t>
      </w:r>
      <w:r w:rsidRPr="00227BB5">
        <w:rPr>
          <w:rFonts w:ascii="Times New Roman" w:hAnsi="Times New Roman" w:cs="Times New Roman"/>
          <w:sz w:val="28"/>
          <w:szCs w:val="28"/>
          <w:lang w:val="it-IT"/>
        </w:rPr>
        <w:t xml:space="preserve">. </w:t>
      </w:r>
      <w:r>
        <w:rPr>
          <w:rFonts w:ascii="Times New Roman" w:hAnsi="Times New Roman" w:cs="Times New Roman"/>
          <w:sz w:val="28"/>
          <w:szCs w:val="28"/>
          <w:lang w:val="it-IT"/>
        </w:rPr>
        <w:t>T</w:t>
      </w:r>
      <w:r w:rsidRPr="007E7AD3">
        <w:rPr>
          <w:rFonts w:ascii="Times New Roman" w:hAnsi="Times New Roman" w:cs="Times New Roman"/>
          <w:sz w:val="28"/>
          <w:szCs w:val="28"/>
          <w:lang w:val="en-US"/>
        </w:rPr>
        <w:t xml:space="preserve">he total number </w:t>
      </w:r>
      <w:r>
        <w:rPr>
          <w:rFonts w:ascii="Times New Roman" w:hAnsi="Times New Roman" w:cs="Times New Roman"/>
          <w:sz w:val="28"/>
          <w:szCs w:val="28"/>
          <w:lang w:val="en-US"/>
        </w:rPr>
        <w:t xml:space="preserve">additional registered </w:t>
      </w:r>
      <w:r w:rsidRPr="007E7AD3">
        <w:rPr>
          <w:rFonts w:ascii="Times New Roman" w:hAnsi="Times New Roman" w:cs="Times New Roman"/>
          <w:sz w:val="28"/>
          <w:szCs w:val="28"/>
          <w:lang w:val="en-US"/>
        </w:rPr>
        <w:t xml:space="preserve">captial </w:t>
      </w:r>
      <w:r>
        <w:rPr>
          <w:rFonts w:ascii="Times New Roman" w:hAnsi="Times New Roman" w:cs="Times New Roman"/>
          <w:sz w:val="28"/>
          <w:szCs w:val="28"/>
          <w:lang w:val="en-US"/>
        </w:rPr>
        <w:t>into</w:t>
      </w:r>
      <w:r w:rsidRPr="007E7AD3">
        <w:rPr>
          <w:rFonts w:ascii="Times New Roman" w:hAnsi="Times New Roman" w:cs="Times New Roman"/>
          <w:sz w:val="28"/>
          <w:szCs w:val="28"/>
          <w:lang w:val="en-US"/>
        </w:rPr>
        <w:t xml:space="preserve"> the economy</w:t>
      </w:r>
      <w:r w:rsidRPr="00227BB5">
        <w:rPr>
          <w:rFonts w:ascii="Times New Roman" w:hAnsi="Times New Roman" w:cs="Times New Roman"/>
          <w:sz w:val="28"/>
          <w:szCs w:val="28"/>
          <w:lang w:val="en-US"/>
        </w:rPr>
        <w:t xml:space="preserve"> in the </w:t>
      </w:r>
      <w:r>
        <w:rPr>
          <w:rFonts w:ascii="Times New Roman" w:hAnsi="Times New Roman" w:cs="Times New Roman"/>
          <w:sz w:val="28"/>
          <w:szCs w:val="28"/>
          <w:lang w:val="en-US"/>
        </w:rPr>
        <w:t>nine months</w:t>
      </w:r>
      <w:r w:rsidRPr="00227BB5">
        <w:rPr>
          <w:rFonts w:ascii="Times New Roman" w:hAnsi="Times New Roman" w:cs="Times New Roman"/>
          <w:sz w:val="28"/>
          <w:szCs w:val="28"/>
          <w:lang w:val="en-US"/>
        </w:rPr>
        <w:t xml:space="preserve"> of 2024 was</w:t>
      </w:r>
      <w:r w:rsidRPr="007E7AD3">
        <w:rPr>
          <w:rFonts w:ascii="Times New Roman" w:hAnsi="Times New Roman" w:cs="Times New Roman"/>
          <w:sz w:val="28"/>
          <w:szCs w:val="28"/>
          <w:lang w:val="en-US"/>
        </w:rPr>
        <w:t xml:space="preserve"> </w:t>
      </w:r>
      <w:r>
        <w:rPr>
          <w:rFonts w:ascii="Times New Roman" w:hAnsi="Times New Roman" w:cs="Times New Roman"/>
          <w:sz w:val="28"/>
          <w:szCs w:val="28"/>
          <w:lang w:val="en-US"/>
        </w:rPr>
        <w:t>more than 2,319.5</w:t>
      </w:r>
      <w:r w:rsidRPr="007E7AD3">
        <w:rPr>
          <w:rFonts w:ascii="Times New Roman" w:hAnsi="Times New Roman" w:cs="Times New Roman"/>
          <w:sz w:val="28"/>
          <w:szCs w:val="28"/>
          <w:lang w:val="en-US"/>
        </w:rPr>
        <w:t xml:space="preserve"> </w:t>
      </w:r>
      <w:r w:rsidRPr="00227BB5">
        <w:rPr>
          <w:rFonts w:ascii="Times New Roman" w:hAnsi="Times New Roman" w:cs="Times New Roman"/>
          <w:sz w:val="28"/>
          <w:szCs w:val="28"/>
          <w:lang w:val="en-US"/>
        </w:rPr>
        <w:t xml:space="preserve">trillion VND, a </w:t>
      </w:r>
      <w:r>
        <w:rPr>
          <w:rFonts w:ascii="Times New Roman" w:hAnsi="Times New Roman" w:cs="Times New Roman"/>
          <w:sz w:val="28"/>
          <w:szCs w:val="28"/>
          <w:lang w:val="en-US"/>
        </w:rPr>
        <w:t>year-on-year reduction</w:t>
      </w:r>
      <w:r w:rsidRPr="00227BB5">
        <w:rPr>
          <w:rFonts w:ascii="Times New Roman" w:hAnsi="Times New Roman" w:cs="Times New Roman"/>
          <w:sz w:val="28"/>
          <w:szCs w:val="28"/>
          <w:lang w:val="en-US"/>
        </w:rPr>
        <w:t xml:space="preserve"> of </w:t>
      </w:r>
      <w:r>
        <w:rPr>
          <w:rFonts w:ascii="Times New Roman" w:hAnsi="Times New Roman" w:cs="Times New Roman"/>
          <w:sz w:val="28"/>
          <w:szCs w:val="28"/>
          <w:lang w:val="it-IT"/>
        </w:rPr>
        <w:t>6.1</w:t>
      </w:r>
      <w:r w:rsidRPr="00227BB5">
        <w:rPr>
          <w:rFonts w:ascii="Times New Roman" w:hAnsi="Times New Roman" w:cs="Times New Roman"/>
          <w:sz w:val="28"/>
          <w:szCs w:val="28"/>
          <w:lang w:val="it-IT"/>
        </w:rPr>
        <w:t>%</w:t>
      </w:r>
      <w:r w:rsidRPr="00227BB5">
        <w:rPr>
          <w:rFonts w:ascii="Times New Roman" w:hAnsi="Times New Roman" w:cs="Times New Roman"/>
          <w:sz w:val="28"/>
          <w:szCs w:val="28"/>
          <w:lang w:val="en-US"/>
        </w:rPr>
        <w:t xml:space="preserve">. </w:t>
      </w:r>
      <w:r>
        <w:rPr>
          <w:rFonts w:ascii="Times New Roman" w:hAnsi="Times New Roman" w:cs="Times New Roman"/>
          <w:sz w:val="28"/>
          <w:szCs w:val="28"/>
          <w:lang w:val="en-US"/>
        </w:rPr>
        <w:t>Besides</w:t>
      </w:r>
      <w:r w:rsidRPr="00227BB5">
        <w:rPr>
          <w:rFonts w:ascii="Times New Roman" w:hAnsi="Times New Roman" w:cs="Times New Roman"/>
          <w:sz w:val="28"/>
          <w:szCs w:val="28"/>
          <w:lang w:val="en-US"/>
        </w:rPr>
        <w:t>,</w:t>
      </w:r>
      <w:r>
        <w:rPr>
          <w:rFonts w:ascii="Times New Roman" w:hAnsi="Times New Roman" w:cs="Times New Roman"/>
          <w:sz w:val="28"/>
          <w:szCs w:val="28"/>
          <w:lang w:val="en-US"/>
        </w:rPr>
        <w:t xml:space="preserve"> there we</w:t>
      </w:r>
      <w:r w:rsidRPr="00227BB5">
        <w:rPr>
          <w:rFonts w:ascii="Times New Roman" w:hAnsi="Times New Roman" w:cs="Times New Roman"/>
          <w:sz w:val="28"/>
          <w:szCs w:val="28"/>
          <w:lang w:val="en-US"/>
        </w:rPr>
        <w:t xml:space="preserve">re </w:t>
      </w:r>
      <w:r>
        <w:rPr>
          <w:rFonts w:ascii="Times New Roman" w:hAnsi="Times New Roman" w:cs="Times New Roman"/>
          <w:sz w:val="28"/>
          <w:szCs w:val="28"/>
          <w:lang w:val="en-US"/>
        </w:rPr>
        <w:t>over 61.1</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thousand enterprises</w:t>
      </w:r>
      <w:r>
        <w:rPr>
          <w:rFonts w:ascii="Times New Roman" w:hAnsi="Times New Roman" w:cs="Times New Roman"/>
          <w:sz w:val="28"/>
          <w:szCs w:val="28"/>
          <w:lang w:val="en-US"/>
        </w:rPr>
        <w:t xml:space="preserve"> resumed</w:t>
      </w:r>
      <w:r w:rsidRPr="00227BB5">
        <w:rPr>
          <w:rFonts w:ascii="Times New Roman" w:hAnsi="Times New Roman" w:cs="Times New Roman"/>
          <w:sz w:val="28"/>
          <w:szCs w:val="28"/>
          <w:lang w:val="en-US"/>
        </w:rPr>
        <w:t xml:space="preserve"> (</w:t>
      </w:r>
      <w:r>
        <w:rPr>
          <w:rFonts w:ascii="Times New Roman" w:hAnsi="Times New Roman" w:cs="Times New Roman"/>
          <w:sz w:val="28"/>
          <w:szCs w:val="28"/>
          <w:lang w:val="en-US"/>
        </w:rPr>
        <w:t>a year-on-year increase of</w:t>
      </w:r>
      <w:r w:rsidRPr="00227BB5">
        <w:rPr>
          <w:rFonts w:ascii="Times New Roman" w:hAnsi="Times New Roman" w:cs="Times New Roman"/>
          <w:sz w:val="28"/>
          <w:szCs w:val="28"/>
          <w:lang w:val="en-US"/>
        </w:rPr>
        <w:t xml:space="preserve"> </w:t>
      </w:r>
      <w:r>
        <w:rPr>
          <w:rFonts w:ascii="Times New Roman" w:hAnsi="Times New Roman" w:cs="Times New Roman"/>
          <w:sz w:val="28"/>
          <w:szCs w:val="28"/>
          <w:lang w:val="en-US"/>
        </w:rPr>
        <w:t>25.0</w:t>
      </w:r>
      <w:r w:rsidRPr="00227BB5">
        <w:rPr>
          <w:rFonts w:ascii="Times New Roman" w:hAnsi="Times New Roman" w:cs="Times New Roman"/>
          <w:sz w:val="28"/>
          <w:szCs w:val="28"/>
          <w:lang w:val="it-IT"/>
        </w:rPr>
        <w:t xml:space="preserve">%), </w:t>
      </w:r>
      <w:r>
        <w:rPr>
          <w:rFonts w:ascii="Times New Roman" w:hAnsi="Times New Roman" w:cs="Times New Roman"/>
          <w:sz w:val="28"/>
          <w:szCs w:val="28"/>
          <w:lang w:val="en-US"/>
        </w:rPr>
        <w:t>levering</w:t>
      </w:r>
      <w:r w:rsidRPr="00227BB5">
        <w:rPr>
          <w:rFonts w:ascii="Times New Roman" w:hAnsi="Times New Roman" w:cs="Times New Roman"/>
          <w:sz w:val="28"/>
          <w:szCs w:val="28"/>
          <w:lang w:val="en-US"/>
        </w:rPr>
        <w:t xml:space="preserve"> the total number of newly</w:t>
      </w:r>
      <w:r>
        <w:rPr>
          <w:rFonts w:ascii="Times New Roman" w:hAnsi="Times New Roman" w:cs="Times New Roman"/>
          <w:sz w:val="28"/>
          <w:szCs w:val="28"/>
          <w:lang w:val="en-US"/>
        </w:rPr>
        <w:t xml:space="preserve"> </w:t>
      </w:r>
      <w:r w:rsidRPr="00227BB5">
        <w:rPr>
          <w:rFonts w:ascii="Times New Roman" w:hAnsi="Times New Roman" w:cs="Times New Roman"/>
          <w:sz w:val="28"/>
          <w:szCs w:val="28"/>
          <w:lang w:val="en-US"/>
        </w:rPr>
        <w:t xml:space="preserve">established enterprises and </w:t>
      </w:r>
      <w:r>
        <w:rPr>
          <w:rFonts w:ascii="Times New Roman" w:hAnsi="Times New Roman" w:cs="Times New Roman"/>
          <w:sz w:val="28"/>
          <w:szCs w:val="28"/>
          <w:lang w:val="en-US"/>
        </w:rPr>
        <w:t>resumed</w:t>
      </w:r>
      <w:r w:rsidRPr="00227BB5">
        <w:rPr>
          <w:rFonts w:ascii="Times New Roman" w:hAnsi="Times New Roman" w:cs="Times New Roman"/>
          <w:sz w:val="28"/>
          <w:szCs w:val="28"/>
          <w:lang w:val="en-US"/>
        </w:rPr>
        <w:t xml:space="preserve"> enterprises in the </w:t>
      </w:r>
      <w:r>
        <w:rPr>
          <w:rFonts w:ascii="Times New Roman" w:hAnsi="Times New Roman" w:cs="Times New Roman"/>
          <w:sz w:val="28"/>
          <w:szCs w:val="28"/>
          <w:lang w:val="en-US"/>
        </w:rPr>
        <w:t>nine</w:t>
      </w:r>
      <w:r w:rsidRPr="00227BB5">
        <w:rPr>
          <w:rFonts w:ascii="Times New Roman" w:hAnsi="Times New Roman" w:cs="Times New Roman"/>
          <w:sz w:val="28"/>
          <w:szCs w:val="28"/>
          <w:lang w:val="en-US"/>
        </w:rPr>
        <w:t xml:space="preserve"> months of 2024 to </w:t>
      </w:r>
      <w:r>
        <w:rPr>
          <w:rFonts w:ascii="Times New Roman" w:hAnsi="Times New Roman" w:cs="Times New Roman"/>
          <w:sz w:val="28"/>
          <w:szCs w:val="28"/>
          <w:lang w:val="en-US"/>
        </w:rPr>
        <w:t>over 183.0</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 xml:space="preserve">thousand enterprises, </w:t>
      </w:r>
      <w:r>
        <w:rPr>
          <w:rFonts w:ascii="Times New Roman" w:hAnsi="Times New Roman" w:cs="Times New Roman"/>
          <w:sz w:val="28"/>
          <w:szCs w:val="28"/>
          <w:lang w:val="en-US"/>
        </w:rPr>
        <w:t>a year-on-year increase of</w:t>
      </w:r>
      <w:r w:rsidRPr="00227BB5">
        <w:rPr>
          <w:rFonts w:ascii="Times New Roman" w:hAnsi="Times New Roman" w:cs="Times New Roman"/>
          <w:sz w:val="28"/>
          <w:szCs w:val="28"/>
          <w:lang w:val="en-US"/>
        </w:rPr>
        <w:t xml:space="preserve"> </w:t>
      </w:r>
      <w:r>
        <w:rPr>
          <w:rFonts w:ascii="Times New Roman" w:hAnsi="Times New Roman" w:cs="Times New Roman"/>
          <w:sz w:val="28"/>
          <w:szCs w:val="28"/>
          <w:lang w:val="en-US"/>
        </w:rPr>
        <w:t>9.7</w:t>
      </w:r>
      <w:r w:rsidRPr="00227BB5">
        <w:rPr>
          <w:rFonts w:ascii="Times New Roman" w:hAnsi="Times New Roman" w:cs="Times New Roman"/>
          <w:sz w:val="28"/>
          <w:szCs w:val="28"/>
          <w:lang w:val="it-IT"/>
        </w:rPr>
        <w:t>%</w:t>
      </w:r>
      <w:r w:rsidRPr="00227BB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On </w:t>
      </w:r>
      <w:r w:rsidRPr="00227BB5">
        <w:rPr>
          <w:rFonts w:ascii="Times New Roman" w:hAnsi="Times New Roman" w:cs="Times New Roman"/>
          <w:sz w:val="28"/>
          <w:szCs w:val="28"/>
          <w:lang w:val="en-US"/>
        </w:rPr>
        <w:t>average</w:t>
      </w:r>
      <w:r>
        <w:rPr>
          <w:rFonts w:ascii="Times New Roman" w:hAnsi="Times New Roman" w:cs="Times New Roman"/>
          <w:sz w:val="28"/>
          <w:szCs w:val="28"/>
          <w:lang w:val="en-US"/>
        </w:rPr>
        <w:t>, there were over 20.3</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 xml:space="preserve">thousand newly established and </w:t>
      </w:r>
      <w:r>
        <w:rPr>
          <w:rFonts w:ascii="Times New Roman" w:hAnsi="Times New Roman" w:cs="Times New Roman"/>
          <w:sz w:val="28"/>
          <w:szCs w:val="28"/>
          <w:lang w:val="en-US"/>
        </w:rPr>
        <w:t>resumed</w:t>
      </w:r>
      <w:r w:rsidRPr="00227BB5">
        <w:rPr>
          <w:rFonts w:ascii="Times New Roman" w:hAnsi="Times New Roman" w:cs="Times New Roman"/>
          <w:sz w:val="28"/>
          <w:szCs w:val="28"/>
          <w:lang w:val="en-US"/>
        </w:rPr>
        <w:t xml:space="preserve"> enterprises</w:t>
      </w:r>
      <w:r>
        <w:rPr>
          <w:rFonts w:ascii="Times New Roman" w:hAnsi="Times New Roman" w:cs="Times New Roman"/>
          <w:sz w:val="28"/>
          <w:szCs w:val="28"/>
          <w:lang w:val="en-US"/>
        </w:rPr>
        <w:t xml:space="preserve"> per month</w:t>
      </w:r>
      <w:r w:rsidRPr="00227BB5">
        <w:rPr>
          <w:rFonts w:ascii="Times New Roman" w:hAnsi="Times New Roman" w:cs="Times New Roman"/>
          <w:sz w:val="28"/>
          <w:szCs w:val="28"/>
          <w:lang w:val="it-IT"/>
        </w:rPr>
        <w:t>.</w:t>
      </w:r>
    </w:p>
    <w:p w14:paraId="042AE2D0" w14:textId="77777777" w:rsidR="008606C2" w:rsidRDefault="008606C2" w:rsidP="008606C2">
      <w:pPr>
        <w:spacing w:before="40" w:after="40" w:line="283" w:lineRule="auto"/>
        <w:ind w:firstLine="567"/>
        <w:jc w:val="both"/>
        <w:rPr>
          <w:rFonts w:ascii="Times New Roman" w:hAnsi="Times New Roman" w:cs="Times New Roman"/>
          <w:sz w:val="28"/>
          <w:szCs w:val="28"/>
          <w:lang w:val="it-IT"/>
        </w:rPr>
      </w:pPr>
      <w:r>
        <w:rPr>
          <w:rFonts w:ascii="Times New Roman" w:hAnsi="Times New Roman" w:cs="Times New Roman"/>
          <w:sz w:val="28"/>
          <w:szCs w:val="28"/>
          <w:lang w:val="en-US"/>
        </w:rPr>
        <w:lastRenderedPageBreak/>
        <w:t>Also i</w:t>
      </w:r>
      <w:r w:rsidRPr="00227BB5">
        <w:rPr>
          <w:rFonts w:ascii="Times New Roman" w:hAnsi="Times New Roman" w:cs="Times New Roman"/>
          <w:sz w:val="28"/>
          <w:szCs w:val="28"/>
          <w:lang w:val="en-US"/>
        </w:rPr>
        <w:t xml:space="preserve">n the </w:t>
      </w:r>
      <w:r>
        <w:rPr>
          <w:rFonts w:ascii="Times New Roman" w:hAnsi="Times New Roman" w:cs="Times New Roman"/>
          <w:sz w:val="28"/>
          <w:szCs w:val="28"/>
          <w:lang w:val="en-US"/>
        </w:rPr>
        <w:t>nine</w:t>
      </w:r>
      <w:r w:rsidRPr="00227BB5">
        <w:rPr>
          <w:rFonts w:ascii="Times New Roman" w:hAnsi="Times New Roman" w:cs="Times New Roman"/>
          <w:sz w:val="28"/>
          <w:szCs w:val="28"/>
          <w:lang w:val="en-US"/>
        </w:rPr>
        <w:t xml:space="preserve"> months of 202</w:t>
      </w:r>
      <w:r>
        <w:rPr>
          <w:rFonts w:ascii="Times New Roman" w:hAnsi="Times New Roman" w:cs="Times New Roman"/>
          <w:sz w:val="28"/>
          <w:szCs w:val="28"/>
          <w:lang w:val="en-US"/>
        </w:rPr>
        <w:t>4</w:t>
      </w:r>
      <w:r w:rsidRPr="00227BB5">
        <w:rPr>
          <w:rFonts w:ascii="Times New Roman" w:hAnsi="Times New Roman" w:cs="Times New Roman"/>
          <w:sz w:val="28"/>
          <w:szCs w:val="28"/>
          <w:lang w:val="en-US"/>
        </w:rPr>
        <w:t>, the</w:t>
      </w:r>
      <w:r>
        <w:rPr>
          <w:rFonts w:ascii="Times New Roman" w:hAnsi="Times New Roman" w:cs="Times New Roman"/>
          <w:sz w:val="28"/>
          <w:szCs w:val="28"/>
          <w:lang w:val="en-US"/>
        </w:rPr>
        <w:t xml:space="preserve"> number of </w:t>
      </w:r>
      <w:r>
        <w:rPr>
          <w:rFonts w:ascii="Times New Roman" w:hAnsi="Times New Roman" w:cs="Times New Roman"/>
          <w:sz w:val="28"/>
          <w:szCs w:val="28"/>
          <w:lang w:val="it-IT"/>
        </w:rPr>
        <w:t xml:space="preserve">teamporarily inactive </w:t>
      </w:r>
      <w:r w:rsidRPr="00227BB5">
        <w:rPr>
          <w:rFonts w:ascii="Times New Roman" w:hAnsi="Times New Roman" w:cs="Times New Roman"/>
          <w:sz w:val="28"/>
          <w:szCs w:val="28"/>
          <w:lang w:val="en-US"/>
        </w:rPr>
        <w:t>enterprises w</w:t>
      </w:r>
      <w:r>
        <w:rPr>
          <w:rFonts w:ascii="Times New Roman" w:hAnsi="Times New Roman" w:cs="Times New Roman"/>
          <w:sz w:val="28"/>
          <w:szCs w:val="28"/>
          <w:lang w:val="en-US"/>
        </w:rPr>
        <w:t>as</w:t>
      </w:r>
      <w:r w:rsidRPr="00227BB5">
        <w:rPr>
          <w:rFonts w:ascii="Times New Roman" w:hAnsi="Times New Roman" w:cs="Times New Roman"/>
          <w:sz w:val="28"/>
          <w:szCs w:val="28"/>
          <w:lang w:val="it-IT"/>
        </w:rPr>
        <w:t xml:space="preserve"> </w:t>
      </w:r>
      <w:r>
        <w:rPr>
          <w:rFonts w:ascii="Times New Roman" w:hAnsi="Times New Roman" w:cs="Times New Roman"/>
          <w:sz w:val="28"/>
          <w:szCs w:val="28"/>
          <w:lang w:val="it-IT"/>
        </w:rPr>
        <w:t>more than 86.9</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thousand</w:t>
      </w:r>
      <w:r>
        <w:rPr>
          <w:rFonts w:ascii="Times New Roman" w:hAnsi="Times New Roman" w:cs="Times New Roman"/>
          <w:sz w:val="28"/>
          <w:szCs w:val="28"/>
          <w:lang w:val="en-US"/>
        </w:rPr>
        <w:t xml:space="preserve"> ones</w:t>
      </w:r>
      <w:r w:rsidRPr="00227BB5">
        <w:rPr>
          <w:rFonts w:ascii="Times New Roman" w:hAnsi="Times New Roman" w:cs="Times New Roman"/>
          <w:sz w:val="28"/>
          <w:szCs w:val="28"/>
          <w:lang w:val="en-US"/>
        </w:rPr>
        <w:t xml:space="preserve">, a </w:t>
      </w:r>
      <w:r>
        <w:rPr>
          <w:rFonts w:ascii="Times New Roman" w:hAnsi="Times New Roman" w:cs="Times New Roman"/>
          <w:sz w:val="28"/>
          <w:szCs w:val="28"/>
          <w:lang w:val="en-US"/>
        </w:rPr>
        <w:t xml:space="preserve">year-on-year </w:t>
      </w:r>
      <w:r w:rsidRPr="00227BB5">
        <w:rPr>
          <w:rFonts w:ascii="Times New Roman" w:hAnsi="Times New Roman" w:cs="Times New Roman"/>
          <w:sz w:val="28"/>
          <w:szCs w:val="28"/>
          <w:lang w:val="en-US"/>
        </w:rPr>
        <w:t xml:space="preserve">increase of </w:t>
      </w:r>
      <w:r>
        <w:rPr>
          <w:rFonts w:ascii="Times New Roman" w:hAnsi="Times New Roman" w:cs="Times New Roman"/>
          <w:sz w:val="28"/>
          <w:szCs w:val="28"/>
          <w:lang w:val="it-IT"/>
        </w:rPr>
        <w:t>14.7%</w:t>
      </w:r>
      <w:r w:rsidRPr="00227BB5">
        <w:rPr>
          <w:rFonts w:ascii="Times New Roman" w:hAnsi="Times New Roman" w:cs="Times New Roman"/>
          <w:sz w:val="28"/>
          <w:szCs w:val="28"/>
          <w:lang w:val="en-US"/>
        </w:rPr>
        <w:t xml:space="preserve">; </w:t>
      </w:r>
      <w:r>
        <w:rPr>
          <w:rFonts w:ascii="Times New Roman" w:hAnsi="Times New Roman" w:cs="Times New Roman"/>
          <w:sz w:val="28"/>
          <w:szCs w:val="28"/>
          <w:lang w:val="en-US"/>
        </w:rPr>
        <w:t>nearly 61.5</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thousand enterprises ceased and awaited dissolution procedures, a</w:t>
      </w:r>
      <w:r>
        <w:rPr>
          <w:rFonts w:ascii="Times New Roman" w:hAnsi="Times New Roman" w:cs="Times New Roman"/>
          <w:sz w:val="28"/>
          <w:szCs w:val="28"/>
          <w:lang w:val="en-US"/>
        </w:rPr>
        <w:t>n</w:t>
      </w:r>
      <w:r w:rsidRPr="00227BB5">
        <w:rPr>
          <w:rFonts w:ascii="Times New Roman" w:hAnsi="Times New Roman" w:cs="Times New Roman"/>
          <w:sz w:val="28"/>
          <w:szCs w:val="28"/>
          <w:lang w:val="en-US"/>
        </w:rPr>
        <w:t xml:space="preserve"> </w:t>
      </w:r>
      <w:r>
        <w:rPr>
          <w:rFonts w:ascii="Times New Roman" w:hAnsi="Times New Roman" w:cs="Times New Roman"/>
          <w:sz w:val="28"/>
          <w:szCs w:val="28"/>
          <w:lang w:val="en-US"/>
        </w:rPr>
        <w:t>increase</w:t>
      </w:r>
      <w:r w:rsidRPr="00227BB5">
        <w:rPr>
          <w:rFonts w:ascii="Times New Roman" w:hAnsi="Times New Roman" w:cs="Times New Roman"/>
          <w:sz w:val="28"/>
          <w:szCs w:val="28"/>
          <w:lang w:val="en-US"/>
        </w:rPr>
        <w:t xml:space="preserve"> of</w:t>
      </w:r>
      <w:r w:rsidRPr="00227BB5">
        <w:rPr>
          <w:rFonts w:ascii="Times New Roman" w:hAnsi="Times New Roman" w:cs="Times New Roman"/>
          <w:sz w:val="28"/>
          <w:szCs w:val="28"/>
          <w:lang w:val="it-IT"/>
        </w:rPr>
        <w:t xml:space="preserve"> </w:t>
      </w:r>
      <w:r>
        <w:rPr>
          <w:rFonts w:ascii="Times New Roman" w:hAnsi="Times New Roman" w:cs="Times New Roman"/>
          <w:sz w:val="28"/>
          <w:szCs w:val="28"/>
          <w:lang w:val="it-IT"/>
        </w:rPr>
        <w:t>33.4</w:t>
      </w:r>
      <w:r w:rsidRPr="00227BB5">
        <w:rPr>
          <w:rFonts w:ascii="Times New Roman" w:hAnsi="Times New Roman" w:cs="Times New Roman"/>
          <w:sz w:val="28"/>
          <w:szCs w:val="28"/>
          <w:lang w:val="it-IT"/>
        </w:rPr>
        <w:t xml:space="preserve">%; </w:t>
      </w:r>
      <w:r>
        <w:rPr>
          <w:rFonts w:ascii="Times New Roman" w:hAnsi="Times New Roman" w:cs="Times New Roman"/>
          <w:sz w:val="28"/>
          <w:szCs w:val="28"/>
          <w:lang w:val="it-IT"/>
        </w:rPr>
        <w:t>nearly 15.4</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 xml:space="preserve">thousand enterprises completed dissolution procedures, up </w:t>
      </w:r>
      <w:r>
        <w:rPr>
          <w:rFonts w:ascii="Times New Roman" w:hAnsi="Times New Roman" w:cs="Times New Roman"/>
          <w:sz w:val="28"/>
          <w:szCs w:val="28"/>
          <w:lang w:val="it-IT"/>
        </w:rPr>
        <w:t>18.9</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 xml:space="preserve">On average, </w:t>
      </w:r>
      <w:r>
        <w:rPr>
          <w:rFonts w:ascii="Times New Roman" w:hAnsi="Times New Roman" w:cs="Times New Roman"/>
          <w:sz w:val="28"/>
          <w:szCs w:val="28"/>
          <w:lang w:val="it-IT"/>
        </w:rPr>
        <w:t>there were 18.2</w:t>
      </w:r>
      <w:r w:rsidRPr="00227BB5">
        <w:rPr>
          <w:rFonts w:ascii="Times New Roman" w:hAnsi="Times New Roman" w:cs="Times New Roman"/>
          <w:sz w:val="28"/>
          <w:szCs w:val="28"/>
          <w:lang w:val="it-IT"/>
        </w:rPr>
        <w:t xml:space="preserve"> </w:t>
      </w:r>
      <w:r w:rsidRPr="00227BB5">
        <w:rPr>
          <w:rFonts w:ascii="Times New Roman" w:hAnsi="Times New Roman" w:cs="Times New Roman"/>
          <w:sz w:val="28"/>
          <w:szCs w:val="28"/>
          <w:lang w:val="en-US"/>
        </w:rPr>
        <w:t>thousand enterprises withdraw</w:t>
      </w:r>
      <w:r>
        <w:rPr>
          <w:rFonts w:ascii="Times New Roman" w:hAnsi="Times New Roman" w:cs="Times New Roman"/>
          <w:sz w:val="28"/>
          <w:szCs w:val="28"/>
          <w:lang w:val="en-US"/>
        </w:rPr>
        <w:t>ing</w:t>
      </w:r>
      <w:r w:rsidRPr="00227BB5">
        <w:rPr>
          <w:rFonts w:ascii="Times New Roman" w:hAnsi="Times New Roman" w:cs="Times New Roman"/>
          <w:sz w:val="28"/>
          <w:szCs w:val="28"/>
          <w:lang w:val="en-US"/>
        </w:rPr>
        <w:t xml:space="preserve"> from the market </w:t>
      </w:r>
      <w:r>
        <w:rPr>
          <w:rFonts w:ascii="Times New Roman" w:hAnsi="Times New Roman" w:cs="Times New Roman"/>
          <w:sz w:val="28"/>
          <w:szCs w:val="28"/>
          <w:lang w:val="en-US"/>
        </w:rPr>
        <w:t>per</w:t>
      </w:r>
      <w:r w:rsidRPr="00227BB5">
        <w:rPr>
          <w:rFonts w:ascii="Times New Roman" w:hAnsi="Times New Roman" w:cs="Times New Roman"/>
          <w:sz w:val="28"/>
          <w:szCs w:val="28"/>
          <w:lang w:val="en-US"/>
        </w:rPr>
        <w:t xml:space="preserve"> month</w:t>
      </w:r>
      <w:r w:rsidRPr="00227BB5">
        <w:rPr>
          <w:rFonts w:ascii="Times New Roman" w:hAnsi="Times New Roman" w:cs="Times New Roman"/>
          <w:sz w:val="28"/>
          <w:szCs w:val="28"/>
          <w:lang w:val="it-IT"/>
        </w:rPr>
        <w:t>.</w:t>
      </w:r>
    </w:p>
    <w:p w14:paraId="7C4C05FF" w14:textId="77777777" w:rsidR="008606C2" w:rsidRPr="00227BB5" w:rsidRDefault="008606C2" w:rsidP="008606C2">
      <w:pPr>
        <w:spacing w:before="120" w:after="120" w:line="360" w:lineRule="exact"/>
        <w:ind w:firstLine="567"/>
        <w:rPr>
          <w:rFonts w:ascii="Times New Roman" w:hAnsi="Times New Roman" w:cs="Times New Roman"/>
          <w:b/>
          <w:i/>
          <w:sz w:val="28"/>
          <w:szCs w:val="28"/>
          <w:lang w:val="it-IT"/>
        </w:rPr>
      </w:pPr>
      <w:r w:rsidRPr="00227BB5">
        <w:rPr>
          <w:rFonts w:ascii="Times New Roman" w:hAnsi="Times New Roman" w:cs="Times New Roman"/>
          <w:b/>
          <w:i/>
          <w:sz w:val="28"/>
          <w:szCs w:val="28"/>
          <w:lang w:val="it-IT"/>
        </w:rPr>
        <w:t xml:space="preserve">b) </w:t>
      </w:r>
      <w:r w:rsidRPr="00227BB5">
        <w:rPr>
          <w:rFonts w:ascii="Times New Roman" w:hAnsi="Times New Roman" w:cs="Times New Roman"/>
          <w:b/>
          <w:i/>
          <w:sz w:val="28"/>
          <w:szCs w:val="28"/>
          <w:lang w:val="en-US"/>
        </w:rPr>
        <w:t>Business trends of the enterprises</w:t>
      </w:r>
    </w:p>
    <w:p w14:paraId="0B8F0FEF" w14:textId="77777777" w:rsidR="008606C2" w:rsidRDefault="008606C2" w:rsidP="008606C2">
      <w:pPr>
        <w:spacing w:before="120" w:after="120" w:line="360" w:lineRule="exact"/>
        <w:ind w:firstLine="720"/>
        <w:jc w:val="both"/>
        <w:rPr>
          <w:rFonts w:ascii="Times New Roman" w:hAnsi="Times New Roman" w:cs="Times New Roman"/>
          <w:sz w:val="28"/>
          <w:szCs w:val="28"/>
          <w:lang w:val="it-IT"/>
        </w:rPr>
      </w:pPr>
      <w:r w:rsidRPr="00227BB5">
        <w:rPr>
          <w:rFonts w:ascii="Times New Roman" w:hAnsi="Times New Roman" w:cs="Times New Roman"/>
          <w:sz w:val="28"/>
          <w:szCs w:val="28"/>
          <w:lang w:val="it-IT"/>
        </w:rPr>
        <w:t xml:space="preserve">Results of the business tendency survey of manufacturing enterprises in the </w:t>
      </w:r>
      <w:r>
        <w:rPr>
          <w:rFonts w:ascii="Times New Roman" w:hAnsi="Times New Roman" w:cs="Times New Roman"/>
          <w:sz w:val="28"/>
          <w:szCs w:val="28"/>
          <w:lang w:val="it-IT"/>
        </w:rPr>
        <w:t>third</w:t>
      </w:r>
      <w:r w:rsidRPr="00227BB5">
        <w:rPr>
          <w:rFonts w:ascii="Times New Roman" w:hAnsi="Times New Roman" w:cs="Times New Roman"/>
          <w:sz w:val="28"/>
          <w:szCs w:val="28"/>
          <w:lang w:val="it-IT"/>
        </w:rPr>
        <w:t xml:space="preserve"> quarter of 202</w:t>
      </w:r>
      <w:r>
        <w:rPr>
          <w:rFonts w:ascii="Times New Roman" w:hAnsi="Times New Roman" w:cs="Times New Roman"/>
          <w:sz w:val="28"/>
          <w:szCs w:val="28"/>
          <w:lang w:val="it-IT"/>
        </w:rPr>
        <w:t>4</w:t>
      </w:r>
      <w:r w:rsidRPr="00227BB5">
        <w:rPr>
          <w:rFonts w:ascii="Times New Roman" w:hAnsi="Times New Roman" w:cs="Times New Roman"/>
          <w:sz w:val="28"/>
          <w:szCs w:val="28"/>
          <w:lang w:val="it-IT"/>
        </w:rPr>
        <w:t xml:space="preserve"> showed that: </w:t>
      </w:r>
      <w:r>
        <w:rPr>
          <w:rFonts w:ascii="Times New Roman" w:hAnsi="Times New Roman" w:cs="Times New Roman"/>
          <w:sz w:val="28"/>
          <w:szCs w:val="28"/>
          <w:lang w:val="it-IT"/>
        </w:rPr>
        <w:t>34.7</w:t>
      </w:r>
      <w:r w:rsidRPr="00227BB5">
        <w:rPr>
          <w:rFonts w:ascii="Times New Roman" w:hAnsi="Times New Roman" w:cs="Times New Roman"/>
          <w:sz w:val="28"/>
          <w:szCs w:val="28"/>
          <w:lang w:val="it-IT"/>
        </w:rPr>
        <w:t xml:space="preserve">% of enterprises assessed that the business production situation was better than in the </w:t>
      </w:r>
      <w:r>
        <w:rPr>
          <w:rFonts w:ascii="Times New Roman" w:hAnsi="Times New Roman" w:cs="Times New Roman"/>
          <w:sz w:val="28"/>
          <w:szCs w:val="28"/>
          <w:lang w:val="it-IT"/>
        </w:rPr>
        <w:t>second</w:t>
      </w:r>
      <w:r w:rsidRPr="00227BB5">
        <w:rPr>
          <w:rFonts w:ascii="Times New Roman" w:hAnsi="Times New Roman" w:cs="Times New Roman"/>
          <w:sz w:val="28"/>
          <w:szCs w:val="28"/>
          <w:lang w:val="it-IT"/>
        </w:rPr>
        <w:t xml:space="preserve"> </w:t>
      </w:r>
      <w:r>
        <w:rPr>
          <w:rFonts w:ascii="Times New Roman" w:hAnsi="Times New Roman" w:cs="Times New Roman"/>
          <w:sz w:val="28"/>
          <w:szCs w:val="28"/>
          <w:lang w:val="it-IT"/>
        </w:rPr>
        <w:t>one</w:t>
      </w:r>
      <w:r w:rsidRPr="00227BB5">
        <w:rPr>
          <w:rFonts w:ascii="Times New Roman" w:hAnsi="Times New Roman" w:cs="Times New Roman"/>
          <w:sz w:val="28"/>
          <w:szCs w:val="28"/>
          <w:lang w:val="it-IT"/>
        </w:rPr>
        <w:t xml:space="preserve">; </w:t>
      </w:r>
      <w:r>
        <w:rPr>
          <w:rFonts w:ascii="Times New Roman" w:hAnsi="Times New Roman" w:cs="Times New Roman"/>
          <w:sz w:val="28"/>
          <w:szCs w:val="28"/>
          <w:lang w:val="it-IT"/>
        </w:rPr>
        <w:t>42.6</w:t>
      </w:r>
      <w:r w:rsidRPr="00227BB5">
        <w:rPr>
          <w:rFonts w:ascii="Times New Roman" w:hAnsi="Times New Roman" w:cs="Times New Roman"/>
          <w:sz w:val="28"/>
          <w:szCs w:val="28"/>
          <w:lang w:val="it-IT"/>
        </w:rPr>
        <w:t xml:space="preserve">% of enterprises said that the business production situation was stable and </w:t>
      </w:r>
      <w:r>
        <w:rPr>
          <w:rFonts w:ascii="Times New Roman" w:hAnsi="Times New Roman" w:cs="Times New Roman"/>
          <w:sz w:val="28"/>
          <w:szCs w:val="28"/>
          <w:lang w:val="it-IT"/>
        </w:rPr>
        <w:t>22.7</w:t>
      </w:r>
      <w:r w:rsidRPr="00227BB5">
        <w:rPr>
          <w:rFonts w:ascii="Times New Roman" w:hAnsi="Times New Roman" w:cs="Times New Roman"/>
          <w:sz w:val="28"/>
          <w:szCs w:val="28"/>
          <w:lang w:val="it-IT"/>
        </w:rPr>
        <w:t>% of enterprises faced difficulties</w:t>
      </w:r>
      <w:r w:rsidRPr="00227BB5">
        <w:rPr>
          <w:rFonts w:ascii="Times New Roman" w:hAnsi="Times New Roman" w:cs="Times New Roman"/>
          <w:sz w:val="28"/>
          <w:szCs w:val="28"/>
          <w:vertAlign w:val="superscript"/>
        </w:rPr>
        <w:footnoteReference w:id="17"/>
      </w:r>
      <w:r w:rsidRPr="00227BB5">
        <w:rPr>
          <w:rFonts w:ascii="Times New Roman" w:hAnsi="Times New Roman" w:cs="Times New Roman"/>
          <w:sz w:val="28"/>
          <w:szCs w:val="28"/>
          <w:lang w:val="it-IT"/>
        </w:rPr>
        <w:t xml:space="preserve">. For the expected outcome of the </w:t>
      </w:r>
      <w:r>
        <w:rPr>
          <w:rFonts w:ascii="Times New Roman" w:hAnsi="Times New Roman" w:cs="Times New Roman"/>
          <w:sz w:val="28"/>
          <w:szCs w:val="28"/>
          <w:lang w:val="it-IT"/>
        </w:rPr>
        <w:t>forth</w:t>
      </w:r>
      <w:r w:rsidRPr="00227BB5">
        <w:rPr>
          <w:rFonts w:ascii="Times New Roman" w:hAnsi="Times New Roman" w:cs="Times New Roman"/>
          <w:sz w:val="28"/>
          <w:szCs w:val="28"/>
          <w:lang w:val="it-IT"/>
        </w:rPr>
        <w:t xml:space="preserve"> quarter of 202</w:t>
      </w:r>
      <w:r>
        <w:rPr>
          <w:rFonts w:ascii="Times New Roman" w:hAnsi="Times New Roman" w:cs="Times New Roman"/>
          <w:sz w:val="28"/>
          <w:szCs w:val="28"/>
          <w:lang w:val="it-IT"/>
        </w:rPr>
        <w:t>4</w:t>
      </w:r>
      <w:r w:rsidRPr="00227BB5">
        <w:rPr>
          <w:rFonts w:ascii="Times New Roman" w:hAnsi="Times New Roman" w:cs="Times New Roman"/>
          <w:sz w:val="28"/>
          <w:szCs w:val="28"/>
          <w:lang w:val="it-IT"/>
        </w:rPr>
        <w:t xml:space="preserve">, </w:t>
      </w:r>
      <w:r>
        <w:rPr>
          <w:rFonts w:ascii="Times New Roman" w:hAnsi="Times New Roman" w:cs="Times New Roman"/>
          <w:sz w:val="28"/>
          <w:szCs w:val="28"/>
          <w:lang w:val="it-IT"/>
        </w:rPr>
        <w:t>42.2</w:t>
      </w:r>
      <w:r w:rsidRPr="00227BB5">
        <w:rPr>
          <w:rFonts w:ascii="Times New Roman" w:hAnsi="Times New Roman" w:cs="Times New Roman"/>
          <w:sz w:val="28"/>
          <w:szCs w:val="28"/>
          <w:lang w:val="it-IT"/>
        </w:rPr>
        <w:t xml:space="preserve">% of enterprises presented that the tendency would get better than the </w:t>
      </w:r>
      <w:r>
        <w:rPr>
          <w:rFonts w:ascii="Times New Roman" w:hAnsi="Times New Roman" w:cs="Times New Roman"/>
          <w:sz w:val="28"/>
          <w:szCs w:val="28"/>
          <w:lang w:val="it-IT"/>
        </w:rPr>
        <w:t>third one</w:t>
      </w:r>
      <w:r w:rsidRPr="00227BB5">
        <w:rPr>
          <w:rFonts w:ascii="Times New Roman" w:hAnsi="Times New Roman" w:cs="Times New Roman"/>
          <w:sz w:val="28"/>
          <w:szCs w:val="28"/>
          <w:lang w:val="it-IT"/>
        </w:rPr>
        <w:t xml:space="preserve">; </w:t>
      </w:r>
      <w:r>
        <w:rPr>
          <w:rFonts w:ascii="Times New Roman" w:hAnsi="Times New Roman" w:cs="Times New Roman"/>
          <w:sz w:val="28"/>
          <w:szCs w:val="28"/>
          <w:lang w:val="it-IT"/>
        </w:rPr>
        <w:t>40.4</w:t>
      </w:r>
      <w:r w:rsidRPr="00227BB5">
        <w:rPr>
          <w:rFonts w:ascii="Times New Roman" w:hAnsi="Times New Roman" w:cs="Times New Roman"/>
          <w:sz w:val="28"/>
          <w:szCs w:val="28"/>
          <w:lang w:val="it-IT"/>
        </w:rPr>
        <w:t xml:space="preserve">% of enterprises said that business production situation would be stable and </w:t>
      </w:r>
      <w:r>
        <w:rPr>
          <w:rFonts w:ascii="Times New Roman" w:hAnsi="Times New Roman" w:cs="Times New Roman"/>
          <w:sz w:val="28"/>
          <w:szCs w:val="28"/>
          <w:lang w:val="it-IT"/>
        </w:rPr>
        <w:t>17.4</w:t>
      </w:r>
      <w:r w:rsidRPr="00227BB5">
        <w:rPr>
          <w:rFonts w:ascii="Times New Roman" w:hAnsi="Times New Roman" w:cs="Times New Roman"/>
          <w:sz w:val="28"/>
          <w:szCs w:val="28"/>
          <w:lang w:val="it-IT"/>
        </w:rPr>
        <w:t>% of enterprises predicted that it would be more difficult.</w:t>
      </w:r>
    </w:p>
    <w:p w14:paraId="79A21404" w14:textId="2C9CA8B0" w:rsidR="008606C2" w:rsidRPr="008606C2" w:rsidRDefault="008606C2" w:rsidP="008606C2">
      <w:pPr>
        <w:spacing w:before="120" w:after="120"/>
        <w:ind w:firstLine="567"/>
        <w:jc w:val="both"/>
        <w:rPr>
          <w:rFonts w:ascii="Times New Roman" w:hAnsi="Times New Roman" w:cs="Times New Roman"/>
          <w:b/>
          <w:sz w:val="28"/>
          <w:szCs w:val="28"/>
          <w:lang w:val="it-IT"/>
        </w:rPr>
      </w:pPr>
      <w:r w:rsidRPr="00210648">
        <w:rPr>
          <w:rFonts w:ascii="Times New Roman" w:hAnsi="Times New Roman" w:cs="Times New Roman"/>
          <w:b/>
          <w:sz w:val="28"/>
          <w:szCs w:val="28"/>
          <w:lang w:val="it-IT"/>
        </w:rPr>
        <w:t xml:space="preserve">5. </w:t>
      </w:r>
      <w:bookmarkStart w:id="1" w:name="_Hlk116891044"/>
      <w:r w:rsidRPr="008606C2">
        <w:rPr>
          <w:rFonts w:ascii="Times New Roman" w:hAnsi="Times New Roman" w:cs="Times New Roman"/>
          <w:b/>
          <w:bCs/>
          <w:i/>
          <w:iCs/>
          <w:color w:val="202124"/>
          <w:sz w:val="28"/>
          <w:szCs w:val="28"/>
          <w:lang w:val="en"/>
        </w:rPr>
        <w:t>Recovery in domestic consumption and production demand, along with strong growth in tourism, has contributed positively to the growth of the industry's trade services since the beginning of the year. T</w:t>
      </w:r>
      <w:r w:rsidRPr="008606C2">
        <w:rPr>
          <w:rFonts w:ascii="Times New Roman" w:hAnsi="Times New Roman" w:cs="Times New Roman"/>
          <w:b/>
          <w:bCs/>
          <w:i/>
          <w:color w:val="000000" w:themeColor="text1"/>
          <w:sz w:val="28"/>
          <w:szCs w:val="28"/>
          <w:lang w:val="it-IT"/>
        </w:rPr>
        <w:t xml:space="preserve">otal retail sales of consumer goods and services in 9 months of 2024 increase by 8.8% over the same period last year; </w:t>
      </w:r>
      <w:r w:rsidRPr="008606C2">
        <w:rPr>
          <w:rFonts w:ascii="Times New Roman Italic" w:hAnsi="Times New Roman Italic" w:cs="Times New Roman"/>
          <w:b/>
          <w:bCs/>
          <w:i/>
          <w:sz w:val="28"/>
          <w:szCs w:val="28"/>
          <w:lang w:val="en-US"/>
        </w:rPr>
        <w:t xml:space="preserve">passenger carried </w:t>
      </w:r>
      <w:r w:rsidRPr="008606C2">
        <w:rPr>
          <w:rFonts w:ascii="Times New Roman Italic" w:hAnsi="Times New Roman Italic" w:cs="Times New Roman"/>
          <w:b/>
          <w:bCs/>
          <w:i/>
          <w:sz w:val="28"/>
          <w:szCs w:val="28"/>
          <w:lang w:val="pl-PL"/>
        </w:rPr>
        <w:t>was</w:t>
      </w:r>
      <w:r w:rsidRPr="008606C2">
        <w:rPr>
          <w:rFonts w:ascii="Times New Roman Italic" w:hAnsi="Times New Roman Italic" w:cs="Times New Roman"/>
          <w:b/>
          <w:bCs/>
          <w:i/>
          <w:sz w:val="28"/>
          <w:szCs w:val="28"/>
          <w:lang w:val="en-US"/>
        </w:rPr>
        <w:t xml:space="preserve"> up 7.4% and passenger traffic </w:t>
      </w:r>
      <w:r w:rsidRPr="008606C2">
        <w:rPr>
          <w:rFonts w:ascii="Times New Roman Italic" w:hAnsi="Times New Roman Italic" w:cs="Times New Roman"/>
          <w:b/>
          <w:bCs/>
          <w:i/>
          <w:sz w:val="28"/>
          <w:szCs w:val="28"/>
          <w:lang w:val="pl-PL"/>
        </w:rPr>
        <w:t>was up</w:t>
      </w:r>
      <w:r w:rsidRPr="008606C2">
        <w:rPr>
          <w:rFonts w:ascii="Times New Roman Italic" w:hAnsi="Times New Roman Italic" w:cs="Times New Roman"/>
          <w:b/>
          <w:bCs/>
          <w:i/>
          <w:sz w:val="28"/>
          <w:szCs w:val="28"/>
          <w:lang w:val="en-US"/>
        </w:rPr>
        <w:t xml:space="preserve"> 12.2 %; freight carried increased by 13.7% and freight traffic increased by 10.5%; </w:t>
      </w:r>
      <w:r w:rsidRPr="008606C2">
        <w:rPr>
          <w:rFonts w:ascii="Times New Roman" w:hAnsi="Times New Roman" w:cs="Times New Roman"/>
          <w:b/>
          <w:bCs/>
          <w:i/>
          <w:iCs/>
          <w:sz w:val="28"/>
          <w:szCs w:val="28"/>
          <w:lang w:val="en-US"/>
        </w:rPr>
        <w:t>international visitors to Viet Nam up 43.0% over the same period last year; t</w:t>
      </w:r>
      <w:r w:rsidRPr="008606C2">
        <w:rPr>
          <w:rFonts w:ascii="Times New Roman" w:hAnsi="Times New Roman" w:cs="Times New Roman"/>
          <w:b/>
          <w:bCs/>
          <w:i/>
          <w:iCs/>
          <w:sz w:val="28"/>
          <w:szCs w:val="28"/>
        </w:rPr>
        <w:t>he number of Vietnamese people leaving the country up 6.1%.</w:t>
      </w:r>
    </w:p>
    <w:p w14:paraId="59E6E2F9" w14:textId="77777777" w:rsidR="008606C2" w:rsidRDefault="008606C2" w:rsidP="008606C2">
      <w:pPr>
        <w:spacing w:before="40" w:after="40"/>
        <w:ind w:firstLine="567"/>
        <w:jc w:val="both"/>
        <w:rPr>
          <w:rFonts w:ascii="Times New Roman" w:hAnsi="Times New Roman" w:cs="Times New Roman"/>
          <w:bCs/>
          <w:iCs/>
          <w:sz w:val="28"/>
          <w:szCs w:val="28"/>
          <w:lang w:val="en-US"/>
        </w:rPr>
      </w:pPr>
      <w:bookmarkStart w:id="2" w:name="_Hlk116891141"/>
      <w:bookmarkEnd w:id="1"/>
      <w:r w:rsidRPr="00210648">
        <w:rPr>
          <w:rFonts w:ascii="Times New Roman" w:hAnsi="Times New Roman" w:cs="Times New Roman"/>
          <w:color w:val="000000" w:themeColor="text1"/>
          <w:sz w:val="28"/>
          <w:szCs w:val="28"/>
          <w:lang w:val="it-IT"/>
        </w:rPr>
        <w:t xml:space="preserve">Total retail sales of consumer goods and services </w:t>
      </w:r>
      <w:r w:rsidRPr="001C1042">
        <w:rPr>
          <w:rFonts w:ascii="Times New Roman" w:hAnsi="Times New Roman" w:cs="Times New Roman"/>
          <w:color w:val="000000" w:themeColor="text1"/>
          <w:sz w:val="28"/>
          <w:szCs w:val="28"/>
          <w:lang w:val="it-IT"/>
        </w:rPr>
        <w:t>at current prices</w:t>
      </w:r>
      <w:r>
        <w:rPr>
          <w:rFonts w:ascii="Times New Roman" w:hAnsi="Times New Roman" w:cs="Times New Roman"/>
          <w:color w:val="000000" w:themeColor="text1"/>
          <w:sz w:val="28"/>
          <w:szCs w:val="28"/>
          <w:lang w:val="it-IT"/>
        </w:rPr>
        <w:t xml:space="preserve"> in</w:t>
      </w:r>
      <w:r w:rsidRPr="00210648">
        <w:rPr>
          <w:rFonts w:ascii="Times New Roman" w:hAnsi="Times New Roman" w:cs="Times New Roman"/>
          <w:color w:val="000000" w:themeColor="text1"/>
          <w:sz w:val="28"/>
          <w:szCs w:val="28"/>
          <w:lang w:val="it-IT"/>
        </w:rPr>
        <w:t xml:space="preserve"> the </w:t>
      </w:r>
      <w:r>
        <w:rPr>
          <w:rFonts w:ascii="Times New Roman" w:hAnsi="Times New Roman" w:cs="Times New Roman"/>
          <w:color w:val="000000" w:themeColor="text1"/>
          <w:sz w:val="28"/>
          <w:szCs w:val="28"/>
          <w:lang w:val="it-IT"/>
        </w:rPr>
        <w:t>third</w:t>
      </w:r>
      <w:r w:rsidRPr="00210648">
        <w:rPr>
          <w:rFonts w:ascii="Times New Roman" w:hAnsi="Times New Roman" w:cs="Times New Roman"/>
          <w:color w:val="000000" w:themeColor="text1"/>
          <w:sz w:val="28"/>
          <w:szCs w:val="28"/>
          <w:lang w:val="it-IT"/>
        </w:rPr>
        <w:t xml:space="preserve"> quarter of 2024</w:t>
      </w:r>
      <w:r>
        <w:rPr>
          <w:rFonts w:ascii="Times New Roman" w:hAnsi="Times New Roman" w:cs="Times New Roman"/>
          <w:color w:val="000000" w:themeColor="text1"/>
          <w:sz w:val="28"/>
          <w:szCs w:val="28"/>
          <w:lang w:val="it-IT"/>
        </w:rPr>
        <w:t xml:space="preserve"> </w:t>
      </w:r>
      <w:r w:rsidRPr="00210648">
        <w:rPr>
          <w:rFonts w:ascii="Times New Roman" w:hAnsi="Times New Roman" w:cs="Times New Roman"/>
          <w:color w:val="000000" w:themeColor="text1"/>
          <w:sz w:val="28"/>
          <w:szCs w:val="28"/>
          <w:lang w:val="it-IT"/>
        </w:rPr>
        <w:t>was estimated at 1,5</w:t>
      </w:r>
      <w:r>
        <w:rPr>
          <w:rFonts w:ascii="Times New Roman" w:hAnsi="Times New Roman" w:cs="Times New Roman"/>
          <w:color w:val="000000" w:themeColor="text1"/>
          <w:sz w:val="28"/>
          <w:szCs w:val="28"/>
          <w:lang w:val="it-IT"/>
        </w:rPr>
        <w:t>91.0</w:t>
      </w:r>
      <w:r w:rsidRPr="00210648">
        <w:rPr>
          <w:rFonts w:ascii="Times New Roman" w:hAnsi="Times New Roman" w:cs="Times New Roman"/>
          <w:color w:val="000000" w:themeColor="text1"/>
          <w:sz w:val="28"/>
          <w:szCs w:val="28"/>
          <w:lang w:val="it-IT"/>
        </w:rPr>
        <w:t xml:space="preserve"> trillion VND, up 1.</w:t>
      </w:r>
      <w:r>
        <w:rPr>
          <w:rFonts w:ascii="Times New Roman" w:hAnsi="Times New Roman" w:cs="Times New Roman"/>
          <w:color w:val="000000" w:themeColor="text1"/>
          <w:sz w:val="28"/>
          <w:szCs w:val="28"/>
          <w:lang w:val="it-IT"/>
        </w:rPr>
        <w:t>7</w:t>
      </w:r>
      <w:r w:rsidRPr="00210648">
        <w:rPr>
          <w:rFonts w:ascii="Times New Roman" w:hAnsi="Times New Roman" w:cs="Times New Roman"/>
          <w:color w:val="000000" w:themeColor="text1"/>
          <w:sz w:val="28"/>
          <w:szCs w:val="28"/>
          <w:lang w:val="it-IT"/>
        </w:rPr>
        <w:t xml:space="preserve">% compared to the previous quarter and </w:t>
      </w:r>
      <w:r>
        <w:rPr>
          <w:rFonts w:ascii="Times New Roman" w:hAnsi="Times New Roman" w:cs="Times New Roman"/>
          <w:color w:val="000000" w:themeColor="text1"/>
          <w:sz w:val="28"/>
          <w:szCs w:val="28"/>
          <w:lang w:val="it-IT"/>
        </w:rPr>
        <w:t xml:space="preserve">up </w:t>
      </w:r>
      <w:r w:rsidRPr="00210648">
        <w:rPr>
          <w:rFonts w:ascii="Times New Roman" w:hAnsi="Times New Roman" w:cs="Times New Roman"/>
          <w:color w:val="000000" w:themeColor="text1"/>
          <w:sz w:val="28"/>
          <w:szCs w:val="28"/>
          <w:lang w:val="it-IT"/>
        </w:rPr>
        <w:t>8.</w:t>
      </w:r>
      <w:r>
        <w:rPr>
          <w:rFonts w:ascii="Times New Roman" w:hAnsi="Times New Roman" w:cs="Times New Roman"/>
          <w:color w:val="000000" w:themeColor="text1"/>
          <w:sz w:val="28"/>
          <w:szCs w:val="28"/>
          <w:lang w:val="it-IT"/>
        </w:rPr>
        <w:t>4</w:t>
      </w:r>
      <w:r w:rsidRPr="00210648">
        <w:rPr>
          <w:rFonts w:ascii="Times New Roman" w:hAnsi="Times New Roman" w:cs="Times New Roman"/>
          <w:color w:val="000000" w:themeColor="text1"/>
          <w:sz w:val="28"/>
          <w:szCs w:val="28"/>
          <w:lang w:val="it-IT"/>
        </w:rPr>
        <w:t>% over the same period last year.</w:t>
      </w:r>
      <w:bookmarkEnd w:id="2"/>
      <w:r>
        <w:rPr>
          <w:rFonts w:ascii="Times New Roman" w:hAnsi="Times New Roman" w:cs="Times New Roman"/>
          <w:color w:val="000000" w:themeColor="text1"/>
          <w:sz w:val="28"/>
          <w:szCs w:val="28"/>
          <w:lang w:val="it-IT"/>
        </w:rPr>
        <w:t xml:space="preserve"> </w:t>
      </w:r>
      <w:r w:rsidRPr="00210648">
        <w:rPr>
          <w:rFonts w:ascii="Times New Roman" w:hAnsi="Times New Roman" w:cs="Times New Roman"/>
          <w:color w:val="000000" w:themeColor="text1"/>
          <w:sz w:val="28"/>
          <w:szCs w:val="28"/>
          <w:lang w:val="it-IT"/>
        </w:rPr>
        <w:t xml:space="preserve">Generally for </w:t>
      </w:r>
      <w:r>
        <w:rPr>
          <w:rFonts w:ascii="Times New Roman" w:hAnsi="Times New Roman" w:cs="Times New Roman"/>
          <w:color w:val="000000" w:themeColor="text1"/>
          <w:sz w:val="28"/>
          <w:szCs w:val="28"/>
          <w:lang w:val="it-IT"/>
        </w:rPr>
        <w:t>the 9 months</w:t>
      </w:r>
      <w:r w:rsidRPr="00210648">
        <w:rPr>
          <w:rFonts w:ascii="Times New Roman" w:hAnsi="Times New Roman" w:cs="Times New Roman"/>
          <w:color w:val="000000" w:themeColor="text1"/>
          <w:sz w:val="28"/>
          <w:szCs w:val="28"/>
          <w:lang w:val="it-IT"/>
        </w:rPr>
        <w:t xml:space="preserve"> of 2024, the total retail sales of consumer goods and services </w:t>
      </w:r>
      <w:r w:rsidRPr="001C1042">
        <w:rPr>
          <w:rFonts w:ascii="Times New Roman" w:hAnsi="Times New Roman" w:cs="Times New Roman"/>
          <w:color w:val="000000" w:themeColor="text1"/>
          <w:sz w:val="28"/>
          <w:szCs w:val="28"/>
          <w:lang w:val="it-IT"/>
        </w:rPr>
        <w:t>at current prices</w:t>
      </w:r>
      <w:r>
        <w:rPr>
          <w:rFonts w:ascii="Times New Roman" w:hAnsi="Times New Roman" w:cs="Times New Roman"/>
          <w:color w:val="000000" w:themeColor="text1"/>
          <w:sz w:val="28"/>
          <w:szCs w:val="28"/>
          <w:lang w:val="it-IT"/>
        </w:rPr>
        <w:t xml:space="preserve"> </w:t>
      </w:r>
      <w:r w:rsidRPr="00210648">
        <w:rPr>
          <w:rFonts w:ascii="Times New Roman" w:hAnsi="Times New Roman" w:cs="Times New Roman"/>
          <w:color w:val="000000" w:themeColor="text1"/>
          <w:sz w:val="28"/>
          <w:szCs w:val="28"/>
          <w:lang w:val="it-IT"/>
        </w:rPr>
        <w:t xml:space="preserve">was estimated at </w:t>
      </w:r>
      <w:r>
        <w:rPr>
          <w:rFonts w:ascii="Times New Roman" w:hAnsi="Times New Roman" w:cs="Times New Roman"/>
          <w:color w:val="000000" w:themeColor="text1"/>
          <w:sz w:val="28"/>
          <w:szCs w:val="28"/>
          <w:lang w:val="it-IT"/>
        </w:rPr>
        <w:t>4,703.4</w:t>
      </w:r>
      <w:r w:rsidRPr="00210648">
        <w:rPr>
          <w:rFonts w:ascii="Times New Roman" w:hAnsi="Times New Roman" w:cs="Times New Roman"/>
          <w:color w:val="000000" w:themeColor="text1"/>
          <w:sz w:val="28"/>
          <w:szCs w:val="28"/>
          <w:lang w:val="it-IT"/>
        </w:rPr>
        <w:t xml:space="preserve"> trillion VND, up 8.</w:t>
      </w:r>
      <w:r>
        <w:rPr>
          <w:rFonts w:ascii="Times New Roman" w:hAnsi="Times New Roman" w:cs="Times New Roman"/>
          <w:color w:val="000000" w:themeColor="text1"/>
          <w:sz w:val="28"/>
          <w:szCs w:val="28"/>
          <w:lang w:val="it-IT"/>
        </w:rPr>
        <w:t>8</w:t>
      </w:r>
      <w:r w:rsidRPr="00210648">
        <w:rPr>
          <w:rFonts w:ascii="Times New Roman" w:hAnsi="Times New Roman" w:cs="Times New Roman"/>
          <w:color w:val="000000" w:themeColor="text1"/>
          <w:sz w:val="28"/>
          <w:szCs w:val="28"/>
          <w:lang w:val="it-IT"/>
        </w:rPr>
        <w:t xml:space="preserve">% over the same period last year (up </w:t>
      </w:r>
      <w:r>
        <w:rPr>
          <w:rFonts w:ascii="Times New Roman" w:hAnsi="Times New Roman" w:cs="Times New Roman"/>
          <w:color w:val="000000" w:themeColor="text1"/>
          <w:sz w:val="28"/>
          <w:szCs w:val="28"/>
          <w:lang w:val="it-IT"/>
        </w:rPr>
        <w:t>10.1</w:t>
      </w:r>
      <w:r w:rsidRPr="00210648">
        <w:rPr>
          <w:rFonts w:ascii="Times New Roman" w:hAnsi="Times New Roman" w:cs="Times New Roman"/>
          <w:color w:val="000000" w:themeColor="text1"/>
          <w:sz w:val="28"/>
          <w:szCs w:val="28"/>
          <w:lang w:val="it-IT"/>
        </w:rPr>
        <w:t>% in the same period in 2023), if excluding the price factor, up 5.</w:t>
      </w:r>
      <w:r>
        <w:rPr>
          <w:rFonts w:ascii="Times New Roman" w:hAnsi="Times New Roman" w:cs="Times New Roman"/>
          <w:color w:val="000000" w:themeColor="text1"/>
          <w:sz w:val="28"/>
          <w:szCs w:val="28"/>
          <w:lang w:val="it-IT"/>
        </w:rPr>
        <w:t>8</w:t>
      </w:r>
      <w:r w:rsidRPr="00210648">
        <w:rPr>
          <w:rFonts w:ascii="Times New Roman" w:hAnsi="Times New Roman" w:cs="Times New Roman"/>
          <w:color w:val="000000" w:themeColor="text1"/>
          <w:sz w:val="28"/>
          <w:szCs w:val="28"/>
          <w:lang w:val="it-IT"/>
        </w:rPr>
        <w:t xml:space="preserve">% (the same period in 2023 increased by </w:t>
      </w:r>
      <w:r>
        <w:rPr>
          <w:rFonts w:ascii="Times New Roman" w:hAnsi="Times New Roman" w:cs="Times New Roman"/>
          <w:color w:val="000000" w:themeColor="text1"/>
          <w:sz w:val="28"/>
          <w:szCs w:val="28"/>
          <w:lang w:val="it-IT"/>
        </w:rPr>
        <w:t>7.6</w:t>
      </w:r>
      <w:r w:rsidRPr="00210648">
        <w:rPr>
          <w:rFonts w:ascii="Times New Roman" w:hAnsi="Times New Roman" w:cs="Times New Roman"/>
          <w:color w:val="000000" w:themeColor="text1"/>
          <w:sz w:val="28"/>
          <w:szCs w:val="28"/>
          <w:lang w:val="it-IT"/>
        </w:rPr>
        <w:t>%).</w:t>
      </w:r>
      <w:r>
        <w:rPr>
          <w:rFonts w:ascii="Times New Roman" w:hAnsi="Times New Roman" w:cs="Times New Roman"/>
          <w:color w:val="000000" w:themeColor="text1"/>
          <w:sz w:val="28"/>
          <w:szCs w:val="28"/>
          <w:lang w:val="it-IT"/>
        </w:rPr>
        <w:t xml:space="preserve"> </w:t>
      </w:r>
      <w:r w:rsidRPr="00D658E7">
        <w:rPr>
          <w:rFonts w:ascii="Times New Roman" w:hAnsi="Times New Roman" w:cs="Times New Roman"/>
          <w:color w:val="000000" w:themeColor="text1"/>
          <w:sz w:val="28"/>
          <w:szCs w:val="28"/>
          <w:lang w:val="it-IT"/>
        </w:rPr>
        <w:t>By industry</w:t>
      </w:r>
      <w:r>
        <w:rPr>
          <w:rFonts w:ascii="Times New Roman" w:hAnsi="Times New Roman" w:cs="Times New Roman"/>
          <w:color w:val="000000" w:themeColor="text1"/>
          <w:sz w:val="28"/>
          <w:szCs w:val="28"/>
          <w:lang w:val="it-IT"/>
        </w:rPr>
        <w:t xml:space="preserve">, </w:t>
      </w:r>
      <w:bookmarkStart w:id="3" w:name="_Hlk116892282"/>
      <w:r>
        <w:rPr>
          <w:rFonts w:ascii="Times New Roman" w:hAnsi="Times New Roman" w:cs="Times New Roman"/>
          <w:color w:val="000000" w:themeColor="text1"/>
          <w:sz w:val="28"/>
          <w:szCs w:val="28"/>
          <w:lang w:val="it-IT"/>
        </w:rPr>
        <w:t>r</w:t>
      </w:r>
      <w:r w:rsidRPr="00210648">
        <w:rPr>
          <w:rFonts w:ascii="Times New Roman" w:hAnsi="Times New Roman" w:cs="Times New Roman"/>
          <w:bCs/>
          <w:i/>
          <w:sz w:val="28"/>
          <w:szCs w:val="28"/>
          <w:lang w:val="nl-NL"/>
        </w:rPr>
        <w:t>etail sales of goods</w:t>
      </w:r>
      <w:r w:rsidRPr="00210648">
        <w:rPr>
          <w:rFonts w:ascii="Times New Roman" w:hAnsi="Times New Roman" w:cs="Times New Roman"/>
          <w:bCs/>
          <w:sz w:val="28"/>
          <w:szCs w:val="28"/>
          <w:lang w:val="nl-NL"/>
        </w:rPr>
        <w:t xml:space="preserve"> were estimated at </w:t>
      </w:r>
      <w:r>
        <w:rPr>
          <w:rFonts w:ascii="Times New Roman" w:hAnsi="Times New Roman" w:cs="Times New Roman"/>
          <w:bCs/>
          <w:sz w:val="28"/>
          <w:szCs w:val="28"/>
          <w:lang w:val="nl-NL"/>
        </w:rPr>
        <w:t>3,630.2</w:t>
      </w:r>
      <w:r w:rsidRPr="00210648">
        <w:rPr>
          <w:rFonts w:ascii="Times New Roman" w:hAnsi="Times New Roman" w:cs="Times New Roman"/>
          <w:bCs/>
          <w:sz w:val="28"/>
          <w:szCs w:val="28"/>
          <w:lang w:val="nl-NL"/>
        </w:rPr>
        <w:t xml:space="preserve"> trillion VND, up 7.</w:t>
      </w:r>
      <w:r>
        <w:rPr>
          <w:rFonts w:ascii="Times New Roman" w:hAnsi="Times New Roman" w:cs="Times New Roman"/>
          <w:bCs/>
          <w:sz w:val="28"/>
          <w:szCs w:val="28"/>
          <w:lang w:val="nl-NL"/>
        </w:rPr>
        <w:t>9</w:t>
      </w:r>
      <w:r w:rsidRPr="00210648">
        <w:rPr>
          <w:rFonts w:ascii="Times New Roman" w:hAnsi="Times New Roman" w:cs="Times New Roman"/>
          <w:bCs/>
          <w:sz w:val="28"/>
          <w:szCs w:val="28"/>
          <w:lang w:val="nl-NL"/>
        </w:rPr>
        <w:t>% over the same period last year</w:t>
      </w:r>
      <w:r>
        <w:rPr>
          <w:rFonts w:ascii="Times New Roman" w:hAnsi="Times New Roman" w:cs="Times New Roman"/>
          <w:bCs/>
          <w:sz w:val="28"/>
          <w:szCs w:val="28"/>
          <w:lang w:val="nl-NL"/>
        </w:rPr>
        <w:t xml:space="preserve">; </w:t>
      </w:r>
      <w:bookmarkStart w:id="4" w:name="_Hlk116892423"/>
      <w:bookmarkEnd w:id="3"/>
      <w:r>
        <w:rPr>
          <w:rFonts w:ascii="Times New Roman" w:hAnsi="Times New Roman" w:cs="Times New Roman"/>
          <w:bCs/>
          <w:sz w:val="28"/>
          <w:szCs w:val="28"/>
          <w:lang w:val="nl-NL"/>
        </w:rPr>
        <w:t>r</w:t>
      </w:r>
      <w:r w:rsidRPr="00210648">
        <w:rPr>
          <w:rFonts w:ascii="Times New Roman" w:hAnsi="Times New Roman" w:cs="Times New Roman"/>
          <w:bCs/>
          <w:i/>
          <w:sz w:val="28"/>
          <w:szCs w:val="28"/>
          <w:lang w:val="nl-NL"/>
        </w:rPr>
        <w:t>evenue from accommodation and food services</w:t>
      </w:r>
      <w:r w:rsidRPr="00210648">
        <w:rPr>
          <w:rFonts w:ascii="Times New Roman" w:hAnsi="Times New Roman" w:cs="Times New Roman"/>
          <w:bCs/>
          <w:sz w:val="28"/>
          <w:szCs w:val="28"/>
          <w:lang w:val="nl-NL"/>
        </w:rPr>
        <w:t xml:space="preserve"> was estimated at </w:t>
      </w:r>
      <w:r>
        <w:rPr>
          <w:rFonts w:ascii="Times New Roman" w:hAnsi="Times New Roman" w:cs="Times New Roman"/>
          <w:bCs/>
          <w:sz w:val="28"/>
          <w:szCs w:val="28"/>
          <w:lang w:val="nl-NL"/>
        </w:rPr>
        <w:t>543.0</w:t>
      </w:r>
      <w:r w:rsidRPr="00210648">
        <w:rPr>
          <w:rFonts w:ascii="Times New Roman" w:hAnsi="Times New Roman" w:cs="Times New Roman"/>
          <w:bCs/>
          <w:sz w:val="28"/>
          <w:szCs w:val="28"/>
          <w:lang w:val="nl-NL"/>
        </w:rPr>
        <w:t xml:space="preserve"> trillion VND, up </w:t>
      </w:r>
      <w:r>
        <w:rPr>
          <w:rFonts w:ascii="Times New Roman" w:hAnsi="Times New Roman" w:cs="Times New Roman"/>
          <w:bCs/>
          <w:sz w:val="28"/>
          <w:szCs w:val="28"/>
          <w:lang w:val="nl-NL"/>
        </w:rPr>
        <w:t>13.6</w:t>
      </w:r>
      <w:r w:rsidRPr="00210648">
        <w:rPr>
          <w:rFonts w:ascii="Times New Roman" w:hAnsi="Times New Roman" w:cs="Times New Roman"/>
          <w:bCs/>
          <w:sz w:val="28"/>
          <w:szCs w:val="28"/>
          <w:lang w:val="nl-NL"/>
        </w:rPr>
        <w:t>%</w:t>
      </w:r>
      <w:r>
        <w:rPr>
          <w:rFonts w:ascii="Times New Roman" w:hAnsi="Times New Roman" w:cs="Times New Roman"/>
          <w:bCs/>
          <w:sz w:val="28"/>
          <w:szCs w:val="28"/>
          <w:lang w:val="nl-NL"/>
        </w:rPr>
        <w:t xml:space="preserve">; </w:t>
      </w:r>
      <w:bookmarkStart w:id="5" w:name="_Hlk116906900"/>
      <w:bookmarkEnd w:id="4"/>
      <w:r>
        <w:rPr>
          <w:rFonts w:ascii="Times New Roman" w:hAnsi="Times New Roman" w:cs="Times New Roman"/>
          <w:bCs/>
          <w:sz w:val="28"/>
          <w:szCs w:val="28"/>
          <w:lang w:val="nl-NL"/>
        </w:rPr>
        <w:t>t</w:t>
      </w:r>
      <w:r w:rsidRPr="00210648">
        <w:rPr>
          <w:rFonts w:ascii="Times New Roman" w:hAnsi="Times New Roman" w:cs="Times New Roman"/>
          <w:i/>
          <w:sz w:val="28"/>
          <w:szCs w:val="28"/>
          <w:lang w:val="nl-NL"/>
        </w:rPr>
        <w:t>ourism revenue</w:t>
      </w:r>
      <w:r w:rsidRPr="00210648">
        <w:rPr>
          <w:rFonts w:ascii="Times New Roman" w:hAnsi="Times New Roman" w:cs="Times New Roman"/>
          <w:sz w:val="28"/>
          <w:szCs w:val="28"/>
          <w:lang w:val="nl-NL"/>
        </w:rPr>
        <w:t xml:space="preserve"> was estimated at </w:t>
      </w:r>
      <w:r>
        <w:rPr>
          <w:rFonts w:ascii="Times New Roman" w:hAnsi="Times New Roman" w:cs="Times New Roman"/>
          <w:sz w:val="28"/>
          <w:szCs w:val="28"/>
          <w:lang w:val="nl-NL"/>
        </w:rPr>
        <w:t>45.6</w:t>
      </w:r>
      <w:r w:rsidRPr="00210648">
        <w:rPr>
          <w:rFonts w:ascii="Times New Roman" w:hAnsi="Times New Roman" w:cs="Times New Roman"/>
          <w:sz w:val="28"/>
          <w:szCs w:val="28"/>
          <w:lang w:val="nl-NL"/>
        </w:rPr>
        <w:t xml:space="preserve"> trillion VND, up </w:t>
      </w:r>
      <w:r>
        <w:rPr>
          <w:rFonts w:ascii="Times New Roman" w:hAnsi="Times New Roman" w:cs="Times New Roman"/>
          <w:sz w:val="28"/>
          <w:szCs w:val="28"/>
          <w:lang w:val="nl-NL"/>
        </w:rPr>
        <w:t>16.7</w:t>
      </w:r>
      <w:r w:rsidRPr="00210648">
        <w:rPr>
          <w:rFonts w:ascii="Times New Roman" w:hAnsi="Times New Roman" w:cs="Times New Roman"/>
          <w:sz w:val="28"/>
          <w:szCs w:val="28"/>
          <w:lang w:val="nl-NL"/>
        </w:rPr>
        <w:t>%</w:t>
      </w:r>
      <w:bookmarkStart w:id="6" w:name="_Hlk116906955"/>
      <w:bookmarkEnd w:id="5"/>
      <w:r>
        <w:rPr>
          <w:rFonts w:ascii="Times New Roman" w:hAnsi="Times New Roman" w:cs="Times New Roman"/>
          <w:sz w:val="28"/>
          <w:szCs w:val="28"/>
          <w:lang w:val="nl-NL"/>
        </w:rPr>
        <w:t>; o</w:t>
      </w:r>
      <w:r w:rsidRPr="00210648">
        <w:rPr>
          <w:rFonts w:ascii="Times New Roman" w:hAnsi="Times New Roman" w:cs="Times New Roman"/>
          <w:bCs/>
          <w:i/>
          <w:sz w:val="28"/>
          <w:szCs w:val="28"/>
          <w:lang w:val="en-US"/>
        </w:rPr>
        <w:t>ther service revenue</w:t>
      </w:r>
      <w:r w:rsidRPr="00210648">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en-US"/>
        </w:rPr>
        <w:t>was</w:t>
      </w:r>
      <w:r w:rsidRPr="00210648">
        <w:rPr>
          <w:rFonts w:ascii="Times New Roman" w:hAnsi="Times New Roman" w:cs="Times New Roman"/>
          <w:bCs/>
          <w:iCs/>
          <w:sz w:val="28"/>
          <w:szCs w:val="28"/>
          <w:lang w:val="en-US"/>
        </w:rPr>
        <w:t xml:space="preserve"> estimated to reach </w:t>
      </w:r>
      <w:r>
        <w:rPr>
          <w:rFonts w:ascii="Times New Roman" w:hAnsi="Times New Roman" w:cs="Times New Roman"/>
          <w:bCs/>
          <w:iCs/>
          <w:sz w:val="28"/>
          <w:szCs w:val="28"/>
          <w:lang w:val="en-US"/>
        </w:rPr>
        <w:t>484.6</w:t>
      </w:r>
      <w:r w:rsidRPr="00210648">
        <w:rPr>
          <w:rFonts w:ascii="Times New Roman" w:hAnsi="Times New Roman" w:cs="Times New Roman"/>
          <w:bCs/>
          <w:iCs/>
          <w:sz w:val="28"/>
          <w:szCs w:val="28"/>
          <w:lang w:val="en-US"/>
        </w:rPr>
        <w:t xml:space="preserve"> trillion VND, up </w:t>
      </w:r>
      <w:r>
        <w:rPr>
          <w:rFonts w:ascii="Times New Roman" w:hAnsi="Times New Roman" w:cs="Times New Roman"/>
          <w:bCs/>
          <w:iCs/>
          <w:sz w:val="28"/>
          <w:szCs w:val="28"/>
          <w:lang w:val="en-US"/>
        </w:rPr>
        <w:t>9.2</w:t>
      </w:r>
      <w:r w:rsidRPr="00210648">
        <w:rPr>
          <w:rFonts w:ascii="Times New Roman" w:hAnsi="Times New Roman" w:cs="Times New Roman"/>
          <w:bCs/>
          <w:iCs/>
          <w:sz w:val="28"/>
          <w:szCs w:val="28"/>
          <w:lang w:val="en-US"/>
        </w:rPr>
        <w:t>%</w:t>
      </w:r>
      <w:bookmarkEnd w:id="6"/>
      <w:r>
        <w:rPr>
          <w:rFonts w:ascii="Times New Roman" w:hAnsi="Times New Roman" w:cs="Times New Roman"/>
          <w:bCs/>
          <w:iCs/>
          <w:sz w:val="28"/>
          <w:szCs w:val="28"/>
          <w:lang w:val="en-US"/>
        </w:rPr>
        <w:t>.</w:t>
      </w:r>
    </w:p>
    <w:p w14:paraId="099E5EAD" w14:textId="77777777" w:rsidR="008606C2" w:rsidRPr="00210648" w:rsidRDefault="008606C2" w:rsidP="008606C2">
      <w:pPr>
        <w:tabs>
          <w:tab w:val="left" w:pos="567"/>
        </w:tabs>
        <w:spacing w:before="120" w:after="120"/>
        <w:ind w:firstLine="567"/>
        <w:jc w:val="both"/>
        <w:rPr>
          <w:rFonts w:ascii="Times New Roman" w:hAnsi="Times New Roman" w:cs="Times New Roman"/>
          <w:b/>
          <w:bCs/>
          <w:i/>
          <w:iCs/>
          <w:sz w:val="28"/>
          <w:szCs w:val="28"/>
          <w:lang w:val="fr-FR"/>
        </w:rPr>
      </w:pPr>
      <w:r w:rsidRPr="00210648">
        <w:rPr>
          <w:rFonts w:ascii="Times New Roman" w:hAnsi="Times New Roman" w:cs="Times New Roman"/>
          <w:sz w:val="28"/>
          <w:szCs w:val="28"/>
          <w:lang w:val="pl-PL"/>
        </w:rPr>
        <w:lastRenderedPageBreak/>
        <w:t xml:space="preserve">In </w:t>
      </w:r>
      <w:r>
        <w:rPr>
          <w:rFonts w:ascii="Times New Roman" w:hAnsi="Times New Roman" w:cs="Times New Roman"/>
          <w:sz w:val="28"/>
          <w:szCs w:val="28"/>
          <w:lang w:val="pl-PL"/>
        </w:rPr>
        <w:t>9 months</w:t>
      </w:r>
      <w:r w:rsidRPr="00210648">
        <w:rPr>
          <w:rFonts w:ascii="Times New Roman" w:hAnsi="Times New Roman" w:cs="Times New Roman"/>
          <w:sz w:val="28"/>
          <w:szCs w:val="28"/>
          <w:lang w:val="pl-PL"/>
        </w:rPr>
        <w:t xml:space="preserve"> of 2024, passenger transport was estimated at </w:t>
      </w:r>
      <w:r>
        <w:rPr>
          <w:rFonts w:ascii="Times New Roman" w:hAnsi="Times New Roman" w:cs="Times New Roman"/>
          <w:sz w:val="28"/>
          <w:szCs w:val="28"/>
          <w:lang w:val="pl-PL"/>
        </w:rPr>
        <w:t>3,660.2</w:t>
      </w:r>
      <w:r w:rsidRPr="00210648">
        <w:rPr>
          <w:rFonts w:ascii="Times New Roman" w:hAnsi="Times New Roman" w:cs="Times New Roman"/>
          <w:sz w:val="28"/>
          <w:szCs w:val="28"/>
          <w:lang w:val="pl-PL"/>
        </w:rPr>
        <w:t xml:space="preserve"> million passengers </w:t>
      </w:r>
      <w:r w:rsidRPr="00210648">
        <w:rPr>
          <w:rFonts w:ascii="Times New Roman" w:hAnsi="Times New Roman" w:cs="Times New Roman"/>
          <w:sz w:val="28"/>
          <w:szCs w:val="28"/>
          <w:lang w:val="en-US"/>
        </w:rPr>
        <w:t>carried</w:t>
      </w:r>
      <w:r w:rsidRPr="00210648">
        <w:rPr>
          <w:rFonts w:ascii="Times New Roman" w:hAnsi="Times New Roman" w:cs="Times New Roman"/>
          <w:sz w:val="28"/>
          <w:szCs w:val="28"/>
          <w:lang w:val="pl-PL"/>
        </w:rPr>
        <w:t xml:space="preserve">, up </w:t>
      </w:r>
      <w:r>
        <w:rPr>
          <w:rFonts w:ascii="Times New Roman" w:hAnsi="Times New Roman" w:cs="Times New Roman"/>
          <w:sz w:val="28"/>
          <w:szCs w:val="28"/>
          <w:lang w:val="pl-PL"/>
        </w:rPr>
        <w:t>7.4</w:t>
      </w:r>
      <w:r w:rsidRPr="00210648">
        <w:rPr>
          <w:rFonts w:ascii="Times New Roman" w:hAnsi="Times New Roman" w:cs="Times New Roman"/>
          <w:sz w:val="28"/>
          <w:szCs w:val="28"/>
          <w:lang w:val="pl-PL"/>
        </w:rPr>
        <w:t xml:space="preserve">% over the same period last year (up </w:t>
      </w:r>
      <w:r>
        <w:rPr>
          <w:rFonts w:ascii="Times New Roman" w:hAnsi="Times New Roman" w:cs="Times New Roman"/>
          <w:sz w:val="28"/>
          <w:szCs w:val="28"/>
          <w:lang w:val="pl-PL"/>
        </w:rPr>
        <w:t>13.2</w:t>
      </w:r>
      <w:r w:rsidRPr="00210648">
        <w:rPr>
          <w:rFonts w:ascii="Times New Roman" w:hAnsi="Times New Roman" w:cs="Times New Roman"/>
          <w:sz w:val="28"/>
          <w:szCs w:val="28"/>
          <w:lang w:val="pl-PL"/>
        </w:rPr>
        <w:t xml:space="preserve">% in the same period in 2023) and passenger traffic was </w:t>
      </w:r>
      <w:r>
        <w:rPr>
          <w:rFonts w:ascii="Times New Roman" w:hAnsi="Times New Roman" w:cs="Times New Roman"/>
          <w:sz w:val="28"/>
          <w:szCs w:val="28"/>
          <w:lang w:val="pl-PL"/>
        </w:rPr>
        <w:t xml:space="preserve">204.6 </w:t>
      </w:r>
      <w:r w:rsidRPr="00210648">
        <w:rPr>
          <w:rFonts w:ascii="Times New Roman" w:hAnsi="Times New Roman" w:cs="Times New Roman"/>
          <w:sz w:val="28"/>
          <w:szCs w:val="28"/>
          <w:lang w:val="pl-PL"/>
        </w:rPr>
        <w:t xml:space="preserve">billion passengers.km, increased by </w:t>
      </w:r>
      <w:r>
        <w:rPr>
          <w:rFonts w:ascii="Times New Roman" w:hAnsi="Times New Roman" w:cs="Times New Roman"/>
          <w:sz w:val="28"/>
          <w:szCs w:val="28"/>
          <w:lang w:val="pl-PL"/>
        </w:rPr>
        <w:t>12.2</w:t>
      </w:r>
      <w:r w:rsidRPr="00210648">
        <w:rPr>
          <w:rFonts w:ascii="Times New Roman" w:hAnsi="Times New Roman" w:cs="Times New Roman"/>
          <w:sz w:val="28"/>
          <w:szCs w:val="28"/>
          <w:lang w:val="pl-PL"/>
        </w:rPr>
        <w:t xml:space="preserve">% (up </w:t>
      </w:r>
      <w:r>
        <w:rPr>
          <w:rFonts w:ascii="Times New Roman" w:hAnsi="Times New Roman" w:cs="Times New Roman"/>
          <w:sz w:val="28"/>
          <w:szCs w:val="28"/>
          <w:lang w:val="pl-PL"/>
        </w:rPr>
        <w:t>26.7</w:t>
      </w:r>
      <w:r w:rsidRPr="00210648">
        <w:rPr>
          <w:rFonts w:ascii="Times New Roman" w:hAnsi="Times New Roman" w:cs="Times New Roman"/>
          <w:sz w:val="28"/>
          <w:szCs w:val="28"/>
          <w:lang w:val="pl-PL"/>
        </w:rPr>
        <w:t xml:space="preserve">% in the same period in 2023). </w:t>
      </w:r>
      <w:bookmarkStart w:id="7" w:name="_Hlk116908268"/>
      <w:r w:rsidRPr="00210648">
        <w:rPr>
          <w:rFonts w:ascii="Times New Roman" w:hAnsi="Times New Roman" w:cs="Times New Roman"/>
          <w:i/>
          <w:sz w:val="28"/>
          <w:szCs w:val="28"/>
          <w:lang w:val="pl-PL"/>
        </w:rPr>
        <w:t>Freight transport</w:t>
      </w:r>
      <w:r>
        <w:rPr>
          <w:rFonts w:ascii="Times New Roman" w:hAnsi="Times New Roman" w:cs="Times New Roman"/>
          <w:sz w:val="28"/>
          <w:szCs w:val="28"/>
          <w:lang w:val="pl-PL"/>
        </w:rPr>
        <w:t xml:space="preserve"> </w:t>
      </w:r>
      <w:r w:rsidRPr="00210648">
        <w:rPr>
          <w:rFonts w:ascii="Times New Roman" w:hAnsi="Times New Roman" w:cs="Times New Roman"/>
          <w:color w:val="000000" w:themeColor="text1"/>
          <w:sz w:val="28"/>
          <w:szCs w:val="28"/>
          <w:lang w:val="it-IT"/>
        </w:rPr>
        <w:t>was</w:t>
      </w:r>
      <w:r w:rsidRPr="00210648">
        <w:rPr>
          <w:rFonts w:ascii="Times New Roman" w:hAnsi="Times New Roman" w:cs="Times New Roman"/>
          <w:sz w:val="28"/>
          <w:szCs w:val="28"/>
          <w:lang w:val="pl-PL"/>
        </w:rPr>
        <w:t xml:space="preserve"> estimated at </w:t>
      </w:r>
      <w:r>
        <w:rPr>
          <w:rFonts w:ascii="Times New Roman" w:hAnsi="Times New Roman" w:cs="Times New Roman"/>
          <w:sz w:val="28"/>
          <w:szCs w:val="28"/>
          <w:lang w:val="pl-PL"/>
        </w:rPr>
        <w:t>1,917.9</w:t>
      </w:r>
      <w:r w:rsidRPr="00210648">
        <w:rPr>
          <w:rFonts w:ascii="Times New Roman" w:hAnsi="Times New Roman" w:cs="Times New Roman"/>
          <w:sz w:val="28"/>
          <w:szCs w:val="28"/>
          <w:lang w:val="pl-PL"/>
        </w:rPr>
        <w:t xml:space="preserve"> million tons of </w:t>
      </w:r>
      <w:r w:rsidRPr="00210648">
        <w:rPr>
          <w:rFonts w:ascii="Times New Roman" w:hAnsi="Times New Roman" w:cs="Times New Roman"/>
          <w:color w:val="000000" w:themeColor="text1"/>
          <w:sz w:val="28"/>
          <w:szCs w:val="28"/>
          <w:lang w:val="en"/>
        </w:rPr>
        <w:t>freight carried</w:t>
      </w:r>
      <w:r w:rsidRPr="00210648">
        <w:rPr>
          <w:rFonts w:ascii="Times New Roman" w:hAnsi="Times New Roman" w:cs="Times New Roman"/>
          <w:sz w:val="28"/>
          <w:szCs w:val="28"/>
          <w:lang w:val="pl-PL"/>
        </w:rPr>
        <w:t xml:space="preserve">, up </w:t>
      </w:r>
      <w:r>
        <w:rPr>
          <w:rFonts w:ascii="Times New Roman" w:hAnsi="Times New Roman" w:cs="Times New Roman"/>
          <w:sz w:val="28"/>
          <w:szCs w:val="28"/>
          <w:lang w:val="pl-PL"/>
        </w:rPr>
        <w:t>13.7</w:t>
      </w:r>
      <w:r w:rsidRPr="00210648">
        <w:rPr>
          <w:rFonts w:ascii="Times New Roman" w:hAnsi="Times New Roman" w:cs="Times New Roman"/>
          <w:sz w:val="28"/>
          <w:szCs w:val="28"/>
          <w:lang w:val="pl-PL"/>
        </w:rPr>
        <w:t>% over the same period last year (</w:t>
      </w:r>
      <w:r>
        <w:rPr>
          <w:rFonts w:ascii="Times New Roman" w:hAnsi="Times New Roman" w:cs="Times New Roman"/>
          <w:sz w:val="28"/>
          <w:szCs w:val="28"/>
          <w:lang w:val="pl-PL"/>
        </w:rPr>
        <w:t>up</w:t>
      </w:r>
      <w:r w:rsidRPr="00210648">
        <w:rPr>
          <w:rFonts w:ascii="Times New Roman" w:hAnsi="Times New Roman" w:cs="Times New Roman"/>
          <w:sz w:val="28"/>
          <w:szCs w:val="28"/>
          <w:lang w:val="pl-PL"/>
        </w:rPr>
        <w:t xml:space="preserve"> </w:t>
      </w:r>
      <w:r>
        <w:rPr>
          <w:rFonts w:ascii="Times New Roman" w:hAnsi="Times New Roman" w:cs="Times New Roman"/>
          <w:sz w:val="28"/>
          <w:szCs w:val="28"/>
          <w:lang w:val="pl-PL"/>
        </w:rPr>
        <w:t>14.6</w:t>
      </w:r>
      <w:r w:rsidRPr="00210648">
        <w:rPr>
          <w:rFonts w:ascii="Times New Roman" w:hAnsi="Times New Roman" w:cs="Times New Roman"/>
          <w:sz w:val="28"/>
          <w:szCs w:val="28"/>
          <w:lang w:val="pl-PL"/>
        </w:rPr>
        <w:t>% in the same period in 202</w:t>
      </w:r>
      <w:r>
        <w:rPr>
          <w:rFonts w:ascii="Times New Roman" w:hAnsi="Times New Roman" w:cs="Times New Roman"/>
          <w:sz w:val="28"/>
          <w:szCs w:val="28"/>
          <w:lang w:val="pl-PL"/>
        </w:rPr>
        <w:t>3</w:t>
      </w:r>
      <w:r w:rsidRPr="00210648">
        <w:rPr>
          <w:rFonts w:ascii="Times New Roman" w:hAnsi="Times New Roman" w:cs="Times New Roman"/>
          <w:sz w:val="28"/>
          <w:szCs w:val="28"/>
          <w:lang w:val="pl-PL"/>
        </w:rPr>
        <w:t xml:space="preserve">) and </w:t>
      </w:r>
      <w:r>
        <w:rPr>
          <w:rFonts w:ascii="Times New Roman" w:hAnsi="Times New Roman" w:cs="Times New Roman"/>
          <w:sz w:val="28"/>
          <w:szCs w:val="28"/>
          <w:lang w:val="pl-PL"/>
        </w:rPr>
        <w:t>393.4</w:t>
      </w:r>
      <w:r w:rsidRPr="00210648">
        <w:rPr>
          <w:rFonts w:ascii="Times New Roman" w:hAnsi="Times New Roman" w:cs="Times New Roman"/>
          <w:sz w:val="28"/>
          <w:szCs w:val="28"/>
          <w:lang w:val="pl-PL"/>
        </w:rPr>
        <w:t xml:space="preserve"> billion tons.km </w:t>
      </w:r>
      <w:r w:rsidRPr="00210648">
        <w:rPr>
          <w:rFonts w:ascii="Times New Roman" w:hAnsi="Times New Roman" w:cs="Times New Roman"/>
          <w:color w:val="000000" w:themeColor="text1"/>
          <w:sz w:val="28"/>
          <w:szCs w:val="28"/>
          <w:lang w:val="en"/>
        </w:rPr>
        <w:t>of freight traffic</w:t>
      </w:r>
      <w:r w:rsidRPr="00210648">
        <w:rPr>
          <w:rFonts w:ascii="Times New Roman" w:hAnsi="Times New Roman" w:cs="Times New Roman"/>
          <w:sz w:val="28"/>
          <w:szCs w:val="28"/>
          <w:lang w:val="pl-PL"/>
        </w:rPr>
        <w:t xml:space="preserve">, an increase of </w:t>
      </w:r>
      <w:r>
        <w:rPr>
          <w:rFonts w:ascii="Times New Roman" w:hAnsi="Times New Roman" w:cs="Times New Roman"/>
          <w:sz w:val="28"/>
          <w:szCs w:val="28"/>
          <w:lang w:val="pl-PL"/>
        </w:rPr>
        <w:t>10.5</w:t>
      </w:r>
      <w:r w:rsidRPr="00210648">
        <w:rPr>
          <w:rFonts w:ascii="Times New Roman" w:hAnsi="Times New Roman" w:cs="Times New Roman"/>
          <w:sz w:val="28"/>
          <w:szCs w:val="28"/>
          <w:lang w:val="pl-PL"/>
        </w:rPr>
        <w:t xml:space="preserve">% (the same period last year </w:t>
      </w:r>
      <w:r>
        <w:rPr>
          <w:rFonts w:ascii="Times New Roman" w:hAnsi="Times New Roman" w:cs="Times New Roman"/>
          <w:sz w:val="28"/>
          <w:szCs w:val="28"/>
          <w:lang w:val="pl-PL"/>
        </w:rPr>
        <w:t>up</w:t>
      </w:r>
      <w:r w:rsidRPr="00210648">
        <w:rPr>
          <w:rFonts w:ascii="Times New Roman" w:hAnsi="Times New Roman" w:cs="Times New Roman"/>
          <w:sz w:val="28"/>
          <w:szCs w:val="28"/>
          <w:lang w:val="pl-PL"/>
        </w:rPr>
        <w:t xml:space="preserve"> </w:t>
      </w:r>
      <w:r>
        <w:rPr>
          <w:rFonts w:ascii="Times New Roman" w:hAnsi="Times New Roman" w:cs="Times New Roman"/>
          <w:sz w:val="28"/>
          <w:szCs w:val="28"/>
          <w:lang w:val="pl-PL"/>
        </w:rPr>
        <w:t>11.3</w:t>
      </w:r>
      <w:r w:rsidRPr="00210648">
        <w:rPr>
          <w:rFonts w:ascii="Times New Roman" w:hAnsi="Times New Roman" w:cs="Times New Roman"/>
          <w:sz w:val="28"/>
          <w:szCs w:val="28"/>
          <w:lang w:val="pl-PL"/>
        </w:rPr>
        <w:t xml:space="preserve">%). </w:t>
      </w:r>
      <w:bookmarkEnd w:id="7"/>
    </w:p>
    <w:p w14:paraId="1BA2BBC3" w14:textId="77777777" w:rsidR="008606C2" w:rsidRPr="00210648" w:rsidRDefault="008606C2" w:rsidP="008606C2">
      <w:pPr>
        <w:spacing w:before="120" w:after="120"/>
        <w:ind w:firstLine="567"/>
        <w:jc w:val="both"/>
        <w:rPr>
          <w:rFonts w:ascii="Times New Roman" w:hAnsi="Times New Roman" w:cs="Times New Roman"/>
          <w:bCs/>
          <w:iCs/>
          <w:sz w:val="28"/>
          <w:szCs w:val="28"/>
          <w:lang w:val="en-US"/>
        </w:rPr>
      </w:pPr>
      <w:bookmarkStart w:id="8" w:name="_Hlk116908641"/>
      <w:r w:rsidRPr="00210648">
        <w:rPr>
          <w:rFonts w:ascii="Times New Roman" w:hAnsi="Times New Roman" w:cs="Times New Roman"/>
          <w:bCs/>
          <w:iCs/>
          <w:sz w:val="28"/>
          <w:szCs w:val="28"/>
          <w:lang w:val="en-US"/>
        </w:rPr>
        <w:t xml:space="preserve">Telecommunications revenue in </w:t>
      </w:r>
      <w:r>
        <w:rPr>
          <w:rFonts w:ascii="Times New Roman" w:hAnsi="Times New Roman" w:cs="Times New Roman"/>
          <w:bCs/>
          <w:iCs/>
          <w:sz w:val="28"/>
          <w:szCs w:val="28"/>
          <w:lang w:val="en-US"/>
        </w:rPr>
        <w:t>9 months</w:t>
      </w:r>
      <w:r w:rsidRPr="00210648">
        <w:rPr>
          <w:rFonts w:ascii="Times New Roman" w:hAnsi="Times New Roman" w:cs="Times New Roman"/>
          <w:bCs/>
          <w:iCs/>
          <w:sz w:val="28"/>
          <w:szCs w:val="28"/>
          <w:lang w:val="en-US"/>
        </w:rPr>
        <w:t xml:space="preserve"> of 2024</w:t>
      </w:r>
      <w:r>
        <w:rPr>
          <w:rFonts w:ascii="Times New Roman" w:hAnsi="Times New Roman" w:cs="Times New Roman"/>
          <w:bCs/>
          <w:iCs/>
          <w:sz w:val="28"/>
          <w:szCs w:val="28"/>
          <w:lang w:val="en-US"/>
        </w:rPr>
        <w:t xml:space="preserve"> </w:t>
      </w:r>
      <w:r w:rsidRPr="00210648">
        <w:rPr>
          <w:rFonts w:ascii="Times New Roman" w:hAnsi="Times New Roman" w:cs="Times New Roman"/>
          <w:bCs/>
          <w:iCs/>
          <w:sz w:val="28"/>
          <w:szCs w:val="28"/>
          <w:lang w:val="en-US"/>
        </w:rPr>
        <w:t xml:space="preserve">was estimated at </w:t>
      </w:r>
      <w:r>
        <w:rPr>
          <w:rFonts w:ascii="Times New Roman" w:hAnsi="Times New Roman" w:cs="Times New Roman"/>
          <w:bCs/>
          <w:iCs/>
          <w:sz w:val="28"/>
          <w:szCs w:val="28"/>
          <w:lang w:val="en-US"/>
        </w:rPr>
        <w:t>265.9</w:t>
      </w:r>
      <w:r w:rsidRPr="00210648">
        <w:rPr>
          <w:rFonts w:ascii="Times New Roman" w:hAnsi="Times New Roman" w:cs="Times New Roman"/>
          <w:bCs/>
          <w:iCs/>
          <w:sz w:val="28"/>
          <w:szCs w:val="28"/>
          <w:lang w:val="en-US"/>
        </w:rPr>
        <w:t xml:space="preserve"> trillion VND, up </w:t>
      </w:r>
      <w:r>
        <w:rPr>
          <w:rFonts w:ascii="Times New Roman" w:hAnsi="Times New Roman" w:cs="Times New Roman"/>
          <w:bCs/>
          <w:iCs/>
          <w:sz w:val="28"/>
          <w:szCs w:val="28"/>
          <w:lang w:val="en-US"/>
        </w:rPr>
        <w:t>4.2</w:t>
      </w:r>
      <w:r w:rsidRPr="00210648">
        <w:rPr>
          <w:rFonts w:ascii="Times New Roman" w:hAnsi="Times New Roman" w:cs="Times New Roman"/>
          <w:bCs/>
          <w:iCs/>
          <w:sz w:val="28"/>
          <w:szCs w:val="28"/>
          <w:lang w:val="en-US"/>
        </w:rPr>
        <w:t xml:space="preserve">% over the same period last year (if excluding the price factor, it increased by </w:t>
      </w:r>
      <w:r>
        <w:rPr>
          <w:rFonts w:ascii="Times New Roman" w:hAnsi="Times New Roman" w:cs="Times New Roman"/>
          <w:bCs/>
          <w:iCs/>
          <w:sz w:val="28"/>
          <w:szCs w:val="28"/>
          <w:lang w:val="en-US"/>
        </w:rPr>
        <w:t>4.9</w:t>
      </w:r>
      <w:r w:rsidRPr="00210648">
        <w:rPr>
          <w:rFonts w:ascii="Times New Roman" w:hAnsi="Times New Roman" w:cs="Times New Roman"/>
          <w:bCs/>
          <w:iCs/>
          <w:sz w:val="28"/>
          <w:szCs w:val="28"/>
          <w:lang w:val="en-US"/>
        </w:rPr>
        <w:t>%).</w:t>
      </w:r>
      <w:bookmarkStart w:id="9" w:name="_Hlk116908699"/>
      <w:bookmarkEnd w:id="8"/>
      <w:r>
        <w:rPr>
          <w:rFonts w:ascii="Times New Roman" w:hAnsi="Times New Roman" w:cs="Times New Roman"/>
          <w:bCs/>
          <w:iCs/>
          <w:sz w:val="28"/>
          <w:szCs w:val="28"/>
          <w:lang w:val="en-US"/>
        </w:rPr>
        <w:t xml:space="preserve"> </w:t>
      </w:r>
      <w:r w:rsidRPr="00210648">
        <w:rPr>
          <w:rFonts w:ascii="Times New Roman" w:hAnsi="Times New Roman" w:cs="Times New Roman"/>
          <w:bCs/>
          <w:iCs/>
          <w:sz w:val="28"/>
          <w:szCs w:val="28"/>
          <w:lang w:val="en-US"/>
        </w:rPr>
        <w:t xml:space="preserve">The total number of telephone subscribers at the end of </w:t>
      </w:r>
      <w:r>
        <w:rPr>
          <w:rFonts w:ascii="Times New Roman" w:hAnsi="Times New Roman" w:cs="Times New Roman"/>
          <w:bCs/>
          <w:iCs/>
          <w:sz w:val="28"/>
          <w:szCs w:val="28"/>
          <w:lang w:val="en-US"/>
        </w:rPr>
        <w:t>September</w:t>
      </w:r>
      <w:r w:rsidRPr="00210648">
        <w:rPr>
          <w:rFonts w:ascii="Times New Roman" w:hAnsi="Times New Roman" w:cs="Times New Roman"/>
          <w:bCs/>
          <w:iCs/>
          <w:sz w:val="28"/>
          <w:szCs w:val="28"/>
          <w:lang w:val="en-US"/>
        </w:rPr>
        <w:t xml:space="preserve"> 202</w:t>
      </w:r>
      <w:r>
        <w:rPr>
          <w:rFonts w:ascii="Times New Roman" w:hAnsi="Times New Roman" w:cs="Times New Roman"/>
          <w:bCs/>
          <w:iCs/>
          <w:sz w:val="28"/>
          <w:szCs w:val="28"/>
          <w:lang w:val="en-US"/>
        </w:rPr>
        <w:t>4</w:t>
      </w:r>
      <w:r w:rsidRPr="00210648">
        <w:rPr>
          <w:rFonts w:ascii="Times New Roman" w:hAnsi="Times New Roman" w:cs="Times New Roman"/>
          <w:bCs/>
          <w:iCs/>
          <w:sz w:val="28"/>
          <w:szCs w:val="28"/>
          <w:lang w:val="en-US"/>
        </w:rPr>
        <w:t xml:space="preserve"> was estimated at </w:t>
      </w:r>
      <w:r>
        <w:rPr>
          <w:rFonts w:ascii="Times New Roman" w:hAnsi="Times New Roman" w:cs="Times New Roman"/>
          <w:bCs/>
          <w:iCs/>
          <w:sz w:val="28"/>
          <w:szCs w:val="28"/>
          <w:lang w:val="en-US"/>
        </w:rPr>
        <w:t>121.7</w:t>
      </w:r>
      <w:r w:rsidRPr="00210648">
        <w:rPr>
          <w:rFonts w:ascii="Times New Roman" w:hAnsi="Times New Roman" w:cs="Times New Roman"/>
          <w:bCs/>
          <w:iCs/>
          <w:sz w:val="28"/>
          <w:szCs w:val="28"/>
          <w:lang w:val="en-US"/>
        </w:rPr>
        <w:t xml:space="preserve"> million subscribers, </w:t>
      </w:r>
      <w:r>
        <w:rPr>
          <w:rFonts w:ascii="Times New Roman" w:hAnsi="Times New Roman" w:cs="Times New Roman"/>
          <w:bCs/>
          <w:iCs/>
          <w:sz w:val="28"/>
          <w:szCs w:val="28"/>
          <w:lang w:val="en-US"/>
        </w:rPr>
        <w:t>down</w:t>
      </w:r>
      <w:r w:rsidRPr="00210648">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en-US"/>
        </w:rPr>
        <w:t>4.6</w:t>
      </w:r>
      <w:r w:rsidRPr="00210648">
        <w:rPr>
          <w:rFonts w:ascii="Times New Roman" w:hAnsi="Times New Roman" w:cs="Times New Roman"/>
          <w:bCs/>
          <w:iCs/>
          <w:sz w:val="28"/>
          <w:szCs w:val="28"/>
          <w:lang w:val="en-US"/>
        </w:rPr>
        <w:t>% over the same period last year</w:t>
      </w:r>
      <w:r>
        <w:rPr>
          <w:rFonts w:ascii="Times New Roman" w:hAnsi="Times New Roman" w:cs="Times New Roman"/>
          <w:bCs/>
          <w:iCs/>
          <w:sz w:val="28"/>
          <w:szCs w:val="28"/>
          <w:lang w:val="en-US"/>
        </w:rPr>
        <w:t>, o</w:t>
      </w:r>
      <w:r w:rsidRPr="003B5278">
        <w:rPr>
          <w:rFonts w:ascii="Times New Roman" w:hAnsi="Times New Roman" w:cs="Times New Roman"/>
          <w:bCs/>
          <w:iCs/>
          <w:sz w:val="28"/>
          <w:szCs w:val="28"/>
          <w:lang w:val="en-US"/>
        </w:rPr>
        <w:t>f which, the number of mobile subscribers at that time was 119.</w:t>
      </w:r>
      <w:r>
        <w:rPr>
          <w:rFonts w:ascii="Times New Roman" w:hAnsi="Times New Roman" w:cs="Times New Roman"/>
          <w:bCs/>
          <w:iCs/>
          <w:sz w:val="28"/>
          <w:szCs w:val="28"/>
          <w:lang w:val="en-US"/>
        </w:rPr>
        <w:t>3</w:t>
      </w:r>
      <w:r w:rsidRPr="003B5278">
        <w:rPr>
          <w:rFonts w:ascii="Times New Roman" w:hAnsi="Times New Roman" w:cs="Times New Roman"/>
          <w:bCs/>
          <w:iCs/>
          <w:sz w:val="28"/>
          <w:szCs w:val="28"/>
          <w:lang w:val="en-US"/>
        </w:rPr>
        <w:t xml:space="preserve"> million, down </w:t>
      </w:r>
      <w:r>
        <w:rPr>
          <w:rFonts w:ascii="Times New Roman" w:hAnsi="Times New Roman" w:cs="Times New Roman"/>
          <w:bCs/>
          <w:iCs/>
          <w:sz w:val="28"/>
          <w:szCs w:val="28"/>
          <w:lang w:val="en-US"/>
        </w:rPr>
        <w:t>4.8</w:t>
      </w:r>
      <w:r w:rsidRPr="003B5278">
        <w:rPr>
          <w:rFonts w:ascii="Times New Roman" w:hAnsi="Times New Roman" w:cs="Times New Roman"/>
          <w:bCs/>
          <w:iCs/>
          <w:sz w:val="28"/>
          <w:szCs w:val="28"/>
          <w:lang w:val="en-US"/>
        </w:rPr>
        <w:t>%</w:t>
      </w:r>
      <w:r w:rsidRPr="00034F82">
        <w:rPr>
          <w:rStyle w:val="FootnoteReference"/>
          <w:rFonts w:ascii="Times New Roman" w:eastAsiaTheme="majorEastAsia" w:hAnsi="Times New Roman"/>
          <w:bCs/>
          <w:iCs/>
          <w:spacing w:val="-2"/>
          <w:sz w:val="28"/>
          <w:szCs w:val="28"/>
        </w:rPr>
        <w:footnoteReference w:id="18"/>
      </w:r>
      <w:r>
        <w:rPr>
          <w:rFonts w:ascii="Times New Roman" w:hAnsi="Times New Roman" w:cs="Times New Roman"/>
          <w:bCs/>
          <w:iCs/>
          <w:spacing w:val="-2"/>
          <w:sz w:val="28"/>
          <w:szCs w:val="28"/>
        </w:rPr>
        <w:t>; t</w:t>
      </w:r>
      <w:r w:rsidRPr="00210648">
        <w:rPr>
          <w:rFonts w:ascii="Times New Roman" w:hAnsi="Times New Roman" w:cs="Times New Roman"/>
          <w:bCs/>
          <w:iCs/>
          <w:sz w:val="28"/>
          <w:szCs w:val="28"/>
          <w:lang w:val="en-US"/>
        </w:rPr>
        <w:t xml:space="preserve">he number of subscribers accessing fixed broadband internet at the end of </w:t>
      </w:r>
      <w:r>
        <w:rPr>
          <w:rFonts w:ascii="Times New Roman" w:hAnsi="Times New Roman" w:cs="Times New Roman"/>
          <w:bCs/>
          <w:iCs/>
          <w:sz w:val="28"/>
          <w:szCs w:val="28"/>
          <w:lang w:val="en-US"/>
        </w:rPr>
        <w:t>September</w:t>
      </w:r>
      <w:r w:rsidRPr="00210648">
        <w:rPr>
          <w:rFonts w:ascii="Times New Roman" w:hAnsi="Times New Roman" w:cs="Times New Roman"/>
          <w:bCs/>
          <w:iCs/>
          <w:sz w:val="28"/>
          <w:szCs w:val="28"/>
          <w:lang w:val="en-US"/>
        </w:rPr>
        <w:t xml:space="preserve"> was estimated at </w:t>
      </w:r>
      <w:r>
        <w:rPr>
          <w:rFonts w:ascii="Times New Roman" w:hAnsi="Times New Roman" w:cs="Times New Roman"/>
          <w:bCs/>
          <w:iCs/>
          <w:sz w:val="28"/>
          <w:szCs w:val="28"/>
          <w:lang w:val="en-US"/>
        </w:rPr>
        <w:t>23.8</w:t>
      </w:r>
      <w:r w:rsidRPr="00210648">
        <w:rPr>
          <w:rFonts w:ascii="Times New Roman" w:hAnsi="Times New Roman" w:cs="Times New Roman"/>
          <w:bCs/>
          <w:iCs/>
          <w:sz w:val="28"/>
          <w:szCs w:val="28"/>
          <w:lang w:val="en-US"/>
        </w:rPr>
        <w:t xml:space="preserve"> million subscribers, up </w:t>
      </w:r>
      <w:r>
        <w:rPr>
          <w:rFonts w:ascii="Times New Roman" w:hAnsi="Times New Roman" w:cs="Times New Roman"/>
          <w:bCs/>
          <w:iCs/>
          <w:sz w:val="28"/>
          <w:szCs w:val="28"/>
          <w:lang w:val="en-US"/>
        </w:rPr>
        <w:t>5.9</w:t>
      </w:r>
      <w:r w:rsidRPr="00210648">
        <w:rPr>
          <w:rFonts w:ascii="Times New Roman" w:hAnsi="Times New Roman" w:cs="Times New Roman"/>
          <w:bCs/>
          <w:iCs/>
          <w:sz w:val="28"/>
          <w:szCs w:val="28"/>
          <w:lang w:val="en-US"/>
        </w:rPr>
        <w:t>%.</w:t>
      </w:r>
    </w:p>
    <w:p w14:paraId="4D09E20F" w14:textId="77777777" w:rsidR="008606C2" w:rsidRPr="00210648" w:rsidRDefault="008606C2" w:rsidP="008606C2">
      <w:pPr>
        <w:shd w:val="clear" w:color="auto" w:fill="FFFFFF"/>
        <w:spacing w:before="120" w:after="120"/>
        <w:ind w:firstLine="567"/>
        <w:jc w:val="both"/>
        <w:rPr>
          <w:rFonts w:ascii="Times New Roman" w:hAnsi="Times New Roman" w:cs="Times New Roman"/>
          <w:sz w:val="28"/>
          <w:szCs w:val="28"/>
          <w:lang w:val="en-US"/>
        </w:rPr>
      </w:pPr>
      <w:bookmarkStart w:id="10" w:name="_Hlk116908930"/>
      <w:bookmarkEnd w:id="9"/>
      <w:r w:rsidRPr="00210648">
        <w:rPr>
          <w:rFonts w:ascii="Times New Roman" w:hAnsi="Times New Roman" w:cs="Times New Roman"/>
          <w:sz w:val="28"/>
          <w:szCs w:val="28"/>
          <w:lang w:val="en-US"/>
        </w:rPr>
        <w:t xml:space="preserve">International visitors to Viet Nam in </w:t>
      </w:r>
      <w:r>
        <w:rPr>
          <w:rFonts w:ascii="Times New Roman" w:hAnsi="Times New Roman" w:cs="Times New Roman"/>
          <w:sz w:val="28"/>
          <w:szCs w:val="28"/>
          <w:lang w:val="en-US"/>
        </w:rPr>
        <w:t>9/2024</w:t>
      </w:r>
      <w:r w:rsidRPr="00210648">
        <w:rPr>
          <w:rStyle w:val="FootnoteReference"/>
          <w:sz w:val="28"/>
          <w:szCs w:val="28"/>
        </w:rPr>
        <w:footnoteReference w:id="19"/>
      </w:r>
      <w:r w:rsidRPr="00210648">
        <w:rPr>
          <w:rFonts w:ascii="Times New Roman" w:hAnsi="Times New Roman" w:cs="Times New Roman"/>
          <w:sz w:val="28"/>
          <w:szCs w:val="28"/>
          <w:lang w:val="en-US"/>
        </w:rPr>
        <w:t xml:space="preserve"> reached </w:t>
      </w:r>
      <w:r>
        <w:rPr>
          <w:rFonts w:ascii="Times New Roman" w:hAnsi="Times New Roman" w:cs="Times New Roman"/>
          <w:sz w:val="28"/>
          <w:szCs w:val="28"/>
          <w:lang w:val="en-US"/>
        </w:rPr>
        <w:t>nearly</w:t>
      </w:r>
      <w:r w:rsidRPr="00210648">
        <w:rPr>
          <w:rFonts w:ascii="Times New Roman" w:hAnsi="Times New Roman" w:cs="Times New Roman"/>
          <w:sz w:val="28"/>
          <w:szCs w:val="28"/>
          <w:lang w:val="en-US"/>
        </w:rPr>
        <w:t xml:space="preserve"> 1</w:t>
      </w:r>
      <w:r>
        <w:rPr>
          <w:rFonts w:ascii="Times New Roman" w:hAnsi="Times New Roman" w:cs="Times New Roman"/>
          <w:sz w:val="28"/>
          <w:szCs w:val="28"/>
          <w:lang w:val="en-US"/>
        </w:rPr>
        <w:t>.3</w:t>
      </w:r>
      <w:r w:rsidRPr="00210648">
        <w:rPr>
          <w:rFonts w:ascii="Times New Roman" w:hAnsi="Times New Roman" w:cs="Times New Roman"/>
          <w:sz w:val="28"/>
          <w:szCs w:val="28"/>
          <w:lang w:val="en-US"/>
        </w:rPr>
        <w:t xml:space="preserve"> </w:t>
      </w:r>
      <w:proofErr w:type="gramStart"/>
      <w:r w:rsidRPr="00210648">
        <w:rPr>
          <w:rFonts w:ascii="Times New Roman" w:hAnsi="Times New Roman" w:cs="Times New Roman"/>
          <w:sz w:val="28"/>
          <w:szCs w:val="28"/>
          <w:lang w:val="en-US"/>
        </w:rPr>
        <w:t>millions</w:t>
      </w:r>
      <w:proofErr w:type="gramEnd"/>
      <w:r w:rsidRPr="00210648">
        <w:rPr>
          <w:rFonts w:ascii="Times New Roman" w:hAnsi="Times New Roman" w:cs="Times New Roman"/>
          <w:sz w:val="28"/>
          <w:szCs w:val="28"/>
          <w:lang w:val="en-US"/>
        </w:rPr>
        <w:t xml:space="preserve"> arrivals, </w:t>
      </w:r>
      <w:r>
        <w:rPr>
          <w:rFonts w:ascii="Times New Roman" w:hAnsi="Times New Roman" w:cs="Times New Roman"/>
          <w:sz w:val="28"/>
          <w:szCs w:val="28"/>
          <w:lang w:val="en-US"/>
        </w:rPr>
        <w:t>up</w:t>
      </w:r>
      <w:r w:rsidRPr="00210648">
        <w:rPr>
          <w:rFonts w:ascii="Times New Roman" w:hAnsi="Times New Roman" w:cs="Times New Roman"/>
          <w:sz w:val="28"/>
          <w:szCs w:val="28"/>
          <w:lang w:val="en-US"/>
        </w:rPr>
        <w:t xml:space="preserve"> </w:t>
      </w:r>
      <w:r>
        <w:rPr>
          <w:rFonts w:ascii="Times New Roman" w:hAnsi="Times New Roman" w:cs="Times New Roman"/>
          <w:sz w:val="28"/>
          <w:szCs w:val="28"/>
          <w:lang w:val="en-US"/>
        </w:rPr>
        <w:t>20.9</w:t>
      </w:r>
      <w:r w:rsidRPr="00210648">
        <w:rPr>
          <w:rFonts w:ascii="Times New Roman" w:hAnsi="Times New Roman" w:cs="Times New Roman"/>
          <w:sz w:val="28"/>
          <w:szCs w:val="28"/>
          <w:lang w:val="en-US"/>
        </w:rPr>
        <w:t>% compared to the same period last year.</w:t>
      </w:r>
      <w:r w:rsidRPr="00210648">
        <w:rPr>
          <w:lang w:val="en-US"/>
        </w:rPr>
        <w:t xml:space="preserve"> </w:t>
      </w:r>
      <w:r w:rsidRPr="00210648">
        <w:rPr>
          <w:rFonts w:ascii="Times New Roman" w:hAnsi="Times New Roman" w:cs="Times New Roman"/>
          <w:sz w:val="28"/>
          <w:szCs w:val="28"/>
          <w:lang w:val="en-US"/>
        </w:rPr>
        <w:t xml:space="preserve">In </w:t>
      </w:r>
      <w:r>
        <w:rPr>
          <w:rFonts w:ascii="Times New Roman" w:hAnsi="Times New Roman" w:cs="Times New Roman"/>
          <w:sz w:val="28"/>
          <w:szCs w:val="28"/>
          <w:lang w:val="en-US"/>
        </w:rPr>
        <w:t>9 months</w:t>
      </w:r>
      <w:r w:rsidRPr="00210648">
        <w:rPr>
          <w:rFonts w:ascii="Times New Roman" w:hAnsi="Times New Roman" w:cs="Times New Roman"/>
          <w:sz w:val="28"/>
          <w:szCs w:val="28"/>
          <w:lang w:val="en-US"/>
        </w:rPr>
        <w:t xml:space="preserve"> of 2024, international visitors to </w:t>
      </w:r>
      <w:r>
        <w:rPr>
          <w:rFonts w:ascii="Times New Roman" w:hAnsi="Times New Roman" w:cs="Times New Roman"/>
          <w:sz w:val="28"/>
          <w:szCs w:val="28"/>
          <w:lang w:val="en-US"/>
        </w:rPr>
        <w:t>Viet Nam</w:t>
      </w:r>
      <w:r w:rsidRPr="00210648">
        <w:rPr>
          <w:rFonts w:ascii="Times New Roman" w:hAnsi="Times New Roman" w:cs="Times New Roman"/>
          <w:sz w:val="28"/>
          <w:szCs w:val="28"/>
          <w:lang w:val="en-US"/>
        </w:rPr>
        <w:t xml:space="preserve"> reached </w:t>
      </w:r>
      <w:r>
        <w:rPr>
          <w:rFonts w:ascii="Times New Roman" w:hAnsi="Times New Roman" w:cs="Times New Roman"/>
          <w:sz w:val="28"/>
          <w:szCs w:val="28"/>
          <w:lang w:val="en-US"/>
        </w:rPr>
        <w:t>12.7</w:t>
      </w:r>
      <w:r w:rsidRPr="00210648">
        <w:rPr>
          <w:rFonts w:ascii="Times New Roman" w:hAnsi="Times New Roman" w:cs="Times New Roman"/>
          <w:sz w:val="28"/>
          <w:szCs w:val="28"/>
          <w:lang w:val="en-US"/>
        </w:rPr>
        <w:t xml:space="preserve"> million arrivals, </w:t>
      </w:r>
      <w:r>
        <w:rPr>
          <w:rFonts w:ascii="Times New Roman" w:hAnsi="Times New Roman" w:cs="Times New Roman"/>
          <w:sz w:val="28"/>
          <w:szCs w:val="28"/>
          <w:lang w:val="en-US"/>
        </w:rPr>
        <w:t>up</w:t>
      </w:r>
      <w:r w:rsidRPr="00210648">
        <w:rPr>
          <w:rFonts w:ascii="Times New Roman" w:hAnsi="Times New Roman" w:cs="Times New Roman"/>
          <w:sz w:val="28"/>
          <w:szCs w:val="28"/>
          <w:lang w:val="en-US"/>
        </w:rPr>
        <w:t xml:space="preserve"> </w:t>
      </w:r>
      <w:r>
        <w:rPr>
          <w:rFonts w:ascii="Times New Roman" w:hAnsi="Times New Roman" w:cs="Times New Roman"/>
          <w:sz w:val="28"/>
          <w:szCs w:val="28"/>
          <w:lang w:val="en-US"/>
        </w:rPr>
        <w:t>43.0</w:t>
      </w:r>
      <w:r w:rsidRPr="0021064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over </w:t>
      </w:r>
      <w:r w:rsidRPr="00210648">
        <w:rPr>
          <w:rFonts w:ascii="Times New Roman" w:hAnsi="Times New Roman" w:cs="Times New Roman"/>
          <w:sz w:val="28"/>
          <w:szCs w:val="28"/>
          <w:lang w:val="en-US"/>
        </w:rPr>
        <w:t>the same period last year.</w:t>
      </w:r>
      <w:r w:rsidRPr="00210648">
        <w:rPr>
          <w:lang w:val="en-US"/>
        </w:rPr>
        <w:t xml:space="preserve"> </w:t>
      </w:r>
      <w:bookmarkStart w:id="11" w:name="_Hlk116909014"/>
      <w:bookmarkEnd w:id="10"/>
      <w:r w:rsidRPr="00210648">
        <w:rPr>
          <w:rFonts w:ascii="Times New Roman" w:hAnsi="Times New Roman" w:cs="Times New Roman"/>
          <w:sz w:val="28"/>
          <w:szCs w:val="28"/>
          <w:lang w:val="en-US"/>
        </w:rPr>
        <w:t xml:space="preserve">Out of a total of </w:t>
      </w:r>
      <w:r>
        <w:rPr>
          <w:rFonts w:ascii="Times New Roman" w:hAnsi="Times New Roman" w:cs="Times New Roman"/>
          <w:sz w:val="28"/>
          <w:szCs w:val="28"/>
          <w:lang w:val="en-US"/>
        </w:rPr>
        <w:t>12.7</w:t>
      </w:r>
      <w:r w:rsidRPr="00210648">
        <w:rPr>
          <w:rFonts w:ascii="Times New Roman" w:hAnsi="Times New Roman" w:cs="Times New Roman"/>
          <w:sz w:val="28"/>
          <w:szCs w:val="28"/>
          <w:lang w:val="en-US"/>
        </w:rPr>
        <w:t xml:space="preserve"> million international arrivals to Viet Nam </w:t>
      </w:r>
      <w:r>
        <w:rPr>
          <w:rFonts w:ascii="Times New Roman" w:hAnsi="Times New Roman" w:cs="Times New Roman"/>
          <w:sz w:val="28"/>
          <w:szCs w:val="28"/>
          <w:lang w:val="en-US"/>
        </w:rPr>
        <w:t xml:space="preserve">in 9 months </w:t>
      </w:r>
      <w:r w:rsidRPr="00210648">
        <w:rPr>
          <w:rFonts w:ascii="Times New Roman" w:hAnsi="Times New Roman" w:cs="Times New Roman"/>
          <w:sz w:val="28"/>
          <w:szCs w:val="28"/>
          <w:lang w:val="en-US"/>
        </w:rPr>
        <w:t xml:space="preserve">of this year, arrivals by air reached </w:t>
      </w:r>
      <w:r>
        <w:rPr>
          <w:rFonts w:ascii="Times New Roman" w:hAnsi="Times New Roman" w:cs="Times New Roman"/>
          <w:sz w:val="28"/>
          <w:szCs w:val="28"/>
          <w:lang w:val="en-US"/>
        </w:rPr>
        <w:t>10.8</w:t>
      </w:r>
      <w:r w:rsidRPr="00210648">
        <w:rPr>
          <w:rFonts w:ascii="Times New Roman" w:hAnsi="Times New Roman" w:cs="Times New Roman"/>
          <w:sz w:val="28"/>
          <w:szCs w:val="28"/>
          <w:lang w:val="en-US"/>
        </w:rPr>
        <w:t xml:space="preserve"> million arrivals, accounting for </w:t>
      </w:r>
      <w:r>
        <w:rPr>
          <w:rFonts w:ascii="Times New Roman" w:hAnsi="Times New Roman" w:cs="Times New Roman"/>
          <w:sz w:val="28"/>
          <w:szCs w:val="28"/>
          <w:lang w:val="en-US"/>
        </w:rPr>
        <w:t>84.9</w:t>
      </w:r>
      <w:r w:rsidRPr="00210648">
        <w:rPr>
          <w:rFonts w:ascii="Times New Roman" w:hAnsi="Times New Roman" w:cs="Times New Roman"/>
          <w:sz w:val="28"/>
          <w:szCs w:val="28"/>
          <w:lang w:val="en-US"/>
        </w:rPr>
        <w:t xml:space="preserve">% of international arrivals to Viet Nam and </w:t>
      </w:r>
      <w:r>
        <w:rPr>
          <w:rFonts w:ascii="Times New Roman" w:hAnsi="Times New Roman" w:cs="Times New Roman"/>
          <w:sz w:val="28"/>
          <w:szCs w:val="28"/>
          <w:lang w:val="en-US"/>
        </w:rPr>
        <w:t xml:space="preserve">up 38.7% over </w:t>
      </w:r>
      <w:r w:rsidRPr="00210648">
        <w:rPr>
          <w:rFonts w:ascii="Times New Roman" w:hAnsi="Times New Roman" w:cs="Times New Roman"/>
          <w:sz w:val="28"/>
          <w:szCs w:val="28"/>
          <w:lang w:val="en-US"/>
        </w:rPr>
        <w:t xml:space="preserve">the same period last year; by road reached </w:t>
      </w:r>
      <w:r>
        <w:rPr>
          <w:rFonts w:ascii="Times New Roman" w:hAnsi="Times New Roman" w:cs="Times New Roman"/>
          <w:sz w:val="28"/>
          <w:szCs w:val="28"/>
          <w:lang w:val="en-US"/>
        </w:rPr>
        <w:t>nearly</w:t>
      </w:r>
      <w:r w:rsidRPr="00210648">
        <w:rPr>
          <w:rFonts w:ascii="Times New Roman" w:hAnsi="Times New Roman" w:cs="Times New Roman"/>
          <w:sz w:val="28"/>
          <w:szCs w:val="28"/>
          <w:lang w:val="en-US"/>
        </w:rPr>
        <w:t xml:space="preserve"> 1</w:t>
      </w:r>
      <w:r>
        <w:rPr>
          <w:rFonts w:ascii="Times New Roman" w:hAnsi="Times New Roman" w:cs="Times New Roman"/>
          <w:sz w:val="28"/>
          <w:szCs w:val="28"/>
          <w:lang w:val="en-US"/>
        </w:rPr>
        <w:t>.8</w:t>
      </w:r>
      <w:r w:rsidRPr="00210648">
        <w:rPr>
          <w:rFonts w:ascii="Times New Roman" w:hAnsi="Times New Roman" w:cs="Times New Roman"/>
          <w:sz w:val="28"/>
          <w:szCs w:val="28"/>
          <w:lang w:val="en-US"/>
        </w:rPr>
        <w:t xml:space="preserve"> million turns of people, accounting for </w:t>
      </w:r>
      <w:r>
        <w:rPr>
          <w:rFonts w:ascii="Times New Roman" w:hAnsi="Times New Roman" w:cs="Times New Roman"/>
          <w:sz w:val="28"/>
          <w:szCs w:val="28"/>
          <w:lang w:val="en-US"/>
        </w:rPr>
        <w:t>13.8</w:t>
      </w:r>
      <w:r w:rsidRPr="00210648">
        <w:rPr>
          <w:rFonts w:ascii="Times New Roman" w:hAnsi="Times New Roman" w:cs="Times New Roman"/>
          <w:sz w:val="28"/>
          <w:szCs w:val="28"/>
          <w:lang w:val="en-US"/>
        </w:rPr>
        <w:t xml:space="preserve">% and </w:t>
      </w:r>
      <w:r>
        <w:rPr>
          <w:rFonts w:ascii="Times New Roman" w:hAnsi="Times New Roman" w:cs="Times New Roman"/>
          <w:sz w:val="28"/>
          <w:szCs w:val="28"/>
          <w:lang w:val="en-US"/>
        </w:rPr>
        <w:t>up 68.1%</w:t>
      </w:r>
      <w:r w:rsidRPr="00210648">
        <w:rPr>
          <w:rFonts w:ascii="Times New Roman" w:hAnsi="Times New Roman" w:cs="Times New Roman"/>
          <w:sz w:val="28"/>
          <w:szCs w:val="28"/>
          <w:lang w:val="en-US"/>
        </w:rPr>
        <w:t xml:space="preserve">; by sea reached </w:t>
      </w:r>
      <w:r>
        <w:rPr>
          <w:rFonts w:ascii="Times New Roman" w:hAnsi="Times New Roman" w:cs="Times New Roman"/>
          <w:sz w:val="28"/>
          <w:szCs w:val="28"/>
          <w:lang w:val="en-US"/>
        </w:rPr>
        <w:t>165.7</w:t>
      </w:r>
      <w:r w:rsidRPr="00210648">
        <w:rPr>
          <w:rFonts w:ascii="Times New Roman" w:hAnsi="Times New Roman" w:cs="Times New Roman"/>
          <w:sz w:val="28"/>
          <w:szCs w:val="28"/>
          <w:lang w:val="en-US"/>
        </w:rPr>
        <w:t xml:space="preserve"> thousand arrivals, accounting for </w:t>
      </w:r>
      <w:r>
        <w:rPr>
          <w:rFonts w:ascii="Times New Roman" w:hAnsi="Times New Roman" w:cs="Times New Roman"/>
          <w:sz w:val="28"/>
          <w:szCs w:val="28"/>
          <w:lang w:val="en-US"/>
        </w:rPr>
        <w:t>1.3</w:t>
      </w:r>
      <w:r w:rsidRPr="00210648">
        <w:rPr>
          <w:rFonts w:ascii="Times New Roman" w:hAnsi="Times New Roman" w:cs="Times New Roman"/>
          <w:sz w:val="28"/>
          <w:szCs w:val="28"/>
          <w:lang w:val="en-US"/>
        </w:rPr>
        <w:t xml:space="preserve">% and </w:t>
      </w:r>
      <w:r w:rsidRPr="00932345">
        <w:rPr>
          <w:rFonts w:ascii="Times New Roman" w:hAnsi="Times New Roman" w:cs="Times New Roman"/>
          <w:sz w:val="28"/>
          <w:szCs w:val="28"/>
          <w:lang w:val="en-US"/>
        </w:rPr>
        <w:t xml:space="preserve"> </w:t>
      </w:r>
      <w:r>
        <w:rPr>
          <w:rFonts w:ascii="Times New Roman" w:hAnsi="Times New Roman" w:cs="Times New Roman"/>
          <w:sz w:val="28"/>
          <w:szCs w:val="28"/>
          <w:lang w:val="en-US"/>
        </w:rPr>
        <w:t>up 158.7%</w:t>
      </w:r>
      <w:r w:rsidRPr="00210648">
        <w:rPr>
          <w:rFonts w:ascii="Times New Roman" w:hAnsi="Times New Roman" w:cs="Times New Roman"/>
          <w:sz w:val="28"/>
          <w:szCs w:val="28"/>
          <w:lang w:val="en-US"/>
        </w:rPr>
        <w:t>.</w:t>
      </w:r>
    </w:p>
    <w:bookmarkEnd w:id="11"/>
    <w:p w14:paraId="14ACC6A2" w14:textId="26D2A708" w:rsidR="008606C2" w:rsidRPr="008606C2" w:rsidRDefault="008606C2" w:rsidP="008606C2">
      <w:pPr>
        <w:spacing w:before="120" w:after="120"/>
        <w:ind w:firstLine="567"/>
        <w:jc w:val="both"/>
      </w:pPr>
      <w:r w:rsidRPr="00210648">
        <w:rPr>
          <w:rFonts w:ascii="Times New Roman" w:hAnsi="Times New Roman" w:cs="Times New Roman"/>
          <w:sz w:val="28"/>
          <w:szCs w:val="28"/>
        </w:rPr>
        <w:t>The number of Vietnamese people leaving the country</w:t>
      </w:r>
      <w:r>
        <w:rPr>
          <w:rStyle w:val="FootnoteReference"/>
          <w:rFonts w:ascii="Times New Roman" w:hAnsi="Times New Roman"/>
          <w:sz w:val="28"/>
          <w:szCs w:val="28"/>
        </w:rPr>
        <w:footnoteReference w:id="20"/>
      </w:r>
      <w:r w:rsidRPr="00210648">
        <w:rPr>
          <w:rFonts w:ascii="Times New Roman" w:hAnsi="Times New Roman" w:cs="Times New Roman"/>
          <w:sz w:val="28"/>
          <w:szCs w:val="28"/>
        </w:rPr>
        <w:t xml:space="preserve"> in </w:t>
      </w:r>
      <w:r>
        <w:rPr>
          <w:rFonts w:ascii="Times New Roman" w:hAnsi="Times New Roman" w:cs="Times New Roman"/>
          <w:sz w:val="28"/>
          <w:szCs w:val="28"/>
        </w:rPr>
        <w:t>September</w:t>
      </w:r>
      <w:r w:rsidRPr="00210648">
        <w:rPr>
          <w:rFonts w:ascii="Times New Roman" w:hAnsi="Times New Roman" w:cs="Times New Roman"/>
          <w:sz w:val="28"/>
          <w:szCs w:val="28"/>
        </w:rPr>
        <w:t xml:space="preserve"> 202</w:t>
      </w:r>
      <w:r>
        <w:rPr>
          <w:rFonts w:ascii="Times New Roman" w:hAnsi="Times New Roman" w:cs="Times New Roman"/>
          <w:sz w:val="28"/>
          <w:szCs w:val="28"/>
        </w:rPr>
        <w:t>4</w:t>
      </w:r>
      <w:r w:rsidRPr="00210648">
        <w:rPr>
          <w:rFonts w:ascii="Times New Roman" w:hAnsi="Times New Roman" w:cs="Times New Roman"/>
          <w:sz w:val="28"/>
          <w:szCs w:val="28"/>
        </w:rPr>
        <w:t xml:space="preserve"> </w:t>
      </w:r>
      <w:r w:rsidRPr="00210648">
        <w:rPr>
          <w:rFonts w:ascii="Times New Roman" w:hAnsi="Times New Roman" w:cs="Times New Roman"/>
          <w:color w:val="000000" w:themeColor="text1"/>
          <w:sz w:val="28"/>
          <w:szCs w:val="28"/>
          <w:lang w:val="it-IT"/>
        </w:rPr>
        <w:t>was</w:t>
      </w:r>
      <w:r w:rsidRPr="00210648">
        <w:rPr>
          <w:rFonts w:ascii="Times New Roman" w:hAnsi="Times New Roman" w:cs="Times New Roman"/>
          <w:sz w:val="28"/>
          <w:szCs w:val="28"/>
        </w:rPr>
        <w:t xml:space="preserve"> </w:t>
      </w:r>
      <w:r>
        <w:rPr>
          <w:rFonts w:ascii="Times New Roman" w:hAnsi="Times New Roman" w:cs="Times New Roman"/>
          <w:sz w:val="28"/>
          <w:szCs w:val="28"/>
        </w:rPr>
        <w:t>421.8</w:t>
      </w:r>
      <w:r w:rsidRPr="00210648">
        <w:rPr>
          <w:rFonts w:ascii="Times New Roman" w:hAnsi="Times New Roman" w:cs="Times New Roman"/>
          <w:sz w:val="28"/>
          <w:szCs w:val="28"/>
        </w:rPr>
        <w:t xml:space="preserve"> thousand people, </w:t>
      </w:r>
      <w:r>
        <w:rPr>
          <w:rFonts w:ascii="Times New Roman" w:hAnsi="Times New Roman" w:cs="Times New Roman"/>
          <w:sz w:val="28"/>
          <w:szCs w:val="28"/>
        </w:rPr>
        <w:t>de</w:t>
      </w:r>
      <w:r w:rsidRPr="00210648">
        <w:rPr>
          <w:rFonts w:ascii="Times New Roman" w:hAnsi="Times New Roman" w:cs="Times New Roman"/>
          <w:sz w:val="28"/>
          <w:szCs w:val="28"/>
        </w:rPr>
        <w:t xml:space="preserve">crease of </w:t>
      </w:r>
      <w:r>
        <w:rPr>
          <w:rFonts w:ascii="Times New Roman" w:hAnsi="Times New Roman" w:cs="Times New Roman"/>
          <w:sz w:val="28"/>
          <w:szCs w:val="28"/>
        </w:rPr>
        <w:t>15.9</w:t>
      </w:r>
      <w:r w:rsidRPr="00210648">
        <w:rPr>
          <w:rFonts w:ascii="Times New Roman" w:hAnsi="Times New Roman" w:cs="Times New Roman"/>
          <w:sz w:val="28"/>
          <w:szCs w:val="28"/>
        </w:rPr>
        <w:t xml:space="preserve">% over the same period last year. </w:t>
      </w:r>
      <w:r>
        <w:rPr>
          <w:rFonts w:ascii="Times New Roman" w:hAnsi="Times New Roman" w:cs="Times New Roman"/>
          <w:sz w:val="28"/>
          <w:szCs w:val="28"/>
        </w:rPr>
        <w:t xml:space="preserve">In 9 months </w:t>
      </w:r>
      <w:r w:rsidRPr="00210648">
        <w:rPr>
          <w:rFonts w:ascii="Times New Roman" w:hAnsi="Times New Roman" w:cs="Times New Roman"/>
          <w:sz w:val="28"/>
          <w:szCs w:val="28"/>
        </w:rPr>
        <w:t>of 202</w:t>
      </w:r>
      <w:r>
        <w:rPr>
          <w:rFonts w:ascii="Times New Roman" w:hAnsi="Times New Roman" w:cs="Times New Roman"/>
          <w:sz w:val="28"/>
          <w:szCs w:val="28"/>
        </w:rPr>
        <w:t>4</w:t>
      </w:r>
      <w:r w:rsidRPr="00210648">
        <w:rPr>
          <w:rFonts w:ascii="Times New Roman" w:hAnsi="Times New Roman" w:cs="Times New Roman"/>
          <w:sz w:val="28"/>
          <w:szCs w:val="28"/>
        </w:rPr>
        <w:t xml:space="preserve">, the number of Vietnamese leaving the country reached </w:t>
      </w:r>
      <w:r>
        <w:rPr>
          <w:rFonts w:ascii="Times New Roman" w:hAnsi="Times New Roman" w:cs="Times New Roman"/>
          <w:sz w:val="28"/>
          <w:szCs w:val="28"/>
        </w:rPr>
        <w:t>4.1</w:t>
      </w:r>
      <w:r w:rsidRPr="00210648">
        <w:rPr>
          <w:rFonts w:ascii="Times New Roman" w:hAnsi="Times New Roman" w:cs="Times New Roman"/>
          <w:sz w:val="28"/>
          <w:szCs w:val="28"/>
        </w:rPr>
        <w:t xml:space="preserve"> million, </w:t>
      </w:r>
      <w:r>
        <w:rPr>
          <w:rFonts w:ascii="Times New Roman" w:hAnsi="Times New Roman" w:cs="Times New Roman"/>
          <w:sz w:val="28"/>
          <w:szCs w:val="28"/>
        </w:rPr>
        <w:t xml:space="preserve">up 6.1% over </w:t>
      </w:r>
      <w:r w:rsidRPr="00210648">
        <w:rPr>
          <w:rFonts w:ascii="Times New Roman" w:hAnsi="Times New Roman" w:cs="Times New Roman"/>
          <w:sz w:val="28"/>
          <w:szCs w:val="28"/>
        </w:rPr>
        <w:t>the same period last year.</w:t>
      </w:r>
    </w:p>
    <w:p w14:paraId="24E2FFD9" w14:textId="77777777" w:rsidR="008606C2" w:rsidRPr="00CE1A27" w:rsidRDefault="008606C2" w:rsidP="008606C2">
      <w:pPr>
        <w:shd w:val="clear" w:color="auto" w:fill="FFFFFF"/>
        <w:tabs>
          <w:tab w:val="left" w:pos="630"/>
        </w:tabs>
        <w:spacing w:after="120" w:line="264" w:lineRule="auto"/>
        <w:ind w:firstLine="720"/>
        <w:jc w:val="both"/>
        <w:rPr>
          <w:rFonts w:ascii="Times New Roman Bold Italic" w:hAnsi="Times New Roman Bold Italic" w:cs="Times New Roman"/>
          <w:b/>
          <w:i/>
          <w:color w:val="000000" w:themeColor="text1"/>
          <w:sz w:val="28"/>
          <w:szCs w:val="28"/>
          <w:lang w:val="pl-PL"/>
        </w:rPr>
      </w:pPr>
      <w:r w:rsidRPr="00CE1A27">
        <w:rPr>
          <w:rFonts w:ascii="Times New Roman Bold Italic" w:hAnsi="Times New Roman Bold Italic" w:cs="Times New Roman"/>
          <w:b/>
          <w:i/>
          <w:color w:val="000000" w:themeColor="text1"/>
          <w:sz w:val="28"/>
          <w:szCs w:val="28"/>
        </w:rPr>
        <w:t>6.</w:t>
      </w:r>
      <w:r w:rsidRPr="00CE1A27">
        <w:rPr>
          <w:rFonts w:ascii="Times New Roman Bold Italic" w:hAnsi="Times New Roman Bold Italic" w:cs="Times New Roman"/>
          <w:b/>
          <w:i/>
          <w:color w:val="000000" w:themeColor="text1"/>
          <w:sz w:val="28"/>
          <w:szCs w:val="28"/>
          <w:lang w:val="vi-VN"/>
        </w:rPr>
        <w:t xml:space="preserve"> </w:t>
      </w:r>
      <w:r w:rsidRPr="00E50EB5">
        <w:rPr>
          <w:rFonts w:ascii="Times New Roman Bold Italic" w:hAnsi="Times New Roman Bold Italic" w:cs="Times New Roman"/>
          <w:b/>
          <w:i/>
          <w:color w:val="000000" w:themeColor="text1"/>
          <w:sz w:val="28"/>
          <w:szCs w:val="28"/>
          <w:lang w:val="pl-PL"/>
        </w:rPr>
        <w:t>Lending interest rates have decreased, creating conditions for businesses to access capital, expand production and business, and achieve good credit growth. The insurance market has flourished, and premium revenue has begun to increase again. The stock market has recorded positive signs of recovery, and market liquidity has improved significantly.</w:t>
      </w:r>
    </w:p>
    <w:p w14:paraId="337DF3CF" w14:textId="77777777" w:rsidR="008606C2" w:rsidRPr="00D15E97" w:rsidRDefault="008606C2" w:rsidP="008606C2">
      <w:pPr>
        <w:shd w:val="clear" w:color="auto" w:fill="FFFFFF"/>
        <w:tabs>
          <w:tab w:val="left" w:pos="630"/>
        </w:tabs>
        <w:spacing w:after="120" w:line="264" w:lineRule="auto"/>
        <w:ind w:firstLine="720"/>
        <w:jc w:val="both"/>
        <w:rPr>
          <w:rFonts w:ascii="Times New Roman" w:hAnsi="Times New Roman" w:cs="Times New Roman"/>
          <w:color w:val="000000" w:themeColor="text1"/>
          <w:sz w:val="28"/>
          <w:szCs w:val="28"/>
          <w:lang w:val="pl-PL" w:eastAsia="en-GB"/>
        </w:rPr>
      </w:pPr>
      <w:r w:rsidRPr="00E50EB5">
        <w:rPr>
          <w:rFonts w:ascii="Times New Roman" w:hAnsi="Times New Roman" w:cs="Times New Roman"/>
          <w:color w:val="000000" w:themeColor="text1"/>
          <w:sz w:val="28"/>
          <w:szCs w:val="28"/>
          <w:lang w:val="pl-PL"/>
        </w:rPr>
        <w:lastRenderedPageBreak/>
        <w:t>As of September 27, 2024, total means of payment increased by 5.10% compared to the end of 2023 (same period last year increased by 5.40%); capital mobilization of credit institutions increased by 4.79% (same period last year increased by 6.63%); the economy's credit growth reached 8.53% (same period last year increased by 6.24%).</w:t>
      </w:r>
      <w:r w:rsidRPr="00D15E97">
        <w:rPr>
          <w:rFonts w:ascii="Times New Roman" w:hAnsi="Times New Roman" w:cs="Times New Roman"/>
          <w:color w:val="000000" w:themeColor="text1"/>
          <w:sz w:val="28"/>
          <w:szCs w:val="28"/>
          <w:lang w:val="pl-PL"/>
        </w:rPr>
        <w:t xml:space="preserve"> </w:t>
      </w:r>
    </w:p>
    <w:p w14:paraId="01FF2D16" w14:textId="77777777" w:rsidR="008606C2" w:rsidRPr="00D15E97" w:rsidRDefault="008606C2" w:rsidP="008606C2">
      <w:pPr>
        <w:shd w:val="clear" w:color="auto" w:fill="FFFFFF"/>
        <w:tabs>
          <w:tab w:val="left" w:pos="630"/>
        </w:tabs>
        <w:spacing w:after="120" w:line="264" w:lineRule="auto"/>
        <w:ind w:firstLine="720"/>
        <w:jc w:val="both"/>
        <w:rPr>
          <w:rFonts w:ascii="Times New Roman" w:hAnsi="Times New Roman" w:cs="Times New Roman"/>
          <w:color w:val="000000" w:themeColor="text1"/>
          <w:sz w:val="28"/>
          <w:szCs w:val="28"/>
        </w:rPr>
      </w:pPr>
      <w:r w:rsidRPr="009A7EEF">
        <w:rPr>
          <w:rFonts w:ascii="Times New Roman" w:hAnsi="Times New Roman" w:cs="Times New Roman"/>
          <w:i/>
          <w:spacing w:val="-2"/>
          <w:sz w:val="28"/>
          <w:szCs w:val="28"/>
        </w:rPr>
        <w:t>Regarding the insurance market</w:t>
      </w:r>
      <w:r w:rsidRPr="009A7EEF">
        <w:rPr>
          <w:rFonts w:ascii="Times New Roman" w:hAnsi="Times New Roman" w:cs="Times New Roman"/>
          <w:spacing w:val="-2"/>
          <w:sz w:val="28"/>
          <w:szCs w:val="28"/>
        </w:rPr>
        <w:t xml:space="preserve">, </w:t>
      </w:r>
      <w:r w:rsidRPr="009A7EEF">
        <w:rPr>
          <w:rFonts w:ascii="Times New Roman" w:hAnsi="Times New Roman" w:cs="Times New Roman"/>
          <w:spacing w:val="-2"/>
          <w:sz w:val="28"/>
          <w:szCs w:val="28"/>
          <w:lang w:val="pl-PL"/>
        </w:rPr>
        <w:t xml:space="preserve">total </w:t>
      </w:r>
      <w:r w:rsidRPr="009A7EEF">
        <w:rPr>
          <w:rFonts w:ascii="Times New Roman" w:hAnsi="Times New Roman" w:cs="Times New Roman"/>
          <w:spacing w:val="-2"/>
          <w:sz w:val="28"/>
          <w:szCs w:val="28"/>
        </w:rPr>
        <w:t xml:space="preserve">premium revenue in the third quarter of 2024 </w:t>
      </w:r>
      <w:r>
        <w:rPr>
          <w:rFonts w:ascii="Times New Roman" w:hAnsi="Times New Roman" w:cs="Times New Roman"/>
          <w:spacing w:val="-2"/>
          <w:sz w:val="28"/>
          <w:szCs w:val="28"/>
        </w:rPr>
        <w:t>wa</w:t>
      </w:r>
      <w:r w:rsidRPr="009A7EEF">
        <w:rPr>
          <w:rFonts w:ascii="Times New Roman" w:hAnsi="Times New Roman" w:cs="Times New Roman"/>
          <w:spacing w:val="-2"/>
          <w:sz w:val="28"/>
          <w:szCs w:val="28"/>
        </w:rPr>
        <w:t>s estimated at VND 56.4 trillion, up 6.9% over the same period in 2023</w:t>
      </w:r>
      <w:r w:rsidRPr="00D15E97">
        <w:rPr>
          <w:rFonts w:ascii="Times New Roman" w:hAnsi="Times New Roman" w:cs="Times New Roman"/>
          <w:color w:val="000000" w:themeColor="text1"/>
          <w:sz w:val="28"/>
          <w:szCs w:val="28"/>
        </w:rPr>
        <w:t xml:space="preserve">. </w:t>
      </w:r>
      <w:r w:rsidRPr="009A7EEF">
        <w:rPr>
          <w:rFonts w:ascii="Times New Roman" w:hAnsi="Times New Roman" w:cs="Times New Roman"/>
          <w:spacing w:val="-2"/>
          <w:sz w:val="28"/>
          <w:szCs w:val="28"/>
        </w:rPr>
        <w:t>In nine months of 2024, total premium revenue is estimated at VND 165.5 trillion, down 0.4% over the same period last year. Of which, premium revenue in the non-life insurance sector is estimated at VND 58.5 trillion, up 12.9%; life insurance sector is estimated at nearly VND 107 trillion, down 6.5%.</w:t>
      </w:r>
      <w:r w:rsidRPr="00D15E97">
        <w:rPr>
          <w:rFonts w:ascii="Times New Roman" w:hAnsi="Times New Roman" w:cs="Times New Roman"/>
          <w:color w:val="000000" w:themeColor="text1"/>
          <w:sz w:val="28"/>
          <w:szCs w:val="28"/>
        </w:rPr>
        <w:t xml:space="preserve"> </w:t>
      </w:r>
    </w:p>
    <w:p w14:paraId="35715326" w14:textId="77777777" w:rsidR="008606C2" w:rsidRPr="00ED45E2" w:rsidRDefault="008606C2" w:rsidP="008606C2">
      <w:pPr>
        <w:spacing w:after="120"/>
        <w:ind w:firstLine="720"/>
        <w:jc w:val="both"/>
        <w:rPr>
          <w:rFonts w:ascii="Times New Roman" w:hAnsi="Times New Roman" w:cs="Times New Roman"/>
          <w:sz w:val="28"/>
          <w:szCs w:val="28"/>
          <w:lang w:val="pl-PL"/>
        </w:rPr>
      </w:pPr>
      <w:r w:rsidRPr="00ED45E2">
        <w:rPr>
          <w:rFonts w:ascii="Times New Roman" w:hAnsi="Times New Roman" w:cs="Times New Roman"/>
          <w:i/>
          <w:sz w:val="28"/>
          <w:szCs w:val="28"/>
          <w:lang w:val="sv-SE"/>
        </w:rPr>
        <w:t xml:space="preserve">Regarding the stock market, the State Bank of Vietnam's loose monetary </w:t>
      </w:r>
      <w:r w:rsidRPr="00ED45E2">
        <w:rPr>
          <w:rFonts w:ascii="Times New Roman" w:hAnsi="Times New Roman" w:cs="Times New Roman"/>
          <w:sz w:val="28"/>
          <w:szCs w:val="28"/>
          <w:lang w:val="sv-SE"/>
        </w:rPr>
        <w:t xml:space="preserve">policy </w:t>
      </w:r>
      <w:r w:rsidRPr="00ED45E2">
        <w:rPr>
          <w:rFonts w:ascii="Times New Roman" w:hAnsi="Times New Roman" w:cs="Times New Roman"/>
          <w:sz w:val="28"/>
          <w:szCs w:val="28"/>
          <w:lang w:val="pl-PL"/>
        </w:rPr>
        <w:t>has created momentum leading domestic investors to return to the stock market.</w:t>
      </w:r>
    </w:p>
    <w:p w14:paraId="578FAE73" w14:textId="77777777" w:rsidR="008606C2" w:rsidRPr="00D15E97" w:rsidRDefault="008606C2" w:rsidP="008606C2">
      <w:pPr>
        <w:tabs>
          <w:tab w:val="left" w:pos="630"/>
        </w:tabs>
        <w:spacing w:after="120" w:line="264" w:lineRule="auto"/>
        <w:ind w:firstLine="720"/>
        <w:jc w:val="both"/>
        <w:rPr>
          <w:rFonts w:ascii="Times New Roman" w:hAnsi="Times New Roman" w:cs="Times New Roman"/>
          <w:color w:val="000000" w:themeColor="text1"/>
          <w:sz w:val="28"/>
          <w:szCs w:val="28"/>
          <w:lang w:val="sv-SE"/>
        </w:rPr>
      </w:pPr>
      <w:r w:rsidRPr="00ED45E2">
        <w:rPr>
          <w:rFonts w:ascii="Times New Roman" w:hAnsi="Times New Roman" w:cs="Times New Roman"/>
          <w:sz w:val="28"/>
          <w:szCs w:val="28"/>
          <w:lang w:val="sv-SE"/>
        </w:rPr>
        <w:t xml:space="preserve">In the stock market, as of September 30, 2024, the VNIndex reached 1,287.94 points, up 0.32% compared to the end of the previous month and up 13.98% compared to the end of 2023; market capitalization (as of </w:t>
      </w:r>
      <w:r w:rsidRPr="00ED45E2">
        <w:rPr>
          <w:rFonts w:ascii="Times New Roman" w:hAnsi="Times New Roman" w:cs="Times New Roman"/>
          <w:sz w:val="28"/>
          <w:szCs w:val="28"/>
          <w:lang w:val="en-US"/>
        </w:rPr>
        <w:t xml:space="preserve">September </w:t>
      </w:r>
      <w:r w:rsidRPr="00ED45E2">
        <w:rPr>
          <w:rFonts w:ascii="Times New Roman" w:hAnsi="Times New Roman" w:cs="Times New Roman"/>
          <w:sz w:val="28"/>
          <w:szCs w:val="28"/>
          <w:lang w:val="vi-VN"/>
        </w:rPr>
        <w:t xml:space="preserve">17 , </w:t>
      </w:r>
      <w:r w:rsidRPr="00ED45E2">
        <w:rPr>
          <w:rFonts w:ascii="Times New Roman" w:hAnsi="Times New Roman" w:cs="Times New Roman"/>
          <w:sz w:val="28"/>
          <w:szCs w:val="28"/>
          <w:lang w:val="en-US"/>
        </w:rPr>
        <w:t xml:space="preserve">2024 </w:t>
      </w:r>
      <w:r w:rsidRPr="00ED45E2">
        <w:rPr>
          <w:rFonts w:ascii="Times New Roman" w:hAnsi="Times New Roman" w:cs="Times New Roman"/>
          <w:sz w:val="28"/>
          <w:szCs w:val="28"/>
          <w:lang w:val="vi-VN"/>
        </w:rPr>
        <w:t xml:space="preserve">) </w:t>
      </w:r>
      <w:r w:rsidRPr="00ED45E2">
        <w:rPr>
          <w:rFonts w:ascii="Times New Roman" w:hAnsi="Times New Roman" w:cs="Times New Roman"/>
          <w:sz w:val="28"/>
          <w:szCs w:val="28"/>
          <w:lang w:val="sv-SE"/>
        </w:rPr>
        <w:t>reached VND 6,904.7 trillion, up 16.3% compared to the end of 2023. In September 2024, the average trading value reached VND 13,426 billion/session, down 28.0% compared to the average of the previous month. In nine months of 2024, the average trading value reached VND 22,655 billion/session, up 28.9% compared to the average of 2023.</w:t>
      </w:r>
      <w:r w:rsidRPr="00D15E97">
        <w:rPr>
          <w:rFonts w:ascii="Times New Roman" w:hAnsi="Times New Roman" w:cs="Times New Roman"/>
          <w:color w:val="000000" w:themeColor="text1"/>
          <w:sz w:val="28"/>
          <w:szCs w:val="28"/>
          <w:lang w:val="sv-SE"/>
        </w:rPr>
        <w:t xml:space="preserve"> </w:t>
      </w:r>
    </w:p>
    <w:p w14:paraId="3E2453DC" w14:textId="77777777" w:rsidR="008606C2" w:rsidRPr="00D15E97" w:rsidRDefault="008606C2" w:rsidP="008606C2">
      <w:pPr>
        <w:tabs>
          <w:tab w:val="left" w:pos="630"/>
        </w:tabs>
        <w:spacing w:after="120" w:line="264" w:lineRule="auto"/>
        <w:ind w:firstLine="720"/>
        <w:jc w:val="both"/>
        <w:rPr>
          <w:rFonts w:ascii="Times New Roman" w:hAnsi="Times New Roman" w:cs="Times New Roman"/>
          <w:color w:val="000000" w:themeColor="text1"/>
          <w:sz w:val="28"/>
          <w:szCs w:val="28"/>
          <w:lang w:val="sv-SE"/>
        </w:rPr>
      </w:pPr>
      <w:r w:rsidRPr="00ED45E2">
        <w:rPr>
          <w:rFonts w:ascii="Times New Roman" w:hAnsi="Times New Roman" w:cs="Times New Roman"/>
          <w:sz w:val="28"/>
          <w:szCs w:val="28"/>
          <w:lang w:val="sv-SE"/>
        </w:rPr>
        <w:t>In the bond market, the average trading value in September 2024 reached VND 10,666 billion/session, down 3.4% compared to the average of the previous month. In nine months of 2024, the average trading value reached VND 10,807 billion/session, up 65.9% compared to the average in 2023</w:t>
      </w:r>
      <w:r w:rsidRPr="00D15E97">
        <w:rPr>
          <w:rFonts w:ascii="Times New Roman" w:hAnsi="Times New Roman" w:cs="Times New Roman"/>
          <w:color w:val="000000" w:themeColor="text1"/>
          <w:sz w:val="28"/>
          <w:szCs w:val="28"/>
          <w:lang w:val="sv-SE"/>
        </w:rPr>
        <w:t>.</w:t>
      </w:r>
    </w:p>
    <w:p w14:paraId="2EACAEFA" w14:textId="77777777" w:rsidR="008606C2" w:rsidRPr="008606C2" w:rsidRDefault="008606C2" w:rsidP="008606C2">
      <w:pPr>
        <w:tabs>
          <w:tab w:val="left" w:pos="840"/>
        </w:tabs>
        <w:spacing w:after="0" w:line="312" w:lineRule="auto"/>
        <w:ind w:firstLine="720"/>
        <w:jc w:val="both"/>
        <w:rPr>
          <w:rFonts w:ascii="Times New Roman" w:hAnsi="Times New Roman" w:cs="Times New Roman"/>
          <w:b/>
          <w:iCs/>
          <w:sz w:val="28"/>
          <w:szCs w:val="28"/>
          <w:lang w:val="de-DE"/>
        </w:rPr>
      </w:pPr>
      <w:bookmarkStart w:id="12" w:name="_Hlk54593811"/>
      <w:r w:rsidRPr="008606C2">
        <w:rPr>
          <w:rFonts w:ascii="Times New Roman" w:hAnsi="Times New Roman" w:cs="Times New Roman"/>
          <w:b/>
          <w:iCs/>
          <w:sz w:val="28"/>
          <w:szCs w:val="28"/>
          <w:lang w:val="de-DE"/>
        </w:rPr>
        <w:t>2. Development investment</w:t>
      </w:r>
    </w:p>
    <w:p w14:paraId="31C17FEB" w14:textId="77777777" w:rsidR="008606C2" w:rsidRPr="008606C2" w:rsidRDefault="008606C2" w:rsidP="008606C2">
      <w:pPr>
        <w:spacing w:after="0" w:line="312" w:lineRule="auto"/>
        <w:ind w:firstLine="720"/>
        <w:jc w:val="both"/>
        <w:rPr>
          <w:rFonts w:ascii="Times New Roman" w:hAnsi="Times New Roman" w:cs="Times New Roman"/>
          <w:b/>
          <w:i/>
          <w:sz w:val="28"/>
          <w:szCs w:val="28"/>
          <w:lang w:val="de-DE"/>
        </w:rPr>
      </w:pPr>
      <w:r w:rsidRPr="008606C2">
        <w:rPr>
          <w:rFonts w:ascii="Times New Roman" w:hAnsi="Times New Roman" w:cs="Times New Roman"/>
          <w:b/>
          <w:i/>
          <w:sz w:val="28"/>
          <w:szCs w:val="28"/>
          <w:lang w:val="de-DE"/>
        </w:rPr>
        <w:t>Lending interest rates tend to decrease, production export serve Exports grew well; policies on tax exemptions, reductions, and deferrals continued to be implemented to support businesses. Enterprises and production establishments have promoted new investment and expanded production, increasing Strengthening the attraction and implementation of social investment capital . In the first nine months of 2024, the total realized social investment capital at current prices is estimated at 2,417.2 trillion VND, up 6.8% over the same period last year; realized foreign direct investment capital in Vietnam is estimated at 17.34 billion USD, up 8.9%.</w:t>
      </w:r>
    </w:p>
    <w:p w14:paraId="67551EB4" w14:textId="77777777" w:rsidR="008606C2" w:rsidRPr="008606C2" w:rsidRDefault="008606C2" w:rsidP="008606C2">
      <w:pPr>
        <w:spacing w:after="0" w:line="312" w:lineRule="auto"/>
        <w:ind w:firstLine="720"/>
        <w:jc w:val="both"/>
        <w:rPr>
          <w:rFonts w:ascii="Arial" w:hAnsi="Arial" w:cs="Arial"/>
          <w:b/>
          <w:bCs/>
          <w:sz w:val="24"/>
          <w:szCs w:val="24"/>
          <w:lang w:val="de-DE"/>
        </w:rPr>
      </w:pPr>
      <w:r w:rsidRPr="008606C2">
        <w:rPr>
          <w:rFonts w:ascii="Times New Roman" w:hAnsi="Times New Roman" w:cs="Times New Roman"/>
          <w:iCs/>
          <w:sz w:val="28"/>
          <w:szCs w:val="28"/>
          <w:lang w:val="de-DE"/>
        </w:rPr>
        <w:lastRenderedPageBreak/>
        <w:t>Total foreign investment registered in Vietnam</w:t>
      </w:r>
      <w:r w:rsidRPr="008606C2">
        <w:rPr>
          <w:rFonts w:ascii="Times New Roman" w:hAnsi="Times New Roman" w:cs="Times New Roman"/>
          <w:iCs/>
          <w:sz w:val="28"/>
          <w:szCs w:val="28"/>
          <w:vertAlign w:val="superscript"/>
          <w:lang w:val="de-DE"/>
        </w:rPr>
        <w:footnoteReference w:id="21"/>
      </w:r>
      <w:r w:rsidRPr="008606C2">
        <w:rPr>
          <w:rFonts w:ascii="Times New Roman" w:hAnsi="Times New Roman" w:cs="Times New Roman"/>
          <w:i/>
          <w:iCs/>
          <w:sz w:val="28"/>
          <w:szCs w:val="28"/>
          <w:lang w:val="de-DE"/>
        </w:rPr>
        <w:t xml:space="preserve"> </w:t>
      </w:r>
      <w:r w:rsidRPr="008606C2">
        <w:rPr>
          <w:rFonts w:ascii="Times New Roman" w:hAnsi="Times New Roman" w:cs="Times New Roman"/>
          <w:iCs/>
          <w:sz w:val="28"/>
          <w:szCs w:val="28"/>
          <w:lang w:val="de-DE"/>
        </w:rPr>
        <w:t>As of September 30, 2024, including: Newly registered capital, adjusted registered capital and capital contribution and share purchase value of foreign investors reached 24.78 billion USD, up 11.6% over the same period last year.</w:t>
      </w:r>
      <w:r w:rsidRPr="008606C2">
        <w:rPr>
          <w:rFonts w:ascii="Times New Roman" w:hAnsi="Times New Roman" w:cs="Times New Roman"/>
          <w:iCs/>
          <w:spacing w:val="-2"/>
          <w:sz w:val="28"/>
          <w:szCs w:val="28"/>
          <w:lang w:val="de-DE"/>
        </w:rPr>
        <w:t xml:space="preserve"> Newly registered capital has 2,492 licensed projects with registered capital reaching nearly 13.55 billion USD, down 4.3% over the same period last year in terms of number of projects and up 11.3% in terms of registered capital. </w:t>
      </w:r>
      <w:r w:rsidRPr="008606C2">
        <w:rPr>
          <w:rFonts w:ascii="Times New Roman" w:hAnsi="Times New Roman" w:cs="Times New Roman"/>
          <w:iCs/>
          <w:sz w:val="28"/>
          <w:szCs w:val="28"/>
          <w:lang w:val="de-DE"/>
        </w:rPr>
        <w:t xml:space="preserve"> Adjusted registered capital: 1,027 licensed projects from previous years registered to adjust investment capital by an additional 7.64 billion USD, up 48.1% over the same period last year.</w:t>
      </w:r>
      <w:r w:rsidRPr="008606C2">
        <w:rPr>
          <w:rFonts w:ascii="Arial" w:hAnsi="Arial" w:cs="Arial"/>
          <w:b/>
          <w:bCs/>
          <w:sz w:val="24"/>
          <w:szCs w:val="24"/>
          <w:lang w:val="de-DE"/>
        </w:rPr>
        <w:t xml:space="preserve"> </w:t>
      </w:r>
      <w:r w:rsidRPr="008606C2">
        <w:rPr>
          <w:rFonts w:ascii="Times New Roman" w:hAnsi="Times New Roman" w:cs="Times New Roman"/>
          <w:iCs/>
          <w:sz w:val="28"/>
          <w:szCs w:val="28"/>
          <w:lang w:val="de-DE"/>
        </w:rPr>
        <w:t xml:space="preserve">There were 2,471 registered capital contributions and share purchases by foreign investors with a total capital contribution value of 3.59 billion USD, down 26.2% over the same period last year. Of which, 932 capital contributions and share purchases increased the charter capital of enterprises with a capital contribution value of 1.86 billion USD; 1,539 foreign investors bought back domestic shares without increasing the charter capital with a value of 1.73 billion USD. </w:t>
      </w:r>
    </w:p>
    <w:p w14:paraId="4787D268" w14:textId="77777777" w:rsidR="008606C2" w:rsidRPr="008606C2" w:rsidRDefault="008606C2" w:rsidP="008606C2">
      <w:pPr>
        <w:spacing w:after="0" w:line="312" w:lineRule="auto"/>
        <w:ind w:firstLine="720"/>
        <w:jc w:val="both"/>
        <w:rPr>
          <w:rFonts w:ascii="Arial" w:hAnsi="Arial" w:cs="Arial"/>
          <w:b/>
          <w:bCs/>
          <w:sz w:val="24"/>
          <w:szCs w:val="28"/>
          <w:lang w:val="de-DE"/>
        </w:rPr>
      </w:pPr>
      <w:r w:rsidRPr="008606C2">
        <w:rPr>
          <w:rFonts w:ascii="Times New Roman" w:hAnsi="Times New Roman" w:cs="Times New Roman"/>
          <w:iCs/>
          <w:sz w:val="28"/>
          <w:szCs w:val="28"/>
          <w:lang w:val="de-DE"/>
        </w:rPr>
        <w:t>Foreign direct investment implemented in Vietnam</w:t>
      </w:r>
      <w:r w:rsidRPr="008606C2">
        <w:rPr>
          <w:rFonts w:ascii="Times New Roman" w:hAnsi="Times New Roman" w:cs="Times New Roman"/>
          <w:i/>
          <w:iCs/>
          <w:sz w:val="28"/>
          <w:szCs w:val="28"/>
          <w:lang w:val="de-DE"/>
        </w:rPr>
        <w:t xml:space="preserve"> </w:t>
      </w:r>
      <w:r w:rsidRPr="008606C2">
        <w:rPr>
          <w:rFonts w:ascii="Times New Roman" w:hAnsi="Times New Roman" w:cs="Times New Roman"/>
          <w:iCs/>
          <w:sz w:val="28"/>
          <w:szCs w:val="28"/>
          <w:lang w:val="de-DE"/>
        </w:rPr>
        <w:t xml:space="preserve">in the nine months of 2024 was 17.34 billion USD, an increase of 8.9% over the same period last year. </w:t>
      </w:r>
    </w:p>
    <w:p w14:paraId="409FB2A7" w14:textId="77777777" w:rsidR="008606C2" w:rsidRPr="008606C2" w:rsidRDefault="008606C2" w:rsidP="008606C2">
      <w:pPr>
        <w:spacing w:after="0" w:line="312" w:lineRule="auto"/>
        <w:ind w:firstLine="720"/>
        <w:jc w:val="both"/>
        <w:rPr>
          <w:rFonts w:ascii="Times New Roman" w:hAnsi="Times New Roman" w:cs="Times New Roman"/>
          <w:iCs/>
          <w:sz w:val="28"/>
          <w:szCs w:val="28"/>
          <w:lang w:val="de-DE"/>
        </w:rPr>
      </w:pPr>
      <w:r w:rsidRPr="008606C2">
        <w:rPr>
          <w:rFonts w:ascii="Times New Roman" w:hAnsi="Times New Roman" w:cs="Times New Roman"/>
          <w:iCs/>
          <w:sz w:val="28"/>
          <w:szCs w:val="28"/>
          <w:lang w:val="de-DE"/>
        </w:rPr>
        <w:t>Vietnam's overseas investment</w:t>
      </w:r>
      <w:r w:rsidRPr="008606C2">
        <w:rPr>
          <w:rFonts w:ascii="Times New Roman" w:hAnsi="Times New Roman" w:cs="Times New Roman"/>
          <w:i/>
          <w:iCs/>
          <w:sz w:val="28"/>
          <w:szCs w:val="28"/>
          <w:lang w:val="de-DE"/>
        </w:rPr>
        <w:t xml:space="preserve"> </w:t>
      </w:r>
      <w:r w:rsidRPr="008606C2">
        <w:rPr>
          <w:rFonts w:ascii="Times New Roman" w:hAnsi="Times New Roman" w:cs="Times New Roman"/>
          <w:iCs/>
          <w:sz w:val="28"/>
          <w:szCs w:val="28"/>
          <w:lang w:val="de-DE"/>
        </w:rPr>
        <w:t>in the first nine months of 2024 had 105 projects newly granted investment certificates with a total capital of Vietnam's side of 177.5 million USD, down 27.5% over the same period last year; there were 20 projects adjusting capital with an adjusted capital of 12.0 million USD, down 93.0%.</w:t>
      </w:r>
    </w:p>
    <w:p w14:paraId="085435E3" w14:textId="6D061FB8" w:rsidR="008606C2" w:rsidRPr="008606C2" w:rsidRDefault="008606C2" w:rsidP="008606C2">
      <w:pPr>
        <w:spacing w:after="0" w:line="312" w:lineRule="auto"/>
        <w:ind w:firstLine="720"/>
        <w:jc w:val="both"/>
        <w:rPr>
          <w:rFonts w:ascii="Times New Roman" w:hAnsi="Times New Roman" w:cs="Times New Roman"/>
          <w:iCs/>
          <w:spacing w:val="-4"/>
          <w:sz w:val="28"/>
          <w:szCs w:val="28"/>
          <w:lang w:val="de-DE"/>
        </w:rPr>
      </w:pPr>
      <w:r w:rsidRPr="008606C2">
        <w:rPr>
          <w:rFonts w:ascii="Times New Roman" w:hAnsi="Times New Roman" w:cs="Times New Roman"/>
          <w:iCs/>
          <w:spacing w:val="-4"/>
          <w:sz w:val="28"/>
          <w:szCs w:val="28"/>
          <w:lang w:val="de-DE"/>
        </w:rPr>
        <w:t xml:space="preserve">In the nine months of 2024, Vietnam's total investment capital abroad (newly granted and adjusted capital) reached 189.6 million USD, down 54.5% over the same period last year. </w:t>
      </w:r>
    </w:p>
    <w:p w14:paraId="0AC322DD" w14:textId="77777777" w:rsidR="008606C2" w:rsidRPr="00CE1A27" w:rsidRDefault="008606C2" w:rsidP="008606C2">
      <w:pPr>
        <w:tabs>
          <w:tab w:val="left" w:pos="630"/>
        </w:tabs>
        <w:spacing w:after="120" w:line="264" w:lineRule="auto"/>
        <w:ind w:firstLine="720"/>
        <w:jc w:val="both"/>
        <w:rPr>
          <w:rFonts w:ascii="Times New Roman Bold Italic" w:hAnsi="Times New Roman Bold Italic" w:cs="Times New Roman"/>
          <w:b/>
          <w:i/>
          <w:color w:val="000000" w:themeColor="text1"/>
          <w:sz w:val="28"/>
          <w:szCs w:val="28"/>
          <w:lang w:val="nl-NL"/>
        </w:rPr>
      </w:pPr>
      <w:r w:rsidRPr="00CE1A27">
        <w:rPr>
          <w:rFonts w:ascii="Times New Roman Bold Italic" w:hAnsi="Times New Roman Bold Italic" w:cs="Times New Roman"/>
          <w:b/>
          <w:bCs/>
          <w:i/>
          <w:color w:val="000000" w:themeColor="text1"/>
          <w:sz w:val="28"/>
          <w:szCs w:val="28"/>
        </w:rPr>
        <w:t xml:space="preserve">8. </w:t>
      </w:r>
      <w:r w:rsidRPr="00E50EB5">
        <w:rPr>
          <w:rFonts w:ascii="Times New Roman Bold Italic" w:hAnsi="Times New Roman Bold Italic" w:cs="Times New Roman"/>
          <w:b/>
          <w:bCs/>
          <w:i/>
          <w:color w:val="000000" w:themeColor="text1"/>
          <w:sz w:val="28"/>
          <w:lang w:val="de-DE"/>
        </w:rPr>
        <w:t>State budget revenue in nine months of 2024 was estimated to increase by 17.9% over the same period last year. State budget expenditure was estimated to increase by 1.4 % over the same period last year, ensuring the needs of socio-economic development, national defense, security, State management, supporting localities damaged by storm No. 3, paying due debts as well as timely payment to subjects according to regulations.</w:t>
      </w:r>
      <w:r w:rsidRPr="00CE1A27">
        <w:rPr>
          <w:rFonts w:ascii="Times New Roman Bold Italic" w:hAnsi="Times New Roman Bold Italic" w:cs="Times New Roman"/>
          <w:b/>
          <w:i/>
          <w:color w:val="000000" w:themeColor="text1"/>
          <w:sz w:val="28"/>
          <w:lang w:val="nl-NL"/>
        </w:rPr>
        <w:t xml:space="preserve"> </w:t>
      </w:r>
    </w:p>
    <w:p w14:paraId="7B1D22D7" w14:textId="77777777" w:rsidR="008606C2" w:rsidRPr="00D15E97" w:rsidRDefault="008606C2" w:rsidP="008606C2">
      <w:pPr>
        <w:tabs>
          <w:tab w:val="left" w:pos="630"/>
        </w:tabs>
        <w:spacing w:after="120" w:line="264" w:lineRule="auto"/>
        <w:ind w:firstLine="720"/>
        <w:jc w:val="both"/>
        <w:rPr>
          <w:rFonts w:ascii="Times New Roman" w:hAnsi="Times New Roman" w:cs="Times New Roman"/>
          <w:color w:val="000000" w:themeColor="text1"/>
          <w:spacing w:val="4"/>
          <w:sz w:val="28"/>
          <w:szCs w:val="28"/>
          <w:lang w:val="nl-NL"/>
        </w:rPr>
      </w:pPr>
      <w:r w:rsidRPr="00ED45E2">
        <w:rPr>
          <w:rFonts w:ascii="Times New Roman" w:hAnsi="Times New Roman" w:cs="Times New Roman"/>
          <w:sz w:val="28"/>
          <w:szCs w:val="28"/>
          <w:lang w:val="it-IT"/>
        </w:rPr>
        <w:t xml:space="preserve">Cumulative total state budget revenue in nine months of 2024 </w:t>
      </w:r>
      <w:r>
        <w:rPr>
          <w:rFonts w:ascii="Times New Roman" w:hAnsi="Times New Roman" w:cs="Times New Roman"/>
          <w:sz w:val="28"/>
          <w:szCs w:val="28"/>
          <w:lang w:val="it-IT"/>
        </w:rPr>
        <w:t>wa</w:t>
      </w:r>
      <w:r w:rsidRPr="00ED45E2">
        <w:rPr>
          <w:rFonts w:ascii="Times New Roman" w:hAnsi="Times New Roman" w:cs="Times New Roman"/>
          <w:sz w:val="28"/>
          <w:szCs w:val="28"/>
          <w:lang w:val="it-IT"/>
        </w:rPr>
        <w:t xml:space="preserve">s estimated at </w:t>
      </w:r>
      <w:r w:rsidRPr="00ED45E2">
        <w:rPr>
          <w:rFonts w:ascii="Times New Roman" w:hAnsi="Times New Roman" w:cs="Times New Roman"/>
          <w:sz w:val="28"/>
          <w:szCs w:val="28"/>
        </w:rPr>
        <w:t xml:space="preserve">1,448.2 trillion </w:t>
      </w:r>
      <w:r w:rsidRPr="00ED45E2">
        <w:rPr>
          <w:rFonts w:ascii="Times New Roman" w:hAnsi="Times New Roman" w:cs="Times New Roman"/>
          <w:sz w:val="28"/>
          <w:szCs w:val="28"/>
          <w:lang w:val="vi-VN"/>
        </w:rPr>
        <w:t>VND</w:t>
      </w:r>
      <w:r w:rsidRPr="00ED45E2">
        <w:rPr>
          <w:rFonts w:ascii="Times New Roman" w:hAnsi="Times New Roman" w:cs="Times New Roman"/>
          <w:sz w:val="28"/>
          <w:szCs w:val="28"/>
          <w:lang w:val="it-IT"/>
        </w:rPr>
        <w:t>, equal to 85.1% of the annual estimate and up 17.9% over the same period last year</w:t>
      </w:r>
      <w:r>
        <w:rPr>
          <w:rFonts w:ascii="Times New Roman" w:hAnsi="Times New Roman" w:cs="Times New Roman"/>
          <w:sz w:val="28"/>
          <w:szCs w:val="28"/>
          <w:lang w:val="it-IT"/>
        </w:rPr>
        <w:t>.</w:t>
      </w:r>
      <w:r w:rsidRPr="00746063">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Of which</w:t>
      </w:r>
      <w:r w:rsidRPr="001877B2">
        <w:rPr>
          <w:rFonts w:ascii="Times New Roman" w:hAnsi="Times New Roman" w:cs="Times New Roman"/>
          <w:color w:val="000000" w:themeColor="text1"/>
          <w:sz w:val="28"/>
          <w:szCs w:val="28"/>
          <w:lang w:val="nl-NL"/>
        </w:rPr>
        <w:t xml:space="preserve">, </w:t>
      </w:r>
      <w:r w:rsidRPr="001877B2">
        <w:rPr>
          <w:rFonts w:ascii="Times New Roman" w:hAnsi="Times New Roman" w:cs="Times New Roman"/>
          <w:sz w:val="28"/>
          <w:szCs w:val="28"/>
          <w:lang w:val="nl-NL"/>
        </w:rPr>
        <w:t>Domestic revenue</w:t>
      </w:r>
      <w:r w:rsidRPr="001877B2">
        <w:rPr>
          <w:rFonts w:ascii="Times New Roman" w:hAnsi="Times New Roman" w:cs="Times New Roman"/>
          <w:color w:val="000000" w:themeColor="text1"/>
          <w:sz w:val="28"/>
          <w:szCs w:val="28"/>
          <w:lang w:val="nl-NL"/>
        </w:rPr>
        <w:t xml:space="preserve">  </w:t>
      </w:r>
      <w:r w:rsidRPr="001877B2">
        <w:rPr>
          <w:rFonts w:ascii="Times New Roman" w:hAnsi="Times New Roman" w:cs="Times New Roman"/>
          <w:sz w:val="28"/>
          <w:szCs w:val="28"/>
          <w:lang w:val="nl-NL"/>
        </w:rPr>
        <w:t xml:space="preserve">was estimated </w:t>
      </w:r>
      <w:r w:rsidRPr="001877B2">
        <w:rPr>
          <w:rFonts w:ascii="Times New Roman" w:hAnsi="Times New Roman" w:cs="Times New Roman"/>
          <w:sz w:val="28"/>
          <w:szCs w:val="28"/>
          <w:lang w:val="nl-NL"/>
        </w:rPr>
        <w:lastRenderedPageBreak/>
        <w:t xml:space="preserve">at 1,203.1 trillion VND, equal to </w:t>
      </w:r>
      <w:r w:rsidRPr="001877B2">
        <w:rPr>
          <w:rFonts w:ascii="Times New Roman" w:hAnsi="Times New Roman" w:cs="Times New Roman"/>
          <w:sz w:val="28"/>
          <w:szCs w:val="28"/>
        </w:rPr>
        <w:t xml:space="preserve">83.3 </w:t>
      </w:r>
      <w:r w:rsidRPr="001877B2">
        <w:rPr>
          <w:rFonts w:ascii="Times New Roman" w:hAnsi="Times New Roman" w:cs="Times New Roman"/>
          <w:sz w:val="28"/>
          <w:szCs w:val="28"/>
          <w:lang w:val="nl-NL"/>
        </w:rPr>
        <w:t xml:space="preserve">% of the annual estimate and an increase of 18.9% </w:t>
      </w:r>
      <w:r w:rsidRPr="001877B2">
        <w:rPr>
          <w:rFonts w:ascii="Times New Roman" w:hAnsi="Times New Roman" w:cs="Times New Roman"/>
          <w:sz w:val="28"/>
          <w:szCs w:val="28"/>
          <w:lang w:val="it-IT"/>
        </w:rPr>
        <w:t>over the same period last year</w:t>
      </w:r>
      <w:r w:rsidRPr="001877B2">
        <w:rPr>
          <w:rFonts w:ascii="Times New Roman" w:hAnsi="Times New Roman" w:cs="Times New Roman"/>
          <w:sz w:val="28"/>
          <w:szCs w:val="28"/>
          <w:lang w:val="nl-NL"/>
        </w:rPr>
        <w:t>;</w:t>
      </w:r>
      <w:r w:rsidRPr="001877B2">
        <w:rPr>
          <w:rFonts w:ascii="Times New Roman" w:hAnsi="Times New Roman" w:cs="Times New Roman"/>
          <w:color w:val="000000" w:themeColor="text1"/>
          <w:sz w:val="28"/>
          <w:szCs w:val="28"/>
          <w:lang w:val="nl-NL"/>
        </w:rPr>
        <w:t xml:space="preserve"> </w:t>
      </w:r>
      <w:r w:rsidRPr="001877B2">
        <w:rPr>
          <w:rFonts w:ascii="Times New Roman" w:hAnsi="Times New Roman" w:cs="Times New Roman"/>
          <w:sz w:val="28"/>
          <w:szCs w:val="28"/>
          <w:lang w:val="nl-NL"/>
        </w:rPr>
        <w:t xml:space="preserve">Revenue from crude was estimated at </w:t>
      </w:r>
      <w:r w:rsidRPr="001877B2">
        <w:rPr>
          <w:rFonts w:ascii="Times New Roman" w:hAnsi="Times New Roman" w:cs="Times New Roman"/>
          <w:sz w:val="28"/>
          <w:szCs w:val="28"/>
        </w:rPr>
        <w:t xml:space="preserve">44.4 </w:t>
      </w:r>
      <w:r w:rsidRPr="001877B2">
        <w:rPr>
          <w:rFonts w:ascii="Times New Roman" w:hAnsi="Times New Roman" w:cs="Times New Roman"/>
          <w:sz w:val="28"/>
          <w:szCs w:val="28"/>
          <w:lang w:val="nl-NL"/>
        </w:rPr>
        <w:t xml:space="preserve">trillion VND, equal </w:t>
      </w:r>
      <w:r w:rsidRPr="001877B2">
        <w:rPr>
          <w:rFonts w:ascii="Times New Roman" w:hAnsi="Times New Roman" w:cs="Times New Roman"/>
          <w:sz w:val="28"/>
          <w:szCs w:val="28"/>
          <w:lang w:val="vi-VN"/>
        </w:rPr>
        <w:t xml:space="preserve">to </w:t>
      </w:r>
      <w:r w:rsidRPr="001877B2">
        <w:rPr>
          <w:rFonts w:ascii="Times New Roman" w:hAnsi="Times New Roman" w:cs="Times New Roman"/>
          <w:sz w:val="28"/>
          <w:szCs w:val="28"/>
        </w:rPr>
        <w:t>96.6</w:t>
      </w:r>
      <w:r w:rsidRPr="001877B2">
        <w:rPr>
          <w:rFonts w:ascii="Times New Roman" w:hAnsi="Times New Roman" w:cs="Times New Roman"/>
          <w:sz w:val="28"/>
          <w:szCs w:val="28"/>
          <w:lang w:val="vi-VN"/>
        </w:rPr>
        <w:t xml:space="preserve">% </w:t>
      </w:r>
      <w:r w:rsidRPr="001877B2">
        <w:rPr>
          <w:rFonts w:ascii="Times New Roman" w:hAnsi="Times New Roman" w:cs="Times New Roman"/>
          <w:sz w:val="28"/>
          <w:szCs w:val="28"/>
          <w:lang w:val="nl-NL"/>
        </w:rPr>
        <w:t xml:space="preserve">of the annual estimate and down </w:t>
      </w:r>
      <w:r w:rsidRPr="001877B2">
        <w:rPr>
          <w:rFonts w:ascii="Times New Roman" w:hAnsi="Times New Roman" w:cs="Times New Roman"/>
          <w:sz w:val="28"/>
          <w:szCs w:val="28"/>
          <w:lang w:val="vi-VN"/>
        </w:rPr>
        <w:t>2.9</w:t>
      </w:r>
      <w:r w:rsidRPr="001877B2">
        <w:rPr>
          <w:rFonts w:ascii="Times New Roman" w:hAnsi="Times New Roman" w:cs="Times New Roman"/>
          <w:sz w:val="28"/>
          <w:szCs w:val="28"/>
        </w:rPr>
        <w:t xml:space="preserve">% </w:t>
      </w:r>
      <w:r w:rsidRPr="001877B2">
        <w:rPr>
          <w:rFonts w:ascii="Times New Roman" w:hAnsi="Times New Roman" w:cs="Times New Roman"/>
          <w:sz w:val="28"/>
          <w:szCs w:val="28"/>
          <w:lang w:val="nl-NL"/>
        </w:rPr>
        <w:t xml:space="preserve">over </w:t>
      </w:r>
      <w:r w:rsidRPr="001877B2">
        <w:rPr>
          <w:rFonts w:ascii="Times New Roman" w:hAnsi="Times New Roman" w:cs="Times New Roman"/>
          <w:sz w:val="28"/>
          <w:szCs w:val="28"/>
          <w:lang w:val="it-IT"/>
        </w:rPr>
        <w:t>the same period last year</w:t>
      </w:r>
      <w:r w:rsidRPr="001877B2">
        <w:rPr>
          <w:rFonts w:ascii="Times New Roman" w:hAnsi="Times New Roman" w:cs="Times New Roman"/>
          <w:sz w:val="28"/>
          <w:szCs w:val="28"/>
          <w:lang w:val="nl-NL"/>
        </w:rPr>
        <w:t>;</w:t>
      </w:r>
      <w:r w:rsidRPr="001877B2">
        <w:rPr>
          <w:rFonts w:ascii="Times New Roman" w:hAnsi="Times New Roman" w:cs="Times New Roman"/>
          <w:color w:val="000000" w:themeColor="text1"/>
          <w:sz w:val="28"/>
          <w:szCs w:val="28"/>
          <w:lang w:val="nl-NL"/>
        </w:rPr>
        <w:t xml:space="preserve"> Budget revenue from import and export activities</w:t>
      </w:r>
      <w:r w:rsidRPr="00D15E97">
        <w:rPr>
          <w:rFonts w:ascii="Times New Roman" w:hAnsi="Times New Roman" w:cs="Times New Roman"/>
          <w:color w:val="000000" w:themeColor="text1"/>
          <w:spacing w:val="4"/>
          <w:sz w:val="28"/>
          <w:szCs w:val="28"/>
          <w:lang w:val="nl-NL"/>
        </w:rPr>
        <w:t xml:space="preserve"> </w:t>
      </w:r>
      <w:r>
        <w:rPr>
          <w:rFonts w:ascii="Times New Roman" w:hAnsi="Times New Roman" w:cs="Times New Roman"/>
          <w:sz w:val="28"/>
          <w:szCs w:val="28"/>
          <w:lang w:val="nl-NL"/>
        </w:rPr>
        <w:t>wa</w:t>
      </w:r>
      <w:r w:rsidRPr="00ED45E2">
        <w:rPr>
          <w:rFonts w:ascii="Times New Roman" w:hAnsi="Times New Roman" w:cs="Times New Roman"/>
          <w:sz w:val="28"/>
          <w:szCs w:val="28"/>
          <w:lang w:val="nl-NL"/>
        </w:rPr>
        <w:t xml:space="preserve">s estimated at 200.2 trillion VND, equal to </w:t>
      </w:r>
      <w:r w:rsidRPr="00ED45E2">
        <w:rPr>
          <w:rFonts w:ascii="Times New Roman" w:hAnsi="Times New Roman" w:cs="Times New Roman"/>
          <w:sz w:val="28"/>
          <w:szCs w:val="28"/>
        </w:rPr>
        <w:t xml:space="preserve">98.1 </w:t>
      </w:r>
      <w:r w:rsidRPr="00ED45E2">
        <w:rPr>
          <w:rFonts w:ascii="Times New Roman" w:hAnsi="Times New Roman" w:cs="Times New Roman"/>
          <w:sz w:val="28"/>
          <w:szCs w:val="28"/>
          <w:lang w:val="nl-NL"/>
        </w:rPr>
        <w:t xml:space="preserve">% of the annual estimate and an increase of 17.6% </w:t>
      </w:r>
      <w:r w:rsidRPr="00ED45E2">
        <w:rPr>
          <w:rFonts w:ascii="Times New Roman" w:hAnsi="Times New Roman" w:cs="Times New Roman"/>
          <w:sz w:val="28"/>
          <w:szCs w:val="28"/>
          <w:lang w:val="it-IT"/>
        </w:rPr>
        <w:t>over the same period last year</w:t>
      </w:r>
      <w:r w:rsidRPr="00ED45E2">
        <w:rPr>
          <w:rFonts w:ascii="Times New Roman" w:hAnsi="Times New Roman" w:cs="Times New Roman"/>
          <w:sz w:val="28"/>
          <w:szCs w:val="28"/>
          <w:lang w:val="nl-NL"/>
        </w:rPr>
        <w:t>.</w:t>
      </w:r>
    </w:p>
    <w:p w14:paraId="27CE98E7" w14:textId="1B91ADC5" w:rsidR="008606C2" w:rsidRPr="00ED51DE" w:rsidRDefault="008606C2" w:rsidP="008606C2">
      <w:pPr>
        <w:tabs>
          <w:tab w:val="left" w:pos="630"/>
        </w:tabs>
        <w:spacing w:after="120" w:line="264" w:lineRule="auto"/>
        <w:ind w:firstLine="720"/>
        <w:jc w:val="both"/>
        <w:rPr>
          <w:rFonts w:ascii="Times New Roman" w:hAnsi="Times New Roman" w:cs="Times New Roman"/>
          <w:color w:val="000000" w:themeColor="text1"/>
          <w:sz w:val="28"/>
          <w:szCs w:val="28"/>
          <w:lang w:val="it-IT"/>
        </w:rPr>
      </w:pPr>
      <w:r>
        <w:rPr>
          <w:rFonts w:ascii="Times New Roman" w:hAnsi="Times New Roman" w:cs="Times New Roman"/>
          <w:spacing w:val="-2"/>
          <w:sz w:val="28"/>
          <w:szCs w:val="28"/>
          <w:lang w:val="nl-NL"/>
        </w:rPr>
        <w:t>A</w:t>
      </w:r>
      <w:r w:rsidRPr="00ED45E2">
        <w:rPr>
          <w:rFonts w:ascii="Times New Roman" w:hAnsi="Times New Roman" w:cs="Times New Roman"/>
          <w:spacing w:val="-2"/>
          <w:sz w:val="28"/>
          <w:szCs w:val="28"/>
          <w:lang w:val="nl-NL"/>
        </w:rPr>
        <w:t xml:space="preserve">ccumulated expenditure in nine months of 2024 </w:t>
      </w:r>
      <w:r>
        <w:rPr>
          <w:rFonts w:ascii="Times New Roman" w:hAnsi="Times New Roman" w:cs="Times New Roman"/>
          <w:spacing w:val="-2"/>
          <w:sz w:val="28"/>
          <w:szCs w:val="28"/>
          <w:lang w:val="nl-NL"/>
        </w:rPr>
        <w:t>wa</w:t>
      </w:r>
      <w:r w:rsidRPr="00ED45E2">
        <w:rPr>
          <w:rFonts w:ascii="Times New Roman" w:hAnsi="Times New Roman" w:cs="Times New Roman"/>
          <w:spacing w:val="-2"/>
          <w:sz w:val="28"/>
          <w:szCs w:val="28"/>
          <w:lang w:val="nl-NL"/>
        </w:rPr>
        <w:t xml:space="preserve">s estimated at </w:t>
      </w:r>
      <w:r w:rsidRPr="00ED45E2">
        <w:rPr>
          <w:rFonts w:ascii="Times New Roman" w:hAnsi="Times New Roman" w:cs="Times New Roman"/>
          <w:spacing w:val="-2"/>
          <w:sz w:val="28"/>
          <w:szCs w:val="28"/>
        </w:rPr>
        <w:t xml:space="preserve">1,256.3 </w:t>
      </w:r>
      <w:r w:rsidRPr="00ED45E2">
        <w:rPr>
          <w:rFonts w:ascii="Times New Roman" w:hAnsi="Times New Roman" w:cs="Times New Roman"/>
          <w:spacing w:val="-2"/>
          <w:sz w:val="28"/>
          <w:szCs w:val="28"/>
          <w:lang w:val="nl-NL"/>
        </w:rPr>
        <w:t xml:space="preserve">trillion VND, equivalent to </w:t>
      </w:r>
      <w:r>
        <w:rPr>
          <w:rFonts w:ascii="Times New Roman" w:hAnsi="Times New Roman" w:cs="Times New Roman"/>
          <w:spacing w:val="-2"/>
          <w:sz w:val="28"/>
          <w:szCs w:val="28"/>
        </w:rPr>
        <w:t>59.3</w:t>
      </w:r>
      <w:r w:rsidRPr="00ED45E2">
        <w:rPr>
          <w:rFonts w:ascii="Times New Roman" w:hAnsi="Times New Roman" w:cs="Times New Roman"/>
          <w:spacing w:val="-2"/>
          <w:sz w:val="28"/>
          <w:szCs w:val="28"/>
        </w:rPr>
        <w:t xml:space="preserve">% of the annual </w:t>
      </w:r>
      <w:r w:rsidRPr="00ED45E2">
        <w:rPr>
          <w:rFonts w:ascii="Times New Roman" w:hAnsi="Times New Roman" w:cs="Times New Roman"/>
          <w:spacing w:val="-2"/>
          <w:sz w:val="28"/>
          <w:szCs w:val="28"/>
          <w:lang w:val="vi-VN"/>
        </w:rPr>
        <w:t xml:space="preserve">estimate </w:t>
      </w:r>
      <w:r w:rsidRPr="00ED45E2">
        <w:rPr>
          <w:rFonts w:ascii="Times New Roman" w:hAnsi="Times New Roman" w:cs="Times New Roman"/>
          <w:spacing w:val="-2"/>
          <w:sz w:val="28"/>
          <w:szCs w:val="28"/>
          <w:lang w:val="nl-NL"/>
        </w:rPr>
        <w:t xml:space="preserve">and an increase of </w:t>
      </w:r>
      <w:r>
        <w:rPr>
          <w:rFonts w:ascii="Times New Roman" w:hAnsi="Times New Roman" w:cs="Times New Roman"/>
          <w:spacing w:val="-2"/>
          <w:sz w:val="28"/>
          <w:szCs w:val="28"/>
        </w:rPr>
        <w:t>1.4</w:t>
      </w:r>
      <w:r w:rsidRPr="00ED45E2">
        <w:rPr>
          <w:rFonts w:ascii="Times New Roman" w:hAnsi="Times New Roman" w:cs="Times New Roman"/>
          <w:spacing w:val="-2"/>
          <w:sz w:val="28"/>
          <w:szCs w:val="28"/>
          <w:lang w:val="nl-NL"/>
        </w:rPr>
        <w:t>% over the same period last year</w:t>
      </w:r>
      <w:r w:rsidRPr="00ED45E2">
        <w:rPr>
          <w:rFonts w:ascii="Times New Roman" w:hAnsi="Times New Roman" w:cs="Times New Roman"/>
          <w:spacing w:val="-2"/>
          <w:sz w:val="28"/>
          <w:szCs w:val="28"/>
          <w:lang w:val="vi-VN"/>
        </w:rPr>
        <w:t>.</w:t>
      </w:r>
      <w:r w:rsidRPr="00ED51DE">
        <w:rPr>
          <w:rFonts w:ascii="Times New Roman" w:hAnsi="Times New Roman" w:cs="Times New Roman"/>
          <w:color w:val="000000" w:themeColor="text1"/>
          <w:spacing w:val="-2"/>
          <w:sz w:val="28"/>
          <w:szCs w:val="28"/>
          <w:lang w:val="vi-VN"/>
        </w:rPr>
        <w:t xml:space="preserve"> </w:t>
      </w:r>
      <w:r>
        <w:rPr>
          <w:rFonts w:ascii="Times New Roman" w:hAnsi="Times New Roman" w:cs="Times New Roman"/>
          <w:color w:val="000000" w:themeColor="text1"/>
          <w:spacing w:val="-2"/>
          <w:sz w:val="28"/>
          <w:szCs w:val="28"/>
          <w:lang w:val="en-US"/>
        </w:rPr>
        <w:t>Of which</w:t>
      </w:r>
      <w:r w:rsidRPr="00ED51DE">
        <w:rPr>
          <w:rFonts w:ascii="Times New Roman" w:hAnsi="Times New Roman" w:cs="Times New Roman"/>
          <w:color w:val="000000" w:themeColor="text1"/>
          <w:spacing w:val="-2"/>
          <w:sz w:val="28"/>
          <w:szCs w:val="28"/>
          <w:lang w:val="vi-VN"/>
        </w:rPr>
        <w:t xml:space="preserve">, </w:t>
      </w:r>
      <w:r w:rsidRPr="001877B2">
        <w:rPr>
          <w:rFonts w:ascii="Times New Roman" w:hAnsi="Times New Roman" w:cs="Times New Roman"/>
          <w:color w:val="000000" w:themeColor="text1"/>
          <w:spacing w:val="-2"/>
          <w:sz w:val="28"/>
          <w:szCs w:val="28"/>
          <w:lang w:val="vi-VN"/>
        </w:rPr>
        <w:t>regular expenditure</w:t>
      </w:r>
      <w:r w:rsidRPr="00ED51DE">
        <w:rPr>
          <w:rFonts w:ascii="Times New Roman" w:hAnsi="Times New Roman" w:cs="Times New Roman"/>
          <w:color w:val="000000" w:themeColor="text1"/>
          <w:spacing w:val="-2"/>
          <w:sz w:val="28"/>
          <w:szCs w:val="28"/>
          <w:lang w:val="nl-NL"/>
        </w:rPr>
        <w:t xml:space="preserve"> </w:t>
      </w:r>
      <w:r>
        <w:rPr>
          <w:rFonts w:ascii="Times New Roman" w:hAnsi="Times New Roman" w:cs="Times New Roman"/>
          <w:spacing w:val="-2"/>
          <w:sz w:val="28"/>
          <w:szCs w:val="28"/>
          <w:lang w:val="nl-NL"/>
        </w:rPr>
        <w:t>wa</w:t>
      </w:r>
      <w:r w:rsidRPr="00ED45E2">
        <w:rPr>
          <w:rFonts w:ascii="Times New Roman" w:hAnsi="Times New Roman" w:cs="Times New Roman"/>
          <w:spacing w:val="-2"/>
          <w:sz w:val="28"/>
          <w:szCs w:val="28"/>
          <w:lang w:val="nl-NL"/>
        </w:rPr>
        <w:t xml:space="preserve">s estimated at 856.5 trillion VND, equivalent to </w:t>
      </w:r>
      <w:r>
        <w:rPr>
          <w:rFonts w:ascii="Times New Roman" w:hAnsi="Times New Roman" w:cs="Times New Roman"/>
          <w:spacing w:val="-2"/>
          <w:sz w:val="28"/>
          <w:szCs w:val="28"/>
        </w:rPr>
        <w:t>68.0</w:t>
      </w:r>
      <w:r w:rsidRPr="00ED45E2">
        <w:rPr>
          <w:rFonts w:ascii="Times New Roman" w:hAnsi="Times New Roman" w:cs="Times New Roman"/>
          <w:spacing w:val="-2"/>
          <w:sz w:val="28"/>
          <w:szCs w:val="28"/>
          <w:lang w:val="nl-NL"/>
        </w:rPr>
        <w:t>% of the annual estimate and an increase of 6.8% over the same period last year;</w:t>
      </w:r>
      <w:r w:rsidRPr="00ED51DE">
        <w:rPr>
          <w:rFonts w:ascii="Times New Roman" w:hAnsi="Times New Roman" w:cs="Times New Roman"/>
          <w:color w:val="000000" w:themeColor="text1"/>
          <w:spacing w:val="-2"/>
          <w:sz w:val="28"/>
          <w:szCs w:val="28"/>
          <w:lang w:val="nl-NL"/>
        </w:rPr>
        <w:t xml:space="preserve"> </w:t>
      </w:r>
      <w:r w:rsidRPr="00ED45E2">
        <w:rPr>
          <w:rFonts w:ascii="Times New Roman" w:hAnsi="Times New Roman" w:cs="Times New Roman"/>
          <w:spacing w:val="-2"/>
          <w:sz w:val="28"/>
          <w:szCs w:val="28"/>
          <w:lang w:val="nl-NL"/>
        </w:rPr>
        <w:t xml:space="preserve">development investment expenditure </w:t>
      </w:r>
      <w:r>
        <w:rPr>
          <w:rFonts w:ascii="Times New Roman" w:hAnsi="Times New Roman" w:cs="Times New Roman"/>
          <w:spacing w:val="-2"/>
          <w:sz w:val="28"/>
          <w:szCs w:val="28"/>
          <w:lang w:val="nl-NL"/>
        </w:rPr>
        <w:t>wa</w:t>
      </w:r>
      <w:r w:rsidRPr="00ED45E2">
        <w:rPr>
          <w:rFonts w:ascii="Times New Roman" w:hAnsi="Times New Roman" w:cs="Times New Roman"/>
          <w:spacing w:val="-2"/>
          <w:sz w:val="28"/>
          <w:szCs w:val="28"/>
          <w:lang w:val="nl-NL"/>
        </w:rPr>
        <w:t xml:space="preserve">s estimated at </w:t>
      </w:r>
      <w:r w:rsidRPr="00ED45E2">
        <w:rPr>
          <w:rFonts w:ascii="Times New Roman" w:hAnsi="Times New Roman" w:cs="Times New Roman"/>
          <w:spacing w:val="-2"/>
          <w:sz w:val="28"/>
          <w:szCs w:val="28"/>
        </w:rPr>
        <w:t xml:space="preserve">320.6 </w:t>
      </w:r>
      <w:r w:rsidRPr="00ED45E2">
        <w:rPr>
          <w:rFonts w:ascii="Times New Roman" w:hAnsi="Times New Roman" w:cs="Times New Roman"/>
          <w:spacing w:val="-2"/>
          <w:sz w:val="28"/>
          <w:szCs w:val="28"/>
          <w:lang w:val="nl-NL"/>
        </w:rPr>
        <w:t xml:space="preserve">trillion VND, equivalent to </w:t>
      </w:r>
      <w:r>
        <w:rPr>
          <w:rFonts w:ascii="Times New Roman" w:hAnsi="Times New Roman" w:cs="Times New Roman"/>
          <w:spacing w:val="-2"/>
          <w:sz w:val="28"/>
          <w:szCs w:val="28"/>
        </w:rPr>
        <w:t>47.3</w:t>
      </w:r>
      <w:r w:rsidRPr="00ED45E2">
        <w:rPr>
          <w:rFonts w:ascii="Times New Roman" w:hAnsi="Times New Roman" w:cs="Times New Roman"/>
          <w:spacing w:val="-2"/>
          <w:sz w:val="28"/>
          <w:szCs w:val="28"/>
          <w:lang w:val="nl-NL"/>
        </w:rPr>
        <w:t xml:space="preserve">% and a decrease of 11.8%; debt interest payment </w:t>
      </w:r>
      <w:r>
        <w:rPr>
          <w:rFonts w:ascii="Times New Roman" w:hAnsi="Times New Roman" w:cs="Times New Roman"/>
          <w:spacing w:val="-2"/>
          <w:sz w:val="28"/>
          <w:szCs w:val="28"/>
          <w:lang w:val="nl-NL"/>
        </w:rPr>
        <w:t>wa</w:t>
      </w:r>
      <w:r w:rsidRPr="00ED45E2">
        <w:rPr>
          <w:rFonts w:ascii="Times New Roman" w:hAnsi="Times New Roman" w:cs="Times New Roman"/>
          <w:spacing w:val="-2"/>
          <w:sz w:val="28"/>
          <w:szCs w:val="28"/>
          <w:lang w:val="nl-NL"/>
        </w:rPr>
        <w:t xml:space="preserve">s </w:t>
      </w:r>
      <w:r w:rsidRPr="00ED45E2">
        <w:rPr>
          <w:rFonts w:ascii="Times New Roman" w:hAnsi="Times New Roman" w:cs="Times New Roman"/>
          <w:spacing w:val="-2"/>
          <w:sz w:val="28"/>
          <w:szCs w:val="28"/>
        </w:rPr>
        <w:t xml:space="preserve">77.3 </w:t>
      </w:r>
      <w:r w:rsidRPr="00ED45E2">
        <w:rPr>
          <w:rFonts w:ascii="Times New Roman" w:hAnsi="Times New Roman" w:cs="Times New Roman"/>
          <w:spacing w:val="-2"/>
          <w:sz w:val="28"/>
          <w:szCs w:val="28"/>
          <w:lang w:val="nl-NL"/>
        </w:rPr>
        <w:t>trillion VND, equivalent to 69.2% and an increase of 6.6%.</w:t>
      </w:r>
    </w:p>
    <w:p w14:paraId="29197815" w14:textId="0CA53203" w:rsidR="008606C2" w:rsidRPr="008606C2" w:rsidRDefault="008606C2" w:rsidP="008606C2">
      <w:pPr>
        <w:tabs>
          <w:tab w:val="left" w:pos="900"/>
        </w:tabs>
        <w:spacing w:before="40" w:after="40" w:line="288" w:lineRule="auto"/>
        <w:ind w:firstLine="562"/>
        <w:jc w:val="both"/>
        <w:rPr>
          <w:rFonts w:ascii="Times New Roman" w:hAnsi="Times New Roman" w:cs="Times New Roman"/>
          <w:b/>
          <w:bCs/>
          <w:i/>
          <w:iCs/>
          <w:color w:val="000000"/>
          <w:sz w:val="28"/>
          <w:szCs w:val="28"/>
          <w:lang w:val="de-DE"/>
        </w:rPr>
      </w:pPr>
      <w:bookmarkStart w:id="13" w:name="_Hlk89176061"/>
      <w:bookmarkEnd w:id="12"/>
      <w:r>
        <w:rPr>
          <w:rFonts w:ascii="Times New Roman" w:hAnsi="Times New Roman" w:cs="Times New Roman"/>
          <w:b/>
          <w:bCs/>
          <w:i/>
          <w:iCs/>
          <w:color w:val="000000"/>
          <w:sz w:val="28"/>
          <w:szCs w:val="28"/>
          <w:lang w:val="de-DE"/>
        </w:rPr>
        <w:t>9</w:t>
      </w:r>
      <w:r w:rsidRPr="008606C2">
        <w:rPr>
          <w:rFonts w:ascii="Times New Roman" w:hAnsi="Times New Roman" w:cs="Times New Roman"/>
          <w:b/>
          <w:bCs/>
          <w:i/>
          <w:iCs/>
          <w:color w:val="000000"/>
          <w:sz w:val="28"/>
          <w:szCs w:val="28"/>
          <w:lang w:val="de-DE"/>
        </w:rPr>
        <w:t xml:space="preserve">. </w:t>
      </w:r>
      <w:r w:rsidRPr="008606C2">
        <w:rPr>
          <w:rFonts w:ascii="Times New Roman" w:hAnsi="Times New Roman" w:cs="Times New Roman"/>
          <w:b/>
          <w:bCs/>
          <w:i/>
          <w:iCs/>
          <w:color w:val="000000"/>
          <w:sz w:val="28"/>
          <w:szCs w:val="28"/>
          <w:lang w:val="en-US"/>
        </w:rPr>
        <w:t>Export and import of goods and services</w:t>
      </w:r>
      <w:r w:rsidRPr="008606C2">
        <w:rPr>
          <w:rFonts w:ascii="Times New Roman" w:hAnsi="Times New Roman" w:cs="Times New Roman"/>
          <w:b/>
          <w:bCs/>
          <w:i/>
          <w:iCs/>
          <w:sz w:val="28"/>
          <w:szCs w:val="28"/>
          <w:vertAlign w:val="superscript"/>
          <w:lang w:val="en-US"/>
        </w:rPr>
        <w:footnoteReference w:id="22"/>
      </w:r>
    </w:p>
    <w:p w14:paraId="51207680" w14:textId="77777777" w:rsidR="008606C2" w:rsidRPr="008606C2" w:rsidRDefault="008606C2" w:rsidP="008606C2">
      <w:pPr>
        <w:tabs>
          <w:tab w:val="left" w:pos="900"/>
          <w:tab w:val="left" w:pos="9475"/>
        </w:tabs>
        <w:spacing w:before="120" w:after="120" w:line="288" w:lineRule="auto"/>
        <w:ind w:right="119" w:firstLine="567"/>
        <w:jc w:val="both"/>
        <w:rPr>
          <w:rFonts w:ascii="Times New Roman" w:hAnsi="Times New Roman" w:cs="Times New Roman"/>
          <w:b/>
          <w:bCs/>
          <w:i/>
          <w:sz w:val="28"/>
          <w:szCs w:val="28"/>
          <w:lang w:val="es-NI"/>
        </w:rPr>
      </w:pPr>
      <w:r w:rsidRPr="008606C2">
        <w:rPr>
          <w:rFonts w:ascii="Times New Roman" w:hAnsi="Times New Roman" w:cs="Times New Roman"/>
          <w:b/>
          <w:bCs/>
          <w:i/>
          <w:sz w:val="28"/>
          <w:szCs w:val="28"/>
          <w:lang w:val="de-DE"/>
        </w:rPr>
        <w:t>Total preliminary export and import turnover of goods in 9/2024 reached 65.81 billion USD, down 8% over the previous month and up 10.9% over the same period last year. Generally, in nine months of 2024, the total export and import turnover of goods reached 578.47 billion USD, up 16.3% over the same period last year, of which exports increased by 15.4%; imports increased by 17.3%</w:t>
      </w:r>
      <w:r w:rsidRPr="008606C2">
        <w:rPr>
          <w:rFonts w:ascii="Times New Roman" w:hAnsi="Times New Roman" w:cs="Times New Roman"/>
          <w:b/>
          <w:bCs/>
          <w:i/>
          <w:sz w:val="28"/>
          <w:szCs w:val="28"/>
          <w:vertAlign w:val="superscript"/>
          <w:lang w:val="de-DE"/>
        </w:rPr>
        <w:footnoteReference w:id="23"/>
      </w:r>
      <w:r w:rsidRPr="008606C2">
        <w:rPr>
          <w:rFonts w:ascii="Times New Roman" w:hAnsi="Times New Roman" w:cs="Times New Roman"/>
          <w:b/>
          <w:bCs/>
          <w:i/>
          <w:sz w:val="28"/>
          <w:szCs w:val="28"/>
          <w:lang w:val="de-DE"/>
        </w:rPr>
        <w:t>. The trade balance of goods had a surplus of 20.79 billion USD.</w:t>
      </w:r>
      <w:r w:rsidRPr="008606C2">
        <w:rPr>
          <w:rFonts w:ascii="Times New Roman" w:hAnsi="Times New Roman" w:cs="Times New Roman"/>
          <w:b/>
          <w:bCs/>
          <w:i/>
          <w:sz w:val="28"/>
          <w:szCs w:val="28"/>
          <w:lang w:val="es-NI"/>
        </w:rPr>
        <w:t xml:space="preserve"> </w:t>
      </w:r>
    </w:p>
    <w:p w14:paraId="656EE12B" w14:textId="77777777" w:rsidR="008606C2" w:rsidRPr="008606C2" w:rsidRDefault="008606C2" w:rsidP="008606C2">
      <w:pPr>
        <w:tabs>
          <w:tab w:val="left" w:pos="900"/>
        </w:tabs>
        <w:spacing w:before="40" w:after="40" w:line="288" w:lineRule="auto"/>
        <w:ind w:firstLine="562"/>
        <w:jc w:val="both"/>
        <w:rPr>
          <w:rFonts w:ascii="Times New Roman" w:hAnsi="Times New Roman" w:cs="Times New Roman"/>
          <w:b/>
          <w:bCs/>
          <w:i/>
          <w:iCs/>
          <w:sz w:val="28"/>
          <w:szCs w:val="28"/>
          <w:lang w:val="en-US"/>
        </w:rPr>
      </w:pPr>
      <w:r w:rsidRPr="008606C2">
        <w:rPr>
          <w:rFonts w:ascii="Times New Roman" w:hAnsi="Times New Roman" w:cs="Times New Roman"/>
          <w:b/>
          <w:bCs/>
          <w:i/>
          <w:iCs/>
          <w:color w:val="000000"/>
          <w:sz w:val="28"/>
          <w:szCs w:val="28"/>
          <w:lang w:val="de-DE"/>
        </w:rPr>
        <w:t xml:space="preserve">a) </w:t>
      </w:r>
      <w:r w:rsidRPr="008606C2">
        <w:rPr>
          <w:rFonts w:ascii="Times New Roman" w:hAnsi="Times New Roman" w:cs="Times New Roman"/>
          <w:b/>
          <w:bCs/>
          <w:i/>
          <w:iCs/>
          <w:sz w:val="28"/>
          <w:szCs w:val="28"/>
          <w:lang w:val="en-US"/>
        </w:rPr>
        <w:t>Export and import of goods</w:t>
      </w:r>
      <w:r w:rsidRPr="008606C2">
        <w:rPr>
          <w:rFonts w:ascii="Times New Roman Italic" w:hAnsi="Times New Roman Italic" w:cs="Times New Roman"/>
          <w:i/>
          <w:iCs/>
          <w:sz w:val="28"/>
          <w:szCs w:val="28"/>
          <w:vertAlign w:val="superscript"/>
          <w:lang w:val="en-US"/>
        </w:rPr>
        <w:footnoteReference w:id="24"/>
      </w:r>
    </w:p>
    <w:p w14:paraId="69C11233" w14:textId="77777777" w:rsidR="008606C2" w:rsidRPr="008606C2" w:rsidRDefault="008606C2" w:rsidP="008606C2">
      <w:pPr>
        <w:tabs>
          <w:tab w:val="num" w:pos="0"/>
          <w:tab w:val="left" w:pos="9475"/>
        </w:tabs>
        <w:spacing w:beforeLines="40" w:before="96" w:afterLines="40" w:after="96" w:line="288" w:lineRule="auto"/>
        <w:ind w:right="6" w:firstLine="567"/>
        <w:jc w:val="both"/>
        <w:rPr>
          <w:rFonts w:ascii="Times New Roman" w:hAnsi="Times New Roman" w:cs="Times New Roman"/>
          <w:b/>
          <w:bCs/>
          <w:sz w:val="28"/>
          <w:szCs w:val="28"/>
          <w:lang w:val="es-NI"/>
        </w:rPr>
      </w:pPr>
      <w:r w:rsidRPr="008606C2">
        <w:rPr>
          <w:rFonts w:ascii="Times New Roman" w:hAnsi="Times New Roman" w:cs="Times New Roman"/>
          <w:bCs/>
          <w:sz w:val="28"/>
          <w:szCs w:val="28"/>
          <w:lang w:val="en-US"/>
        </w:rPr>
        <w:t xml:space="preserve">Preliminary export turnover of goods in 9/2024 </w:t>
      </w:r>
      <w:r w:rsidRPr="008606C2">
        <w:rPr>
          <w:rFonts w:ascii="Times New Roman" w:hAnsi="Times New Roman" w:cs="Times New Roman"/>
          <w:bCs/>
          <w:sz w:val="28"/>
          <w:szCs w:val="28"/>
          <w:lang w:val="de-DE"/>
        </w:rPr>
        <w:t xml:space="preserve">reached 34.05 billion USD, down 9.9% over the previous month. In the third quarter of 2024, preliminary export turnover of goods reached 108.6 billion USD, up 15.8% over the same period last year and up 10.6% compared to the second quarter of 2024. </w:t>
      </w:r>
      <w:proofErr w:type="gramStart"/>
      <w:r w:rsidRPr="008606C2">
        <w:rPr>
          <w:rFonts w:ascii="Times New Roman" w:hAnsi="Times New Roman" w:cs="Times New Roman"/>
          <w:sz w:val="28"/>
          <w:szCs w:val="28"/>
          <w:lang w:val="en-US"/>
        </w:rPr>
        <w:t>Generally</w:t>
      </w:r>
      <w:proofErr w:type="gramEnd"/>
      <w:r w:rsidRPr="008606C2">
        <w:rPr>
          <w:rFonts w:ascii="Times New Roman" w:hAnsi="Times New Roman" w:cs="Times New Roman"/>
          <w:sz w:val="28"/>
          <w:szCs w:val="28"/>
          <w:lang w:val="en-US"/>
        </w:rPr>
        <w:t xml:space="preserve"> in</w:t>
      </w:r>
      <w:r w:rsidRPr="008606C2">
        <w:rPr>
          <w:rFonts w:ascii="Times New Roman" w:hAnsi="Times New Roman" w:cs="Times New Roman"/>
          <w:sz w:val="28"/>
          <w:szCs w:val="28"/>
          <w:lang w:val="de-DE"/>
        </w:rPr>
        <w:t xml:space="preserve"> nine months of 2024, </w:t>
      </w:r>
      <w:r w:rsidRPr="008606C2">
        <w:rPr>
          <w:rFonts w:ascii="Times New Roman" w:hAnsi="Times New Roman" w:cs="Times New Roman"/>
          <w:bCs/>
          <w:sz w:val="28"/>
          <w:szCs w:val="28"/>
          <w:lang w:val="de-DE"/>
        </w:rPr>
        <w:t>preliminary export turnover of goods reached</w:t>
      </w:r>
      <w:r w:rsidRPr="008606C2">
        <w:rPr>
          <w:rFonts w:ascii="Times New Roman" w:hAnsi="Times New Roman" w:cs="Times New Roman"/>
          <w:sz w:val="28"/>
          <w:szCs w:val="28"/>
          <w:lang w:val="en-US"/>
        </w:rPr>
        <w:t xml:space="preserve"> 299.63 billion</w:t>
      </w:r>
      <w:r w:rsidRPr="008606C2">
        <w:rPr>
          <w:rFonts w:ascii="Times New Roman" w:hAnsi="Times New Roman" w:cs="Times New Roman"/>
          <w:bCs/>
          <w:sz w:val="28"/>
          <w:szCs w:val="28"/>
          <w:lang w:val="en-US"/>
        </w:rPr>
        <w:t xml:space="preserve"> USD</w:t>
      </w:r>
      <w:r w:rsidRPr="008606C2">
        <w:rPr>
          <w:rFonts w:ascii="Times New Roman" w:hAnsi="Times New Roman" w:cs="Times New Roman"/>
          <w:sz w:val="28"/>
          <w:szCs w:val="28"/>
          <w:lang w:val="en-US"/>
        </w:rPr>
        <w:t xml:space="preserve">, increased by 15.4% over </w:t>
      </w:r>
      <w:r w:rsidRPr="008606C2">
        <w:rPr>
          <w:rFonts w:ascii="Times New Roman" w:hAnsi="Times New Roman" w:cs="Times New Roman"/>
          <w:bCs/>
          <w:sz w:val="28"/>
          <w:szCs w:val="28"/>
          <w:lang w:val="en-US"/>
        </w:rPr>
        <w:t>the same period last year</w:t>
      </w:r>
      <w:r w:rsidRPr="008606C2">
        <w:rPr>
          <w:rFonts w:ascii="Times New Roman" w:hAnsi="Times New Roman" w:cs="Times New Roman"/>
          <w:sz w:val="28"/>
          <w:szCs w:val="28"/>
          <w:lang w:val="en-US"/>
        </w:rPr>
        <w:t xml:space="preserve">. Of which, the domestic economic sector </w:t>
      </w:r>
      <w:r w:rsidRPr="008606C2">
        <w:rPr>
          <w:rFonts w:ascii="Times New Roman" w:hAnsi="Times New Roman" w:cs="Times New Roman"/>
          <w:bCs/>
          <w:sz w:val="28"/>
          <w:szCs w:val="28"/>
          <w:lang w:val="en-US"/>
        </w:rPr>
        <w:t>was</w:t>
      </w:r>
      <w:r w:rsidRPr="008606C2">
        <w:rPr>
          <w:rFonts w:ascii="Times New Roman" w:hAnsi="Times New Roman" w:cs="Times New Roman"/>
          <w:sz w:val="28"/>
          <w:szCs w:val="28"/>
          <w:lang w:val="en-US"/>
        </w:rPr>
        <w:t xml:space="preserve"> 83.47 billion USD, went up 20.7%, accounting for 27.9% of total export turnover; the FDI sector (including crude oil) attained 216.16 billion USD, increased by 13.4%, sharing 72.1%.</w:t>
      </w:r>
      <w:r w:rsidRPr="008606C2">
        <w:rPr>
          <w:rFonts w:ascii="Times New Roman" w:hAnsi="Times New Roman" w:cs="Times New Roman"/>
          <w:sz w:val="28"/>
          <w:szCs w:val="28"/>
          <w:lang w:val="de-DE"/>
        </w:rPr>
        <w:t xml:space="preserve"> In nine months of 2024, </w:t>
      </w:r>
      <w:r w:rsidRPr="008606C2">
        <w:rPr>
          <w:rFonts w:ascii="Times New Roman" w:hAnsi="Times New Roman" w:cs="Times New Roman"/>
          <w:sz w:val="28"/>
          <w:szCs w:val="28"/>
          <w:lang w:val="en-US"/>
        </w:rPr>
        <w:t xml:space="preserve">there were 30 products with export turnover of over 1 billion USD, contributing </w:t>
      </w:r>
      <w:r w:rsidRPr="008606C2">
        <w:rPr>
          <w:rFonts w:ascii="Times New Roman" w:hAnsi="Times New Roman" w:cs="Times New Roman"/>
          <w:sz w:val="28"/>
          <w:szCs w:val="28"/>
          <w:lang w:val="en-US"/>
        </w:rPr>
        <w:lastRenderedPageBreak/>
        <w:t>92.3% to the total export turnover (7 products with export turnover of over 10 billion USD, accounting for 66.4%).</w:t>
      </w:r>
      <w:r w:rsidRPr="008606C2">
        <w:rPr>
          <w:rFonts w:ascii="Times New Roman" w:hAnsi="Times New Roman" w:cs="Times New Roman"/>
          <w:sz w:val="28"/>
          <w:szCs w:val="28"/>
          <w:lang w:val="de-DE"/>
        </w:rPr>
        <w:t xml:space="preserve"> </w:t>
      </w:r>
    </w:p>
    <w:p w14:paraId="2EE417BA" w14:textId="20B70EDC" w:rsidR="008606C2" w:rsidRPr="008606C2" w:rsidRDefault="008606C2" w:rsidP="008606C2">
      <w:pPr>
        <w:tabs>
          <w:tab w:val="num" w:pos="0"/>
          <w:tab w:val="left" w:pos="9475"/>
        </w:tabs>
        <w:spacing w:beforeLines="40" w:before="96" w:afterLines="40" w:after="96" w:line="259" w:lineRule="auto"/>
        <w:ind w:right="6" w:firstLine="567"/>
        <w:jc w:val="both"/>
        <w:rPr>
          <w:rFonts w:ascii="Times New Roman" w:hAnsi="Times New Roman" w:cs="Times New Roman"/>
          <w:spacing w:val="-2"/>
          <w:sz w:val="28"/>
          <w:szCs w:val="28"/>
          <w:lang w:val="en-US"/>
        </w:rPr>
      </w:pPr>
      <w:r w:rsidRPr="008606C2">
        <w:rPr>
          <w:rFonts w:ascii="Times New Roman" w:hAnsi="Times New Roman" w:cs="Times New Roman"/>
          <w:bCs/>
          <w:i/>
          <w:iCs/>
          <w:spacing w:val="-2"/>
          <w:sz w:val="28"/>
          <w:szCs w:val="28"/>
          <w:lang w:val="de-DE"/>
        </w:rPr>
        <w:t xml:space="preserve">Preliminary import turnover of goods in 9/2024 </w:t>
      </w:r>
      <w:r w:rsidRPr="008606C2">
        <w:rPr>
          <w:rFonts w:ascii="Times New Roman" w:hAnsi="Times New Roman" w:cs="Times New Roman"/>
          <w:bCs/>
          <w:spacing w:val="-2"/>
          <w:sz w:val="28"/>
          <w:szCs w:val="28"/>
          <w:lang w:val="en-US"/>
        </w:rPr>
        <w:t xml:space="preserve">reached 31.76 billion USD, decreased by 5.9% over the previous month. </w:t>
      </w:r>
      <w:r w:rsidRPr="008606C2">
        <w:rPr>
          <w:rFonts w:ascii="Times New Roman" w:hAnsi="Times New Roman" w:cs="Times New Roman"/>
          <w:i/>
          <w:iCs/>
          <w:spacing w:val="-4"/>
          <w:sz w:val="28"/>
          <w:szCs w:val="28"/>
          <w:lang w:val="de-DE"/>
        </w:rPr>
        <w:t>In the third quarter of 2024,</w:t>
      </w:r>
      <w:r w:rsidRPr="008606C2">
        <w:rPr>
          <w:rFonts w:ascii="Times New Roman" w:hAnsi="Times New Roman" w:cs="Times New Roman"/>
          <w:spacing w:val="-4"/>
          <w:sz w:val="28"/>
          <w:szCs w:val="28"/>
          <w:lang w:val="de-DE"/>
        </w:rPr>
        <w:t xml:space="preserve"> preliminary import turnover of goods reached 99.74 billion USD, up 17.2% over the same period last year and up 6.1% compared to the second quarter of 2024.</w:t>
      </w:r>
      <w:bookmarkEnd w:id="13"/>
      <w:r w:rsidRPr="008606C2">
        <w:rPr>
          <w:rFonts w:ascii="Times New Roman" w:hAnsi="Times New Roman" w:cs="Times New Roman"/>
          <w:spacing w:val="-4"/>
          <w:sz w:val="28"/>
          <w:szCs w:val="28"/>
          <w:lang w:val="de-DE"/>
        </w:rPr>
        <w:t xml:space="preserve"> </w:t>
      </w:r>
      <w:r w:rsidRPr="008606C2">
        <w:rPr>
          <w:rFonts w:ascii="Times New Roman" w:hAnsi="Times New Roman" w:cs="Times New Roman"/>
          <w:i/>
          <w:iCs/>
          <w:sz w:val="28"/>
          <w:szCs w:val="28"/>
          <w:lang w:val="en-US"/>
        </w:rPr>
        <w:t>Generally,</w:t>
      </w:r>
      <w:r w:rsidRPr="008606C2">
        <w:rPr>
          <w:rFonts w:ascii="Times New Roman" w:hAnsi="Times New Roman" w:cs="Times New Roman"/>
          <w:i/>
          <w:iCs/>
          <w:sz w:val="28"/>
          <w:szCs w:val="28"/>
          <w:lang w:val="en-US"/>
        </w:rPr>
        <w:t xml:space="preserve"> in</w:t>
      </w:r>
      <w:r w:rsidRPr="008606C2">
        <w:rPr>
          <w:rFonts w:ascii="Times New Roman" w:hAnsi="Times New Roman" w:cs="Times New Roman"/>
          <w:i/>
          <w:iCs/>
          <w:sz w:val="28"/>
          <w:szCs w:val="28"/>
          <w:lang w:val="de-DE"/>
        </w:rPr>
        <w:t xml:space="preserve"> nine months of 2024</w:t>
      </w:r>
      <w:r w:rsidRPr="008606C2">
        <w:rPr>
          <w:rFonts w:ascii="Times New Roman" w:hAnsi="Times New Roman" w:cs="Times New Roman"/>
          <w:sz w:val="28"/>
          <w:szCs w:val="28"/>
          <w:lang w:val="de-DE"/>
        </w:rPr>
        <w:t xml:space="preserve">, </w:t>
      </w:r>
      <w:r w:rsidRPr="008606C2">
        <w:rPr>
          <w:rFonts w:ascii="Times New Roman" w:hAnsi="Times New Roman" w:cs="Times New Roman"/>
          <w:sz w:val="28"/>
          <w:szCs w:val="28"/>
          <w:lang w:val="en-US"/>
        </w:rPr>
        <w:t>the p</w:t>
      </w:r>
      <w:r w:rsidRPr="008606C2">
        <w:rPr>
          <w:rFonts w:ascii="Times New Roman" w:hAnsi="Times New Roman" w:cs="Times New Roman"/>
          <w:bCs/>
          <w:sz w:val="28"/>
          <w:szCs w:val="28"/>
          <w:lang w:val="en-US"/>
        </w:rPr>
        <w:t>reliminary import turnover of goods</w:t>
      </w:r>
      <w:r w:rsidRPr="008606C2">
        <w:rPr>
          <w:rFonts w:ascii="Times New Roman" w:hAnsi="Times New Roman" w:cs="Times New Roman"/>
          <w:sz w:val="28"/>
          <w:szCs w:val="28"/>
          <w:lang w:val="en-US"/>
        </w:rPr>
        <w:t xml:space="preserve"> reached 278.84 billion</w:t>
      </w:r>
      <w:r w:rsidRPr="008606C2">
        <w:rPr>
          <w:rFonts w:ascii="Times New Roman" w:hAnsi="Times New Roman" w:cs="Times New Roman"/>
          <w:bCs/>
          <w:sz w:val="28"/>
          <w:szCs w:val="28"/>
          <w:lang w:val="en-US"/>
        </w:rPr>
        <w:t xml:space="preserve"> USD,</w:t>
      </w:r>
      <w:r w:rsidRPr="008606C2">
        <w:rPr>
          <w:rFonts w:ascii="Times New Roman" w:hAnsi="Times New Roman" w:cs="Times New Roman"/>
          <w:sz w:val="28"/>
          <w:szCs w:val="28"/>
          <w:lang w:val="en-US"/>
        </w:rPr>
        <w:t xml:space="preserve"> increased by 17.3% over </w:t>
      </w:r>
      <w:r w:rsidRPr="008606C2">
        <w:rPr>
          <w:rFonts w:ascii="Times New Roman" w:hAnsi="Times New Roman" w:cs="Times New Roman"/>
          <w:bCs/>
          <w:sz w:val="28"/>
          <w:szCs w:val="28"/>
          <w:lang w:val="en-US"/>
        </w:rPr>
        <w:t>the same period last year</w:t>
      </w:r>
      <w:r w:rsidRPr="008606C2">
        <w:rPr>
          <w:rFonts w:ascii="Times New Roman" w:hAnsi="Times New Roman" w:cs="Times New Roman"/>
          <w:sz w:val="28"/>
          <w:szCs w:val="28"/>
          <w:lang w:val="en-US"/>
        </w:rPr>
        <w:t>. Of which the domestic economic sector reached 100.85 billion</w:t>
      </w:r>
      <w:r w:rsidRPr="008606C2">
        <w:rPr>
          <w:rFonts w:ascii="Times New Roman" w:hAnsi="Times New Roman" w:cs="Times New Roman"/>
          <w:bCs/>
          <w:sz w:val="28"/>
          <w:szCs w:val="28"/>
          <w:lang w:val="en-US"/>
        </w:rPr>
        <w:t xml:space="preserve"> USD,</w:t>
      </w:r>
      <w:r w:rsidRPr="008606C2">
        <w:rPr>
          <w:rFonts w:ascii="Times New Roman" w:hAnsi="Times New Roman" w:cs="Times New Roman"/>
          <w:sz w:val="28"/>
          <w:szCs w:val="28"/>
          <w:lang w:val="en-US"/>
        </w:rPr>
        <w:t xml:space="preserve"> went up 18.8%; the FDI sector gained 177.99 billion USD, up 16.5%.</w:t>
      </w:r>
      <w:r w:rsidRPr="008606C2">
        <w:rPr>
          <w:rFonts w:ascii="Times New Roman" w:hAnsi="Times New Roman" w:cs="Times New Roman"/>
          <w:bCs/>
          <w:sz w:val="28"/>
          <w:szCs w:val="28"/>
          <w:lang w:val="de-DE"/>
        </w:rPr>
        <w:t xml:space="preserve"> </w:t>
      </w:r>
      <w:r w:rsidRPr="008606C2">
        <w:rPr>
          <w:rFonts w:ascii="Times New Roman" w:hAnsi="Times New Roman" w:cs="Times New Roman"/>
          <w:i/>
          <w:iCs/>
          <w:spacing w:val="-2"/>
          <w:sz w:val="28"/>
          <w:szCs w:val="28"/>
          <w:lang w:val="en"/>
        </w:rPr>
        <w:t>In nine months of 2024</w:t>
      </w:r>
      <w:r w:rsidRPr="008606C2">
        <w:rPr>
          <w:rFonts w:ascii="Times New Roman" w:hAnsi="Times New Roman" w:cs="Times New Roman"/>
          <w:spacing w:val="-2"/>
          <w:sz w:val="28"/>
          <w:szCs w:val="28"/>
          <w:lang w:val="en"/>
        </w:rPr>
        <w:t xml:space="preserve">, there are 40 </w:t>
      </w:r>
      <w:r w:rsidRPr="008606C2">
        <w:rPr>
          <w:rFonts w:ascii="Times New Roman" w:hAnsi="Times New Roman" w:cs="Times New Roman"/>
          <w:spacing w:val="-2"/>
          <w:sz w:val="28"/>
          <w:szCs w:val="28"/>
          <w:lang w:val="en-US"/>
        </w:rPr>
        <w:t xml:space="preserve">imported products with a turnover of over 1 billion USD, accounting for 91.5% of total import turnover (3 products with import turnover of over 10 billion USD, accounting for 45%). </w:t>
      </w:r>
    </w:p>
    <w:p w14:paraId="7F6F154E" w14:textId="77777777" w:rsidR="008606C2" w:rsidRPr="008606C2" w:rsidRDefault="008606C2" w:rsidP="008606C2">
      <w:pPr>
        <w:spacing w:beforeLines="40" w:before="96" w:afterLines="40" w:after="96" w:line="264" w:lineRule="auto"/>
        <w:ind w:firstLine="567"/>
        <w:jc w:val="both"/>
        <w:rPr>
          <w:rFonts w:ascii="Times New Roman" w:hAnsi="Times New Roman" w:cs="Times New Roman"/>
          <w:iCs/>
          <w:sz w:val="28"/>
          <w:szCs w:val="28"/>
        </w:rPr>
      </w:pPr>
      <w:r w:rsidRPr="008606C2">
        <w:rPr>
          <w:rFonts w:ascii="Times New Roman" w:hAnsi="Times New Roman" w:cs="Times New Roman"/>
          <w:i/>
          <w:sz w:val="28"/>
          <w:szCs w:val="28"/>
          <w:lang w:val="en-US"/>
        </w:rPr>
        <w:t>The trade balance of goods</w:t>
      </w:r>
      <w:r w:rsidRPr="008606C2">
        <w:rPr>
          <w:rFonts w:ascii="Times New Roman" w:hAnsi="Times New Roman" w:cs="Times New Roman"/>
          <w:iCs/>
          <w:sz w:val="28"/>
          <w:szCs w:val="28"/>
          <w:lang w:val="en-US"/>
        </w:rPr>
        <w:t xml:space="preserve"> in </w:t>
      </w:r>
      <w:r w:rsidRPr="008606C2">
        <w:rPr>
          <w:rFonts w:ascii="Times New Roman" w:hAnsi="Times New Roman" w:cs="Times New Roman"/>
          <w:iCs/>
          <w:sz w:val="28"/>
          <w:szCs w:val="28"/>
          <w:lang w:val="en"/>
        </w:rPr>
        <w:t xml:space="preserve">September had a trade surplus of 2.29 billion USD. </w:t>
      </w:r>
      <w:proofErr w:type="gramStart"/>
      <w:r w:rsidRPr="008606C2">
        <w:rPr>
          <w:rFonts w:ascii="Times New Roman" w:hAnsi="Times New Roman" w:cs="Times New Roman"/>
          <w:iCs/>
          <w:sz w:val="28"/>
          <w:szCs w:val="28"/>
          <w:lang w:val="en"/>
        </w:rPr>
        <w:t>Generally</w:t>
      </w:r>
      <w:proofErr w:type="gramEnd"/>
      <w:r w:rsidRPr="008606C2">
        <w:rPr>
          <w:rFonts w:ascii="Times New Roman" w:hAnsi="Times New Roman" w:cs="Times New Roman"/>
          <w:iCs/>
          <w:sz w:val="28"/>
          <w:szCs w:val="28"/>
          <w:lang w:val="en"/>
        </w:rPr>
        <w:t xml:space="preserve"> in nine months of 2024, the trade balance of goods had a trade surplus of 20.79 billion USD (in the same period last year, the trade surplus of 22.1 billion USD). Of which, the domestic economic sector had a trade deficit of 17.38 billion USD; the FDI sector (including crude oil) had a trade surplus of 38.17 billion USD.</w:t>
      </w:r>
    </w:p>
    <w:p w14:paraId="63915043" w14:textId="77777777" w:rsidR="008606C2" w:rsidRPr="008606C2" w:rsidRDefault="008606C2" w:rsidP="008606C2">
      <w:pPr>
        <w:spacing w:before="40" w:after="40" w:line="288" w:lineRule="auto"/>
        <w:ind w:firstLine="567"/>
        <w:jc w:val="both"/>
        <w:rPr>
          <w:rFonts w:ascii="Times New Roman" w:hAnsi="Times New Roman" w:cs="Times New Roman"/>
          <w:b/>
          <w:bCs/>
          <w:i/>
          <w:iCs/>
          <w:sz w:val="28"/>
          <w:szCs w:val="28"/>
          <w:lang w:val="es-NI"/>
        </w:rPr>
      </w:pPr>
      <w:r w:rsidRPr="008606C2">
        <w:rPr>
          <w:rFonts w:ascii="Times New Roman" w:hAnsi="Times New Roman" w:cs="Times New Roman"/>
          <w:b/>
          <w:bCs/>
          <w:i/>
          <w:iCs/>
          <w:sz w:val="28"/>
          <w:szCs w:val="28"/>
          <w:lang w:val="es-NI"/>
        </w:rPr>
        <w:t xml:space="preserve">b) </w:t>
      </w:r>
      <w:r w:rsidRPr="008606C2">
        <w:rPr>
          <w:rFonts w:ascii="Times New Roman" w:hAnsi="Times New Roman" w:cs="Times New Roman"/>
          <w:b/>
          <w:bCs/>
          <w:i/>
          <w:iCs/>
          <w:sz w:val="28"/>
          <w:szCs w:val="28"/>
          <w:lang w:val="en-US"/>
        </w:rPr>
        <w:t>Export and import of services</w:t>
      </w:r>
    </w:p>
    <w:p w14:paraId="58C10F27" w14:textId="77777777" w:rsidR="008606C2" w:rsidRPr="008606C2" w:rsidRDefault="008606C2" w:rsidP="008606C2">
      <w:pPr>
        <w:spacing w:before="40" w:after="40" w:line="288" w:lineRule="auto"/>
        <w:ind w:firstLine="567"/>
        <w:jc w:val="both"/>
        <w:rPr>
          <w:rFonts w:ascii="Times New Roman" w:hAnsi="Times New Roman" w:cs="Times New Roman"/>
          <w:iCs/>
          <w:sz w:val="28"/>
          <w:szCs w:val="28"/>
          <w:lang w:val="en-US"/>
        </w:rPr>
      </w:pPr>
      <w:r w:rsidRPr="008606C2">
        <w:rPr>
          <w:rFonts w:ascii="Times New Roman" w:hAnsi="Times New Roman" w:cs="Times New Roman"/>
          <w:iCs/>
          <w:sz w:val="28"/>
          <w:szCs w:val="28"/>
          <w:lang w:val="en-US"/>
        </w:rPr>
        <w:t>In nine months of 2024, export turnover of services reached 17.4 billion</w:t>
      </w:r>
      <w:r w:rsidRPr="008606C2">
        <w:rPr>
          <w:rFonts w:ascii="Times New Roman" w:hAnsi="Times New Roman" w:cs="Times New Roman"/>
          <w:bCs/>
          <w:iCs/>
          <w:sz w:val="28"/>
          <w:szCs w:val="28"/>
          <w:lang w:val="en-US"/>
        </w:rPr>
        <w:t xml:space="preserve"> USD</w:t>
      </w:r>
      <w:r w:rsidRPr="008606C2">
        <w:rPr>
          <w:rFonts w:ascii="Times New Roman" w:hAnsi="Times New Roman" w:cs="Times New Roman"/>
          <w:iCs/>
          <w:sz w:val="28"/>
          <w:szCs w:val="28"/>
          <w:lang w:val="en-US"/>
        </w:rPr>
        <w:t xml:space="preserve">, went up by 18.8% over the same period in 2023, of which travel service gained 8.8 billion </w:t>
      </w:r>
      <w:r w:rsidRPr="008606C2">
        <w:rPr>
          <w:rFonts w:ascii="Times New Roman" w:hAnsi="Times New Roman" w:cs="Times New Roman"/>
          <w:bCs/>
          <w:iCs/>
          <w:sz w:val="28"/>
          <w:szCs w:val="28"/>
          <w:lang w:val="en-US"/>
        </w:rPr>
        <w:t>USD</w:t>
      </w:r>
      <w:r w:rsidRPr="008606C2">
        <w:rPr>
          <w:rFonts w:ascii="Times New Roman" w:hAnsi="Times New Roman" w:cs="Times New Roman"/>
          <w:iCs/>
          <w:sz w:val="28"/>
          <w:szCs w:val="28"/>
          <w:lang w:val="en-US"/>
        </w:rPr>
        <w:t xml:space="preserve"> (accounting for 50.6% of the total turnover), up 33.4% over the same period last year; transportation service reached 4.9 billion USD (accounting for 28.1%), increased by 7.9%. </w:t>
      </w:r>
    </w:p>
    <w:p w14:paraId="016F2BD4" w14:textId="77777777" w:rsidR="008606C2" w:rsidRPr="008606C2" w:rsidRDefault="008606C2" w:rsidP="008606C2">
      <w:pPr>
        <w:spacing w:before="40" w:after="40" w:line="288" w:lineRule="auto"/>
        <w:ind w:firstLine="567"/>
        <w:jc w:val="both"/>
        <w:rPr>
          <w:rFonts w:ascii="Times New Roman" w:hAnsi="Times New Roman" w:cs="Times New Roman"/>
          <w:iCs/>
          <w:sz w:val="28"/>
          <w:szCs w:val="28"/>
          <w:lang w:val="en-US"/>
        </w:rPr>
      </w:pPr>
      <w:r w:rsidRPr="008606C2">
        <w:rPr>
          <w:rFonts w:ascii="Times New Roman" w:hAnsi="Times New Roman" w:cs="Times New Roman"/>
          <w:iCs/>
          <w:sz w:val="28"/>
          <w:szCs w:val="28"/>
          <w:lang w:val="en-US"/>
        </w:rPr>
        <w:t xml:space="preserve">Import turnover of service in nine months of this year reached 26.6 billion USD </w:t>
      </w:r>
      <w:r w:rsidRPr="008606C2">
        <w:rPr>
          <w:rFonts w:ascii="Times New Roman" w:hAnsi="Times New Roman" w:cs="Times New Roman"/>
          <w:bCs/>
          <w:iCs/>
          <w:sz w:val="28"/>
          <w:szCs w:val="28"/>
          <w:lang w:val="es-NI"/>
        </w:rPr>
        <w:t>(of which transportation and insurance service fees for imported goods are 8.8 billion USD)</w:t>
      </w:r>
      <w:r w:rsidRPr="008606C2">
        <w:rPr>
          <w:rFonts w:ascii="Times New Roman" w:hAnsi="Times New Roman" w:cs="Times New Roman"/>
          <w:iCs/>
          <w:sz w:val="28"/>
          <w:szCs w:val="28"/>
          <w:lang w:val="en-US"/>
        </w:rPr>
        <w:t xml:space="preserve">, up 26.8% over the same period last year, of which transportation service gained 10.7 billion </w:t>
      </w:r>
      <w:r w:rsidRPr="008606C2">
        <w:rPr>
          <w:rFonts w:ascii="Times New Roman" w:hAnsi="Times New Roman" w:cs="Times New Roman"/>
          <w:bCs/>
          <w:iCs/>
          <w:sz w:val="28"/>
          <w:szCs w:val="28"/>
          <w:lang w:val="en-US"/>
        </w:rPr>
        <w:t>USD</w:t>
      </w:r>
      <w:r w:rsidRPr="008606C2">
        <w:rPr>
          <w:rFonts w:ascii="Times New Roman" w:hAnsi="Times New Roman" w:cs="Times New Roman"/>
          <w:iCs/>
          <w:sz w:val="28"/>
          <w:szCs w:val="28"/>
          <w:lang w:val="en-US"/>
        </w:rPr>
        <w:t xml:space="preserve"> (accounting for 40.2% of the total turnover), increased by 17.7%; travel service reached 9.3 billion USD (accounting for 34.7%), increased by 68%. </w:t>
      </w:r>
    </w:p>
    <w:p w14:paraId="20F123A2" w14:textId="77777777" w:rsidR="008606C2" w:rsidRPr="008606C2" w:rsidRDefault="008606C2" w:rsidP="008606C2">
      <w:pPr>
        <w:spacing w:before="40" w:after="40" w:line="288" w:lineRule="auto"/>
        <w:ind w:firstLine="567"/>
        <w:jc w:val="both"/>
        <w:rPr>
          <w:rFonts w:ascii="Times New Roman" w:hAnsi="Times New Roman" w:cs="Times New Roman"/>
          <w:iCs/>
          <w:sz w:val="28"/>
          <w:szCs w:val="28"/>
          <w:lang w:val="en-US"/>
        </w:rPr>
      </w:pPr>
      <w:r w:rsidRPr="008606C2">
        <w:rPr>
          <w:rFonts w:ascii="Times New Roman" w:hAnsi="Times New Roman" w:cs="Times New Roman"/>
          <w:iCs/>
          <w:sz w:val="28"/>
          <w:szCs w:val="28"/>
          <w:lang w:val="en-US"/>
        </w:rPr>
        <w:t>The trade deficit of services in nine months of 2024 was 9.2 billion</w:t>
      </w:r>
      <w:r w:rsidRPr="008606C2">
        <w:rPr>
          <w:rFonts w:ascii="Times New Roman" w:hAnsi="Times New Roman" w:cs="Times New Roman"/>
          <w:bCs/>
          <w:iCs/>
          <w:sz w:val="28"/>
          <w:szCs w:val="28"/>
          <w:lang w:val="en-US"/>
        </w:rPr>
        <w:t xml:space="preserve"> USD</w:t>
      </w:r>
      <w:r w:rsidRPr="008606C2">
        <w:rPr>
          <w:rFonts w:ascii="Times New Roman" w:hAnsi="Times New Roman" w:cs="Times New Roman"/>
          <w:iCs/>
          <w:sz w:val="28"/>
          <w:szCs w:val="28"/>
          <w:lang w:val="en-US"/>
        </w:rPr>
        <w:t>.</w:t>
      </w:r>
    </w:p>
    <w:p w14:paraId="5DF0B97F" w14:textId="77777777" w:rsidR="008606C2" w:rsidRPr="008606C2" w:rsidRDefault="008606C2" w:rsidP="008606C2">
      <w:pPr>
        <w:spacing w:before="40" w:after="40" w:line="288" w:lineRule="auto"/>
        <w:ind w:firstLine="567"/>
        <w:jc w:val="both"/>
        <w:rPr>
          <w:rFonts w:ascii="Times New Roman" w:hAnsi="Times New Roman" w:cs="Times New Roman"/>
          <w:iCs/>
          <w:sz w:val="28"/>
          <w:szCs w:val="28"/>
        </w:rPr>
      </w:pPr>
    </w:p>
    <w:p w14:paraId="77091297" w14:textId="77777777" w:rsidR="008606C2" w:rsidRPr="008606C2" w:rsidRDefault="008606C2" w:rsidP="008606C2"/>
    <w:p w14:paraId="1ACB9652" w14:textId="77777777" w:rsidR="008606C2" w:rsidRPr="008606C2" w:rsidRDefault="008606C2" w:rsidP="008606C2">
      <w:pPr>
        <w:tabs>
          <w:tab w:val="left" w:pos="630"/>
        </w:tabs>
        <w:spacing w:after="120" w:line="240" w:lineRule="auto"/>
        <w:ind w:firstLine="720"/>
        <w:jc w:val="both"/>
        <w:rPr>
          <w:rFonts w:ascii="Times New Roman" w:hAnsi="Times New Roman" w:cs="Times New Roman"/>
          <w:b/>
          <w:i/>
          <w:color w:val="000000"/>
          <w:sz w:val="28"/>
          <w:szCs w:val="28"/>
          <w:lang w:val="en-US"/>
        </w:rPr>
      </w:pPr>
      <w:r w:rsidRPr="008606C2">
        <w:rPr>
          <w:rFonts w:ascii="Times New Roman" w:hAnsi="Times New Roman" w:cs="Times New Roman"/>
          <w:b/>
          <w:i/>
          <w:color w:val="000000"/>
          <w:sz w:val="28"/>
          <w:szCs w:val="28"/>
          <w:lang w:val="en-US"/>
        </w:rPr>
        <w:t xml:space="preserve">10. Food prices have increased in provinces and cities directly affected by storms and storm circulation; Some localities increased tuition fees according to the roadmap of Decree No. 97/2023/ND-CP; Rising housing rents are the main reasons why the consumer price index (CPI) in September 2024 increased </w:t>
      </w:r>
      <w:r w:rsidRPr="008606C2">
        <w:rPr>
          <w:rFonts w:ascii="Times New Roman" w:hAnsi="Times New Roman" w:cs="Times New Roman"/>
          <w:b/>
          <w:i/>
          <w:color w:val="000000"/>
          <w:sz w:val="28"/>
          <w:szCs w:val="28"/>
          <w:lang w:val="en-US"/>
        </w:rPr>
        <w:lastRenderedPageBreak/>
        <w:t>by 0.29% compared to the previous month. Compared to December 2023, September CPI increased by 2.18% and compared to the same period last year increased by 2.63%. Average CPI in the third quarter of 2024 increased by 3.48% compared to the third quarter of 2023. In the nine months of this year, CPI increased by 3.88% over the same period last year; Core inflation increased by 2.69%.</w:t>
      </w:r>
    </w:p>
    <w:p w14:paraId="0F529917" w14:textId="77777777" w:rsidR="008606C2" w:rsidRPr="008606C2" w:rsidRDefault="008606C2" w:rsidP="008606C2">
      <w:pPr>
        <w:shd w:val="clear" w:color="auto" w:fill="FFFFFF"/>
        <w:tabs>
          <w:tab w:val="left" w:pos="630"/>
        </w:tabs>
        <w:spacing w:after="120" w:line="240" w:lineRule="auto"/>
        <w:ind w:firstLine="720"/>
        <w:jc w:val="both"/>
        <w:rPr>
          <w:rFonts w:ascii="Times New Roman" w:hAnsi="Times New Roman" w:cs="Times New Roman"/>
          <w:b/>
          <w:i/>
          <w:color w:val="000000"/>
          <w:sz w:val="28"/>
          <w:szCs w:val="28"/>
          <w:lang w:val="pt-BR"/>
        </w:rPr>
      </w:pPr>
      <w:r w:rsidRPr="008606C2">
        <w:rPr>
          <w:rFonts w:ascii="Times New Roman" w:hAnsi="Times New Roman" w:cs="Times New Roman"/>
          <w:b/>
          <w:i/>
          <w:color w:val="000000"/>
          <w:sz w:val="28"/>
          <w:szCs w:val="28"/>
          <w:lang w:val="pt-BR"/>
        </w:rPr>
        <w:t>In the nine months of 2024, the global commodity market will be affected by complex developments in the world's political, economic and social situation. Conflicts escalate, destabilizing world security and peace. Strategic competition between major countries continues to be fierce. Domestically, the production of goods and services maintains stable growth, ensuring to meet the people's consumption needs and serve exports. The production price index of agriculture, forestry and fishery, industry, services, raw materials and fuel in the third quarter and nine months of 2024 tends to increase compared to the same period last year, while the export and import price index Goods exports decreased according to the world market.</w:t>
      </w:r>
    </w:p>
    <w:p w14:paraId="6EC7BDE7" w14:textId="77777777" w:rsidR="008606C2" w:rsidRPr="008606C2" w:rsidRDefault="008606C2" w:rsidP="008606C2">
      <w:pPr>
        <w:tabs>
          <w:tab w:val="left" w:pos="630"/>
        </w:tabs>
        <w:spacing w:before="100" w:beforeAutospacing="1" w:after="120" w:afterAutospacing="1" w:line="240" w:lineRule="auto"/>
        <w:ind w:firstLine="720"/>
        <w:jc w:val="both"/>
        <w:rPr>
          <w:rFonts w:ascii="Times New Roman" w:hAnsi="Times New Roman" w:cs="Times New Roman"/>
          <w:b/>
          <w:bCs/>
          <w:i/>
          <w:iCs/>
          <w:color w:val="000000"/>
          <w:sz w:val="28"/>
          <w:szCs w:val="28"/>
          <w:lang w:val="nl-NL"/>
        </w:rPr>
      </w:pPr>
      <w:r w:rsidRPr="008606C2">
        <w:rPr>
          <w:rFonts w:ascii="Times New Roman" w:hAnsi="Times New Roman" w:cs="Times New Roman"/>
          <w:b/>
          <w:bCs/>
          <w:i/>
          <w:iCs/>
          <w:color w:val="000000"/>
          <w:sz w:val="28"/>
          <w:szCs w:val="28"/>
          <w:lang w:val="nl-NL"/>
        </w:rPr>
        <w:t xml:space="preserve">a) Consumer price index </w:t>
      </w:r>
    </w:p>
    <w:p w14:paraId="7FCD29BF" w14:textId="77777777" w:rsidR="008606C2" w:rsidRPr="008606C2" w:rsidRDefault="008606C2" w:rsidP="008606C2">
      <w:pPr>
        <w:tabs>
          <w:tab w:val="left" w:pos="630"/>
        </w:tabs>
        <w:spacing w:after="120" w:line="240" w:lineRule="auto"/>
        <w:ind w:firstLine="720"/>
        <w:jc w:val="both"/>
        <w:rPr>
          <w:rFonts w:ascii="Times New Roman" w:hAnsi="Times New Roman" w:cs="Times New Roman"/>
          <w:color w:val="000000"/>
          <w:sz w:val="28"/>
          <w:szCs w:val="28"/>
          <w:lang w:val="nl-NL"/>
        </w:rPr>
      </w:pPr>
      <w:r w:rsidRPr="008606C2">
        <w:rPr>
          <w:rFonts w:ascii="Times New Roman" w:hAnsi="Times New Roman" w:cs="Times New Roman"/>
          <w:color w:val="000000"/>
          <w:sz w:val="28"/>
          <w:szCs w:val="28"/>
          <w:lang w:val="nl-NL"/>
        </w:rPr>
        <w:t>In the 0.29% increase in CPI in September 2024 compared to the previous month, there were 09 groups of goods and services with increased price indexes, of which the education group had the highest increase with an increase of 2.09%; next, the food and foodstuff service group increased by 0.92%; the group of housing, electricity, water, fuel and construction materials increased by 0.52%; other goods and services group increased by 0.24%; garment, headwear and footwear group increased by 0.15%; household appliances and equipment group increased by 0.14%; postal and telecommunications group increased by 0.09%; medicines and health care services group increased by 0.05%; beverage and cigarette group increased by 0.03%. Two commodity groups with reduced price indexes include: The culture, entertainment and tourism group decreased by 0.24% and the transportation group decreased by 2.77%.</w:t>
      </w:r>
    </w:p>
    <w:p w14:paraId="7CC774B3" w14:textId="77777777" w:rsidR="008606C2" w:rsidRPr="008606C2" w:rsidRDefault="008606C2" w:rsidP="008606C2">
      <w:pPr>
        <w:tabs>
          <w:tab w:val="left" w:pos="630"/>
        </w:tabs>
        <w:spacing w:after="120" w:line="240" w:lineRule="auto"/>
        <w:ind w:firstLine="720"/>
        <w:jc w:val="both"/>
        <w:rPr>
          <w:rFonts w:ascii="Times New Roman" w:hAnsi="Times New Roman" w:cs="Times New Roman"/>
          <w:b/>
          <w:bCs/>
          <w:i/>
          <w:iCs/>
          <w:color w:val="000000"/>
          <w:sz w:val="28"/>
          <w:szCs w:val="28"/>
        </w:rPr>
      </w:pPr>
      <w:bookmarkStart w:id="14" w:name="_Hlk67815215"/>
      <w:r w:rsidRPr="008606C2">
        <w:rPr>
          <w:rFonts w:ascii="Times New Roman" w:hAnsi="Times New Roman" w:cs="Times New Roman"/>
          <w:b/>
          <w:bCs/>
          <w:i/>
          <w:iCs/>
          <w:color w:val="000000"/>
          <w:sz w:val="28"/>
          <w:szCs w:val="28"/>
        </w:rPr>
        <w:t>b) Gold and US dollar price index</w:t>
      </w:r>
    </w:p>
    <w:p w14:paraId="0AD50206" w14:textId="77777777" w:rsidR="008606C2" w:rsidRPr="008606C2" w:rsidRDefault="008606C2" w:rsidP="008606C2">
      <w:pPr>
        <w:tabs>
          <w:tab w:val="left" w:pos="630"/>
        </w:tabs>
        <w:spacing w:after="120" w:line="240" w:lineRule="auto"/>
        <w:ind w:firstLine="720"/>
        <w:jc w:val="both"/>
        <w:rPr>
          <w:rFonts w:ascii="Times New Roman" w:hAnsi="Times New Roman" w:cs="Times New Roman"/>
          <w:color w:val="000000"/>
          <w:sz w:val="28"/>
          <w:szCs w:val="28"/>
        </w:rPr>
      </w:pPr>
      <w:r w:rsidRPr="008606C2">
        <w:rPr>
          <w:rFonts w:ascii="Times New Roman" w:hAnsi="Times New Roman" w:cs="Times New Roman"/>
          <w:color w:val="000000"/>
          <w:sz w:val="28"/>
          <w:szCs w:val="28"/>
        </w:rPr>
        <w:t>Gold price index in September 2024 increased by 1.88% compared to the previous month; an increase of 22.66% compared to December 2023; increased 32.27% over the same period last year; On average, in the nine months of 2024, the gold price index increased by 26.27%.</w:t>
      </w:r>
    </w:p>
    <w:p w14:paraId="28BB518F" w14:textId="77777777" w:rsidR="008606C2" w:rsidRPr="008606C2" w:rsidRDefault="008606C2" w:rsidP="008606C2">
      <w:pPr>
        <w:tabs>
          <w:tab w:val="left" w:pos="630"/>
        </w:tabs>
        <w:spacing w:after="120" w:line="240" w:lineRule="auto"/>
        <w:ind w:firstLine="720"/>
        <w:jc w:val="both"/>
        <w:rPr>
          <w:rFonts w:ascii="Times New Roman" w:hAnsi="Times New Roman" w:cs="Times New Roman"/>
          <w:color w:val="000000"/>
          <w:sz w:val="28"/>
          <w:szCs w:val="28"/>
        </w:rPr>
      </w:pPr>
      <w:r w:rsidRPr="008606C2">
        <w:rPr>
          <w:rFonts w:ascii="Times New Roman" w:hAnsi="Times New Roman" w:cs="Times New Roman"/>
          <w:color w:val="000000"/>
          <w:sz w:val="28"/>
          <w:szCs w:val="28"/>
        </w:rPr>
        <w:t>US dollar price index in September 2024 decreased by 1.79% compared to the previous month; an increase of 1.7% compared to December 2023; increased 2.4% over the same period last year; the average nine months of 2024 will increase by 5.46%.</w:t>
      </w:r>
    </w:p>
    <w:bookmarkEnd w:id="14"/>
    <w:p w14:paraId="3534A953" w14:textId="77777777" w:rsidR="008606C2" w:rsidRPr="008606C2" w:rsidRDefault="008606C2" w:rsidP="008606C2">
      <w:pPr>
        <w:tabs>
          <w:tab w:val="left" w:pos="630"/>
        </w:tabs>
        <w:spacing w:after="120" w:line="240" w:lineRule="auto"/>
        <w:ind w:firstLine="720"/>
        <w:jc w:val="both"/>
        <w:rPr>
          <w:rFonts w:ascii="Times New Roman" w:hAnsi="Times New Roman" w:cs="Times New Roman"/>
          <w:b/>
          <w:bCs/>
          <w:i/>
          <w:iCs/>
          <w:color w:val="000000"/>
          <w:sz w:val="28"/>
          <w:szCs w:val="28"/>
          <w:lang w:val="de-DE"/>
        </w:rPr>
      </w:pPr>
      <w:r w:rsidRPr="008606C2">
        <w:rPr>
          <w:rFonts w:ascii="Times New Roman" w:hAnsi="Times New Roman" w:cs="Times New Roman"/>
          <w:b/>
          <w:bCs/>
          <w:i/>
          <w:iCs/>
          <w:color w:val="000000"/>
          <w:sz w:val="28"/>
          <w:szCs w:val="28"/>
          <w:lang w:val="de-DE"/>
        </w:rPr>
        <w:t>c) Producer price index and input producer index</w:t>
      </w:r>
    </w:p>
    <w:p w14:paraId="4050AED8" w14:textId="77777777" w:rsidR="008606C2" w:rsidRPr="008606C2" w:rsidRDefault="008606C2" w:rsidP="008606C2">
      <w:pPr>
        <w:tabs>
          <w:tab w:val="left" w:pos="630"/>
        </w:tabs>
        <w:spacing w:after="120" w:line="240" w:lineRule="auto"/>
        <w:ind w:firstLine="720"/>
        <w:jc w:val="both"/>
        <w:rPr>
          <w:rFonts w:ascii="Times New Roman" w:hAnsi="Times New Roman" w:cs="Times New Roman"/>
          <w:color w:val="000000"/>
          <w:sz w:val="28"/>
          <w:szCs w:val="28"/>
          <w:lang w:val="de-DE"/>
        </w:rPr>
      </w:pPr>
      <w:r w:rsidRPr="008606C2">
        <w:rPr>
          <w:rFonts w:ascii="Times New Roman" w:hAnsi="Times New Roman" w:cs="Times New Roman"/>
          <w:color w:val="000000"/>
          <w:sz w:val="28"/>
          <w:szCs w:val="28"/>
          <w:lang w:val="de-DE"/>
        </w:rPr>
        <w:t xml:space="preserve">The agricultural, forestry and fishery production price index in the third quarter of 2024 is estimated to increase by 1.47% compared to the second quarter </w:t>
      </w:r>
      <w:r w:rsidRPr="008606C2">
        <w:rPr>
          <w:rFonts w:ascii="Times New Roman" w:hAnsi="Times New Roman" w:cs="Times New Roman"/>
          <w:color w:val="000000"/>
          <w:sz w:val="28"/>
          <w:szCs w:val="28"/>
          <w:lang w:val="de-DE"/>
        </w:rPr>
        <w:lastRenderedPageBreak/>
        <w:t>of 2024 and by 9.34% over the same period last year; similarly, the industrial product producer price index increased by 0.07% and 1.51%, respectively; service producer price index increased by 0.61% and increased by 5.59%. Overall for nine months, the producer price index of agricultural, forestry and fishery products increased by 8.07% over the same period last year; industrial product producer price index increased by 0.67%; service producer price index increased by 6.6%.</w:t>
      </w:r>
    </w:p>
    <w:p w14:paraId="72505834" w14:textId="77777777" w:rsidR="008606C2" w:rsidRPr="008606C2" w:rsidRDefault="008606C2" w:rsidP="008606C2">
      <w:pPr>
        <w:tabs>
          <w:tab w:val="left" w:pos="630"/>
        </w:tabs>
        <w:spacing w:after="120" w:line="240" w:lineRule="auto"/>
        <w:ind w:firstLine="720"/>
        <w:jc w:val="both"/>
        <w:rPr>
          <w:rFonts w:ascii="Times New Roman" w:hAnsi="Times New Roman" w:cs="Times New Roman"/>
          <w:color w:val="000000"/>
          <w:spacing w:val="-4"/>
          <w:sz w:val="28"/>
          <w:szCs w:val="28"/>
          <w:lang w:val="de-DE"/>
        </w:rPr>
      </w:pPr>
      <w:r w:rsidRPr="008606C2">
        <w:rPr>
          <w:rFonts w:ascii="Times New Roman" w:hAnsi="Times New Roman" w:cs="Times New Roman"/>
          <w:color w:val="000000"/>
          <w:spacing w:val="-4"/>
          <w:sz w:val="28"/>
          <w:szCs w:val="28"/>
          <w:lang w:val="de-DE"/>
        </w:rPr>
        <w:t xml:space="preserve">The </w:t>
      </w:r>
      <w:r w:rsidRPr="008606C2">
        <w:rPr>
          <w:rFonts w:ascii="Times New Roman" w:hAnsi="Times New Roman" w:cs="Times New Roman"/>
          <w:color w:val="000000"/>
          <w:sz w:val="28"/>
          <w:szCs w:val="28"/>
          <w:lang w:val="de-DE"/>
        </w:rPr>
        <w:t>input producer index</w:t>
      </w:r>
      <w:r w:rsidRPr="008606C2">
        <w:rPr>
          <w:rFonts w:ascii="Times New Roman" w:hAnsi="Times New Roman" w:cs="Times New Roman"/>
          <w:color w:val="000000"/>
          <w:spacing w:val="-4"/>
          <w:sz w:val="28"/>
          <w:szCs w:val="28"/>
          <w:lang w:val="de-DE"/>
        </w:rPr>
        <w:t xml:space="preserve"> in the third quarter of 2024 is estimated to increase by 0.42% compared to the previous quarter and increase by 3.63% compared to the same period in 2023. Overall, in the nine months of 2024, </w:t>
      </w:r>
      <w:r w:rsidRPr="008606C2">
        <w:rPr>
          <w:rFonts w:ascii="Times New Roman" w:hAnsi="Times New Roman" w:cs="Times New Roman"/>
          <w:color w:val="000000"/>
          <w:sz w:val="28"/>
          <w:szCs w:val="28"/>
          <w:lang w:val="de-DE"/>
        </w:rPr>
        <w:t>input producer index</w:t>
      </w:r>
      <w:r w:rsidRPr="008606C2">
        <w:rPr>
          <w:rFonts w:ascii="Times New Roman" w:hAnsi="Times New Roman" w:cs="Times New Roman"/>
          <w:color w:val="000000"/>
          <w:spacing w:val="-4"/>
          <w:sz w:val="28"/>
          <w:szCs w:val="28"/>
          <w:lang w:val="de-DE"/>
        </w:rPr>
        <w:t xml:space="preserve"> increased by 2.65% over the same period last year, of which the price index of raw materials and materials used for agricultural, forestry and fishery production increased by 0.77%; used for industrial production, processing and manufacturing increased by 2.9%; used for construction increased by 0.2%.</w:t>
      </w:r>
    </w:p>
    <w:p w14:paraId="0F54A487" w14:textId="77777777" w:rsidR="008606C2" w:rsidRPr="008606C2" w:rsidRDefault="008606C2" w:rsidP="008606C2">
      <w:pPr>
        <w:tabs>
          <w:tab w:val="left" w:pos="567"/>
          <w:tab w:val="left" w:pos="630"/>
        </w:tabs>
        <w:spacing w:after="120" w:line="240" w:lineRule="auto"/>
        <w:ind w:firstLine="720"/>
        <w:jc w:val="both"/>
        <w:rPr>
          <w:rFonts w:ascii="Times New Roman" w:hAnsi="Times New Roman" w:cs="Times New Roman"/>
          <w:b/>
          <w:bCs/>
          <w:i/>
          <w:iCs/>
          <w:color w:val="000000"/>
          <w:sz w:val="28"/>
          <w:szCs w:val="28"/>
          <w:lang w:val="pt-BR"/>
        </w:rPr>
      </w:pPr>
      <w:r w:rsidRPr="008606C2">
        <w:rPr>
          <w:rFonts w:ascii="Times New Roman" w:hAnsi="Times New Roman" w:cs="Times New Roman"/>
          <w:b/>
          <w:bCs/>
          <w:i/>
          <w:iCs/>
          <w:color w:val="000000"/>
          <w:sz w:val="28"/>
          <w:szCs w:val="28"/>
          <w:lang w:val="pt-BR"/>
        </w:rPr>
        <w:t>d) Merchandise export and merchandise import price index</w:t>
      </w:r>
    </w:p>
    <w:p w14:paraId="3D38763B" w14:textId="77777777" w:rsidR="008606C2" w:rsidRPr="008606C2" w:rsidRDefault="008606C2" w:rsidP="008606C2">
      <w:pPr>
        <w:tabs>
          <w:tab w:val="left" w:pos="567"/>
          <w:tab w:val="left" w:pos="630"/>
        </w:tabs>
        <w:spacing w:after="120" w:line="240" w:lineRule="auto"/>
        <w:ind w:firstLine="720"/>
        <w:jc w:val="both"/>
        <w:rPr>
          <w:rFonts w:ascii="Times New Roman" w:hAnsi="Times New Roman" w:cs="Times New Roman"/>
          <w:color w:val="000000"/>
          <w:sz w:val="28"/>
          <w:szCs w:val="28"/>
          <w:lang w:val="pt-BR"/>
        </w:rPr>
      </w:pPr>
      <w:r w:rsidRPr="008606C2">
        <w:rPr>
          <w:rFonts w:ascii="Times New Roman" w:hAnsi="Times New Roman" w:cs="Times New Roman"/>
          <w:color w:val="000000"/>
          <w:sz w:val="28"/>
          <w:szCs w:val="28"/>
          <w:lang w:val="pt-BR"/>
        </w:rPr>
        <w:t>In the third quarter of 2024, the merchandise export price index is estimated to decrease by 0.11% compared to the previous quarter and decrease by 0.43% compared to the same period in 2023; the merchandise import price index increased by 0.33% and decreased by 0.71%; the merchandise tearm of trade rate (TOT) decreased by 0.44% and increased by 0.28%, respectively. Overall, for the nine months of 2024, the merchandise export price index decreased by 1.44% over the same period last year; merchandise import price index decreased by 1.73%; merchandise terms of trade increased by 0.29%.</w:t>
      </w:r>
    </w:p>
    <w:p w14:paraId="3A1C8F33" w14:textId="77777777" w:rsidR="008606C2" w:rsidRPr="008606C2" w:rsidRDefault="008606C2" w:rsidP="008606C2">
      <w:pPr>
        <w:tabs>
          <w:tab w:val="left" w:pos="630"/>
        </w:tabs>
        <w:spacing w:after="120" w:line="264" w:lineRule="auto"/>
        <w:ind w:firstLine="720"/>
        <w:jc w:val="both"/>
        <w:rPr>
          <w:rFonts w:ascii="Times New Roman" w:hAnsi="Times New Roman" w:cs="Times New Roman"/>
          <w:b/>
          <w:color w:val="000000"/>
          <w:spacing w:val="2"/>
          <w:sz w:val="28"/>
          <w:szCs w:val="28"/>
          <w:lang w:val="en-US"/>
        </w:rPr>
      </w:pPr>
      <w:r w:rsidRPr="008606C2">
        <w:rPr>
          <w:rFonts w:ascii="Times New Roman" w:hAnsi="Times New Roman" w:cs="Times New Roman"/>
          <w:b/>
          <w:color w:val="000000"/>
          <w:spacing w:val="2"/>
          <w:sz w:val="28"/>
          <w:szCs w:val="28"/>
          <w:lang w:val="en-US"/>
        </w:rPr>
        <w:t>II. SOCIAL SITUATION</w:t>
      </w:r>
    </w:p>
    <w:p w14:paraId="74AE623A" w14:textId="77777777" w:rsidR="008606C2" w:rsidRPr="008606C2" w:rsidRDefault="008606C2" w:rsidP="008606C2">
      <w:pPr>
        <w:tabs>
          <w:tab w:val="left" w:pos="630"/>
        </w:tabs>
        <w:spacing w:after="120" w:line="264" w:lineRule="auto"/>
        <w:ind w:firstLine="720"/>
        <w:jc w:val="both"/>
        <w:rPr>
          <w:rFonts w:ascii="Times New Roman" w:hAnsi="Times New Roman" w:cs="Times New Roman"/>
          <w:b/>
          <w:color w:val="000000"/>
          <w:spacing w:val="2"/>
          <w:sz w:val="28"/>
          <w:szCs w:val="28"/>
          <w:lang w:val="en-US"/>
        </w:rPr>
      </w:pPr>
      <w:r w:rsidRPr="008606C2">
        <w:rPr>
          <w:rFonts w:ascii="Times New Roman" w:hAnsi="Times New Roman" w:cs="Times New Roman"/>
          <w:b/>
          <w:color w:val="000000"/>
          <w:spacing w:val="2"/>
          <w:sz w:val="28"/>
          <w:szCs w:val="28"/>
          <w:lang w:val="en-US"/>
        </w:rPr>
        <w:t>1. Labor and employment</w:t>
      </w:r>
    </w:p>
    <w:p w14:paraId="60FB4EF1" w14:textId="77777777" w:rsidR="008606C2" w:rsidRPr="008606C2" w:rsidRDefault="008606C2" w:rsidP="008606C2">
      <w:pPr>
        <w:tabs>
          <w:tab w:val="left" w:pos="630"/>
        </w:tabs>
        <w:spacing w:after="120" w:line="264" w:lineRule="auto"/>
        <w:ind w:firstLine="720"/>
        <w:jc w:val="both"/>
        <w:rPr>
          <w:rFonts w:ascii="Times New Roman" w:hAnsi="Times New Roman" w:cs="Times New Roman"/>
          <w:bCs/>
          <w:color w:val="000000"/>
          <w:spacing w:val="2"/>
          <w:sz w:val="28"/>
          <w:szCs w:val="28"/>
          <w:lang w:val="en-US"/>
        </w:rPr>
      </w:pPr>
      <w:r w:rsidRPr="008606C2">
        <w:rPr>
          <w:rFonts w:ascii="Times New Roman" w:hAnsi="Times New Roman" w:cs="Times New Roman"/>
          <w:bCs/>
          <w:color w:val="000000"/>
          <w:spacing w:val="2"/>
          <w:sz w:val="28"/>
          <w:szCs w:val="28"/>
          <w:lang w:val="en-US"/>
        </w:rPr>
        <w:t>The labor and employment market in the third quarter of 2024 continues to prosper with the labor force, the number of employed people and the average monthly income of workers</w:t>
      </w:r>
      <w:r w:rsidRPr="008606C2">
        <w:rPr>
          <w:rFonts w:ascii="Times New Roman" w:hAnsi="Times New Roman" w:cs="Times New Roman"/>
          <w:color w:val="000000"/>
          <w:sz w:val="28"/>
          <w:szCs w:val="28"/>
          <w:vertAlign w:val="superscript"/>
          <w:lang w:val="en-US"/>
        </w:rPr>
        <w:footnoteReference w:id="25"/>
      </w:r>
      <w:r w:rsidRPr="008606C2">
        <w:rPr>
          <w:rFonts w:ascii="Times New Roman" w:hAnsi="Times New Roman" w:cs="Times New Roman"/>
          <w:bCs/>
          <w:color w:val="000000"/>
          <w:spacing w:val="2"/>
          <w:sz w:val="28"/>
          <w:szCs w:val="28"/>
          <w:lang w:val="en-US"/>
        </w:rPr>
        <w:t xml:space="preserve"> increasing compared to the previous quarter and increasing compared to the same period last year. Unemployment rate and underemployment rate decreased compared to the previous quarter and decreased compared to the same period last year. In the nine months of 2024, the labor force aged 15 and over is 52.5 million people, an increase of 210.6 thousand people over the same period last year; employed workers is 51.4 million people, an increase of 212 thousand people; the average monthly income of workers increased by 519 thousand VND; The unemployment rate was 2.26%, down 0.02 percentage points, and the underemployment rate among the working age was 1.99%, down 0.03 percentage points.</w:t>
      </w:r>
    </w:p>
    <w:p w14:paraId="241067C4" w14:textId="77777777" w:rsidR="008606C2" w:rsidRPr="008606C2" w:rsidRDefault="008606C2" w:rsidP="008606C2">
      <w:pPr>
        <w:tabs>
          <w:tab w:val="left" w:pos="630"/>
        </w:tabs>
        <w:spacing w:after="120" w:line="264" w:lineRule="auto"/>
        <w:ind w:firstLine="720"/>
        <w:jc w:val="both"/>
        <w:rPr>
          <w:rFonts w:ascii="Times New Roman" w:hAnsi="Times New Roman" w:cs="Times New Roman"/>
          <w:color w:val="000000"/>
          <w:sz w:val="28"/>
          <w:szCs w:val="28"/>
          <w:lang w:val="en-US"/>
        </w:rPr>
      </w:pPr>
      <w:r w:rsidRPr="008606C2">
        <w:rPr>
          <w:rFonts w:ascii="Times New Roman" w:hAnsi="Times New Roman" w:cs="Times New Roman"/>
          <w:color w:val="000000"/>
          <w:sz w:val="28"/>
          <w:szCs w:val="28"/>
          <w:lang w:val="en-US"/>
        </w:rPr>
        <w:lastRenderedPageBreak/>
        <w:t>The country's labor force aged 15 and older in the third quarter of 2024 is estimated to be 52.7 million people, an increase of 114.1 thousand people over the previous quarter and an increase of 238.8 thousand people over the same period last year; The labor force participation rate was 68.5%, corresponding to a decrease of 0.1 percentage points compared to the previous quarter and a decrease of 0.4 percentage points compared to the same period last year; The rate of trained workers with degrees and certificates is 28.5%, an increase of 0.4 percentage points and 1.2 percentage points, respectively. In the nine months of 2024, the labor force aged 15 and over is 52.5 million people, an increase of 210.6 thousand people over the same period last year; The labor force participation rate was 68.5%, down 0.4 percentage points; The rate of trained workers with degrees and certificates is 28.1%, an increase of 1.3 percentage points.</w:t>
      </w:r>
    </w:p>
    <w:p w14:paraId="2469997B" w14:textId="77777777" w:rsidR="008606C2" w:rsidRPr="008606C2" w:rsidRDefault="008606C2" w:rsidP="008606C2">
      <w:pPr>
        <w:tabs>
          <w:tab w:val="left" w:pos="630"/>
        </w:tabs>
        <w:spacing w:after="120" w:line="264" w:lineRule="auto"/>
        <w:ind w:firstLine="720"/>
        <w:jc w:val="both"/>
        <w:rPr>
          <w:rFonts w:ascii="Times New Roman" w:hAnsi="Times New Roman" w:cs="Times New Roman"/>
          <w:color w:val="000000"/>
          <w:sz w:val="28"/>
          <w:szCs w:val="28"/>
        </w:rPr>
      </w:pPr>
      <w:r w:rsidRPr="008606C2">
        <w:rPr>
          <w:rFonts w:ascii="Times New Roman" w:hAnsi="Times New Roman" w:cs="Times New Roman"/>
          <w:color w:val="000000"/>
          <w:sz w:val="28"/>
          <w:szCs w:val="28"/>
        </w:rPr>
        <w:t>Employed workers in the third quarter of 2024 are estimated to be 51.6 million people, an increase of 114.6 thousand people compared to the previous quarter and an increase of 244.6 thousand people over the same period last year. In the nine months of 2024, there will be 51.4 million employed workers, an increase of 212 thousand people over the same period last year.</w:t>
      </w:r>
    </w:p>
    <w:p w14:paraId="0231BDE8" w14:textId="77777777" w:rsidR="008606C2" w:rsidRPr="008606C2" w:rsidRDefault="008606C2" w:rsidP="008606C2">
      <w:pPr>
        <w:tabs>
          <w:tab w:val="left" w:pos="630"/>
        </w:tabs>
        <w:spacing w:after="120" w:line="264" w:lineRule="auto"/>
        <w:ind w:firstLine="720"/>
        <w:jc w:val="both"/>
        <w:rPr>
          <w:rFonts w:ascii="Times New Roman" w:hAnsi="Times New Roman" w:cs="Times New Roman"/>
          <w:color w:val="000000"/>
          <w:sz w:val="28"/>
          <w:szCs w:val="28"/>
          <w:lang w:val="nl-NL"/>
        </w:rPr>
      </w:pPr>
      <w:r w:rsidRPr="008606C2">
        <w:rPr>
          <w:rFonts w:ascii="Times New Roman" w:hAnsi="Times New Roman" w:cs="Times New Roman"/>
          <w:color w:val="000000"/>
          <w:sz w:val="28"/>
          <w:szCs w:val="28"/>
          <w:lang w:val="nl-NL"/>
        </w:rPr>
        <w:t>The number of underemployed people in the working age</w:t>
      </w:r>
      <w:r w:rsidRPr="008606C2">
        <w:rPr>
          <w:rFonts w:ascii="Times New Roman" w:hAnsi="Times New Roman" w:cs="Times New Roman"/>
          <w:iCs/>
          <w:color w:val="000000"/>
          <w:sz w:val="28"/>
          <w:szCs w:val="28"/>
          <w:vertAlign w:val="superscript"/>
          <w:lang w:val="nl-NL"/>
        </w:rPr>
        <w:footnoteReference w:id="26"/>
      </w:r>
      <w:r w:rsidRPr="008606C2">
        <w:rPr>
          <w:rFonts w:ascii="Times New Roman" w:hAnsi="Times New Roman" w:cs="Times New Roman"/>
          <w:color w:val="000000"/>
          <w:sz w:val="28"/>
          <w:szCs w:val="28"/>
          <w:lang w:val="nl-NL"/>
        </w:rPr>
        <w:t xml:space="preserve"> in the third quarter of 2024 was 861.4 thousand people, down 86.7 thousand people compared to the previous quarter and down 79.5 thousand people over the same period last year. The underemployment rate among the working age in the third quarter of 2024 is 1.87%, down 0.19 percentage points compared to the previous quarter and compared to the same period last year. In the nine months of 2024, the number of underemployed people of working age is 914.1 thousand people, down 8.3 thousand people over the same period last year; The underemployment rate among the working age population was 1.99%, down 0.03 percentage points over the same period last year.</w:t>
      </w:r>
    </w:p>
    <w:p w14:paraId="494F25ED" w14:textId="77777777" w:rsidR="008606C2" w:rsidRPr="008606C2" w:rsidRDefault="008606C2" w:rsidP="008606C2">
      <w:pPr>
        <w:tabs>
          <w:tab w:val="left" w:pos="630"/>
        </w:tabs>
        <w:overflowPunct w:val="0"/>
        <w:autoSpaceDE w:val="0"/>
        <w:autoSpaceDN w:val="0"/>
        <w:adjustRightInd w:val="0"/>
        <w:spacing w:after="120" w:line="264" w:lineRule="auto"/>
        <w:ind w:firstLine="720"/>
        <w:jc w:val="both"/>
        <w:rPr>
          <w:rFonts w:ascii="Times New Roman" w:eastAsia="Calibri" w:hAnsi="Times New Roman" w:cs="Times New Roman"/>
          <w:color w:val="000000"/>
          <w:sz w:val="28"/>
          <w:szCs w:val="28"/>
          <w:lang w:val="en-US"/>
        </w:rPr>
      </w:pPr>
      <w:r w:rsidRPr="008606C2">
        <w:rPr>
          <w:rFonts w:ascii="Times New Roman" w:eastAsia="Calibri" w:hAnsi="Times New Roman" w:cs="Times New Roman"/>
          <w:color w:val="000000"/>
          <w:sz w:val="28"/>
          <w:szCs w:val="28"/>
          <w:lang w:val="en-US"/>
        </w:rPr>
        <w:t xml:space="preserve">The unemployment rate in the working age in the third quarter of 2024 is 2.24%, down 0.05 percentage points compared to the previous quarter and down 0.06 percentage points over the same period last year, of which urban areas market is 2.29%; rural areas is 2.2%. In total for nine months, the unemployment rate in the working age group was 2.26%, down 0.02 percentage points over the same period last year, of which 2.55% in urban areas; rural areas </w:t>
      </w:r>
      <w:proofErr w:type="gramStart"/>
      <w:r w:rsidRPr="008606C2">
        <w:rPr>
          <w:rFonts w:ascii="Times New Roman" w:eastAsia="Calibri" w:hAnsi="Times New Roman" w:cs="Times New Roman"/>
          <w:color w:val="000000"/>
          <w:sz w:val="28"/>
          <w:szCs w:val="28"/>
          <w:lang w:val="en-US"/>
        </w:rPr>
        <w:t>is</w:t>
      </w:r>
      <w:proofErr w:type="gramEnd"/>
      <w:r w:rsidRPr="008606C2">
        <w:rPr>
          <w:rFonts w:ascii="Times New Roman" w:eastAsia="Calibri" w:hAnsi="Times New Roman" w:cs="Times New Roman"/>
          <w:color w:val="000000"/>
          <w:sz w:val="28"/>
          <w:szCs w:val="28"/>
          <w:lang w:val="en-US"/>
        </w:rPr>
        <w:t xml:space="preserve"> 2.07%.</w:t>
      </w:r>
    </w:p>
    <w:p w14:paraId="7C6EDB39" w14:textId="77777777" w:rsidR="008606C2" w:rsidRPr="008606C2" w:rsidRDefault="008606C2" w:rsidP="008606C2">
      <w:pPr>
        <w:ind w:firstLine="720"/>
        <w:jc w:val="both"/>
        <w:rPr>
          <w:rFonts w:ascii="Times New Roman" w:eastAsia="Calibri" w:hAnsi="Times New Roman" w:cs="Times New Roman"/>
          <w:iCs/>
          <w:color w:val="000000"/>
          <w:sz w:val="28"/>
          <w:szCs w:val="28"/>
          <w:lang w:val="vi-VN"/>
        </w:rPr>
      </w:pPr>
      <w:r w:rsidRPr="008606C2">
        <w:rPr>
          <w:rFonts w:ascii="Times New Roman" w:eastAsia="Calibri" w:hAnsi="Times New Roman" w:cs="Times New Roman"/>
          <w:iCs/>
          <w:color w:val="000000"/>
          <w:sz w:val="28"/>
          <w:szCs w:val="28"/>
          <w:lang w:val="vi-VN"/>
        </w:rPr>
        <w:t>The rate of workers not using their full potential</w:t>
      </w:r>
      <w:r w:rsidRPr="008606C2">
        <w:rPr>
          <w:rFonts w:ascii="Times New Roman" w:eastAsia="Calibri" w:hAnsi="Times New Roman" w:cs="Times New Roman"/>
          <w:iCs/>
          <w:color w:val="000000"/>
          <w:sz w:val="28"/>
          <w:szCs w:val="28"/>
          <w:vertAlign w:val="superscript"/>
          <w:lang w:val="vi-VN"/>
        </w:rPr>
        <w:footnoteReference w:id="27"/>
      </w:r>
      <w:r w:rsidRPr="008606C2">
        <w:rPr>
          <w:rFonts w:ascii="Times New Roman" w:eastAsia="Calibri" w:hAnsi="Times New Roman" w:cs="Times New Roman"/>
          <w:iCs/>
          <w:color w:val="000000"/>
          <w:sz w:val="28"/>
          <w:szCs w:val="28"/>
          <w:lang w:val="vi-VN"/>
        </w:rPr>
        <w:t xml:space="preserve"> in the third quarter of 2024 is 4.2% (corresponding to about 2.2 million people), of which 3.4% are in </w:t>
      </w:r>
      <w:r w:rsidRPr="008606C2">
        <w:rPr>
          <w:rFonts w:ascii="Times New Roman" w:eastAsia="Calibri" w:hAnsi="Times New Roman" w:cs="Times New Roman"/>
          <w:iCs/>
          <w:color w:val="000000"/>
          <w:sz w:val="28"/>
          <w:szCs w:val="28"/>
          <w:lang w:val="vi-VN"/>
        </w:rPr>
        <w:lastRenderedPageBreak/>
        <w:t>urban areas and 4</w:t>
      </w:r>
      <w:r w:rsidRPr="008606C2">
        <w:rPr>
          <w:rFonts w:ascii="Times New Roman" w:eastAsia="Calibri" w:hAnsi="Times New Roman" w:cs="Times New Roman"/>
          <w:iCs/>
          <w:color w:val="000000"/>
          <w:sz w:val="28"/>
          <w:szCs w:val="28"/>
          <w:lang w:val="en-US"/>
        </w:rPr>
        <w:t>.</w:t>
      </w:r>
      <w:r w:rsidRPr="008606C2">
        <w:rPr>
          <w:rFonts w:ascii="Times New Roman" w:eastAsia="Calibri" w:hAnsi="Times New Roman" w:cs="Times New Roman"/>
          <w:iCs/>
          <w:color w:val="000000"/>
          <w:sz w:val="28"/>
          <w:szCs w:val="28"/>
          <w:lang w:val="vi-VN"/>
        </w:rPr>
        <w:t>7%. Overall, for the nine months of 2024, the rate of labor not using its full potential is 4.3%, unchanged compared to the same period last year. Of which, urban areas were 3.8%, down 0.5 percentage points; rural areas is 4.6%, an increase of 0.2 percentage points.</w:t>
      </w:r>
    </w:p>
    <w:p w14:paraId="7F53E540" w14:textId="77777777" w:rsidR="008606C2" w:rsidRPr="008606C2" w:rsidRDefault="008606C2" w:rsidP="008606C2">
      <w:pPr>
        <w:spacing w:after="160" w:line="259" w:lineRule="auto"/>
        <w:ind w:firstLine="720"/>
        <w:jc w:val="both"/>
        <w:rPr>
          <w:rFonts w:ascii="Times New Roman" w:eastAsia="Calibri" w:hAnsi="Times New Roman" w:cs="Times New Roman"/>
          <w:b/>
          <w:bCs/>
          <w:sz w:val="28"/>
          <w:szCs w:val="28"/>
          <w:lang w:val="en-US"/>
        </w:rPr>
      </w:pPr>
      <w:r w:rsidRPr="008606C2">
        <w:rPr>
          <w:rFonts w:ascii="Times New Roman" w:eastAsia="Calibri" w:hAnsi="Times New Roman" w:cs="Times New Roman"/>
          <w:b/>
          <w:bCs/>
          <w:sz w:val="28"/>
          <w:szCs w:val="28"/>
          <w:lang w:val="en-US"/>
        </w:rPr>
        <w:t>2. Residential life and social security</w:t>
      </w:r>
    </w:p>
    <w:p w14:paraId="508EB3B2" w14:textId="77777777" w:rsidR="008606C2" w:rsidRPr="008606C2" w:rsidRDefault="008606C2" w:rsidP="008606C2">
      <w:pPr>
        <w:spacing w:after="160" w:line="259" w:lineRule="auto"/>
        <w:ind w:firstLine="720"/>
        <w:jc w:val="both"/>
        <w:rPr>
          <w:rFonts w:ascii="Times New Roman" w:eastAsia="Calibri" w:hAnsi="Times New Roman" w:cs="Times New Roman"/>
          <w:sz w:val="28"/>
          <w:szCs w:val="28"/>
          <w:lang w:val="en-US"/>
        </w:rPr>
      </w:pPr>
      <w:r w:rsidRPr="008606C2">
        <w:rPr>
          <w:rFonts w:ascii="Times New Roman" w:eastAsia="Calibri" w:hAnsi="Times New Roman" w:cs="Times New Roman"/>
          <w:b/>
          <w:bCs/>
          <w:i/>
          <w:iCs/>
          <w:sz w:val="28"/>
          <w:szCs w:val="28"/>
          <w:lang w:val="en-US"/>
        </w:rPr>
        <w:t>According to preliminary results of the 2024 Residential Living Standards Survey, the population's living situation in the first nine months of 2024 will improve</w:t>
      </w:r>
      <w:r w:rsidRPr="008606C2">
        <w:rPr>
          <w:rFonts w:ascii="Times New Roman" w:eastAsia="Calibri" w:hAnsi="Times New Roman" w:cs="Times New Roman"/>
          <w:sz w:val="28"/>
          <w:szCs w:val="28"/>
          <w:lang w:val="en-US"/>
        </w:rPr>
        <w:t>. The average income per capita per month in the nine-month period this year is estimated to reach nearly 5.4 million VND/person/month, of which urban areas reach nearly 6.7 million VND/person/month and rural areas reach nearly 4.7 million VND. million VND/person/month. Compared to 2023, the average monthly income per capita in 2024 increases by 7.8%, higher than the income increase in 2023 compared to 2022 (up 6.2%).</w:t>
      </w:r>
    </w:p>
    <w:p w14:paraId="0D909FCA" w14:textId="77777777" w:rsidR="008606C2" w:rsidRPr="008606C2" w:rsidRDefault="008606C2" w:rsidP="008606C2">
      <w:pPr>
        <w:spacing w:after="160" w:line="259" w:lineRule="auto"/>
        <w:ind w:firstLine="720"/>
        <w:jc w:val="both"/>
        <w:rPr>
          <w:rFonts w:ascii="Times New Roman" w:eastAsia="Calibri" w:hAnsi="Times New Roman" w:cs="Times New Roman"/>
          <w:sz w:val="28"/>
          <w:szCs w:val="28"/>
          <w:lang w:val="en-US"/>
        </w:rPr>
      </w:pPr>
      <w:r w:rsidRPr="008606C2">
        <w:rPr>
          <w:rFonts w:ascii="Times New Roman" w:eastAsia="Calibri" w:hAnsi="Times New Roman" w:cs="Times New Roman"/>
          <w:b/>
          <w:bCs/>
          <w:i/>
          <w:iCs/>
          <w:sz w:val="28"/>
          <w:szCs w:val="28"/>
          <w:lang w:val="en-US"/>
        </w:rPr>
        <w:t>The work of ensuring social security is always carried out promptly and effectively by all levels, sectors and localities</w:t>
      </w:r>
      <w:r w:rsidRPr="008606C2">
        <w:rPr>
          <w:rFonts w:ascii="Times New Roman" w:eastAsia="Calibri" w:hAnsi="Times New Roman" w:cs="Times New Roman"/>
          <w:sz w:val="28"/>
          <w:szCs w:val="28"/>
          <w:lang w:val="en-US"/>
        </w:rPr>
        <w:t>. According to reports from the locality, in the nine months of this year (up to September 25, 2024), central and local leaders, departments, branches, unions, and benefactors have also organized visits, Encouraging and giving gifts to many social protection beneficiaries according to Decree No. 20/2021/ND-CP dated March 15, 2021 is 19.6 trillion VND; Poor and near-poor households are more than 4 trillion VND; People with meritorious services and relatives of people with meritorious services to the revolution are nearly 26.6 trillion VND; Unexpected and unusual support arising locally is 1.84 trillion VND. In addition, social insurance has issued more than 26.6 million health insurance cards, books, and free medical examination and treatment cards to beneficiaries.</w:t>
      </w:r>
    </w:p>
    <w:p w14:paraId="004EBFFC" w14:textId="77777777" w:rsidR="008606C2" w:rsidRPr="008606C2" w:rsidRDefault="008606C2" w:rsidP="008606C2">
      <w:pPr>
        <w:spacing w:after="160" w:line="259" w:lineRule="auto"/>
        <w:ind w:firstLine="720"/>
        <w:jc w:val="both"/>
        <w:rPr>
          <w:rFonts w:ascii="Times New Roman" w:eastAsia="Calibri" w:hAnsi="Times New Roman" w:cs="Times New Roman"/>
          <w:sz w:val="28"/>
          <w:szCs w:val="28"/>
          <w:lang w:val="en-US"/>
        </w:rPr>
      </w:pPr>
      <w:r w:rsidRPr="008606C2">
        <w:rPr>
          <w:rFonts w:ascii="Times New Roman" w:eastAsia="Calibri" w:hAnsi="Times New Roman" w:cs="Times New Roman"/>
          <w:sz w:val="28"/>
          <w:szCs w:val="28"/>
          <w:lang w:val="en-US"/>
        </w:rPr>
        <w:t>According to the Ministry of Labor, War Invalids and Social Affairs, in September, as of September 25, 2024, the Government has decided to provide 432.6 tons of rice to support people severely affected by the storm. 3. In the nine months of 2024, the Government, ministries, branches and localities have supported people with nearly 21.8 thousand tons of rice, of which: The Government supported 10.4 thousand tons of rice to help hungry people Lunar New Year Giap Thin for 693.4 thousand people; Supporting more than 5.9 thousand tons of rice to relieve hunger in 2024 for 396.3 thousand people and 432.6 tons of rice for nearly 28.9 thousand people affected by natural disasters.</w:t>
      </w:r>
    </w:p>
    <w:p w14:paraId="6827D17B" w14:textId="77777777" w:rsidR="008606C2" w:rsidRPr="008606C2" w:rsidRDefault="008606C2" w:rsidP="008606C2">
      <w:pPr>
        <w:spacing w:after="160" w:line="259" w:lineRule="auto"/>
        <w:ind w:firstLine="720"/>
        <w:jc w:val="both"/>
        <w:rPr>
          <w:rFonts w:ascii="Times New Roman" w:eastAsia="Calibri" w:hAnsi="Times New Roman" w:cs="Times New Roman"/>
          <w:sz w:val="28"/>
          <w:szCs w:val="28"/>
          <w:lang w:val="en-US"/>
        </w:rPr>
      </w:pPr>
      <w:r w:rsidRPr="008606C2">
        <w:rPr>
          <w:rFonts w:ascii="Times New Roman" w:eastAsia="Calibri" w:hAnsi="Times New Roman" w:cs="Times New Roman"/>
          <w:sz w:val="28"/>
          <w:szCs w:val="28"/>
          <w:lang w:val="en-US"/>
        </w:rPr>
        <w:t xml:space="preserve">According to data from the Ministry of Agriculture and Rural Development, by the end of August 2024, the whole country had 6,292/8,162 (about 77.1%) communes meeting new rural standards; Of which 2,163 </w:t>
      </w:r>
      <w:r w:rsidRPr="008606C2">
        <w:rPr>
          <w:rFonts w:ascii="Times New Roman" w:eastAsia="Calibri" w:hAnsi="Times New Roman" w:cs="Times New Roman"/>
          <w:sz w:val="28"/>
          <w:szCs w:val="28"/>
          <w:lang w:val="en-US"/>
        </w:rPr>
        <w:lastRenderedPageBreak/>
        <w:t>communes meet advanced new rural standards (an increase of 17 communes compared to July 2024); 471 communes meet model new rural standards (an increase of 06 communes); The national average reaches 17.1 criteria/commune; There are 296 district-level units in 58 provinces and centrally run cities (accounting for 46% of the country's districts) completing the task of meeting new rural standards, of which 11 districts meet advanced new rural standards. There are 22 provinces and centrally run cities with 100% of communes meeting new rural standards.</w:t>
      </w:r>
    </w:p>
    <w:p w14:paraId="5A9C3898" w14:textId="77777777" w:rsidR="008606C2" w:rsidRPr="008606C2" w:rsidRDefault="008606C2" w:rsidP="008606C2">
      <w:pPr>
        <w:spacing w:after="160" w:line="259" w:lineRule="auto"/>
        <w:ind w:firstLine="720"/>
        <w:jc w:val="both"/>
        <w:rPr>
          <w:rFonts w:ascii="Times New Roman" w:eastAsia="Calibri" w:hAnsi="Times New Roman" w:cs="Times New Roman"/>
          <w:b/>
          <w:bCs/>
          <w:i/>
          <w:iCs/>
          <w:sz w:val="28"/>
          <w:szCs w:val="28"/>
          <w:lang w:val="en-US"/>
        </w:rPr>
      </w:pPr>
      <w:r w:rsidRPr="008606C2">
        <w:rPr>
          <w:rFonts w:ascii="Times New Roman" w:eastAsia="Calibri" w:hAnsi="Times New Roman" w:cs="Times New Roman"/>
          <w:b/>
          <w:bCs/>
          <w:i/>
          <w:iCs/>
          <w:sz w:val="28"/>
          <w:szCs w:val="28"/>
          <w:lang w:val="en-US"/>
        </w:rPr>
        <w:t>3. For the 2023-2024 national high school exam, the whole country has 2,323 exam points with 45,149 exam rooms and 1,071.4 thousand candidates registered to take the exam (an increase of 4.6% compared to 2022-2023), Of which, the number of candidates registering online is 1,014.0 thousand candidates, accounting for 94.65%; The total number of students taking the exam is 1,067.3 thousand candidates, accounting for 99.6% of the candidates registered to take the exam. The number of students eligible for graduation is 1,025.4 thousand candidates. The high school graduation rate for the 2023-2024 school year reached 99.39%, an increase of 0.51 percentage points compared to the 2023-2024 year.</w:t>
      </w:r>
    </w:p>
    <w:p w14:paraId="36341070" w14:textId="77777777" w:rsidR="008606C2" w:rsidRPr="008606C2" w:rsidRDefault="008606C2" w:rsidP="008606C2">
      <w:pPr>
        <w:spacing w:after="160" w:line="259" w:lineRule="auto"/>
        <w:ind w:firstLine="720"/>
        <w:jc w:val="both"/>
        <w:rPr>
          <w:rFonts w:ascii="Times New Roman" w:eastAsia="Calibri" w:hAnsi="Times New Roman" w:cs="Times New Roman"/>
          <w:sz w:val="28"/>
          <w:szCs w:val="28"/>
          <w:lang w:val="en-US"/>
        </w:rPr>
      </w:pPr>
      <w:r w:rsidRPr="008606C2">
        <w:rPr>
          <w:rFonts w:ascii="Times New Roman" w:eastAsia="Calibri" w:hAnsi="Times New Roman" w:cs="Times New Roman"/>
          <w:sz w:val="28"/>
          <w:szCs w:val="28"/>
          <w:lang w:val="en-US"/>
        </w:rPr>
        <w:t>As of June 20, 2024, nationwide for preschool education</w:t>
      </w:r>
      <w:r w:rsidRPr="008606C2">
        <w:rPr>
          <w:rFonts w:ascii="Times New Roman" w:eastAsia="Calibri" w:hAnsi="Times New Roman" w:cs="Times New Roman"/>
          <w:color w:val="000000"/>
          <w:sz w:val="28"/>
          <w:szCs w:val="28"/>
          <w:shd w:val="clear" w:color="auto" w:fill="FFFFFF"/>
          <w:vertAlign w:val="superscript"/>
          <w:lang w:val="en-US"/>
        </w:rPr>
        <w:footnoteReference w:id="28"/>
      </w:r>
      <w:r w:rsidRPr="008606C2">
        <w:rPr>
          <w:rFonts w:ascii="Times New Roman" w:eastAsia="Calibri" w:hAnsi="Times New Roman" w:cs="Times New Roman"/>
          <w:sz w:val="28"/>
          <w:szCs w:val="28"/>
          <w:lang w:val="en-US"/>
        </w:rPr>
        <w:t>: there are 15,269 preschools (down 0.04% compared to the 2022-2023 school year); 365.2 thousand preschool teachers (up 2.8%) and 4.85 million children attending preschool (down 3.4%); For general education: there are 25,901 high schools (down 0.6% compared to the 2022-2023 school year), including: 12,170 primary schools, 8,580 secondary schools; 2,371 high schools and 2,780 multi-level schools. The total number of high school teachers directly teaching is 829.9 thousand teachers (an increase of 2.7%), including: 390.6 thousand primary school teachers, 292.3 thousand middle school teachers and 147,000 teachers. 0 thousand high school teachers. The total number of high school students nationwide is 18.4 million (an increase of 1.6%); including: 8.9 million primary school students; 6.5 million middle school students and nearly 3 million high school students.</w:t>
      </w:r>
    </w:p>
    <w:p w14:paraId="06675DC6" w14:textId="77777777" w:rsidR="008606C2" w:rsidRPr="008606C2" w:rsidRDefault="008606C2" w:rsidP="008606C2">
      <w:pPr>
        <w:spacing w:after="160" w:line="259" w:lineRule="auto"/>
        <w:ind w:firstLine="720"/>
        <w:jc w:val="both"/>
        <w:rPr>
          <w:rFonts w:ascii="Times New Roman" w:eastAsia="Calibri" w:hAnsi="Times New Roman" w:cs="Times New Roman"/>
          <w:sz w:val="28"/>
          <w:szCs w:val="28"/>
          <w:lang w:val="en-US"/>
        </w:rPr>
      </w:pPr>
      <w:r w:rsidRPr="008606C2">
        <w:rPr>
          <w:rFonts w:ascii="Times New Roman" w:eastAsia="Calibri" w:hAnsi="Times New Roman" w:cs="Times New Roman"/>
          <w:sz w:val="28"/>
          <w:szCs w:val="28"/>
          <w:lang w:val="en-US"/>
        </w:rPr>
        <w:t>Regarding vocational education</w:t>
      </w:r>
      <w:r w:rsidRPr="008606C2">
        <w:rPr>
          <w:rFonts w:ascii="Times New Roman" w:eastAsia="Calibri" w:hAnsi="Times New Roman" w:cs="Times New Roman"/>
          <w:color w:val="000000"/>
          <w:sz w:val="28"/>
          <w:szCs w:val="28"/>
          <w:vertAlign w:val="superscript"/>
          <w:lang w:val="nl-NL"/>
        </w:rPr>
        <w:footnoteReference w:id="29"/>
      </w:r>
      <w:r w:rsidRPr="008606C2">
        <w:rPr>
          <w:rFonts w:ascii="Times New Roman" w:eastAsia="Calibri" w:hAnsi="Times New Roman" w:cs="Times New Roman"/>
          <w:sz w:val="28"/>
          <w:szCs w:val="28"/>
          <w:lang w:val="en-US"/>
        </w:rPr>
        <w:t>, as of August 2024, the whole country has 1,878 vocational education institutions including: 392 colleges (public: 291 schools, private: 98 schools, foreign invested capital: 03 school); 428 intermediate schools (public: 199 schools, private: 228 schools, foreign invested capital: 01 school); 1058 Vocational education centers, Vocational education centers - continuing education (public: 698 centers, private: 358 centers, foreign invested capital: 02 centers).</w:t>
      </w:r>
    </w:p>
    <w:p w14:paraId="46853A8A" w14:textId="77777777" w:rsidR="008606C2" w:rsidRPr="008606C2" w:rsidRDefault="008606C2" w:rsidP="008606C2">
      <w:pPr>
        <w:spacing w:after="160" w:line="259" w:lineRule="auto"/>
        <w:ind w:firstLine="720"/>
        <w:jc w:val="both"/>
        <w:rPr>
          <w:rFonts w:ascii="Times New Roman" w:eastAsia="Calibri" w:hAnsi="Times New Roman" w:cs="Times New Roman"/>
          <w:b/>
          <w:bCs/>
          <w:sz w:val="28"/>
          <w:szCs w:val="28"/>
          <w:lang w:val="en-US"/>
        </w:rPr>
      </w:pPr>
      <w:r w:rsidRPr="008606C2">
        <w:rPr>
          <w:rFonts w:ascii="Times New Roman" w:eastAsia="Calibri" w:hAnsi="Times New Roman" w:cs="Times New Roman"/>
          <w:b/>
          <w:bCs/>
          <w:sz w:val="28"/>
          <w:szCs w:val="28"/>
          <w:lang w:val="en-US"/>
        </w:rPr>
        <w:lastRenderedPageBreak/>
        <w:t>4. Disease and food poisoning situation</w:t>
      </w:r>
      <w:r w:rsidRPr="008606C2">
        <w:rPr>
          <w:rFonts w:ascii="Times New Roman" w:eastAsia="Calibri" w:hAnsi="Times New Roman" w:cs="Times New Roman"/>
          <w:b/>
          <w:bCs/>
          <w:i/>
          <w:color w:val="000000"/>
          <w:sz w:val="28"/>
          <w:szCs w:val="28"/>
          <w:vertAlign w:val="superscript"/>
          <w:lang w:val="nl-NL"/>
        </w:rPr>
        <w:footnoteReference w:id="30"/>
      </w:r>
      <w:r w:rsidRPr="008606C2">
        <w:rPr>
          <w:rFonts w:ascii="Times New Roman" w:eastAsia="Calibri" w:hAnsi="Times New Roman" w:cs="Times New Roman"/>
          <w:b/>
          <w:bCs/>
          <w:sz w:val="28"/>
          <w:szCs w:val="28"/>
          <w:lang w:val="en-US"/>
        </w:rPr>
        <w:t xml:space="preserve">  </w:t>
      </w:r>
    </w:p>
    <w:p w14:paraId="00239029" w14:textId="77777777" w:rsidR="008606C2" w:rsidRPr="008606C2" w:rsidRDefault="008606C2" w:rsidP="008606C2">
      <w:pPr>
        <w:spacing w:after="160" w:line="259" w:lineRule="auto"/>
        <w:ind w:firstLine="720"/>
        <w:jc w:val="both"/>
        <w:rPr>
          <w:rFonts w:ascii="Times New Roman" w:eastAsia="Calibri" w:hAnsi="Times New Roman" w:cs="Times New Roman"/>
          <w:sz w:val="28"/>
          <w:szCs w:val="28"/>
          <w:lang w:val="en-US"/>
        </w:rPr>
      </w:pPr>
      <w:r w:rsidRPr="008606C2">
        <w:rPr>
          <w:rFonts w:ascii="Times New Roman" w:eastAsia="Calibri" w:hAnsi="Times New Roman" w:cs="Times New Roman"/>
          <w:sz w:val="28"/>
          <w:szCs w:val="28"/>
          <w:lang w:val="en-US"/>
        </w:rPr>
        <w:t>In nine months of 2024, the whole country had 74.8 thousand people infected with dengue fever (11 deaths); More than 46.9 thousand people have hand, foot and mouth disease; 3.7 thousand people have fever and suspected measles; 67 people died from rabies; 347 people contracted viral encephalitis (06 deaths); 14 people had meningococcal meningitis; 01 person with influenza A died and 01 person with diphtheria.</w:t>
      </w:r>
    </w:p>
    <w:p w14:paraId="6F5E2811" w14:textId="77777777" w:rsidR="008606C2" w:rsidRPr="008606C2" w:rsidRDefault="008606C2" w:rsidP="008606C2">
      <w:pPr>
        <w:spacing w:after="160" w:line="259" w:lineRule="auto"/>
        <w:ind w:firstLine="720"/>
        <w:jc w:val="both"/>
        <w:rPr>
          <w:rFonts w:ascii="Times New Roman" w:eastAsia="Calibri" w:hAnsi="Times New Roman" w:cs="Times New Roman"/>
          <w:sz w:val="28"/>
          <w:szCs w:val="28"/>
          <w:lang w:val="en-US"/>
        </w:rPr>
      </w:pPr>
      <w:r w:rsidRPr="008606C2">
        <w:rPr>
          <w:rFonts w:ascii="Times New Roman" w:eastAsia="Calibri" w:hAnsi="Times New Roman" w:cs="Times New Roman"/>
          <w:sz w:val="28"/>
          <w:szCs w:val="28"/>
          <w:lang w:val="en-US"/>
        </w:rPr>
        <w:t xml:space="preserve">The total number of people living with HIV in the country as of September 18, </w:t>
      </w:r>
      <w:proofErr w:type="gramStart"/>
      <w:r w:rsidRPr="008606C2">
        <w:rPr>
          <w:rFonts w:ascii="Times New Roman" w:eastAsia="Calibri" w:hAnsi="Times New Roman" w:cs="Times New Roman"/>
          <w:sz w:val="28"/>
          <w:szCs w:val="28"/>
          <w:lang w:val="en-US"/>
        </w:rPr>
        <w:t>2024</w:t>
      </w:r>
      <w:proofErr w:type="gramEnd"/>
      <w:r w:rsidRPr="008606C2">
        <w:rPr>
          <w:rFonts w:ascii="Times New Roman" w:eastAsia="Calibri" w:hAnsi="Times New Roman" w:cs="Times New Roman"/>
          <w:sz w:val="28"/>
          <w:szCs w:val="28"/>
          <w:lang w:val="en-US"/>
        </w:rPr>
        <w:t xml:space="preserve"> is 244.4 thousand people and the number of people dying from HIV/AIDS in the country as of the above time is 115.5 thousand people.</w:t>
      </w:r>
    </w:p>
    <w:p w14:paraId="0A3416B5" w14:textId="77777777" w:rsidR="008606C2" w:rsidRPr="008606C2" w:rsidRDefault="008606C2" w:rsidP="008606C2">
      <w:pPr>
        <w:spacing w:after="160" w:line="259" w:lineRule="auto"/>
        <w:ind w:firstLine="720"/>
        <w:jc w:val="both"/>
        <w:rPr>
          <w:rFonts w:ascii="Times New Roman" w:eastAsia="Calibri" w:hAnsi="Times New Roman" w:cs="Times New Roman"/>
          <w:sz w:val="28"/>
          <w:szCs w:val="28"/>
          <w:lang w:val="en-US"/>
        </w:rPr>
      </w:pPr>
      <w:r w:rsidRPr="008606C2">
        <w:rPr>
          <w:rFonts w:ascii="Times New Roman" w:eastAsia="Calibri" w:hAnsi="Times New Roman" w:cs="Times New Roman"/>
          <w:sz w:val="28"/>
          <w:szCs w:val="28"/>
          <w:lang w:val="en-US"/>
        </w:rPr>
        <w:t xml:space="preserve">Regarding food poisoning, in the nine months of 2024 (from December 19, </w:t>
      </w:r>
      <w:proofErr w:type="gramStart"/>
      <w:r w:rsidRPr="008606C2">
        <w:rPr>
          <w:rFonts w:ascii="Times New Roman" w:eastAsia="Calibri" w:hAnsi="Times New Roman" w:cs="Times New Roman"/>
          <w:sz w:val="28"/>
          <w:szCs w:val="28"/>
          <w:lang w:val="en-US"/>
        </w:rPr>
        <w:t>2023</w:t>
      </w:r>
      <w:proofErr w:type="gramEnd"/>
      <w:r w:rsidRPr="008606C2">
        <w:rPr>
          <w:rFonts w:ascii="Times New Roman" w:eastAsia="Calibri" w:hAnsi="Times New Roman" w:cs="Times New Roman"/>
          <w:sz w:val="28"/>
          <w:szCs w:val="28"/>
          <w:lang w:val="en-US"/>
        </w:rPr>
        <w:t xml:space="preserve"> to September 18, 2024), there will be 89 food poisoning cases nationwide, poisoning 3,378 people (11 people died).</w:t>
      </w:r>
    </w:p>
    <w:p w14:paraId="0B57C94A" w14:textId="77777777" w:rsidR="008606C2" w:rsidRPr="008606C2" w:rsidRDefault="008606C2" w:rsidP="008606C2">
      <w:pPr>
        <w:spacing w:after="160" w:line="259" w:lineRule="auto"/>
        <w:ind w:firstLine="720"/>
        <w:jc w:val="both"/>
        <w:rPr>
          <w:rFonts w:ascii="Times New Roman" w:eastAsia="Calibri" w:hAnsi="Times New Roman" w:cs="Times New Roman"/>
          <w:sz w:val="28"/>
          <w:szCs w:val="28"/>
          <w:lang w:val="en-US"/>
        </w:rPr>
      </w:pPr>
      <w:r w:rsidRPr="008606C2">
        <w:rPr>
          <w:rFonts w:ascii="Times New Roman" w:eastAsia="Calibri" w:hAnsi="Times New Roman" w:cs="Times New Roman"/>
          <w:sz w:val="28"/>
          <w:szCs w:val="28"/>
          <w:lang w:val="en-US"/>
        </w:rPr>
        <w:t xml:space="preserve">5. </w:t>
      </w:r>
      <w:r w:rsidRPr="008606C2">
        <w:rPr>
          <w:rFonts w:ascii="Times New Roman" w:eastAsia="Calibri" w:hAnsi="Times New Roman" w:cs="Times New Roman"/>
          <w:b/>
          <w:bCs/>
          <w:i/>
          <w:iCs/>
          <w:sz w:val="28"/>
          <w:szCs w:val="28"/>
          <w:lang w:val="en-US"/>
        </w:rPr>
        <w:t>The work of preserving and promoting cultural values ​​is always of concern; The sports movement is maintained, and high-performance sports have achieved many remarkable achievements.</w:t>
      </w:r>
    </w:p>
    <w:p w14:paraId="41D1E3D0" w14:textId="4BAD7F8C" w:rsidR="008606C2" w:rsidRPr="008606C2" w:rsidRDefault="008606C2" w:rsidP="008606C2">
      <w:pPr>
        <w:spacing w:after="160" w:line="259" w:lineRule="auto"/>
        <w:ind w:firstLine="720"/>
        <w:jc w:val="both"/>
        <w:rPr>
          <w:rFonts w:ascii="Times New Roman" w:eastAsia="Calibri" w:hAnsi="Times New Roman" w:cs="Times New Roman"/>
          <w:sz w:val="28"/>
          <w:szCs w:val="28"/>
          <w:lang w:val="en-US"/>
        </w:rPr>
      </w:pPr>
      <w:r w:rsidRPr="008606C2">
        <w:rPr>
          <w:rFonts w:ascii="Times New Roman" w:eastAsia="Calibri" w:hAnsi="Times New Roman" w:cs="Times New Roman"/>
          <w:sz w:val="28"/>
          <w:szCs w:val="28"/>
          <w:lang w:val="en-US"/>
        </w:rPr>
        <w:t xml:space="preserve">In the third quarter of 2024, the Vietnamese sports delegation participated and won prizes at </w:t>
      </w:r>
      <w:r w:rsidRPr="008606C2">
        <w:rPr>
          <w:rFonts w:ascii="Times New Roman" w:eastAsia="Calibri" w:hAnsi="Times New Roman" w:cs="Times New Roman"/>
          <w:sz w:val="28"/>
          <w:szCs w:val="28"/>
          <w:lang w:val="en-US"/>
        </w:rPr>
        <w:t>several</w:t>
      </w:r>
      <w:r w:rsidRPr="008606C2">
        <w:rPr>
          <w:rFonts w:ascii="Times New Roman" w:eastAsia="Calibri" w:hAnsi="Times New Roman" w:cs="Times New Roman"/>
          <w:sz w:val="28"/>
          <w:szCs w:val="28"/>
          <w:lang w:val="en-US"/>
        </w:rPr>
        <w:t xml:space="preserve"> events such as: The Vietnamese Wushu team won 4 gold medals, ranked 4th at the 2024 World Tai Chi Championship in Singapore. -po; 2024 Asian Short Track Speed ​​Skating Championships in Indonesia; Vietnam leads the 2024 Asian Shuttlecock Championship and the 2024 Asian Youth Championship with 8 gold medals and 6 silver medals taking place in Thua Thien - Hue; ASEAN Age Group Chess Open 2024 in Laos from August 22-31; won 3 gold medals, 2 silver medals, 9 bronze medals, ranked 4th at the 2024 Asian Wushu Championship; won 3 gold medals, ranked second at the 2024 Asian Karate Championship in China; won the silver medal at the 2024 World Championship Billiards.</w:t>
      </w:r>
    </w:p>
    <w:p w14:paraId="2C1D8ACA" w14:textId="77777777" w:rsidR="008606C2" w:rsidRPr="008606C2" w:rsidRDefault="008606C2" w:rsidP="008606C2">
      <w:pPr>
        <w:spacing w:after="160" w:line="259" w:lineRule="auto"/>
        <w:ind w:firstLine="720"/>
        <w:jc w:val="both"/>
        <w:rPr>
          <w:rFonts w:ascii="Times New Roman" w:eastAsia="Calibri" w:hAnsi="Times New Roman" w:cs="Times New Roman"/>
          <w:sz w:val="28"/>
          <w:szCs w:val="28"/>
          <w:lang w:val="en-US"/>
        </w:rPr>
      </w:pPr>
      <w:r w:rsidRPr="008606C2">
        <w:rPr>
          <w:rFonts w:ascii="Times New Roman" w:eastAsia="Calibri" w:hAnsi="Times New Roman" w:cs="Times New Roman"/>
          <w:sz w:val="28"/>
          <w:szCs w:val="28"/>
          <w:lang w:val="en-US"/>
        </w:rPr>
        <w:t xml:space="preserve">6. </w:t>
      </w:r>
      <w:r w:rsidRPr="008606C2">
        <w:rPr>
          <w:rFonts w:ascii="Times New Roman" w:eastAsia="Calibri" w:hAnsi="Times New Roman" w:cs="Times New Roman"/>
          <w:b/>
          <w:bCs/>
          <w:i/>
          <w:iCs/>
          <w:sz w:val="28"/>
          <w:szCs w:val="28"/>
          <w:lang w:val="en-US"/>
        </w:rPr>
        <w:t>Traffic accidents in September, the number of traffic accidents decreased by 0.8% compared to the previous month and decreased by 14.2% compared to the same month last year. In nine months, the number of traffic accidents increased by 7.2% over the same period last year.</w:t>
      </w:r>
    </w:p>
    <w:p w14:paraId="04623443" w14:textId="59927548" w:rsidR="008606C2" w:rsidRPr="008606C2" w:rsidRDefault="008606C2" w:rsidP="008606C2">
      <w:pPr>
        <w:spacing w:after="160" w:line="259" w:lineRule="auto"/>
        <w:ind w:firstLine="720"/>
        <w:jc w:val="both"/>
        <w:rPr>
          <w:rFonts w:ascii="Times New Roman" w:eastAsia="Calibri" w:hAnsi="Times New Roman" w:cs="Times New Roman"/>
          <w:sz w:val="28"/>
          <w:szCs w:val="28"/>
          <w:lang w:val="en-US"/>
        </w:rPr>
      </w:pPr>
      <w:r w:rsidRPr="008606C2">
        <w:rPr>
          <w:rFonts w:ascii="Times New Roman" w:eastAsia="Calibri" w:hAnsi="Times New Roman" w:cs="Times New Roman"/>
          <w:sz w:val="28"/>
          <w:szCs w:val="28"/>
          <w:lang w:val="en-US"/>
        </w:rPr>
        <w:t xml:space="preserve">In September (from August 26, </w:t>
      </w:r>
      <w:r w:rsidRPr="008606C2">
        <w:rPr>
          <w:rFonts w:ascii="Times New Roman" w:eastAsia="Calibri" w:hAnsi="Times New Roman" w:cs="Times New Roman"/>
          <w:sz w:val="28"/>
          <w:szCs w:val="28"/>
          <w:lang w:val="en-US"/>
        </w:rPr>
        <w:t>2024,</w:t>
      </w:r>
      <w:r w:rsidRPr="008606C2">
        <w:rPr>
          <w:rFonts w:ascii="Times New Roman" w:eastAsia="Calibri" w:hAnsi="Times New Roman" w:cs="Times New Roman"/>
          <w:sz w:val="28"/>
          <w:szCs w:val="28"/>
          <w:lang w:val="en-US"/>
        </w:rPr>
        <w:t xml:space="preserve"> to September 25, 2024), there were 1,760 traffic accidents nationwide, killing 906 people and injuring 1,251 people. Compared to the same period in 2023, the number of traffic accidents will decrease by 14.2%, the number of deaths will decrease by 12.0%, and the number of injured people will decrease by 14.7%.</w:t>
      </w:r>
    </w:p>
    <w:p w14:paraId="467BAFC1" w14:textId="77777777" w:rsidR="008606C2" w:rsidRPr="008606C2" w:rsidRDefault="008606C2" w:rsidP="008606C2">
      <w:pPr>
        <w:spacing w:after="160" w:line="259" w:lineRule="auto"/>
        <w:ind w:firstLine="720"/>
        <w:jc w:val="both"/>
        <w:rPr>
          <w:rFonts w:ascii="Times New Roman" w:eastAsia="Calibri" w:hAnsi="Times New Roman" w:cs="Times New Roman"/>
          <w:sz w:val="28"/>
          <w:szCs w:val="28"/>
          <w:lang w:val="en-US"/>
        </w:rPr>
      </w:pPr>
      <w:r w:rsidRPr="008606C2">
        <w:rPr>
          <w:rFonts w:ascii="Times New Roman" w:eastAsia="Calibri" w:hAnsi="Times New Roman" w:cs="Times New Roman"/>
          <w:sz w:val="28"/>
          <w:szCs w:val="28"/>
          <w:lang w:val="en-US"/>
        </w:rPr>
        <w:lastRenderedPageBreak/>
        <w:t>In the nine months of 2024, there were 17,629 traffic accidents nationwide, killing 8,045 people and injuring 13,167 people. Compared to the same period last year, the number of traffic accidents increased by 7.2%; number of deaths decreased by 9.7%; The number of injured people increased by 17.4%. On average, every day in the nine months of 2024, there will be more than 64 traffic accidents nationwide, killing 29 people and injuring 48 people.</w:t>
      </w:r>
    </w:p>
    <w:p w14:paraId="1212488C" w14:textId="77777777" w:rsidR="008606C2" w:rsidRPr="008606C2" w:rsidRDefault="008606C2" w:rsidP="008606C2">
      <w:pPr>
        <w:spacing w:after="160" w:line="259" w:lineRule="auto"/>
        <w:ind w:firstLine="720"/>
        <w:jc w:val="both"/>
        <w:rPr>
          <w:rFonts w:ascii="Times New Roman" w:eastAsia="Calibri" w:hAnsi="Times New Roman" w:cs="Times New Roman"/>
          <w:sz w:val="28"/>
          <w:szCs w:val="28"/>
          <w:lang w:val="en-US"/>
        </w:rPr>
      </w:pPr>
      <w:r w:rsidRPr="008606C2">
        <w:rPr>
          <w:rFonts w:ascii="Times New Roman" w:eastAsia="Calibri" w:hAnsi="Times New Roman" w:cs="Times New Roman"/>
          <w:sz w:val="28"/>
          <w:szCs w:val="28"/>
          <w:lang w:val="en-US"/>
        </w:rPr>
        <w:t xml:space="preserve">7. </w:t>
      </w:r>
      <w:r w:rsidRPr="008606C2">
        <w:rPr>
          <w:rFonts w:ascii="Times New Roman" w:eastAsia="Calibri" w:hAnsi="Times New Roman" w:cs="Times New Roman"/>
          <w:b/>
          <w:bCs/>
          <w:i/>
          <w:iCs/>
          <w:sz w:val="28"/>
          <w:szCs w:val="28"/>
          <w:lang w:val="en-US"/>
        </w:rPr>
        <w:t>Damage caused by natural disasters</w:t>
      </w:r>
      <w:r w:rsidRPr="008606C2">
        <w:rPr>
          <w:rFonts w:ascii="Times New Roman" w:eastAsia="Calibri" w:hAnsi="Times New Roman" w:cs="Times New Roman"/>
          <w:b/>
          <w:bCs/>
          <w:i/>
          <w:iCs/>
          <w:color w:val="000000"/>
          <w:sz w:val="28"/>
          <w:szCs w:val="28"/>
          <w:vertAlign w:val="superscript"/>
          <w:lang w:val="en-US"/>
        </w:rPr>
        <w:footnoteReference w:id="31"/>
      </w:r>
      <w:r w:rsidRPr="008606C2">
        <w:rPr>
          <w:rFonts w:ascii="Times New Roman" w:eastAsia="Calibri" w:hAnsi="Times New Roman" w:cs="Times New Roman"/>
          <w:b/>
          <w:bCs/>
          <w:i/>
          <w:iCs/>
          <w:sz w:val="28"/>
          <w:szCs w:val="28"/>
          <w:lang w:val="en-US"/>
        </w:rPr>
        <w:t>, environmental pollution and fires and explosions significantly affects the lives of people in some localities.</w:t>
      </w:r>
    </w:p>
    <w:p w14:paraId="6275D6A2" w14:textId="77777777" w:rsidR="008606C2" w:rsidRPr="008606C2" w:rsidRDefault="008606C2" w:rsidP="008606C2">
      <w:pPr>
        <w:spacing w:after="160" w:line="259" w:lineRule="auto"/>
        <w:ind w:firstLine="720"/>
        <w:jc w:val="both"/>
        <w:rPr>
          <w:rFonts w:ascii="Times New Roman" w:eastAsia="Calibri" w:hAnsi="Times New Roman" w:cs="Times New Roman"/>
          <w:sz w:val="28"/>
          <w:szCs w:val="28"/>
          <w:lang w:val="en-US"/>
        </w:rPr>
      </w:pPr>
      <w:r w:rsidRPr="008606C2">
        <w:rPr>
          <w:rFonts w:ascii="Times New Roman" w:eastAsia="Calibri" w:hAnsi="Times New Roman" w:cs="Times New Roman"/>
          <w:sz w:val="28"/>
          <w:szCs w:val="28"/>
          <w:lang w:val="en-US"/>
        </w:rPr>
        <w:t>Damage caused by natural disasters in September and the first nine months of 2024 is mainly due to the impact of floods and storms, especially storm No. 3. According to a report from the Ministry of Agriculture and Rural Development, as of September 30 /2024, storm No. 3 left 345 people dead and missing; 1,978 people were injured; 4,713 houses collapsed; 401,275 houses were damaged and flooded; About 286.6 thousand hectares of rice, more than 63.3 thousand hectares of crops were damaged; 44.5 thousand cattle and more than 5.76 million poultry died or were swept away. In addition, the infrastructure of the localities where the storm passed and circulated after the storm was also seriously affected: The transportation system was divided, communication was lost; Schools and classrooms were damaged, affecting students' learning, many urban trees were broken... The estimated value of damage was up to 81.8 trillion VND.</w:t>
      </w:r>
    </w:p>
    <w:p w14:paraId="5DB7F265" w14:textId="1EC8746F" w:rsidR="008606C2" w:rsidRPr="008606C2" w:rsidRDefault="008606C2" w:rsidP="008606C2">
      <w:pPr>
        <w:spacing w:after="160" w:line="259" w:lineRule="auto"/>
        <w:ind w:firstLine="720"/>
        <w:jc w:val="both"/>
        <w:rPr>
          <w:rFonts w:ascii="Times New Roman" w:eastAsia="Calibri" w:hAnsi="Times New Roman" w:cs="Times New Roman"/>
          <w:sz w:val="28"/>
          <w:szCs w:val="28"/>
          <w:lang w:val="en-US"/>
        </w:rPr>
      </w:pPr>
      <w:r w:rsidRPr="008606C2">
        <w:rPr>
          <w:rFonts w:ascii="Times New Roman" w:eastAsia="Calibri" w:hAnsi="Times New Roman" w:cs="Times New Roman"/>
          <w:sz w:val="28"/>
          <w:szCs w:val="28"/>
          <w:lang w:val="en-US"/>
        </w:rPr>
        <w:t>Also,</w:t>
      </w:r>
      <w:r w:rsidRPr="008606C2">
        <w:rPr>
          <w:rFonts w:ascii="Times New Roman" w:eastAsia="Calibri" w:hAnsi="Times New Roman" w:cs="Times New Roman"/>
          <w:sz w:val="28"/>
          <w:szCs w:val="28"/>
          <w:lang w:val="en-US"/>
        </w:rPr>
        <w:t xml:space="preserve"> in nine months of this year, throughout the country, the authorities</w:t>
      </w:r>
      <w:r w:rsidRPr="008606C2">
        <w:rPr>
          <w:rFonts w:ascii="Times New Roman" w:eastAsia="Calibri" w:hAnsi="Times New Roman" w:cs="Times New Roman"/>
          <w:color w:val="000000"/>
          <w:sz w:val="28"/>
          <w:szCs w:val="28"/>
          <w:vertAlign w:val="superscript"/>
          <w:lang w:val="de-DE"/>
        </w:rPr>
        <w:footnoteReference w:id="32"/>
      </w:r>
      <w:r w:rsidRPr="008606C2">
        <w:rPr>
          <w:rFonts w:ascii="Times New Roman" w:eastAsia="Calibri" w:hAnsi="Times New Roman" w:cs="Times New Roman"/>
          <w:sz w:val="28"/>
          <w:szCs w:val="28"/>
          <w:lang w:val="en-US"/>
        </w:rPr>
        <w:t xml:space="preserve"> detected 17.3 thousand cases of environmental violations, of which 15.8 cases were handled with a total fine of 224.7 billion VND, an increase 3.4% over the same period last year.</w:t>
      </w:r>
    </w:p>
    <w:p w14:paraId="5276B0D1" w14:textId="43396583" w:rsidR="00E35D62" w:rsidRPr="008606C2" w:rsidRDefault="008606C2" w:rsidP="008606C2">
      <w:pPr>
        <w:spacing w:after="160" w:line="259" w:lineRule="auto"/>
        <w:ind w:firstLine="567"/>
        <w:jc w:val="both"/>
        <w:rPr>
          <w:rFonts w:ascii="Times New Roman" w:eastAsia="Calibri" w:hAnsi="Times New Roman" w:cs="Times New Roman"/>
          <w:sz w:val="28"/>
          <w:szCs w:val="28"/>
          <w:lang w:val="en-US"/>
        </w:rPr>
      </w:pPr>
      <w:r w:rsidRPr="008606C2">
        <w:rPr>
          <w:rFonts w:ascii="Times New Roman" w:eastAsia="Calibri" w:hAnsi="Times New Roman" w:cs="Times New Roman"/>
          <w:sz w:val="28"/>
          <w:szCs w:val="28"/>
          <w:lang w:val="en-US"/>
        </w:rPr>
        <w:t>In nine months of this year, there were 3,193 fires and explosions nationwide, killing 85 people and injuring 87 people, with an estimated loss of 217.4 billion VND, down 39.8% over the same period last year./.</w:t>
      </w:r>
    </w:p>
    <w:p w14:paraId="46EED76B" w14:textId="76C18164" w:rsidR="00097926" w:rsidRPr="00546806" w:rsidRDefault="00E35D62" w:rsidP="00546806">
      <w:pPr>
        <w:spacing w:after="120"/>
        <w:ind w:firstLine="567"/>
        <w:jc w:val="center"/>
        <w:rPr>
          <w:rFonts w:ascii="Times New Roman" w:hAnsi="Times New Roman" w:cs="Times New Roman"/>
          <w:i/>
          <w:sz w:val="28"/>
          <w:szCs w:val="28"/>
          <w:lang w:val="de-DE"/>
        </w:rPr>
      </w:pPr>
      <w:r w:rsidRPr="00546806">
        <w:rPr>
          <w:rFonts w:ascii="Times New Roman" w:hAnsi="Times New Roman" w:cs="Times New Roman"/>
          <w:b/>
          <w:sz w:val="28"/>
          <w:szCs w:val="28"/>
          <w:lang w:val="en-US"/>
        </w:rPr>
        <w:t>GENERAL STATISTICS OFFICES</w:t>
      </w:r>
    </w:p>
    <w:sectPr w:rsidR="00097926" w:rsidRPr="00546806" w:rsidSect="00496D43">
      <w:headerReference w:type="default" r:id="rId8"/>
      <w:footerReference w:type="default" r:id="rId9"/>
      <w:pgSz w:w="11906" w:h="16838" w:code="9"/>
      <w:pgMar w:top="1134" w:right="1134" w:bottom="1134" w:left="1701" w:header="505"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17C7D" w14:textId="77777777" w:rsidR="00CC6007" w:rsidRDefault="00CC6007" w:rsidP="00140F6C">
      <w:pPr>
        <w:spacing w:after="0" w:line="240" w:lineRule="auto"/>
        <w:rPr>
          <w:rFonts w:cs="Times New Roman"/>
        </w:rPr>
      </w:pPr>
      <w:r>
        <w:rPr>
          <w:rFonts w:cs="Times New Roman"/>
        </w:rPr>
        <w:separator/>
      </w:r>
    </w:p>
  </w:endnote>
  <w:endnote w:type="continuationSeparator" w:id="0">
    <w:p w14:paraId="0C59B638" w14:textId="77777777" w:rsidR="00CC6007" w:rsidRDefault="00CC6007" w:rsidP="00140F6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imes New Roman Italic">
    <w:panose1 w:val="02020503050405090304"/>
    <w:charset w:val="00"/>
    <w:family w:val="roman"/>
    <w:notTrueType/>
    <w:pitch w:val="default"/>
  </w:font>
  <w:font w:name="Times New Roman Bold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BC2B1" w14:textId="77777777" w:rsidR="00DD4DEE" w:rsidRDefault="00DD4DEE" w:rsidP="006B1758">
    <w:pPr>
      <w:pStyle w:val="Footer"/>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B020F" w14:textId="77777777" w:rsidR="00CC6007" w:rsidRDefault="00CC6007" w:rsidP="00140F6C">
      <w:pPr>
        <w:spacing w:after="0" w:line="240" w:lineRule="auto"/>
        <w:rPr>
          <w:rFonts w:cs="Times New Roman"/>
        </w:rPr>
      </w:pPr>
      <w:r>
        <w:rPr>
          <w:rFonts w:cs="Times New Roman"/>
        </w:rPr>
        <w:separator/>
      </w:r>
    </w:p>
  </w:footnote>
  <w:footnote w:type="continuationSeparator" w:id="0">
    <w:p w14:paraId="1CBB039A" w14:textId="77777777" w:rsidR="00CC6007" w:rsidRDefault="00CC6007" w:rsidP="00140F6C">
      <w:pPr>
        <w:spacing w:after="0" w:line="240" w:lineRule="auto"/>
        <w:rPr>
          <w:rFonts w:cs="Times New Roman"/>
        </w:rPr>
      </w:pPr>
      <w:r>
        <w:rPr>
          <w:rFonts w:cs="Times New Roman"/>
        </w:rPr>
        <w:continuationSeparator/>
      </w:r>
    </w:p>
  </w:footnote>
  <w:footnote w:id="1">
    <w:p w14:paraId="2F951CF9" w14:textId="5A2AEEA4" w:rsidR="000F7DF2" w:rsidRPr="00174F75" w:rsidRDefault="000F7DF2" w:rsidP="00DF14AA">
      <w:pPr>
        <w:pStyle w:val="FootnoteText"/>
        <w:spacing w:after="60"/>
        <w:ind w:left="142" w:hanging="142"/>
        <w:jc w:val="both"/>
        <w:rPr>
          <w:rFonts w:ascii="Times New Roman" w:hAnsi="Times New Roman" w:cs="Times New Roman"/>
          <w:lang w:val="en-US"/>
        </w:rPr>
      </w:pPr>
      <w:r w:rsidRPr="00174F75">
        <w:rPr>
          <w:rStyle w:val="FootnoteReference"/>
          <w:rFonts w:ascii="Times New Roman" w:hAnsi="Times New Roman"/>
        </w:rPr>
        <w:footnoteRef/>
      </w:r>
      <w:r w:rsidRPr="00174F75">
        <w:rPr>
          <w:rFonts w:ascii="Times New Roman" w:hAnsi="Times New Roman" w:cs="Times New Roman"/>
        </w:rPr>
        <w:t xml:space="preserve"> </w:t>
      </w:r>
      <w:r w:rsidR="00DA5DC0" w:rsidRPr="00DA5DC0">
        <w:rPr>
          <w:rFonts w:ascii="Times New Roman" w:hAnsi="Times New Roman" w:cs="Times New Roman"/>
          <w:lang w:val="en-US"/>
        </w:rPr>
        <w:t>Press releases and infographics on the socio-economic situation in the third quarter and 9 months of 2024 are posted on the website of the General Statistics Office (https://www.gso.gov.vn).</w:t>
      </w:r>
    </w:p>
  </w:footnote>
  <w:footnote w:id="2">
    <w:p w14:paraId="186A8DB9" w14:textId="142597B9" w:rsidR="00DA5DC0" w:rsidRPr="00DA5DC0" w:rsidRDefault="00DA5DC0">
      <w:pPr>
        <w:pStyle w:val="FootnoteText"/>
        <w:rPr>
          <w:lang w:val="en-US"/>
        </w:rPr>
      </w:pPr>
      <w:r>
        <w:rPr>
          <w:rStyle w:val="FootnoteReference"/>
        </w:rPr>
        <w:footnoteRef/>
      </w:r>
      <w:r>
        <w:t xml:space="preserve"> </w:t>
      </w:r>
      <w:r w:rsidRPr="00DA5DC0">
        <w:rPr>
          <w:rFonts w:ascii="Times New Roman" w:hAnsi="Times New Roman" w:cs="Times New Roman"/>
        </w:rPr>
        <w:t>UN (September 2024), "World economic situation and outlook - updated September 2024", https://www.un.org/development/desa/dpad/wp-content/uploads/sites/45/WESP-2024_September_2024_WEB.pdf, accessed September 26, 2024.</w:t>
      </w:r>
    </w:p>
  </w:footnote>
  <w:footnote w:id="3">
    <w:p w14:paraId="314E7827" w14:textId="57C03D0F" w:rsidR="00DA5DC0" w:rsidRPr="00DA5DC0" w:rsidRDefault="00DA5DC0">
      <w:pPr>
        <w:pStyle w:val="FootnoteText"/>
        <w:rPr>
          <w:lang w:val="en-US"/>
        </w:rPr>
      </w:pPr>
      <w:r>
        <w:rPr>
          <w:rStyle w:val="FootnoteReference"/>
        </w:rPr>
        <w:footnoteRef/>
      </w:r>
      <w:r>
        <w:t xml:space="preserve"> </w:t>
      </w:r>
      <w:r w:rsidRPr="00DA5DC0">
        <w:rPr>
          <w:rFonts w:ascii="Times New Roman" w:hAnsi="Times New Roman" w:cs="Times New Roman"/>
        </w:rPr>
        <w:t>FR (September 2024), "Global Economic Outlook for September 2024", https://www.fitchratings.com/research/sovereigns/global-economic-outlook-september-2024-10-09-2024, accessed September 26, 2024.</w:t>
      </w:r>
    </w:p>
  </w:footnote>
  <w:footnote w:id="4">
    <w:p w14:paraId="0C1355DD" w14:textId="6E71F2DA" w:rsidR="00DA5DC0" w:rsidRPr="00DA5DC0" w:rsidRDefault="00DA5DC0">
      <w:pPr>
        <w:pStyle w:val="FootnoteText"/>
        <w:rPr>
          <w:lang w:val="en-US"/>
        </w:rPr>
      </w:pPr>
      <w:r>
        <w:rPr>
          <w:rStyle w:val="FootnoteReference"/>
        </w:rPr>
        <w:footnoteRef/>
      </w:r>
      <w:r>
        <w:t xml:space="preserve"> </w:t>
      </w:r>
      <w:r w:rsidRPr="00DA5DC0">
        <w:rPr>
          <w:rFonts w:ascii="Times New Roman" w:hAnsi="Times New Roman" w:cs="Times New Roman"/>
        </w:rPr>
        <w:t>OECD (September 2024), "OECD Preliminary Economic Outlook Report: A Turning Point", https://www.oecd.org/en/publications/oecd-economic-outlook-interim-report-september-2024_1517c196-en.html, accessed September 26, 2024.</w:t>
      </w:r>
    </w:p>
  </w:footnote>
  <w:footnote w:id="5">
    <w:p w14:paraId="54EC5F45" w14:textId="2769E236" w:rsidR="00DA5DC0" w:rsidRPr="00DA5DC0" w:rsidRDefault="00DA5DC0">
      <w:pPr>
        <w:pStyle w:val="FootnoteText"/>
        <w:rPr>
          <w:lang w:val="en-US"/>
        </w:rPr>
      </w:pPr>
      <w:r>
        <w:rPr>
          <w:rStyle w:val="FootnoteReference"/>
        </w:rPr>
        <w:footnoteRef/>
      </w:r>
      <w:r>
        <w:t xml:space="preserve"> </w:t>
      </w:r>
      <w:r w:rsidRPr="00DA5DC0">
        <w:rPr>
          <w:rFonts w:ascii="Times New Roman" w:hAnsi="Times New Roman" w:cs="Times New Roman"/>
        </w:rPr>
        <w:t>IMF (July 2024), "World Economic Outlook Update - The Global Economy is at a Standstill", https://www.imf.org/-/media/Files/Publications/WEO/2024/Update/July/English/text.ashx, accessed September 26, 2024.</w:t>
      </w:r>
    </w:p>
  </w:footnote>
  <w:footnote w:id="6">
    <w:p w14:paraId="10251B05" w14:textId="77777777" w:rsidR="00DA5DC0" w:rsidRPr="00F92F75" w:rsidRDefault="00DA5DC0" w:rsidP="00DA5DC0">
      <w:pPr>
        <w:pStyle w:val="FootnoteText"/>
        <w:ind w:left="142" w:hanging="142"/>
        <w:jc w:val="both"/>
        <w:rPr>
          <w:rFonts w:ascii="Times New Roman" w:hAnsi="Times New Roman" w:cs="Times New Roman"/>
        </w:rPr>
      </w:pPr>
      <w:r w:rsidRPr="00F92F75">
        <w:rPr>
          <w:rStyle w:val="FootnoteReference"/>
          <w:rFonts w:ascii="Times New Roman" w:hAnsi="Times New Roman"/>
        </w:rPr>
        <w:footnoteRef/>
      </w:r>
      <w:r w:rsidRPr="00F92F75">
        <w:rPr>
          <w:rFonts w:ascii="Times New Roman" w:hAnsi="Times New Roman" w:cs="Times New Roman"/>
        </w:rPr>
        <w:t xml:space="preserve">The growth rate of added value in the agricultural, forestry and fishery sector in the third quarter of 2020-2024 compared to the same period last year was respectively: 3.11%; 2.52%; 4.67%; 4.30%; 2.58%. In the third quarter of 2021, the agricultural, forestry and fishery sector only increased by 2.52% due to the impact of the Covid-19 pandemic, </w:t>
      </w:r>
      <w:r w:rsidRPr="00F92F75">
        <w:rPr>
          <w:rFonts w:ascii="Times New Roman" w:hAnsi="Times New Roman" w:cs="Times New Roman"/>
          <w:lang w:val="en-US"/>
        </w:rPr>
        <w:t xml:space="preserve">social distancing has greatly affected the production and consumption of agricultural, forestry and fishery </w:t>
      </w:r>
      <w:proofErr w:type="gramStart"/>
      <w:r w:rsidRPr="00F92F75">
        <w:rPr>
          <w:rFonts w:ascii="Times New Roman" w:hAnsi="Times New Roman" w:cs="Times New Roman"/>
          <w:lang w:val="en-US"/>
        </w:rPr>
        <w:t xml:space="preserve">products </w:t>
      </w:r>
      <w:r w:rsidRPr="00F92F75">
        <w:rPr>
          <w:rFonts w:ascii="Times New Roman" w:hAnsi="Times New Roman" w:cs="Times New Roman"/>
        </w:rPr>
        <w:t>,</w:t>
      </w:r>
      <w:proofErr w:type="gramEnd"/>
      <w:r w:rsidRPr="00F92F75">
        <w:rPr>
          <w:rFonts w:ascii="Times New Roman" w:hAnsi="Times New Roman" w:cs="Times New Roman"/>
        </w:rPr>
        <w:t xml:space="preserve"> climate change, high input production costs and African swine fever.</w:t>
      </w:r>
    </w:p>
  </w:footnote>
  <w:footnote w:id="7">
    <w:p w14:paraId="7A8A38C6" w14:textId="77777777" w:rsidR="00DA5DC0" w:rsidRPr="00F92F75" w:rsidRDefault="00DA5DC0" w:rsidP="00DA5DC0">
      <w:pPr>
        <w:pStyle w:val="FootnoteText"/>
        <w:ind w:left="142" w:hanging="142"/>
        <w:jc w:val="both"/>
        <w:rPr>
          <w:rFonts w:ascii="Times New Roman" w:hAnsi="Times New Roman" w:cs="Times New Roman"/>
        </w:rPr>
      </w:pPr>
      <w:r w:rsidRPr="00F92F75">
        <w:rPr>
          <w:rStyle w:val="FootnoteReference"/>
          <w:rFonts w:ascii="Times New Roman" w:hAnsi="Times New Roman"/>
        </w:rPr>
        <w:footnoteRef/>
      </w:r>
      <w:r w:rsidRPr="00F92F75">
        <w:rPr>
          <w:rFonts w:ascii="Times New Roman" w:hAnsi="Times New Roman" w:cs="Times New Roman"/>
          <w:lang w:val="en-US"/>
        </w:rPr>
        <w:t xml:space="preserve">The growth/decrease rate of </w:t>
      </w:r>
      <w:r w:rsidRPr="00F92F75">
        <w:rPr>
          <w:rFonts w:ascii="Times New Roman" w:hAnsi="Times New Roman" w:cs="Times New Roman"/>
        </w:rPr>
        <w:t>added value of the manufacturing industry in the third quarter of 2019-2024 compared to the same period last year is respectively: 10.38%; 3.46%; -4.83%; 11.24%; 5.59%; 11.41%.</w:t>
      </w:r>
    </w:p>
  </w:footnote>
  <w:footnote w:id="8">
    <w:p w14:paraId="23B0F958" w14:textId="77777777" w:rsidR="00DA5DC0" w:rsidRPr="00F92F75" w:rsidRDefault="00DA5DC0" w:rsidP="00DA5DC0">
      <w:pPr>
        <w:pStyle w:val="FootnoteText"/>
        <w:spacing w:after="40"/>
        <w:ind w:left="142" w:hanging="142"/>
        <w:jc w:val="both"/>
        <w:rPr>
          <w:rFonts w:ascii="Times New Roman" w:hAnsi="Times New Roman" w:cs="Times New Roman"/>
          <w:spacing w:val="-2"/>
          <w:lang w:val="en-US"/>
        </w:rPr>
      </w:pPr>
      <w:r w:rsidRPr="00F92F75">
        <w:rPr>
          <w:rStyle w:val="FootnoteReference"/>
          <w:rFonts w:ascii="Times New Roman" w:hAnsi="Times New Roman"/>
        </w:rPr>
        <w:footnoteRef/>
      </w:r>
      <w:r w:rsidRPr="00F92F75">
        <w:rPr>
          <w:rFonts w:ascii="Times New Roman" w:hAnsi="Times New Roman" w:cs="Times New Roman"/>
        </w:rPr>
        <w:t xml:space="preserve"> </w:t>
      </w:r>
      <w:r w:rsidRPr="00F92F75">
        <w:rPr>
          <w:rFonts w:ascii="Times New Roman" w:hAnsi="Times New Roman" w:cs="Times New Roman"/>
          <w:spacing w:val="-2"/>
        </w:rPr>
        <w:t xml:space="preserve">The nine-month growth rate of added value of the agriculture, forestry and fishery sector compared to the same period last year in 2020-2024 is: 1.90%; 3.84%; 3.66%; 3.71% and 3.20%, respectively. In the first nine months of 2020, the agriculture, forestry and fishery sector </w:t>
      </w:r>
      <w:proofErr w:type="gramStart"/>
      <w:r w:rsidRPr="00F92F75">
        <w:rPr>
          <w:rFonts w:ascii="Times New Roman" w:hAnsi="Times New Roman" w:cs="Times New Roman"/>
          <w:spacing w:val="-2"/>
        </w:rPr>
        <w:t>was</w:t>
      </w:r>
      <w:proofErr w:type="gramEnd"/>
      <w:r w:rsidRPr="00F92F75">
        <w:rPr>
          <w:rFonts w:ascii="Times New Roman" w:hAnsi="Times New Roman" w:cs="Times New Roman"/>
          <w:spacing w:val="-2"/>
        </w:rPr>
        <w:t xml:space="preserve"> affected by the Covid-19 pandemic, saltwater intrusion and African swine fever, so the growth was low.</w:t>
      </w:r>
    </w:p>
  </w:footnote>
  <w:footnote w:id="9">
    <w:p w14:paraId="0C4E0DC4" w14:textId="77777777" w:rsidR="00DA5DC0" w:rsidRPr="00BF331D" w:rsidRDefault="00DA5DC0" w:rsidP="00DA5DC0">
      <w:pPr>
        <w:pStyle w:val="FootnoteText"/>
        <w:rPr>
          <w:rFonts w:ascii="Times New Roman" w:hAnsi="Times New Roman" w:cs="Times New Roman"/>
          <w:lang w:val="en-US"/>
        </w:rPr>
      </w:pPr>
      <w:r w:rsidRPr="00EA26A4">
        <w:rPr>
          <w:rStyle w:val="FootnoteReference"/>
          <w:rFonts w:ascii="Times New Roman" w:hAnsi="Times New Roman"/>
        </w:rPr>
        <w:footnoteRef/>
      </w:r>
      <w:r w:rsidRPr="00EA26A4">
        <w:rPr>
          <w:rFonts w:ascii="Times New Roman" w:hAnsi="Times New Roman" w:cs="Times New Roman"/>
        </w:rPr>
        <w:t xml:space="preserve"> Of wich, </w:t>
      </w:r>
      <w:r w:rsidRPr="00EA26A4">
        <w:rPr>
          <w:rFonts w:ascii="Times New Roman" w:hAnsi="Times New Roman" w:cs="Times New Roman"/>
          <w:lang w:val="de-DE"/>
        </w:rPr>
        <w:t>the Mekong Delta reached 1,469.8 thousand hectares, down 4.6 thousand hectares.</w:t>
      </w:r>
      <w:r w:rsidRPr="00BF331D">
        <w:rPr>
          <w:rFonts w:ascii="Times New Roman" w:hAnsi="Times New Roman" w:cs="Times New Roman"/>
          <w:color w:val="000000"/>
          <w:sz w:val="28"/>
          <w:szCs w:val="28"/>
          <w:lang w:val="af-ZA"/>
        </w:rPr>
        <w:t xml:space="preserve"> </w:t>
      </w:r>
    </w:p>
  </w:footnote>
  <w:footnote w:id="10">
    <w:p w14:paraId="2972E05C" w14:textId="77777777" w:rsidR="00DA5DC0" w:rsidRPr="009A7EEF" w:rsidRDefault="00DA5DC0" w:rsidP="00DA5DC0">
      <w:pPr>
        <w:spacing w:after="40" w:line="240" w:lineRule="auto"/>
        <w:ind w:left="198" w:hanging="198"/>
        <w:jc w:val="both"/>
        <w:rPr>
          <w:rFonts w:ascii="Times New Roman" w:hAnsi="Times New Roman" w:cs="Times New Roman"/>
          <w:sz w:val="20"/>
          <w:szCs w:val="20"/>
          <w:lang w:val="af-ZA"/>
        </w:rPr>
      </w:pPr>
      <w:r w:rsidRPr="009A7EEF">
        <w:rPr>
          <w:rStyle w:val="FootnoteReference"/>
          <w:rFonts w:ascii="Times New Roman" w:hAnsi="Times New Roman"/>
          <w:sz w:val="20"/>
          <w:szCs w:val="20"/>
        </w:rPr>
        <w:footnoteRef/>
      </w:r>
      <w:r w:rsidRPr="009A7EEF">
        <w:rPr>
          <w:rFonts w:ascii="Times New Roman" w:hAnsi="Times New Roman" w:cs="Times New Roman"/>
          <w:sz w:val="20"/>
          <w:szCs w:val="20"/>
          <w:lang w:val="sv-SE"/>
        </w:rPr>
        <w:t xml:space="preserve"> </w:t>
      </w:r>
      <w:r w:rsidRPr="00780C7F">
        <w:rPr>
          <w:rFonts w:ascii="Times New Roman" w:hAnsi="Times New Roman" w:cs="Times New Roman"/>
          <w:sz w:val="20"/>
          <w:szCs w:val="20"/>
          <w:lang w:val="sv-SE"/>
        </w:rPr>
        <w:t>The Red River Delta cultivated 456.2 thousand hectares, equal to 99.1% of the same period last year; the Northern Midlands and Mountains region reached 407.3 thousand hectares, equal to 99.3%; the North Central region reached 133.1 hectares, equal to 98.6%.</w:t>
      </w:r>
    </w:p>
  </w:footnote>
  <w:footnote w:id="11">
    <w:p w14:paraId="37160031" w14:textId="77777777" w:rsidR="00DA5DC0" w:rsidRPr="009A7EEF" w:rsidRDefault="00DA5DC0" w:rsidP="00DA5DC0">
      <w:pPr>
        <w:spacing w:after="40" w:line="240" w:lineRule="auto"/>
        <w:ind w:left="198" w:hanging="198"/>
        <w:jc w:val="both"/>
        <w:rPr>
          <w:rFonts w:ascii="Times New Roman" w:hAnsi="Times New Roman" w:cs="Times New Roman"/>
          <w:sz w:val="20"/>
          <w:szCs w:val="20"/>
          <w:lang w:val="en-US"/>
        </w:rPr>
      </w:pPr>
      <w:r w:rsidRPr="009A7EEF">
        <w:rPr>
          <w:rStyle w:val="FootnoteReference"/>
          <w:rFonts w:ascii="Times New Roman" w:hAnsi="Times New Roman"/>
          <w:sz w:val="20"/>
          <w:szCs w:val="20"/>
        </w:rPr>
        <w:footnoteRef/>
      </w:r>
      <w:r w:rsidRPr="009A7EEF">
        <w:rPr>
          <w:rFonts w:ascii="Times New Roman" w:hAnsi="Times New Roman" w:cs="Times New Roman"/>
          <w:sz w:val="20"/>
          <w:szCs w:val="20"/>
        </w:rPr>
        <w:t xml:space="preserve"> </w:t>
      </w:r>
      <w:r w:rsidRPr="00780C7F">
        <w:rPr>
          <w:rFonts w:ascii="Times New Roman" w:hAnsi="Times New Roman" w:cs="Times New Roman"/>
          <w:color w:val="000000"/>
          <w:sz w:val="20"/>
          <w:szCs w:val="20"/>
          <w:lang w:val="af-ZA"/>
        </w:rPr>
        <w:t>According to the forecast of the National Center for Hydro-Meteorological Forecasting, in the coming time, the weather is likely to continue to have moderate and heavy rains, negatively affecting agricultural production activities. In order to overcome the impact of storms and rains, effectively implement the 2024 crop production plan, and at the same time focus on implementing the 2024-2025 winter-spring vegetable production plan, the Department of Agriculture has directed localities to closely monitor weather developments and proactively implement measures to prepare for natural disasters in the next time.</w:t>
      </w:r>
    </w:p>
  </w:footnote>
  <w:footnote w:id="12">
    <w:p w14:paraId="62121850" w14:textId="77777777" w:rsidR="00DA5DC0" w:rsidRPr="009A7EEF" w:rsidRDefault="00DA5DC0" w:rsidP="00DA5DC0">
      <w:pPr>
        <w:pStyle w:val="FootnoteText"/>
        <w:spacing w:after="40"/>
        <w:ind w:left="198" w:hanging="198"/>
        <w:jc w:val="both"/>
        <w:rPr>
          <w:rFonts w:ascii="Times New Roman" w:hAnsi="Times New Roman" w:cs="Times New Roman"/>
          <w:lang w:val="en-US"/>
        </w:rPr>
      </w:pPr>
      <w:r w:rsidRPr="009A7EEF">
        <w:rPr>
          <w:rStyle w:val="FootnoteReference"/>
          <w:rFonts w:ascii="Times New Roman" w:hAnsi="Times New Roman"/>
        </w:rPr>
        <w:footnoteRef/>
      </w:r>
      <w:r w:rsidRPr="009A7EEF">
        <w:rPr>
          <w:rFonts w:ascii="Times New Roman" w:hAnsi="Times New Roman" w:cs="Times New Roman"/>
        </w:rPr>
        <w:t xml:space="preserve"> </w:t>
      </w:r>
      <w:r w:rsidRPr="00780C7F">
        <w:rPr>
          <w:rFonts w:ascii="Times New Roman" w:hAnsi="Times New Roman" w:cs="Times New Roman"/>
        </w:rPr>
        <w:t>According to Decree No. 94/2022/ND-CP dated November 7, 2022 of the Government stipulating the content of statistical indicators under the National Statistical Indicator System: "Area of ​​annual crops lost: Is the area of ​​crops after the end of the planting period, moving to the growth and development period affected by natural disasters, epidemics... leading to the yield being below 30% compared to the production output under normal conditions".</w:t>
      </w:r>
    </w:p>
  </w:footnote>
  <w:footnote w:id="13">
    <w:p w14:paraId="6B3B9DF6" w14:textId="77777777" w:rsidR="00DA5DC0" w:rsidRPr="00FC383C" w:rsidRDefault="00DA5DC0" w:rsidP="00DA5DC0">
      <w:pPr>
        <w:pStyle w:val="FootnoteText"/>
        <w:spacing w:after="60"/>
        <w:ind w:left="142" w:hanging="142"/>
        <w:jc w:val="both"/>
        <w:rPr>
          <w:lang w:val="en-US"/>
        </w:rPr>
      </w:pPr>
      <w:r w:rsidRPr="00FC383C">
        <w:rPr>
          <w:rStyle w:val="FootnoteReference"/>
        </w:rPr>
        <w:footnoteRef/>
      </w:r>
      <w:r w:rsidRPr="00FC383C">
        <w:t xml:space="preserve"> </w:t>
      </w:r>
      <w:r w:rsidRPr="00E45A88">
        <w:t xml:space="preserve">Raising buffaloes and cows for meat has decreased mainly due to difficult farming conditions, high farming costs, and low profits, leading to a decrease in the number of animals. However, the dairy herd </w:t>
      </w:r>
      <w:r>
        <w:rPr>
          <w:lang w:val="en-US"/>
        </w:rPr>
        <w:t>wa</w:t>
      </w:r>
      <w:r w:rsidRPr="00E45A88">
        <w:t>s still growing steadily.</w:t>
      </w:r>
    </w:p>
  </w:footnote>
  <w:footnote w:id="14">
    <w:p w14:paraId="6927CB98" w14:textId="77777777" w:rsidR="00DA5DC0" w:rsidRPr="009A7EEF" w:rsidRDefault="00DA5DC0" w:rsidP="00DA5DC0">
      <w:pPr>
        <w:pStyle w:val="FootnoteText"/>
        <w:spacing w:after="40"/>
        <w:ind w:left="142" w:hanging="142"/>
        <w:jc w:val="both"/>
        <w:rPr>
          <w:rFonts w:ascii="Times New Roman" w:hAnsi="Times New Roman" w:cs="Times New Roman"/>
          <w:lang w:val="af-ZA"/>
        </w:rPr>
      </w:pPr>
      <w:r w:rsidRPr="009A7EEF">
        <w:rPr>
          <w:rStyle w:val="FootnoteReference"/>
          <w:rFonts w:ascii="Times New Roman" w:hAnsi="Times New Roman"/>
        </w:rPr>
        <w:footnoteRef/>
      </w:r>
      <w:r w:rsidRPr="009A7EEF">
        <w:rPr>
          <w:rFonts w:ascii="Times New Roman" w:hAnsi="Times New Roman" w:cs="Times New Roman"/>
          <w:lang w:val="af-ZA"/>
        </w:rPr>
        <w:t xml:space="preserve"> </w:t>
      </w:r>
      <w:r>
        <w:rPr>
          <w:rFonts w:ascii="Times New Roman" w:hAnsi="Times New Roman" w:cs="Times New Roman"/>
          <w:lang w:val="af-ZA"/>
        </w:rPr>
        <w:t>The price of living</w:t>
      </w:r>
      <w:r w:rsidRPr="00306D21">
        <w:rPr>
          <w:rFonts w:ascii="Times New Roman" w:hAnsi="Times New Roman" w:cs="Times New Roman"/>
          <w:lang w:val="af-ZA"/>
        </w:rPr>
        <w:t xml:space="preserve"> pigs on September 29, 2024 fluctuates between 64,000 - 70,000 VND/kg</w:t>
      </w:r>
      <w:r w:rsidRPr="009A7EEF">
        <w:rPr>
          <w:rFonts w:ascii="Times New Roman" w:hAnsi="Times New Roman" w:cs="Times New Roman"/>
          <w:color w:val="0D0D0D"/>
          <w:lang w:val="pt-BR"/>
        </w:rPr>
        <w:t>.</w:t>
      </w:r>
    </w:p>
  </w:footnote>
  <w:footnote w:id="15">
    <w:p w14:paraId="5EF26D8B" w14:textId="77777777" w:rsidR="00484CAB" w:rsidRDefault="00484CAB" w:rsidP="00484CAB">
      <w:pPr>
        <w:pStyle w:val="FootnoteText"/>
        <w:spacing w:after="60"/>
        <w:ind w:left="198" w:hanging="198"/>
        <w:jc w:val="both"/>
        <w:rPr>
          <w:rFonts w:ascii="Times New Roman" w:hAnsi="Times New Roman" w:cs="Times New Roman"/>
          <w:lang w:val="de-DE"/>
        </w:rPr>
      </w:pPr>
      <w:r>
        <w:rPr>
          <w:rStyle w:val="FootnoteReference"/>
        </w:rPr>
        <w:footnoteRef/>
      </w:r>
      <w:r>
        <w:rPr>
          <w:rFonts w:ascii="Times New Roman" w:hAnsi="Times New Roman" w:cs="Times New Roman"/>
          <w:lang w:val="de-DE"/>
        </w:rPr>
        <w:t xml:space="preserve">The growth rate of </w:t>
      </w:r>
      <w:r>
        <w:rPr>
          <w:rFonts w:ascii="Times New Roman" w:hAnsi="Times New Roman" w:cs="Times New Roman"/>
          <w:spacing w:val="-4"/>
          <w:lang w:val="de-DE"/>
        </w:rPr>
        <w:t>industrial added value in the third quarter of 2011-2023 compared to the same period last year is: 9.28%; 8.17%; 4.85%; 6.59%; 9.29%; 7.9%; 9.93%; 9.45%; 9.38%; 2.38%; -4.2%; 11.06%; 4.57%.</w:t>
      </w:r>
    </w:p>
  </w:footnote>
  <w:footnote w:id="16">
    <w:p w14:paraId="0A6306E3" w14:textId="77777777" w:rsidR="008606C2" w:rsidRPr="00C57E55" w:rsidRDefault="008606C2" w:rsidP="008606C2">
      <w:pPr>
        <w:spacing w:after="0" w:line="240" w:lineRule="auto"/>
        <w:jc w:val="both"/>
        <w:rPr>
          <w:rFonts w:ascii="Times New Roman" w:hAnsi="Times New Roman" w:cs="Times New Roman"/>
          <w:sz w:val="20"/>
          <w:szCs w:val="20"/>
        </w:rPr>
      </w:pPr>
      <w:r w:rsidRPr="00837379">
        <w:rPr>
          <w:rStyle w:val="FootnoteReference"/>
          <w:rFonts w:ascii="Times New Roman" w:hAnsi="Times New Roman"/>
        </w:rPr>
        <w:footnoteRef/>
      </w:r>
      <w:r w:rsidRPr="00837379">
        <w:rPr>
          <w:rFonts w:ascii="Times New Roman" w:hAnsi="Times New Roman" w:cs="Times New Roman"/>
          <w:lang w:val="vi-VN"/>
        </w:rPr>
        <w:t xml:space="preserve"> </w:t>
      </w:r>
      <w:r w:rsidRPr="00444341">
        <w:rPr>
          <w:rFonts w:ascii="Times New Roman" w:hAnsi="Times New Roman" w:cs="Times New Roman"/>
          <w:sz w:val="20"/>
          <w:szCs w:val="20"/>
        </w:rPr>
        <w:t xml:space="preserve">Source: National Business Registration Information System, Department of Business Registration Management, Ministry of Planning and Investment, received October </w:t>
      </w:r>
      <w:r>
        <w:rPr>
          <w:rFonts w:ascii="Times New Roman" w:hAnsi="Times New Roman" w:cs="Times New Roman"/>
          <w:sz w:val="20"/>
          <w:szCs w:val="20"/>
        </w:rPr>
        <w:t>0</w:t>
      </w:r>
      <w:r w:rsidRPr="00444341">
        <w:rPr>
          <w:rFonts w:ascii="Times New Roman" w:hAnsi="Times New Roman" w:cs="Times New Roman"/>
          <w:sz w:val="20"/>
          <w:szCs w:val="20"/>
        </w:rPr>
        <w:t>3</w:t>
      </w:r>
      <w:r w:rsidRPr="00444341">
        <w:rPr>
          <w:rFonts w:ascii="Times New Roman" w:hAnsi="Times New Roman" w:cs="Times New Roman"/>
          <w:sz w:val="20"/>
          <w:szCs w:val="20"/>
          <w:vertAlign w:val="superscript"/>
        </w:rPr>
        <w:t>rd</w:t>
      </w:r>
      <w:r w:rsidRPr="00444341">
        <w:rPr>
          <w:rFonts w:ascii="Times New Roman" w:hAnsi="Times New Roman" w:cs="Times New Roman"/>
          <w:sz w:val="20"/>
          <w:szCs w:val="20"/>
        </w:rPr>
        <w:t xml:space="preserve">, 2024. Implementing Decree No. 62/2024/ND-CP dated June </w:t>
      </w:r>
      <w:r>
        <w:rPr>
          <w:rFonts w:ascii="Times New Roman" w:hAnsi="Times New Roman" w:cs="Times New Roman"/>
          <w:sz w:val="20"/>
          <w:szCs w:val="20"/>
        </w:rPr>
        <w:t>0</w:t>
      </w:r>
      <w:r w:rsidRPr="00444341">
        <w:rPr>
          <w:rFonts w:ascii="Times New Roman" w:hAnsi="Times New Roman" w:cs="Times New Roman"/>
          <w:sz w:val="20"/>
          <w:szCs w:val="20"/>
        </w:rPr>
        <w:t>7</w:t>
      </w:r>
      <w:r>
        <w:rPr>
          <w:rFonts w:ascii="Times New Roman" w:hAnsi="Times New Roman" w:cs="Times New Roman"/>
          <w:sz w:val="20"/>
          <w:szCs w:val="20"/>
          <w:vertAlign w:val="superscript"/>
        </w:rPr>
        <w:t>th</w:t>
      </w:r>
      <w:r w:rsidRPr="00444341">
        <w:rPr>
          <w:rFonts w:ascii="Times New Roman" w:hAnsi="Times New Roman" w:cs="Times New Roman"/>
          <w:sz w:val="20"/>
          <w:szCs w:val="20"/>
        </w:rPr>
        <w:t xml:space="preserve">, 2024 of the Government (effective from August </w:t>
      </w:r>
      <w:r>
        <w:rPr>
          <w:rFonts w:ascii="Times New Roman" w:hAnsi="Times New Roman" w:cs="Times New Roman"/>
          <w:sz w:val="20"/>
          <w:szCs w:val="20"/>
        </w:rPr>
        <w:t>0</w:t>
      </w:r>
      <w:r w:rsidRPr="00444341">
        <w:rPr>
          <w:rFonts w:ascii="Times New Roman" w:hAnsi="Times New Roman" w:cs="Times New Roman"/>
          <w:sz w:val="20"/>
          <w:szCs w:val="20"/>
        </w:rPr>
        <w:t>1</w:t>
      </w:r>
      <w:r>
        <w:rPr>
          <w:rFonts w:ascii="Times New Roman" w:hAnsi="Times New Roman" w:cs="Times New Roman"/>
          <w:sz w:val="20"/>
          <w:szCs w:val="20"/>
          <w:vertAlign w:val="superscript"/>
        </w:rPr>
        <w:t>st</w:t>
      </w:r>
      <w:r w:rsidRPr="00444341">
        <w:rPr>
          <w:rFonts w:ascii="Times New Roman" w:hAnsi="Times New Roman" w:cs="Times New Roman"/>
          <w:sz w:val="20"/>
          <w:szCs w:val="20"/>
        </w:rPr>
        <w:t xml:space="preserve">, 2024), the data period on business registration in the month is calculated from the 1st to the last day of the reporting month. Particularly for time indicators (enterprises returning to operations, enterprises </w:t>
      </w:r>
      <w:proofErr w:type="gramStart"/>
      <w:r w:rsidRPr="00444341">
        <w:rPr>
          <w:rFonts w:ascii="Times New Roman" w:hAnsi="Times New Roman" w:cs="Times New Roman"/>
          <w:sz w:val="20"/>
          <w:szCs w:val="20"/>
        </w:rPr>
        <w:t>temporarily suspending</w:t>
      </w:r>
      <w:proofErr w:type="gramEnd"/>
      <w:r w:rsidRPr="00444341">
        <w:rPr>
          <w:rFonts w:ascii="Times New Roman" w:hAnsi="Times New Roman" w:cs="Times New Roman"/>
          <w:sz w:val="20"/>
          <w:szCs w:val="20"/>
        </w:rPr>
        <w:t xml:space="preserve"> business for a limited period of time, enterprises temporarily suspending operations awaiting dissolution procedures), the data period is the months before the time. August </w:t>
      </w:r>
      <w:r>
        <w:rPr>
          <w:rFonts w:ascii="Times New Roman" w:hAnsi="Times New Roman" w:cs="Times New Roman"/>
          <w:sz w:val="20"/>
          <w:szCs w:val="20"/>
        </w:rPr>
        <w:t>0</w:t>
      </w:r>
      <w:r w:rsidRPr="00444341">
        <w:rPr>
          <w:rFonts w:ascii="Times New Roman" w:hAnsi="Times New Roman" w:cs="Times New Roman"/>
          <w:sz w:val="20"/>
          <w:szCs w:val="20"/>
        </w:rPr>
        <w:t>1</w:t>
      </w:r>
      <w:r>
        <w:rPr>
          <w:rFonts w:ascii="Times New Roman" w:hAnsi="Times New Roman" w:cs="Times New Roman"/>
          <w:sz w:val="20"/>
          <w:szCs w:val="20"/>
          <w:vertAlign w:val="superscript"/>
        </w:rPr>
        <w:t>st</w:t>
      </w:r>
      <w:r w:rsidRPr="00444341">
        <w:rPr>
          <w:rFonts w:ascii="Times New Roman" w:hAnsi="Times New Roman" w:cs="Times New Roman"/>
          <w:sz w:val="20"/>
          <w:szCs w:val="20"/>
        </w:rPr>
        <w:t>, 2024 is calculated from the 21</w:t>
      </w:r>
      <w:r w:rsidRPr="00444341">
        <w:rPr>
          <w:rFonts w:ascii="Times New Roman" w:hAnsi="Times New Roman" w:cs="Times New Roman"/>
          <w:sz w:val="20"/>
          <w:szCs w:val="20"/>
          <w:vertAlign w:val="superscript"/>
        </w:rPr>
        <w:t>st</w:t>
      </w:r>
      <w:r w:rsidRPr="00444341">
        <w:rPr>
          <w:rFonts w:ascii="Times New Roman" w:hAnsi="Times New Roman" w:cs="Times New Roman"/>
          <w:sz w:val="20"/>
          <w:szCs w:val="20"/>
        </w:rPr>
        <w:t xml:space="preserve"> of the month preceding the reporting month to the 20</w:t>
      </w:r>
      <w:r w:rsidRPr="00444341">
        <w:rPr>
          <w:rFonts w:ascii="Times New Roman" w:hAnsi="Times New Roman" w:cs="Times New Roman"/>
          <w:sz w:val="20"/>
          <w:szCs w:val="20"/>
          <w:vertAlign w:val="superscript"/>
        </w:rPr>
        <w:t>th</w:t>
      </w:r>
      <w:r w:rsidRPr="00444341">
        <w:rPr>
          <w:rFonts w:ascii="Times New Roman" w:hAnsi="Times New Roman" w:cs="Times New Roman"/>
          <w:sz w:val="20"/>
          <w:szCs w:val="20"/>
        </w:rPr>
        <w:t xml:space="preserve"> of the reporting month.</w:t>
      </w:r>
    </w:p>
  </w:footnote>
  <w:footnote w:id="17">
    <w:p w14:paraId="140BFBBF" w14:textId="77777777" w:rsidR="008606C2" w:rsidRPr="00F9148F" w:rsidRDefault="008606C2" w:rsidP="008606C2">
      <w:pPr>
        <w:pStyle w:val="FootnoteText"/>
        <w:ind w:left="198" w:hanging="198"/>
        <w:jc w:val="both"/>
        <w:rPr>
          <w:rFonts w:ascii="Times New Roman" w:hAnsi="Times New Roman" w:cs="Times New Roman"/>
          <w:lang w:val="vi-VN"/>
        </w:rPr>
      </w:pPr>
      <w:r w:rsidRPr="00F9148F">
        <w:rPr>
          <w:rStyle w:val="FootnoteReference"/>
          <w:rFonts w:ascii="Times New Roman" w:hAnsi="Times New Roman"/>
        </w:rPr>
        <w:footnoteRef/>
      </w:r>
      <w:r w:rsidRPr="00F9148F">
        <w:rPr>
          <w:rFonts w:ascii="Times New Roman" w:hAnsi="Times New Roman" w:cs="Times New Roman"/>
          <w:lang w:val="vi-VN"/>
        </w:rPr>
        <w:t xml:space="preserve"> </w:t>
      </w:r>
      <w:r w:rsidRPr="008122E8">
        <w:rPr>
          <w:rFonts w:ascii="Times New Roman" w:hAnsi="Times New Roman" w:cs="Times New Roman"/>
          <w:lang w:val="vi-VN"/>
        </w:rPr>
        <w:t xml:space="preserve">Corresponding indexes of the </w:t>
      </w:r>
      <w:r>
        <w:rPr>
          <w:rFonts w:ascii="Times New Roman" w:hAnsi="Times New Roman" w:cs="Times New Roman"/>
        </w:rPr>
        <w:t>second</w:t>
      </w:r>
      <w:r w:rsidRPr="008122E8">
        <w:rPr>
          <w:rFonts w:ascii="Times New Roman" w:hAnsi="Times New Roman" w:cs="Times New Roman"/>
          <w:lang w:val="vi-VN"/>
        </w:rPr>
        <w:t xml:space="preserve"> quarter of 202</w:t>
      </w:r>
      <w:r>
        <w:rPr>
          <w:rFonts w:ascii="Times New Roman" w:hAnsi="Times New Roman" w:cs="Times New Roman"/>
          <w:lang w:val="en-US"/>
        </w:rPr>
        <w:t>4</w:t>
      </w:r>
      <w:r w:rsidRPr="008122E8">
        <w:rPr>
          <w:rFonts w:ascii="Times New Roman" w:hAnsi="Times New Roman" w:cs="Times New Roman"/>
          <w:lang w:val="vi-VN"/>
        </w:rPr>
        <w:t xml:space="preserve">: </w:t>
      </w:r>
      <w:r>
        <w:rPr>
          <w:rFonts w:ascii="Times New Roman" w:hAnsi="Times New Roman" w:cs="Times New Roman"/>
          <w:lang w:val="en-US"/>
        </w:rPr>
        <w:t>37.4</w:t>
      </w:r>
      <w:r w:rsidRPr="00F9148F">
        <w:rPr>
          <w:rFonts w:ascii="Times New Roman" w:hAnsi="Times New Roman" w:cs="Times New Roman"/>
          <w:lang w:val="vi-VN"/>
        </w:rPr>
        <w:t xml:space="preserve">% </w:t>
      </w:r>
      <w:r w:rsidRPr="008122E8">
        <w:rPr>
          <w:rFonts w:ascii="Times New Roman" w:hAnsi="Times New Roman" w:cs="Times New Roman"/>
          <w:lang w:val="vi-VN"/>
        </w:rPr>
        <w:t>of enterprises rated that their</w:t>
      </w:r>
      <w:r>
        <w:rPr>
          <w:rFonts w:ascii="Times New Roman" w:hAnsi="Times New Roman" w:cs="Times New Roman"/>
        </w:rPr>
        <w:t xml:space="preserve"> business</w:t>
      </w:r>
      <w:r w:rsidRPr="008122E8">
        <w:rPr>
          <w:rFonts w:ascii="Times New Roman" w:hAnsi="Times New Roman" w:cs="Times New Roman"/>
          <w:lang w:val="vi-VN"/>
        </w:rPr>
        <w:t xml:space="preserve"> production </w:t>
      </w:r>
      <w:r>
        <w:rPr>
          <w:rFonts w:ascii="Times New Roman" w:hAnsi="Times New Roman" w:cs="Times New Roman"/>
        </w:rPr>
        <w:t>situation</w:t>
      </w:r>
      <w:r w:rsidRPr="008122E8">
        <w:rPr>
          <w:rFonts w:ascii="Times New Roman" w:hAnsi="Times New Roman" w:cs="Times New Roman"/>
          <w:lang w:val="vi-VN"/>
        </w:rPr>
        <w:t xml:space="preserve"> </w:t>
      </w:r>
      <w:r>
        <w:rPr>
          <w:rFonts w:ascii="Times New Roman" w:hAnsi="Times New Roman" w:cs="Times New Roman"/>
        </w:rPr>
        <w:t>was better than</w:t>
      </w:r>
      <w:r w:rsidRPr="008122E8">
        <w:rPr>
          <w:rFonts w:ascii="Times New Roman" w:hAnsi="Times New Roman" w:cs="Times New Roman"/>
          <w:lang w:val="vi-VN"/>
        </w:rPr>
        <w:t xml:space="preserve"> </w:t>
      </w:r>
      <w:r>
        <w:rPr>
          <w:rFonts w:ascii="Times New Roman" w:hAnsi="Times New Roman" w:cs="Times New Roman"/>
        </w:rPr>
        <w:t>that in</w:t>
      </w:r>
      <w:r w:rsidRPr="008122E8">
        <w:rPr>
          <w:rFonts w:ascii="Times New Roman" w:hAnsi="Times New Roman" w:cs="Times New Roman"/>
          <w:lang w:val="vi-VN"/>
        </w:rPr>
        <w:t xml:space="preserve"> the previous quarter;</w:t>
      </w:r>
      <w:r>
        <w:rPr>
          <w:rFonts w:ascii="Times New Roman" w:hAnsi="Times New Roman" w:cs="Times New Roman"/>
          <w:lang w:val="en-US"/>
        </w:rPr>
        <w:t xml:space="preserve"> 41.6</w:t>
      </w:r>
      <w:r w:rsidRPr="00F9148F">
        <w:rPr>
          <w:rFonts w:ascii="Times New Roman" w:hAnsi="Times New Roman" w:cs="Times New Roman"/>
          <w:lang w:val="vi-VN"/>
        </w:rPr>
        <w:t xml:space="preserve">% </w:t>
      </w:r>
      <w:r w:rsidRPr="008417C7">
        <w:rPr>
          <w:rFonts w:ascii="Times New Roman" w:hAnsi="Times New Roman" w:cs="Times New Roman"/>
          <w:spacing w:val="-4"/>
          <w:lang w:val="en-US"/>
        </w:rPr>
        <w:t>of businesses thought it was stable and</w:t>
      </w:r>
      <w:r w:rsidRPr="00F9148F">
        <w:rPr>
          <w:rFonts w:ascii="Times New Roman" w:hAnsi="Times New Roman" w:cs="Times New Roman"/>
          <w:lang w:val="vi-VN"/>
        </w:rPr>
        <w:t xml:space="preserve"> </w:t>
      </w:r>
      <w:r>
        <w:rPr>
          <w:rFonts w:ascii="Times New Roman" w:hAnsi="Times New Roman" w:cs="Times New Roman"/>
          <w:lang w:val="en-US"/>
        </w:rPr>
        <w:t>21.0</w:t>
      </w:r>
      <w:r w:rsidRPr="00F9148F">
        <w:rPr>
          <w:rFonts w:ascii="Times New Roman" w:hAnsi="Times New Roman" w:cs="Times New Roman"/>
          <w:lang w:val="vi-VN"/>
        </w:rPr>
        <w:t xml:space="preserve">% </w:t>
      </w:r>
      <w:r>
        <w:rPr>
          <w:rFonts w:ascii="Times New Roman" w:hAnsi="Times New Roman" w:cs="Times New Roman"/>
          <w:spacing w:val="-4"/>
          <w:lang w:val="en-US"/>
        </w:rPr>
        <w:t>faced difficulties</w:t>
      </w:r>
      <w:r w:rsidRPr="008417C7">
        <w:rPr>
          <w:rFonts w:ascii="Times New Roman" w:hAnsi="Times New Roman" w:cs="Times New Roman"/>
          <w:spacing w:val="-4"/>
          <w:lang w:val="en-US"/>
        </w:rPr>
        <w:t>.</w:t>
      </w:r>
    </w:p>
  </w:footnote>
  <w:footnote w:id="18">
    <w:p w14:paraId="434CFE6E" w14:textId="77777777" w:rsidR="008606C2" w:rsidRPr="008C6134" w:rsidRDefault="008606C2" w:rsidP="008606C2">
      <w:pPr>
        <w:pStyle w:val="FootnoteText"/>
        <w:rPr>
          <w:lang w:val="en-US"/>
        </w:rPr>
      </w:pPr>
      <w:r>
        <w:rPr>
          <w:rStyle w:val="FootnoteReference"/>
          <w:rFonts w:eastAsiaTheme="majorEastAsia"/>
        </w:rPr>
        <w:footnoteRef/>
      </w:r>
      <w:r>
        <w:t xml:space="preserve"> </w:t>
      </w:r>
      <w:r w:rsidRPr="00E43043">
        <w:rPr>
          <w:rFonts w:ascii="Times New Roman" w:hAnsi="Times New Roman" w:cs="Times New Roman"/>
        </w:rPr>
        <w:t>The Ministry of Information and Communications has postponed the discontinuation of 2G mobile technology nationwide to October 15, 2024</w:t>
      </w:r>
      <w:r>
        <w:rPr>
          <w:rFonts w:ascii="Times New Roman" w:hAnsi="Times New Roman" w:cs="Times New Roman"/>
        </w:rPr>
        <w:t xml:space="preserve"> (The plan was</w:t>
      </w:r>
      <w:r w:rsidRPr="00E43043">
        <w:rPr>
          <w:rFonts w:ascii="Times New Roman" w:hAnsi="Times New Roman" w:cs="Times New Roman"/>
        </w:rPr>
        <w:t xml:space="preserve"> the end of September 2024</w:t>
      </w:r>
      <w:r>
        <w:rPr>
          <w:rFonts w:ascii="Times New Roman" w:hAnsi="Times New Roman" w:cs="Times New Roman"/>
        </w:rPr>
        <w:t>)</w:t>
      </w:r>
      <w:r w:rsidRPr="004F0611">
        <w:rPr>
          <w:rFonts w:ascii="Times New Roman" w:hAnsi="Times New Roman" w:cs="Times New Roman"/>
        </w:rPr>
        <w:t>.</w:t>
      </w:r>
    </w:p>
  </w:footnote>
  <w:footnote w:id="19">
    <w:p w14:paraId="7BC9AA08" w14:textId="77777777" w:rsidR="008606C2" w:rsidRDefault="008606C2" w:rsidP="008606C2">
      <w:pPr>
        <w:pStyle w:val="FootnoteText"/>
        <w:jc w:val="both"/>
        <w:rPr>
          <w:rFonts w:ascii="Arial" w:hAnsi="Arial" w:cs="Arial"/>
          <w:sz w:val="18"/>
          <w:szCs w:val="18"/>
          <w:lang w:val="vi-VN"/>
        </w:rPr>
      </w:pPr>
      <w:r>
        <w:rPr>
          <w:rStyle w:val="FootnoteReference"/>
          <w:sz w:val="18"/>
          <w:szCs w:val="18"/>
        </w:rPr>
        <w:footnoteRef/>
      </w:r>
      <w:r>
        <w:rPr>
          <w:rFonts w:ascii="Arial" w:hAnsi="Arial" w:cs="Arial"/>
          <w:sz w:val="18"/>
          <w:szCs w:val="18"/>
          <w:lang w:val="vi-VN"/>
        </w:rPr>
        <w:t xml:space="preserve"> </w:t>
      </w:r>
      <w:r>
        <w:rPr>
          <w:rFonts w:ascii="Arial" w:hAnsi="Arial" w:cs="Arial"/>
          <w:sz w:val="18"/>
          <w:szCs w:val="18"/>
          <w:lang w:val="vi-VN"/>
        </w:rPr>
        <w:t xml:space="preserve">The reporting period </w:t>
      </w:r>
      <w:r>
        <w:rPr>
          <w:rFonts w:ascii="Arial" w:hAnsi="Arial" w:cs="Arial"/>
          <w:sz w:val="18"/>
          <w:szCs w:val="18"/>
          <w:lang w:val="en-US"/>
        </w:rPr>
        <w:t>was</w:t>
      </w:r>
      <w:r>
        <w:rPr>
          <w:rFonts w:ascii="Arial" w:hAnsi="Arial" w:cs="Arial"/>
          <w:sz w:val="18"/>
          <w:szCs w:val="18"/>
          <w:lang w:val="vi-VN"/>
        </w:rPr>
        <w:t xml:space="preserve"> from </w:t>
      </w:r>
      <w:r>
        <w:rPr>
          <w:rFonts w:ascii="Arial" w:hAnsi="Arial" w:cs="Arial"/>
          <w:sz w:val="18"/>
          <w:szCs w:val="18"/>
          <w:lang w:val="en-US"/>
        </w:rPr>
        <w:t xml:space="preserve">August </w:t>
      </w:r>
      <w:r>
        <w:rPr>
          <w:rFonts w:ascii="Arial" w:hAnsi="Arial" w:cs="Arial"/>
          <w:sz w:val="18"/>
          <w:szCs w:val="18"/>
          <w:lang w:val="vi-VN"/>
        </w:rPr>
        <w:t>2</w:t>
      </w:r>
      <w:r>
        <w:rPr>
          <w:rFonts w:ascii="Arial" w:hAnsi="Arial" w:cs="Arial"/>
          <w:sz w:val="18"/>
          <w:szCs w:val="18"/>
          <w:lang w:val="en-US"/>
        </w:rPr>
        <w:t>6</w:t>
      </w:r>
      <w:r>
        <w:rPr>
          <w:rFonts w:ascii="Arial" w:hAnsi="Arial" w:cs="Arial"/>
          <w:sz w:val="18"/>
          <w:szCs w:val="18"/>
          <w:lang w:val="vi-VN"/>
        </w:rPr>
        <w:t>, 202</w:t>
      </w:r>
      <w:r>
        <w:rPr>
          <w:rFonts w:ascii="Arial" w:hAnsi="Arial" w:cs="Arial"/>
          <w:sz w:val="18"/>
          <w:szCs w:val="18"/>
          <w:lang w:val="en-US"/>
        </w:rPr>
        <w:t>4</w:t>
      </w:r>
      <w:r>
        <w:rPr>
          <w:rFonts w:ascii="Arial" w:hAnsi="Arial" w:cs="Arial"/>
          <w:sz w:val="18"/>
          <w:szCs w:val="18"/>
          <w:lang w:val="vi-VN"/>
        </w:rPr>
        <w:t xml:space="preserve"> to </w:t>
      </w:r>
      <w:r>
        <w:rPr>
          <w:rFonts w:ascii="Arial" w:hAnsi="Arial" w:cs="Arial"/>
          <w:sz w:val="18"/>
          <w:szCs w:val="18"/>
          <w:lang w:val="en-US"/>
        </w:rPr>
        <w:t>September</w:t>
      </w:r>
      <w:r>
        <w:rPr>
          <w:rFonts w:ascii="Arial" w:hAnsi="Arial" w:cs="Arial"/>
          <w:sz w:val="18"/>
          <w:szCs w:val="18"/>
          <w:lang w:val="vi-VN"/>
        </w:rPr>
        <w:t xml:space="preserve"> 2</w:t>
      </w:r>
      <w:r>
        <w:rPr>
          <w:rFonts w:ascii="Arial" w:hAnsi="Arial" w:cs="Arial"/>
          <w:sz w:val="18"/>
          <w:szCs w:val="18"/>
          <w:lang w:val="en-US"/>
        </w:rPr>
        <w:t>5</w:t>
      </w:r>
      <w:r>
        <w:rPr>
          <w:rFonts w:ascii="Arial" w:hAnsi="Arial" w:cs="Arial"/>
          <w:sz w:val="18"/>
          <w:szCs w:val="18"/>
          <w:lang w:val="vi-VN"/>
        </w:rPr>
        <w:t>, 202</w:t>
      </w:r>
      <w:r>
        <w:rPr>
          <w:rFonts w:ascii="Arial" w:hAnsi="Arial" w:cs="Arial"/>
          <w:sz w:val="18"/>
          <w:szCs w:val="18"/>
          <w:lang w:val="en-US"/>
        </w:rPr>
        <w:t>4</w:t>
      </w:r>
      <w:r>
        <w:rPr>
          <w:rFonts w:ascii="Arial" w:hAnsi="Arial" w:cs="Arial"/>
          <w:sz w:val="18"/>
          <w:szCs w:val="18"/>
          <w:lang w:val="vi-VN"/>
        </w:rPr>
        <w:t>.</w:t>
      </w:r>
    </w:p>
  </w:footnote>
  <w:footnote w:id="20">
    <w:p w14:paraId="028D0094" w14:textId="77777777" w:rsidR="008606C2" w:rsidRPr="00932345" w:rsidRDefault="008606C2" w:rsidP="008606C2">
      <w:pPr>
        <w:pStyle w:val="FootnoteText"/>
        <w:rPr>
          <w:lang w:val="en-US"/>
        </w:rPr>
      </w:pPr>
      <w:r>
        <w:rPr>
          <w:rStyle w:val="FootnoteReference"/>
        </w:rPr>
        <w:footnoteRef/>
      </w:r>
      <w:r>
        <w:t xml:space="preserve"> </w:t>
      </w:r>
      <w:r w:rsidRPr="00932345">
        <w:t>Be a Vietnamese citizen leaving Vietnamese territory through a Vietnamese border gate</w:t>
      </w:r>
      <w:r>
        <w:t>.</w:t>
      </w:r>
    </w:p>
  </w:footnote>
  <w:footnote w:id="21">
    <w:p w14:paraId="21A3F0DA" w14:textId="77777777" w:rsidR="008606C2" w:rsidRPr="00F92F75" w:rsidRDefault="008606C2" w:rsidP="008606C2">
      <w:pPr>
        <w:pStyle w:val="FootnoteText"/>
        <w:rPr>
          <w:rFonts w:ascii="Times New Roman" w:hAnsi="Times New Roman" w:cs="Times New Roman"/>
        </w:rPr>
      </w:pPr>
      <w:r w:rsidRPr="00F92F75">
        <w:rPr>
          <w:rStyle w:val="FootnoteReference"/>
        </w:rPr>
        <w:footnoteRef/>
      </w:r>
      <w:r w:rsidRPr="00F92F75">
        <w:rPr>
          <w:rFonts w:ascii="Times New Roman" w:hAnsi="Times New Roman" w:cs="Times New Roman"/>
        </w:rPr>
        <w:t xml:space="preserve">According to the newspaper fox belong to Department Head private water </w:t>
      </w:r>
      <w:proofErr w:type="gramStart"/>
      <w:r w:rsidRPr="00F92F75">
        <w:rPr>
          <w:rFonts w:ascii="Times New Roman" w:hAnsi="Times New Roman" w:cs="Times New Roman"/>
        </w:rPr>
        <w:t>outside ,</w:t>
      </w:r>
      <w:proofErr w:type="gramEnd"/>
      <w:r w:rsidRPr="00F92F75">
        <w:rPr>
          <w:rFonts w:ascii="Times New Roman" w:hAnsi="Times New Roman" w:cs="Times New Roman"/>
        </w:rPr>
        <w:t xml:space="preserve"> Ministry Plan plan and Head think , receive day September </w:t>
      </w:r>
      <w:r w:rsidRPr="00F92F75">
        <w:rPr>
          <w:rFonts w:ascii="Times New Roman" w:hAnsi="Times New Roman" w:cs="Times New Roman"/>
          <w:lang w:val="en-US"/>
        </w:rPr>
        <w:t xml:space="preserve">30 , </w:t>
      </w:r>
      <w:r w:rsidRPr="00F92F75">
        <w:rPr>
          <w:rFonts w:ascii="Times New Roman" w:hAnsi="Times New Roman" w:cs="Times New Roman"/>
        </w:rPr>
        <w:t>2024.</w:t>
      </w:r>
    </w:p>
  </w:footnote>
  <w:footnote w:id="22">
    <w:p w14:paraId="321B1E19" w14:textId="77777777" w:rsidR="008606C2" w:rsidRPr="00F351F4" w:rsidRDefault="008606C2" w:rsidP="008606C2">
      <w:pPr>
        <w:pStyle w:val="FootnoteText"/>
        <w:ind w:left="142" w:hanging="142"/>
        <w:jc w:val="both"/>
        <w:rPr>
          <w:lang w:val="en-US"/>
        </w:rPr>
      </w:pPr>
      <w:r>
        <w:rPr>
          <w:rStyle w:val="FootnoteReference"/>
        </w:rPr>
        <w:footnoteRef/>
      </w:r>
      <w:r>
        <w:t xml:space="preserve"> </w:t>
      </w:r>
      <w:r w:rsidRPr="009C5B6D">
        <w:rPr>
          <w:rFonts w:ascii="Times New Roman" w:hAnsi="Times New Roman" w:cs="Times New Roman"/>
        </w:rPr>
        <w:t>The value of export</w:t>
      </w:r>
      <w:r w:rsidRPr="00F7354A">
        <w:rPr>
          <w:rFonts w:ascii="Times New Roman" w:hAnsi="Times New Roman" w:cs="Times New Roman"/>
        </w:rPr>
        <w:t xml:space="preserve"> turnover is calculated at F.O.B price and import turnover is calculated at C.I.F price (including transportation and insurance costs of imported goods).</w:t>
      </w:r>
    </w:p>
  </w:footnote>
  <w:footnote w:id="23">
    <w:p w14:paraId="555E66A5" w14:textId="77777777" w:rsidR="008606C2" w:rsidRPr="00ED71AE" w:rsidRDefault="008606C2" w:rsidP="008606C2">
      <w:pPr>
        <w:pStyle w:val="FootnoteText"/>
        <w:ind w:left="142" w:hanging="142"/>
        <w:jc w:val="both"/>
        <w:rPr>
          <w:rFonts w:ascii="Times New Roman" w:hAnsi="Times New Roman" w:cs="Times New Roman"/>
        </w:rPr>
      </w:pPr>
      <w:r>
        <w:rPr>
          <w:rStyle w:val="FootnoteReference"/>
        </w:rPr>
        <w:footnoteRef/>
      </w:r>
      <w:r>
        <w:t xml:space="preserve"> </w:t>
      </w:r>
      <w:r w:rsidRPr="00ED71AE">
        <w:rPr>
          <w:rFonts w:ascii="Times New Roman" w:hAnsi="Times New Roman" w:cs="Times New Roman"/>
        </w:rPr>
        <w:t xml:space="preserve">Total import and export turnover of goods in </w:t>
      </w:r>
      <w:r>
        <w:rPr>
          <w:rFonts w:ascii="Times New Roman" w:hAnsi="Times New Roman" w:cs="Times New Roman"/>
        </w:rPr>
        <w:t>nine</w:t>
      </w:r>
      <w:r w:rsidRPr="00ED71AE">
        <w:rPr>
          <w:rFonts w:ascii="Times New Roman" w:hAnsi="Times New Roman" w:cs="Times New Roman"/>
        </w:rPr>
        <w:t xml:space="preserve"> months of 2023 reached </w:t>
      </w:r>
      <w:r>
        <w:rPr>
          <w:rFonts w:ascii="Times New Roman" w:hAnsi="Times New Roman" w:cs="Times New Roman"/>
        </w:rPr>
        <w:t>497.4</w:t>
      </w:r>
      <w:r w:rsidRPr="00ED71AE">
        <w:rPr>
          <w:rFonts w:ascii="Times New Roman" w:hAnsi="Times New Roman" w:cs="Times New Roman"/>
        </w:rPr>
        <w:t xml:space="preserve"> billion USD, down 1</w:t>
      </w:r>
      <w:r>
        <w:rPr>
          <w:rFonts w:ascii="Times New Roman" w:hAnsi="Times New Roman" w:cs="Times New Roman"/>
        </w:rPr>
        <w:t>1</w:t>
      </w:r>
      <w:r w:rsidRPr="00ED71AE">
        <w:rPr>
          <w:rFonts w:ascii="Times New Roman" w:hAnsi="Times New Roman" w:cs="Times New Roman"/>
        </w:rPr>
        <w:t xml:space="preserve">% over the same period last year, of which exports reached </w:t>
      </w:r>
      <w:r>
        <w:rPr>
          <w:rFonts w:ascii="Times New Roman" w:hAnsi="Times New Roman" w:cs="Times New Roman"/>
        </w:rPr>
        <w:t>259.7</w:t>
      </w:r>
      <w:r w:rsidRPr="00ED71AE">
        <w:rPr>
          <w:rFonts w:ascii="Times New Roman" w:hAnsi="Times New Roman" w:cs="Times New Roman"/>
        </w:rPr>
        <w:t xml:space="preserve"> billion USD, down </w:t>
      </w:r>
      <w:r>
        <w:rPr>
          <w:rFonts w:ascii="Times New Roman" w:hAnsi="Times New Roman" w:cs="Times New Roman"/>
        </w:rPr>
        <w:t>8.2</w:t>
      </w:r>
      <w:r w:rsidRPr="00ED71AE">
        <w:rPr>
          <w:rFonts w:ascii="Times New Roman" w:hAnsi="Times New Roman" w:cs="Times New Roman"/>
        </w:rPr>
        <w:t xml:space="preserve">%; imports reached </w:t>
      </w:r>
      <w:r>
        <w:rPr>
          <w:rFonts w:ascii="Times New Roman" w:hAnsi="Times New Roman" w:cs="Times New Roman"/>
        </w:rPr>
        <w:t>237.7</w:t>
      </w:r>
      <w:r w:rsidRPr="00ED71AE">
        <w:rPr>
          <w:rFonts w:ascii="Times New Roman" w:hAnsi="Times New Roman" w:cs="Times New Roman"/>
        </w:rPr>
        <w:t xml:space="preserve"> billion USD, down 1</w:t>
      </w:r>
      <w:r>
        <w:rPr>
          <w:rFonts w:ascii="Times New Roman" w:hAnsi="Times New Roman" w:cs="Times New Roman"/>
        </w:rPr>
        <w:t>3.9</w:t>
      </w:r>
      <w:r w:rsidRPr="00ED71AE">
        <w:rPr>
          <w:rFonts w:ascii="Times New Roman" w:hAnsi="Times New Roman" w:cs="Times New Roman"/>
        </w:rPr>
        <w:t>%.</w:t>
      </w:r>
    </w:p>
  </w:footnote>
  <w:footnote w:id="24">
    <w:p w14:paraId="21949F4F" w14:textId="77777777" w:rsidR="008606C2" w:rsidRPr="00A25D0E" w:rsidRDefault="008606C2" w:rsidP="008606C2">
      <w:pPr>
        <w:pStyle w:val="FootnoteText"/>
        <w:ind w:left="142" w:hanging="142"/>
        <w:jc w:val="both"/>
        <w:rPr>
          <w:lang w:val="en-US"/>
        </w:rPr>
      </w:pPr>
      <w:r>
        <w:rPr>
          <w:rStyle w:val="FootnoteReference"/>
        </w:rPr>
        <w:footnoteRef/>
      </w:r>
      <w:r>
        <w:t xml:space="preserve"> </w:t>
      </w:r>
      <w:r w:rsidRPr="007A6C6C">
        <w:rPr>
          <w:rFonts w:ascii="Times New Roman" w:hAnsi="Times New Roman" w:cs="Times New Roman"/>
        </w:rPr>
        <w:t>Total turnover and value of preliminary export and import goods in September 2024 provided by the General Department of Customs on October 4, 2024.</w:t>
      </w:r>
    </w:p>
  </w:footnote>
  <w:footnote w:id="25">
    <w:p w14:paraId="43DD20A7" w14:textId="77777777" w:rsidR="008606C2" w:rsidRPr="00767DFD" w:rsidRDefault="008606C2" w:rsidP="008606C2">
      <w:pPr>
        <w:pStyle w:val="FootnoteText"/>
        <w:spacing w:after="40"/>
        <w:ind w:left="198" w:hanging="198"/>
        <w:jc w:val="both"/>
        <w:rPr>
          <w:rFonts w:ascii="Times New Roman" w:hAnsi="Times New Roman" w:cs="Times New Roman"/>
          <w:lang w:val="en-US"/>
        </w:rPr>
      </w:pPr>
      <w:r w:rsidRPr="00767DFD">
        <w:rPr>
          <w:rStyle w:val="FootnoteReference"/>
          <w:rFonts w:ascii="Times New Roman" w:hAnsi="Times New Roman"/>
        </w:rPr>
        <w:footnoteRef/>
      </w:r>
      <w:r w:rsidRPr="00767DFD">
        <w:rPr>
          <w:rFonts w:ascii="Times New Roman" w:hAnsi="Times New Roman" w:cs="Times New Roman"/>
        </w:rPr>
        <w:t xml:space="preserve"> </w:t>
      </w:r>
      <w:r w:rsidRPr="00FD747D">
        <w:rPr>
          <w:rFonts w:ascii="Times New Roman" w:hAnsi="Times New Roman" w:cs="Times New Roman"/>
        </w:rPr>
        <w:t xml:space="preserve">The employee income survey is calculated 1 month late. An employee's income is the </w:t>
      </w:r>
      <w:proofErr w:type="gramStart"/>
      <w:r w:rsidRPr="00FD747D">
        <w:rPr>
          <w:rFonts w:ascii="Times New Roman" w:hAnsi="Times New Roman" w:cs="Times New Roman"/>
        </w:rPr>
        <w:t>amount</w:t>
      </w:r>
      <w:proofErr w:type="gramEnd"/>
      <w:r w:rsidRPr="00FD747D">
        <w:rPr>
          <w:rFonts w:ascii="Times New Roman" w:hAnsi="Times New Roman" w:cs="Times New Roman"/>
        </w:rPr>
        <w:t xml:space="preserve"> of wages/salaries or profits received from work (including overtime, bonuses, occupational allowances and other benefits) in the month before the time of investigation. The average income per working worker is the total income of all working workers compared to the total number of working workers.</w:t>
      </w:r>
    </w:p>
  </w:footnote>
  <w:footnote w:id="26">
    <w:p w14:paraId="153A85C1" w14:textId="77777777" w:rsidR="008606C2" w:rsidRPr="00767DFD" w:rsidRDefault="008606C2" w:rsidP="008606C2">
      <w:pPr>
        <w:pStyle w:val="FootnoteText"/>
        <w:rPr>
          <w:rFonts w:ascii="Times New Roman" w:hAnsi="Times New Roman" w:cs="Times New Roman"/>
          <w:lang w:val="vi-VN"/>
        </w:rPr>
      </w:pPr>
      <w:r w:rsidRPr="00767DFD">
        <w:rPr>
          <w:rStyle w:val="FootnoteReference"/>
          <w:rFonts w:ascii="Times New Roman" w:hAnsi="Times New Roman"/>
        </w:rPr>
        <w:footnoteRef/>
      </w:r>
      <w:r w:rsidRPr="00767DFD">
        <w:rPr>
          <w:rFonts w:ascii="Times New Roman" w:hAnsi="Times New Roman" w:cs="Times New Roman"/>
        </w:rPr>
        <w:t xml:space="preserve"> </w:t>
      </w:r>
      <w:r w:rsidRPr="00FD747D">
        <w:rPr>
          <w:rFonts w:ascii="Times New Roman" w:hAnsi="Times New Roman" w:cs="Times New Roman"/>
          <w:shd w:val="clear" w:color="auto" w:fill="FFFFFF"/>
        </w:rPr>
        <w:t xml:space="preserve">Underemployed people of working age include those with jobs who wish to work overtime; willing to work overtime; </w:t>
      </w:r>
      <w:proofErr w:type="gramStart"/>
      <w:r w:rsidRPr="00FD747D">
        <w:rPr>
          <w:rFonts w:ascii="Times New Roman" w:hAnsi="Times New Roman" w:cs="Times New Roman"/>
          <w:shd w:val="clear" w:color="auto" w:fill="FFFFFF"/>
        </w:rPr>
        <w:t>actually</w:t>
      </w:r>
      <w:proofErr w:type="gramEnd"/>
      <w:r w:rsidRPr="00FD747D">
        <w:rPr>
          <w:rFonts w:ascii="Times New Roman" w:hAnsi="Times New Roman" w:cs="Times New Roman"/>
          <w:shd w:val="clear" w:color="auto" w:fill="FFFFFF"/>
        </w:rPr>
        <w:t xml:space="preserve"> work less than 35 hours/week.</w:t>
      </w:r>
    </w:p>
  </w:footnote>
  <w:footnote w:id="27">
    <w:p w14:paraId="012A03DA" w14:textId="77777777" w:rsidR="008606C2" w:rsidRPr="00767DFD" w:rsidRDefault="008606C2" w:rsidP="008606C2">
      <w:pPr>
        <w:pStyle w:val="FootnoteText"/>
        <w:spacing w:after="40"/>
        <w:jc w:val="both"/>
        <w:rPr>
          <w:rFonts w:ascii="Times New Roman" w:hAnsi="Times New Roman" w:cs="Times New Roman"/>
          <w:lang w:val="en-US"/>
        </w:rPr>
      </w:pPr>
      <w:r w:rsidRPr="00767DFD">
        <w:rPr>
          <w:rStyle w:val="FootnoteReference"/>
          <w:rFonts w:ascii="Times New Roman" w:hAnsi="Times New Roman"/>
        </w:rPr>
        <w:footnoteRef/>
      </w:r>
      <w:r w:rsidRPr="00767DFD">
        <w:rPr>
          <w:rFonts w:ascii="Times New Roman" w:hAnsi="Times New Roman" w:cs="Times New Roman"/>
        </w:rPr>
        <w:t xml:space="preserve"> </w:t>
      </w:r>
      <w:r w:rsidRPr="00FD747D">
        <w:rPr>
          <w:rFonts w:ascii="Times New Roman" w:hAnsi="Times New Roman" w:cs="Times New Roman"/>
        </w:rPr>
        <w:t>Workers who have a need to work but are not given enough work (also known as underutilized workers) include unemployed people, underemployed people and a group outside the labor force willing to work. job but not looking for a job or looking for a job but not ready to work right away. The rate of underutilized labor potential is the ratio between workers who have a need to work but are not fully satisfied with their work compared to the total number of workers who need to work in the economy.</w:t>
      </w:r>
    </w:p>
  </w:footnote>
  <w:footnote w:id="28">
    <w:p w14:paraId="1000DC18" w14:textId="77777777" w:rsidR="008606C2" w:rsidRPr="00767DFD" w:rsidRDefault="008606C2" w:rsidP="008606C2">
      <w:pPr>
        <w:pStyle w:val="FootnoteText"/>
        <w:rPr>
          <w:rFonts w:ascii="Times New Roman" w:hAnsi="Times New Roman" w:cs="Times New Roman"/>
          <w:lang w:val="vi-VN"/>
        </w:rPr>
      </w:pPr>
      <w:r w:rsidRPr="00767DFD">
        <w:rPr>
          <w:rStyle w:val="FootnoteReference"/>
        </w:rPr>
        <w:footnoteRef/>
      </w:r>
      <w:r w:rsidRPr="00767DFD">
        <w:rPr>
          <w:rFonts w:ascii="Times New Roman" w:hAnsi="Times New Roman" w:cs="Times New Roman"/>
        </w:rPr>
        <w:t xml:space="preserve"> </w:t>
      </w:r>
      <w:r w:rsidRPr="001B189E">
        <w:rPr>
          <w:rFonts w:ascii="Times New Roman" w:hAnsi="Times New Roman" w:cs="Times New Roman"/>
        </w:rPr>
        <w:t>According to estimated data of the Ministry of Education and Training</w:t>
      </w:r>
    </w:p>
  </w:footnote>
  <w:footnote w:id="29">
    <w:p w14:paraId="0C084263" w14:textId="77777777" w:rsidR="008606C2" w:rsidRPr="00767DFD" w:rsidRDefault="008606C2" w:rsidP="008606C2">
      <w:pPr>
        <w:pStyle w:val="FootnoteText"/>
        <w:rPr>
          <w:rFonts w:ascii="Times New Roman" w:hAnsi="Times New Roman" w:cs="Times New Roman"/>
          <w:sz w:val="22"/>
          <w:szCs w:val="22"/>
          <w:lang w:val="vi-VN"/>
        </w:rPr>
      </w:pPr>
      <w:r w:rsidRPr="00767DFD">
        <w:rPr>
          <w:rStyle w:val="FootnoteReference"/>
        </w:rPr>
        <w:footnoteRef/>
      </w:r>
      <w:r w:rsidRPr="00767DFD">
        <w:rPr>
          <w:rFonts w:ascii="Times New Roman" w:hAnsi="Times New Roman" w:cs="Times New Roman"/>
        </w:rPr>
        <w:t xml:space="preserve"> </w:t>
      </w:r>
      <w:r w:rsidRPr="001B189E">
        <w:rPr>
          <w:rFonts w:ascii="Times New Roman" w:hAnsi="Times New Roman" w:cs="Times New Roman"/>
        </w:rPr>
        <w:t>According to a report by the Ministry of Labor, War Invalids and Social Affairs.</w:t>
      </w:r>
    </w:p>
  </w:footnote>
  <w:footnote w:id="30">
    <w:p w14:paraId="33E79640" w14:textId="77777777" w:rsidR="008606C2" w:rsidRPr="00767DFD" w:rsidRDefault="008606C2" w:rsidP="008606C2">
      <w:pPr>
        <w:pStyle w:val="FootnoteText"/>
        <w:rPr>
          <w:rFonts w:ascii="Times New Roman" w:hAnsi="Times New Roman" w:cs="Times New Roman"/>
          <w:lang w:val="en-US"/>
        </w:rPr>
      </w:pPr>
      <w:r w:rsidRPr="00767DFD">
        <w:rPr>
          <w:rStyle w:val="FootnoteReference"/>
        </w:rPr>
        <w:footnoteRef/>
      </w:r>
      <w:r w:rsidRPr="00767DFD">
        <w:rPr>
          <w:rFonts w:ascii="Times New Roman" w:hAnsi="Times New Roman" w:cs="Times New Roman"/>
        </w:rPr>
        <w:t xml:space="preserve"> </w:t>
      </w:r>
      <w:r w:rsidRPr="001B189E">
        <w:rPr>
          <w:rFonts w:ascii="Times New Roman" w:hAnsi="Times New Roman" w:cs="Times New Roman"/>
        </w:rPr>
        <w:t>According to a report by the Ministry of Health.</w:t>
      </w:r>
    </w:p>
  </w:footnote>
  <w:footnote w:id="31">
    <w:p w14:paraId="567BD743" w14:textId="77777777" w:rsidR="008606C2" w:rsidRPr="00767DFD" w:rsidRDefault="008606C2" w:rsidP="008606C2">
      <w:pPr>
        <w:pStyle w:val="FootnoteText"/>
        <w:ind w:left="198" w:hanging="198"/>
        <w:jc w:val="both"/>
        <w:rPr>
          <w:rFonts w:ascii="Times New Roman" w:hAnsi="Times New Roman" w:cs="Times New Roman"/>
          <w:lang w:val="vi-VN"/>
        </w:rPr>
      </w:pPr>
      <w:r w:rsidRPr="00767DFD">
        <w:rPr>
          <w:rStyle w:val="FootnoteReference"/>
        </w:rPr>
        <w:footnoteRef/>
      </w:r>
      <w:r w:rsidRPr="00767DFD">
        <w:rPr>
          <w:rFonts w:ascii="Times New Roman" w:hAnsi="Times New Roman" w:cs="Times New Roman"/>
          <w:lang w:val="vi-VN"/>
        </w:rPr>
        <w:t xml:space="preserve"> </w:t>
      </w:r>
      <w:r w:rsidRPr="001B189E">
        <w:rPr>
          <w:rFonts w:ascii="Times New Roman" w:hAnsi="Times New Roman" w:cs="Times New Roman"/>
          <w:lang w:val="vi-VN"/>
        </w:rPr>
        <w:t>According to a quick report from the Office of the Ministry of Public Security and the Vietnam Maritime Administration (Ministry of Transport) on September 29, 2024.</w:t>
      </w:r>
    </w:p>
  </w:footnote>
  <w:footnote w:id="32">
    <w:p w14:paraId="67FE0027" w14:textId="77777777" w:rsidR="008606C2" w:rsidRPr="00767DFD" w:rsidRDefault="008606C2" w:rsidP="008606C2">
      <w:pPr>
        <w:pStyle w:val="FootnoteText"/>
        <w:ind w:left="198" w:hanging="198"/>
        <w:jc w:val="both"/>
        <w:rPr>
          <w:rFonts w:ascii="Times New Roman" w:hAnsi="Times New Roman" w:cs="Times New Roman"/>
          <w:lang w:val="en-US"/>
        </w:rPr>
      </w:pPr>
      <w:r w:rsidRPr="00767DFD">
        <w:rPr>
          <w:rStyle w:val="FootnoteReference"/>
        </w:rPr>
        <w:footnoteRef/>
      </w:r>
      <w:r w:rsidRPr="00767DFD">
        <w:rPr>
          <w:rFonts w:ascii="Times New Roman" w:hAnsi="Times New Roman" w:cs="Times New Roman"/>
        </w:rPr>
        <w:t xml:space="preserve"> </w:t>
      </w:r>
      <w:r w:rsidRPr="001B189E">
        <w:rPr>
          <w:rFonts w:ascii="Times New Roman" w:hAnsi="Times New Roman" w:cs="Times New Roman"/>
        </w:rPr>
        <w:t>According to reports from the Department of Natural Resources and Environment, Provincial and Central City Police, compiled by the Statistics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C85D9" w14:textId="77777777" w:rsidR="00DD4DEE" w:rsidRPr="00913143" w:rsidRDefault="00551279" w:rsidP="006B1758">
    <w:pPr>
      <w:pStyle w:val="Header"/>
      <w:framePr w:wrap="auto" w:vAnchor="text" w:hAnchor="margin" w:xAlign="center" w:y="1"/>
      <w:rPr>
        <w:rStyle w:val="PageNumber"/>
        <w:rFonts w:ascii="Times New Roman" w:hAnsi="Times New Roman"/>
        <w:sz w:val="26"/>
        <w:szCs w:val="26"/>
      </w:rPr>
    </w:pPr>
    <w:r w:rsidRPr="00913143">
      <w:rPr>
        <w:rStyle w:val="PageNumber"/>
        <w:rFonts w:ascii="Times New Roman" w:hAnsi="Times New Roman"/>
        <w:sz w:val="26"/>
        <w:szCs w:val="26"/>
      </w:rPr>
      <w:fldChar w:fldCharType="begin"/>
    </w:r>
    <w:r w:rsidR="00DD4DEE" w:rsidRPr="00913143">
      <w:rPr>
        <w:rStyle w:val="PageNumber"/>
        <w:rFonts w:ascii="Times New Roman" w:hAnsi="Times New Roman"/>
        <w:sz w:val="26"/>
        <w:szCs w:val="26"/>
      </w:rPr>
      <w:instrText xml:space="preserve">PAGE  </w:instrText>
    </w:r>
    <w:r w:rsidRPr="00913143">
      <w:rPr>
        <w:rStyle w:val="PageNumber"/>
        <w:rFonts w:ascii="Times New Roman" w:hAnsi="Times New Roman"/>
        <w:sz w:val="26"/>
        <w:szCs w:val="26"/>
      </w:rPr>
      <w:fldChar w:fldCharType="separate"/>
    </w:r>
    <w:r w:rsidR="00883E76">
      <w:rPr>
        <w:rStyle w:val="PageNumber"/>
        <w:rFonts w:ascii="Times New Roman" w:hAnsi="Times New Roman"/>
        <w:noProof/>
        <w:sz w:val="26"/>
        <w:szCs w:val="26"/>
      </w:rPr>
      <w:t>7</w:t>
    </w:r>
    <w:r w:rsidRPr="00913143">
      <w:rPr>
        <w:rStyle w:val="PageNumber"/>
        <w:rFonts w:ascii="Times New Roman" w:hAnsi="Times New Roman"/>
        <w:sz w:val="26"/>
        <w:szCs w:val="26"/>
      </w:rPr>
      <w:fldChar w:fldCharType="end"/>
    </w:r>
  </w:p>
  <w:p w14:paraId="14678557" w14:textId="77777777" w:rsidR="00DD4DEE" w:rsidRDefault="00DD4DEE">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5051"/>
    <w:multiLevelType w:val="hybridMultilevel"/>
    <w:tmpl w:val="4B5A0F92"/>
    <w:lvl w:ilvl="0" w:tplc="252C844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12131F"/>
    <w:multiLevelType w:val="hybridMultilevel"/>
    <w:tmpl w:val="36F01BEA"/>
    <w:lvl w:ilvl="0" w:tplc="9024439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14CC1B56"/>
    <w:multiLevelType w:val="hybridMultilevel"/>
    <w:tmpl w:val="618E1002"/>
    <w:lvl w:ilvl="0" w:tplc="43E057E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D07515E"/>
    <w:multiLevelType w:val="hybridMultilevel"/>
    <w:tmpl w:val="8F90243C"/>
    <w:lvl w:ilvl="0" w:tplc="821E3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6A16D8"/>
    <w:multiLevelType w:val="hybridMultilevel"/>
    <w:tmpl w:val="B7A84F3A"/>
    <w:lvl w:ilvl="0" w:tplc="B84A98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DAA09C2"/>
    <w:multiLevelType w:val="hybridMultilevel"/>
    <w:tmpl w:val="55EEE8B0"/>
    <w:lvl w:ilvl="0" w:tplc="9A44918C">
      <w:start w:val="5"/>
      <w:numFmt w:val="decimal"/>
      <w:lvlText w:val="%1."/>
      <w:lvlJc w:val="left"/>
      <w:pPr>
        <w:ind w:left="1260" w:hanging="360"/>
      </w:pPr>
      <w:rPr>
        <w:rFonts w:cs="Times New Roman" w:hint="default"/>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6" w15:restartNumberingAfterBreak="0">
    <w:nsid w:val="38F82FAE"/>
    <w:multiLevelType w:val="hybridMultilevel"/>
    <w:tmpl w:val="1D000F7E"/>
    <w:lvl w:ilvl="0" w:tplc="AF6C5DF0">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7" w15:restartNumberingAfterBreak="0">
    <w:nsid w:val="41FD3FB4"/>
    <w:multiLevelType w:val="hybridMultilevel"/>
    <w:tmpl w:val="73C257D0"/>
    <w:lvl w:ilvl="0" w:tplc="DB02797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4624251A"/>
    <w:multiLevelType w:val="hybridMultilevel"/>
    <w:tmpl w:val="AB068842"/>
    <w:lvl w:ilvl="0" w:tplc="AC6C39D2">
      <w:start w:val="3"/>
      <w:numFmt w:val="lowerLetter"/>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9" w15:restartNumberingAfterBreak="0">
    <w:nsid w:val="4F2B5A09"/>
    <w:multiLevelType w:val="hybridMultilevel"/>
    <w:tmpl w:val="E242A0A0"/>
    <w:lvl w:ilvl="0" w:tplc="DEFAB62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512A117B"/>
    <w:multiLevelType w:val="hybridMultilevel"/>
    <w:tmpl w:val="6070FD3A"/>
    <w:lvl w:ilvl="0" w:tplc="0E9CD92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1" w15:restartNumberingAfterBreak="0">
    <w:nsid w:val="53CD2314"/>
    <w:multiLevelType w:val="hybridMultilevel"/>
    <w:tmpl w:val="FB663550"/>
    <w:lvl w:ilvl="0" w:tplc="329280EA">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5AED1215"/>
    <w:multiLevelType w:val="hybridMultilevel"/>
    <w:tmpl w:val="E82436B2"/>
    <w:lvl w:ilvl="0" w:tplc="AED80B46">
      <w:start w:val="4"/>
      <w:numFmt w:val="decimal"/>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3" w15:restartNumberingAfterBreak="0">
    <w:nsid w:val="5C53311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14" w15:restartNumberingAfterBreak="0">
    <w:nsid w:val="5F5473F2"/>
    <w:multiLevelType w:val="hybridMultilevel"/>
    <w:tmpl w:val="39C232F8"/>
    <w:lvl w:ilvl="0" w:tplc="B59E1BFE">
      <w:start w:val="1"/>
      <w:numFmt w:val="bullet"/>
      <w:lvlText w:val="-"/>
      <w:lvlJc w:val="left"/>
      <w:pPr>
        <w:ind w:left="1080" w:hanging="360"/>
      </w:pPr>
      <w:rPr>
        <w:rFonts w:ascii="Times New Roman" w:eastAsia="Times New Roman" w:hAnsi="Times New Roman" w:hint="default"/>
        <w:color w:val="00000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7573F32"/>
    <w:multiLevelType w:val="hybridMultilevel"/>
    <w:tmpl w:val="C380B84C"/>
    <w:lvl w:ilvl="0" w:tplc="5AE812C8">
      <w:start w:val="1"/>
      <w:numFmt w:val="lowerLetter"/>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6" w15:restartNumberingAfterBreak="0">
    <w:nsid w:val="6894367B"/>
    <w:multiLevelType w:val="hybridMultilevel"/>
    <w:tmpl w:val="21C4A79A"/>
    <w:lvl w:ilvl="0" w:tplc="EB5829AC">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36654E2"/>
    <w:multiLevelType w:val="hybridMultilevel"/>
    <w:tmpl w:val="0E72959C"/>
    <w:lvl w:ilvl="0" w:tplc="BE44F066">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671914"/>
    <w:multiLevelType w:val="hybridMultilevel"/>
    <w:tmpl w:val="6D20C3F6"/>
    <w:lvl w:ilvl="0" w:tplc="D36459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39036E5"/>
    <w:multiLevelType w:val="hybridMultilevel"/>
    <w:tmpl w:val="C64CED18"/>
    <w:lvl w:ilvl="0" w:tplc="3AC60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15:restartNumberingAfterBreak="0">
    <w:nsid w:val="743A17E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21" w15:restartNumberingAfterBreak="0">
    <w:nsid w:val="79CF4DCC"/>
    <w:multiLevelType w:val="hybridMultilevel"/>
    <w:tmpl w:val="56021A22"/>
    <w:lvl w:ilvl="0" w:tplc="883276E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2" w15:restartNumberingAfterBreak="0">
    <w:nsid w:val="7C5175F3"/>
    <w:multiLevelType w:val="hybridMultilevel"/>
    <w:tmpl w:val="7FE4C1E4"/>
    <w:lvl w:ilvl="0" w:tplc="E2E8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75119058">
    <w:abstractNumId w:val="10"/>
  </w:num>
  <w:num w:numId="2" w16cid:durableId="2051761394">
    <w:abstractNumId w:val="19"/>
  </w:num>
  <w:num w:numId="3" w16cid:durableId="1586843697">
    <w:abstractNumId w:val="14"/>
  </w:num>
  <w:num w:numId="4" w16cid:durableId="1831821915">
    <w:abstractNumId w:val="2"/>
  </w:num>
  <w:num w:numId="5" w16cid:durableId="337120432">
    <w:abstractNumId w:val="20"/>
  </w:num>
  <w:num w:numId="6" w16cid:durableId="1665432204">
    <w:abstractNumId w:val="13"/>
  </w:num>
  <w:num w:numId="7" w16cid:durableId="1136335866">
    <w:abstractNumId w:val="16"/>
  </w:num>
  <w:num w:numId="8" w16cid:durableId="1057781158">
    <w:abstractNumId w:val="6"/>
  </w:num>
  <w:num w:numId="9" w16cid:durableId="864027499">
    <w:abstractNumId w:val="12"/>
  </w:num>
  <w:num w:numId="10" w16cid:durableId="1751926851">
    <w:abstractNumId w:val="15"/>
  </w:num>
  <w:num w:numId="11" w16cid:durableId="135492883">
    <w:abstractNumId w:val="5"/>
  </w:num>
  <w:num w:numId="12" w16cid:durableId="1760442826">
    <w:abstractNumId w:val="17"/>
  </w:num>
  <w:num w:numId="13" w16cid:durableId="1591043225">
    <w:abstractNumId w:val="11"/>
  </w:num>
  <w:num w:numId="14" w16cid:durableId="1723096257">
    <w:abstractNumId w:val="0"/>
  </w:num>
  <w:num w:numId="15" w16cid:durableId="1687321564">
    <w:abstractNumId w:val="1"/>
  </w:num>
  <w:num w:numId="16" w16cid:durableId="1972862027">
    <w:abstractNumId w:val="3"/>
  </w:num>
  <w:num w:numId="17" w16cid:durableId="628247693">
    <w:abstractNumId w:val="21"/>
  </w:num>
  <w:num w:numId="18" w16cid:durableId="1296332063">
    <w:abstractNumId w:val="22"/>
  </w:num>
  <w:num w:numId="19" w16cid:durableId="1811284908">
    <w:abstractNumId w:val="7"/>
  </w:num>
  <w:num w:numId="20" w16cid:durableId="1416902124">
    <w:abstractNumId w:val="9"/>
  </w:num>
  <w:num w:numId="21" w16cid:durableId="1016467760">
    <w:abstractNumId w:val="8"/>
  </w:num>
  <w:num w:numId="22" w16cid:durableId="104933283">
    <w:abstractNumId w:val="4"/>
  </w:num>
  <w:num w:numId="23" w16cid:durableId="7789925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4C"/>
    <w:rsid w:val="00002626"/>
    <w:rsid w:val="00003A1F"/>
    <w:rsid w:val="00004203"/>
    <w:rsid w:val="0000517C"/>
    <w:rsid w:val="0000550B"/>
    <w:rsid w:val="00005AE0"/>
    <w:rsid w:val="00005AF6"/>
    <w:rsid w:val="00005E0C"/>
    <w:rsid w:val="0000637E"/>
    <w:rsid w:val="00007290"/>
    <w:rsid w:val="000072FC"/>
    <w:rsid w:val="000076AF"/>
    <w:rsid w:val="000079ED"/>
    <w:rsid w:val="0001081E"/>
    <w:rsid w:val="00010BB1"/>
    <w:rsid w:val="00010F94"/>
    <w:rsid w:val="00012191"/>
    <w:rsid w:val="00012302"/>
    <w:rsid w:val="00012D5D"/>
    <w:rsid w:val="00014131"/>
    <w:rsid w:val="0001431E"/>
    <w:rsid w:val="00016A14"/>
    <w:rsid w:val="000171B6"/>
    <w:rsid w:val="000205E1"/>
    <w:rsid w:val="0002230C"/>
    <w:rsid w:val="00023730"/>
    <w:rsid w:val="0002377A"/>
    <w:rsid w:val="00024928"/>
    <w:rsid w:val="000313AD"/>
    <w:rsid w:val="00033536"/>
    <w:rsid w:val="00033ACE"/>
    <w:rsid w:val="00033F17"/>
    <w:rsid w:val="00034D85"/>
    <w:rsid w:val="00034F2D"/>
    <w:rsid w:val="00036172"/>
    <w:rsid w:val="000376EB"/>
    <w:rsid w:val="00037EBF"/>
    <w:rsid w:val="00040201"/>
    <w:rsid w:val="00040453"/>
    <w:rsid w:val="00040D5E"/>
    <w:rsid w:val="00044564"/>
    <w:rsid w:val="0005026A"/>
    <w:rsid w:val="00050A78"/>
    <w:rsid w:val="00051CE8"/>
    <w:rsid w:val="0005236F"/>
    <w:rsid w:val="00053265"/>
    <w:rsid w:val="00053528"/>
    <w:rsid w:val="000538B3"/>
    <w:rsid w:val="00054BF4"/>
    <w:rsid w:val="0005564F"/>
    <w:rsid w:val="0005584C"/>
    <w:rsid w:val="000563F2"/>
    <w:rsid w:val="00056B62"/>
    <w:rsid w:val="00060D9D"/>
    <w:rsid w:val="00061C5E"/>
    <w:rsid w:val="00061E98"/>
    <w:rsid w:val="000632D1"/>
    <w:rsid w:val="00063FD9"/>
    <w:rsid w:val="0006414C"/>
    <w:rsid w:val="00066342"/>
    <w:rsid w:val="000678B2"/>
    <w:rsid w:val="00070AB9"/>
    <w:rsid w:val="00071ED2"/>
    <w:rsid w:val="00072FB7"/>
    <w:rsid w:val="0007337D"/>
    <w:rsid w:val="00073A43"/>
    <w:rsid w:val="00074BD1"/>
    <w:rsid w:val="00074F91"/>
    <w:rsid w:val="00075D36"/>
    <w:rsid w:val="00076A0D"/>
    <w:rsid w:val="00077440"/>
    <w:rsid w:val="00077FBC"/>
    <w:rsid w:val="000806C7"/>
    <w:rsid w:val="000813EC"/>
    <w:rsid w:val="000829FF"/>
    <w:rsid w:val="000832C3"/>
    <w:rsid w:val="00083EEC"/>
    <w:rsid w:val="000842F6"/>
    <w:rsid w:val="00084521"/>
    <w:rsid w:val="00090301"/>
    <w:rsid w:val="00091B4A"/>
    <w:rsid w:val="0009272E"/>
    <w:rsid w:val="00092D7F"/>
    <w:rsid w:val="00093B2F"/>
    <w:rsid w:val="000976AE"/>
    <w:rsid w:val="00097926"/>
    <w:rsid w:val="000A089F"/>
    <w:rsid w:val="000A0C71"/>
    <w:rsid w:val="000A1588"/>
    <w:rsid w:val="000A19BF"/>
    <w:rsid w:val="000A1DE1"/>
    <w:rsid w:val="000A2028"/>
    <w:rsid w:val="000A4BFE"/>
    <w:rsid w:val="000A5FFB"/>
    <w:rsid w:val="000A7907"/>
    <w:rsid w:val="000A79C2"/>
    <w:rsid w:val="000B173B"/>
    <w:rsid w:val="000B2A22"/>
    <w:rsid w:val="000B2DAB"/>
    <w:rsid w:val="000B33F6"/>
    <w:rsid w:val="000B7B53"/>
    <w:rsid w:val="000C016B"/>
    <w:rsid w:val="000C0F5B"/>
    <w:rsid w:val="000C19C2"/>
    <w:rsid w:val="000C1AFC"/>
    <w:rsid w:val="000C270E"/>
    <w:rsid w:val="000C3A72"/>
    <w:rsid w:val="000C41F7"/>
    <w:rsid w:val="000C5E1D"/>
    <w:rsid w:val="000D2ED4"/>
    <w:rsid w:val="000D3069"/>
    <w:rsid w:val="000D3A28"/>
    <w:rsid w:val="000D48EC"/>
    <w:rsid w:val="000D592B"/>
    <w:rsid w:val="000D7358"/>
    <w:rsid w:val="000D74CC"/>
    <w:rsid w:val="000E1825"/>
    <w:rsid w:val="000E23CE"/>
    <w:rsid w:val="000E2CF1"/>
    <w:rsid w:val="000E3272"/>
    <w:rsid w:val="000E35F7"/>
    <w:rsid w:val="000E382A"/>
    <w:rsid w:val="000E509D"/>
    <w:rsid w:val="000E6764"/>
    <w:rsid w:val="000E6F85"/>
    <w:rsid w:val="000E703D"/>
    <w:rsid w:val="000E74CF"/>
    <w:rsid w:val="000E760C"/>
    <w:rsid w:val="000F090D"/>
    <w:rsid w:val="000F0A1C"/>
    <w:rsid w:val="000F0A38"/>
    <w:rsid w:val="000F1187"/>
    <w:rsid w:val="000F2094"/>
    <w:rsid w:val="000F27A0"/>
    <w:rsid w:val="000F2892"/>
    <w:rsid w:val="000F29A3"/>
    <w:rsid w:val="000F29C4"/>
    <w:rsid w:val="000F2D3B"/>
    <w:rsid w:val="000F3605"/>
    <w:rsid w:val="000F3A9C"/>
    <w:rsid w:val="000F655B"/>
    <w:rsid w:val="000F6D48"/>
    <w:rsid w:val="000F6FF6"/>
    <w:rsid w:val="000F7B15"/>
    <w:rsid w:val="000F7DF2"/>
    <w:rsid w:val="0010001A"/>
    <w:rsid w:val="001023CE"/>
    <w:rsid w:val="001032C3"/>
    <w:rsid w:val="001039EE"/>
    <w:rsid w:val="00103C01"/>
    <w:rsid w:val="00103CD9"/>
    <w:rsid w:val="00104246"/>
    <w:rsid w:val="00106B2D"/>
    <w:rsid w:val="00107863"/>
    <w:rsid w:val="00107FB1"/>
    <w:rsid w:val="00110D27"/>
    <w:rsid w:val="001113E2"/>
    <w:rsid w:val="0011141A"/>
    <w:rsid w:val="00111BD7"/>
    <w:rsid w:val="001135EA"/>
    <w:rsid w:val="00113FA6"/>
    <w:rsid w:val="001168A8"/>
    <w:rsid w:val="00116D01"/>
    <w:rsid w:val="00120BA6"/>
    <w:rsid w:val="00121AB4"/>
    <w:rsid w:val="001252BD"/>
    <w:rsid w:val="00127194"/>
    <w:rsid w:val="001277F8"/>
    <w:rsid w:val="0013094D"/>
    <w:rsid w:val="00131D2B"/>
    <w:rsid w:val="001343D3"/>
    <w:rsid w:val="00134B4A"/>
    <w:rsid w:val="001378E0"/>
    <w:rsid w:val="00137C9A"/>
    <w:rsid w:val="0014036D"/>
    <w:rsid w:val="00140B38"/>
    <w:rsid w:val="00140E07"/>
    <w:rsid w:val="00140F6C"/>
    <w:rsid w:val="00141B87"/>
    <w:rsid w:val="001425FD"/>
    <w:rsid w:val="00142BE0"/>
    <w:rsid w:val="00142DA8"/>
    <w:rsid w:val="001430E1"/>
    <w:rsid w:val="0014459C"/>
    <w:rsid w:val="00144A29"/>
    <w:rsid w:val="00145054"/>
    <w:rsid w:val="00146FDE"/>
    <w:rsid w:val="00150B92"/>
    <w:rsid w:val="001518AA"/>
    <w:rsid w:val="00151E23"/>
    <w:rsid w:val="00152F6B"/>
    <w:rsid w:val="00157091"/>
    <w:rsid w:val="001602EC"/>
    <w:rsid w:val="00160712"/>
    <w:rsid w:val="001608BD"/>
    <w:rsid w:val="001614AF"/>
    <w:rsid w:val="001615F9"/>
    <w:rsid w:val="00162B6E"/>
    <w:rsid w:val="001644E8"/>
    <w:rsid w:val="00164EC6"/>
    <w:rsid w:val="0016501B"/>
    <w:rsid w:val="001651D1"/>
    <w:rsid w:val="00170081"/>
    <w:rsid w:val="00170BCE"/>
    <w:rsid w:val="00172979"/>
    <w:rsid w:val="00172A01"/>
    <w:rsid w:val="001730E9"/>
    <w:rsid w:val="00174075"/>
    <w:rsid w:val="001745F2"/>
    <w:rsid w:val="00174F75"/>
    <w:rsid w:val="00176002"/>
    <w:rsid w:val="00176B38"/>
    <w:rsid w:val="0017700B"/>
    <w:rsid w:val="001772E0"/>
    <w:rsid w:val="00180553"/>
    <w:rsid w:val="00183934"/>
    <w:rsid w:val="00183A90"/>
    <w:rsid w:val="00183C10"/>
    <w:rsid w:val="0018553E"/>
    <w:rsid w:val="00185E3C"/>
    <w:rsid w:val="0018650F"/>
    <w:rsid w:val="00186DFF"/>
    <w:rsid w:val="0019027E"/>
    <w:rsid w:val="00191876"/>
    <w:rsid w:val="001919F1"/>
    <w:rsid w:val="00191D87"/>
    <w:rsid w:val="0019386E"/>
    <w:rsid w:val="001950AD"/>
    <w:rsid w:val="001968F8"/>
    <w:rsid w:val="001A0220"/>
    <w:rsid w:val="001A05F5"/>
    <w:rsid w:val="001A26D2"/>
    <w:rsid w:val="001A2C20"/>
    <w:rsid w:val="001A51B7"/>
    <w:rsid w:val="001A68A9"/>
    <w:rsid w:val="001A719F"/>
    <w:rsid w:val="001B02AB"/>
    <w:rsid w:val="001B0C76"/>
    <w:rsid w:val="001B6FE4"/>
    <w:rsid w:val="001C06C8"/>
    <w:rsid w:val="001C09CE"/>
    <w:rsid w:val="001C1087"/>
    <w:rsid w:val="001C147A"/>
    <w:rsid w:val="001C216B"/>
    <w:rsid w:val="001C2234"/>
    <w:rsid w:val="001C243B"/>
    <w:rsid w:val="001C2B9A"/>
    <w:rsid w:val="001C3C0F"/>
    <w:rsid w:val="001C5B2B"/>
    <w:rsid w:val="001C6A86"/>
    <w:rsid w:val="001C6EC2"/>
    <w:rsid w:val="001D14BE"/>
    <w:rsid w:val="001D1B1E"/>
    <w:rsid w:val="001D2307"/>
    <w:rsid w:val="001D2840"/>
    <w:rsid w:val="001D3415"/>
    <w:rsid w:val="001D45A7"/>
    <w:rsid w:val="001D67B9"/>
    <w:rsid w:val="001D6F9B"/>
    <w:rsid w:val="001D7200"/>
    <w:rsid w:val="001E1534"/>
    <w:rsid w:val="001E191A"/>
    <w:rsid w:val="001E1C5F"/>
    <w:rsid w:val="001E3339"/>
    <w:rsid w:val="001E4D83"/>
    <w:rsid w:val="001E5422"/>
    <w:rsid w:val="001E544B"/>
    <w:rsid w:val="001E55EC"/>
    <w:rsid w:val="001E68FB"/>
    <w:rsid w:val="001F032E"/>
    <w:rsid w:val="001F1910"/>
    <w:rsid w:val="001F33FE"/>
    <w:rsid w:val="001F4B3F"/>
    <w:rsid w:val="001F74FF"/>
    <w:rsid w:val="002028A1"/>
    <w:rsid w:val="002028AC"/>
    <w:rsid w:val="00202DC8"/>
    <w:rsid w:val="002032BA"/>
    <w:rsid w:val="0020358C"/>
    <w:rsid w:val="0020368A"/>
    <w:rsid w:val="00203D6D"/>
    <w:rsid w:val="00204518"/>
    <w:rsid w:val="002050D7"/>
    <w:rsid w:val="00205EBD"/>
    <w:rsid w:val="002062C3"/>
    <w:rsid w:val="0020670B"/>
    <w:rsid w:val="002069AC"/>
    <w:rsid w:val="00210176"/>
    <w:rsid w:val="002103C3"/>
    <w:rsid w:val="0021194F"/>
    <w:rsid w:val="00211AE6"/>
    <w:rsid w:val="002124FC"/>
    <w:rsid w:val="00212A13"/>
    <w:rsid w:val="00212E75"/>
    <w:rsid w:val="00216DAF"/>
    <w:rsid w:val="0022074F"/>
    <w:rsid w:val="0022078F"/>
    <w:rsid w:val="00220ED7"/>
    <w:rsid w:val="002237DC"/>
    <w:rsid w:val="00223B69"/>
    <w:rsid w:val="00224D01"/>
    <w:rsid w:val="0022589D"/>
    <w:rsid w:val="002267D6"/>
    <w:rsid w:val="00226E92"/>
    <w:rsid w:val="00227769"/>
    <w:rsid w:val="00232376"/>
    <w:rsid w:val="00232B1F"/>
    <w:rsid w:val="00233DC8"/>
    <w:rsid w:val="00233DED"/>
    <w:rsid w:val="00234CEB"/>
    <w:rsid w:val="00234E46"/>
    <w:rsid w:val="00235CFB"/>
    <w:rsid w:val="00236D06"/>
    <w:rsid w:val="00237683"/>
    <w:rsid w:val="002378B0"/>
    <w:rsid w:val="002402AA"/>
    <w:rsid w:val="002406A9"/>
    <w:rsid w:val="002422ED"/>
    <w:rsid w:val="002430E6"/>
    <w:rsid w:val="00243A47"/>
    <w:rsid w:val="002456CF"/>
    <w:rsid w:val="00246AD1"/>
    <w:rsid w:val="00246D94"/>
    <w:rsid w:val="00247504"/>
    <w:rsid w:val="00247F17"/>
    <w:rsid w:val="00250AD3"/>
    <w:rsid w:val="00252D93"/>
    <w:rsid w:val="00253A8E"/>
    <w:rsid w:val="0025403A"/>
    <w:rsid w:val="00254FD8"/>
    <w:rsid w:val="00255187"/>
    <w:rsid w:val="0025628E"/>
    <w:rsid w:val="0025668B"/>
    <w:rsid w:val="00256D83"/>
    <w:rsid w:val="0026137E"/>
    <w:rsid w:val="002613FF"/>
    <w:rsid w:val="00263303"/>
    <w:rsid w:val="002633DB"/>
    <w:rsid w:val="00263487"/>
    <w:rsid w:val="00267A45"/>
    <w:rsid w:val="002736DB"/>
    <w:rsid w:val="00273771"/>
    <w:rsid w:val="002747EE"/>
    <w:rsid w:val="00275DED"/>
    <w:rsid w:val="00277A16"/>
    <w:rsid w:val="00277DAB"/>
    <w:rsid w:val="002813C4"/>
    <w:rsid w:val="00282017"/>
    <w:rsid w:val="002845EE"/>
    <w:rsid w:val="002852AA"/>
    <w:rsid w:val="0028604A"/>
    <w:rsid w:val="00286420"/>
    <w:rsid w:val="002868CD"/>
    <w:rsid w:val="00286F0D"/>
    <w:rsid w:val="002877C3"/>
    <w:rsid w:val="00293AA2"/>
    <w:rsid w:val="00294C32"/>
    <w:rsid w:val="00294E99"/>
    <w:rsid w:val="00296388"/>
    <w:rsid w:val="00296EF7"/>
    <w:rsid w:val="0029761B"/>
    <w:rsid w:val="00297837"/>
    <w:rsid w:val="00297912"/>
    <w:rsid w:val="00297FD4"/>
    <w:rsid w:val="002A0A53"/>
    <w:rsid w:val="002A0CED"/>
    <w:rsid w:val="002A101F"/>
    <w:rsid w:val="002A1946"/>
    <w:rsid w:val="002A19A5"/>
    <w:rsid w:val="002A1A02"/>
    <w:rsid w:val="002A1B42"/>
    <w:rsid w:val="002A2332"/>
    <w:rsid w:val="002A2A91"/>
    <w:rsid w:val="002A2CE9"/>
    <w:rsid w:val="002A3A06"/>
    <w:rsid w:val="002A3EEB"/>
    <w:rsid w:val="002A4466"/>
    <w:rsid w:val="002A4B27"/>
    <w:rsid w:val="002A5175"/>
    <w:rsid w:val="002A5A90"/>
    <w:rsid w:val="002A60AC"/>
    <w:rsid w:val="002A6EE4"/>
    <w:rsid w:val="002B0DB7"/>
    <w:rsid w:val="002B19CA"/>
    <w:rsid w:val="002B1FED"/>
    <w:rsid w:val="002B21D7"/>
    <w:rsid w:val="002B2B7C"/>
    <w:rsid w:val="002B3609"/>
    <w:rsid w:val="002B4673"/>
    <w:rsid w:val="002B46B3"/>
    <w:rsid w:val="002B4D0F"/>
    <w:rsid w:val="002B4DDB"/>
    <w:rsid w:val="002B4F83"/>
    <w:rsid w:val="002B50D6"/>
    <w:rsid w:val="002B7477"/>
    <w:rsid w:val="002C30BD"/>
    <w:rsid w:val="002C3155"/>
    <w:rsid w:val="002C3DF8"/>
    <w:rsid w:val="002C419A"/>
    <w:rsid w:val="002C42AE"/>
    <w:rsid w:val="002C4CA1"/>
    <w:rsid w:val="002C501E"/>
    <w:rsid w:val="002C5898"/>
    <w:rsid w:val="002C666B"/>
    <w:rsid w:val="002D08B5"/>
    <w:rsid w:val="002D0A16"/>
    <w:rsid w:val="002D0DE3"/>
    <w:rsid w:val="002D0E70"/>
    <w:rsid w:val="002D1F22"/>
    <w:rsid w:val="002D504D"/>
    <w:rsid w:val="002D5153"/>
    <w:rsid w:val="002D533D"/>
    <w:rsid w:val="002D7326"/>
    <w:rsid w:val="002E0293"/>
    <w:rsid w:val="002E1F55"/>
    <w:rsid w:val="002E20C9"/>
    <w:rsid w:val="002E2175"/>
    <w:rsid w:val="002E2F81"/>
    <w:rsid w:val="002E45A4"/>
    <w:rsid w:val="002E48A6"/>
    <w:rsid w:val="002E4BF9"/>
    <w:rsid w:val="002E5381"/>
    <w:rsid w:val="002E5B74"/>
    <w:rsid w:val="002E5C45"/>
    <w:rsid w:val="002E6195"/>
    <w:rsid w:val="002E6D32"/>
    <w:rsid w:val="002E718B"/>
    <w:rsid w:val="002E752D"/>
    <w:rsid w:val="002E7799"/>
    <w:rsid w:val="002F07B6"/>
    <w:rsid w:val="002F1496"/>
    <w:rsid w:val="002F1C71"/>
    <w:rsid w:val="002F1DF2"/>
    <w:rsid w:val="002F20B9"/>
    <w:rsid w:val="002F2A63"/>
    <w:rsid w:val="002F2E88"/>
    <w:rsid w:val="002F3218"/>
    <w:rsid w:val="002F3614"/>
    <w:rsid w:val="002F71EF"/>
    <w:rsid w:val="00300297"/>
    <w:rsid w:val="00300469"/>
    <w:rsid w:val="00301147"/>
    <w:rsid w:val="00301177"/>
    <w:rsid w:val="0030185D"/>
    <w:rsid w:val="00303782"/>
    <w:rsid w:val="00303F1B"/>
    <w:rsid w:val="0030543B"/>
    <w:rsid w:val="003114DC"/>
    <w:rsid w:val="0031201A"/>
    <w:rsid w:val="003124EC"/>
    <w:rsid w:val="00312871"/>
    <w:rsid w:val="00312DAD"/>
    <w:rsid w:val="00312FC1"/>
    <w:rsid w:val="0031346C"/>
    <w:rsid w:val="00313CF7"/>
    <w:rsid w:val="00313FA0"/>
    <w:rsid w:val="003152E5"/>
    <w:rsid w:val="00315729"/>
    <w:rsid w:val="00315C2D"/>
    <w:rsid w:val="00317105"/>
    <w:rsid w:val="00317B5D"/>
    <w:rsid w:val="00321481"/>
    <w:rsid w:val="00321EDE"/>
    <w:rsid w:val="003226DC"/>
    <w:rsid w:val="00322C8F"/>
    <w:rsid w:val="00325643"/>
    <w:rsid w:val="003271B9"/>
    <w:rsid w:val="003273C3"/>
    <w:rsid w:val="00327535"/>
    <w:rsid w:val="00327C75"/>
    <w:rsid w:val="0033007C"/>
    <w:rsid w:val="00330373"/>
    <w:rsid w:val="00330EC3"/>
    <w:rsid w:val="00331F74"/>
    <w:rsid w:val="00332170"/>
    <w:rsid w:val="00332523"/>
    <w:rsid w:val="00333188"/>
    <w:rsid w:val="0033360E"/>
    <w:rsid w:val="003343AA"/>
    <w:rsid w:val="003349C9"/>
    <w:rsid w:val="003354DC"/>
    <w:rsid w:val="00335D7A"/>
    <w:rsid w:val="003360E9"/>
    <w:rsid w:val="003372AE"/>
    <w:rsid w:val="003377B4"/>
    <w:rsid w:val="00340450"/>
    <w:rsid w:val="00344836"/>
    <w:rsid w:val="003448D5"/>
    <w:rsid w:val="003448E0"/>
    <w:rsid w:val="00345F52"/>
    <w:rsid w:val="00347624"/>
    <w:rsid w:val="00351BC5"/>
    <w:rsid w:val="00352E2F"/>
    <w:rsid w:val="003552B0"/>
    <w:rsid w:val="00356693"/>
    <w:rsid w:val="00357ACC"/>
    <w:rsid w:val="00361F1B"/>
    <w:rsid w:val="00362AD6"/>
    <w:rsid w:val="00363077"/>
    <w:rsid w:val="00363201"/>
    <w:rsid w:val="00363E70"/>
    <w:rsid w:val="00364B0C"/>
    <w:rsid w:val="00366D46"/>
    <w:rsid w:val="003673E4"/>
    <w:rsid w:val="00367790"/>
    <w:rsid w:val="00370026"/>
    <w:rsid w:val="00370621"/>
    <w:rsid w:val="00370980"/>
    <w:rsid w:val="00372565"/>
    <w:rsid w:val="00373713"/>
    <w:rsid w:val="00373FBD"/>
    <w:rsid w:val="00374730"/>
    <w:rsid w:val="00375B27"/>
    <w:rsid w:val="003760C3"/>
    <w:rsid w:val="0037744A"/>
    <w:rsid w:val="003807CF"/>
    <w:rsid w:val="00381CA2"/>
    <w:rsid w:val="00381D0F"/>
    <w:rsid w:val="0038256B"/>
    <w:rsid w:val="003825CE"/>
    <w:rsid w:val="00383816"/>
    <w:rsid w:val="00383ACA"/>
    <w:rsid w:val="00383EE5"/>
    <w:rsid w:val="003865C6"/>
    <w:rsid w:val="00391212"/>
    <w:rsid w:val="00391BA8"/>
    <w:rsid w:val="00391BF6"/>
    <w:rsid w:val="00391E3A"/>
    <w:rsid w:val="003923E9"/>
    <w:rsid w:val="0039281C"/>
    <w:rsid w:val="003936D4"/>
    <w:rsid w:val="00393E41"/>
    <w:rsid w:val="00393E5A"/>
    <w:rsid w:val="003978A3"/>
    <w:rsid w:val="0039793D"/>
    <w:rsid w:val="00397A54"/>
    <w:rsid w:val="00397AAE"/>
    <w:rsid w:val="003A062B"/>
    <w:rsid w:val="003A184C"/>
    <w:rsid w:val="003A271D"/>
    <w:rsid w:val="003A297B"/>
    <w:rsid w:val="003A41CB"/>
    <w:rsid w:val="003A457F"/>
    <w:rsid w:val="003A61BB"/>
    <w:rsid w:val="003A6675"/>
    <w:rsid w:val="003A6B62"/>
    <w:rsid w:val="003A7335"/>
    <w:rsid w:val="003B13ED"/>
    <w:rsid w:val="003B1A1A"/>
    <w:rsid w:val="003B5B87"/>
    <w:rsid w:val="003B60B9"/>
    <w:rsid w:val="003B73B8"/>
    <w:rsid w:val="003B755A"/>
    <w:rsid w:val="003C028C"/>
    <w:rsid w:val="003C1136"/>
    <w:rsid w:val="003C11AE"/>
    <w:rsid w:val="003C22F6"/>
    <w:rsid w:val="003C2C12"/>
    <w:rsid w:val="003C4279"/>
    <w:rsid w:val="003C5407"/>
    <w:rsid w:val="003C6199"/>
    <w:rsid w:val="003C6F35"/>
    <w:rsid w:val="003D050E"/>
    <w:rsid w:val="003D21A2"/>
    <w:rsid w:val="003D2349"/>
    <w:rsid w:val="003D2E54"/>
    <w:rsid w:val="003D49B5"/>
    <w:rsid w:val="003D4A03"/>
    <w:rsid w:val="003D50BB"/>
    <w:rsid w:val="003D7A6E"/>
    <w:rsid w:val="003E0412"/>
    <w:rsid w:val="003E09AF"/>
    <w:rsid w:val="003E4144"/>
    <w:rsid w:val="003E4D75"/>
    <w:rsid w:val="003E4FEA"/>
    <w:rsid w:val="003E55F4"/>
    <w:rsid w:val="003E58C5"/>
    <w:rsid w:val="003E5B85"/>
    <w:rsid w:val="003E6B3E"/>
    <w:rsid w:val="003F3530"/>
    <w:rsid w:val="003F4F87"/>
    <w:rsid w:val="003F53F9"/>
    <w:rsid w:val="003F63C2"/>
    <w:rsid w:val="004001B0"/>
    <w:rsid w:val="00401492"/>
    <w:rsid w:val="004020BB"/>
    <w:rsid w:val="0040229B"/>
    <w:rsid w:val="0040242E"/>
    <w:rsid w:val="00402EDE"/>
    <w:rsid w:val="00403267"/>
    <w:rsid w:val="00405403"/>
    <w:rsid w:val="00406BFC"/>
    <w:rsid w:val="00406E64"/>
    <w:rsid w:val="00406F4B"/>
    <w:rsid w:val="00410381"/>
    <w:rsid w:val="00411690"/>
    <w:rsid w:val="004122C7"/>
    <w:rsid w:val="00412A8F"/>
    <w:rsid w:val="00414750"/>
    <w:rsid w:val="00417779"/>
    <w:rsid w:val="00417B11"/>
    <w:rsid w:val="00420112"/>
    <w:rsid w:val="00422C9A"/>
    <w:rsid w:val="0042459C"/>
    <w:rsid w:val="00424A87"/>
    <w:rsid w:val="004252B7"/>
    <w:rsid w:val="00426213"/>
    <w:rsid w:val="004263DF"/>
    <w:rsid w:val="004269C9"/>
    <w:rsid w:val="00426B31"/>
    <w:rsid w:val="00427702"/>
    <w:rsid w:val="004301BB"/>
    <w:rsid w:val="0043069F"/>
    <w:rsid w:val="00432CB4"/>
    <w:rsid w:val="0043458B"/>
    <w:rsid w:val="0043609A"/>
    <w:rsid w:val="004371D1"/>
    <w:rsid w:val="0043770D"/>
    <w:rsid w:val="004379DE"/>
    <w:rsid w:val="00437DEC"/>
    <w:rsid w:val="00437E71"/>
    <w:rsid w:val="00441AF5"/>
    <w:rsid w:val="0044232C"/>
    <w:rsid w:val="00442702"/>
    <w:rsid w:val="00442FDE"/>
    <w:rsid w:val="004436C8"/>
    <w:rsid w:val="0044456F"/>
    <w:rsid w:val="00445864"/>
    <w:rsid w:val="00447659"/>
    <w:rsid w:val="00447858"/>
    <w:rsid w:val="00450A4A"/>
    <w:rsid w:val="0045140F"/>
    <w:rsid w:val="004540DB"/>
    <w:rsid w:val="00454832"/>
    <w:rsid w:val="00455893"/>
    <w:rsid w:val="00455A8D"/>
    <w:rsid w:val="00455FF4"/>
    <w:rsid w:val="00457056"/>
    <w:rsid w:val="0045761B"/>
    <w:rsid w:val="004613E2"/>
    <w:rsid w:val="0046349F"/>
    <w:rsid w:val="00463982"/>
    <w:rsid w:val="00464828"/>
    <w:rsid w:val="00464862"/>
    <w:rsid w:val="00464F98"/>
    <w:rsid w:val="0046587D"/>
    <w:rsid w:val="00465CF4"/>
    <w:rsid w:val="00466ACA"/>
    <w:rsid w:val="00466D60"/>
    <w:rsid w:val="00467751"/>
    <w:rsid w:val="00470E6F"/>
    <w:rsid w:val="00471061"/>
    <w:rsid w:val="004712E0"/>
    <w:rsid w:val="00473292"/>
    <w:rsid w:val="00474CFF"/>
    <w:rsid w:val="004753A2"/>
    <w:rsid w:val="00475D94"/>
    <w:rsid w:val="00476FB5"/>
    <w:rsid w:val="00481C3F"/>
    <w:rsid w:val="00482205"/>
    <w:rsid w:val="00482599"/>
    <w:rsid w:val="00482E4D"/>
    <w:rsid w:val="0048323B"/>
    <w:rsid w:val="004844D2"/>
    <w:rsid w:val="004846C1"/>
    <w:rsid w:val="00484CAB"/>
    <w:rsid w:val="00485466"/>
    <w:rsid w:val="00485752"/>
    <w:rsid w:val="00486186"/>
    <w:rsid w:val="00487FFE"/>
    <w:rsid w:val="00490568"/>
    <w:rsid w:val="00490C73"/>
    <w:rsid w:val="004924E8"/>
    <w:rsid w:val="00493A33"/>
    <w:rsid w:val="00495EAD"/>
    <w:rsid w:val="00496453"/>
    <w:rsid w:val="00496795"/>
    <w:rsid w:val="00496D43"/>
    <w:rsid w:val="00496E85"/>
    <w:rsid w:val="00496F9A"/>
    <w:rsid w:val="00497C67"/>
    <w:rsid w:val="004A3B5D"/>
    <w:rsid w:val="004A3D11"/>
    <w:rsid w:val="004A45B6"/>
    <w:rsid w:val="004A5473"/>
    <w:rsid w:val="004A58D7"/>
    <w:rsid w:val="004A5F32"/>
    <w:rsid w:val="004A6EDF"/>
    <w:rsid w:val="004A777D"/>
    <w:rsid w:val="004A7D52"/>
    <w:rsid w:val="004B07B0"/>
    <w:rsid w:val="004B0853"/>
    <w:rsid w:val="004B0C6D"/>
    <w:rsid w:val="004B0F0D"/>
    <w:rsid w:val="004B1B10"/>
    <w:rsid w:val="004B1EAF"/>
    <w:rsid w:val="004B2B0F"/>
    <w:rsid w:val="004B3490"/>
    <w:rsid w:val="004B3A84"/>
    <w:rsid w:val="004B495B"/>
    <w:rsid w:val="004B4E41"/>
    <w:rsid w:val="004B57EF"/>
    <w:rsid w:val="004B5D43"/>
    <w:rsid w:val="004B7345"/>
    <w:rsid w:val="004B75ED"/>
    <w:rsid w:val="004B7FE3"/>
    <w:rsid w:val="004C0B3B"/>
    <w:rsid w:val="004C1076"/>
    <w:rsid w:val="004C1199"/>
    <w:rsid w:val="004C2BA1"/>
    <w:rsid w:val="004C2C36"/>
    <w:rsid w:val="004C2CFF"/>
    <w:rsid w:val="004C3C4B"/>
    <w:rsid w:val="004C44E0"/>
    <w:rsid w:val="004C50A2"/>
    <w:rsid w:val="004C6372"/>
    <w:rsid w:val="004C678F"/>
    <w:rsid w:val="004C7697"/>
    <w:rsid w:val="004D10AF"/>
    <w:rsid w:val="004D1EA5"/>
    <w:rsid w:val="004D28C5"/>
    <w:rsid w:val="004D2C93"/>
    <w:rsid w:val="004D2FBF"/>
    <w:rsid w:val="004D3346"/>
    <w:rsid w:val="004D40C4"/>
    <w:rsid w:val="004D5300"/>
    <w:rsid w:val="004D71A3"/>
    <w:rsid w:val="004D7252"/>
    <w:rsid w:val="004E0412"/>
    <w:rsid w:val="004E1ABA"/>
    <w:rsid w:val="004E1B1B"/>
    <w:rsid w:val="004E2405"/>
    <w:rsid w:val="004E2963"/>
    <w:rsid w:val="004E30C7"/>
    <w:rsid w:val="004E3221"/>
    <w:rsid w:val="004E39EA"/>
    <w:rsid w:val="004E3E8C"/>
    <w:rsid w:val="004E4BDB"/>
    <w:rsid w:val="004E5DAB"/>
    <w:rsid w:val="004E61AB"/>
    <w:rsid w:val="004E6905"/>
    <w:rsid w:val="004E75C9"/>
    <w:rsid w:val="004E79D8"/>
    <w:rsid w:val="004F0CC7"/>
    <w:rsid w:val="004F243E"/>
    <w:rsid w:val="004F2CEA"/>
    <w:rsid w:val="004F40B5"/>
    <w:rsid w:val="004F46B1"/>
    <w:rsid w:val="004F50E6"/>
    <w:rsid w:val="004F5E09"/>
    <w:rsid w:val="004F7350"/>
    <w:rsid w:val="004F7B40"/>
    <w:rsid w:val="0050019F"/>
    <w:rsid w:val="00500EF1"/>
    <w:rsid w:val="0050194C"/>
    <w:rsid w:val="0050248A"/>
    <w:rsid w:val="00502EBF"/>
    <w:rsid w:val="005040FE"/>
    <w:rsid w:val="0050633F"/>
    <w:rsid w:val="00506367"/>
    <w:rsid w:val="00507202"/>
    <w:rsid w:val="0050760A"/>
    <w:rsid w:val="005079A4"/>
    <w:rsid w:val="00510430"/>
    <w:rsid w:val="00510851"/>
    <w:rsid w:val="00511CD2"/>
    <w:rsid w:val="00512B44"/>
    <w:rsid w:val="00514379"/>
    <w:rsid w:val="005172EF"/>
    <w:rsid w:val="005174A2"/>
    <w:rsid w:val="00517DEA"/>
    <w:rsid w:val="005200E1"/>
    <w:rsid w:val="005204DB"/>
    <w:rsid w:val="00520665"/>
    <w:rsid w:val="00521404"/>
    <w:rsid w:val="0052283A"/>
    <w:rsid w:val="00524384"/>
    <w:rsid w:val="00525285"/>
    <w:rsid w:val="005257A4"/>
    <w:rsid w:val="005258EE"/>
    <w:rsid w:val="00527154"/>
    <w:rsid w:val="00527DF5"/>
    <w:rsid w:val="00527F6A"/>
    <w:rsid w:val="0053020D"/>
    <w:rsid w:val="00530497"/>
    <w:rsid w:val="00531018"/>
    <w:rsid w:val="00531918"/>
    <w:rsid w:val="00531D07"/>
    <w:rsid w:val="00532E07"/>
    <w:rsid w:val="005333C9"/>
    <w:rsid w:val="005334DE"/>
    <w:rsid w:val="00536AC3"/>
    <w:rsid w:val="0053766B"/>
    <w:rsid w:val="00541301"/>
    <w:rsid w:val="00541797"/>
    <w:rsid w:val="00541F90"/>
    <w:rsid w:val="00542DF0"/>
    <w:rsid w:val="00543B52"/>
    <w:rsid w:val="00545A79"/>
    <w:rsid w:val="00545DE6"/>
    <w:rsid w:val="00545E9E"/>
    <w:rsid w:val="00546806"/>
    <w:rsid w:val="00546C12"/>
    <w:rsid w:val="00546F06"/>
    <w:rsid w:val="0054734B"/>
    <w:rsid w:val="00551279"/>
    <w:rsid w:val="00554606"/>
    <w:rsid w:val="00555AB6"/>
    <w:rsid w:val="005567BE"/>
    <w:rsid w:val="00556F3B"/>
    <w:rsid w:val="00557AD3"/>
    <w:rsid w:val="00557ADC"/>
    <w:rsid w:val="00561967"/>
    <w:rsid w:val="00562420"/>
    <w:rsid w:val="00562B9A"/>
    <w:rsid w:val="00563A3E"/>
    <w:rsid w:val="00563D1D"/>
    <w:rsid w:val="00563D7E"/>
    <w:rsid w:val="0056412D"/>
    <w:rsid w:val="00565C33"/>
    <w:rsid w:val="00565D10"/>
    <w:rsid w:val="005660E5"/>
    <w:rsid w:val="00567534"/>
    <w:rsid w:val="00570522"/>
    <w:rsid w:val="00570B35"/>
    <w:rsid w:val="00571AD7"/>
    <w:rsid w:val="00571CD4"/>
    <w:rsid w:val="005739A5"/>
    <w:rsid w:val="00574113"/>
    <w:rsid w:val="00574475"/>
    <w:rsid w:val="00574D3B"/>
    <w:rsid w:val="00575098"/>
    <w:rsid w:val="00575D99"/>
    <w:rsid w:val="0057730E"/>
    <w:rsid w:val="00577D5F"/>
    <w:rsid w:val="00580E19"/>
    <w:rsid w:val="00583C0E"/>
    <w:rsid w:val="00583D32"/>
    <w:rsid w:val="0058414F"/>
    <w:rsid w:val="00585C12"/>
    <w:rsid w:val="00585C61"/>
    <w:rsid w:val="00587411"/>
    <w:rsid w:val="0058764F"/>
    <w:rsid w:val="005878AA"/>
    <w:rsid w:val="00587B1F"/>
    <w:rsid w:val="00587D11"/>
    <w:rsid w:val="0059026E"/>
    <w:rsid w:val="00590671"/>
    <w:rsid w:val="00591719"/>
    <w:rsid w:val="00593D48"/>
    <w:rsid w:val="005978F2"/>
    <w:rsid w:val="00597E4D"/>
    <w:rsid w:val="005A0A34"/>
    <w:rsid w:val="005A3829"/>
    <w:rsid w:val="005A38D9"/>
    <w:rsid w:val="005A4E46"/>
    <w:rsid w:val="005A6387"/>
    <w:rsid w:val="005A708B"/>
    <w:rsid w:val="005A79FB"/>
    <w:rsid w:val="005A7CAD"/>
    <w:rsid w:val="005A7FF0"/>
    <w:rsid w:val="005B11FA"/>
    <w:rsid w:val="005B23C7"/>
    <w:rsid w:val="005B24B5"/>
    <w:rsid w:val="005B4899"/>
    <w:rsid w:val="005B4A69"/>
    <w:rsid w:val="005B609E"/>
    <w:rsid w:val="005B641F"/>
    <w:rsid w:val="005B6655"/>
    <w:rsid w:val="005B6DD9"/>
    <w:rsid w:val="005B7235"/>
    <w:rsid w:val="005B7846"/>
    <w:rsid w:val="005B7943"/>
    <w:rsid w:val="005C0A9F"/>
    <w:rsid w:val="005C1B35"/>
    <w:rsid w:val="005C2F28"/>
    <w:rsid w:val="005C40D3"/>
    <w:rsid w:val="005D0E49"/>
    <w:rsid w:val="005D19E6"/>
    <w:rsid w:val="005D2267"/>
    <w:rsid w:val="005D3E4F"/>
    <w:rsid w:val="005D4338"/>
    <w:rsid w:val="005D4FB5"/>
    <w:rsid w:val="005D5AD6"/>
    <w:rsid w:val="005D5EAA"/>
    <w:rsid w:val="005D60EA"/>
    <w:rsid w:val="005D6382"/>
    <w:rsid w:val="005D6653"/>
    <w:rsid w:val="005D68EA"/>
    <w:rsid w:val="005D6B29"/>
    <w:rsid w:val="005D7270"/>
    <w:rsid w:val="005D743D"/>
    <w:rsid w:val="005E1FA8"/>
    <w:rsid w:val="005E32EB"/>
    <w:rsid w:val="005E4294"/>
    <w:rsid w:val="005E45D4"/>
    <w:rsid w:val="005E46D5"/>
    <w:rsid w:val="005E538A"/>
    <w:rsid w:val="005E6FBE"/>
    <w:rsid w:val="005F3CF7"/>
    <w:rsid w:val="005F4778"/>
    <w:rsid w:val="005F4C18"/>
    <w:rsid w:val="005F56CA"/>
    <w:rsid w:val="005F5AD9"/>
    <w:rsid w:val="00600AD5"/>
    <w:rsid w:val="006015D4"/>
    <w:rsid w:val="00602D2A"/>
    <w:rsid w:val="00604944"/>
    <w:rsid w:val="0060604B"/>
    <w:rsid w:val="00610805"/>
    <w:rsid w:val="00610880"/>
    <w:rsid w:val="00612121"/>
    <w:rsid w:val="00612477"/>
    <w:rsid w:val="006141B1"/>
    <w:rsid w:val="0061498B"/>
    <w:rsid w:val="00615E21"/>
    <w:rsid w:val="00616E9F"/>
    <w:rsid w:val="00621483"/>
    <w:rsid w:val="0062238E"/>
    <w:rsid w:val="0062258A"/>
    <w:rsid w:val="0062288F"/>
    <w:rsid w:val="00622D4A"/>
    <w:rsid w:val="00623549"/>
    <w:rsid w:val="00624E91"/>
    <w:rsid w:val="00625841"/>
    <w:rsid w:val="006262F3"/>
    <w:rsid w:val="00626783"/>
    <w:rsid w:val="00627BDE"/>
    <w:rsid w:val="00631E25"/>
    <w:rsid w:val="00632206"/>
    <w:rsid w:val="00632378"/>
    <w:rsid w:val="006333A8"/>
    <w:rsid w:val="006334F2"/>
    <w:rsid w:val="006339BB"/>
    <w:rsid w:val="00634283"/>
    <w:rsid w:val="00634FF8"/>
    <w:rsid w:val="006353F5"/>
    <w:rsid w:val="00635853"/>
    <w:rsid w:val="00637786"/>
    <w:rsid w:val="00640CBD"/>
    <w:rsid w:val="006425B0"/>
    <w:rsid w:val="00642684"/>
    <w:rsid w:val="00642696"/>
    <w:rsid w:val="00643BC1"/>
    <w:rsid w:val="006441D5"/>
    <w:rsid w:val="00644F4C"/>
    <w:rsid w:val="00645D91"/>
    <w:rsid w:val="00646643"/>
    <w:rsid w:val="00646CE7"/>
    <w:rsid w:val="00647301"/>
    <w:rsid w:val="00650583"/>
    <w:rsid w:val="00650782"/>
    <w:rsid w:val="00650D80"/>
    <w:rsid w:val="00651431"/>
    <w:rsid w:val="00651F99"/>
    <w:rsid w:val="00652D03"/>
    <w:rsid w:val="00652E90"/>
    <w:rsid w:val="00653C11"/>
    <w:rsid w:val="00654691"/>
    <w:rsid w:val="006568D7"/>
    <w:rsid w:val="006606E3"/>
    <w:rsid w:val="00661386"/>
    <w:rsid w:val="00661F5E"/>
    <w:rsid w:val="00662CD1"/>
    <w:rsid w:val="006637ED"/>
    <w:rsid w:val="006645A9"/>
    <w:rsid w:val="00665BBA"/>
    <w:rsid w:val="006670FB"/>
    <w:rsid w:val="0066723D"/>
    <w:rsid w:val="006708BC"/>
    <w:rsid w:val="00670BC6"/>
    <w:rsid w:val="00670C13"/>
    <w:rsid w:val="00671016"/>
    <w:rsid w:val="00671304"/>
    <w:rsid w:val="006713B7"/>
    <w:rsid w:val="00671AA7"/>
    <w:rsid w:val="00672A48"/>
    <w:rsid w:val="00673B33"/>
    <w:rsid w:val="00673DC9"/>
    <w:rsid w:val="00675255"/>
    <w:rsid w:val="00675EF5"/>
    <w:rsid w:val="006767AC"/>
    <w:rsid w:val="006775A1"/>
    <w:rsid w:val="00677FEE"/>
    <w:rsid w:val="006802F1"/>
    <w:rsid w:val="00680317"/>
    <w:rsid w:val="00680DD1"/>
    <w:rsid w:val="00681CB7"/>
    <w:rsid w:val="00682613"/>
    <w:rsid w:val="00683E39"/>
    <w:rsid w:val="00683F03"/>
    <w:rsid w:val="006859B0"/>
    <w:rsid w:val="00686A99"/>
    <w:rsid w:val="00690043"/>
    <w:rsid w:val="00690CB6"/>
    <w:rsid w:val="0069101D"/>
    <w:rsid w:val="00691FC7"/>
    <w:rsid w:val="00692155"/>
    <w:rsid w:val="006923B0"/>
    <w:rsid w:val="006935C9"/>
    <w:rsid w:val="00697962"/>
    <w:rsid w:val="006A08CE"/>
    <w:rsid w:val="006A1D39"/>
    <w:rsid w:val="006A2342"/>
    <w:rsid w:val="006A3555"/>
    <w:rsid w:val="006A38CB"/>
    <w:rsid w:val="006A50C0"/>
    <w:rsid w:val="006A62FC"/>
    <w:rsid w:val="006A7B11"/>
    <w:rsid w:val="006B1758"/>
    <w:rsid w:val="006B2B1E"/>
    <w:rsid w:val="006B3162"/>
    <w:rsid w:val="006B3DD7"/>
    <w:rsid w:val="006B3FCE"/>
    <w:rsid w:val="006B4A4C"/>
    <w:rsid w:val="006B52B5"/>
    <w:rsid w:val="006B6BA4"/>
    <w:rsid w:val="006C030C"/>
    <w:rsid w:val="006C167B"/>
    <w:rsid w:val="006C3F5F"/>
    <w:rsid w:val="006C42AB"/>
    <w:rsid w:val="006C5302"/>
    <w:rsid w:val="006C6E3C"/>
    <w:rsid w:val="006D076B"/>
    <w:rsid w:val="006D0927"/>
    <w:rsid w:val="006D1B29"/>
    <w:rsid w:val="006D1C28"/>
    <w:rsid w:val="006D3736"/>
    <w:rsid w:val="006D4843"/>
    <w:rsid w:val="006D588C"/>
    <w:rsid w:val="006D78A7"/>
    <w:rsid w:val="006E0ACA"/>
    <w:rsid w:val="006E2F2C"/>
    <w:rsid w:val="006E378F"/>
    <w:rsid w:val="006E4D41"/>
    <w:rsid w:val="006E5850"/>
    <w:rsid w:val="006E586F"/>
    <w:rsid w:val="006E6327"/>
    <w:rsid w:val="006E744E"/>
    <w:rsid w:val="006E7D25"/>
    <w:rsid w:val="006E7D38"/>
    <w:rsid w:val="006E7DC3"/>
    <w:rsid w:val="006F0E4C"/>
    <w:rsid w:val="006F1003"/>
    <w:rsid w:val="006F249A"/>
    <w:rsid w:val="006F2DD5"/>
    <w:rsid w:val="006F2EAC"/>
    <w:rsid w:val="006F384D"/>
    <w:rsid w:val="006F6553"/>
    <w:rsid w:val="006F6F4C"/>
    <w:rsid w:val="00700976"/>
    <w:rsid w:val="007036F9"/>
    <w:rsid w:val="007039AF"/>
    <w:rsid w:val="0070463F"/>
    <w:rsid w:val="00710834"/>
    <w:rsid w:val="0071166C"/>
    <w:rsid w:val="0071219D"/>
    <w:rsid w:val="00712A42"/>
    <w:rsid w:val="00712CDD"/>
    <w:rsid w:val="0071599B"/>
    <w:rsid w:val="00720D87"/>
    <w:rsid w:val="0072148F"/>
    <w:rsid w:val="00721C78"/>
    <w:rsid w:val="00724996"/>
    <w:rsid w:val="00724A1D"/>
    <w:rsid w:val="007266CC"/>
    <w:rsid w:val="0072678B"/>
    <w:rsid w:val="00726CAB"/>
    <w:rsid w:val="007303FC"/>
    <w:rsid w:val="00730C23"/>
    <w:rsid w:val="00730EB4"/>
    <w:rsid w:val="00732C43"/>
    <w:rsid w:val="00733257"/>
    <w:rsid w:val="007339F7"/>
    <w:rsid w:val="00733BCF"/>
    <w:rsid w:val="00735025"/>
    <w:rsid w:val="00735F33"/>
    <w:rsid w:val="0073644D"/>
    <w:rsid w:val="007367FF"/>
    <w:rsid w:val="00736D12"/>
    <w:rsid w:val="007373BF"/>
    <w:rsid w:val="0073774E"/>
    <w:rsid w:val="007433CC"/>
    <w:rsid w:val="00744207"/>
    <w:rsid w:val="0074450C"/>
    <w:rsid w:val="00744AAB"/>
    <w:rsid w:val="0074627F"/>
    <w:rsid w:val="0074721B"/>
    <w:rsid w:val="00747614"/>
    <w:rsid w:val="00747742"/>
    <w:rsid w:val="00750A13"/>
    <w:rsid w:val="00750D99"/>
    <w:rsid w:val="0075172B"/>
    <w:rsid w:val="00751971"/>
    <w:rsid w:val="007529AD"/>
    <w:rsid w:val="00752EB1"/>
    <w:rsid w:val="007534BE"/>
    <w:rsid w:val="00753DAC"/>
    <w:rsid w:val="00754A0E"/>
    <w:rsid w:val="00754BEF"/>
    <w:rsid w:val="00754C15"/>
    <w:rsid w:val="0075599F"/>
    <w:rsid w:val="00755C76"/>
    <w:rsid w:val="007566D1"/>
    <w:rsid w:val="00756D3F"/>
    <w:rsid w:val="0075731C"/>
    <w:rsid w:val="0075734F"/>
    <w:rsid w:val="00757D5C"/>
    <w:rsid w:val="00760CDC"/>
    <w:rsid w:val="00760E91"/>
    <w:rsid w:val="007616FE"/>
    <w:rsid w:val="00762079"/>
    <w:rsid w:val="007620EA"/>
    <w:rsid w:val="00762133"/>
    <w:rsid w:val="0076304F"/>
    <w:rsid w:val="00763066"/>
    <w:rsid w:val="00764077"/>
    <w:rsid w:val="00764CF9"/>
    <w:rsid w:val="00765D6A"/>
    <w:rsid w:val="007662E5"/>
    <w:rsid w:val="00766773"/>
    <w:rsid w:val="007673E0"/>
    <w:rsid w:val="00767400"/>
    <w:rsid w:val="00767D94"/>
    <w:rsid w:val="00770547"/>
    <w:rsid w:val="00770959"/>
    <w:rsid w:val="00771E50"/>
    <w:rsid w:val="00772374"/>
    <w:rsid w:val="00773AD0"/>
    <w:rsid w:val="00774EB9"/>
    <w:rsid w:val="00776811"/>
    <w:rsid w:val="007773CB"/>
    <w:rsid w:val="00781AB5"/>
    <w:rsid w:val="00781DA4"/>
    <w:rsid w:val="00782084"/>
    <w:rsid w:val="007834DA"/>
    <w:rsid w:val="0078360C"/>
    <w:rsid w:val="00785201"/>
    <w:rsid w:val="0078531A"/>
    <w:rsid w:val="00787600"/>
    <w:rsid w:val="00791870"/>
    <w:rsid w:val="00791EFE"/>
    <w:rsid w:val="00791FF1"/>
    <w:rsid w:val="00792287"/>
    <w:rsid w:val="00793A1C"/>
    <w:rsid w:val="00794242"/>
    <w:rsid w:val="00794F5B"/>
    <w:rsid w:val="007951AE"/>
    <w:rsid w:val="00795264"/>
    <w:rsid w:val="007957B1"/>
    <w:rsid w:val="00797071"/>
    <w:rsid w:val="007A01BB"/>
    <w:rsid w:val="007A0EB4"/>
    <w:rsid w:val="007A1443"/>
    <w:rsid w:val="007A1B1D"/>
    <w:rsid w:val="007A3579"/>
    <w:rsid w:val="007A3718"/>
    <w:rsid w:val="007A3904"/>
    <w:rsid w:val="007A3D78"/>
    <w:rsid w:val="007A4371"/>
    <w:rsid w:val="007A4D7F"/>
    <w:rsid w:val="007A50F0"/>
    <w:rsid w:val="007A5FB1"/>
    <w:rsid w:val="007A6BF0"/>
    <w:rsid w:val="007A7BF5"/>
    <w:rsid w:val="007B00C6"/>
    <w:rsid w:val="007B09B4"/>
    <w:rsid w:val="007B229F"/>
    <w:rsid w:val="007B3A8F"/>
    <w:rsid w:val="007B41A8"/>
    <w:rsid w:val="007B42B9"/>
    <w:rsid w:val="007B595F"/>
    <w:rsid w:val="007B725E"/>
    <w:rsid w:val="007B736C"/>
    <w:rsid w:val="007C0DF3"/>
    <w:rsid w:val="007C12E1"/>
    <w:rsid w:val="007C12F6"/>
    <w:rsid w:val="007C1C54"/>
    <w:rsid w:val="007C2AE7"/>
    <w:rsid w:val="007C3F13"/>
    <w:rsid w:val="007C433C"/>
    <w:rsid w:val="007C4773"/>
    <w:rsid w:val="007C5C01"/>
    <w:rsid w:val="007C6D55"/>
    <w:rsid w:val="007D026C"/>
    <w:rsid w:val="007D09F8"/>
    <w:rsid w:val="007D144D"/>
    <w:rsid w:val="007D1DA8"/>
    <w:rsid w:val="007D22AE"/>
    <w:rsid w:val="007D27C5"/>
    <w:rsid w:val="007D2AE8"/>
    <w:rsid w:val="007D3569"/>
    <w:rsid w:val="007D3AFD"/>
    <w:rsid w:val="007D52A5"/>
    <w:rsid w:val="007D5DFB"/>
    <w:rsid w:val="007D7987"/>
    <w:rsid w:val="007E217D"/>
    <w:rsid w:val="007E28D4"/>
    <w:rsid w:val="007E3099"/>
    <w:rsid w:val="007E319E"/>
    <w:rsid w:val="007E42F5"/>
    <w:rsid w:val="007F13A9"/>
    <w:rsid w:val="007F1578"/>
    <w:rsid w:val="007F1DD3"/>
    <w:rsid w:val="007F2480"/>
    <w:rsid w:val="007F26F0"/>
    <w:rsid w:val="007F3F3B"/>
    <w:rsid w:val="007F4183"/>
    <w:rsid w:val="007F41E4"/>
    <w:rsid w:val="007F4B2A"/>
    <w:rsid w:val="007F4F9E"/>
    <w:rsid w:val="007F5718"/>
    <w:rsid w:val="007F66D7"/>
    <w:rsid w:val="007F6811"/>
    <w:rsid w:val="007F6A11"/>
    <w:rsid w:val="007F739E"/>
    <w:rsid w:val="007F744E"/>
    <w:rsid w:val="007F756D"/>
    <w:rsid w:val="007F7ED8"/>
    <w:rsid w:val="007F7F0D"/>
    <w:rsid w:val="008014FE"/>
    <w:rsid w:val="00801862"/>
    <w:rsid w:val="00801A68"/>
    <w:rsid w:val="00801EEE"/>
    <w:rsid w:val="0080253F"/>
    <w:rsid w:val="0080272C"/>
    <w:rsid w:val="0080388D"/>
    <w:rsid w:val="008038D4"/>
    <w:rsid w:val="00803A1B"/>
    <w:rsid w:val="00803B61"/>
    <w:rsid w:val="008040BD"/>
    <w:rsid w:val="008057B7"/>
    <w:rsid w:val="008059D6"/>
    <w:rsid w:val="00805B4D"/>
    <w:rsid w:val="00806D42"/>
    <w:rsid w:val="00806FA6"/>
    <w:rsid w:val="00807A57"/>
    <w:rsid w:val="00807DCE"/>
    <w:rsid w:val="0081073E"/>
    <w:rsid w:val="008118BD"/>
    <w:rsid w:val="0081389D"/>
    <w:rsid w:val="00814DBF"/>
    <w:rsid w:val="0081616E"/>
    <w:rsid w:val="008163C4"/>
    <w:rsid w:val="0081700E"/>
    <w:rsid w:val="008171C7"/>
    <w:rsid w:val="0081752A"/>
    <w:rsid w:val="00820494"/>
    <w:rsid w:val="00820DF5"/>
    <w:rsid w:val="0082166E"/>
    <w:rsid w:val="00822226"/>
    <w:rsid w:val="0082299E"/>
    <w:rsid w:val="0082368B"/>
    <w:rsid w:val="00823946"/>
    <w:rsid w:val="008240F3"/>
    <w:rsid w:val="00824B1A"/>
    <w:rsid w:val="00824DC9"/>
    <w:rsid w:val="00826690"/>
    <w:rsid w:val="00826C4F"/>
    <w:rsid w:val="00830068"/>
    <w:rsid w:val="00830B82"/>
    <w:rsid w:val="00830BA4"/>
    <w:rsid w:val="00831EB3"/>
    <w:rsid w:val="0083270B"/>
    <w:rsid w:val="00832A4A"/>
    <w:rsid w:val="00832DCA"/>
    <w:rsid w:val="00833CF8"/>
    <w:rsid w:val="00833D3B"/>
    <w:rsid w:val="00834D68"/>
    <w:rsid w:val="00835D6D"/>
    <w:rsid w:val="008363F4"/>
    <w:rsid w:val="0083656D"/>
    <w:rsid w:val="00836A6C"/>
    <w:rsid w:val="00837831"/>
    <w:rsid w:val="00840503"/>
    <w:rsid w:val="008417A6"/>
    <w:rsid w:val="00843F12"/>
    <w:rsid w:val="00843FF0"/>
    <w:rsid w:val="008443AC"/>
    <w:rsid w:val="00844CDC"/>
    <w:rsid w:val="00846068"/>
    <w:rsid w:val="00846543"/>
    <w:rsid w:val="00846C2A"/>
    <w:rsid w:val="008479D2"/>
    <w:rsid w:val="00847FCE"/>
    <w:rsid w:val="00850077"/>
    <w:rsid w:val="00850124"/>
    <w:rsid w:val="00851429"/>
    <w:rsid w:val="00854849"/>
    <w:rsid w:val="008606C2"/>
    <w:rsid w:val="008619A5"/>
    <w:rsid w:val="00864242"/>
    <w:rsid w:val="008643C1"/>
    <w:rsid w:val="0086462F"/>
    <w:rsid w:val="00864A1C"/>
    <w:rsid w:val="0086505A"/>
    <w:rsid w:val="0086678B"/>
    <w:rsid w:val="008667E1"/>
    <w:rsid w:val="00866B4A"/>
    <w:rsid w:val="00866C5D"/>
    <w:rsid w:val="00867F50"/>
    <w:rsid w:val="00867F76"/>
    <w:rsid w:val="00870978"/>
    <w:rsid w:val="00870C00"/>
    <w:rsid w:val="00871430"/>
    <w:rsid w:val="00871BB8"/>
    <w:rsid w:val="00871F13"/>
    <w:rsid w:val="00872038"/>
    <w:rsid w:val="00872460"/>
    <w:rsid w:val="00873680"/>
    <w:rsid w:val="0087434E"/>
    <w:rsid w:val="008745F5"/>
    <w:rsid w:val="00874CCC"/>
    <w:rsid w:val="008760C6"/>
    <w:rsid w:val="00881F8E"/>
    <w:rsid w:val="00882389"/>
    <w:rsid w:val="00883B8B"/>
    <w:rsid w:val="00883E76"/>
    <w:rsid w:val="0088469A"/>
    <w:rsid w:val="00884A53"/>
    <w:rsid w:val="00884F7B"/>
    <w:rsid w:val="00885041"/>
    <w:rsid w:val="00885544"/>
    <w:rsid w:val="00887E45"/>
    <w:rsid w:val="00890590"/>
    <w:rsid w:val="008913DC"/>
    <w:rsid w:val="00891913"/>
    <w:rsid w:val="008928E9"/>
    <w:rsid w:val="008929E1"/>
    <w:rsid w:val="008960D6"/>
    <w:rsid w:val="0089615A"/>
    <w:rsid w:val="008963C6"/>
    <w:rsid w:val="008964F0"/>
    <w:rsid w:val="008966C4"/>
    <w:rsid w:val="0089690A"/>
    <w:rsid w:val="008A04C3"/>
    <w:rsid w:val="008A0545"/>
    <w:rsid w:val="008A0A05"/>
    <w:rsid w:val="008A2835"/>
    <w:rsid w:val="008A30AF"/>
    <w:rsid w:val="008A3305"/>
    <w:rsid w:val="008A59BD"/>
    <w:rsid w:val="008A6928"/>
    <w:rsid w:val="008A6A00"/>
    <w:rsid w:val="008A6C08"/>
    <w:rsid w:val="008A7AEA"/>
    <w:rsid w:val="008B065E"/>
    <w:rsid w:val="008B07FE"/>
    <w:rsid w:val="008B1ABA"/>
    <w:rsid w:val="008B1D2F"/>
    <w:rsid w:val="008B2AAE"/>
    <w:rsid w:val="008B4062"/>
    <w:rsid w:val="008B4A92"/>
    <w:rsid w:val="008B4AA3"/>
    <w:rsid w:val="008B6B7D"/>
    <w:rsid w:val="008B7987"/>
    <w:rsid w:val="008B7CBA"/>
    <w:rsid w:val="008C0B37"/>
    <w:rsid w:val="008C1BCA"/>
    <w:rsid w:val="008C1E97"/>
    <w:rsid w:val="008C2297"/>
    <w:rsid w:val="008C253F"/>
    <w:rsid w:val="008C286B"/>
    <w:rsid w:val="008C3011"/>
    <w:rsid w:val="008C38F9"/>
    <w:rsid w:val="008C47CA"/>
    <w:rsid w:val="008C540D"/>
    <w:rsid w:val="008C55AE"/>
    <w:rsid w:val="008C57F6"/>
    <w:rsid w:val="008C5EA0"/>
    <w:rsid w:val="008C60FA"/>
    <w:rsid w:val="008C71BB"/>
    <w:rsid w:val="008C7DDE"/>
    <w:rsid w:val="008C7E18"/>
    <w:rsid w:val="008D0DC9"/>
    <w:rsid w:val="008D33EB"/>
    <w:rsid w:val="008D3711"/>
    <w:rsid w:val="008D3AD3"/>
    <w:rsid w:val="008D3D31"/>
    <w:rsid w:val="008D4F7B"/>
    <w:rsid w:val="008D4F94"/>
    <w:rsid w:val="008D5537"/>
    <w:rsid w:val="008D5679"/>
    <w:rsid w:val="008D6B75"/>
    <w:rsid w:val="008D7EDC"/>
    <w:rsid w:val="008E0393"/>
    <w:rsid w:val="008E22E3"/>
    <w:rsid w:val="008E25D6"/>
    <w:rsid w:val="008E40C4"/>
    <w:rsid w:val="008E5021"/>
    <w:rsid w:val="008E5B0F"/>
    <w:rsid w:val="008E5E48"/>
    <w:rsid w:val="008E63AD"/>
    <w:rsid w:val="008E756A"/>
    <w:rsid w:val="008E7781"/>
    <w:rsid w:val="008F08D5"/>
    <w:rsid w:val="008F0EC2"/>
    <w:rsid w:val="008F1457"/>
    <w:rsid w:val="008F1D80"/>
    <w:rsid w:val="008F22EC"/>
    <w:rsid w:val="008F262E"/>
    <w:rsid w:val="008F28DB"/>
    <w:rsid w:val="008F36B2"/>
    <w:rsid w:val="008F3D47"/>
    <w:rsid w:val="008F698A"/>
    <w:rsid w:val="008F74EE"/>
    <w:rsid w:val="00900430"/>
    <w:rsid w:val="00900543"/>
    <w:rsid w:val="0090098E"/>
    <w:rsid w:val="00900F2E"/>
    <w:rsid w:val="009034B4"/>
    <w:rsid w:val="00905044"/>
    <w:rsid w:val="0090588D"/>
    <w:rsid w:val="00906B80"/>
    <w:rsid w:val="00906BCB"/>
    <w:rsid w:val="00907F8A"/>
    <w:rsid w:val="00913143"/>
    <w:rsid w:val="00913266"/>
    <w:rsid w:val="009138BF"/>
    <w:rsid w:val="00913972"/>
    <w:rsid w:val="0091472C"/>
    <w:rsid w:val="00914CEC"/>
    <w:rsid w:val="00914DE8"/>
    <w:rsid w:val="00915920"/>
    <w:rsid w:val="00915A6A"/>
    <w:rsid w:val="00915D10"/>
    <w:rsid w:val="00921727"/>
    <w:rsid w:val="00921E62"/>
    <w:rsid w:val="00922BCF"/>
    <w:rsid w:val="009237F5"/>
    <w:rsid w:val="009239B8"/>
    <w:rsid w:val="00923BFE"/>
    <w:rsid w:val="00923D64"/>
    <w:rsid w:val="009244AF"/>
    <w:rsid w:val="00924CFD"/>
    <w:rsid w:val="009258C2"/>
    <w:rsid w:val="00925B20"/>
    <w:rsid w:val="00925C30"/>
    <w:rsid w:val="00926C65"/>
    <w:rsid w:val="009276E1"/>
    <w:rsid w:val="0092794E"/>
    <w:rsid w:val="00930619"/>
    <w:rsid w:val="009306D9"/>
    <w:rsid w:val="00930D5B"/>
    <w:rsid w:val="00930E42"/>
    <w:rsid w:val="00932BBE"/>
    <w:rsid w:val="0093326C"/>
    <w:rsid w:val="009335C2"/>
    <w:rsid w:val="00933E8C"/>
    <w:rsid w:val="00936DEE"/>
    <w:rsid w:val="0094026B"/>
    <w:rsid w:val="00941112"/>
    <w:rsid w:val="00941753"/>
    <w:rsid w:val="00942FAF"/>
    <w:rsid w:val="0094309D"/>
    <w:rsid w:val="0094314B"/>
    <w:rsid w:val="0094383D"/>
    <w:rsid w:val="00943B28"/>
    <w:rsid w:val="0094559D"/>
    <w:rsid w:val="009455A4"/>
    <w:rsid w:val="00951FFE"/>
    <w:rsid w:val="009525F7"/>
    <w:rsid w:val="00953DF7"/>
    <w:rsid w:val="00954580"/>
    <w:rsid w:val="00954DE6"/>
    <w:rsid w:val="0095555A"/>
    <w:rsid w:val="0095590D"/>
    <w:rsid w:val="00955D5B"/>
    <w:rsid w:val="00955DCA"/>
    <w:rsid w:val="00960D6D"/>
    <w:rsid w:val="00960E83"/>
    <w:rsid w:val="0096213A"/>
    <w:rsid w:val="009626E4"/>
    <w:rsid w:val="00962D33"/>
    <w:rsid w:val="009632E7"/>
    <w:rsid w:val="0096372C"/>
    <w:rsid w:val="00963D81"/>
    <w:rsid w:val="00964064"/>
    <w:rsid w:val="009644D5"/>
    <w:rsid w:val="009656F9"/>
    <w:rsid w:val="00965F68"/>
    <w:rsid w:val="0096751C"/>
    <w:rsid w:val="00970386"/>
    <w:rsid w:val="0097152A"/>
    <w:rsid w:val="00971660"/>
    <w:rsid w:val="0097167A"/>
    <w:rsid w:val="00971884"/>
    <w:rsid w:val="00971894"/>
    <w:rsid w:val="0097201D"/>
    <w:rsid w:val="00974D6B"/>
    <w:rsid w:val="00976476"/>
    <w:rsid w:val="00976890"/>
    <w:rsid w:val="00976D60"/>
    <w:rsid w:val="0097717F"/>
    <w:rsid w:val="0097721A"/>
    <w:rsid w:val="00977820"/>
    <w:rsid w:val="00977CFE"/>
    <w:rsid w:val="00977EC2"/>
    <w:rsid w:val="00980BFD"/>
    <w:rsid w:val="00981B36"/>
    <w:rsid w:val="00982124"/>
    <w:rsid w:val="00982911"/>
    <w:rsid w:val="00982A98"/>
    <w:rsid w:val="00982B12"/>
    <w:rsid w:val="00983AC7"/>
    <w:rsid w:val="00983CA4"/>
    <w:rsid w:val="009845FB"/>
    <w:rsid w:val="00986444"/>
    <w:rsid w:val="00986AA2"/>
    <w:rsid w:val="00987AA7"/>
    <w:rsid w:val="00991050"/>
    <w:rsid w:val="009910CB"/>
    <w:rsid w:val="00991E22"/>
    <w:rsid w:val="00991EB3"/>
    <w:rsid w:val="00995214"/>
    <w:rsid w:val="009952DD"/>
    <w:rsid w:val="00995644"/>
    <w:rsid w:val="009957EA"/>
    <w:rsid w:val="0099586E"/>
    <w:rsid w:val="009A02E3"/>
    <w:rsid w:val="009A0432"/>
    <w:rsid w:val="009A2104"/>
    <w:rsid w:val="009A4D85"/>
    <w:rsid w:val="009A7676"/>
    <w:rsid w:val="009B0220"/>
    <w:rsid w:val="009B04B7"/>
    <w:rsid w:val="009B1A0B"/>
    <w:rsid w:val="009B2E06"/>
    <w:rsid w:val="009B321C"/>
    <w:rsid w:val="009B3D73"/>
    <w:rsid w:val="009B5631"/>
    <w:rsid w:val="009B6CC2"/>
    <w:rsid w:val="009B6F24"/>
    <w:rsid w:val="009B79CF"/>
    <w:rsid w:val="009C0B5D"/>
    <w:rsid w:val="009C1CDB"/>
    <w:rsid w:val="009C2E1F"/>
    <w:rsid w:val="009C2E77"/>
    <w:rsid w:val="009C2FF0"/>
    <w:rsid w:val="009C36D2"/>
    <w:rsid w:val="009C42AE"/>
    <w:rsid w:val="009C4984"/>
    <w:rsid w:val="009C4CF2"/>
    <w:rsid w:val="009C7A32"/>
    <w:rsid w:val="009D3A32"/>
    <w:rsid w:val="009D4054"/>
    <w:rsid w:val="009D4EAC"/>
    <w:rsid w:val="009D524D"/>
    <w:rsid w:val="009D649B"/>
    <w:rsid w:val="009D6A59"/>
    <w:rsid w:val="009D6C39"/>
    <w:rsid w:val="009D72B4"/>
    <w:rsid w:val="009D750E"/>
    <w:rsid w:val="009D7A7C"/>
    <w:rsid w:val="009E25D6"/>
    <w:rsid w:val="009E2C9D"/>
    <w:rsid w:val="009E3CC1"/>
    <w:rsid w:val="009E4470"/>
    <w:rsid w:val="009E4DEF"/>
    <w:rsid w:val="009E58B2"/>
    <w:rsid w:val="009E7230"/>
    <w:rsid w:val="009E7532"/>
    <w:rsid w:val="009E7C81"/>
    <w:rsid w:val="009E7F92"/>
    <w:rsid w:val="009F0A31"/>
    <w:rsid w:val="009F1CE7"/>
    <w:rsid w:val="009F26B1"/>
    <w:rsid w:val="009F3071"/>
    <w:rsid w:val="009F45A4"/>
    <w:rsid w:val="009F47FF"/>
    <w:rsid w:val="009F4FE1"/>
    <w:rsid w:val="009F5410"/>
    <w:rsid w:val="009F686F"/>
    <w:rsid w:val="009F6B89"/>
    <w:rsid w:val="009F6FC1"/>
    <w:rsid w:val="00A00C58"/>
    <w:rsid w:val="00A01098"/>
    <w:rsid w:val="00A02041"/>
    <w:rsid w:val="00A02A5E"/>
    <w:rsid w:val="00A02C79"/>
    <w:rsid w:val="00A02F73"/>
    <w:rsid w:val="00A03912"/>
    <w:rsid w:val="00A042B0"/>
    <w:rsid w:val="00A05A3D"/>
    <w:rsid w:val="00A0636E"/>
    <w:rsid w:val="00A063B4"/>
    <w:rsid w:val="00A06E58"/>
    <w:rsid w:val="00A11978"/>
    <w:rsid w:val="00A128DE"/>
    <w:rsid w:val="00A13209"/>
    <w:rsid w:val="00A13E43"/>
    <w:rsid w:val="00A150D1"/>
    <w:rsid w:val="00A15F8A"/>
    <w:rsid w:val="00A164FD"/>
    <w:rsid w:val="00A1671A"/>
    <w:rsid w:val="00A21AB0"/>
    <w:rsid w:val="00A21C66"/>
    <w:rsid w:val="00A239C3"/>
    <w:rsid w:val="00A23A23"/>
    <w:rsid w:val="00A23B28"/>
    <w:rsid w:val="00A23B30"/>
    <w:rsid w:val="00A256E7"/>
    <w:rsid w:val="00A2625C"/>
    <w:rsid w:val="00A27B5C"/>
    <w:rsid w:val="00A31DB2"/>
    <w:rsid w:val="00A33BCD"/>
    <w:rsid w:val="00A341C7"/>
    <w:rsid w:val="00A34A99"/>
    <w:rsid w:val="00A36864"/>
    <w:rsid w:val="00A36D1E"/>
    <w:rsid w:val="00A37119"/>
    <w:rsid w:val="00A3788A"/>
    <w:rsid w:val="00A40C95"/>
    <w:rsid w:val="00A41188"/>
    <w:rsid w:val="00A421D2"/>
    <w:rsid w:val="00A42283"/>
    <w:rsid w:val="00A4355A"/>
    <w:rsid w:val="00A44184"/>
    <w:rsid w:val="00A44DEC"/>
    <w:rsid w:val="00A44FBC"/>
    <w:rsid w:val="00A4771D"/>
    <w:rsid w:val="00A50426"/>
    <w:rsid w:val="00A511AE"/>
    <w:rsid w:val="00A52503"/>
    <w:rsid w:val="00A52ECD"/>
    <w:rsid w:val="00A548AF"/>
    <w:rsid w:val="00A567A6"/>
    <w:rsid w:val="00A56B3B"/>
    <w:rsid w:val="00A57D4F"/>
    <w:rsid w:val="00A57FD0"/>
    <w:rsid w:val="00A627BC"/>
    <w:rsid w:val="00A62F7B"/>
    <w:rsid w:val="00A636F8"/>
    <w:rsid w:val="00A63D01"/>
    <w:rsid w:val="00A6545C"/>
    <w:rsid w:val="00A6574D"/>
    <w:rsid w:val="00A66435"/>
    <w:rsid w:val="00A66679"/>
    <w:rsid w:val="00A6679E"/>
    <w:rsid w:val="00A74978"/>
    <w:rsid w:val="00A754D4"/>
    <w:rsid w:val="00A8223A"/>
    <w:rsid w:val="00A82372"/>
    <w:rsid w:val="00A8373A"/>
    <w:rsid w:val="00A85177"/>
    <w:rsid w:val="00A86E04"/>
    <w:rsid w:val="00A92E1E"/>
    <w:rsid w:val="00A95473"/>
    <w:rsid w:val="00AA1E2B"/>
    <w:rsid w:val="00AA39C8"/>
    <w:rsid w:val="00AA52E3"/>
    <w:rsid w:val="00AA5AD0"/>
    <w:rsid w:val="00AA5E12"/>
    <w:rsid w:val="00AA5F9E"/>
    <w:rsid w:val="00AA6DB1"/>
    <w:rsid w:val="00AA7EA1"/>
    <w:rsid w:val="00AB07FD"/>
    <w:rsid w:val="00AB2A64"/>
    <w:rsid w:val="00AB2BAD"/>
    <w:rsid w:val="00AB4130"/>
    <w:rsid w:val="00AB5366"/>
    <w:rsid w:val="00AB5E8D"/>
    <w:rsid w:val="00AB6CDF"/>
    <w:rsid w:val="00AB766E"/>
    <w:rsid w:val="00AB7824"/>
    <w:rsid w:val="00AC0616"/>
    <w:rsid w:val="00AC2167"/>
    <w:rsid w:val="00AC250C"/>
    <w:rsid w:val="00AC37B2"/>
    <w:rsid w:val="00AC6634"/>
    <w:rsid w:val="00AC70F2"/>
    <w:rsid w:val="00AC7190"/>
    <w:rsid w:val="00AC78FE"/>
    <w:rsid w:val="00AC7BF7"/>
    <w:rsid w:val="00AD015E"/>
    <w:rsid w:val="00AD0D1C"/>
    <w:rsid w:val="00AD1B18"/>
    <w:rsid w:val="00AD1E7A"/>
    <w:rsid w:val="00AD21C7"/>
    <w:rsid w:val="00AD31A2"/>
    <w:rsid w:val="00AD3B37"/>
    <w:rsid w:val="00AD3FE1"/>
    <w:rsid w:val="00AD57FF"/>
    <w:rsid w:val="00AD76F3"/>
    <w:rsid w:val="00AD78BD"/>
    <w:rsid w:val="00AE19CA"/>
    <w:rsid w:val="00AE2736"/>
    <w:rsid w:val="00AE363A"/>
    <w:rsid w:val="00AE3C36"/>
    <w:rsid w:val="00AE5D13"/>
    <w:rsid w:val="00AE5EAE"/>
    <w:rsid w:val="00AE60E4"/>
    <w:rsid w:val="00AF034B"/>
    <w:rsid w:val="00AF0410"/>
    <w:rsid w:val="00AF0D2A"/>
    <w:rsid w:val="00AF289B"/>
    <w:rsid w:val="00AF2F99"/>
    <w:rsid w:val="00AF32C6"/>
    <w:rsid w:val="00AF3E7F"/>
    <w:rsid w:val="00AF3FBD"/>
    <w:rsid w:val="00AF4FC1"/>
    <w:rsid w:val="00AF547E"/>
    <w:rsid w:val="00AF716C"/>
    <w:rsid w:val="00B007AE"/>
    <w:rsid w:val="00B00BBF"/>
    <w:rsid w:val="00B0398C"/>
    <w:rsid w:val="00B03DDC"/>
    <w:rsid w:val="00B0451C"/>
    <w:rsid w:val="00B04A5E"/>
    <w:rsid w:val="00B10BD6"/>
    <w:rsid w:val="00B10C54"/>
    <w:rsid w:val="00B11778"/>
    <w:rsid w:val="00B11789"/>
    <w:rsid w:val="00B117AD"/>
    <w:rsid w:val="00B11A7F"/>
    <w:rsid w:val="00B12736"/>
    <w:rsid w:val="00B1333B"/>
    <w:rsid w:val="00B13612"/>
    <w:rsid w:val="00B1418D"/>
    <w:rsid w:val="00B15D2F"/>
    <w:rsid w:val="00B16396"/>
    <w:rsid w:val="00B1779D"/>
    <w:rsid w:val="00B17ECE"/>
    <w:rsid w:val="00B20378"/>
    <w:rsid w:val="00B207A4"/>
    <w:rsid w:val="00B2146A"/>
    <w:rsid w:val="00B2164C"/>
    <w:rsid w:val="00B21F8C"/>
    <w:rsid w:val="00B228DE"/>
    <w:rsid w:val="00B23AA2"/>
    <w:rsid w:val="00B23D64"/>
    <w:rsid w:val="00B244DD"/>
    <w:rsid w:val="00B27E06"/>
    <w:rsid w:val="00B30DCB"/>
    <w:rsid w:val="00B347F7"/>
    <w:rsid w:val="00B34CB3"/>
    <w:rsid w:val="00B351D1"/>
    <w:rsid w:val="00B358D9"/>
    <w:rsid w:val="00B35E71"/>
    <w:rsid w:val="00B362E7"/>
    <w:rsid w:val="00B36B28"/>
    <w:rsid w:val="00B379AE"/>
    <w:rsid w:val="00B37F20"/>
    <w:rsid w:val="00B41280"/>
    <w:rsid w:val="00B4388C"/>
    <w:rsid w:val="00B454DC"/>
    <w:rsid w:val="00B45779"/>
    <w:rsid w:val="00B45880"/>
    <w:rsid w:val="00B4669C"/>
    <w:rsid w:val="00B46889"/>
    <w:rsid w:val="00B46DC0"/>
    <w:rsid w:val="00B50C81"/>
    <w:rsid w:val="00B5233A"/>
    <w:rsid w:val="00B528AA"/>
    <w:rsid w:val="00B52FA9"/>
    <w:rsid w:val="00B53429"/>
    <w:rsid w:val="00B5410D"/>
    <w:rsid w:val="00B54309"/>
    <w:rsid w:val="00B5671A"/>
    <w:rsid w:val="00B5743F"/>
    <w:rsid w:val="00B61C24"/>
    <w:rsid w:val="00B62E5E"/>
    <w:rsid w:val="00B65B74"/>
    <w:rsid w:val="00B66B49"/>
    <w:rsid w:val="00B67503"/>
    <w:rsid w:val="00B6765B"/>
    <w:rsid w:val="00B710D0"/>
    <w:rsid w:val="00B71476"/>
    <w:rsid w:val="00B71F4F"/>
    <w:rsid w:val="00B72B83"/>
    <w:rsid w:val="00B72BA3"/>
    <w:rsid w:val="00B73F36"/>
    <w:rsid w:val="00B7489F"/>
    <w:rsid w:val="00B74B81"/>
    <w:rsid w:val="00B80B45"/>
    <w:rsid w:val="00B81632"/>
    <w:rsid w:val="00B81A0F"/>
    <w:rsid w:val="00B82087"/>
    <w:rsid w:val="00B8225E"/>
    <w:rsid w:val="00B830C7"/>
    <w:rsid w:val="00B8460D"/>
    <w:rsid w:val="00B85206"/>
    <w:rsid w:val="00B85EE6"/>
    <w:rsid w:val="00B87C9D"/>
    <w:rsid w:val="00B917C4"/>
    <w:rsid w:val="00B92FA5"/>
    <w:rsid w:val="00B9315C"/>
    <w:rsid w:val="00B94AFB"/>
    <w:rsid w:val="00B95C00"/>
    <w:rsid w:val="00B96C1D"/>
    <w:rsid w:val="00B96E42"/>
    <w:rsid w:val="00B96EAF"/>
    <w:rsid w:val="00B97941"/>
    <w:rsid w:val="00BA0E57"/>
    <w:rsid w:val="00BA10AF"/>
    <w:rsid w:val="00BA121A"/>
    <w:rsid w:val="00BA33DB"/>
    <w:rsid w:val="00BA619B"/>
    <w:rsid w:val="00BA79B1"/>
    <w:rsid w:val="00BB148D"/>
    <w:rsid w:val="00BB2EA7"/>
    <w:rsid w:val="00BB2FE6"/>
    <w:rsid w:val="00BB3C10"/>
    <w:rsid w:val="00BB3C6C"/>
    <w:rsid w:val="00BB4065"/>
    <w:rsid w:val="00BB407F"/>
    <w:rsid w:val="00BB4B11"/>
    <w:rsid w:val="00BB67D7"/>
    <w:rsid w:val="00BB7166"/>
    <w:rsid w:val="00BB743C"/>
    <w:rsid w:val="00BB7F61"/>
    <w:rsid w:val="00BC10DE"/>
    <w:rsid w:val="00BC14E5"/>
    <w:rsid w:val="00BC2098"/>
    <w:rsid w:val="00BC20E0"/>
    <w:rsid w:val="00BC3045"/>
    <w:rsid w:val="00BC4981"/>
    <w:rsid w:val="00BC4B17"/>
    <w:rsid w:val="00BC4B5F"/>
    <w:rsid w:val="00BC4F3D"/>
    <w:rsid w:val="00BC51D5"/>
    <w:rsid w:val="00BC5438"/>
    <w:rsid w:val="00BC672C"/>
    <w:rsid w:val="00BC6BA0"/>
    <w:rsid w:val="00BC6BAB"/>
    <w:rsid w:val="00BC70AB"/>
    <w:rsid w:val="00BD09BB"/>
    <w:rsid w:val="00BD3BC2"/>
    <w:rsid w:val="00BD56C7"/>
    <w:rsid w:val="00BD596D"/>
    <w:rsid w:val="00BD5CF0"/>
    <w:rsid w:val="00BE0067"/>
    <w:rsid w:val="00BE0608"/>
    <w:rsid w:val="00BE148B"/>
    <w:rsid w:val="00BE2280"/>
    <w:rsid w:val="00BE23F8"/>
    <w:rsid w:val="00BE408D"/>
    <w:rsid w:val="00BE46C2"/>
    <w:rsid w:val="00BE785B"/>
    <w:rsid w:val="00BF01B1"/>
    <w:rsid w:val="00BF08BE"/>
    <w:rsid w:val="00BF08CA"/>
    <w:rsid w:val="00BF119B"/>
    <w:rsid w:val="00BF12AD"/>
    <w:rsid w:val="00BF138D"/>
    <w:rsid w:val="00BF197F"/>
    <w:rsid w:val="00BF1B76"/>
    <w:rsid w:val="00BF2336"/>
    <w:rsid w:val="00BF4140"/>
    <w:rsid w:val="00BF423E"/>
    <w:rsid w:val="00BF4ED0"/>
    <w:rsid w:val="00BF4F43"/>
    <w:rsid w:val="00BF6353"/>
    <w:rsid w:val="00BF689F"/>
    <w:rsid w:val="00BF68D6"/>
    <w:rsid w:val="00BF6916"/>
    <w:rsid w:val="00C00101"/>
    <w:rsid w:val="00C007E5"/>
    <w:rsid w:val="00C013FB"/>
    <w:rsid w:val="00C032BA"/>
    <w:rsid w:val="00C041F4"/>
    <w:rsid w:val="00C0469C"/>
    <w:rsid w:val="00C05013"/>
    <w:rsid w:val="00C05110"/>
    <w:rsid w:val="00C07B24"/>
    <w:rsid w:val="00C07B8A"/>
    <w:rsid w:val="00C10C16"/>
    <w:rsid w:val="00C11564"/>
    <w:rsid w:val="00C12DE5"/>
    <w:rsid w:val="00C1409E"/>
    <w:rsid w:val="00C14767"/>
    <w:rsid w:val="00C163CD"/>
    <w:rsid w:val="00C16721"/>
    <w:rsid w:val="00C17057"/>
    <w:rsid w:val="00C219C7"/>
    <w:rsid w:val="00C22D3A"/>
    <w:rsid w:val="00C23740"/>
    <w:rsid w:val="00C241C5"/>
    <w:rsid w:val="00C24D7A"/>
    <w:rsid w:val="00C26690"/>
    <w:rsid w:val="00C27CE9"/>
    <w:rsid w:val="00C304E0"/>
    <w:rsid w:val="00C308D5"/>
    <w:rsid w:val="00C30E50"/>
    <w:rsid w:val="00C31F07"/>
    <w:rsid w:val="00C321FC"/>
    <w:rsid w:val="00C32AA2"/>
    <w:rsid w:val="00C34939"/>
    <w:rsid w:val="00C36D37"/>
    <w:rsid w:val="00C40577"/>
    <w:rsid w:val="00C43A91"/>
    <w:rsid w:val="00C444DF"/>
    <w:rsid w:val="00C44E0D"/>
    <w:rsid w:val="00C4537D"/>
    <w:rsid w:val="00C4594F"/>
    <w:rsid w:val="00C46C29"/>
    <w:rsid w:val="00C47117"/>
    <w:rsid w:val="00C47326"/>
    <w:rsid w:val="00C473CE"/>
    <w:rsid w:val="00C47465"/>
    <w:rsid w:val="00C47714"/>
    <w:rsid w:val="00C47C23"/>
    <w:rsid w:val="00C50119"/>
    <w:rsid w:val="00C513E8"/>
    <w:rsid w:val="00C51492"/>
    <w:rsid w:val="00C51627"/>
    <w:rsid w:val="00C520A6"/>
    <w:rsid w:val="00C53348"/>
    <w:rsid w:val="00C54332"/>
    <w:rsid w:val="00C54414"/>
    <w:rsid w:val="00C54CD4"/>
    <w:rsid w:val="00C5595C"/>
    <w:rsid w:val="00C5615F"/>
    <w:rsid w:val="00C57E1E"/>
    <w:rsid w:val="00C60DE6"/>
    <w:rsid w:val="00C616A7"/>
    <w:rsid w:val="00C616B4"/>
    <w:rsid w:val="00C617B4"/>
    <w:rsid w:val="00C62AF3"/>
    <w:rsid w:val="00C6304C"/>
    <w:rsid w:val="00C6309C"/>
    <w:rsid w:val="00C63888"/>
    <w:rsid w:val="00C64E09"/>
    <w:rsid w:val="00C6725A"/>
    <w:rsid w:val="00C709A5"/>
    <w:rsid w:val="00C71D55"/>
    <w:rsid w:val="00C72825"/>
    <w:rsid w:val="00C7479A"/>
    <w:rsid w:val="00C74A39"/>
    <w:rsid w:val="00C75CCE"/>
    <w:rsid w:val="00C76139"/>
    <w:rsid w:val="00C77E95"/>
    <w:rsid w:val="00C77EE7"/>
    <w:rsid w:val="00C80835"/>
    <w:rsid w:val="00C815B2"/>
    <w:rsid w:val="00C817F2"/>
    <w:rsid w:val="00C8232F"/>
    <w:rsid w:val="00C846D0"/>
    <w:rsid w:val="00C85D72"/>
    <w:rsid w:val="00C86C30"/>
    <w:rsid w:val="00C86E0C"/>
    <w:rsid w:val="00C86F1F"/>
    <w:rsid w:val="00C87093"/>
    <w:rsid w:val="00C877C0"/>
    <w:rsid w:val="00C87B94"/>
    <w:rsid w:val="00C90390"/>
    <w:rsid w:val="00C909CB"/>
    <w:rsid w:val="00C913DB"/>
    <w:rsid w:val="00C91481"/>
    <w:rsid w:val="00C93178"/>
    <w:rsid w:val="00C936C0"/>
    <w:rsid w:val="00C94BAB"/>
    <w:rsid w:val="00C95B73"/>
    <w:rsid w:val="00C9632E"/>
    <w:rsid w:val="00C96DEE"/>
    <w:rsid w:val="00C9727A"/>
    <w:rsid w:val="00CA04D7"/>
    <w:rsid w:val="00CA0D34"/>
    <w:rsid w:val="00CA1699"/>
    <w:rsid w:val="00CA3107"/>
    <w:rsid w:val="00CA3586"/>
    <w:rsid w:val="00CA3D73"/>
    <w:rsid w:val="00CA59D0"/>
    <w:rsid w:val="00CA6A0D"/>
    <w:rsid w:val="00CA74BF"/>
    <w:rsid w:val="00CA76EB"/>
    <w:rsid w:val="00CB0A0F"/>
    <w:rsid w:val="00CB12AD"/>
    <w:rsid w:val="00CB3BF8"/>
    <w:rsid w:val="00CB4184"/>
    <w:rsid w:val="00CB552F"/>
    <w:rsid w:val="00CB5FC8"/>
    <w:rsid w:val="00CB7D66"/>
    <w:rsid w:val="00CC0B76"/>
    <w:rsid w:val="00CC0FEC"/>
    <w:rsid w:val="00CC1492"/>
    <w:rsid w:val="00CC1773"/>
    <w:rsid w:val="00CC1C35"/>
    <w:rsid w:val="00CC1D1A"/>
    <w:rsid w:val="00CC22FC"/>
    <w:rsid w:val="00CC2FE1"/>
    <w:rsid w:val="00CC35CD"/>
    <w:rsid w:val="00CC429F"/>
    <w:rsid w:val="00CC500F"/>
    <w:rsid w:val="00CC6007"/>
    <w:rsid w:val="00CC63AB"/>
    <w:rsid w:val="00CC66F1"/>
    <w:rsid w:val="00CC6C0E"/>
    <w:rsid w:val="00CC6F25"/>
    <w:rsid w:val="00CC7A6C"/>
    <w:rsid w:val="00CD0990"/>
    <w:rsid w:val="00CD10DC"/>
    <w:rsid w:val="00CD291B"/>
    <w:rsid w:val="00CD36DC"/>
    <w:rsid w:val="00CD425F"/>
    <w:rsid w:val="00CD466A"/>
    <w:rsid w:val="00CD482B"/>
    <w:rsid w:val="00CD650B"/>
    <w:rsid w:val="00CD763C"/>
    <w:rsid w:val="00CD7901"/>
    <w:rsid w:val="00CE01D5"/>
    <w:rsid w:val="00CE422D"/>
    <w:rsid w:val="00CE4711"/>
    <w:rsid w:val="00CE5915"/>
    <w:rsid w:val="00CE69CA"/>
    <w:rsid w:val="00CE77B3"/>
    <w:rsid w:val="00CE7AE2"/>
    <w:rsid w:val="00CF0FE8"/>
    <w:rsid w:val="00CF158C"/>
    <w:rsid w:val="00CF2F79"/>
    <w:rsid w:val="00CF4DD3"/>
    <w:rsid w:val="00CF5E12"/>
    <w:rsid w:val="00CF7C19"/>
    <w:rsid w:val="00CF7D47"/>
    <w:rsid w:val="00D0041C"/>
    <w:rsid w:val="00D005DF"/>
    <w:rsid w:val="00D01238"/>
    <w:rsid w:val="00D01E43"/>
    <w:rsid w:val="00D0245E"/>
    <w:rsid w:val="00D04C90"/>
    <w:rsid w:val="00D05B7E"/>
    <w:rsid w:val="00D06B6F"/>
    <w:rsid w:val="00D07C4B"/>
    <w:rsid w:val="00D1117B"/>
    <w:rsid w:val="00D1141E"/>
    <w:rsid w:val="00D11743"/>
    <w:rsid w:val="00D13754"/>
    <w:rsid w:val="00D1429E"/>
    <w:rsid w:val="00D145F6"/>
    <w:rsid w:val="00D14E61"/>
    <w:rsid w:val="00D1695C"/>
    <w:rsid w:val="00D16BBD"/>
    <w:rsid w:val="00D17041"/>
    <w:rsid w:val="00D173F0"/>
    <w:rsid w:val="00D23C45"/>
    <w:rsid w:val="00D24764"/>
    <w:rsid w:val="00D24B34"/>
    <w:rsid w:val="00D25385"/>
    <w:rsid w:val="00D2573C"/>
    <w:rsid w:val="00D25764"/>
    <w:rsid w:val="00D25F07"/>
    <w:rsid w:val="00D26100"/>
    <w:rsid w:val="00D26B80"/>
    <w:rsid w:val="00D27F80"/>
    <w:rsid w:val="00D31481"/>
    <w:rsid w:val="00D320CF"/>
    <w:rsid w:val="00D321D6"/>
    <w:rsid w:val="00D33311"/>
    <w:rsid w:val="00D33871"/>
    <w:rsid w:val="00D34BC9"/>
    <w:rsid w:val="00D34EC7"/>
    <w:rsid w:val="00D3533F"/>
    <w:rsid w:val="00D358AD"/>
    <w:rsid w:val="00D35AB1"/>
    <w:rsid w:val="00D36799"/>
    <w:rsid w:val="00D36A3D"/>
    <w:rsid w:val="00D37DE2"/>
    <w:rsid w:val="00D41E4C"/>
    <w:rsid w:val="00D42924"/>
    <w:rsid w:val="00D42CBF"/>
    <w:rsid w:val="00D4304C"/>
    <w:rsid w:val="00D43AC8"/>
    <w:rsid w:val="00D43CFE"/>
    <w:rsid w:val="00D44260"/>
    <w:rsid w:val="00D4510E"/>
    <w:rsid w:val="00D505A5"/>
    <w:rsid w:val="00D50AC3"/>
    <w:rsid w:val="00D50C3E"/>
    <w:rsid w:val="00D51D0C"/>
    <w:rsid w:val="00D52AB9"/>
    <w:rsid w:val="00D53E00"/>
    <w:rsid w:val="00D541CE"/>
    <w:rsid w:val="00D54C61"/>
    <w:rsid w:val="00D55D29"/>
    <w:rsid w:val="00D56E40"/>
    <w:rsid w:val="00D572E1"/>
    <w:rsid w:val="00D5746B"/>
    <w:rsid w:val="00D57975"/>
    <w:rsid w:val="00D57DDB"/>
    <w:rsid w:val="00D600BF"/>
    <w:rsid w:val="00D6016A"/>
    <w:rsid w:val="00D61FF0"/>
    <w:rsid w:val="00D64211"/>
    <w:rsid w:val="00D650F5"/>
    <w:rsid w:val="00D673C1"/>
    <w:rsid w:val="00D70F83"/>
    <w:rsid w:val="00D71817"/>
    <w:rsid w:val="00D720AB"/>
    <w:rsid w:val="00D72B0E"/>
    <w:rsid w:val="00D77E34"/>
    <w:rsid w:val="00D809B5"/>
    <w:rsid w:val="00D819A9"/>
    <w:rsid w:val="00D819E7"/>
    <w:rsid w:val="00D81C20"/>
    <w:rsid w:val="00D824C0"/>
    <w:rsid w:val="00D82A9F"/>
    <w:rsid w:val="00D83842"/>
    <w:rsid w:val="00D83BD7"/>
    <w:rsid w:val="00D83D19"/>
    <w:rsid w:val="00D8622D"/>
    <w:rsid w:val="00D86515"/>
    <w:rsid w:val="00D905BA"/>
    <w:rsid w:val="00D919CC"/>
    <w:rsid w:val="00D91A1F"/>
    <w:rsid w:val="00D938C8"/>
    <w:rsid w:val="00D94BE9"/>
    <w:rsid w:val="00D94DE4"/>
    <w:rsid w:val="00DA03A4"/>
    <w:rsid w:val="00DA0731"/>
    <w:rsid w:val="00DA1640"/>
    <w:rsid w:val="00DA2059"/>
    <w:rsid w:val="00DA2E38"/>
    <w:rsid w:val="00DA3688"/>
    <w:rsid w:val="00DA4444"/>
    <w:rsid w:val="00DA566D"/>
    <w:rsid w:val="00DA57A7"/>
    <w:rsid w:val="00DA5A4C"/>
    <w:rsid w:val="00DA5DC0"/>
    <w:rsid w:val="00DB157F"/>
    <w:rsid w:val="00DB23CB"/>
    <w:rsid w:val="00DB34B7"/>
    <w:rsid w:val="00DB4E2F"/>
    <w:rsid w:val="00DC1BFE"/>
    <w:rsid w:val="00DC475A"/>
    <w:rsid w:val="00DC515F"/>
    <w:rsid w:val="00DC5189"/>
    <w:rsid w:val="00DC5483"/>
    <w:rsid w:val="00DC753A"/>
    <w:rsid w:val="00DC772C"/>
    <w:rsid w:val="00DD0A79"/>
    <w:rsid w:val="00DD0BF6"/>
    <w:rsid w:val="00DD187C"/>
    <w:rsid w:val="00DD2CA0"/>
    <w:rsid w:val="00DD3031"/>
    <w:rsid w:val="00DD3877"/>
    <w:rsid w:val="00DD4DEE"/>
    <w:rsid w:val="00DD5D6D"/>
    <w:rsid w:val="00DD6281"/>
    <w:rsid w:val="00DD7902"/>
    <w:rsid w:val="00DD7A2E"/>
    <w:rsid w:val="00DD7B86"/>
    <w:rsid w:val="00DE0FAA"/>
    <w:rsid w:val="00DE1804"/>
    <w:rsid w:val="00DE1BBE"/>
    <w:rsid w:val="00DE2030"/>
    <w:rsid w:val="00DE2717"/>
    <w:rsid w:val="00DE29CD"/>
    <w:rsid w:val="00DE3D5F"/>
    <w:rsid w:val="00DE3F1D"/>
    <w:rsid w:val="00DE453F"/>
    <w:rsid w:val="00DE589B"/>
    <w:rsid w:val="00DE61D0"/>
    <w:rsid w:val="00DF0CD1"/>
    <w:rsid w:val="00DF13A6"/>
    <w:rsid w:val="00DF14AA"/>
    <w:rsid w:val="00DF1876"/>
    <w:rsid w:val="00DF2618"/>
    <w:rsid w:val="00DF2FA6"/>
    <w:rsid w:val="00DF36E8"/>
    <w:rsid w:val="00DF4455"/>
    <w:rsid w:val="00DF449C"/>
    <w:rsid w:val="00DF4F55"/>
    <w:rsid w:val="00DF6C92"/>
    <w:rsid w:val="00DF7733"/>
    <w:rsid w:val="00DF77E4"/>
    <w:rsid w:val="00E005BB"/>
    <w:rsid w:val="00E01855"/>
    <w:rsid w:val="00E0194E"/>
    <w:rsid w:val="00E031DE"/>
    <w:rsid w:val="00E03B88"/>
    <w:rsid w:val="00E03E50"/>
    <w:rsid w:val="00E05840"/>
    <w:rsid w:val="00E0650A"/>
    <w:rsid w:val="00E06EAB"/>
    <w:rsid w:val="00E0732F"/>
    <w:rsid w:val="00E07359"/>
    <w:rsid w:val="00E07ABF"/>
    <w:rsid w:val="00E1188C"/>
    <w:rsid w:val="00E11E59"/>
    <w:rsid w:val="00E1285B"/>
    <w:rsid w:val="00E12CFD"/>
    <w:rsid w:val="00E13E26"/>
    <w:rsid w:val="00E151E6"/>
    <w:rsid w:val="00E156AD"/>
    <w:rsid w:val="00E16E90"/>
    <w:rsid w:val="00E17165"/>
    <w:rsid w:val="00E174D1"/>
    <w:rsid w:val="00E174F2"/>
    <w:rsid w:val="00E177EB"/>
    <w:rsid w:val="00E17916"/>
    <w:rsid w:val="00E206CD"/>
    <w:rsid w:val="00E20758"/>
    <w:rsid w:val="00E21843"/>
    <w:rsid w:val="00E21D3C"/>
    <w:rsid w:val="00E21FA1"/>
    <w:rsid w:val="00E2278D"/>
    <w:rsid w:val="00E24714"/>
    <w:rsid w:val="00E26394"/>
    <w:rsid w:val="00E264B3"/>
    <w:rsid w:val="00E26B91"/>
    <w:rsid w:val="00E2739F"/>
    <w:rsid w:val="00E3088C"/>
    <w:rsid w:val="00E32B63"/>
    <w:rsid w:val="00E33A4C"/>
    <w:rsid w:val="00E3450A"/>
    <w:rsid w:val="00E35CE9"/>
    <w:rsid w:val="00E35D62"/>
    <w:rsid w:val="00E3737A"/>
    <w:rsid w:val="00E4085C"/>
    <w:rsid w:val="00E40F6C"/>
    <w:rsid w:val="00E426FF"/>
    <w:rsid w:val="00E4326C"/>
    <w:rsid w:val="00E437A2"/>
    <w:rsid w:val="00E47E31"/>
    <w:rsid w:val="00E529E7"/>
    <w:rsid w:val="00E52A00"/>
    <w:rsid w:val="00E52E13"/>
    <w:rsid w:val="00E53127"/>
    <w:rsid w:val="00E54E55"/>
    <w:rsid w:val="00E54E63"/>
    <w:rsid w:val="00E5535A"/>
    <w:rsid w:val="00E5579E"/>
    <w:rsid w:val="00E564E5"/>
    <w:rsid w:val="00E5668B"/>
    <w:rsid w:val="00E56CD7"/>
    <w:rsid w:val="00E5779A"/>
    <w:rsid w:val="00E57897"/>
    <w:rsid w:val="00E614FC"/>
    <w:rsid w:val="00E61A87"/>
    <w:rsid w:val="00E61E7F"/>
    <w:rsid w:val="00E63CAB"/>
    <w:rsid w:val="00E6459D"/>
    <w:rsid w:val="00E6544E"/>
    <w:rsid w:val="00E65C20"/>
    <w:rsid w:val="00E66471"/>
    <w:rsid w:val="00E67DCE"/>
    <w:rsid w:val="00E70C2F"/>
    <w:rsid w:val="00E70D3C"/>
    <w:rsid w:val="00E71F0D"/>
    <w:rsid w:val="00E73CE5"/>
    <w:rsid w:val="00E73EA2"/>
    <w:rsid w:val="00E754B3"/>
    <w:rsid w:val="00E76739"/>
    <w:rsid w:val="00E77C74"/>
    <w:rsid w:val="00E77D07"/>
    <w:rsid w:val="00E806CA"/>
    <w:rsid w:val="00E8112D"/>
    <w:rsid w:val="00E82EFD"/>
    <w:rsid w:val="00E841CC"/>
    <w:rsid w:val="00E8596B"/>
    <w:rsid w:val="00E85B32"/>
    <w:rsid w:val="00E86F41"/>
    <w:rsid w:val="00E87089"/>
    <w:rsid w:val="00E91B79"/>
    <w:rsid w:val="00E92E45"/>
    <w:rsid w:val="00E92F6D"/>
    <w:rsid w:val="00E95AEC"/>
    <w:rsid w:val="00E95E48"/>
    <w:rsid w:val="00E967C1"/>
    <w:rsid w:val="00E96BAA"/>
    <w:rsid w:val="00E96F49"/>
    <w:rsid w:val="00E970F6"/>
    <w:rsid w:val="00E97343"/>
    <w:rsid w:val="00E97DE0"/>
    <w:rsid w:val="00EA00D0"/>
    <w:rsid w:val="00EA0DB7"/>
    <w:rsid w:val="00EA0E42"/>
    <w:rsid w:val="00EA1276"/>
    <w:rsid w:val="00EA235C"/>
    <w:rsid w:val="00EA5137"/>
    <w:rsid w:val="00EA656D"/>
    <w:rsid w:val="00EA6583"/>
    <w:rsid w:val="00EA6789"/>
    <w:rsid w:val="00EA6C1F"/>
    <w:rsid w:val="00EB129D"/>
    <w:rsid w:val="00EB1910"/>
    <w:rsid w:val="00EB4694"/>
    <w:rsid w:val="00EB7896"/>
    <w:rsid w:val="00EC0C10"/>
    <w:rsid w:val="00EC1415"/>
    <w:rsid w:val="00EC1C96"/>
    <w:rsid w:val="00EC3A4F"/>
    <w:rsid w:val="00EC4449"/>
    <w:rsid w:val="00EC526D"/>
    <w:rsid w:val="00EC54DF"/>
    <w:rsid w:val="00EC5664"/>
    <w:rsid w:val="00EC5C50"/>
    <w:rsid w:val="00EC6F2B"/>
    <w:rsid w:val="00EC7D6B"/>
    <w:rsid w:val="00ED00B3"/>
    <w:rsid w:val="00ED2F59"/>
    <w:rsid w:val="00ED3320"/>
    <w:rsid w:val="00ED74B5"/>
    <w:rsid w:val="00EE1230"/>
    <w:rsid w:val="00EE1C46"/>
    <w:rsid w:val="00EE1E78"/>
    <w:rsid w:val="00EE374F"/>
    <w:rsid w:val="00EE512F"/>
    <w:rsid w:val="00EE5A93"/>
    <w:rsid w:val="00EE6AD5"/>
    <w:rsid w:val="00EE6C8D"/>
    <w:rsid w:val="00EE70FA"/>
    <w:rsid w:val="00EE7F0C"/>
    <w:rsid w:val="00EF0081"/>
    <w:rsid w:val="00EF054D"/>
    <w:rsid w:val="00EF0B27"/>
    <w:rsid w:val="00EF1946"/>
    <w:rsid w:val="00EF2D7B"/>
    <w:rsid w:val="00EF3553"/>
    <w:rsid w:val="00EF408A"/>
    <w:rsid w:val="00EF40C9"/>
    <w:rsid w:val="00EF4FA2"/>
    <w:rsid w:val="00EF581E"/>
    <w:rsid w:val="00EF5CD1"/>
    <w:rsid w:val="00EF5F7D"/>
    <w:rsid w:val="00EF6AA1"/>
    <w:rsid w:val="00EF72A7"/>
    <w:rsid w:val="00F0002D"/>
    <w:rsid w:val="00F00055"/>
    <w:rsid w:val="00F00619"/>
    <w:rsid w:val="00F022C6"/>
    <w:rsid w:val="00F03BC2"/>
    <w:rsid w:val="00F047C9"/>
    <w:rsid w:val="00F053D6"/>
    <w:rsid w:val="00F0566E"/>
    <w:rsid w:val="00F05F43"/>
    <w:rsid w:val="00F06494"/>
    <w:rsid w:val="00F07769"/>
    <w:rsid w:val="00F07D5D"/>
    <w:rsid w:val="00F115F3"/>
    <w:rsid w:val="00F125AC"/>
    <w:rsid w:val="00F136AC"/>
    <w:rsid w:val="00F140A6"/>
    <w:rsid w:val="00F14494"/>
    <w:rsid w:val="00F14DD9"/>
    <w:rsid w:val="00F15000"/>
    <w:rsid w:val="00F15582"/>
    <w:rsid w:val="00F16CD4"/>
    <w:rsid w:val="00F1728E"/>
    <w:rsid w:val="00F17B7A"/>
    <w:rsid w:val="00F21D8A"/>
    <w:rsid w:val="00F23DEF"/>
    <w:rsid w:val="00F25CE7"/>
    <w:rsid w:val="00F27893"/>
    <w:rsid w:val="00F30AB4"/>
    <w:rsid w:val="00F3155E"/>
    <w:rsid w:val="00F327EA"/>
    <w:rsid w:val="00F32B6E"/>
    <w:rsid w:val="00F33FC1"/>
    <w:rsid w:val="00F3430A"/>
    <w:rsid w:val="00F35AC4"/>
    <w:rsid w:val="00F35BD0"/>
    <w:rsid w:val="00F368DB"/>
    <w:rsid w:val="00F40690"/>
    <w:rsid w:val="00F40AA9"/>
    <w:rsid w:val="00F44324"/>
    <w:rsid w:val="00F451C1"/>
    <w:rsid w:val="00F4661E"/>
    <w:rsid w:val="00F46E89"/>
    <w:rsid w:val="00F46FCC"/>
    <w:rsid w:val="00F509EE"/>
    <w:rsid w:val="00F50B1D"/>
    <w:rsid w:val="00F512B3"/>
    <w:rsid w:val="00F515C5"/>
    <w:rsid w:val="00F518EF"/>
    <w:rsid w:val="00F52E4A"/>
    <w:rsid w:val="00F52EA2"/>
    <w:rsid w:val="00F5363F"/>
    <w:rsid w:val="00F53B41"/>
    <w:rsid w:val="00F5422E"/>
    <w:rsid w:val="00F543A5"/>
    <w:rsid w:val="00F55450"/>
    <w:rsid w:val="00F56165"/>
    <w:rsid w:val="00F561A1"/>
    <w:rsid w:val="00F568ED"/>
    <w:rsid w:val="00F57D5C"/>
    <w:rsid w:val="00F57F0E"/>
    <w:rsid w:val="00F61A75"/>
    <w:rsid w:val="00F61EE1"/>
    <w:rsid w:val="00F620D7"/>
    <w:rsid w:val="00F62172"/>
    <w:rsid w:val="00F635D4"/>
    <w:rsid w:val="00F63971"/>
    <w:rsid w:val="00F64BDD"/>
    <w:rsid w:val="00F666BF"/>
    <w:rsid w:val="00F66FB8"/>
    <w:rsid w:val="00F676B6"/>
    <w:rsid w:val="00F705F8"/>
    <w:rsid w:val="00F734CC"/>
    <w:rsid w:val="00F73906"/>
    <w:rsid w:val="00F752E1"/>
    <w:rsid w:val="00F76179"/>
    <w:rsid w:val="00F84202"/>
    <w:rsid w:val="00F84398"/>
    <w:rsid w:val="00F84E39"/>
    <w:rsid w:val="00F84FCD"/>
    <w:rsid w:val="00F85844"/>
    <w:rsid w:val="00F87498"/>
    <w:rsid w:val="00F87675"/>
    <w:rsid w:val="00F878E8"/>
    <w:rsid w:val="00F9002B"/>
    <w:rsid w:val="00F9015F"/>
    <w:rsid w:val="00F918B4"/>
    <w:rsid w:val="00F92D7A"/>
    <w:rsid w:val="00F940F2"/>
    <w:rsid w:val="00F95920"/>
    <w:rsid w:val="00FA0705"/>
    <w:rsid w:val="00FA2F86"/>
    <w:rsid w:val="00FA3A9C"/>
    <w:rsid w:val="00FA5D69"/>
    <w:rsid w:val="00FA7DF6"/>
    <w:rsid w:val="00FB0E04"/>
    <w:rsid w:val="00FB1713"/>
    <w:rsid w:val="00FB1D18"/>
    <w:rsid w:val="00FB25D7"/>
    <w:rsid w:val="00FB39F4"/>
    <w:rsid w:val="00FB50BD"/>
    <w:rsid w:val="00FB5587"/>
    <w:rsid w:val="00FB61E4"/>
    <w:rsid w:val="00FB6389"/>
    <w:rsid w:val="00FB6906"/>
    <w:rsid w:val="00FB6A9B"/>
    <w:rsid w:val="00FC0D54"/>
    <w:rsid w:val="00FC127C"/>
    <w:rsid w:val="00FC2C82"/>
    <w:rsid w:val="00FC2CB6"/>
    <w:rsid w:val="00FC4288"/>
    <w:rsid w:val="00FC48D2"/>
    <w:rsid w:val="00FC4FB1"/>
    <w:rsid w:val="00FC5EF2"/>
    <w:rsid w:val="00FC5F0A"/>
    <w:rsid w:val="00FC61B7"/>
    <w:rsid w:val="00FC7E33"/>
    <w:rsid w:val="00FD1438"/>
    <w:rsid w:val="00FD40E1"/>
    <w:rsid w:val="00FD5777"/>
    <w:rsid w:val="00FD5E21"/>
    <w:rsid w:val="00FD76AE"/>
    <w:rsid w:val="00FD76DD"/>
    <w:rsid w:val="00FD7E60"/>
    <w:rsid w:val="00FE05DE"/>
    <w:rsid w:val="00FE179C"/>
    <w:rsid w:val="00FE2F2E"/>
    <w:rsid w:val="00FE4BC2"/>
    <w:rsid w:val="00FE4BC6"/>
    <w:rsid w:val="00FE6426"/>
    <w:rsid w:val="00FE6567"/>
    <w:rsid w:val="00FF04F4"/>
    <w:rsid w:val="00FF128C"/>
    <w:rsid w:val="00FF2C17"/>
    <w:rsid w:val="00FF3095"/>
    <w:rsid w:val="00FF6B98"/>
    <w:rsid w:val="00FF6C25"/>
    <w:rsid w:val="00FF705E"/>
    <w:rsid w:val="00FF70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0B5BA"/>
  <w15:docId w15:val="{47617310-A7F5-48D0-8DED-FC477B3E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789"/>
    <w:rPr>
      <w:lang w:val="en-GB"/>
    </w:rPr>
  </w:style>
  <w:style w:type="paragraph" w:styleId="Heading1">
    <w:name w:val="heading 1"/>
    <w:basedOn w:val="Normal"/>
    <w:link w:val="Heading1Char"/>
    <w:uiPriority w:val="9"/>
    <w:qFormat/>
    <w:locked/>
    <w:rsid w:val="00B54309"/>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9"/>
    <w:qFormat/>
    <w:rsid w:val="00034F2D"/>
    <w:pPr>
      <w:spacing w:before="100" w:beforeAutospacing="1" w:after="100" w:afterAutospacing="1" w:line="240" w:lineRule="auto"/>
      <w:outlineLvl w:val="1"/>
    </w:pPr>
    <w:rPr>
      <w:b/>
      <w:bCs/>
      <w:sz w:val="36"/>
      <w:szCs w:val="36"/>
      <w:lang w:eastAsia="en-GB"/>
    </w:rPr>
  </w:style>
  <w:style w:type="paragraph" w:styleId="Heading3">
    <w:name w:val="heading 3"/>
    <w:basedOn w:val="Normal"/>
    <w:next w:val="Normal"/>
    <w:link w:val="Heading3Char"/>
    <w:semiHidden/>
    <w:unhideWhenUsed/>
    <w:qFormat/>
    <w:locked/>
    <w:rsid w:val="00DA5D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4F2D"/>
    <w:rPr>
      <w:rFonts w:ascii="Times New Roman" w:hAnsi="Times New Roman" w:cs="Times New Roman"/>
      <w:b/>
      <w:bCs/>
      <w:sz w:val="36"/>
      <w:szCs w:val="36"/>
      <w:lang w:eastAsia="en-GB"/>
    </w:rPr>
  </w:style>
  <w:style w:type="paragraph" w:styleId="BodyTextIndent">
    <w:name w:val="Body Text Indent"/>
    <w:basedOn w:val="Normal"/>
    <w:link w:val="BodyTextIndentChar"/>
    <w:uiPriority w:val="99"/>
    <w:rsid w:val="0005584C"/>
    <w:pPr>
      <w:spacing w:after="0" w:line="240" w:lineRule="auto"/>
      <w:ind w:firstLine="851"/>
      <w:jc w:val="both"/>
    </w:pPr>
    <w:rPr>
      <w:sz w:val="28"/>
      <w:szCs w:val="28"/>
      <w:lang w:val="en-US"/>
    </w:rPr>
  </w:style>
  <w:style w:type="character" w:customStyle="1" w:styleId="BodyTextIndentChar">
    <w:name w:val="Body Text Indent Char"/>
    <w:basedOn w:val="DefaultParagraphFont"/>
    <w:link w:val="BodyTextIndent"/>
    <w:uiPriority w:val="99"/>
    <w:locked/>
    <w:rsid w:val="0005584C"/>
    <w:rPr>
      <w:rFonts w:ascii="Times New Roman" w:hAnsi="Times New Roman" w:cs="Times New Roman"/>
      <w:sz w:val="20"/>
      <w:szCs w:val="20"/>
      <w:lang w:val="en-US"/>
    </w:rPr>
  </w:style>
  <w:style w:type="paragraph" w:customStyle="1" w:styleId="Normal1">
    <w:name w:val="Normal1"/>
    <w:basedOn w:val="Normal"/>
    <w:uiPriority w:val="99"/>
    <w:rsid w:val="00E5779A"/>
    <w:pPr>
      <w:spacing w:before="100" w:beforeAutospacing="1" w:after="100" w:afterAutospacing="1" w:line="240" w:lineRule="auto"/>
    </w:pPr>
    <w:rPr>
      <w:sz w:val="24"/>
      <w:szCs w:val="24"/>
      <w:lang w:val="en-US"/>
    </w:rPr>
  </w:style>
  <w:style w:type="character" w:customStyle="1" w:styleId="normalchar">
    <w:name w:val="normal__char"/>
    <w:basedOn w:val="DefaultParagraphFont"/>
    <w:rsid w:val="004C2C36"/>
    <w:rPr>
      <w:rFonts w:cs="Times New Roman"/>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Char Char,Char,webb"/>
    <w:basedOn w:val="Normal"/>
    <w:link w:val="NormalWebChar"/>
    <w:uiPriority w:val="99"/>
    <w:qFormat/>
    <w:rsid w:val="00872460"/>
    <w:pPr>
      <w:spacing w:before="100" w:beforeAutospacing="1" w:after="100" w:afterAutospacing="1" w:line="240" w:lineRule="auto"/>
    </w:pPr>
    <w:rPr>
      <w:sz w:val="24"/>
      <w:szCs w:val="24"/>
      <w:lang w:val="en-US"/>
    </w:rPr>
  </w:style>
  <w:style w:type="character" w:customStyle="1" w:styleId="a21">
    <w:name w:val="a21"/>
    <w:basedOn w:val="DefaultParagraphFont"/>
    <w:uiPriority w:val="99"/>
    <w:rsid w:val="00872460"/>
    <w:rPr>
      <w:rFonts w:ascii="Arial" w:hAnsi="Arial" w:cs="Arial"/>
      <w:sz w:val="20"/>
      <w:szCs w:val="20"/>
      <w:u w:val="none"/>
      <w:effect w:val="none"/>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872460"/>
    <w:pPr>
      <w:ind w:left="720"/>
    </w:pPr>
  </w:style>
  <w:style w:type="paragraph" w:styleId="EndnoteText">
    <w:name w:val="endnote text"/>
    <w:basedOn w:val="Normal"/>
    <w:link w:val="EndnoteTextChar"/>
    <w:uiPriority w:val="99"/>
    <w:semiHidden/>
    <w:rsid w:val="00140F6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40F6C"/>
    <w:rPr>
      <w:rFonts w:cs="Times New Roman"/>
      <w:sz w:val="20"/>
      <w:szCs w:val="20"/>
    </w:rPr>
  </w:style>
  <w:style w:type="character" w:styleId="EndnoteReference">
    <w:name w:val="endnote reference"/>
    <w:basedOn w:val="DefaultParagraphFont"/>
    <w:uiPriority w:val="99"/>
    <w:semiHidden/>
    <w:rsid w:val="00140F6C"/>
    <w:rPr>
      <w:rFonts w:cs="Times New Roman"/>
      <w:vertAlign w:val="superscript"/>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sid w:val="00140F6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locked/>
    <w:rsid w:val="00140F6C"/>
    <w:rPr>
      <w:rFonts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uiPriority w:val="99"/>
    <w:qFormat/>
    <w:rsid w:val="00140F6C"/>
    <w:rPr>
      <w:rFonts w:cs="Times New Roman"/>
      <w:vertAlign w:val="superscript"/>
    </w:rPr>
  </w:style>
  <w:style w:type="character" w:customStyle="1" w:styleId="fftimenewsromanfs12pt1">
    <w:name w:val="ff_time_news_roman_fs_12pt1"/>
    <w:basedOn w:val="DefaultParagraphFont"/>
    <w:uiPriority w:val="99"/>
    <w:rsid w:val="00140F6C"/>
    <w:rPr>
      <w:rFonts w:ascii="Times New Roman" w:hAnsi="Times New Roman" w:cs="Times New Roman"/>
      <w:sz w:val="24"/>
      <w:szCs w:val="24"/>
      <w:shd w:val="clear" w:color="auto" w:fill="FFFFFF"/>
    </w:rPr>
  </w:style>
  <w:style w:type="paragraph" w:styleId="BodyTextIndent2">
    <w:name w:val="Body Text Indent 2"/>
    <w:basedOn w:val="Normal"/>
    <w:link w:val="BodyTextIndent2Char"/>
    <w:uiPriority w:val="99"/>
    <w:semiHidden/>
    <w:rsid w:val="00B30DC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30DCB"/>
    <w:rPr>
      <w:rFonts w:cs="Times New Roman"/>
    </w:rPr>
  </w:style>
  <w:style w:type="character" w:customStyle="1" w:styleId="body0020text0020indentchar">
    <w:name w:val="body_0020text_0020indent__char"/>
    <w:basedOn w:val="DefaultParagraphFont"/>
    <w:uiPriority w:val="99"/>
    <w:rsid w:val="00417B11"/>
    <w:rPr>
      <w:rFonts w:cs="Times New Roman"/>
    </w:rPr>
  </w:style>
  <w:style w:type="paragraph" w:customStyle="1" w:styleId="body0020text0020indent">
    <w:name w:val="body_0020text_0020indent"/>
    <w:basedOn w:val="Normal"/>
    <w:uiPriority w:val="99"/>
    <w:rsid w:val="00417B11"/>
    <w:pPr>
      <w:spacing w:before="100" w:beforeAutospacing="1" w:after="100" w:afterAutospacing="1" w:line="240" w:lineRule="auto"/>
    </w:pPr>
    <w:rPr>
      <w:sz w:val="24"/>
      <w:szCs w:val="24"/>
      <w:lang w:val="en-US"/>
    </w:rPr>
  </w:style>
  <w:style w:type="paragraph" w:customStyle="1" w:styleId="BodyTextTimesNewRoman">
    <w:name w:val="Body Text + Times New Roman"/>
    <w:aliases w:val="14 pt,Bold,First line:  1,27 cm,Before:  4,5 ...,5 ... ...,Normal + Justified,First line:  0,99 cm,Right:  0,2 cm,Before:  2 pt,Afte...,Normal + Times New Roman,Justified,First line:  1 cm,..."/>
    <w:next w:val="Normal"/>
    <w:link w:val="BodyTextTimesNewRomanChar"/>
    <w:uiPriority w:val="99"/>
    <w:rsid w:val="00A6679E"/>
    <w:pPr>
      <w:spacing w:before="90" w:after="90" w:line="300" w:lineRule="exact"/>
      <w:ind w:firstLine="720"/>
      <w:jc w:val="both"/>
    </w:pPr>
    <w:rPr>
      <w:b/>
      <w:bCs/>
      <w:sz w:val="28"/>
      <w:szCs w:val="28"/>
      <w:lang w:val="nl-NL"/>
    </w:rPr>
  </w:style>
  <w:style w:type="character" w:customStyle="1" w:styleId="BodyTextTimesNewRomanChar">
    <w:name w:val="Body Text + Times New Roman Char"/>
    <w:aliases w:val="14 pt Char,Bold Char,First line:  1 Char,27 cm Char,Before:  4 Char,5 ... Char,5 ... ... Char"/>
    <w:basedOn w:val="DefaultParagraphFont"/>
    <w:link w:val="BodyTextTimesNewRoman"/>
    <w:uiPriority w:val="99"/>
    <w:locked/>
    <w:rsid w:val="00A6679E"/>
    <w:rPr>
      <w:rFonts w:ascii="Times New Roman" w:hAnsi="Times New Roman" w:cs="Times New Roman"/>
      <w:b/>
      <w:bCs/>
      <w:sz w:val="28"/>
      <w:szCs w:val="28"/>
      <w:lang w:val="nl-NL" w:eastAsia="en-US"/>
    </w:rPr>
  </w:style>
  <w:style w:type="paragraph" w:styleId="BodyText2">
    <w:name w:val="Body Text 2"/>
    <w:basedOn w:val="Normal"/>
    <w:link w:val="BodyText2Char"/>
    <w:uiPriority w:val="99"/>
    <w:rsid w:val="00A6679E"/>
    <w:pPr>
      <w:spacing w:after="120" w:line="480" w:lineRule="auto"/>
    </w:pPr>
    <w:rPr>
      <w:sz w:val="24"/>
      <w:szCs w:val="24"/>
      <w:lang w:val="en-US"/>
    </w:rPr>
  </w:style>
  <w:style w:type="character" w:customStyle="1" w:styleId="BodyText2Char">
    <w:name w:val="Body Text 2 Char"/>
    <w:basedOn w:val="DefaultParagraphFont"/>
    <w:link w:val="BodyText2"/>
    <w:uiPriority w:val="99"/>
    <w:locked/>
    <w:rsid w:val="00A6679E"/>
    <w:rPr>
      <w:rFonts w:ascii="Times New Roman" w:hAnsi="Times New Roman" w:cs="Times New Roman"/>
      <w:sz w:val="24"/>
      <w:szCs w:val="24"/>
      <w:lang w:val="en-US"/>
    </w:rPr>
  </w:style>
  <w:style w:type="character" w:styleId="Strong">
    <w:name w:val="Strong"/>
    <w:basedOn w:val="DefaultParagraphFont"/>
    <w:qFormat/>
    <w:rsid w:val="00A6679E"/>
    <w:rPr>
      <w:rFonts w:cs="Times New Roman"/>
      <w:b/>
      <w:bCs/>
    </w:rPr>
  </w:style>
  <w:style w:type="character" w:customStyle="1" w:styleId="normal0020tablechar">
    <w:name w:val="normal_0020table__char"/>
    <w:basedOn w:val="DefaultParagraphFont"/>
    <w:uiPriority w:val="99"/>
    <w:rsid w:val="00FC61B7"/>
    <w:rPr>
      <w:rFonts w:cs="Times New Roman"/>
    </w:rPr>
  </w:style>
  <w:style w:type="paragraph" w:customStyle="1" w:styleId="normal0020table">
    <w:name w:val="normal_0020table"/>
    <w:basedOn w:val="Normal"/>
    <w:uiPriority w:val="99"/>
    <w:rsid w:val="00FC61B7"/>
    <w:pPr>
      <w:spacing w:before="100" w:beforeAutospacing="1" w:after="100" w:afterAutospacing="1" w:line="240" w:lineRule="auto"/>
    </w:pPr>
    <w:rPr>
      <w:sz w:val="24"/>
      <w:szCs w:val="24"/>
      <w:lang w:val="en-US"/>
    </w:rPr>
  </w:style>
  <w:style w:type="character" w:customStyle="1" w:styleId="body0020textchar">
    <w:name w:val="body_0020text__char"/>
    <w:basedOn w:val="DefaultParagraphFont"/>
    <w:rsid w:val="002E5381"/>
    <w:rPr>
      <w:rFonts w:cs="Times New Roman"/>
    </w:rPr>
  </w:style>
  <w:style w:type="paragraph" w:customStyle="1" w:styleId="body0020text">
    <w:name w:val="body_0020text"/>
    <w:basedOn w:val="Normal"/>
    <w:rsid w:val="002E5381"/>
    <w:pPr>
      <w:spacing w:before="100" w:beforeAutospacing="1" w:after="100" w:afterAutospacing="1" w:line="240" w:lineRule="auto"/>
    </w:pPr>
    <w:rPr>
      <w:sz w:val="24"/>
      <w:szCs w:val="24"/>
      <w:lang w:val="en-US"/>
    </w:rPr>
  </w:style>
  <w:style w:type="paragraph" w:styleId="Header">
    <w:name w:val="header"/>
    <w:basedOn w:val="Normal"/>
    <w:link w:val="HeaderChar"/>
    <w:uiPriority w:val="99"/>
    <w:rsid w:val="00D718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1817"/>
    <w:rPr>
      <w:rFonts w:cs="Times New Roman"/>
    </w:rPr>
  </w:style>
  <w:style w:type="paragraph" w:styleId="BodyText">
    <w:name w:val="Body Text"/>
    <w:basedOn w:val="Normal"/>
    <w:link w:val="BodyTextChar"/>
    <w:uiPriority w:val="99"/>
    <w:rsid w:val="00142BE0"/>
    <w:pPr>
      <w:spacing w:after="120" w:line="240" w:lineRule="auto"/>
    </w:pPr>
    <w:rPr>
      <w:sz w:val="24"/>
      <w:szCs w:val="24"/>
    </w:rPr>
  </w:style>
  <w:style w:type="character" w:customStyle="1" w:styleId="BodyTextChar">
    <w:name w:val="Body Text Char"/>
    <w:basedOn w:val="DefaultParagraphFont"/>
    <w:link w:val="BodyText"/>
    <w:uiPriority w:val="99"/>
    <w:locked/>
    <w:rsid w:val="00142BE0"/>
    <w:rPr>
      <w:rFonts w:cs="Times New Roman"/>
    </w:rPr>
  </w:style>
  <w:style w:type="paragraph" w:styleId="Footer">
    <w:name w:val="footer"/>
    <w:basedOn w:val="Normal"/>
    <w:link w:val="FooterChar"/>
    <w:uiPriority w:val="99"/>
    <w:semiHidden/>
    <w:rsid w:val="00D718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71817"/>
    <w:rPr>
      <w:rFonts w:cs="Times New Roman"/>
    </w:rPr>
  </w:style>
  <w:style w:type="character" w:styleId="PageNumber">
    <w:name w:val="page number"/>
    <w:basedOn w:val="DefaultParagraphFont"/>
    <w:uiPriority w:val="99"/>
    <w:rsid w:val="006B1758"/>
    <w:rPr>
      <w:rFonts w:cs="Times New Roman"/>
    </w:rPr>
  </w:style>
  <w:style w:type="paragraph" w:styleId="BalloonText">
    <w:name w:val="Balloon Text"/>
    <w:basedOn w:val="Normal"/>
    <w:link w:val="BalloonTextChar"/>
    <w:uiPriority w:val="99"/>
    <w:semiHidden/>
    <w:rsid w:val="00B37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834"/>
    <w:rPr>
      <w:rFonts w:ascii="Times New Roman" w:hAnsi="Times New Roman" w:cs="Times New Roman"/>
      <w:sz w:val="2"/>
      <w:szCs w:val="2"/>
      <w:lang w:val="en-GB"/>
    </w:rPr>
  </w:style>
  <w:style w:type="character" w:customStyle="1" w:styleId="apple-converted-space">
    <w:name w:val="apple-converted-space"/>
    <w:basedOn w:val="DefaultParagraphFont"/>
    <w:rsid w:val="00356693"/>
    <w:rPr>
      <w:rFonts w:cs="Times New Roman"/>
    </w:rPr>
  </w:style>
  <w:style w:type="character" w:customStyle="1" w:styleId="HeaderChar1">
    <w:name w:val="Header Char1"/>
    <w:basedOn w:val="DefaultParagraphFont"/>
    <w:rsid w:val="005D6653"/>
    <w:rPr>
      <w:rFonts w:cs="Times New Roman"/>
      <w:sz w:val="24"/>
      <w:szCs w:val="24"/>
      <w:lang w:val="en-US" w:eastAsia="en-US" w:bidi="ar-SA"/>
    </w:rPr>
  </w:style>
  <w:style w:type="character" w:customStyle="1" w:styleId="BodyTextChar1">
    <w:name w:val="Body Text Char1"/>
    <w:basedOn w:val="DefaultParagraphFont"/>
    <w:uiPriority w:val="99"/>
    <w:rsid w:val="00782084"/>
    <w:rPr>
      <w:rFonts w:ascii="Calibri" w:hAnsi="Calibri" w:cs="Calibri"/>
      <w:sz w:val="24"/>
      <w:szCs w:val="24"/>
      <w:lang w:val="en-GB"/>
    </w:rPr>
  </w:style>
  <w:style w:type="paragraph" w:customStyle="1" w:styleId="msotitlecxspmiddle">
    <w:name w:val="msotitlecxspmiddle"/>
    <w:basedOn w:val="Normal"/>
    <w:rsid w:val="00583D32"/>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0">
    <w:name w:val="Normal1"/>
    <w:basedOn w:val="Normal"/>
    <w:uiPriority w:val="99"/>
    <w:rsid w:val="00F3155E"/>
    <w:pPr>
      <w:spacing w:before="100" w:beforeAutospacing="1" w:after="100" w:afterAutospacing="1" w:line="240" w:lineRule="auto"/>
    </w:pPr>
    <w:rPr>
      <w:sz w:val="24"/>
      <w:szCs w:val="24"/>
      <w:lang w:val="en-US"/>
    </w:rPr>
  </w:style>
  <w:style w:type="character" w:customStyle="1" w:styleId="Heading1Char">
    <w:name w:val="Heading 1 Char"/>
    <w:basedOn w:val="DefaultParagraphFont"/>
    <w:link w:val="Heading1"/>
    <w:uiPriority w:val="9"/>
    <w:rsid w:val="00B54309"/>
    <w:rPr>
      <w:rFonts w:ascii="Times New Roman" w:hAnsi="Times New Roman" w:cs="Times New Roman"/>
      <w:b/>
      <w:bCs/>
      <w:kern w:val="36"/>
      <w:sz w:val="48"/>
      <w:szCs w:val="48"/>
      <w:lang w:val="en-GB" w:eastAsia="en-GB"/>
    </w:rPr>
  </w:style>
  <w:style w:type="character" w:customStyle="1" w:styleId="normalchar0">
    <w:name w:val="normalchar"/>
    <w:basedOn w:val="DefaultParagraphFont"/>
    <w:rsid w:val="00496453"/>
  </w:style>
  <w:style w:type="paragraph" w:customStyle="1" w:styleId="Normal2">
    <w:name w:val="Normal2"/>
    <w:basedOn w:val="Normal"/>
    <w:rsid w:val="00527154"/>
    <w:pPr>
      <w:spacing w:before="100" w:beforeAutospacing="1" w:after="100" w:afterAutospacing="1" w:line="240" w:lineRule="auto"/>
    </w:pPr>
    <w:rPr>
      <w:sz w:val="24"/>
      <w:szCs w:val="24"/>
      <w:lang w:val="en-US"/>
    </w:rPr>
  </w:style>
  <w:style w:type="character" w:customStyle="1" w:styleId="Bodytext0">
    <w:name w:val="Body text_"/>
    <w:link w:val="Bodytext1"/>
    <w:rsid w:val="00B81632"/>
    <w:rPr>
      <w:sz w:val="23"/>
      <w:szCs w:val="23"/>
      <w:shd w:val="clear" w:color="auto" w:fill="FFFFFF"/>
    </w:rPr>
  </w:style>
  <w:style w:type="paragraph" w:customStyle="1" w:styleId="Bodytext1">
    <w:name w:val="Body text1"/>
    <w:basedOn w:val="Normal"/>
    <w:link w:val="Bodytext0"/>
    <w:rsid w:val="00B81632"/>
    <w:pPr>
      <w:widowControl w:val="0"/>
      <w:shd w:val="clear" w:color="auto" w:fill="FFFFFF"/>
      <w:spacing w:before="60" w:after="60" w:line="240" w:lineRule="atLeast"/>
      <w:jc w:val="both"/>
    </w:pPr>
    <w:rPr>
      <w:sz w:val="23"/>
      <w:szCs w:val="23"/>
      <w:shd w:val="clear" w:color="auto" w:fill="FFFFFF"/>
      <w:lang w:val="en-US"/>
    </w:rPr>
  </w:style>
  <w:style w:type="character" w:styleId="Emphasis">
    <w:name w:val="Emphasis"/>
    <w:basedOn w:val="DefaultParagraphFont"/>
    <w:uiPriority w:val="20"/>
    <w:qFormat/>
    <w:locked/>
    <w:rsid w:val="00E12CFD"/>
    <w:rPr>
      <w:i/>
      <w:iCs/>
    </w:rPr>
  </w:style>
  <w:style w:type="paragraph" w:styleId="BodyTextIndent3">
    <w:name w:val="Body Text Indent 3"/>
    <w:basedOn w:val="Normal"/>
    <w:link w:val="BodyTextIndent3Char"/>
    <w:uiPriority w:val="99"/>
    <w:unhideWhenUsed/>
    <w:rsid w:val="00DF6C92"/>
    <w:pPr>
      <w:spacing w:after="120"/>
      <w:ind w:left="360"/>
    </w:pPr>
    <w:rPr>
      <w:sz w:val="16"/>
      <w:szCs w:val="16"/>
    </w:rPr>
  </w:style>
  <w:style w:type="character" w:customStyle="1" w:styleId="BodyTextIndent3Char">
    <w:name w:val="Body Text Indent 3 Char"/>
    <w:basedOn w:val="DefaultParagraphFont"/>
    <w:link w:val="BodyTextIndent3"/>
    <w:uiPriority w:val="99"/>
    <w:rsid w:val="00DF6C92"/>
    <w:rPr>
      <w:sz w:val="16"/>
      <w:szCs w:val="16"/>
      <w:lang w:val="en-GB"/>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A74978"/>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F408A"/>
    <w:pPr>
      <w:spacing w:after="160" w:line="240" w:lineRule="exact"/>
    </w:pPr>
    <w:rPr>
      <w:rFonts w:cs="Times New Roman"/>
      <w:vertAlign w:val="superscript"/>
      <w:lang w:val="en-US"/>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EF408A"/>
    <w:rPr>
      <w:lang w:val="en-GB"/>
    </w:rPr>
  </w:style>
  <w:style w:type="character" w:customStyle="1" w:styleId="FootnoteTextChar1">
    <w:name w:val="Footnote Text Char1"/>
    <w:uiPriority w:val="99"/>
    <w:locked/>
    <w:rsid w:val="00332523"/>
    <w:rPr>
      <w:rFonts w:eastAsia="Calibri"/>
    </w:rPr>
  </w:style>
  <w:style w:type="table" w:styleId="TableGrid">
    <w:name w:val="Table Grid"/>
    <w:basedOn w:val="TableNormal"/>
    <w:uiPriority w:val="39"/>
    <w:locked/>
    <w:rsid w:val="009A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D7987"/>
    <w:rPr>
      <w:color w:val="0000FF"/>
      <w:u w:val="single"/>
    </w:rPr>
  </w:style>
  <w:style w:type="character" w:styleId="CommentReference">
    <w:name w:val="annotation reference"/>
    <w:basedOn w:val="DefaultParagraphFont"/>
    <w:uiPriority w:val="99"/>
    <w:semiHidden/>
    <w:unhideWhenUsed/>
    <w:rsid w:val="00E76739"/>
    <w:rPr>
      <w:sz w:val="16"/>
      <w:szCs w:val="16"/>
    </w:rPr>
  </w:style>
  <w:style w:type="paragraph" w:styleId="CommentText">
    <w:name w:val="annotation text"/>
    <w:basedOn w:val="Normal"/>
    <w:link w:val="CommentTextChar"/>
    <w:uiPriority w:val="99"/>
    <w:unhideWhenUsed/>
    <w:rsid w:val="00E76739"/>
    <w:pPr>
      <w:spacing w:line="240" w:lineRule="auto"/>
    </w:pPr>
    <w:rPr>
      <w:sz w:val="20"/>
      <w:szCs w:val="20"/>
    </w:rPr>
  </w:style>
  <w:style w:type="character" w:customStyle="1" w:styleId="CommentTextChar">
    <w:name w:val="Comment Text Char"/>
    <w:basedOn w:val="DefaultParagraphFont"/>
    <w:link w:val="CommentText"/>
    <w:uiPriority w:val="99"/>
    <w:rsid w:val="00E76739"/>
    <w:rPr>
      <w:sz w:val="20"/>
      <w:szCs w:val="20"/>
      <w:lang w:val="en-GB"/>
    </w:rPr>
  </w:style>
  <w:style w:type="paragraph" w:styleId="NoSpacing">
    <w:name w:val="No Spacing"/>
    <w:uiPriority w:val="1"/>
    <w:qFormat/>
    <w:rsid w:val="00B34CB3"/>
    <w:pPr>
      <w:spacing w:after="0" w:line="240" w:lineRule="auto"/>
    </w:pPr>
    <w:rPr>
      <w:rFonts w:ascii="Times New Roman" w:hAnsi="Times New Roman" w:cs="Times New Roman"/>
      <w:sz w:val="24"/>
      <w:szCs w:val="24"/>
    </w:rPr>
  </w:style>
  <w:style w:type="character" w:customStyle="1" w:styleId="fontstyle01">
    <w:name w:val="fontstyle01"/>
    <w:rsid w:val="00C6304C"/>
    <w:rPr>
      <w:rFonts w:ascii="Times New Roman" w:hAnsi="Times New Roman"/>
      <w:color w:val="000000"/>
      <w:sz w:val="28"/>
    </w:rPr>
  </w:style>
  <w:style w:type="paragraph" w:customStyle="1" w:styleId="Normal11">
    <w:name w:val="Normal11"/>
    <w:basedOn w:val="Normal"/>
    <w:uiPriority w:val="99"/>
    <w:rsid w:val="00E13E26"/>
    <w:pPr>
      <w:spacing w:before="100" w:beforeAutospacing="1" w:after="100" w:afterAutospacing="1" w:line="240" w:lineRule="auto"/>
    </w:pPr>
    <w:rPr>
      <w:sz w:val="24"/>
      <w:szCs w:val="24"/>
      <w:lang w:val="en-US"/>
    </w:rPr>
  </w:style>
  <w:style w:type="paragraph" w:styleId="List3">
    <w:name w:val="List 3"/>
    <w:basedOn w:val="Normal"/>
    <w:semiHidden/>
    <w:unhideWhenUsed/>
    <w:rsid w:val="0096751C"/>
    <w:pPr>
      <w:spacing w:after="0" w:line="240" w:lineRule="auto"/>
      <w:ind w:left="1080" w:hanging="360"/>
      <w:contextualSpacing/>
    </w:pPr>
    <w:rPr>
      <w:rFonts w:ascii=".VnTime" w:hAnsi=".VnTime" w:cs="Times New Roman"/>
      <w:sz w:val="24"/>
      <w:szCs w:val="20"/>
    </w:rPr>
  </w:style>
  <w:style w:type="paragraph" w:styleId="Revision">
    <w:name w:val="Revision"/>
    <w:hidden/>
    <w:uiPriority w:val="99"/>
    <w:semiHidden/>
    <w:rsid w:val="006F384D"/>
    <w:pPr>
      <w:spacing w:after="0" w:line="240" w:lineRule="auto"/>
    </w:pPr>
    <w:rPr>
      <w:lang w:val="en-GB"/>
    </w:rPr>
  </w:style>
  <w:style w:type="character" w:customStyle="1" w:styleId="Heading3Char">
    <w:name w:val="Heading 3 Char"/>
    <w:basedOn w:val="DefaultParagraphFont"/>
    <w:link w:val="Heading3"/>
    <w:semiHidden/>
    <w:rsid w:val="00DA5DC0"/>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1412">
      <w:bodyDiv w:val="1"/>
      <w:marLeft w:val="0"/>
      <w:marRight w:val="0"/>
      <w:marTop w:val="0"/>
      <w:marBottom w:val="0"/>
      <w:divBdr>
        <w:top w:val="none" w:sz="0" w:space="0" w:color="auto"/>
        <w:left w:val="none" w:sz="0" w:space="0" w:color="auto"/>
        <w:bottom w:val="none" w:sz="0" w:space="0" w:color="auto"/>
        <w:right w:val="none" w:sz="0" w:space="0" w:color="auto"/>
      </w:divBdr>
    </w:div>
    <w:div w:id="266931515">
      <w:bodyDiv w:val="1"/>
      <w:marLeft w:val="0"/>
      <w:marRight w:val="0"/>
      <w:marTop w:val="0"/>
      <w:marBottom w:val="0"/>
      <w:divBdr>
        <w:top w:val="none" w:sz="0" w:space="0" w:color="auto"/>
        <w:left w:val="none" w:sz="0" w:space="0" w:color="auto"/>
        <w:bottom w:val="none" w:sz="0" w:space="0" w:color="auto"/>
        <w:right w:val="none" w:sz="0" w:space="0" w:color="auto"/>
      </w:divBdr>
    </w:div>
    <w:div w:id="364864483">
      <w:bodyDiv w:val="1"/>
      <w:marLeft w:val="0"/>
      <w:marRight w:val="0"/>
      <w:marTop w:val="0"/>
      <w:marBottom w:val="0"/>
      <w:divBdr>
        <w:top w:val="none" w:sz="0" w:space="0" w:color="auto"/>
        <w:left w:val="none" w:sz="0" w:space="0" w:color="auto"/>
        <w:bottom w:val="none" w:sz="0" w:space="0" w:color="auto"/>
        <w:right w:val="none" w:sz="0" w:space="0" w:color="auto"/>
      </w:divBdr>
    </w:div>
    <w:div w:id="596910382">
      <w:bodyDiv w:val="1"/>
      <w:marLeft w:val="0"/>
      <w:marRight w:val="0"/>
      <w:marTop w:val="0"/>
      <w:marBottom w:val="0"/>
      <w:divBdr>
        <w:top w:val="none" w:sz="0" w:space="0" w:color="auto"/>
        <w:left w:val="none" w:sz="0" w:space="0" w:color="auto"/>
        <w:bottom w:val="none" w:sz="0" w:space="0" w:color="auto"/>
        <w:right w:val="none" w:sz="0" w:space="0" w:color="auto"/>
      </w:divBdr>
      <w:divsChild>
        <w:div w:id="697313339">
          <w:marLeft w:val="0"/>
          <w:marRight w:val="0"/>
          <w:marTop w:val="0"/>
          <w:marBottom w:val="0"/>
          <w:divBdr>
            <w:top w:val="none" w:sz="0" w:space="0" w:color="auto"/>
            <w:left w:val="none" w:sz="0" w:space="0" w:color="auto"/>
            <w:bottom w:val="none" w:sz="0" w:space="0" w:color="auto"/>
            <w:right w:val="none" w:sz="0" w:space="0" w:color="auto"/>
          </w:divBdr>
          <w:divsChild>
            <w:div w:id="682899030">
              <w:marLeft w:val="0"/>
              <w:marRight w:val="0"/>
              <w:marTop w:val="0"/>
              <w:marBottom w:val="0"/>
              <w:divBdr>
                <w:top w:val="none" w:sz="0" w:space="0" w:color="auto"/>
                <w:left w:val="none" w:sz="0" w:space="0" w:color="auto"/>
                <w:bottom w:val="none" w:sz="0" w:space="0" w:color="auto"/>
                <w:right w:val="none" w:sz="0" w:space="0" w:color="auto"/>
              </w:divBdr>
              <w:divsChild>
                <w:div w:id="1880438569">
                  <w:marLeft w:val="0"/>
                  <w:marRight w:val="0"/>
                  <w:marTop w:val="0"/>
                  <w:marBottom w:val="0"/>
                  <w:divBdr>
                    <w:top w:val="none" w:sz="0" w:space="0" w:color="auto"/>
                    <w:left w:val="none" w:sz="0" w:space="0" w:color="auto"/>
                    <w:bottom w:val="none" w:sz="0" w:space="0" w:color="auto"/>
                    <w:right w:val="none" w:sz="0" w:space="0" w:color="auto"/>
                  </w:divBdr>
                  <w:divsChild>
                    <w:div w:id="9873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0999">
          <w:marLeft w:val="0"/>
          <w:marRight w:val="0"/>
          <w:marTop w:val="0"/>
          <w:marBottom w:val="0"/>
          <w:divBdr>
            <w:top w:val="none" w:sz="0" w:space="0" w:color="auto"/>
            <w:left w:val="none" w:sz="0" w:space="0" w:color="auto"/>
            <w:bottom w:val="none" w:sz="0" w:space="0" w:color="auto"/>
            <w:right w:val="none" w:sz="0" w:space="0" w:color="auto"/>
          </w:divBdr>
          <w:divsChild>
            <w:div w:id="1134835268">
              <w:marLeft w:val="0"/>
              <w:marRight w:val="0"/>
              <w:marTop w:val="0"/>
              <w:marBottom w:val="0"/>
              <w:divBdr>
                <w:top w:val="none" w:sz="0" w:space="0" w:color="auto"/>
                <w:left w:val="none" w:sz="0" w:space="0" w:color="auto"/>
                <w:bottom w:val="none" w:sz="0" w:space="0" w:color="auto"/>
                <w:right w:val="none" w:sz="0" w:space="0" w:color="auto"/>
              </w:divBdr>
              <w:divsChild>
                <w:div w:id="734399173">
                  <w:marLeft w:val="0"/>
                  <w:marRight w:val="0"/>
                  <w:marTop w:val="0"/>
                  <w:marBottom w:val="0"/>
                  <w:divBdr>
                    <w:top w:val="none" w:sz="0" w:space="0" w:color="auto"/>
                    <w:left w:val="none" w:sz="0" w:space="0" w:color="auto"/>
                    <w:bottom w:val="none" w:sz="0" w:space="0" w:color="auto"/>
                    <w:right w:val="none" w:sz="0" w:space="0" w:color="auto"/>
                  </w:divBdr>
                  <w:divsChild>
                    <w:div w:id="19023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81053">
      <w:bodyDiv w:val="1"/>
      <w:marLeft w:val="0"/>
      <w:marRight w:val="0"/>
      <w:marTop w:val="0"/>
      <w:marBottom w:val="0"/>
      <w:divBdr>
        <w:top w:val="none" w:sz="0" w:space="0" w:color="auto"/>
        <w:left w:val="none" w:sz="0" w:space="0" w:color="auto"/>
        <w:bottom w:val="none" w:sz="0" w:space="0" w:color="auto"/>
        <w:right w:val="none" w:sz="0" w:space="0" w:color="auto"/>
      </w:divBdr>
      <w:divsChild>
        <w:div w:id="761798856">
          <w:marLeft w:val="0"/>
          <w:marRight w:val="0"/>
          <w:marTop w:val="0"/>
          <w:marBottom w:val="0"/>
          <w:divBdr>
            <w:top w:val="none" w:sz="0" w:space="0" w:color="auto"/>
            <w:left w:val="none" w:sz="0" w:space="0" w:color="auto"/>
            <w:bottom w:val="none" w:sz="0" w:space="0" w:color="auto"/>
            <w:right w:val="none" w:sz="0" w:space="0" w:color="auto"/>
          </w:divBdr>
        </w:div>
      </w:divsChild>
    </w:div>
    <w:div w:id="698701146">
      <w:bodyDiv w:val="1"/>
      <w:marLeft w:val="0"/>
      <w:marRight w:val="0"/>
      <w:marTop w:val="0"/>
      <w:marBottom w:val="0"/>
      <w:divBdr>
        <w:top w:val="none" w:sz="0" w:space="0" w:color="auto"/>
        <w:left w:val="none" w:sz="0" w:space="0" w:color="auto"/>
        <w:bottom w:val="none" w:sz="0" w:space="0" w:color="auto"/>
        <w:right w:val="none" w:sz="0" w:space="0" w:color="auto"/>
      </w:divBdr>
    </w:div>
    <w:div w:id="726030877">
      <w:bodyDiv w:val="1"/>
      <w:marLeft w:val="0"/>
      <w:marRight w:val="0"/>
      <w:marTop w:val="0"/>
      <w:marBottom w:val="0"/>
      <w:divBdr>
        <w:top w:val="none" w:sz="0" w:space="0" w:color="auto"/>
        <w:left w:val="none" w:sz="0" w:space="0" w:color="auto"/>
        <w:bottom w:val="none" w:sz="0" w:space="0" w:color="auto"/>
        <w:right w:val="none" w:sz="0" w:space="0" w:color="auto"/>
      </w:divBdr>
    </w:div>
    <w:div w:id="739719657">
      <w:bodyDiv w:val="1"/>
      <w:marLeft w:val="0"/>
      <w:marRight w:val="0"/>
      <w:marTop w:val="0"/>
      <w:marBottom w:val="0"/>
      <w:divBdr>
        <w:top w:val="none" w:sz="0" w:space="0" w:color="auto"/>
        <w:left w:val="none" w:sz="0" w:space="0" w:color="auto"/>
        <w:bottom w:val="none" w:sz="0" w:space="0" w:color="auto"/>
        <w:right w:val="none" w:sz="0" w:space="0" w:color="auto"/>
      </w:divBdr>
    </w:div>
    <w:div w:id="1506626063">
      <w:bodyDiv w:val="1"/>
      <w:marLeft w:val="0"/>
      <w:marRight w:val="0"/>
      <w:marTop w:val="0"/>
      <w:marBottom w:val="0"/>
      <w:divBdr>
        <w:top w:val="none" w:sz="0" w:space="0" w:color="auto"/>
        <w:left w:val="none" w:sz="0" w:space="0" w:color="auto"/>
        <w:bottom w:val="none" w:sz="0" w:space="0" w:color="auto"/>
        <w:right w:val="none" w:sz="0" w:space="0" w:color="auto"/>
      </w:divBdr>
    </w:div>
    <w:div w:id="1518275169">
      <w:bodyDiv w:val="1"/>
      <w:marLeft w:val="0"/>
      <w:marRight w:val="0"/>
      <w:marTop w:val="0"/>
      <w:marBottom w:val="0"/>
      <w:divBdr>
        <w:top w:val="none" w:sz="0" w:space="0" w:color="auto"/>
        <w:left w:val="none" w:sz="0" w:space="0" w:color="auto"/>
        <w:bottom w:val="none" w:sz="0" w:space="0" w:color="auto"/>
        <w:right w:val="none" w:sz="0" w:space="0" w:color="auto"/>
      </w:divBdr>
    </w:div>
    <w:div w:id="1587419092">
      <w:bodyDiv w:val="1"/>
      <w:marLeft w:val="0"/>
      <w:marRight w:val="0"/>
      <w:marTop w:val="0"/>
      <w:marBottom w:val="0"/>
      <w:divBdr>
        <w:top w:val="none" w:sz="0" w:space="0" w:color="auto"/>
        <w:left w:val="none" w:sz="0" w:space="0" w:color="auto"/>
        <w:bottom w:val="none" w:sz="0" w:space="0" w:color="auto"/>
        <w:right w:val="none" w:sz="0" w:space="0" w:color="auto"/>
      </w:divBdr>
    </w:div>
    <w:div w:id="1901481468">
      <w:marLeft w:val="0"/>
      <w:marRight w:val="0"/>
      <w:marTop w:val="0"/>
      <w:marBottom w:val="0"/>
      <w:divBdr>
        <w:top w:val="none" w:sz="0" w:space="0" w:color="auto"/>
        <w:left w:val="none" w:sz="0" w:space="0" w:color="auto"/>
        <w:bottom w:val="none" w:sz="0" w:space="0" w:color="auto"/>
        <w:right w:val="none" w:sz="0" w:space="0" w:color="auto"/>
      </w:divBdr>
    </w:div>
    <w:div w:id="1901481471">
      <w:marLeft w:val="0"/>
      <w:marRight w:val="0"/>
      <w:marTop w:val="0"/>
      <w:marBottom w:val="0"/>
      <w:divBdr>
        <w:top w:val="none" w:sz="0" w:space="0" w:color="auto"/>
        <w:left w:val="none" w:sz="0" w:space="0" w:color="auto"/>
        <w:bottom w:val="none" w:sz="0" w:space="0" w:color="auto"/>
        <w:right w:val="none" w:sz="0" w:space="0" w:color="auto"/>
      </w:divBdr>
      <w:divsChild>
        <w:div w:id="1901481469">
          <w:marLeft w:val="0"/>
          <w:marRight w:val="0"/>
          <w:marTop w:val="0"/>
          <w:marBottom w:val="0"/>
          <w:divBdr>
            <w:top w:val="none" w:sz="0" w:space="0" w:color="auto"/>
            <w:left w:val="none" w:sz="0" w:space="0" w:color="auto"/>
            <w:bottom w:val="none" w:sz="0" w:space="0" w:color="auto"/>
            <w:right w:val="none" w:sz="0" w:space="0" w:color="auto"/>
          </w:divBdr>
        </w:div>
        <w:div w:id="1901481470">
          <w:marLeft w:val="0"/>
          <w:marRight w:val="0"/>
          <w:marTop w:val="0"/>
          <w:marBottom w:val="0"/>
          <w:divBdr>
            <w:top w:val="none" w:sz="0" w:space="0" w:color="auto"/>
            <w:left w:val="none" w:sz="0" w:space="0" w:color="auto"/>
            <w:bottom w:val="none" w:sz="0" w:space="0" w:color="auto"/>
            <w:right w:val="none" w:sz="0" w:space="0" w:color="auto"/>
          </w:divBdr>
        </w:div>
        <w:div w:id="1901481472">
          <w:marLeft w:val="0"/>
          <w:marRight w:val="0"/>
          <w:marTop w:val="120"/>
          <w:marBottom w:val="120"/>
          <w:divBdr>
            <w:top w:val="none" w:sz="0" w:space="0" w:color="auto"/>
            <w:left w:val="none" w:sz="0" w:space="0" w:color="auto"/>
            <w:bottom w:val="none" w:sz="0" w:space="0" w:color="auto"/>
            <w:right w:val="none" w:sz="0" w:space="0" w:color="auto"/>
          </w:divBdr>
        </w:div>
      </w:divsChild>
    </w:div>
    <w:div w:id="1901481483">
      <w:marLeft w:val="0"/>
      <w:marRight w:val="0"/>
      <w:marTop w:val="0"/>
      <w:marBottom w:val="0"/>
      <w:divBdr>
        <w:top w:val="none" w:sz="0" w:space="0" w:color="auto"/>
        <w:left w:val="none" w:sz="0" w:space="0" w:color="auto"/>
        <w:bottom w:val="none" w:sz="0" w:space="0" w:color="auto"/>
        <w:right w:val="none" w:sz="0" w:space="0" w:color="auto"/>
      </w:divBdr>
    </w:div>
    <w:div w:id="1901481484">
      <w:marLeft w:val="0"/>
      <w:marRight w:val="0"/>
      <w:marTop w:val="0"/>
      <w:marBottom w:val="0"/>
      <w:divBdr>
        <w:top w:val="none" w:sz="0" w:space="0" w:color="auto"/>
        <w:left w:val="none" w:sz="0" w:space="0" w:color="auto"/>
        <w:bottom w:val="none" w:sz="0" w:space="0" w:color="auto"/>
        <w:right w:val="none" w:sz="0" w:space="0" w:color="auto"/>
      </w:divBdr>
      <w:divsChild>
        <w:div w:id="1901481467">
          <w:marLeft w:val="0"/>
          <w:marRight w:val="0"/>
          <w:marTop w:val="0"/>
          <w:marBottom w:val="0"/>
          <w:divBdr>
            <w:top w:val="none" w:sz="0" w:space="0" w:color="auto"/>
            <w:left w:val="none" w:sz="0" w:space="0" w:color="auto"/>
            <w:bottom w:val="none" w:sz="0" w:space="0" w:color="auto"/>
            <w:right w:val="none" w:sz="0" w:space="0" w:color="auto"/>
          </w:divBdr>
          <w:divsChild>
            <w:div w:id="1901481477">
              <w:marLeft w:val="0"/>
              <w:marRight w:val="0"/>
              <w:marTop w:val="0"/>
              <w:marBottom w:val="0"/>
              <w:divBdr>
                <w:top w:val="none" w:sz="0" w:space="0" w:color="auto"/>
                <w:left w:val="none" w:sz="0" w:space="0" w:color="auto"/>
                <w:bottom w:val="none" w:sz="0" w:space="0" w:color="auto"/>
                <w:right w:val="none" w:sz="0" w:space="0" w:color="auto"/>
              </w:divBdr>
              <w:divsChild>
                <w:div w:id="1901481480">
                  <w:marLeft w:val="0"/>
                  <w:marRight w:val="0"/>
                  <w:marTop w:val="0"/>
                  <w:marBottom w:val="300"/>
                  <w:divBdr>
                    <w:top w:val="none" w:sz="0" w:space="0" w:color="auto"/>
                    <w:left w:val="single" w:sz="6" w:space="0" w:color="CCCCCC"/>
                    <w:bottom w:val="single" w:sz="6" w:space="0" w:color="CCCCCC"/>
                    <w:right w:val="single" w:sz="6" w:space="0" w:color="CCCCCC"/>
                  </w:divBdr>
                </w:div>
              </w:divsChild>
            </w:div>
          </w:divsChild>
        </w:div>
        <w:div w:id="1901481475">
          <w:marLeft w:val="0"/>
          <w:marRight w:val="0"/>
          <w:marTop w:val="0"/>
          <w:marBottom w:val="0"/>
          <w:divBdr>
            <w:top w:val="none" w:sz="0" w:space="0" w:color="auto"/>
            <w:left w:val="none" w:sz="0" w:space="0" w:color="auto"/>
            <w:bottom w:val="none" w:sz="0" w:space="0" w:color="auto"/>
            <w:right w:val="none" w:sz="0" w:space="0" w:color="auto"/>
          </w:divBdr>
          <w:divsChild>
            <w:div w:id="1901481466">
              <w:marLeft w:val="0"/>
              <w:marRight w:val="0"/>
              <w:marTop w:val="0"/>
              <w:marBottom w:val="225"/>
              <w:divBdr>
                <w:top w:val="none" w:sz="0" w:space="0" w:color="auto"/>
                <w:left w:val="none" w:sz="0" w:space="0" w:color="auto"/>
                <w:bottom w:val="none" w:sz="0" w:space="0" w:color="auto"/>
                <w:right w:val="none" w:sz="0" w:space="0" w:color="auto"/>
              </w:divBdr>
              <w:divsChild>
                <w:div w:id="1901481478">
                  <w:marLeft w:val="0"/>
                  <w:marRight w:val="0"/>
                  <w:marTop w:val="0"/>
                  <w:marBottom w:val="225"/>
                  <w:divBdr>
                    <w:top w:val="none" w:sz="0" w:space="0" w:color="auto"/>
                    <w:left w:val="none" w:sz="0" w:space="0" w:color="auto"/>
                    <w:bottom w:val="none" w:sz="0" w:space="0" w:color="auto"/>
                    <w:right w:val="none" w:sz="0" w:space="0" w:color="auto"/>
                  </w:divBdr>
                </w:div>
                <w:div w:id="1901481479">
                  <w:marLeft w:val="0"/>
                  <w:marRight w:val="0"/>
                  <w:marTop w:val="0"/>
                  <w:marBottom w:val="225"/>
                  <w:divBdr>
                    <w:top w:val="none" w:sz="0" w:space="0" w:color="auto"/>
                    <w:left w:val="none" w:sz="0" w:space="0" w:color="auto"/>
                    <w:bottom w:val="none" w:sz="0" w:space="0" w:color="auto"/>
                    <w:right w:val="none" w:sz="0" w:space="0" w:color="auto"/>
                  </w:divBdr>
                  <w:divsChild>
                    <w:div w:id="1901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74">
              <w:marLeft w:val="0"/>
              <w:marRight w:val="0"/>
              <w:marTop w:val="0"/>
              <w:marBottom w:val="225"/>
              <w:divBdr>
                <w:top w:val="none" w:sz="0" w:space="0" w:color="auto"/>
                <w:left w:val="none" w:sz="0" w:space="0" w:color="auto"/>
                <w:bottom w:val="none" w:sz="0" w:space="0" w:color="auto"/>
                <w:right w:val="none" w:sz="0" w:space="0" w:color="auto"/>
              </w:divBdr>
            </w:div>
            <w:div w:id="1901481476">
              <w:marLeft w:val="0"/>
              <w:marRight w:val="0"/>
              <w:marTop w:val="0"/>
              <w:marBottom w:val="225"/>
              <w:divBdr>
                <w:top w:val="none" w:sz="0" w:space="0" w:color="auto"/>
                <w:left w:val="none" w:sz="0" w:space="0" w:color="auto"/>
                <w:bottom w:val="none" w:sz="0" w:space="0" w:color="auto"/>
                <w:right w:val="none" w:sz="0" w:space="0" w:color="auto"/>
              </w:divBdr>
              <w:divsChild>
                <w:div w:id="1901481485">
                  <w:marLeft w:val="0"/>
                  <w:marRight w:val="0"/>
                  <w:marTop w:val="0"/>
                  <w:marBottom w:val="0"/>
                  <w:divBdr>
                    <w:top w:val="none" w:sz="0" w:space="0" w:color="auto"/>
                    <w:left w:val="none" w:sz="0" w:space="0" w:color="auto"/>
                    <w:bottom w:val="none" w:sz="0" w:space="0" w:color="auto"/>
                    <w:right w:val="none" w:sz="0" w:space="0" w:color="auto"/>
                  </w:divBdr>
                  <w:divsChild>
                    <w:div w:id="190148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1481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49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909DC-8A97-431A-83E6-584C0FC3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8385</Words>
  <Characters>44229</Characters>
  <Application>Microsoft Office Word</Application>
  <DocSecurity>0</DocSecurity>
  <Lines>368</Lines>
  <Paragraphs>105</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TCTK</Company>
  <LinksUpToDate>false</LinksUpToDate>
  <CharactersWithSpaces>52509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ltanh</dc:creator>
  <cp:lastModifiedBy>Bùi Trâm Anh</cp:lastModifiedBy>
  <cp:revision>3</cp:revision>
  <cp:lastPrinted>2023-09-28T03:04:00Z</cp:lastPrinted>
  <dcterms:created xsi:type="dcterms:W3CDTF">2024-11-04T07:28:00Z</dcterms:created>
  <dcterms:modified xsi:type="dcterms:W3CDTF">2024-11-04T07:49:00Z</dcterms:modified>
</cp:coreProperties>
</file>