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683C5" w14:textId="77777777" w:rsidR="003A35EA" w:rsidRPr="002A5269" w:rsidRDefault="003A35EA" w:rsidP="0016207C">
      <w:pPr>
        <w:spacing w:line="276" w:lineRule="auto"/>
        <w:jc w:val="center"/>
        <w:rPr>
          <w:rFonts w:ascii=".VnArialH" w:hAnsi=".VnArialH" w:cs=".VnArialH"/>
          <w:b/>
          <w:bCs/>
          <w:sz w:val="2"/>
          <w:szCs w:val="2"/>
        </w:rPr>
      </w:pPr>
    </w:p>
    <w:p w14:paraId="6A5ED20F" w14:textId="77777777" w:rsidR="00A73F37" w:rsidRPr="00C144DC" w:rsidRDefault="00A73F37" w:rsidP="00A73F37">
      <w:pPr>
        <w:spacing w:before="20" w:line="276" w:lineRule="auto"/>
        <w:jc w:val="center"/>
        <w:rPr>
          <w:b/>
          <w:bCs/>
          <w:sz w:val="2"/>
          <w:szCs w:val="36"/>
        </w:rPr>
      </w:pPr>
    </w:p>
    <w:tbl>
      <w:tblPr>
        <w:tblpPr w:leftFromText="180" w:rightFromText="180" w:vertAnchor="text" w:horzAnchor="margin" w:tblpXSpec="center" w:tblpY="-2"/>
        <w:tblW w:w="10710" w:type="dxa"/>
        <w:tblLayout w:type="fixed"/>
        <w:tblLook w:val="0000" w:firstRow="0" w:lastRow="0" w:firstColumn="0" w:lastColumn="0" w:noHBand="0" w:noVBand="0"/>
      </w:tblPr>
      <w:tblGrid>
        <w:gridCol w:w="5490"/>
        <w:gridCol w:w="5220"/>
      </w:tblGrid>
      <w:tr w:rsidR="00A73F37" w:rsidRPr="00974B69" w14:paraId="5B78E2D4" w14:textId="77777777" w:rsidTr="008278F8">
        <w:trPr>
          <w:trHeight w:val="1026"/>
        </w:trPr>
        <w:tc>
          <w:tcPr>
            <w:tcW w:w="5490" w:type="dxa"/>
          </w:tcPr>
          <w:p w14:paraId="52AD6ED4" w14:textId="77777777" w:rsidR="00A73F37" w:rsidRDefault="00A73F37" w:rsidP="008278F8">
            <w:pPr>
              <w:spacing w:line="276" w:lineRule="auto"/>
              <w:ind w:left="72" w:right="-115"/>
              <w:jc w:val="center"/>
              <w:rPr>
                <w:spacing w:val="-6"/>
                <w:sz w:val="24"/>
                <w:szCs w:val="24"/>
              </w:rPr>
            </w:pPr>
            <w:r w:rsidRPr="00974B69">
              <w:rPr>
                <w:spacing w:val="-6"/>
                <w:sz w:val="24"/>
                <w:szCs w:val="24"/>
              </w:rPr>
              <w:softHyphen/>
            </w:r>
            <w:r w:rsidRPr="00974B69">
              <w:rPr>
                <w:spacing w:val="-6"/>
                <w:sz w:val="24"/>
                <w:szCs w:val="24"/>
              </w:rPr>
              <w:softHyphen/>
            </w:r>
            <w:r w:rsidRPr="00974B69">
              <w:rPr>
                <w:spacing w:val="-6"/>
                <w:sz w:val="24"/>
                <w:szCs w:val="24"/>
              </w:rPr>
              <w:softHyphen/>
            </w:r>
            <w:r w:rsidRPr="00974B69">
              <w:rPr>
                <w:spacing w:val="-6"/>
                <w:sz w:val="24"/>
                <w:szCs w:val="24"/>
              </w:rPr>
              <w:softHyphen/>
              <w:t>MINISTRY OF PLANNING AND INVESTMENT</w:t>
            </w:r>
          </w:p>
          <w:p w14:paraId="62818BA3" w14:textId="77777777" w:rsidR="00A73F37" w:rsidRPr="00974B69" w:rsidRDefault="00A73F37" w:rsidP="008278F8">
            <w:pPr>
              <w:spacing w:line="276" w:lineRule="auto"/>
              <w:ind w:left="72" w:right="-115"/>
              <w:jc w:val="center"/>
              <w:rPr>
                <w:b/>
                <w:bCs/>
                <w:spacing w:val="-6"/>
                <w:sz w:val="24"/>
                <w:szCs w:val="24"/>
              </w:rPr>
            </w:pPr>
            <w:r>
              <w:rPr>
                <w:rFonts w:asciiTheme="minorHAnsi" w:hAnsiTheme="minorHAnsi" w:cstheme="minorBidi"/>
                <w:noProof/>
                <w:sz w:val="22"/>
                <w:szCs w:val="22"/>
                <w:lang w:val="en-US"/>
              </w:rPr>
              <mc:AlternateContent>
                <mc:Choice Requires="wps">
                  <w:drawing>
                    <wp:anchor distT="4294967291" distB="4294967291" distL="114300" distR="114300" simplePos="0" relativeHeight="251667968" behindDoc="0" locked="0" layoutInCell="1" allowOverlap="1" wp14:anchorId="49D3CD22" wp14:editId="5D7175E7">
                      <wp:simplePos x="0" y="0"/>
                      <wp:positionH relativeFrom="column">
                        <wp:posOffset>1145540</wp:posOffset>
                      </wp:positionH>
                      <wp:positionV relativeFrom="paragraph">
                        <wp:posOffset>203199</wp:posOffset>
                      </wp:positionV>
                      <wp:extent cx="971550" cy="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9824AC7" id="Straight Connector 30" o:spid="_x0000_s1026" style="position:absolute;z-index:2516679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0.2pt,16pt" to="166.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" strokeweight="1pt"/>
                  </w:pict>
                </mc:Fallback>
              </mc:AlternateContent>
            </w:r>
            <w:r w:rsidRPr="00974B69">
              <w:rPr>
                <w:b/>
                <w:bCs/>
                <w:spacing w:val="-6"/>
                <w:sz w:val="24"/>
                <w:szCs w:val="24"/>
              </w:rPr>
              <w:t>GENERAL STATISTICS OFFICE</w:t>
            </w:r>
          </w:p>
          <w:p w14:paraId="1ED6D724" w14:textId="77777777" w:rsidR="00A73F37" w:rsidRDefault="00A73F37" w:rsidP="008278F8">
            <w:pPr>
              <w:spacing w:before="120" w:line="276" w:lineRule="auto"/>
              <w:ind w:left="16" w:right="-18"/>
              <w:jc w:val="center"/>
              <w:rPr>
                <w:sz w:val="26"/>
                <w:szCs w:val="26"/>
              </w:rPr>
            </w:pPr>
          </w:p>
          <w:p w14:paraId="33083B46" w14:textId="09A144CC" w:rsidR="00A73F37" w:rsidRPr="00974B69" w:rsidRDefault="00A73F37" w:rsidP="008278F8">
            <w:pPr>
              <w:spacing w:before="120" w:line="276" w:lineRule="auto"/>
              <w:ind w:left="16" w:right="-18"/>
              <w:jc w:val="center"/>
              <w:rPr>
                <w:sz w:val="26"/>
                <w:szCs w:val="26"/>
              </w:rPr>
            </w:pPr>
            <w:r w:rsidRPr="00974B69">
              <w:rPr>
                <w:sz w:val="26"/>
                <w:szCs w:val="26"/>
              </w:rPr>
              <w:t xml:space="preserve">No: </w:t>
            </w:r>
            <w:r>
              <w:rPr>
                <w:sz w:val="26"/>
                <w:szCs w:val="26"/>
                <w:lang w:val="en-US"/>
              </w:rPr>
              <w:t>23</w:t>
            </w:r>
            <w:r w:rsidRPr="00974B69">
              <w:rPr>
                <w:sz w:val="26"/>
                <w:szCs w:val="26"/>
              </w:rPr>
              <w:t>/BC-TCTK</w:t>
            </w:r>
          </w:p>
        </w:tc>
        <w:tc>
          <w:tcPr>
            <w:tcW w:w="5220" w:type="dxa"/>
          </w:tcPr>
          <w:p w14:paraId="5DD6B2F0" w14:textId="77777777" w:rsidR="00A73F37" w:rsidRPr="00974B69" w:rsidRDefault="00A73F37" w:rsidP="008278F8">
            <w:pPr>
              <w:spacing w:line="276" w:lineRule="auto"/>
              <w:rPr>
                <w:b/>
                <w:bCs/>
                <w:sz w:val="24"/>
                <w:szCs w:val="24"/>
              </w:rPr>
            </w:pPr>
            <w:r w:rsidRPr="00974B69">
              <w:rPr>
                <w:b/>
                <w:bCs/>
                <w:sz w:val="24"/>
                <w:szCs w:val="24"/>
              </w:rPr>
              <w:t>SOCIALIST REPUBLIC OF VIET NAM</w:t>
            </w:r>
          </w:p>
          <w:p w14:paraId="109B781C" w14:textId="77777777" w:rsidR="00A73F37" w:rsidRPr="00974B69" w:rsidRDefault="00A73F37" w:rsidP="008278F8">
            <w:pPr>
              <w:spacing w:line="276" w:lineRule="auto"/>
              <w:rPr>
                <w:b/>
                <w:bCs/>
                <w:sz w:val="24"/>
                <w:szCs w:val="24"/>
              </w:rPr>
            </w:pPr>
            <w:r>
              <w:rPr>
                <w:rFonts w:asciiTheme="minorHAnsi" w:hAnsiTheme="minorHAnsi" w:cstheme="minorBidi"/>
                <w:noProof/>
                <w:sz w:val="22"/>
                <w:szCs w:val="22"/>
                <w:lang w:val="en-US"/>
              </w:rPr>
              <mc:AlternateContent>
                <mc:Choice Requires="wps">
                  <w:drawing>
                    <wp:anchor distT="4294967291" distB="4294967291" distL="114300" distR="114300" simplePos="0" relativeHeight="251668992" behindDoc="0" locked="0" layoutInCell="1" allowOverlap="1" wp14:anchorId="64C515FA" wp14:editId="77E909B5">
                      <wp:simplePos x="0" y="0"/>
                      <wp:positionH relativeFrom="column">
                        <wp:posOffset>336550</wp:posOffset>
                      </wp:positionH>
                      <wp:positionV relativeFrom="paragraph">
                        <wp:posOffset>203199</wp:posOffset>
                      </wp:positionV>
                      <wp:extent cx="1884045" cy="0"/>
                      <wp:effectExtent l="0" t="0" r="0" b="0"/>
                      <wp:wrapNone/>
                      <wp:docPr id="1891351301" name="Straight Connector 189135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4045"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9674BF3" id="Straight Connector 1891351301" o:spid="_x0000_s1026" style="position:absolute;z-index:251668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5pt,16pt" to="174.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" strokeweight="1pt"/>
                  </w:pict>
                </mc:Fallback>
              </mc:AlternateContent>
            </w:r>
            <w:r w:rsidRPr="00974B69">
              <w:rPr>
                <w:b/>
                <w:bCs/>
                <w:sz w:val="24"/>
                <w:szCs w:val="24"/>
              </w:rPr>
              <w:t>Independence-Freedom-Happiness</w:t>
            </w:r>
          </w:p>
          <w:p w14:paraId="375B7242" w14:textId="77777777" w:rsidR="00A73F37" w:rsidRDefault="00A73F37" w:rsidP="008278F8">
            <w:pPr>
              <w:spacing w:line="276" w:lineRule="auto"/>
              <w:ind w:left="72"/>
              <w:jc w:val="center"/>
              <w:rPr>
                <w:i/>
                <w:iCs/>
                <w:sz w:val="26"/>
                <w:szCs w:val="26"/>
              </w:rPr>
            </w:pPr>
          </w:p>
          <w:p w14:paraId="4A3B2EA2" w14:textId="406D46DB" w:rsidR="00A73F37" w:rsidRPr="00A73F37" w:rsidRDefault="00A73F37" w:rsidP="008278F8">
            <w:pPr>
              <w:spacing w:line="276" w:lineRule="auto"/>
              <w:ind w:left="72" w:right="849"/>
              <w:jc w:val="center"/>
              <w:rPr>
                <w:b/>
                <w:bCs/>
                <w:i/>
                <w:iCs/>
                <w:sz w:val="26"/>
                <w:szCs w:val="26"/>
                <w:lang w:val="en-US"/>
              </w:rPr>
            </w:pPr>
            <w:r w:rsidRPr="00974B69">
              <w:rPr>
                <w:i/>
                <w:iCs/>
                <w:sz w:val="26"/>
                <w:szCs w:val="26"/>
              </w:rPr>
              <w:t>Ha Noi, 2</w:t>
            </w:r>
            <w:r>
              <w:rPr>
                <w:i/>
                <w:iCs/>
                <w:sz w:val="26"/>
                <w:szCs w:val="26"/>
              </w:rPr>
              <w:t>9</w:t>
            </w:r>
            <w:r w:rsidRPr="00974B69">
              <w:rPr>
                <w:i/>
                <w:iCs/>
                <w:sz w:val="26"/>
                <w:szCs w:val="26"/>
                <w:vertAlign w:val="superscript"/>
              </w:rPr>
              <w:t>th</w:t>
            </w:r>
            <w:r w:rsidRPr="00974B69">
              <w:rPr>
                <w:i/>
                <w:iCs/>
                <w:sz w:val="26"/>
                <w:szCs w:val="26"/>
              </w:rPr>
              <w:t xml:space="preserve"> </w:t>
            </w:r>
            <w:r>
              <w:rPr>
                <w:i/>
                <w:iCs/>
                <w:sz w:val="26"/>
                <w:szCs w:val="26"/>
              </w:rPr>
              <w:t>January</w:t>
            </w:r>
            <w:r w:rsidRPr="00974B69">
              <w:rPr>
                <w:i/>
                <w:iCs/>
                <w:sz w:val="26"/>
                <w:szCs w:val="26"/>
              </w:rPr>
              <w:t xml:space="preserve"> 202</w:t>
            </w:r>
            <w:r>
              <w:rPr>
                <w:i/>
                <w:iCs/>
                <w:sz w:val="26"/>
                <w:szCs w:val="26"/>
                <w:lang w:val="en-US"/>
              </w:rPr>
              <w:t>4</w:t>
            </w:r>
          </w:p>
        </w:tc>
      </w:tr>
    </w:tbl>
    <w:p w14:paraId="47A2C106" w14:textId="52585F96" w:rsidR="00A73F37" w:rsidRDefault="00A73F37" w:rsidP="00A73F37">
      <w:pPr>
        <w:spacing w:before="600" w:line="276" w:lineRule="auto"/>
        <w:jc w:val="center"/>
        <w:rPr>
          <w:b/>
          <w:bCs/>
          <w:sz w:val="32"/>
          <w:szCs w:val="32"/>
          <w:lang w:val="pt-BR"/>
        </w:rPr>
      </w:pPr>
      <w:r w:rsidRPr="006D7720">
        <w:rPr>
          <w:b/>
          <w:bCs/>
          <w:sz w:val="32"/>
          <w:szCs w:val="32"/>
          <w:lang w:val="pt-BR"/>
        </w:rPr>
        <w:t xml:space="preserve">Socio-economic situation report in </w:t>
      </w:r>
      <w:r>
        <w:rPr>
          <w:b/>
          <w:bCs/>
          <w:sz w:val="32"/>
          <w:szCs w:val="32"/>
          <w:lang w:val="pt-BR"/>
        </w:rPr>
        <w:t>January 2024</w:t>
      </w:r>
    </w:p>
    <w:p w14:paraId="29E41452" w14:textId="77777777" w:rsidR="00C144DC" w:rsidRPr="001D0DCE" w:rsidRDefault="00287F87" w:rsidP="00C144DC">
      <w:pPr>
        <w:spacing w:before="20"/>
        <w:jc w:val="center"/>
        <w:rPr>
          <w:rFonts w:ascii="Arial" w:hAnsi="Arial" w:cs="Arial"/>
          <w:b/>
          <w:bCs/>
          <w:sz w:val="38"/>
          <w:szCs w:val="52"/>
        </w:rPr>
      </w:pPr>
      <w:r w:rsidRPr="001D0DCE">
        <w:rPr>
          <w:noProof/>
          <w:lang w:val="en-GB" w:eastAsia="en-GB"/>
        </w:rPr>
        <mc:AlternateContent>
          <mc:Choice Requires="wps">
            <w:drawing>
              <wp:anchor distT="4294967294" distB="4294967294" distL="114300" distR="114300" simplePos="0" relativeHeight="251660800" behindDoc="0" locked="0" layoutInCell="1" allowOverlap="1" wp14:anchorId="00A8869A" wp14:editId="5C40738C">
                <wp:simplePos x="0" y="0"/>
                <wp:positionH relativeFrom="column">
                  <wp:posOffset>2136140</wp:posOffset>
                </wp:positionH>
                <wp:positionV relativeFrom="paragraph">
                  <wp:posOffset>26034</wp:posOffset>
                </wp:positionV>
                <wp:extent cx="1412875" cy="0"/>
                <wp:effectExtent l="0" t="0" r="15875"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2E974B"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Z2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DTeyZ2HgIAADsEAAAOAAAAAAAAAAAAAAAAAC4CAABkcnMvZTJvRG9jLnhtbFBLAQIt&#10;ABQABgAIAAAAIQDeLF5J3AAAAAcBAAAPAAAAAAAAAAAAAAAAAHgEAABkcnMvZG93bnJldi54bWxQ&#10;SwUGAAAAAAQABADzAAAAgQUAAAAA&#10;"/>
            </w:pict>
          </mc:Fallback>
        </mc:AlternateContent>
      </w:r>
    </w:p>
    <w:p w14:paraId="1CD2CF0D" w14:textId="77777777" w:rsidR="004A2A23" w:rsidRPr="00052095" w:rsidRDefault="004A2A23" w:rsidP="004A2A23">
      <w:pPr>
        <w:spacing w:before="40" w:after="40" w:line="288" w:lineRule="auto"/>
        <w:ind w:firstLine="567"/>
        <w:jc w:val="both"/>
        <w:rPr>
          <w:b/>
          <w:bCs/>
        </w:rPr>
      </w:pPr>
      <w:r w:rsidRPr="00052095">
        <w:rPr>
          <w:b/>
          <w:bCs/>
        </w:rPr>
        <w:t xml:space="preserve">1. </w:t>
      </w:r>
      <w:r w:rsidRPr="00EE6A7D">
        <w:rPr>
          <w:b/>
          <w:bCs/>
        </w:rPr>
        <w:t>Agriculture, forestry and fishery</w:t>
      </w:r>
    </w:p>
    <w:p w14:paraId="5E5DD4DA" w14:textId="77777777" w:rsidR="004A2A23" w:rsidRPr="00F441E9" w:rsidRDefault="004A2A23" w:rsidP="004A2A23">
      <w:pPr>
        <w:tabs>
          <w:tab w:val="left" w:pos="1134"/>
        </w:tabs>
        <w:spacing w:after="120" w:line="247" w:lineRule="auto"/>
        <w:ind w:firstLine="567"/>
        <w:jc w:val="both"/>
        <w:rPr>
          <w:i/>
          <w:spacing w:val="2"/>
          <w:shd w:val="clear" w:color="auto" w:fill="FFFFFF"/>
        </w:rPr>
      </w:pPr>
      <w:r w:rsidRPr="00ED512F">
        <w:rPr>
          <w:rFonts w:ascii="Times New Roman Italic" w:hAnsi="Times New Roman Italic"/>
          <w:i/>
          <w:spacing w:val="-2"/>
        </w:rPr>
        <w:t>Agricultural production in the month focuses mainly on planting, taking care of spring rice, and planting a</w:t>
      </w:r>
      <w:r>
        <w:rPr>
          <w:rFonts w:asciiTheme="minorHAnsi" w:hAnsiTheme="minorHAnsi"/>
          <w:i/>
          <w:spacing w:val="-2"/>
          <w:lang w:val="en-US"/>
        </w:rPr>
        <w:t>n</w:t>
      </w:r>
      <w:r w:rsidRPr="00ED512F">
        <w:rPr>
          <w:rFonts w:ascii="Times New Roman Italic" w:hAnsi="Times New Roman Italic"/>
          <w:i/>
          <w:spacing w:val="-2"/>
        </w:rPr>
        <w:t>nual crops across the country.</w:t>
      </w:r>
      <w:r w:rsidRPr="00F441E9">
        <w:rPr>
          <w:rFonts w:ascii="Times New Roman Italic" w:hAnsi="Times New Roman Italic"/>
          <w:i/>
          <w:spacing w:val="-2"/>
        </w:rPr>
        <w:t xml:space="preserve"> </w:t>
      </w:r>
      <w:r w:rsidRPr="00367025">
        <w:rPr>
          <w:i/>
        </w:rPr>
        <w:t>Pig and poultry farming developed well</w:t>
      </w:r>
      <w:r>
        <w:rPr>
          <w:rFonts w:asciiTheme="minorHAnsi" w:hAnsiTheme="minorHAnsi"/>
          <w:i/>
          <w:iCs/>
          <w:spacing w:val="-2"/>
          <w:lang w:val="en-US"/>
        </w:rPr>
        <w:t xml:space="preserve">. </w:t>
      </w:r>
      <w:r w:rsidRPr="00367025">
        <w:rPr>
          <w:rFonts w:asciiTheme="minorHAnsi" w:hAnsiTheme="minorHAnsi"/>
          <w:i/>
          <w:spacing w:val="-2"/>
          <w:lang w:val="en-US"/>
        </w:rPr>
        <w:t xml:space="preserve">Forestry production focuses on preparing </w:t>
      </w:r>
      <w:r>
        <w:rPr>
          <w:rFonts w:asciiTheme="minorHAnsi" w:hAnsiTheme="minorHAnsi"/>
          <w:i/>
          <w:spacing w:val="-2"/>
          <w:lang w:val="en-US"/>
        </w:rPr>
        <w:t>the</w:t>
      </w:r>
      <w:r w:rsidRPr="00367025">
        <w:rPr>
          <w:rFonts w:asciiTheme="minorHAnsi" w:hAnsiTheme="minorHAnsi"/>
          <w:i/>
          <w:spacing w:val="-2"/>
          <w:lang w:val="en-US"/>
        </w:rPr>
        <w:t xml:space="preserve"> grounds and </w:t>
      </w:r>
      <w:r w:rsidRPr="00ED512F">
        <w:rPr>
          <w:rFonts w:ascii="Times New Roman Italic" w:hAnsi="Times New Roman Italic"/>
          <w:i/>
          <w:spacing w:val="-2"/>
        </w:rPr>
        <w:t>taking care of seedlings for afforestation</w:t>
      </w:r>
      <w:r>
        <w:rPr>
          <w:rFonts w:asciiTheme="minorHAnsi" w:hAnsiTheme="minorHAnsi"/>
          <w:i/>
          <w:spacing w:val="-2"/>
          <w:lang w:val="en-US"/>
        </w:rPr>
        <w:t xml:space="preserve"> </w:t>
      </w:r>
      <w:r w:rsidRPr="00367025">
        <w:rPr>
          <w:rFonts w:asciiTheme="minorHAnsi" w:hAnsiTheme="minorHAnsi"/>
          <w:i/>
          <w:spacing w:val="-2"/>
          <w:lang w:val="en-US"/>
        </w:rPr>
        <w:t>and movement of tree plan</w:t>
      </w:r>
      <w:r>
        <w:rPr>
          <w:rFonts w:asciiTheme="minorHAnsi" w:hAnsiTheme="minorHAnsi"/>
          <w:i/>
          <w:spacing w:val="-2"/>
          <w:lang w:val="en-US"/>
        </w:rPr>
        <w:t>ting festival in Xuan Giap Thin</w:t>
      </w:r>
      <w:r w:rsidRPr="00367025">
        <w:rPr>
          <w:rFonts w:asciiTheme="minorHAnsi" w:hAnsiTheme="minorHAnsi"/>
          <w:i/>
          <w:spacing w:val="-2"/>
          <w:lang w:val="en-US"/>
        </w:rPr>
        <w:t>.</w:t>
      </w:r>
      <w:r w:rsidRPr="00F441E9">
        <w:rPr>
          <w:rFonts w:ascii="Times New Roman Italic" w:hAnsi="Times New Roman Italic"/>
          <w:i/>
          <w:iCs/>
          <w:spacing w:val="-2"/>
        </w:rPr>
        <w:t xml:space="preserve"> </w:t>
      </w:r>
      <w:r>
        <w:rPr>
          <w:rFonts w:ascii="Times New Roman Italic" w:hAnsi="Times New Roman Italic"/>
          <w:i/>
          <w:iCs/>
          <w:spacing w:val="-2"/>
        </w:rPr>
        <w:t xml:space="preserve">Fishery exploitation </w:t>
      </w:r>
      <w:r>
        <w:rPr>
          <w:rFonts w:asciiTheme="minorHAnsi" w:hAnsiTheme="minorHAnsi"/>
          <w:i/>
          <w:iCs/>
          <w:spacing w:val="-2"/>
          <w:lang w:val="en-US"/>
        </w:rPr>
        <w:t>wa</w:t>
      </w:r>
      <w:r w:rsidRPr="00D91C28">
        <w:rPr>
          <w:rFonts w:ascii="Times New Roman Italic" w:hAnsi="Times New Roman Italic"/>
          <w:i/>
          <w:iCs/>
          <w:spacing w:val="-2"/>
        </w:rPr>
        <w:t>s promoted to meet consumer demand during the Lunar New Year.</w:t>
      </w:r>
    </w:p>
    <w:p w14:paraId="50BB92B3" w14:textId="77777777" w:rsidR="004A2A23" w:rsidRPr="00ED512F" w:rsidRDefault="004A2A23" w:rsidP="004A2A23">
      <w:pPr>
        <w:pStyle w:val="ListParagraph"/>
        <w:tabs>
          <w:tab w:val="left" w:pos="1080"/>
          <w:tab w:val="left" w:pos="1134"/>
        </w:tabs>
        <w:spacing w:after="120" w:line="288" w:lineRule="auto"/>
        <w:ind w:left="0" w:firstLine="567"/>
        <w:contextualSpacing w:val="0"/>
        <w:jc w:val="both"/>
        <w:rPr>
          <w:b/>
          <w:bCs/>
          <w:i/>
          <w:iCs/>
        </w:rPr>
      </w:pPr>
      <w:r w:rsidRPr="00ED512F">
        <w:rPr>
          <w:b/>
          <w:bCs/>
          <w:i/>
          <w:iCs/>
        </w:rPr>
        <w:t xml:space="preserve">a) </w:t>
      </w:r>
      <w:r w:rsidRPr="00ED512F">
        <w:rPr>
          <w:b/>
          <w:bCs/>
          <w:i/>
        </w:rPr>
        <w:t>Agriculture</w:t>
      </w:r>
    </w:p>
    <w:p w14:paraId="46F7BF42" w14:textId="77777777" w:rsidR="004A2A23" w:rsidRPr="00ED512F" w:rsidRDefault="004A2A23" w:rsidP="004A2A23">
      <w:pPr>
        <w:spacing w:before="40" w:after="40" w:line="271" w:lineRule="auto"/>
        <w:ind w:firstLine="567"/>
        <w:jc w:val="both"/>
        <w:rPr>
          <w:lang w:val="pl-PL"/>
        </w:rPr>
      </w:pPr>
      <w:r w:rsidRPr="00ED512F">
        <w:rPr>
          <w:lang w:val="pl-PL"/>
        </w:rPr>
        <w:t>As of January 15, 202</w:t>
      </w:r>
      <w:r>
        <w:rPr>
          <w:lang w:val="pl-PL"/>
        </w:rPr>
        <w:t>4</w:t>
      </w:r>
      <w:r w:rsidRPr="00ED512F">
        <w:rPr>
          <w:lang w:val="pl-PL"/>
        </w:rPr>
        <w:t>, the whole country cultivated 1,8</w:t>
      </w:r>
      <w:r>
        <w:rPr>
          <w:lang w:val="pl-PL"/>
        </w:rPr>
        <w:t>21.4</w:t>
      </w:r>
      <w:r w:rsidRPr="00ED512F">
        <w:rPr>
          <w:lang w:val="pl-PL"/>
        </w:rPr>
        <w:t xml:space="preserve"> thousand hectares of spring rice, equaling 9</w:t>
      </w:r>
      <w:r>
        <w:rPr>
          <w:lang w:val="pl-PL"/>
        </w:rPr>
        <w:t>6</w:t>
      </w:r>
      <w:r w:rsidRPr="00ED512F">
        <w:rPr>
          <w:lang w:val="pl-PL"/>
        </w:rPr>
        <w:t xml:space="preserve">.9% of the same period last year. </w:t>
      </w:r>
      <w:r>
        <w:rPr>
          <w:lang w:val="pl-PL"/>
        </w:rPr>
        <w:t>Of which, t</w:t>
      </w:r>
      <w:r w:rsidRPr="00ED512F">
        <w:rPr>
          <w:lang w:val="pl-PL"/>
        </w:rPr>
        <w:t xml:space="preserve">he northern provinces reached </w:t>
      </w:r>
      <w:r>
        <w:rPr>
          <w:lang w:val="pl-PL"/>
        </w:rPr>
        <w:t>63.4</w:t>
      </w:r>
      <w:r w:rsidRPr="00ED512F">
        <w:rPr>
          <w:lang w:val="pl-PL"/>
        </w:rPr>
        <w:t xml:space="preserve"> thousand hectares, equaling </w:t>
      </w:r>
      <w:r>
        <w:rPr>
          <w:lang w:val="pl-PL"/>
        </w:rPr>
        <w:t>66</w:t>
      </w:r>
      <w:r w:rsidRPr="00ED512F">
        <w:rPr>
          <w:lang w:val="pl-PL"/>
        </w:rPr>
        <w:t>.6% of the same period last year</w:t>
      </w:r>
      <w:r>
        <w:rPr>
          <w:lang w:val="pl-PL"/>
        </w:rPr>
        <w:t xml:space="preserve"> </w:t>
      </w:r>
      <w:r w:rsidRPr="00D91C28">
        <w:rPr>
          <w:lang w:val="pl-PL"/>
        </w:rPr>
        <w:t>due to the 2024 seasonal calendar being later than 2023</w:t>
      </w:r>
      <w:r>
        <w:rPr>
          <w:lang w:val="pl-PL"/>
        </w:rPr>
        <w:t>; t</w:t>
      </w:r>
      <w:r w:rsidRPr="00ED512F">
        <w:rPr>
          <w:lang w:val="pl-PL"/>
        </w:rPr>
        <w:t>he southern provinces reached 1,7</w:t>
      </w:r>
      <w:r>
        <w:rPr>
          <w:lang w:val="pl-PL"/>
        </w:rPr>
        <w:t>5</w:t>
      </w:r>
      <w:r w:rsidRPr="00ED512F">
        <w:rPr>
          <w:lang w:val="pl-PL"/>
        </w:rPr>
        <w:t>7</w:t>
      </w:r>
      <w:r>
        <w:rPr>
          <w:lang w:val="pl-PL"/>
        </w:rPr>
        <w:t>.9</w:t>
      </w:r>
      <w:r w:rsidRPr="00ED512F">
        <w:rPr>
          <w:lang w:val="pl-PL"/>
        </w:rPr>
        <w:t xml:space="preserve"> thousand hectares, equaling </w:t>
      </w:r>
      <w:r>
        <w:rPr>
          <w:lang w:val="pl-PL"/>
        </w:rPr>
        <w:t>98.5</w:t>
      </w:r>
      <w:r w:rsidRPr="00ED512F">
        <w:rPr>
          <w:lang w:val="pl-PL"/>
        </w:rPr>
        <w:t xml:space="preserve">% of the same period last year, </w:t>
      </w:r>
      <w:r>
        <w:rPr>
          <w:lang w:val="pl-PL"/>
        </w:rPr>
        <w:t xml:space="preserve">particularly, </w:t>
      </w:r>
      <w:r w:rsidRPr="00ED512F">
        <w:rPr>
          <w:lang w:val="pl-PL"/>
        </w:rPr>
        <w:t>the Mekong River Delta reached 1,4</w:t>
      </w:r>
      <w:r>
        <w:rPr>
          <w:lang w:val="pl-PL"/>
        </w:rPr>
        <w:t>27.7</w:t>
      </w:r>
      <w:r w:rsidRPr="00ED512F">
        <w:rPr>
          <w:lang w:val="pl-PL"/>
        </w:rPr>
        <w:t xml:space="preserve"> thousand hectares, equaling 99.</w:t>
      </w:r>
      <w:r>
        <w:rPr>
          <w:lang w:val="pl-PL"/>
        </w:rPr>
        <w:t>5</w:t>
      </w:r>
      <w:r w:rsidRPr="00ED512F">
        <w:rPr>
          <w:lang w:val="pl-PL"/>
        </w:rPr>
        <w:t>%.</w:t>
      </w:r>
    </w:p>
    <w:p w14:paraId="297125D6" w14:textId="77777777" w:rsidR="004A2A23" w:rsidRPr="00ED512F" w:rsidRDefault="004A2A23" w:rsidP="004A2A23">
      <w:pPr>
        <w:spacing w:before="40" w:after="40" w:line="271" w:lineRule="auto"/>
        <w:ind w:firstLine="567"/>
        <w:jc w:val="both"/>
        <w:rPr>
          <w:lang w:val="pl-PL"/>
        </w:rPr>
      </w:pPr>
      <w:r w:rsidRPr="00ED512F">
        <w:rPr>
          <w:lang w:val="pl-PL"/>
        </w:rPr>
        <w:t>In order to increase the production efficiency of the spring crop, farmers need to adhere to the seasonal schedule, well implement technical measures of intensive farming, prevent pests and diseases, and closely monitor the changes of the weather to ensure that the rice grows and develops well.</w:t>
      </w:r>
    </w:p>
    <w:p w14:paraId="74C55AEE" w14:textId="77777777" w:rsidR="004A2A23" w:rsidRDefault="004A2A23" w:rsidP="004A2A23">
      <w:pPr>
        <w:spacing w:before="40" w:after="40" w:line="271" w:lineRule="auto"/>
        <w:ind w:firstLine="567"/>
        <w:jc w:val="both"/>
        <w:rPr>
          <w:iCs/>
          <w:lang w:val="pl-PL"/>
        </w:rPr>
      </w:pPr>
      <w:r w:rsidRPr="00DA2304">
        <w:rPr>
          <w:iCs/>
          <w:lang w:val="pl-PL"/>
        </w:rPr>
        <w:t xml:space="preserve">Along with cultivating spring rice, localities across the country were planting other </w:t>
      </w:r>
      <w:r>
        <w:rPr>
          <w:iCs/>
          <w:lang w:val="pl-PL"/>
        </w:rPr>
        <w:t xml:space="preserve">spring </w:t>
      </w:r>
      <w:r w:rsidRPr="00DA2304">
        <w:rPr>
          <w:iCs/>
          <w:lang w:val="pl-PL"/>
        </w:rPr>
        <w:t xml:space="preserve">crops. The area of corn and peanuts decreased compared to the same period last year mainly due to low economic efficiency, so farmers </w:t>
      </w:r>
      <w:r>
        <w:rPr>
          <w:iCs/>
          <w:lang w:val="pl-PL"/>
        </w:rPr>
        <w:t>had</w:t>
      </w:r>
      <w:r w:rsidRPr="00DA2304">
        <w:rPr>
          <w:iCs/>
          <w:lang w:val="pl-PL"/>
        </w:rPr>
        <w:t xml:space="preserve"> tending to switch to growing sweet potatoes, soybeans and all kinds of vegetables to serve people's consumption during Lunar New Year.</w:t>
      </w:r>
    </w:p>
    <w:p w14:paraId="523E54A5" w14:textId="77777777" w:rsidR="004A2A23" w:rsidRPr="001443FF" w:rsidRDefault="004A2A23" w:rsidP="004A2A23">
      <w:pPr>
        <w:spacing w:before="40" w:after="40" w:line="271" w:lineRule="auto"/>
        <w:jc w:val="center"/>
        <w:rPr>
          <w:rFonts w:ascii="Arial" w:hAnsi="Arial" w:cs="Arial"/>
          <w:sz w:val="24"/>
          <w:szCs w:val="24"/>
          <w:lang w:val="de-DE"/>
        </w:rPr>
      </w:pPr>
      <w:r w:rsidRPr="001443FF">
        <w:rPr>
          <w:rFonts w:ascii="Arial" w:hAnsi="Arial" w:cs="Arial"/>
          <w:b/>
          <w:sz w:val="24"/>
          <w:szCs w:val="24"/>
          <w:lang w:val="de-DE"/>
        </w:rPr>
        <w:t>Figure 1: Cultivation of main spring crops</w:t>
      </w:r>
    </w:p>
    <w:p w14:paraId="3C422545" w14:textId="77777777" w:rsidR="004A2A23" w:rsidRDefault="004A2A23" w:rsidP="004A2A23">
      <w:pPr>
        <w:spacing w:before="40" w:after="40" w:line="271" w:lineRule="auto"/>
        <w:jc w:val="center"/>
        <w:rPr>
          <w:rFonts w:ascii="Arial" w:hAnsi="Arial" w:cs="Arial"/>
          <w:sz w:val="24"/>
          <w:szCs w:val="24"/>
          <w:lang w:val="de-DE"/>
        </w:rPr>
      </w:pPr>
      <w:r w:rsidRPr="001443FF">
        <w:rPr>
          <w:rFonts w:ascii="Arial" w:hAnsi="Arial" w:cs="Arial"/>
          <w:sz w:val="24"/>
          <w:szCs w:val="24"/>
          <w:lang w:val="de-DE"/>
        </w:rPr>
        <w:t>(As of 15/01/202</w:t>
      </w:r>
      <w:r>
        <w:rPr>
          <w:rFonts w:ascii="Arial" w:hAnsi="Arial" w:cs="Arial"/>
          <w:sz w:val="24"/>
          <w:szCs w:val="24"/>
          <w:lang w:val="de-DE"/>
        </w:rPr>
        <w:t>4</w:t>
      </w:r>
      <w:r w:rsidRPr="001443FF">
        <w:rPr>
          <w:rFonts w:ascii="Arial" w:hAnsi="Arial" w:cs="Arial"/>
          <w:sz w:val="24"/>
          <w:szCs w:val="24"/>
          <w:lang w:val="de-DE"/>
        </w:rPr>
        <w:t>)</w:t>
      </w:r>
    </w:p>
    <w:p w14:paraId="509C8E0C" w14:textId="77777777" w:rsidR="004A2A23" w:rsidRDefault="004A2A23" w:rsidP="004A2A23">
      <w:pPr>
        <w:spacing w:before="40" w:after="40" w:line="268" w:lineRule="auto"/>
        <w:jc w:val="center"/>
        <w:rPr>
          <w:rFonts w:ascii="Arial" w:hAnsi="Arial" w:cs="Arial"/>
          <w:sz w:val="24"/>
          <w:szCs w:val="24"/>
          <w:lang w:val="de-DE"/>
        </w:rPr>
      </w:pPr>
    </w:p>
    <w:p w14:paraId="2102553A" w14:textId="77777777" w:rsidR="004A2A23" w:rsidRDefault="004A2A23" w:rsidP="004A2A23">
      <w:pPr>
        <w:spacing w:before="40" w:after="40" w:line="268" w:lineRule="auto"/>
        <w:jc w:val="center"/>
        <w:rPr>
          <w:sz w:val="26"/>
          <w:szCs w:val="26"/>
        </w:rPr>
      </w:pPr>
      <w:r>
        <w:rPr>
          <w:noProof/>
          <w:sz w:val="26"/>
          <w:szCs w:val="26"/>
          <w:lang w:val="en-US"/>
        </w:rPr>
        <w:lastRenderedPageBreak/>
        <w:drawing>
          <wp:inline distT="0" distB="0" distL="0" distR="0" wp14:anchorId="18309A36" wp14:editId="1B98BBAC">
            <wp:extent cx="5895975" cy="2324100"/>
            <wp:effectExtent l="0" t="0" r="9525" b="0"/>
            <wp:docPr id="1094886884" name="Picture 109488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975" cy="2324100"/>
                    </a:xfrm>
                    <a:prstGeom prst="rect">
                      <a:avLst/>
                    </a:prstGeom>
                    <a:noFill/>
                    <a:ln>
                      <a:noFill/>
                    </a:ln>
                  </pic:spPr>
                </pic:pic>
              </a:graphicData>
            </a:graphic>
          </wp:inline>
        </w:drawing>
      </w:r>
    </w:p>
    <w:p w14:paraId="718C5700" w14:textId="77777777" w:rsidR="004A2A23" w:rsidRDefault="004A2A23" w:rsidP="004A2A23">
      <w:pPr>
        <w:spacing w:before="240" w:after="40"/>
        <w:ind w:firstLine="567"/>
        <w:jc w:val="both"/>
      </w:pPr>
      <w:r w:rsidRPr="00367025">
        <w:t>Buffalo farming tends to decrease due to low economic efficiency and shrinking grazing area. Pig and poultry farming developed well due to a stable consumer market and feeders expanding herd sizes to meet demand's food during the Lunar New Year. However, it was forecasted that in the near future there would be a possibility of severe and harmful cold spells in northern localities, so livestock farmers need to proactively prepare their livestock against the cold.</w:t>
      </w:r>
    </w:p>
    <w:p w14:paraId="2FF29F66" w14:textId="77777777" w:rsidR="004A2A23" w:rsidRPr="002C2095" w:rsidRDefault="004A2A23" w:rsidP="004A2A23">
      <w:pPr>
        <w:spacing w:before="240" w:after="40"/>
        <w:jc w:val="center"/>
        <w:rPr>
          <w:rFonts w:ascii="Arial" w:hAnsi="Arial" w:cs="Arial"/>
          <w:b/>
          <w:sz w:val="24"/>
          <w:szCs w:val="24"/>
          <w:lang w:val="de-DE"/>
        </w:rPr>
      </w:pPr>
      <w:r w:rsidRPr="002C2095">
        <w:rPr>
          <w:rFonts w:ascii="Arial" w:hAnsi="Arial" w:cs="Arial"/>
          <w:b/>
          <w:sz w:val="24"/>
          <w:szCs w:val="24"/>
          <w:lang w:val="de-DE"/>
        </w:rPr>
        <w:t xml:space="preserve">Figure </w:t>
      </w:r>
      <w:r>
        <w:rPr>
          <w:rFonts w:ascii="Arial" w:hAnsi="Arial" w:cs="Arial"/>
          <w:b/>
          <w:sz w:val="24"/>
          <w:szCs w:val="24"/>
          <w:lang w:val="de-DE"/>
        </w:rPr>
        <w:t>2</w:t>
      </w:r>
      <w:r w:rsidRPr="002C2095">
        <w:rPr>
          <w:rFonts w:ascii="Arial" w:hAnsi="Arial" w:cs="Arial"/>
          <w:b/>
          <w:sz w:val="24"/>
          <w:szCs w:val="24"/>
          <w:lang w:val="de-DE"/>
        </w:rPr>
        <w:t>. The growth rate of the population of livestock</w:t>
      </w:r>
    </w:p>
    <w:p w14:paraId="09D9E466" w14:textId="77777777" w:rsidR="004A2A23" w:rsidRDefault="004A2A23" w:rsidP="004A2A23">
      <w:pPr>
        <w:spacing w:before="40" w:after="40" w:line="280" w:lineRule="auto"/>
        <w:jc w:val="center"/>
        <w:rPr>
          <w:lang w:val="pl-PL"/>
        </w:rPr>
      </w:pPr>
      <w:r w:rsidRPr="002C2095">
        <w:rPr>
          <w:rFonts w:ascii="Arial" w:hAnsi="Arial" w:cs="Arial"/>
          <w:b/>
          <w:sz w:val="24"/>
          <w:szCs w:val="24"/>
          <w:lang w:val="de-DE"/>
        </w:rPr>
        <w:t xml:space="preserve">at the end of </w:t>
      </w:r>
      <w:r>
        <w:rPr>
          <w:rFonts w:ascii="Arial" w:hAnsi="Arial" w:cs="Arial"/>
          <w:b/>
          <w:sz w:val="24"/>
          <w:szCs w:val="24"/>
          <w:lang w:val="de-DE"/>
        </w:rPr>
        <w:t>January</w:t>
      </w:r>
      <w:r w:rsidRPr="002C2095">
        <w:rPr>
          <w:rFonts w:ascii="Arial" w:hAnsi="Arial" w:cs="Arial"/>
          <w:b/>
          <w:sz w:val="24"/>
          <w:szCs w:val="24"/>
          <w:lang w:val="de-DE"/>
        </w:rPr>
        <w:t xml:space="preserve"> 202</w:t>
      </w:r>
      <w:r>
        <w:rPr>
          <w:rFonts w:ascii="Arial" w:hAnsi="Arial" w:cs="Arial"/>
          <w:b/>
          <w:sz w:val="24"/>
          <w:szCs w:val="24"/>
          <w:lang w:val="de-DE"/>
        </w:rPr>
        <w:t>4</w:t>
      </w:r>
      <w:r w:rsidRPr="002C2095">
        <w:rPr>
          <w:rFonts w:ascii="Arial" w:hAnsi="Arial" w:cs="Arial"/>
          <w:b/>
          <w:sz w:val="24"/>
          <w:szCs w:val="24"/>
          <w:lang w:val="de-DE"/>
        </w:rPr>
        <w:t xml:space="preserve"> compared to the same time last year</w:t>
      </w:r>
    </w:p>
    <w:p w14:paraId="071BD674" w14:textId="77777777" w:rsidR="004A2A23" w:rsidRDefault="004A2A23" w:rsidP="004A2A23">
      <w:pPr>
        <w:spacing w:before="40" w:after="40" w:line="280" w:lineRule="auto"/>
        <w:rPr>
          <w:lang w:val="pl-PL"/>
        </w:rPr>
      </w:pPr>
      <w:r>
        <w:rPr>
          <w:noProof/>
          <w:lang w:val="en-US"/>
        </w:rPr>
        <w:drawing>
          <wp:inline distT="0" distB="0" distL="0" distR="0" wp14:anchorId="4D6475D9" wp14:editId="2209E0CC">
            <wp:extent cx="5762625" cy="1533525"/>
            <wp:effectExtent l="0" t="0" r="9525" b="9525"/>
            <wp:docPr id="1685394085" name="Picture 168539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1533525"/>
                    </a:xfrm>
                    <a:prstGeom prst="rect">
                      <a:avLst/>
                    </a:prstGeom>
                    <a:noFill/>
                    <a:ln>
                      <a:noFill/>
                    </a:ln>
                  </pic:spPr>
                </pic:pic>
              </a:graphicData>
            </a:graphic>
          </wp:inline>
        </w:drawing>
      </w:r>
    </w:p>
    <w:p w14:paraId="51FED8DC" w14:textId="77777777" w:rsidR="004A2A23" w:rsidRDefault="004A2A23" w:rsidP="004A2A23">
      <w:pPr>
        <w:spacing w:before="40" w:after="40" w:line="268" w:lineRule="auto"/>
        <w:ind w:firstLine="567"/>
        <w:jc w:val="both"/>
        <w:rPr>
          <w:sz w:val="8"/>
        </w:rPr>
      </w:pPr>
    </w:p>
    <w:p w14:paraId="38D25D05" w14:textId="77777777" w:rsidR="004A2A23" w:rsidRPr="00B66A22" w:rsidRDefault="004A2A23" w:rsidP="004A2A23">
      <w:pPr>
        <w:spacing w:before="40" w:after="40" w:line="269" w:lineRule="auto"/>
        <w:ind w:firstLine="561"/>
        <w:jc w:val="both"/>
        <w:rPr>
          <w:rFonts w:eastAsiaTheme="minorEastAsia"/>
          <w:bCs/>
          <w:spacing w:val="2"/>
          <w:lang w:val="en-US"/>
        </w:rPr>
      </w:pPr>
      <w:r w:rsidRPr="004A450D">
        <w:rPr>
          <w:rFonts w:eastAsiaTheme="minorEastAsia"/>
          <w:bCs/>
          <w:spacing w:val="2"/>
        </w:rPr>
        <w:t xml:space="preserve">As of </w:t>
      </w:r>
      <w:r>
        <w:rPr>
          <w:rFonts w:eastAsiaTheme="minorEastAsia"/>
          <w:bCs/>
          <w:spacing w:val="2"/>
          <w:lang w:val="en-US"/>
        </w:rPr>
        <w:t>January</w:t>
      </w:r>
      <w:r w:rsidRPr="004A450D">
        <w:rPr>
          <w:rFonts w:eastAsiaTheme="minorEastAsia"/>
          <w:bCs/>
          <w:spacing w:val="2"/>
        </w:rPr>
        <w:t xml:space="preserve"> 2</w:t>
      </w:r>
      <w:r>
        <w:rPr>
          <w:rFonts w:eastAsiaTheme="minorEastAsia"/>
          <w:bCs/>
          <w:spacing w:val="2"/>
          <w:lang w:val="en-US"/>
        </w:rPr>
        <w:t>3</w:t>
      </w:r>
      <w:r w:rsidRPr="004A450D">
        <w:rPr>
          <w:rFonts w:eastAsiaTheme="minorEastAsia"/>
          <w:bCs/>
          <w:spacing w:val="2"/>
        </w:rPr>
        <w:t>, 202</w:t>
      </w:r>
      <w:r>
        <w:rPr>
          <w:rFonts w:eastAsiaTheme="minorEastAsia"/>
          <w:bCs/>
          <w:spacing w:val="2"/>
          <w:lang w:val="en-US"/>
        </w:rPr>
        <w:t>4</w:t>
      </w:r>
      <w:r w:rsidRPr="004A450D">
        <w:rPr>
          <w:rFonts w:eastAsiaTheme="minorEastAsia"/>
          <w:bCs/>
          <w:spacing w:val="2"/>
        </w:rPr>
        <w:t>, the whole country</w:t>
      </w:r>
      <w:r>
        <w:rPr>
          <w:rFonts w:eastAsiaTheme="minorEastAsia"/>
          <w:bCs/>
          <w:spacing w:val="2"/>
        </w:rPr>
        <w:t xml:space="preserve"> has no longer blue-ear disease</w:t>
      </w:r>
      <w:r>
        <w:rPr>
          <w:rFonts w:eastAsiaTheme="minorEastAsia"/>
          <w:bCs/>
          <w:spacing w:val="2"/>
          <w:lang w:val="en-US"/>
        </w:rPr>
        <w:t xml:space="preserve">, </w:t>
      </w:r>
      <w:r w:rsidRPr="004A450D">
        <w:rPr>
          <w:rFonts w:eastAsiaTheme="minorEastAsia"/>
          <w:bCs/>
          <w:spacing w:val="2"/>
        </w:rPr>
        <w:t>foot-and-mouth disease</w:t>
      </w:r>
      <w:r w:rsidRPr="00E0763C">
        <w:rPr>
          <w:rFonts w:eastAsiaTheme="minorEastAsia"/>
          <w:bCs/>
          <w:spacing w:val="2"/>
        </w:rPr>
        <w:t xml:space="preserve"> </w:t>
      </w:r>
      <w:r>
        <w:rPr>
          <w:rFonts w:eastAsiaTheme="minorEastAsia"/>
          <w:bCs/>
          <w:spacing w:val="2"/>
          <w:lang w:val="en-US"/>
        </w:rPr>
        <w:t xml:space="preserve">was still in Hoa Binh, Cao Bang; </w:t>
      </w:r>
      <w:r w:rsidRPr="004A450D">
        <w:rPr>
          <w:rFonts w:eastAsiaTheme="minorEastAsia"/>
          <w:bCs/>
          <w:spacing w:val="2"/>
        </w:rPr>
        <w:t>LSD</w:t>
      </w:r>
      <w:r>
        <w:rPr>
          <w:rFonts w:eastAsiaTheme="minorEastAsia"/>
          <w:bCs/>
          <w:spacing w:val="2"/>
          <w:lang w:val="en-US"/>
        </w:rPr>
        <w:t xml:space="preserve"> was reported in Tien Giang;</w:t>
      </w:r>
      <w:r w:rsidRPr="004A450D">
        <w:rPr>
          <w:rFonts w:eastAsiaTheme="minorEastAsia"/>
          <w:bCs/>
          <w:spacing w:val="2"/>
        </w:rPr>
        <w:t xml:space="preserve"> avian flu</w:t>
      </w:r>
      <w:r>
        <w:rPr>
          <w:rFonts w:eastAsiaTheme="minorEastAsia"/>
          <w:bCs/>
          <w:spacing w:val="2"/>
          <w:lang w:val="en-US"/>
        </w:rPr>
        <w:t xml:space="preserve"> </w:t>
      </w:r>
      <w:r w:rsidRPr="004A450D">
        <w:rPr>
          <w:rFonts w:eastAsiaTheme="minorEastAsia"/>
          <w:bCs/>
          <w:spacing w:val="2"/>
        </w:rPr>
        <w:t xml:space="preserve">remained </w:t>
      </w:r>
      <w:r>
        <w:rPr>
          <w:rFonts w:eastAsiaTheme="minorEastAsia"/>
          <w:bCs/>
          <w:spacing w:val="2"/>
          <w:lang w:val="en-US"/>
        </w:rPr>
        <w:t>Bac Ninh, Tien Giang,</w:t>
      </w:r>
      <w:r w:rsidRPr="004A450D">
        <w:rPr>
          <w:rFonts w:eastAsiaTheme="minorEastAsia"/>
          <w:bCs/>
          <w:spacing w:val="2"/>
        </w:rPr>
        <w:t xml:space="preserve"> African swine fever w</w:t>
      </w:r>
      <w:r>
        <w:rPr>
          <w:rFonts w:eastAsiaTheme="minorEastAsia"/>
          <w:bCs/>
          <w:spacing w:val="2"/>
          <w:lang w:val="en-US"/>
        </w:rPr>
        <w:t>as</w:t>
      </w:r>
      <w:r w:rsidRPr="004A450D">
        <w:rPr>
          <w:rFonts w:eastAsiaTheme="minorEastAsia"/>
          <w:bCs/>
          <w:spacing w:val="2"/>
        </w:rPr>
        <w:t xml:space="preserve"> reported in 1</w:t>
      </w:r>
      <w:r>
        <w:rPr>
          <w:rFonts w:eastAsiaTheme="minorEastAsia"/>
          <w:bCs/>
          <w:spacing w:val="2"/>
          <w:lang w:val="en-US"/>
        </w:rPr>
        <w:t>6</w:t>
      </w:r>
      <w:r w:rsidRPr="004A450D">
        <w:rPr>
          <w:rFonts w:eastAsiaTheme="minorEastAsia"/>
          <w:bCs/>
          <w:spacing w:val="2"/>
        </w:rPr>
        <w:t xml:space="preserve"> localities for less than 21 days.</w:t>
      </w:r>
      <w:r>
        <w:rPr>
          <w:rFonts w:eastAsiaTheme="minorEastAsia"/>
          <w:bCs/>
          <w:spacing w:val="2"/>
          <w:lang w:val="en-US"/>
        </w:rPr>
        <w:t xml:space="preserve"> </w:t>
      </w:r>
      <w:r w:rsidRPr="00B66A22">
        <w:rPr>
          <w:rFonts w:eastAsiaTheme="minorEastAsia"/>
          <w:bCs/>
          <w:spacing w:val="2"/>
          <w:lang w:val="en-US"/>
        </w:rPr>
        <w:t>It is noteworthy that there was being an outbreak of rabies in animals in 5 localities in less than 21 days.</w:t>
      </w:r>
    </w:p>
    <w:p w14:paraId="79474E46" w14:textId="77777777" w:rsidR="004A2A23" w:rsidRDefault="004A2A23" w:rsidP="004A2A23">
      <w:pPr>
        <w:spacing w:after="40" w:line="276" w:lineRule="auto"/>
        <w:ind w:firstLine="567"/>
        <w:jc w:val="both"/>
        <w:rPr>
          <w:b/>
          <w:bCs/>
          <w:i/>
          <w:iCs/>
          <w:lang w:val="pl-PL"/>
        </w:rPr>
      </w:pPr>
      <w:r w:rsidRPr="00052095">
        <w:rPr>
          <w:b/>
          <w:bCs/>
          <w:i/>
          <w:iCs/>
          <w:lang w:val="pl-PL"/>
        </w:rPr>
        <w:t xml:space="preserve">b) </w:t>
      </w:r>
      <w:r>
        <w:rPr>
          <w:b/>
          <w:bCs/>
          <w:i/>
          <w:iCs/>
          <w:lang w:val="pl-PL"/>
        </w:rPr>
        <w:t>Forestry</w:t>
      </w:r>
    </w:p>
    <w:p w14:paraId="3F92BBE1" w14:textId="77777777" w:rsidR="004A2A23" w:rsidRPr="00927325" w:rsidRDefault="004A2A23" w:rsidP="004A2A23">
      <w:pPr>
        <w:tabs>
          <w:tab w:val="left" w:pos="360"/>
          <w:tab w:val="left" w:pos="1134"/>
        </w:tabs>
        <w:spacing w:after="40" w:line="276" w:lineRule="auto"/>
        <w:ind w:firstLine="567"/>
        <w:jc w:val="both"/>
        <w:rPr>
          <w:spacing w:val="-2"/>
          <w:lang w:val="sv-SE"/>
        </w:rPr>
      </w:pPr>
      <w:r w:rsidRPr="00FA6AA1">
        <w:rPr>
          <w:lang w:val="pt-BR"/>
        </w:rPr>
        <w:t xml:space="preserve">The area of ​​newly concentrated planted forests in </w:t>
      </w:r>
      <w:r>
        <w:rPr>
          <w:shd w:val="clear" w:color="auto" w:fill="FFFFFF"/>
          <w:lang w:val="en-US"/>
        </w:rPr>
        <w:t>01/2024</w:t>
      </w:r>
      <w:r w:rsidRPr="00FA6AA1">
        <w:rPr>
          <w:lang w:val="pt-BR"/>
        </w:rPr>
        <w:t xml:space="preserve"> was estimated at </w:t>
      </w:r>
      <w:r>
        <w:rPr>
          <w:lang w:val="de-DE"/>
        </w:rPr>
        <w:t>7.8</w:t>
      </w:r>
      <w:r w:rsidRPr="007D4178">
        <w:rPr>
          <w:lang w:val="de-DE"/>
        </w:rPr>
        <w:t xml:space="preserve"> </w:t>
      </w:r>
      <w:r w:rsidRPr="00FA6AA1">
        <w:rPr>
          <w:lang w:val="de-DE"/>
        </w:rPr>
        <w:t xml:space="preserve">thousand hectares, </w:t>
      </w:r>
      <w:r>
        <w:rPr>
          <w:lang w:val="de-DE"/>
        </w:rPr>
        <w:t>down</w:t>
      </w:r>
      <w:r w:rsidRPr="007D4178">
        <w:rPr>
          <w:lang w:val="de-DE"/>
        </w:rPr>
        <w:t xml:space="preserve"> </w:t>
      </w:r>
      <w:r>
        <w:rPr>
          <w:lang w:val="de-DE"/>
        </w:rPr>
        <w:t>4.3</w:t>
      </w:r>
      <w:r w:rsidRPr="007D4178">
        <w:rPr>
          <w:lang w:val="de-DE"/>
        </w:rPr>
        <w:t xml:space="preserve">% </w:t>
      </w:r>
      <w:r w:rsidRPr="00FA6AA1">
        <w:rPr>
          <w:lang w:val="en-US"/>
        </w:rPr>
        <w:t>over the same period last year</w:t>
      </w:r>
      <w:r>
        <w:rPr>
          <w:lang w:val="en-US"/>
        </w:rPr>
        <w:t xml:space="preserve"> </w:t>
      </w:r>
      <w:r w:rsidRPr="00F733F5">
        <w:rPr>
          <w:lang w:val="en-US"/>
        </w:rPr>
        <w:t>due to unfavorable weather in some localities affecting afforestation progress such as: Nghe An by 94.5% over the same period last year, Quan</w:t>
      </w:r>
      <w:r>
        <w:rPr>
          <w:lang w:val="en-US"/>
        </w:rPr>
        <w:t>g Ngai by 96.7%, Yen Bai by 60%</w:t>
      </w:r>
      <w:r w:rsidRPr="00FA6AA1">
        <w:rPr>
          <w:lang w:val="en-US"/>
        </w:rPr>
        <w:t>; the number of scattered forest trees reached</w:t>
      </w:r>
      <w:r w:rsidRPr="007D4178">
        <w:rPr>
          <w:lang w:val="de-DE"/>
        </w:rPr>
        <w:t xml:space="preserve"> </w:t>
      </w:r>
      <w:r>
        <w:rPr>
          <w:lang w:val="de-DE"/>
        </w:rPr>
        <w:t>4</w:t>
      </w:r>
      <w:r w:rsidRPr="007D4178">
        <w:rPr>
          <w:lang w:val="de-DE"/>
        </w:rPr>
        <w:t xml:space="preserve"> </w:t>
      </w:r>
      <w:r w:rsidRPr="00FA6AA1">
        <w:rPr>
          <w:lang w:val="en-US"/>
        </w:rPr>
        <w:t xml:space="preserve">million trees, </w:t>
      </w:r>
      <w:r>
        <w:rPr>
          <w:lang w:val="en-US"/>
        </w:rPr>
        <w:t>down</w:t>
      </w:r>
      <w:r w:rsidRPr="00FA6AA1">
        <w:rPr>
          <w:lang w:val="en-US"/>
        </w:rPr>
        <w:t xml:space="preserve"> </w:t>
      </w:r>
      <w:r>
        <w:rPr>
          <w:lang w:val="en-US"/>
        </w:rPr>
        <w:t>2</w:t>
      </w:r>
      <w:r>
        <w:rPr>
          <w:lang w:val="de-DE"/>
        </w:rPr>
        <w:t>%;</w:t>
      </w:r>
      <w:r w:rsidRPr="00D27BBF">
        <w:rPr>
          <w:lang w:val="en-US"/>
        </w:rPr>
        <w:t xml:space="preserve"> </w:t>
      </w:r>
      <w:r w:rsidRPr="00FA6AA1">
        <w:rPr>
          <w:lang w:val="en-US"/>
        </w:rPr>
        <w:t>timber production reached</w:t>
      </w:r>
      <w:r w:rsidRPr="007D4178">
        <w:rPr>
          <w:lang w:val="de-DE"/>
        </w:rPr>
        <w:t xml:space="preserve"> </w:t>
      </w:r>
      <w:r>
        <w:rPr>
          <w:lang w:val="de-DE"/>
        </w:rPr>
        <w:t>1,030.5</w:t>
      </w:r>
      <w:r w:rsidRPr="007D4178">
        <w:rPr>
          <w:lang w:val="de-DE"/>
        </w:rPr>
        <w:t xml:space="preserve"> </w:t>
      </w:r>
      <w:r w:rsidRPr="00FA6AA1">
        <w:rPr>
          <w:lang w:val="en-US"/>
        </w:rPr>
        <w:t>thousand m</w:t>
      </w:r>
      <w:r w:rsidRPr="00FA6AA1">
        <w:rPr>
          <w:vertAlign w:val="superscript"/>
          <w:lang w:val="en-US"/>
        </w:rPr>
        <w:t>3</w:t>
      </w:r>
      <w:r>
        <w:rPr>
          <w:lang w:val="en-US"/>
        </w:rPr>
        <w:t>, an increase of 3</w:t>
      </w:r>
      <w:r>
        <w:rPr>
          <w:lang w:val="de-DE"/>
        </w:rPr>
        <w:t>.6</w:t>
      </w:r>
      <w:r w:rsidRPr="007D4178">
        <w:rPr>
          <w:lang w:val="de-DE"/>
        </w:rPr>
        <w:t>%.</w:t>
      </w:r>
      <w:r>
        <w:rPr>
          <w:lang w:val="de-DE"/>
        </w:rPr>
        <w:t xml:space="preserve"> </w:t>
      </w:r>
    </w:p>
    <w:p w14:paraId="7B3E88AB" w14:textId="77777777" w:rsidR="004A2A23" w:rsidRPr="00342930" w:rsidRDefault="004A2A23" w:rsidP="004A2A23">
      <w:pPr>
        <w:tabs>
          <w:tab w:val="left" w:pos="360"/>
          <w:tab w:val="left" w:pos="1134"/>
        </w:tabs>
        <w:spacing w:after="60" w:line="276" w:lineRule="auto"/>
        <w:ind w:firstLine="567"/>
        <w:jc w:val="both"/>
        <w:rPr>
          <w:shd w:val="clear" w:color="auto" w:fill="FFFFFF"/>
          <w:lang w:val="sv-SE"/>
        </w:rPr>
      </w:pPr>
      <w:r>
        <w:rPr>
          <w:lang w:val="en-US"/>
        </w:rPr>
        <w:lastRenderedPageBreak/>
        <w:t>I</w:t>
      </w:r>
      <w:r w:rsidRPr="001957F5">
        <w:t xml:space="preserve">n </w:t>
      </w:r>
      <w:r>
        <w:rPr>
          <w:lang w:val="en-US"/>
        </w:rPr>
        <w:t>January</w:t>
      </w:r>
      <w:r w:rsidRPr="001957F5">
        <w:t xml:space="preserve"> of 202</w:t>
      </w:r>
      <w:r>
        <w:rPr>
          <w:lang w:val="en-US"/>
        </w:rPr>
        <w:t>4,</w:t>
      </w:r>
      <w:r w:rsidRPr="001957F5">
        <w:t xml:space="preserve"> </w:t>
      </w:r>
      <w:r>
        <w:rPr>
          <w:lang w:val="en-US"/>
        </w:rPr>
        <w:t>d</w:t>
      </w:r>
      <w:r w:rsidRPr="00404AB1">
        <w:rPr>
          <w:spacing w:val="-4"/>
          <w:lang w:val="de-DE"/>
        </w:rPr>
        <w:t>amaged forest area</w:t>
      </w:r>
      <w:r w:rsidRPr="00404AB1">
        <w:rPr>
          <w:rStyle w:val="FootnoteReference"/>
          <w:spacing w:val="-4"/>
          <w:lang w:val="de-DE"/>
        </w:rPr>
        <w:t xml:space="preserve"> </w:t>
      </w:r>
      <w:r w:rsidRPr="00BD2833">
        <w:rPr>
          <w:rStyle w:val="FootnoteReference"/>
          <w:spacing w:val="-4"/>
        </w:rPr>
        <w:footnoteReference w:id="1"/>
      </w:r>
      <w:r w:rsidRPr="00BD2833">
        <w:rPr>
          <w:spacing w:val="-4"/>
          <w:lang w:val="de-DE"/>
        </w:rPr>
        <w:t xml:space="preserve"> </w:t>
      </w:r>
      <w:r w:rsidRPr="001957F5">
        <w:t>was</w:t>
      </w:r>
      <w:r w:rsidRPr="00BD2833">
        <w:rPr>
          <w:spacing w:val="-4"/>
          <w:lang w:val="de-DE"/>
        </w:rPr>
        <w:t xml:space="preserve"> </w:t>
      </w:r>
      <w:r>
        <w:rPr>
          <w:spacing w:val="-4"/>
          <w:lang w:val="de-DE"/>
        </w:rPr>
        <w:t>31.5</w:t>
      </w:r>
      <w:r w:rsidRPr="00BD2833">
        <w:rPr>
          <w:spacing w:val="-4"/>
          <w:lang w:val="de-DE"/>
        </w:rPr>
        <w:t xml:space="preserve"> </w:t>
      </w:r>
      <w:r w:rsidRPr="001957F5">
        <w:t xml:space="preserve">ha, down </w:t>
      </w:r>
      <w:r>
        <w:rPr>
          <w:spacing w:val="-4"/>
          <w:lang w:val="de-DE"/>
        </w:rPr>
        <w:t>0.8</w:t>
      </w:r>
      <w:r w:rsidRPr="00BD2833">
        <w:rPr>
          <w:spacing w:val="-4"/>
          <w:lang w:val="de-DE"/>
        </w:rPr>
        <w:t xml:space="preserve">% </w:t>
      </w:r>
      <w:r w:rsidRPr="001957F5">
        <w:t>over the s</w:t>
      </w:r>
      <w:r>
        <w:t>ame period last year, of which</w:t>
      </w:r>
      <w:r>
        <w:rPr>
          <w:lang w:val="en-US"/>
        </w:rPr>
        <w:t xml:space="preserve"> b</w:t>
      </w:r>
      <w:r w:rsidRPr="001957F5">
        <w:t>urnt forest area was</w:t>
      </w:r>
      <w:r w:rsidRPr="00BD2833">
        <w:rPr>
          <w:spacing w:val="-4"/>
          <w:lang w:val="de-DE"/>
        </w:rPr>
        <w:t xml:space="preserve"> </w:t>
      </w:r>
      <w:r>
        <w:rPr>
          <w:spacing w:val="-4"/>
          <w:lang w:val="de-DE"/>
        </w:rPr>
        <w:t>2.5</w:t>
      </w:r>
      <w:r w:rsidRPr="00BD2833">
        <w:rPr>
          <w:spacing w:val="-4"/>
          <w:lang w:val="de-DE"/>
        </w:rPr>
        <w:t xml:space="preserve"> ha, </w:t>
      </w:r>
      <w:r>
        <w:rPr>
          <w:spacing w:val="-4"/>
          <w:lang w:val="de-DE"/>
        </w:rPr>
        <w:t>up 2</w:t>
      </w:r>
      <w:r w:rsidRPr="00BD2833">
        <w:rPr>
          <w:spacing w:val="-4"/>
          <w:lang w:val="de-DE"/>
        </w:rPr>
        <w:t xml:space="preserve">%; </w:t>
      </w:r>
      <w:r w:rsidRPr="002D560B">
        <w:t xml:space="preserve">the </w:t>
      </w:r>
      <w:r w:rsidRPr="006D7720">
        <w:t>deforested forest area</w:t>
      </w:r>
      <w:r w:rsidRPr="006D7720">
        <w:rPr>
          <w:lang w:val="pt-BR"/>
        </w:rPr>
        <w:t xml:space="preserve"> </w:t>
      </w:r>
      <w:r w:rsidRPr="002D560B">
        <w:t xml:space="preserve">was </w:t>
      </w:r>
      <w:r>
        <w:rPr>
          <w:lang w:val="en-US"/>
        </w:rPr>
        <w:t>29</w:t>
      </w:r>
      <w:r w:rsidRPr="002D560B">
        <w:t xml:space="preserve"> ha</w:t>
      </w:r>
      <w:r>
        <w:rPr>
          <w:spacing w:val="-4"/>
          <w:lang w:val="de-DE"/>
        </w:rPr>
        <w:t>, down 1%.</w:t>
      </w:r>
      <w:r w:rsidRPr="00BD2833">
        <w:rPr>
          <w:spacing w:val="-4"/>
          <w:lang w:val="de-DE"/>
        </w:rPr>
        <w:t xml:space="preserve"> </w:t>
      </w:r>
    </w:p>
    <w:p w14:paraId="290DF179" w14:textId="77777777" w:rsidR="004A2A23" w:rsidRDefault="004A2A23" w:rsidP="004A2A23">
      <w:pPr>
        <w:shd w:val="clear" w:color="auto" w:fill="FFFFFF"/>
        <w:spacing w:after="60" w:line="276" w:lineRule="auto"/>
        <w:ind w:firstLine="567"/>
        <w:jc w:val="both"/>
        <w:rPr>
          <w:b/>
          <w:i/>
          <w:lang w:val="pl-PL"/>
        </w:rPr>
      </w:pPr>
      <w:r w:rsidRPr="00E61992">
        <w:rPr>
          <w:b/>
          <w:i/>
          <w:lang w:val="pl-PL"/>
        </w:rPr>
        <w:t xml:space="preserve">c) </w:t>
      </w:r>
      <w:r>
        <w:rPr>
          <w:b/>
          <w:i/>
          <w:lang w:val="pl-PL"/>
        </w:rPr>
        <w:t>Fishery</w:t>
      </w:r>
    </w:p>
    <w:p w14:paraId="16F5716C" w14:textId="77777777" w:rsidR="004A2A23" w:rsidRDefault="004A2A23" w:rsidP="004A2A23">
      <w:pPr>
        <w:spacing w:before="40" w:after="40" w:line="276" w:lineRule="auto"/>
        <w:ind w:firstLine="567"/>
        <w:jc w:val="both"/>
        <w:rPr>
          <w:lang w:val="pl-PL"/>
        </w:rPr>
      </w:pPr>
      <w:r w:rsidRPr="004E386A">
        <w:rPr>
          <w:iCs/>
          <w:lang w:val="de-DE"/>
        </w:rPr>
        <w:t>Fishery output</w:t>
      </w:r>
      <w:r w:rsidRPr="00146446">
        <w:rPr>
          <w:lang w:val="de-DE"/>
        </w:rPr>
        <w:t xml:space="preserve"> in </w:t>
      </w:r>
      <w:r>
        <w:rPr>
          <w:shd w:val="clear" w:color="auto" w:fill="FFFFFF"/>
          <w:lang w:val="en-US"/>
        </w:rPr>
        <w:t xml:space="preserve">01/2024 </w:t>
      </w:r>
      <w:r w:rsidRPr="00146446">
        <w:rPr>
          <w:lang w:val="de-DE"/>
        </w:rPr>
        <w:t xml:space="preserve">was estimated at </w:t>
      </w:r>
      <w:r>
        <w:rPr>
          <w:lang w:val="pl-PL"/>
        </w:rPr>
        <w:t>590.1</w:t>
      </w:r>
      <w:r w:rsidRPr="00E61992">
        <w:rPr>
          <w:lang w:val="pl-PL"/>
        </w:rPr>
        <w:t xml:space="preserve"> </w:t>
      </w:r>
      <w:r>
        <w:rPr>
          <w:lang w:val="pl-PL"/>
        </w:rPr>
        <w:t>thousand tons</w:t>
      </w:r>
      <w:r w:rsidRPr="00E61992">
        <w:rPr>
          <w:lang w:val="pl-PL"/>
        </w:rPr>
        <w:t xml:space="preserve">, </w:t>
      </w:r>
      <w:r>
        <w:rPr>
          <w:lang w:val="pl-PL"/>
        </w:rPr>
        <w:t>up 3.1</w:t>
      </w:r>
      <w:r w:rsidRPr="00E61992">
        <w:rPr>
          <w:lang w:val="pl-PL"/>
        </w:rPr>
        <w:t xml:space="preserve">% </w:t>
      </w:r>
      <w:r w:rsidRPr="001957F5">
        <w:t>over the same period last year</w:t>
      </w:r>
      <w:r w:rsidRPr="00E61992">
        <w:rPr>
          <w:lang w:val="pl-PL"/>
        </w:rPr>
        <w:t xml:space="preserve">, </w:t>
      </w:r>
      <w:r>
        <w:rPr>
          <w:lang w:val="pl-PL"/>
        </w:rPr>
        <w:t>including</w:t>
      </w:r>
      <w:r w:rsidRPr="00E61992">
        <w:rPr>
          <w:lang w:val="pl-PL"/>
        </w:rPr>
        <w:t xml:space="preserve"> </w:t>
      </w:r>
      <w:r>
        <w:rPr>
          <w:lang w:val="pl-PL"/>
        </w:rPr>
        <w:t>fish</w:t>
      </w:r>
      <w:r w:rsidRPr="00E61992">
        <w:rPr>
          <w:lang w:val="pl-PL"/>
        </w:rPr>
        <w:t xml:space="preserve"> </w:t>
      </w:r>
      <w:r>
        <w:rPr>
          <w:lang w:val="pl-PL"/>
        </w:rPr>
        <w:t>reached</w:t>
      </w:r>
      <w:r w:rsidRPr="00E61992">
        <w:rPr>
          <w:lang w:val="pl-PL"/>
        </w:rPr>
        <w:t xml:space="preserve"> </w:t>
      </w:r>
      <w:r>
        <w:rPr>
          <w:lang w:val="pl-PL"/>
        </w:rPr>
        <w:t>440.2</w:t>
      </w:r>
      <w:r w:rsidRPr="00E61992">
        <w:rPr>
          <w:lang w:val="pl-PL"/>
        </w:rPr>
        <w:t xml:space="preserve"> </w:t>
      </w:r>
      <w:r>
        <w:rPr>
          <w:lang w:val="pl-PL"/>
        </w:rPr>
        <w:t>thousand tons</w:t>
      </w:r>
      <w:r w:rsidRPr="00E61992">
        <w:rPr>
          <w:lang w:val="pl-PL"/>
        </w:rPr>
        <w:t xml:space="preserve">, </w:t>
      </w:r>
      <w:r>
        <w:rPr>
          <w:lang w:val="pl-PL"/>
        </w:rPr>
        <w:t>up</w:t>
      </w:r>
      <w:r w:rsidRPr="00E61992">
        <w:rPr>
          <w:lang w:val="pl-PL"/>
        </w:rPr>
        <w:t xml:space="preserve"> </w:t>
      </w:r>
      <w:r>
        <w:rPr>
          <w:lang w:val="pl-PL"/>
        </w:rPr>
        <w:t>3.1</w:t>
      </w:r>
      <w:r w:rsidRPr="00E61992">
        <w:rPr>
          <w:lang w:val="pl-PL"/>
        </w:rPr>
        <w:t xml:space="preserve">%; </w:t>
      </w:r>
      <w:r>
        <w:rPr>
          <w:lang w:val="pl-PL"/>
        </w:rPr>
        <w:t>shrimp</w:t>
      </w:r>
      <w:r w:rsidRPr="00E61992">
        <w:rPr>
          <w:lang w:val="pl-PL"/>
        </w:rPr>
        <w:t xml:space="preserve"> </w:t>
      </w:r>
      <w:r>
        <w:rPr>
          <w:lang w:val="pl-PL"/>
        </w:rPr>
        <w:t>reached</w:t>
      </w:r>
      <w:r w:rsidRPr="00E61992">
        <w:rPr>
          <w:lang w:val="pl-PL"/>
        </w:rPr>
        <w:t xml:space="preserve"> </w:t>
      </w:r>
      <w:r>
        <w:rPr>
          <w:lang w:val="pl-PL"/>
        </w:rPr>
        <w:t>54.6</w:t>
      </w:r>
      <w:r w:rsidRPr="00E61992">
        <w:rPr>
          <w:lang w:val="pl-PL"/>
        </w:rPr>
        <w:t xml:space="preserve"> </w:t>
      </w:r>
      <w:r>
        <w:rPr>
          <w:lang w:val="pl-PL"/>
        </w:rPr>
        <w:t>thousand tons</w:t>
      </w:r>
      <w:r w:rsidRPr="00E61992">
        <w:rPr>
          <w:lang w:val="pl-PL"/>
        </w:rPr>
        <w:t xml:space="preserve">, </w:t>
      </w:r>
      <w:r>
        <w:rPr>
          <w:lang w:val="pl-PL"/>
        </w:rPr>
        <w:t>up</w:t>
      </w:r>
      <w:r w:rsidRPr="00E61992">
        <w:rPr>
          <w:lang w:val="pl-PL"/>
        </w:rPr>
        <w:t xml:space="preserve"> </w:t>
      </w:r>
      <w:r>
        <w:rPr>
          <w:lang w:val="pl-PL"/>
        </w:rPr>
        <w:t>3.8</w:t>
      </w:r>
      <w:r w:rsidRPr="00E61992">
        <w:rPr>
          <w:lang w:val="pl-PL"/>
        </w:rPr>
        <w:t xml:space="preserve">%; </w:t>
      </w:r>
      <w:r>
        <w:rPr>
          <w:lang w:val="pl-PL"/>
        </w:rPr>
        <w:t>other aquatic products reached 95.3</w:t>
      </w:r>
      <w:r w:rsidRPr="00E61992">
        <w:rPr>
          <w:lang w:val="pl-PL"/>
        </w:rPr>
        <w:t xml:space="preserve"> </w:t>
      </w:r>
      <w:r>
        <w:rPr>
          <w:lang w:val="pl-PL"/>
        </w:rPr>
        <w:t>thousand tons</w:t>
      </w:r>
      <w:r w:rsidRPr="00E61992">
        <w:rPr>
          <w:lang w:val="pl-PL"/>
        </w:rPr>
        <w:t xml:space="preserve">, </w:t>
      </w:r>
      <w:r>
        <w:rPr>
          <w:lang w:val="pl-PL"/>
        </w:rPr>
        <w:t>up 2.9</w:t>
      </w:r>
      <w:r w:rsidRPr="00E61992">
        <w:rPr>
          <w:lang w:val="pl-PL"/>
        </w:rPr>
        <w:t xml:space="preserve">%. </w:t>
      </w:r>
    </w:p>
    <w:p w14:paraId="610CF421" w14:textId="77777777" w:rsidR="004A2A23" w:rsidRDefault="004A2A23" w:rsidP="004A2A23">
      <w:pPr>
        <w:spacing w:before="40" w:after="40" w:line="276" w:lineRule="auto"/>
        <w:ind w:firstLine="567"/>
        <w:jc w:val="both"/>
        <w:rPr>
          <w:lang w:val="de-DE"/>
        </w:rPr>
      </w:pPr>
      <w:r w:rsidRPr="00AC3FFE">
        <w:rPr>
          <w:lang w:val="pl-PL"/>
        </w:rPr>
        <w:t xml:space="preserve">Aquaculture production in the month was estimated at </w:t>
      </w:r>
      <w:r>
        <w:rPr>
          <w:lang w:val="pl-PL"/>
        </w:rPr>
        <w:t>313.3</w:t>
      </w:r>
      <w:r w:rsidRPr="00AC3FFE">
        <w:rPr>
          <w:lang w:val="pl-PL"/>
        </w:rPr>
        <w:t xml:space="preserve"> thousand tons, up </w:t>
      </w:r>
      <w:r>
        <w:rPr>
          <w:lang w:val="pl-PL"/>
        </w:rPr>
        <w:t>1.9</w:t>
      </w:r>
      <w:r w:rsidRPr="00AC3FFE">
        <w:rPr>
          <w:lang w:val="pl-PL"/>
        </w:rPr>
        <w:t>% over the sa</w:t>
      </w:r>
      <w:r>
        <w:rPr>
          <w:lang w:val="pl-PL"/>
        </w:rPr>
        <w:t>me period last year, of which f</w:t>
      </w:r>
      <w:r w:rsidRPr="00AC3FFE">
        <w:rPr>
          <w:lang w:val="pl-PL"/>
        </w:rPr>
        <w:t xml:space="preserve">ish reached </w:t>
      </w:r>
      <w:r>
        <w:rPr>
          <w:lang w:val="pl-PL"/>
        </w:rPr>
        <w:t>228.6</w:t>
      </w:r>
      <w:r w:rsidRPr="00AC3FFE">
        <w:rPr>
          <w:lang w:val="pl-PL"/>
        </w:rPr>
        <w:t xml:space="preserve"> thousand tons, up </w:t>
      </w:r>
      <w:r>
        <w:rPr>
          <w:lang w:val="pl-PL"/>
        </w:rPr>
        <w:t>1.6</w:t>
      </w:r>
      <w:r w:rsidRPr="00AC3FFE">
        <w:rPr>
          <w:lang w:val="pl-PL"/>
        </w:rPr>
        <w:t xml:space="preserve">%; shrimp reached </w:t>
      </w:r>
      <w:r>
        <w:rPr>
          <w:lang w:val="pl-PL"/>
        </w:rPr>
        <w:t>44.6</w:t>
      </w:r>
      <w:r w:rsidRPr="00AC3FFE">
        <w:rPr>
          <w:lang w:val="pl-PL"/>
        </w:rPr>
        <w:t xml:space="preserve"> thousand tons, up </w:t>
      </w:r>
      <w:r>
        <w:rPr>
          <w:lang w:val="pl-PL"/>
        </w:rPr>
        <w:t>3.7</w:t>
      </w:r>
      <w:r w:rsidRPr="00AC3FFE">
        <w:rPr>
          <w:lang w:val="pl-PL"/>
        </w:rPr>
        <w:t>%.</w:t>
      </w:r>
      <w:r>
        <w:rPr>
          <w:lang w:val="pl-PL"/>
        </w:rPr>
        <w:t xml:space="preserve"> </w:t>
      </w:r>
      <w:r w:rsidRPr="00086821">
        <w:rPr>
          <w:lang w:val="de-DE"/>
        </w:rPr>
        <w:t xml:space="preserve">Pangasius output was estimated at </w:t>
      </w:r>
      <w:r>
        <w:rPr>
          <w:lang w:val="de-DE"/>
        </w:rPr>
        <w:t>96.7</w:t>
      </w:r>
      <w:r w:rsidRPr="00086821">
        <w:rPr>
          <w:lang w:val="de-DE"/>
        </w:rPr>
        <w:t xml:space="preserve"> thousand tons, up </w:t>
      </w:r>
      <w:r>
        <w:rPr>
          <w:lang w:val="de-DE"/>
        </w:rPr>
        <w:t>2.2</w:t>
      </w:r>
      <w:r w:rsidRPr="00086821">
        <w:rPr>
          <w:lang w:val="de-DE"/>
        </w:rPr>
        <w:t xml:space="preserve">% over the same period last year due to increased </w:t>
      </w:r>
      <w:r w:rsidRPr="00E33BBC">
        <w:rPr>
          <w:lang w:val="de-DE"/>
        </w:rPr>
        <w:t>demand and price of raw pangasius in the Mekong Delta</w:t>
      </w:r>
      <w:r w:rsidRPr="005D15A1">
        <w:rPr>
          <w:vertAlign w:val="superscript"/>
          <w:lang w:val="de-DE"/>
        </w:rPr>
        <w:footnoteReference w:id="2"/>
      </w:r>
      <w:r>
        <w:rPr>
          <w:lang w:val="de-DE"/>
        </w:rPr>
        <w:t xml:space="preserve">. </w:t>
      </w:r>
      <w:r w:rsidRPr="00086821">
        <w:rPr>
          <w:lang w:val="de-DE"/>
        </w:rPr>
        <w:t>Farmed shrimp production in the month increased compared to the same period last year because</w:t>
      </w:r>
      <w:r>
        <w:rPr>
          <w:lang w:val="de-DE"/>
        </w:rPr>
        <w:t xml:space="preserve"> </w:t>
      </w:r>
      <w:r w:rsidRPr="00166937">
        <w:rPr>
          <w:lang w:val="de-DE"/>
        </w:rPr>
        <w:t>increased prices and demand for domestic consumption during the Lunar New Year as well as for processing for export</w:t>
      </w:r>
      <w:r>
        <w:rPr>
          <w:lang w:val="de-DE"/>
        </w:rPr>
        <w:t xml:space="preserve">. </w:t>
      </w:r>
      <w:r w:rsidRPr="00086821">
        <w:rPr>
          <w:lang w:val="de-DE"/>
        </w:rPr>
        <w:t xml:space="preserve">White leg shrimp production was estimated at </w:t>
      </w:r>
      <w:r>
        <w:rPr>
          <w:lang w:val="de-DE"/>
        </w:rPr>
        <w:t>24.9</w:t>
      </w:r>
      <w:r w:rsidRPr="00086821">
        <w:rPr>
          <w:lang w:val="de-DE"/>
        </w:rPr>
        <w:t xml:space="preserve"> thousand tons, up </w:t>
      </w:r>
      <w:r>
        <w:rPr>
          <w:lang w:val="de-DE"/>
        </w:rPr>
        <w:t>4.2</w:t>
      </w:r>
      <w:r w:rsidRPr="00086821">
        <w:rPr>
          <w:lang w:val="de-DE"/>
        </w:rPr>
        <w:t xml:space="preserve">% over the same period last year; black tiger shrimp production reached </w:t>
      </w:r>
      <w:r>
        <w:rPr>
          <w:lang w:val="de-DE"/>
        </w:rPr>
        <w:t>14.9</w:t>
      </w:r>
      <w:r w:rsidRPr="00086821">
        <w:rPr>
          <w:lang w:val="de-DE"/>
        </w:rPr>
        <w:t xml:space="preserve"> thousand tons, </w:t>
      </w:r>
      <w:r>
        <w:rPr>
          <w:lang w:val="de-DE"/>
        </w:rPr>
        <w:t>up</w:t>
      </w:r>
      <w:r w:rsidRPr="00086821">
        <w:rPr>
          <w:lang w:val="de-DE"/>
        </w:rPr>
        <w:t xml:space="preserve"> </w:t>
      </w:r>
      <w:r>
        <w:rPr>
          <w:lang w:val="de-DE"/>
        </w:rPr>
        <w:t>1.4</w:t>
      </w:r>
      <w:r w:rsidRPr="00086821">
        <w:rPr>
          <w:lang w:val="de-DE"/>
        </w:rPr>
        <w:t>%</w:t>
      </w:r>
      <w:r w:rsidRPr="005D15A1">
        <w:rPr>
          <w:vertAlign w:val="superscript"/>
          <w:lang w:val="de-DE"/>
        </w:rPr>
        <w:footnoteReference w:id="3"/>
      </w:r>
      <w:r w:rsidRPr="00086821">
        <w:rPr>
          <w:lang w:val="de-DE"/>
        </w:rPr>
        <w:t>.</w:t>
      </w:r>
    </w:p>
    <w:p w14:paraId="48FE8329" w14:textId="77777777" w:rsidR="004A2A23" w:rsidRPr="00A00632" w:rsidRDefault="004A2A23" w:rsidP="004A2A23">
      <w:pPr>
        <w:spacing w:before="40" w:after="40" w:line="276" w:lineRule="auto"/>
        <w:ind w:firstLine="567"/>
        <w:jc w:val="center"/>
        <w:rPr>
          <w:rFonts w:ascii="Arial" w:hAnsi="Arial" w:cs="Arial"/>
          <w:b/>
          <w:bCs/>
          <w:sz w:val="24"/>
          <w:szCs w:val="24"/>
          <w:lang w:val="de-DE"/>
        </w:rPr>
      </w:pPr>
      <w:r w:rsidRPr="00A00632">
        <w:rPr>
          <w:rFonts w:ascii="Arial" w:hAnsi="Arial" w:cs="Arial"/>
          <w:b/>
          <w:bCs/>
          <w:sz w:val="24"/>
          <w:szCs w:val="24"/>
          <w:lang w:val="de-DE"/>
        </w:rPr>
        <w:t xml:space="preserve">Figure </w:t>
      </w:r>
      <w:r>
        <w:rPr>
          <w:rFonts w:ascii="Arial" w:hAnsi="Arial" w:cs="Arial"/>
          <w:b/>
          <w:bCs/>
          <w:sz w:val="24"/>
          <w:szCs w:val="24"/>
          <w:lang w:val="de-DE"/>
        </w:rPr>
        <w:t>3</w:t>
      </w:r>
      <w:r w:rsidRPr="00A00632">
        <w:rPr>
          <w:rFonts w:ascii="Arial" w:hAnsi="Arial" w:cs="Arial"/>
          <w:b/>
          <w:bCs/>
          <w:sz w:val="24"/>
          <w:szCs w:val="24"/>
          <w:lang w:val="de-DE"/>
        </w:rPr>
        <w:t xml:space="preserve">. Fishery production </w:t>
      </w:r>
      <w:r>
        <w:rPr>
          <w:rFonts w:ascii="Arial" w:hAnsi="Arial" w:cs="Arial"/>
          <w:b/>
          <w:bCs/>
          <w:sz w:val="24"/>
          <w:szCs w:val="24"/>
          <w:lang w:val="de-DE"/>
        </w:rPr>
        <w:t>of January in 2024</w:t>
      </w:r>
    </w:p>
    <w:p w14:paraId="66FA8852" w14:textId="77777777" w:rsidR="004A2A23" w:rsidRPr="00D9363B" w:rsidRDefault="004A2A23" w:rsidP="004A2A23">
      <w:pPr>
        <w:shd w:val="clear" w:color="auto" w:fill="FFFFFF"/>
        <w:tabs>
          <w:tab w:val="left" w:pos="9360"/>
        </w:tabs>
        <w:spacing w:before="40" w:after="40" w:line="288" w:lineRule="auto"/>
        <w:jc w:val="center"/>
        <w:rPr>
          <w:i/>
          <w:spacing w:val="-6"/>
          <w:lang w:val="en-US"/>
        </w:rPr>
      </w:pPr>
      <w:r w:rsidRPr="00D9363B">
        <w:rPr>
          <w:rFonts w:ascii="Arial" w:hAnsi="Arial" w:cs="Arial"/>
          <w:bCs/>
          <w:i/>
          <w:sz w:val="24"/>
          <w:szCs w:val="24"/>
          <w:lang w:val="de-DE"/>
        </w:rPr>
        <w:t xml:space="preserve">(over the </w:t>
      </w:r>
      <w:r>
        <w:rPr>
          <w:rFonts w:ascii="Arial" w:hAnsi="Arial" w:cs="Arial"/>
          <w:bCs/>
          <w:i/>
          <w:sz w:val="24"/>
          <w:szCs w:val="24"/>
          <w:lang w:val="de-DE"/>
        </w:rPr>
        <w:t xml:space="preserve">same </w:t>
      </w:r>
      <w:r w:rsidRPr="00D9363B">
        <w:rPr>
          <w:rFonts w:ascii="Arial" w:hAnsi="Arial" w:cs="Arial"/>
          <w:bCs/>
          <w:i/>
          <w:sz w:val="24"/>
          <w:szCs w:val="24"/>
          <w:lang w:val="de-DE"/>
        </w:rPr>
        <w:t>previous year)</w:t>
      </w:r>
      <w:r w:rsidRPr="00D9363B">
        <w:rPr>
          <w:i/>
          <w:noProof/>
          <w:lang w:val="en-US"/>
        </w:rPr>
        <w:t xml:space="preserve"> </w:t>
      </w:r>
    </w:p>
    <w:p w14:paraId="344C961E" w14:textId="77777777" w:rsidR="004A2A23" w:rsidRDefault="004A2A23" w:rsidP="004A2A23">
      <w:pPr>
        <w:jc w:val="center"/>
        <w:rPr>
          <w:rFonts w:ascii="Arial" w:hAnsi="Arial" w:cs="Arial"/>
          <w:bCs/>
          <w:i/>
          <w:sz w:val="24"/>
          <w:szCs w:val="24"/>
          <w:lang w:val="de-DE"/>
        </w:rPr>
      </w:pPr>
      <w:r>
        <w:rPr>
          <w:rFonts w:ascii="Arial" w:hAnsi="Arial" w:cs="Arial"/>
          <w:bCs/>
          <w:i/>
          <w:noProof/>
          <w:sz w:val="24"/>
          <w:szCs w:val="24"/>
          <w:lang w:val="en-US"/>
        </w:rPr>
        <w:drawing>
          <wp:inline distT="0" distB="0" distL="0" distR="0" wp14:anchorId="7001B937" wp14:editId="0D2B5B49">
            <wp:extent cx="5772150" cy="1866900"/>
            <wp:effectExtent l="0" t="0" r="0" b="0"/>
            <wp:docPr id="1454984241" name="Picture 145498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150" cy="1866900"/>
                    </a:xfrm>
                    <a:prstGeom prst="rect">
                      <a:avLst/>
                    </a:prstGeom>
                    <a:noFill/>
                    <a:ln>
                      <a:noFill/>
                    </a:ln>
                  </pic:spPr>
                </pic:pic>
              </a:graphicData>
            </a:graphic>
          </wp:inline>
        </w:drawing>
      </w:r>
    </w:p>
    <w:p w14:paraId="7927DF0D" w14:textId="77777777" w:rsidR="004A2A23" w:rsidRDefault="004A2A23" w:rsidP="004A2A23">
      <w:pPr>
        <w:ind w:firstLine="720"/>
        <w:jc w:val="both"/>
        <w:rPr>
          <w:lang w:val="de-DE"/>
        </w:rPr>
      </w:pPr>
    </w:p>
    <w:p w14:paraId="09A4F3FB" w14:textId="77777777" w:rsidR="004A2A23" w:rsidRPr="00EE4E0E" w:rsidRDefault="004A2A23" w:rsidP="004A2A23">
      <w:pPr>
        <w:spacing w:before="40" w:after="40" w:line="271" w:lineRule="auto"/>
        <w:ind w:firstLine="567"/>
        <w:jc w:val="both"/>
        <w:rPr>
          <w:lang w:val="pl-PL"/>
        </w:rPr>
      </w:pPr>
      <w:r w:rsidRPr="00EE4E0E">
        <w:rPr>
          <w:lang w:val="pl-PL"/>
        </w:rPr>
        <w:t xml:space="preserve">Catch fishery production in </w:t>
      </w:r>
      <w:r>
        <w:rPr>
          <w:lang w:val="pl-PL"/>
        </w:rPr>
        <w:t>01/2024</w:t>
      </w:r>
      <w:r w:rsidRPr="00EE4E0E">
        <w:rPr>
          <w:lang w:val="pl-PL"/>
        </w:rPr>
        <w:t xml:space="preserve"> was estimated at </w:t>
      </w:r>
      <w:r>
        <w:rPr>
          <w:lang w:val="pl-PL"/>
        </w:rPr>
        <w:t>276.8</w:t>
      </w:r>
      <w:r w:rsidRPr="00EE4E0E">
        <w:rPr>
          <w:lang w:val="pl-PL"/>
        </w:rPr>
        <w:t xml:space="preserve"> thousand tons, </w:t>
      </w:r>
      <w:r>
        <w:rPr>
          <w:lang w:val="pl-PL"/>
        </w:rPr>
        <w:t>up 4.6</w:t>
      </w:r>
      <w:r w:rsidRPr="00EE4E0E">
        <w:rPr>
          <w:lang w:val="pl-PL"/>
        </w:rPr>
        <w:t xml:space="preserve">% over the same period last year, </w:t>
      </w:r>
      <w:r>
        <w:rPr>
          <w:lang w:val="pl-PL"/>
        </w:rPr>
        <w:t>including f</w:t>
      </w:r>
      <w:r w:rsidRPr="00EE4E0E">
        <w:rPr>
          <w:lang w:val="pl-PL"/>
        </w:rPr>
        <w:t xml:space="preserve">ish reached </w:t>
      </w:r>
      <w:r>
        <w:rPr>
          <w:lang w:val="pl-PL"/>
        </w:rPr>
        <w:t>211.6</w:t>
      </w:r>
      <w:r w:rsidRPr="00EE4E0E">
        <w:rPr>
          <w:lang w:val="pl-PL"/>
        </w:rPr>
        <w:t xml:space="preserve"> thousand tons, </w:t>
      </w:r>
      <w:r>
        <w:rPr>
          <w:lang w:val="pl-PL"/>
        </w:rPr>
        <w:t xml:space="preserve">up </w:t>
      </w:r>
      <w:r w:rsidRPr="00EE4E0E">
        <w:rPr>
          <w:lang w:val="pl-PL"/>
        </w:rPr>
        <w:t>4.</w:t>
      </w:r>
      <w:r>
        <w:rPr>
          <w:lang w:val="pl-PL"/>
        </w:rPr>
        <w:t>8</w:t>
      </w:r>
      <w:r w:rsidRPr="00EE4E0E">
        <w:rPr>
          <w:lang w:val="pl-PL"/>
        </w:rPr>
        <w:t xml:space="preserve">%; shrimp reached </w:t>
      </w:r>
      <w:r>
        <w:rPr>
          <w:lang w:val="pl-PL"/>
        </w:rPr>
        <w:t>10</w:t>
      </w:r>
      <w:r w:rsidRPr="00EE4E0E">
        <w:rPr>
          <w:lang w:val="pl-PL"/>
        </w:rPr>
        <w:t xml:space="preserve"> thousand tons, </w:t>
      </w:r>
      <w:r>
        <w:rPr>
          <w:lang w:val="pl-PL"/>
        </w:rPr>
        <w:t>up 4.2</w:t>
      </w:r>
      <w:r w:rsidRPr="00EE4E0E">
        <w:rPr>
          <w:lang w:val="pl-PL"/>
        </w:rPr>
        <w:t xml:space="preserve">%; other aquatic products reached </w:t>
      </w:r>
      <w:r>
        <w:rPr>
          <w:lang w:val="pl-PL"/>
        </w:rPr>
        <w:t>55.2</w:t>
      </w:r>
      <w:r w:rsidRPr="00EE4E0E">
        <w:rPr>
          <w:lang w:val="pl-PL"/>
        </w:rPr>
        <w:t xml:space="preserve"> thousand tons, </w:t>
      </w:r>
      <w:r>
        <w:rPr>
          <w:lang w:val="pl-PL"/>
        </w:rPr>
        <w:t>up 4</w:t>
      </w:r>
      <w:r w:rsidRPr="00EE4E0E">
        <w:rPr>
          <w:lang w:val="pl-PL"/>
        </w:rPr>
        <w:t xml:space="preserve">%. </w:t>
      </w:r>
      <w:bookmarkStart w:id="0" w:name="_Hlk126077186"/>
      <w:r w:rsidRPr="00EE4E0E">
        <w:rPr>
          <w:lang w:val="pl-PL"/>
        </w:rPr>
        <w:t xml:space="preserve">The catch of catch fishery products </w:t>
      </w:r>
      <w:r>
        <w:rPr>
          <w:lang w:val="pl-PL"/>
        </w:rPr>
        <w:t>in</w:t>
      </w:r>
      <w:r w:rsidRPr="00EE4E0E">
        <w:rPr>
          <w:lang w:val="pl-PL"/>
        </w:rPr>
        <w:t xml:space="preserve">creased because </w:t>
      </w:r>
      <w:r w:rsidRPr="00B66A22">
        <w:rPr>
          <w:lang w:val="pl-PL"/>
        </w:rPr>
        <w:t xml:space="preserve">due to fishermen staying at sea longer than the same period last year (Tet </w:t>
      </w:r>
      <w:r w:rsidRPr="00B66A22">
        <w:rPr>
          <w:lang w:val="pl-PL"/>
        </w:rPr>
        <w:lastRenderedPageBreak/>
        <w:t>Quy Mao in January 2023) al</w:t>
      </w:r>
      <w:r>
        <w:rPr>
          <w:lang w:val="pl-PL"/>
        </w:rPr>
        <w:t>ong with favorable weather for catching</w:t>
      </w:r>
      <w:r w:rsidRPr="00B66A22">
        <w:rPr>
          <w:lang w:val="pl-PL"/>
        </w:rPr>
        <w:t xml:space="preserve"> activities.</w:t>
      </w:r>
      <w:r w:rsidRPr="00EE4E0E">
        <w:rPr>
          <w:lang w:val="pl-PL"/>
        </w:rPr>
        <w:t xml:space="preserve"> The marine fishing producti</w:t>
      </w:r>
      <w:r>
        <w:rPr>
          <w:lang w:val="pl-PL"/>
        </w:rPr>
        <w:t>o</w:t>
      </w:r>
      <w:r w:rsidRPr="00EE4E0E">
        <w:rPr>
          <w:lang w:val="pl-PL"/>
        </w:rPr>
        <w:t xml:space="preserve">n was estimated at </w:t>
      </w:r>
      <w:r>
        <w:rPr>
          <w:lang w:val="pl-PL"/>
        </w:rPr>
        <w:t>258</w:t>
      </w:r>
      <w:r w:rsidRPr="00EE4E0E">
        <w:rPr>
          <w:lang w:val="pl-PL"/>
        </w:rPr>
        <w:t xml:space="preserve"> thousand tons, </w:t>
      </w:r>
      <w:r>
        <w:rPr>
          <w:lang w:val="pl-PL"/>
        </w:rPr>
        <w:t>up 4.5</w:t>
      </w:r>
      <w:r w:rsidRPr="00EE4E0E">
        <w:rPr>
          <w:lang w:val="pl-PL"/>
        </w:rPr>
        <w:t>%, of which</w:t>
      </w:r>
      <w:r>
        <w:rPr>
          <w:lang w:val="pl-PL"/>
        </w:rPr>
        <w:t xml:space="preserve"> f</w:t>
      </w:r>
      <w:r w:rsidRPr="00EE4E0E">
        <w:rPr>
          <w:lang w:val="pl-PL"/>
        </w:rPr>
        <w:t xml:space="preserve">ish reached </w:t>
      </w:r>
      <w:r>
        <w:rPr>
          <w:lang w:val="pl-PL"/>
        </w:rPr>
        <w:t>198.3</w:t>
      </w:r>
      <w:r w:rsidRPr="00EE4E0E">
        <w:rPr>
          <w:lang w:val="pl-PL"/>
        </w:rPr>
        <w:t xml:space="preserve"> thousand tons, </w:t>
      </w:r>
      <w:r>
        <w:rPr>
          <w:lang w:val="pl-PL"/>
        </w:rPr>
        <w:t>up</w:t>
      </w:r>
      <w:r w:rsidRPr="00EE4E0E">
        <w:rPr>
          <w:lang w:val="pl-PL"/>
        </w:rPr>
        <w:t xml:space="preserve"> 4.</w:t>
      </w:r>
      <w:r>
        <w:rPr>
          <w:lang w:val="pl-PL"/>
        </w:rPr>
        <w:t>8</w:t>
      </w:r>
      <w:r w:rsidRPr="00EE4E0E">
        <w:rPr>
          <w:lang w:val="pl-PL"/>
        </w:rPr>
        <w:t xml:space="preserve">%; shrimp reached </w:t>
      </w:r>
      <w:r>
        <w:rPr>
          <w:lang w:val="pl-PL"/>
        </w:rPr>
        <w:t xml:space="preserve">8.5 </w:t>
      </w:r>
      <w:r w:rsidRPr="00EE4E0E">
        <w:rPr>
          <w:lang w:val="pl-PL"/>
        </w:rPr>
        <w:t xml:space="preserve">thousand tons, </w:t>
      </w:r>
      <w:r>
        <w:rPr>
          <w:lang w:val="pl-PL"/>
        </w:rPr>
        <w:t>up 3.7</w:t>
      </w:r>
      <w:r w:rsidRPr="00EE4E0E">
        <w:rPr>
          <w:lang w:val="pl-PL"/>
        </w:rPr>
        <w:t>%.</w:t>
      </w:r>
      <w:bookmarkEnd w:id="0"/>
    </w:p>
    <w:p w14:paraId="769FAE68" w14:textId="77777777" w:rsidR="0082493A" w:rsidRPr="00601ABA" w:rsidRDefault="0082493A" w:rsidP="0082493A">
      <w:pPr>
        <w:spacing w:after="120" w:line="264" w:lineRule="auto"/>
        <w:ind w:firstLine="567"/>
        <w:jc w:val="both"/>
        <w:rPr>
          <w:b/>
          <w:lang w:val="sv-SE"/>
        </w:rPr>
      </w:pPr>
      <w:r w:rsidRPr="00601ABA">
        <w:rPr>
          <w:b/>
          <w:lang w:val="sv-SE"/>
        </w:rPr>
        <w:t>2. Industrial production</w:t>
      </w:r>
    </w:p>
    <w:p w14:paraId="66F2BC2C" w14:textId="77777777" w:rsidR="0082493A" w:rsidRPr="00601ABA" w:rsidRDefault="0082493A" w:rsidP="0082493A">
      <w:pPr>
        <w:shd w:val="clear" w:color="auto" w:fill="FFFFFF"/>
        <w:spacing w:before="40" w:after="40" w:line="252" w:lineRule="auto"/>
        <w:ind w:firstLine="567"/>
        <w:jc w:val="both"/>
        <w:rPr>
          <w:i/>
          <w:lang w:val="de-DE"/>
        </w:rPr>
      </w:pPr>
      <w:r>
        <w:rPr>
          <w:i/>
          <w:lang w:val="de-DE"/>
        </w:rPr>
        <w:t>The industrial production index in January 2024 is estimated to decrease by 4.4% over the previous month and increase by 18.3% over the same period last year</w:t>
      </w:r>
      <w:r>
        <w:rPr>
          <w:rStyle w:val="FootnoteReference"/>
          <w:i/>
          <w:lang w:val="de-DE"/>
        </w:rPr>
        <w:footnoteReference w:id="4"/>
      </w:r>
      <w:r w:rsidRPr="00601ABA">
        <w:rPr>
          <w:i/>
          <w:lang w:val="de-DE"/>
        </w:rPr>
        <w:t>, of which the manufacturing industry increased by 19.3%.</w:t>
      </w:r>
    </w:p>
    <w:p w14:paraId="0929CF83" w14:textId="77777777" w:rsidR="0082493A" w:rsidRPr="0004135B" w:rsidRDefault="0082493A" w:rsidP="0082493A">
      <w:pPr>
        <w:shd w:val="clear" w:color="auto" w:fill="FFFFFF"/>
        <w:tabs>
          <w:tab w:val="left" w:pos="8931"/>
        </w:tabs>
        <w:spacing w:after="120" w:line="264" w:lineRule="auto"/>
        <w:ind w:firstLine="567"/>
        <w:jc w:val="both"/>
        <w:rPr>
          <w:spacing w:val="-6"/>
          <w:lang w:val="pl-PL"/>
        </w:rPr>
      </w:pPr>
      <w:r w:rsidRPr="0004135B">
        <w:rPr>
          <w:spacing w:val="-6"/>
          <w:lang w:val="pl-PL"/>
        </w:rPr>
        <w:t>The index of industrial production (IIP) in January 2024 is estimated to decrease by 4.4% over the previous month</w:t>
      </w:r>
      <w:r w:rsidRPr="0004135B">
        <w:rPr>
          <w:rStyle w:val="FootnoteReference"/>
          <w:spacing w:val="-6"/>
          <w:lang w:val="pl-PL"/>
        </w:rPr>
        <w:footnoteReference w:id="5"/>
      </w:r>
      <w:r>
        <w:rPr>
          <w:spacing w:val="-6"/>
          <w:lang w:val="pl-PL"/>
        </w:rPr>
        <w:t xml:space="preserve"> </w:t>
      </w:r>
      <w:r w:rsidRPr="0004135B">
        <w:rPr>
          <w:spacing w:val="-6"/>
          <w:lang w:val="pl-PL"/>
        </w:rPr>
        <w:t>and increase by 18.3% over the same period last year. Of</w:t>
      </w:r>
      <w:r>
        <w:rPr>
          <w:spacing w:val="-6"/>
          <w:lang w:val="pl-PL"/>
        </w:rPr>
        <w:t xml:space="preserve"> </w:t>
      </w:r>
      <w:r w:rsidRPr="0004135B">
        <w:rPr>
          <w:spacing w:val="-6"/>
          <w:lang w:val="pl-PL"/>
        </w:rPr>
        <w:t xml:space="preserve">which, the manufacturing industry increased by 19.3% over the same period last year, contributing 15.1 percentage points to </w:t>
      </w:r>
      <w:r>
        <w:rPr>
          <w:spacing w:val="-2"/>
        </w:rPr>
        <w:t>the general growth</w:t>
      </w:r>
      <w:r w:rsidRPr="0004135B">
        <w:rPr>
          <w:spacing w:val="-6"/>
          <w:lang w:val="pl-PL"/>
        </w:rPr>
        <w:t xml:space="preserve">; </w:t>
      </w:r>
      <w:r>
        <w:rPr>
          <w:spacing w:val="-2"/>
        </w:rPr>
        <w:t>electricity production and distribution</w:t>
      </w:r>
      <w:r w:rsidRPr="0004135B">
        <w:rPr>
          <w:spacing w:val="-6"/>
          <w:lang w:val="pl-PL"/>
        </w:rPr>
        <w:t xml:space="preserve"> increased by 21.6%, contributing 1.9 percentage points; </w:t>
      </w:r>
      <w:r>
        <w:rPr>
          <w:spacing w:val="-6"/>
          <w:lang w:val="pl-PL"/>
        </w:rPr>
        <w:t>w</w:t>
      </w:r>
      <w:r w:rsidRPr="0004135B">
        <w:rPr>
          <w:spacing w:val="-6"/>
          <w:lang w:val="pl-PL"/>
        </w:rPr>
        <w:t xml:space="preserve">ater supply, waste and wastewater management and treatment activities increased by 5.7%, contributing 0.1 percentage points; </w:t>
      </w:r>
      <w:r>
        <w:rPr>
          <w:spacing w:val="-6"/>
          <w:lang w:val="pl-PL"/>
        </w:rPr>
        <w:t>t</w:t>
      </w:r>
      <w:r w:rsidRPr="0004135B">
        <w:rPr>
          <w:spacing w:val="-6"/>
          <w:lang w:val="pl-PL"/>
        </w:rPr>
        <w:t>he mining industry increased by 7.3%, contributing 1.2 percentage points.</w:t>
      </w:r>
    </w:p>
    <w:p w14:paraId="240A7ACE" w14:textId="77777777" w:rsidR="0082493A" w:rsidRPr="000755DA" w:rsidRDefault="0082493A" w:rsidP="0082493A">
      <w:pPr>
        <w:shd w:val="clear" w:color="auto" w:fill="FFFFFF"/>
        <w:tabs>
          <w:tab w:val="left" w:pos="8931"/>
        </w:tabs>
        <w:spacing w:after="120" w:line="264" w:lineRule="auto"/>
        <w:ind w:firstLine="567"/>
        <w:jc w:val="both"/>
        <w:rPr>
          <w:lang w:val="pl-PL"/>
        </w:rPr>
      </w:pPr>
      <w:r w:rsidRPr="000755DA">
        <w:rPr>
          <w:i/>
          <w:lang w:val="pl-PL"/>
        </w:rPr>
        <w:t>Growth/decrease rate of production index in January 2024 of some key industries</w:t>
      </w:r>
      <w:r w:rsidRPr="000755DA">
        <w:rPr>
          <w:lang w:val="pl-PL"/>
        </w:rPr>
        <w:t xml:space="preserve"> </w:t>
      </w:r>
      <w:r w:rsidRPr="000755DA">
        <w:rPr>
          <w:i/>
          <w:lang w:val="pl-PL"/>
        </w:rPr>
        <w:t xml:space="preserve">level II compared to the same period last year </w:t>
      </w:r>
      <w:r w:rsidRPr="000755DA">
        <w:rPr>
          <w:lang w:val="pl-PL"/>
        </w:rPr>
        <w:t xml:space="preserve">: </w:t>
      </w:r>
      <w:r w:rsidRPr="008E3678">
        <w:rPr>
          <w:lang w:val="pl-PL"/>
        </w:rPr>
        <w:t>Manufacture of furniture</w:t>
      </w:r>
      <w:r w:rsidRPr="000755DA">
        <w:rPr>
          <w:lang w:val="pl-PL"/>
        </w:rPr>
        <w:t xml:space="preserve"> increased by 66.7%; </w:t>
      </w:r>
      <w:r>
        <w:rPr>
          <w:lang w:val="pl-PL"/>
        </w:rPr>
        <w:t>m</w:t>
      </w:r>
      <w:r w:rsidRPr="008E3678">
        <w:rPr>
          <w:lang w:val="pl-PL"/>
        </w:rPr>
        <w:t>anufacture of textiles</w:t>
      </w:r>
      <w:r w:rsidRPr="000755DA">
        <w:rPr>
          <w:lang w:val="pl-PL"/>
        </w:rPr>
        <w:t xml:space="preserve"> increased by 46.2%; </w:t>
      </w:r>
      <w:r>
        <w:rPr>
          <w:lang w:val="pl-PL"/>
        </w:rPr>
        <w:t>m</w:t>
      </w:r>
      <w:r w:rsidRPr="008E3678">
        <w:rPr>
          <w:lang w:val="pl-PL"/>
        </w:rPr>
        <w:t>anufacture of electrical equipment</w:t>
      </w:r>
      <w:r>
        <w:rPr>
          <w:lang w:val="pl-PL"/>
        </w:rPr>
        <w:t xml:space="preserve"> </w:t>
      </w:r>
      <w:r w:rsidRPr="000755DA">
        <w:rPr>
          <w:lang w:val="pl-PL"/>
        </w:rPr>
        <w:t xml:space="preserve">increased by 43.3%; </w:t>
      </w:r>
      <w:r>
        <w:rPr>
          <w:lang w:val="pl-PL"/>
        </w:rPr>
        <w:t>m</w:t>
      </w:r>
      <w:r w:rsidRPr="008E3678">
        <w:rPr>
          <w:lang w:val="pl-PL"/>
        </w:rPr>
        <w:t>anufacture of basic metals</w:t>
      </w:r>
      <w:r w:rsidRPr="000755DA">
        <w:rPr>
          <w:lang w:val="pl-PL"/>
        </w:rPr>
        <w:t xml:space="preserve"> increased by 39.4%; </w:t>
      </w:r>
      <w:r>
        <w:rPr>
          <w:lang w:val="pl-PL"/>
        </w:rPr>
        <w:t>m</w:t>
      </w:r>
      <w:r w:rsidRPr="008E3678">
        <w:rPr>
          <w:lang w:val="pl-PL"/>
        </w:rPr>
        <w:t>anufacture of paper and paper products</w:t>
      </w:r>
      <w:r>
        <w:rPr>
          <w:lang w:val="pl-PL"/>
        </w:rPr>
        <w:t>, m</w:t>
      </w:r>
      <w:r w:rsidRPr="008E3678">
        <w:rPr>
          <w:lang w:val="pl-PL"/>
        </w:rPr>
        <w:t>anufacture of chemicals and chemical products</w:t>
      </w:r>
      <w:r w:rsidRPr="000755DA">
        <w:rPr>
          <w:lang w:val="pl-PL"/>
        </w:rPr>
        <w:t xml:space="preserve"> both increased by 38.7%; </w:t>
      </w:r>
      <w:r>
        <w:rPr>
          <w:lang w:val="pl-PL"/>
        </w:rPr>
        <w:t>m</w:t>
      </w:r>
      <w:r w:rsidRPr="00397FB6">
        <w:rPr>
          <w:lang w:val="pl-PL"/>
        </w:rPr>
        <w:t>anufacture of leather and related products</w:t>
      </w:r>
      <w:r w:rsidRPr="000755DA">
        <w:rPr>
          <w:lang w:val="pl-PL"/>
        </w:rPr>
        <w:t xml:space="preserve"> increased by 34.7%; </w:t>
      </w:r>
      <w:r>
        <w:rPr>
          <w:lang w:val="pl-PL"/>
        </w:rPr>
        <w:t>m</w:t>
      </w:r>
      <w:r w:rsidRPr="00397FB6">
        <w:rPr>
          <w:lang w:val="pl-PL"/>
        </w:rPr>
        <w:t>anufacture of other non-metallic mineral products</w:t>
      </w:r>
      <w:r>
        <w:rPr>
          <w:lang w:val="pl-PL"/>
        </w:rPr>
        <w:t xml:space="preserve"> and m</w:t>
      </w:r>
      <w:r w:rsidRPr="00397FB6">
        <w:rPr>
          <w:lang w:val="pl-PL"/>
        </w:rPr>
        <w:t>anufacture of wearing apparel</w:t>
      </w:r>
      <w:r w:rsidRPr="000755DA">
        <w:rPr>
          <w:lang w:val="pl-PL"/>
        </w:rPr>
        <w:t xml:space="preserve"> both increased by 20.9%; </w:t>
      </w:r>
      <w:r>
        <w:rPr>
          <w:lang w:val="pl-PL"/>
        </w:rPr>
        <w:t>m</w:t>
      </w:r>
      <w:r w:rsidRPr="00397FB6">
        <w:rPr>
          <w:lang w:val="pl-PL"/>
        </w:rPr>
        <w:t>anufacture of food products</w:t>
      </w:r>
      <w:r w:rsidRPr="000755DA">
        <w:rPr>
          <w:lang w:val="pl-PL"/>
        </w:rPr>
        <w:t xml:space="preserve"> increased by 17.2%; </w:t>
      </w:r>
      <w:r>
        <w:rPr>
          <w:lang w:val="pl-PL"/>
        </w:rPr>
        <w:t>m</w:t>
      </w:r>
      <w:r w:rsidRPr="00397FB6">
        <w:rPr>
          <w:lang w:val="pl-PL"/>
        </w:rPr>
        <w:t>anufacture of other transport equipment</w:t>
      </w:r>
      <w:r w:rsidRPr="000755DA">
        <w:rPr>
          <w:lang w:val="pl-PL"/>
        </w:rPr>
        <w:t xml:space="preserve"> increased by 13.1%; </w:t>
      </w:r>
      <w:r w:rsidRPr="00397FB6">
        <w:rPr>
          <w:lang w:val="pl-PL"/>
        </w:rPr>
        <w:t>Manufacture of fabricated metal products, except machinery and equipment</w:t>
      </w:r>
      <w:r w:rsidRPr="000755DA">
        <w:rPr>
          <w:lang w:val="pl-PL"/>
        </w:rPr>
        <w:t xml:space="preserve"> increased by 7.8%; </w:t>
      </w:r>
      <w:r>
        <w:rPr>
          <w:lang w:val="pl-PL"/>
        </w:rPr>
        <w:t>m</w:t>
      </w:r>
      <w:r w:rsidRPr="00397FB6">
        <w:rPr>
          <w:lang w:val="pl-PL"/>
        </w:rPr>
        <w:t>anufacture of computer, electronic and optical products</w:t>
      </w:r>
      <w:r w:rsidRPr="000755DA">
        <w:rPr>
          <w:lang w:val="pl-PL"/>
        </w:rPr>
        <w:t xml:space="preserve"> increased by 5.6%; </w:t>
      </w:r>
      <w:r>
        <w:rPr>
          <w:lang w:val="pl-PL"/>
        </w:rPr>
        <w:t>m</w:t>
      </w:r>
      <w:r w:rsidRPr="00397FB6">
        <w:rPr>
          <w:lang w:val="pl-PL"/>
        </w:rPr>
        <w:t>anufacture of beverages</w:t>
      </w:r>
      <w:r>
        <w:rPr>
          <w:lang w:val="pl-PL"/>
        </w:rPr>
        <w:t xml:space="preserve"> </w:t>
      </w:r>
      <w:r w:rsidRPr="000755DA">
        <w:rPr>
          <w:lang w:val="pl-PL"/>
        </w:rPr>
        <w:t xml:space="preserve">increased by 3.7%; </w:t>
      </w:r>
      <w:r>
        <w:rPr>
          <w:lang w:val="pl-PL"/>
        </w:rPr>
        <w:t>e</w:t>
      </w:r>
      <w:r w:rsidRPr="00397FB6">
        <w:rPr>
          <w:lang w:val="pl-PL"/>
        </w:rPr>
        <w:t>xtraction of crude petroleum and nutural gas</w:t>
      </w:r>
      <w:r w:rsidRPr="000755DA">
        <w:rPr>
          <w:lang w:val="pl-PL"/>
        </w:rPr>
        <w:t xml:space="preserve"> decreased by 1.1%.</w:t>
      </w:r>
    </w:p>
    <w:p w14:paraId="4115FCBD" w14:textId="77777777" w:rsidR="0082493A" w:rsidRDefault="0082493A" w:rsidP="0082493A">
      <w:pPr>
        <w:shd w:val="clear" w:color="auto" w:fill="FFFFFF"/>
        <w:tabs>
          <w:tab w:val="left" w:pos="8931"/>
        </w:tabs>
        <w:spacing w:before="60" w:after="60"/>
        <w:jc w:val="center"/>
        <w:rPr>
          <w:b/>
          <w:spacing w:val="-2"/>
          <w:lang w:val="pl-PL"/>
        </w:rPr>
      </w:pPr>
      <w:r w:rsidRPr="00B64E1A">
        <w:rPr>
          <w:rFonts w:ascii="Arial" w:hAnsi="Arial" w:cs="Arial"/>
          <w:b/>
          <w:spacing w:val="-2"/>
          <w:sz w:val="24"/>
          <w:szCs w:val="22"/>
          <w:lang w:val="pl-PL"/>
        </w:rPr>
        <w:t xml:space="preserve">Table 1. </w:t>
      </w:r>
      <w:r>
        <w:rPr>
          <w:b/>
          <w:spacing w:val="-2"/>
          <w:lang w:val="en-GB"/>
        </w:rPr>
        <w:t>The i</w:t>
      </w:r>
      <w:r>
        <w:rPr>
          <w:b/>
          <w:spacing w:val="-2"/>
          <w:lang w:val="pl-PL"/>
        </w:rPr>
        <w:t>ncrease</w:t>
      </w:r>
      <w:r>
        <w:rPr>
          <w:b/>
          <w:spacing w:val="-2"/>
        </w:rPr>
        <w:t>/</w:t>
      </w:r>
      <w:r>
        <w:rPr>
          <w:b/>
          <w:spacing w:val="-2"/>
          <w:lang w:val="pl-PL"/>
        </w:rPr>
        <w:t xml:space="preserve">decrease </w:t>
      </w:r>
      <w:r>
        <w:rPr>
          <w:b/>
          <w:spacing w:val="-2"/>
        </w:rPr>
        <w:t>g</w:t>
      </w:r>
      <w:r>
        <w:rPr>
          <w:b/>
          <w:spacing w:val="-2"/>
          <w:lang w:val="pl-PL"/>
        </w:rPr>
        <w:t>rowth rate of every January IIP</w:t>
      </w:r>
    </w:p>
    <w:p w14:paraId="038DB894" w14:textId="77777777" w:rsidR="0082493A" w:rsidRDefault="0082493A" w:rsidP="0082493A">
      <w:pPr>
        <w:shd w:val="clear" w:color="auto" w:fill="FFFFFF"/>
        <w:tabs>
          <w:tab w:val="left" w:pos="8931"/>
        </w:tabs>
        <w:spacing w:line="252" w:lineRule="auto"/>
        <w:jc w:val="center"/>
        <w:rPr>
          <w:b/>
          <w:spacing w:val="-2"/>
          <w:lang w:val="pl-PL"/>
        </w:rPr>
      </w:pPr>
      <w:r>
        <w:rPr>
          <w:b/>
          <w:spacing w:val="-2"/>
          <w:lang w:val="pl-PL"/>
        </w:rPr>
        <w:t xml:space="preserve"> in 2020-2024 of some key industries</w:t>
      </w:r>
    </w:p>
    <w:p w14:paraId="6EEEB80A" w14:textId="77777777" w:rsidR="0082493A" w:rsidRPr="00B64E1A" w:rsidRDefault="0082493A" w:rsidP="0082493A">
      <w:pPr>
        <w:shd w:val="clear" w:color="auto" w:fill="FFFFFF"/>
        <w:tabs>
          <w:tab w:val="left" w:pos="8931"/>
        </w:tabs>
        <w:spacing w:line="252" w:lineRule="auto"/>
        <w:jc w:val="center"/>
        <w:rPr>
          <w:rFonts w:ascii="Arial" w:hAnsi="Arial" w:cs="Arial"/>
          <w:b/>
          <w:spacing w:val="-2"/>
          <w:sz w:val="22"/>
          <w:szCs w:val="22"/>
          <w:lang w:val="pl-PL"/>
        </w:rPr>
      </w:pPr>
    </w:p>
    <w:p w14:paraId="57175343" w14:textId="77777777" w:rsidR="0082493A" w:rsidRPr="00B64E1A" w:rsidRDefault="0082493A" w:rsidP="0082493A">
      <w:pPr>
        <w:shd w:val="clear" w:color="auto" w:fill="FFFFFF"/>
        <w:tabs>
          <w:tab w:val="left" w:pos="8931"/>
        </w:tabs>
        <w:spacing w:before="60"/>
        <w:jc w:val="right"/>
        <w:rPr>
          <w:rFonts w:ascii="Arial" w:hAnsi="Arial" w:cs="Arial"/>
          <w:spacing w:val="-2"/>
          <w:sz w:val="20"/>
          <w:szCs w:val="20"/>
          <w:lang w:val="pl-PL"/>
        </w:rPr>
      </w:pPr>
      <w:r w:rsidRPr="00B64E1A">
        <w:rPr>
          <w:rFonts w:ascii="Arial" w:hAnsi="Arial" w:cs="Arial"/>
          <w:spacing w:val="-2"/>
          <w:sz w:val="20"/>
          <w:szCs w:val="20"/>
          <w:lang w:val="pl-PL"/>
        </w:rPr>
        <w:t>%</w:t>
      </w:r>
    </w:p>
    <w:tbl>
      <w:tblPr>
        <w:tblW w:w="8924" w:type="dxa"/>
        <w:jc w:val="center"/>
        <w:tblLook w:val="04A0" w:firstRow="1" w:lastRow="0" w:firstColumn="1" w:lastColumn="0" w:noHBand="0" w:noVBand="1"/>
      </w:tblPr>
      <w:tblGrid>
        <w:gridCol w:w="4677"/>
        <w:gridCol w:w="851"/>
        <w:gridCol w:w="850"/>
        <w:gridCol w:w="851"/>
        <w:gridCol w:w="887"/>
        <w:gridCol w:w="808"/>
      </w:tblGrid>
      <w:tr w:rsidR="0082493A" w:rsidRPr="00B64E1A" w14:paraId="7762B81B" w14:textId="77777777" w:rsidTr="00857042">
        <w:trPr>
          <w:trHeight w:val="438"/>
          <w:jc w:val="center"/>
        </w:trPr>
        <w:tc>
          <w:tcPr>
            <w:tcW w:w="4677" w:type="dxa"/>
            <w:tcBorders>
              <w:top w:val="single" w:sz="4" w:space="0" w:color="auto"/>
            </w:tcBorders>
            <w:shd w:val="clear" w:color="auto" w:fill="auto"/>
            <w:noWrap/>
            <w:vAlign w:val="bottom"/>
            <w:hideMark/>
          </w:tcPr>
          <w:p w14:paraId="34E22674" w14:textId="77777777" w:rsidR="0082493A" w:rsidRPr="00B64E1A" w:rsidRDefault="0082493A" w:rsidP="00857042">
            <w:pPr>
              <w:rPr>
                <w:rFonts w:ascii="Arial" w:hAnsi="Arial" w:cs="Arial"/>
                <w:sz w:val="20"/>
                <w:szCs w:val="20"/>
                <w:lang w:val="pl-PL"/>
              </w:rPr>
            </w:pPr>
          </w:p>
        </w:tc>
        <w:tc>
          <w:tcPr>
            <w:tcW w:w="851" w:type="dxa"/>
            <w:tcBorders>
              <w:top w:val="single" w:sz="4" w:space="0" w:color="auto"/>
              <w:bottom w:val="single" w:sz="4" w:space="0" w:color="auto"/>
            </w:tcBorders>
            <w:shd w:val="clear" w:color="auto" w:fill="auto"/>
            <w:noWrap/>
            <w:vAlign w:val="center"/>
            <w:hideMark/>
          </w:tcPr>
          <w:p w14:paraId="62EA064E" w14:textId="77777777" w:rsidR="0082493A" w:rsidRPr="00B64E1A" w:rsidRDefault="0082493A" w:rsidP="00857042">
            <w:pPr>
              <w:jc w:val="right"/>
              <w:rPr>
                <w:rFonts w:ascii="Arial" w:hAnsi="Arial" w:cs="Arial"/>
                <w:sz w:val="20"/>
                <w:szCs w:val="20"/>
                <w:lang w:val="pl-PL"/>
              </w:rPr>
            </w:pPr>
            <w:r w:rsidRPr="00B64E1A">
              <w:rPr>
                <w:rFonts w:ascii="Arial" w:hAnsi="Arial" w:cs="Arial"/>
                <w:sz w:val="20"/>
                <w:szCs w:val="20"/>
                <w:lang w:val="pl-PL"/>
              </w:rPr>
              <w:t>2020</w:t>
            </w:r>
          </w:p>
        </w:tc>
        <w:tc>
          <w:tcPr>
            <w:tcW w:w="850" w:type="dxa"/>
            <w:tcBorders>
              <w:top w:val="single" w:sz="4" w:space="0" w:color="auto"/>
              <w:bottom w:val="single" w:sz="4" w:space="0" w:color="auto"/>
            </w:tcBorders>
            <w:shd w:val="clear" w:color="auto" w:fill="auto"/>
            <w:noWrap/>
            <w:vAlign w:val="center"/>
            <w:hideMark/>
          </w:tcPr>
          <w:p w14:paraId="4700DA31" w14:textId="77777777" w:rsidR="0082493A" w:rsidRPr="00B64E1A" w:rsidRDefault="0082493A" w:rsidP="00857042">
            <w:pPr>
              <w:jc w:val="right"/>
              <w:rPr>
                <w:rFonts w:ascii="Arial" w:hAnsi="Arial" w:cs="Arial"/>
                <w:sz w:val="20"/>
                <w:szCs w:val="20"/>
                <w:lang w:val="pl-PL"/>
              </w:rPr>
            </w:pPr>
            <w:r w:rsidRPr="00B64E1A">
              <w:rPr>
                <w:rFonts w:ascii="Arial" w:hAnsi="Arial" w:cs="Arial"/>
                <w:sz w:val="20"/>
                <w:szCs w:val="20"/>
                <w:lang w:val="pl-PL"/>
              </w:rPr>
              <w:t>2021</w:t>
            </w:r>
          </w:p>
        </w:tc>
        <w:tc>
          <w:tcPr>
            <w:tcW w:w="851" w:type="dxa"/>
            <w:tcBorders>
              <w:top w:val="single" w:sz="4" w:space="0" w:color="auto"/>
              <w:bottom w:val="single" w:sz="4" w:space="0" w:color="auto"/>
            </w:tcBorders>
            <w:shd w:val="clear" w:color="auto" w:fill="auto"/>
            <w:noWrap/>
            <w:vAlign w:val="center"/>
            <w:hideMark/>
          </w:tcPr>
          <w:p w14:paraId="06BF6D4F" w14:textId="77777777" w:rsidR="0082493A" w:rsidRPr="00B64E1A" w:rsidRDefault="0082493A" w:rsidP="00857042">
            <w:pPr>
              <w:jc w:val="right"/>
              <w:rPr>
                <w:rFonts w:ascii="Arial" w:hAnsi="Arial" w:cs="Arial"/>
                <w:sz w:val="20"/>
                <w:szCs w:val="20"/>
                <w:lang w:val="pl-PL"/>
              </w:rPr>
            </w:pPr>
            <w:r w:rsidRPr="00B64E1A">
              <w:rPr>
                <w:rFonts w:ascii="Arial" w:hAnsi="Arial" w:cs="Arial"/>
                <w:sz w:val="20"/>
                <w:szCs w:val="20"/>
                <w:lang w:val="pl-PL"/>
              </w:rPr>
              <w:t>2022</w:t>
            </w:r>
          </w:p>
        </w:tc>
        <w:tc>
          <w:tcPr>
            <w:tcW w:w="887" w:type="dxa"/>
            <w:tcBorders>
              <w:top w:val="single" w:sz="4" w:space="0" w:color="auto"/>
              <w:bottom w:val="single" w:sz="4" w:space="0" w:color="auto"/>
            </w:tcBorders>
            <w:shd w:val="clear" w:color="auto" w:fill="auto"/>
            <w:noWrap/>
            <w:vAlign w:val="center"/>
            <w:hideMark/>
          </w:tcPr>
          <w:p w14:paraId="78D12B90" w14:textId="77777777" w:rsidR="0082493A" w:rsidRPr="00B64E1A" w:rsidRDefault="0082493A" w:rsidP="00857042">
            <w:pPr>
              <w:jc w:val="right"/>
              <w:rPr>
                <w:rFonts w:ascii="Arial" w:hAnsi="Arial" w:cs="Arial"/>
                <w:sz w:val="20"/>
                <w:szCs w:val="20"/>
                <w:lang w:val="pl-PL"/>
              </w:rPr>
            </w:pPr>
            <w:r w:rsidRPr="00B64E1A">
              <w:rPr>
                <w:rFonts w:ascii="Arial" w:hAnsi="Arial" w:cs="Arial"/>
                <w:sz w:val="20"/>
                <w:szCs w:val="20"/>
                <w:lang w:val="pl-PL"/>
              </w:rPr>
              <w:t>2023</w:t>
            </w:r>
          </w:p>
        </w:tc>
        <w:tc>
          <w:tcPr>
            <w:tcW w:w="808" w:type="dxa"/>
            <w:tcBorders>
              <w:top w:val="single" w:sz="4" w:space="0" w:color="auto"/>
              <w:bottom w:val="single" w:sz="4" w:space="0" w:color="auto"/>
            </w:tcBorders>
            <w:shd w:val="clear" w:color="auto" w:fill="auto"/>
            <w:noWrap/>
            <w:vAlign w:val="center"/>
            <w:hideMark/>
          </w:tcPr>
          <w:p w14:paraId="0B81388A" w14:textId="77777777" w:rsidR="0082493A" w:rsidRPr="00B64E1A" w:rsidRDefault="0082493A" w:rsidP="00857042">
            <w:pPr>
              <w:jc w:val="right"/>
              <w:rPr>
                <w:rFonts w:ascii="Arial" w:hAnsi="Arial" w:cs="Arial"/>
                <w:sz w:val="20"/>
                <w:szCs w:val="20"/>
                <w:lang w:val="pl-PL"/>
              </w:rPr>
            </w:pPr>
            <w:r w:rsidRPr="00B64E1A">
              <w:rPr>
                <w:rFonts w:ascii="Arial" w:hAnsi="Arial" w:cs="Arial"/>
                <w:sz w:val="20"/>
                <w:szCs w:val="20"/>
                <w:lang w:val="pl-PL"/>
              </w:rPr>
              <w:t>2024</w:t>
            </w:r>
          </w:p>
        </w:tc>
      </w:tr>
      <w:tr w:rsidR="0082493A" w:rsidRPr="00B64E1A" w14:paraId="19E38E8E" w14:textId="77777777" w:rsidTr="00857042">
        <w:trPr>
          <w:trHeight w:val="138"/>
          <w:jc w:val="center"/>
        </w:trPr>
        <w:tc>
          <w:tcPr>
            <w:tcW w:w="4677" w:type="dxa"/>
            <w:shd w:val="clear" w:color="auto" w:fill="auto"/>
            <w:noWrap/>
            <w:vAlign w:val="bottom"/>
            <w:hideMark/>
          </w:tcPr>
          <w:p w14:paraId="213DE9EF" w14:textId="77777777" w:rsidR="0082493A" w:rsidRPr="00B64E1A" w:rsidRDefault="0082493A" w:rsidP="00857042">
            <w:pPr>
              <w:jc w:val="right"/>
              <w:rPr>
                <w:rFonts w:ascii="Arial" w:hAnsi="Arial" w:cs="Arial"/>
                <w:color w:val="FF0000"/>
                <w:sz w:val="20"/>
                <w:szCs w:val="20"/>
                <w:lang w:val="pl-PL"/>
              </w:rPr>
            </w:pPr>
          </w:p>
        </w:tc>
        <w:tc>
          <w:tcPr>
            <w:tcW w:w="851" w:type="dxa"/>
            <w:tcBorders>
              <w:top w:val="single" w:sz="4" w:space="0" w:color="auto"/>
            </w:tcBorders>
            <w:shd w:val="clear" w:color="auto" w:fill="auto"/>
            <w:noWrap/>
            <w:vAlign w:val="bottom"/>
            <w:hideMark/>
          </w:tcPr>
          <w:p w14:paraId="5F442EB1" w14:textId="77777777" w:rsidR="0082493A" w:rsidRPr="00B64E1A" w:rsidRDefault="0082493A" w:rsidP="00857042">
            <w:pPr>
              <w:rPr>
                <w:rFonts w:ascii="Arial" w:hAnsi="Arial" w:cs="Arial"/>
                <w:color w:val="FF0000"/>
                <w:sz w:val="20"/>
                <w:szCs w:val="20"/>
                <w:lang w:val="pl-PL"/>
              </w:rPr>
            </w:pPr>
          </w:p>
        </w:tc>
        <w:tc>
          <w:tcPr>
            <w:tcW w:w="850" w:type="dxa"/>
            <w:tcBorders>
              <w:top w:val="single" w:sz="4" w:space="0" w:color="auto"/>
            </w:tcBorders>
            <w:shd w:val="clear" w:color="auto" w:fill="auto"/>
            <w:noWrap/>
            <w:vAlign w:val="bottom"/>
            <w:hideMark/>
          </w:tcPr>
          <w:p w14:paraId="55C03755" w14:textId="77777777" w:rsidR="0082493A" w:rsidRPr="00B64E1A" w:rsidRDefault="0082493A" w:rsidP="00857042">
            <w:pPr>
              <w:rPr>
                <w:rFonts w:ascii="Arial" w:hAnsi="Arial" w:cs="Arial"/>
                <w:color w:val="FF0000"/>
                <w:sz w:val="20"/>
                <w:szCs w:val="20"/>
                <w:lang w:val="pl-PL"/>
              </w:rPr>
            </w:pPr>
          </w:p>
        </w:tc>
        <w:tc>
          <w:tcPr>
            <w:tcW w:w="851" w:type="dxa"/>
            <w:tcBorders>
              <w:top w:val="single" w:sz="4" w:space="0" w:color="auto"/>
            </w:tcBorders>
            <w:shd w:val="clear" w:color="auto" w:fill="auto"/>
            <w:noWrap/>
            <w:vAlign w:val="bottom"/>
            <w:hideMark/>
          </w:tcPr>
          <w:p w14:paraId="4A179B75" w14:textId="77777777" w:rsidR="0082493A" w:rsidRPr="00B64E1A" w:rsidRDefault="0082493A" w:rsidP="00857042">
            <w:pPr>
              <w:rPr>
                <w:rFonts w:ascii="Arial" w:hAnsi="Arial" w:cs="Arial"/>
                <w:color w:val="FF0000"/>
                <w:sz w:val="20"/>
                <w:szCs w:val="20"/>
                <w:lang w:val="pl-PL"/>
              </w:rPr>
            </w:pPr>
          </w:p>
        </w:tc>
        <w:tc>
          <w:tcPr>
            <w:tcW w:w="887" w:type="dxa"/>
            <w:tcBorders>
              <w:top w:val="single" w:sz="4" w:space="0" w:color="auto"/>
            </w:tcBorders>
            <w:shd w:val="clear" w:color="auto" w:fill="auto"/>
            <w:noWrap/>
            <w:vAlign w:val="bottom"/>
            <w:hideMark/>
          </w:tcPr>
          <w:p w14:paraId="06B3C0B5" w14:textId="77777777" w:rsidR="0082493A" w:rsidRPr="00B64E1A" w:rsidRDefault="0082493A" w:rsidP="00857042">
            <w:pPr>
              <w:rPr>
                <w:rFonts w:ascii="Arial" w:hAnsi="Arial" w:cs="Arial"/>
                <w:color w:val="FF0000"/>
                <w:sz w:val="20"/>
                <w:szCs w:val="20"/>
                <w:lang w:val="pl-PL"/>
              </w:rPr>
            </w:pPr>
          </w:p>
        </w:tc>
        <w:tc>
          <w:tcPr>
            <w:tcW w:w="808" w:type="dxa"/>
            <w:tcBorders>
              <w:top w:val="single" w:sz="4" w:space="0" w:color="auto"/>
            </w:tcBorders>
            <w:shd w:val="clear" w:color="auto" w:fill="auto"/>
            <w:noWrap/>
            <w:vAlign w:val="bottom"/>
            <w:hideMark/>
          </w:tcPr>
          <w:p w14:paraId="38F49421" w14:textId="77777777" w:rsidR="0082493A" w:rsidRPr="00B64E1A" w:rsidRDefault="0082493A" w:rsidP="00857042">
            <w:pPr>
              <w:rPr>
                <w:rFonts w:ascii="Arial" w:hAnsi="Arial" w:cs="Arial"/>
                <w:color w:val="FF0000"/>
                <w:sz w:val="20"/>
                <w:szCs w:val="20"/>
                <w:lang w:val="pl-PL"/>
              </w:rPr>
            </w:pPr>
          </w:p>
        </w:tc>
      </w:tr>
      <w:tr w:rsidR="0082493A" w:rsidRPr="00B64E1A" w14:paraId="14F2EA1B" w14:textId="77777777" w:rsidTr="00857042">
        <w:trPr>
          <w:trHeight w:val="314"/>
          <w:jc w:val="center"/>
        </w:trPr>
        <w:tc>
          <w:tcPr>
            <w:tcW w:w="4677" w:type="dxa"/>
            <w:shd w:val="clear" w:color="000000" w:fill="FFFFFF"/>
            <w:noWrap/>
            <w:vAlign w:val="center"/>
            <w:hideMark/>
          </w:tcPr>
          <w:p w14:paraId="49E0ABE3" w14:textId="77777777" w:rsidR="0082493A" w:rsidRPr="000755DA" w:rsidRDefault="0082493A" w:rsidP="00857042">
            <w:pPr>
              <w:rPr>
                <w:rFonts w:ascii="Arial" w:hAnsi="Arial" w:cs="Arial"/>
                <w:color w:val="000000"/>
                <w:sz w:val="20"/>
                <w:szCs w:val="20"/>
              </w:rPr>
            </w:pPr>
            <w:r w:rsidRPr="00C271EB">
              <w:rPr>
                <w:rFonts w:ascii="Arial" w:hAnsi="Arial" w:cs="Arial"/>
                <w:color w:val="000000"/>
                <w:sz w:val="20"/>
                <w:szCs w:val="20"/>
              </w:rPr>
              <w:t>Extraction of crude petroleum and nutural gas</w:t>
            </w:r>
          </w:p>
        </w:tc>
        <w:tc>
          <w:tcPr>
            <w:tcW w:w="851" w:type="dxa"/>
            <w:shd w:val="clear" w:color="000000" w:fill="FFFFFF"/>
            <w:vAlign w:val="center"/>
            <w:hideMark/>
          </w:tcPr>
          <w:p w14:paraId="4B2EF62F"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-15.5</w:t>
            </w:r>
          </w:p>
        </w:tc>
        <w:tc>
          <w:tcPr>
            <w:tcW w:w="850" w:type="dxa"/>
            <w:shd w:val="clear" w:color="000000" w:fill="FFFFFF"/>
            <w:vAlign w:val="center"/>
            <w:hideMark/>
          </w:tcPr>
          <w:p w14:paraId="63A7574B"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2,2</w:t>
            </w:r>
          </w:p>
        </w:tc>
        <w:tc>
          <w:tcPr>
            <w:tcW w:w="851" w:type="dxa"/>
            <w:shd w:val="clear" w:color="000000" w:fill="FFFFFF"/>
            <w:vAlign w:val="center"/>
            <w:hideMark/>
          </w:tcPr>
          <w:p w14:paraId="25CCB981"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-4.9</w:t>
            </w:r>
          </w:p>
        </w:tc>
        <w:tc>
          <w:tcPr>
            <w:tcW w:w="887" w:type="dxa"/>
            <w:shd w:val="clear" w:color="000000" w:fill="FFFFFF"/>
            <w:vAlign w:val="center"/>
            <w:hideMark/>
          </w:tcPr>
          <w:p w14:paraId="39F55ADD"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-11.8</w:t>
            </w:r>
          </w:p>
        </w:tc>
        <w:tc>
          <w:tcPr>
            <w:tcW w:w="808" w:type="dxa"/>
            <w:shd w:val="clear" w:color="000000" w:fill="FFFFFF"/>
            <w:vAlign w:val="center"/>
            <w:hideMark/>
          </w:tcPr>
          <w:p w14:paraId="14AB9153"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-1,1</w:t>
            </w:r>
          </w:p>
        </w:tc>
      </w:tr>
      <w:tr w:rsidR="0082493A" w:rsidRPr="00B64E1A" w14:paraId="4A8EA378" w14:textId="77777777" w:rsidTr="00857042">
        <w:trPr>
          <w:trHeight w:val="518"/>
          <w:jc w:val="center"/>
        </w:trPr>
        <w:tc>
          <w:tcPr>
            <w:tcW w:w="4677" w:type="dxa"/>
            <w:shd w:val="clear" w:color="000000" w:fill="FFFFFF"/>
            <w:vAlign w:val="center"/>
          </w:tcPr>
          <w:p w14:paraId="460BD630" w14:textId="77777777" w:rsidR="0082493A" w:rsidRPr="000755DA" w:rsidRDefault="0082493A" w:rsidP="00857042">
            <w:pPr>
              <w:rPr>
                <w:rFonts w:ascii="Arial" w:hAnsi="Arial" w:cs="Arial"/>
                <w:color w:val="000000"/>
                <w:sz w:val="20"/>
                <w:szCs w:val="20"/>
              </w:rPr>
            </w:pPr>
            <w:r w:rsidRPr="00C271EB">
              <w:rPr>
                <w:rFonts w:ascii="Arial" w:hAnsi="Arial" w:cs="Arial"/>
                <w:color w:val="000000"/>
                <w:sz w:val="20"/>
                <w:szCs w:val="20"/>
              </w:rPr>
              <w:t>Manufacture of food products</w:t>
            </w:r>
          </w:p>
        </w:tc>
        <w:tc>
          <w:tcPr>
            <w:tcW w:w="851" w:type="dxa"/>
            <w:shd w:val="clear" w:color="000000" w:fill="FFFFFF"/>
            <w:vAlign w:val="center"/>
          </w:tcPr>
          <w:p w14:paraId="4F24DB1C"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-2,1</w:t>
            </w:r>
          </w:p>
        </w:tc>
        <w:tc>
          <w:tcPr>
            <w:tcW w:w="850" w:type="dxa"/>
            <w:shd w:val="clear" w:color="000000" w:fill="FFFFFF"/>
            <w:vAlign w:val="center"/>
          </w:tcPr>
          <w:p w14:paraId="53F69BAF"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13.7</w:t>
            </w:r>
          </w:p>
        </w:tc>
        <w:tc>
          <w:tcPr>
            <w:tcW w:w="851" w:type="dxa"/>
            <w:shd w:val="clear" w:color="000000" w:fill="FFFFFF"/>
            <w:vAlign w:val="center"/>
          </w:tcPr>
          <w:p w14:paraId="36BF7299"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7.3</w:t>
            </w:r>
          </w:p>
        </w:tc>
        <w:tc>
          <w:tcPr>
            <w:tcW w:w="887" w:type="dxa"/>
            <w:shd w:val="clear" w:color="000000" w:fill="FFFFFF"/>
            <w:vAlign w:val="center"/>
          </w:tcPr>
          <w:p w14:paraId="699C323E"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-7.5</w:t>
            </w:r>
          </w:p>
        </w:tc>
        <w:tc>
          <w:tcPr>
            <w:tcW w:w="808" w:type="dxa"/>
            <w:shd w:val="clear" w:color="000000" w:fill="FFFFFF"/>
            <w:vAlign w:val="center"/>
          </w:tcPr>
          <w:p w14:paraId="28406C7C"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17.2</w:t>
            </w:r>
          </w:p>
        </w:tc>
      </w:tr>
      <w:tr w:rsidR="0082493A" w:rsidRPr="00B64E1A" w14:paraId="3565F9AE" w14:textId="77777777" w:rsidTr="00857042">
        <w:trPr>
          <w:trHeight w:val="518"/>
          <w:jc w:val="center"/>
        </w:trPr>
        <w:tc>
          <w:tcPr>
            <w:tcW w:w="4677" w:type="dxa"/>
            <w:shd w:val="clear" w:color="000000" w:fill="FFFFFF"/>
            <w:vAlign w:val="center"/>
          </w:tcPr>
          <w:p w14:paraId="5D2204F0" w14:textId="77777777" w:rsidR="0082493A" w:rsidRPr="000755DA" w:rsidRDefault="0082493A" w:rsidP="00857042">
            <w:pPr>
              <w:rPr>
                <w:rFonts w:ascii="Arial" w:hAnsi="Arial" w:cs="Arial"/>
                <w:color w:val="000000"/>
                <w:sz w:val="20"/>
                <w:szCs w:val="20"/>
              </w:rPr>
            </w:pPr>
            <w:r w:rsidRPr="00C271EB">
              <w:rPr>
                <w:rFonts w:ascii="Arial" w:hAnsi="Arial" w:cs="Arial"/>
                <w:color w:val="000000"/>
                <w:sz w:val="20"/>
                <w:szCs w:val="20"/>
              </w:rPr>
              <w:t>Manufacture of beverages</w:t>
            </w:r>
          </w:p>
        </w:tc>
        <w:tc>
          <w:tcPr>
            <w:tcW w:w="851" w:type="dxa"/>
            <w:shd w:val="clear" w:color="000000" w:fill="FFFFFF"/>
            <w:vAlign w:val="center"/>
          </w:tcPr>
          <w:p w14:paraId="7D245CED"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-11.1</w:t>
            </w:r>
          </w:p>
        </w:tc>
        <w:tc>
          <w:tcPr>
            <w:tcW w:w="850" w:type="dxa"/>
            <w:shd w:val="clear" w:color="000000" w:fill="FFFFFF"/>
            <w:vAlign w:val="center"/>
          </w:tcPr>
          <w:p w14:paraId="770DE5F5"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19.6</w:t>
            </w:r>
          </w:p>
        </w:tc>
        <w:tc>
          <w:tcPr>
            <w:tcW w:w="851" w:type="dxa"/>
            <w:shd w:val="clear" w:color="000000" w:fill="FFFFFF"/>
            <w:vAlign w:val="center"/>
          </w:tcPr>
          <w:p w14:paraId="6B3BDD90"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-7.4</w:t>
            </w:r>
          </w:p>
        </w:tc>
        <w:tc>
          <w:tcPr>
            <w:tcW w:w="887" w:type="dxa"/>
            <w:shd w:val="clear" w:color="000000" w:fill="FFFFFF"/>
            <w:vAlign w:val="center"/>
          </w:tcPr>
          <w:p w14:paraId="72AFDD5D"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0.6</w:t>
            </w:r>
          </w:p>
        </w:tc>
        <w:tc>
          <w:tcPr>
            <w:tcW w:w="808" w:type="dxa"/>
            <w:shd w:val="clear" w:color="000000" w:fill="FFFFFF"/>
            <w:vAlign w:val="center"/>
          </w:tcPr>
          <w:p w14:paraId="5FCC22F5"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3.7</w:t>
            </w:r>
          </w:p>
        </w:tc>
      </w:tr>
      <w:tr w:rsidR="0082493A" w:rsidRPr="00B64E1A" w14:paraId="40E4D7E6" w14:textId="77777777" w:rsidTr="00857042">
        <w:trPr>
          <w:trHeight w:val="327"/>
          <w:jc w:val="center"/>
        </w:trPr>
        <w:tc>
          <w:tcPr>
            <w:tcW w:w="4677" w:type="dxa"/>
            <w:shd w:val="clear" w:color="000000" w:fill="FFFFFF"/>
            <w:vAlign w:val="center"/>
            <w:hideMark/>
          </w:tcPr>
          <w:p w14:paraId="24285889" w14:textId="77777777" w:rsidR="0082493A" w:rsidRPr="000755DA" w:rsidRDefault="0082493A" w:rsidP="00857042">
            <w:pPr>
              <w:rPr>
                <w:rFonts w:ascii="Arial" w:hAnsi="Arial" w:cs="Arial"/>
                <w:color w:val="000000"/>
                <w:sz w:val="20"/>
                <w:szCs w:val="20"/>
              </w:rPr>
            </w:pPr>
            <w:r w:rsidRPr="00C271EB">
              <w:rPr>
                <w:rFonts w:ascii="Arial" w:hAnsi="Arial" w:cs="Arial"/>
                <w:color w:val="000000"/>
                <w:sz w:val="20"/>
                <w:szCs w:val="20"/>
              </w:rPr>
              <w:t>Manufacture of textiles</w:t>
            </w:r>
          </w:p>
        </w:tc>
        <w:tc>
          <w:tcPr>
            <w:tcW w:w="851" w:type="dxa"/>
            <w:shd w:val="clear" w:color="000000" w:fill="FFFFFF"/>
            <w:vAlign w:val="center"/>
            <w:hideMark/>
          </w:tcPr>
          <w:p w14:paraId="3AD94ED2"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-8.6</w:t>
            </w:r>
          </w:p>
        </w:tc>
        <w:tc>
          <w:tcPr>
            <w:tcW w:w="850" w:type="dxa"/>
            <w:shd w:val="clear" w:color="000000" w:fill="FFFFFF"/>
            <w:vAlign w:val="center"/>
            <w:hideMark/>
          </w:tcPr>
          <w:p w14:paraId="3DB199F8"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19.1</w:t>
            </w:r>
          </w:p>
        </w:tc>
        <w:tc>
          <w:tcPr>
            <w:tcW w:w="851" w:type="dxa"/>
            <w:shd w:val="clear" w:color="000000" w:fill="FFFFFF"/>
            <w:vAlign w:val="center"/>
            <w:hideMark/>
          </w:tcPr>
          <w:p w14:paraId="616C841A"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2,4</w:t>
            </w:r>
          </w:p>
        </w:tc>
        <w:tc>
          <w:tcPr>
            <w:tcW w:w="887" w:type="dxa"/>
            <w:shd w:val="clear" w:color="000000" w:fill="FFFFFF"/>
            <w:vAlign w:val="center"/>
            <w:hideMark/>
          </w:tcPr>
          <w:p w14:paraId="1B14BE74"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-25.7</w:t>
            </w:r>
          </w:p>
        </w:tc>
        <w:tc>
          <w:tcPr>
            <w:tcW w:w="808" w:type="dxa"/>
            <w:shd w:val="clear" w:color="000000" w:fill="FFFFFF"/>
            <w:vAlign w:val="center"/>
            <w:hideMark/>
          </w:tcPr>
          <w:p w14:paraId="05DB15ED"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46.2</w:t>
            </w:r>
          </w:p>
        </w:tc>
      </w:tr>
      <w:tr w:rsidR="0082493A" w:rsidRPr="00B64E1A" w14:paraId="7C7E3A27" w14:textId="77777777" w:rsidTr="00857042">
        <w:trPr>
          <w:trHeight w:val="314"/>
          <w:jc w:val="center"/>
        </w:trPr>
        <w:tc>
          <w:tcPr>
            <w:tcW w:w="4677" w:type="dxa"/>
            <w:shd w:val="clear" w:color="000000" w:fill="FFFFFF"/>
            <w:noWrap/>
            <w:vAlign w:val="center"/>
            <w:hideMark/>
          </w:tcPr>
          <w:p w14:paraId="263B723D" w14:textId="77777777" w:rsidR="0082493A" w:rsidRPr="000755DA" w:rsidRDefault="0082493A" w:rsidP="00857042">
            <w:pPr>
              <w:rPr>
                <w:rFonts w:ascii="Arial" w:hAnsi="Arial" w:cs="Arial"/>
                <w:color w:val="000000"/>
                <w:sz w:val="20"/>
                <w:szCs w:val="20"/>
              </w:rPr>
            </w:pPr>
            <w:r w:rsidRPr="00C271EB">
              <w:rPr>
                <w:rFonts w:ascii="Arial" w:hAnsi="Arial" w:cs="Arial"/>
                <w:color w:val="000000"/>
                <w:sz w:val="20"/>
                <w:szCs w:val="20"/>
              </w:rPr>
              <w:t>Manufacture of wearing apparel</w:t>
            </w:r>
          </w:p>
        </w:tc>
        <w:tc>
          <w:tcPr>
            <w:tcW w:w="851" w:type="dxa"/>
            <w:shd w:val="clear" w:color="000000" w:fill="FFFFFF"/>
            <w:vAlign w:val="center"/>
            <w:hideMark/>
          </w:tcPr>
          <w:p w14:paraId="519A6646"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-14.5</w:t>
            </w:r>
          </w:p>
        </w:tc>
        <w:tc>
          <w:tcPr>
            <w:tcW w:w="850" w:type="dxa"/>
            <w:shd w:val="clear" w:color="000000" w:fill="FFFFFF"/>
            <w:vAlign w:val="center"/>
            <w:hideMark/>
          </w:tcPr>
          <w:p w14:paraId="2B527CA6"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15.8</w:t>
            </w:r>
          </w:p>
        </w:tc>
        <w:tc>
          <w:tcPr>
            <w:tcW w:w="851" w:type="dxa"/>
            <w:shd w:val="clear" w:color="000000" w:fill="FFFFFF"/>
            <w:vAlign w:val="center"/>
            <w:hideMark/>
          </w:tcPr>
          <w:p w14:paraId="1684B164"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16.3</w:t>
            </w:r>
          </w:p>
        </w:tc>
        <w:tc>
          <w:tcPr>
            <w:tcW w:w="887" w:type="dxa"/>
            <w:shd w:val="clear" w:color="000000" w:fill="FFFFFF"/>
            <w:vAlign w:val="center"/>
            <w:hideMark/>
          </w:tcPr>
          <w:p w14:paraId="7B960EEF"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-26.1</w:t>
            </w:r>
          </w:p>
        </w:tc>
        <w:tc>
          <w:tcPr>
            <w:tcW w:w="808" w:type="dxa"/>
            <w:shd w:val="clear" w:color="000000" w:fill="FFFFFF"/>
            <w:vAlign w:val="center"/>
            <w:hideMark/>
          </w:tcPr>
          <w:p w14:paraId="46C7DD36"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20.9</w:t>
            </w:r>
          </w:p>
        </w:tc>
      </w:tr>
      <w:tr w:rsidR="0082493A" w:rsidRPr="00B64E1A" w14:paraId="5541F06B" w14:textId="77777777" w:rsidTr="00857042">
        <w:trPr>
          <w:trHeight w:val="314"/>
          <w:jc w:val="center"/>
        </w:trPr>
        <w:tc>
          <w:tcPr>
            <w:tcW w:w="4677" w:type="dxa"/>
            <w:shd w:val="clear" w:color="000000" w:fill="FFFFFF"/>
            <w:noWrap/>
            <w:vAlign w:val="center"/>
            <w:hideMark/>
          </w:tcPr>
          <w:p w14:paraId="1189ECB2" w14:textId="77777777" w:rsidR="0082493A" w:rsidRPr="000755DA" w:rsidRDefault="0082493A" w:rsidP="00857042">
            <w:pPr>
              <w:rPr>
                <w:rFonts w:ascii="Arial" w:hAnsi="Arial" w:cs="Arial"/>
                <w:color w:val="000000"/>
                <w:sz w:val="20"/>
                <w:szCs w:val="20"/>
              </w:rPr>
            </w:pPr>
            <w:r w:rsidRPr="00C271EB">
              <w:rPr>
                <w:rFonts w:ascii="Arial" w:hAnsi="Arial" w:cs="Arial"/>
                <w:color w:val="000000"/>
                <w:sz w:val="20"/>
                <w:szCs w:val="20"/>
              </w:rPr>
              <w:t>Manufacture of leather and related products</w:t>
            </w:r>
          </w:p>
        </w:tc>
        <w:tc>
          <w:tcPr>
            <w:tcW w:w="851" w:type="dxa"/>
            <w:shd w:val="clear" w:color="000000" w:fill="FFFFFF"/>
            <w:vAlign w:val="center"/>
            <w:hideMark/>
          </w:tcPr>
          <w:p w14:paraId="734A2C52"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-9.9</w:t>
            </w:r>
          </w:p>
        </w:tc>
        <w:tc>
          <w:tcPr>
            <w:tcW w:w="850" w:type="dxa"/>
            <w:shd w:val="clear" w:color="000000" w:fill="FFFFFF"/>
            <w:vAlign w:val="center"/>
            <w:hideMark/>
          </w:tcPr>
          <w:p w14:paraId="7F9346D0"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24.1</w:t>
            </w:r>
          </w:p>
        </w:tc>
        <w:tc>
          <w:tcPr>
            <w:tcW w:w="851" w:type="dxa"/>
            <w:shd w:val="clear" w:color="000000" w:fill="FFFFFF"/>
            <w:vAlign w:val="center"/>
            <w:hideMark/>
          </w:tcPr>
          <w:p w14:paraId="501091AC"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3,4</w:t>
            </w:r>
          </w:p>
        </w:tc>
        <w:tc>
          <w:tcPr>
            <w:tcW w:w="887" w:type="dxa"/>
            <w:shd w:val="clear" w:color="000000" w:fill="FFFFFF"/>
            <w:vAlign w:val="center"/>
            <w:hideMark/>
          </w:tcPr>
          <w:p w14:paraId="26B153EB"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-19.3</w:t>
            </w:r>
          </w:p>
        </w:tc>
        <w:tc>
          <w:tcPr>
            <w:tcW w:w="808" w:type="dxa"/>
            <w:shd w:val="clear" w:color="000000" w:fill="FFFFFF"/>
            <w:vAlign w:val="center"/>
            <w:hideMark/>
          </w:tcPr>
          <w:p w14:paraId="7BED2F71"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34.7</w:t>
            </w:r>
          </w:p>
        </w:tc>
      </w:tr>
      <w:tr w:rsidR="0082493A" w:rsidRPr="00B64E1A" w14:paraId="765AB865" w14:textId="77777777" w:rsidTr="00857042">
        <w:trPr>
          <w:trHeight w:val="314"/>
          <w:jc w:val="center"/>
        </w:trPr>
        <w:tc>
          <w:tcPr>
            <w:tcW w:w="4677" w:type="dxa"/>
            <w:shd w:val="clear" w:color="000000" w:fill="FFFFFF"/>
            <w:noWrap/>
            <w:vAlign w:val="center"/>
            <w:hideMark/>
          </w:tcPr>
          <w:p w14:paraId="5DB12823" w14:textId="77777777" w:rsidR="0082493A" w:rsidRPr="000755DA" w:rsidRDefault="0082493A" w:rsidP="00857042">
            <w:pPr>
              <w:rPr>
                <w:rFonts w:ascii="Arial" w:hAnsi="Arial" w:cs="Arial"/>
                <w:color w:val="000000"/>
                <w:sz w:val="20"/>
                <w:szCs w:val="20"/>
              </w:rPr>
            </w:pPr>
            <w:r w:rsidRPr="00634F65">
              <w:rPr>
                <w:rFonts w:ascii="Arial" w:hAnsi="Arial" w:cs="Arial"/>
                <w:color w:val="000000"/>
                <w:sz w:val="20"/>
                <w:szCs w:val="20"/>
              </w:rPr>
              <w:t>Manufacture of paper and paper products</w:t>
            </w:r>
          </w:p>
        </w:tc>
        <w:tc>
          <w:tcPr>
            <w:tcW w:w="851" w:type="dxa"/>
            <w:shd w:val="clear" w:color="000000" w:fill="FFFFFF"/>
            <w:vAlign w:val="center"/>
            <w:hideMark/>
          </w:tcPr>
          <w:p w14:paraId="705DBCCD"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-7.2</w:t>
            </w:r>
          </w:p>
        </w:tc>
        <w:tc>
          <w:tcPr>
            <w:tcW w:w="850" w:type="dxa"/>
            <w:shd w:val="clear" w:color="000000" w:fill="FFFFFF"/>
            <w:vAlign w:val="center"/>
            <w:hideMark/>
          </w:tcPr>
          <w:p w14:paraId="5720E880"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26.2</w:t>
            </w:r>
          </w:p>
        </w:tc>
        <w:tc>
          <w:tcPr>
            <w:tcW w:w="851" w:type="dxa"/>
            <w:shd w:val="clear" w:color="000000" w:fill="FFFFFF"/>
            <w:vAlign w:val="center"/>
            <w:hideMark/>
          </w:tcPr>
          <w:p w14:paraId="24846339"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2.5</w:t>
            </w:r>
          </w:p>
        </w:tc>
        <w:tc>
          <w:tcPr>
            <w:tcW w:w="887" w:type="dxa"/>
            <w:shd w:val="clear" w:color="000000" w:fill="FFFFFF"/>
            <w:vAlign w:val="center"/>
            <w:hideMark/>
          </w:tcPr>
          <w:p w14:paraId="05DF4AB1"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-29.0</w:t>
            </w:r>
          </w:p>
        </w:tc>
        <w:tc>
          <w:tcPr>
            <w:tcW w:w="808" w:type="dxa"/>
            <w:shd w:val="clear" w:color="000000" w:fill="FFFFFF"/>
            <w:vAlign w:val="center"/>
            <w:hideMark/>
          </w:tcPr>
          <w:p w14:paraId="624118A1"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38.7</w:t>
            </w:r>
          </w:p>
        </w:tc>
      </w:tr>
      <w:tr w:rsidR="0082493A" w:rsidRPr="00B64E1A" w14:paraId="210B1DDE" w14:textId="77777777" w:rsidTr="00857042">
        <w:trPr>
          <w:trHeight w:val="314"/>
          <w:jc w:val="center"/>
        </w:trPr>
        <w:tc>
          <w:tcPr>
            <w:tcW w:w="4677" w:type="dxa"/>
            <w:shd w:val="clear" w:color="000000" w:fill="FFFFFF"/>
            <w:noWrap/>
            <w:vAlign w:val="center"/>
            <w:hideMark/>
          </w:tcPr>
          <w:p w14:paraId="1160E7B7" w14:textId="77777777" w:rsidR="0082493A" w:rsidRPr="000755DA" w:rsidRDefault="0082493A" w:rsidP="00857042">
            <w:pPr>
              <w:rPr>
                <w:rFonts w:ascii="Arial" w:hAnsi="Arial" w:cs="Arial"/>
                <w:color w:val="000000"/>
                <w:sz w:val="20"/>
                <w:szCs w:val="20"/>
              </w:rPr>
            </w:pPr>
            <w:r w:rsidRPr="000755DA">
              <w:rPr>
                <w:rFonts w:ascii="Arial" w:hAnsi="Arial" w:cs="Arial"/>
                <w:color w:val="000000"/>
                <w:sz w:val="20"/>
                <w:szCs w:val="20"/>
              </w:rPr>
              <w:t>Production of chemicals and chemical products</w:t>
            </w:r>
          </w:p>
        </w:tc>
        <w:tc>
          <w:tcPr>
            <w:tcW w:w="851" w:type="dxa"/>
            <w:shd w:val="clear" w:color="000000" w:fill="FFFFFF"/>
            <w:vAlign w:val="center"/>
            <w:hideMark/>
          </w:tcPr>
          <w:p w14:paraId="4DA6160C"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-11.8</w:t>
            </w:r>
          </w:p>
        </w:tc>
        <w:tc>
          <w:tcPr>
            <w:tcW w:w="850" w:type="dxa"/>
            <w:shd w:val="clear" w:color="000000" w:fill="FFFFFF"/>
            <w:vAlign w:val="center"/>
            <w:hideMark/>
          </w:tcPr>
          <w:p w14:paraId="77A89788"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23.9</w:t>
            </w:r>
          </w:p>
        </w:tc>
        <w:tc>
          <w:tcPr>
            <w:tcW w:w="851" w:type="dxa"/>
            <w:shd w:val="clear" w:color="000000" w:fill="FFFFFF"/>
            <w:vAlign w:val="center"/>
            <w:hideMark/>
          </w:tcPr>
          <w:p w14:paraId="19CA400F"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2.5</w:t>
            </w:r>
          </w:p>
        </w:tc>
        <w:tc>
          <w:tcPr>
            <w:tcW w:w="887" w:type="dxa"/>
            <w:shd w:val="clear" w:color="000000" w:fill="FFFFFF"/>
            <w:vAlign w:val="center"/>
            <w:hideMark/>
          </w:tcPr>
          <w:p w14:paraId="7F083877"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-16.8</w:t>
            </w:r>
          </w:p>
        </w:tc>
        <w:tc>
          <w:tcPr>
            <w:tcW w:w="808" w:type="dxa"/>
            <w:shd w:val="clear" w:color="000000" w:fill="FFFFFF"/>
            <w:vAlign w:val="center"/>
            <w:hideMark/>
          </w:tcPr>
          <w:p w14:paraId="796B3632"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38.7</w:t>
            </w:r>
          </w:p>
        </w:tc>
      </w:tr>
      <w:tr w:rsidR="0082493A" w:rsidRPr="00B64E1A" w14:paraId="12E8C5E3" w14:textId="77777777" w:rsidTr="00857042">
        <w:trPr>
          <w:trHeight w:val="314"/>
          <w:jc w:val="center"/>
        </w:trPr>
        <w:tc>
          <w:tcPr>
            <w:tcW w:w="4677" w:type="dxa"/>
            <w:shd w:val="clear" w:color="000000" w:fill="FFFFFF"/>
            <w:noWrap/>
            <w:vAlign w:val="center"/>
            <w:hideMark/>
          </w:tcPr>
          <w:p w14:paraId="4285914F" w14:textId="77777777" w:rsidR="0082493A" w:rsidRPr="000755DA" w:rsidRDefault="0082493A" w:rsidP="00857042">
            <w:pPr>
              <w:rPr>
                <w:rFonts w:ascii="Arial" w:hAnsi="Arial" w:cs="Arial"/>
                <w:color w:val="000000"/>
                <w:sz w:val="20"/>
                <w:szCs w:val="20"/>
              </w:rPr>
            </w:pPr>
            <w:r w:rsidRPr="00634F65">
              <w:rPr>
                <w:rFonts w:ascii="Arial" w:hAnsi="Arial" w:cs="Arial"/>
                <w:color w:val="000000"/>
                <w:sz w:val="20"/>
                <w:szCs w:val="20"/>
              </w:rPr>
              <w:t>Manufacture of other non-metallic mineral products</w:t>
            </w:r>
          </w:p>
        </w:tc>
        <w:tc>
          <w:tcPr>
            <w:tcW w:w="851" w:type="dxa"/>
            <w:shd w:val="clear" w:color="000000" w:fill="FFFFFF"/>
            <w:vAlign w:val="center"/>
            <w:hideMark/>
          </w:tcPr>
          <w:p w14:paraId="19245E5D"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-12.8</w:t>
            </w:r>
          </w:p>
        </w:tc>
        <w:tc>
          <w:tcPr>
            <w:tcW w:w="850" w:type="dxa"/>
            <w:shd w:val="clear" w:color="000000" w:fill="FFFFFF"/>
            <w:vAlign w:val="center"/>
            <w:hideMark/>
          </w:tcPr>
          <w:p w14:paraId="2344E762"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28.7</w:t>
            </w:r>
          </w:p>
        </w:tc>
        <w:tc>
          <w:tcPr>
            <w:tcW w:w="851" w:type="dxa"/>
            <w:shd w:val="clear" w:color="000000" w:fill="FFFFFF"/>
            <w:vAlign w:val="center"/>
            <w:hideMark/>
          </w:tcPr>
          <w:p w14:paraId="256D6D06"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2,3</w:t>
            </w:r>
          </w:p>
        </w:tc>
        <w:tc>
          <w:tcPr>
            <w:tcW w:w="887" w:type="dxa"/>
            <w:shd w:val="clear" w:color="000000" w:fill="FFFFFF"/>
            <w:vAlign w:val="center"/>
            <w:hideMark/>
          </w:tcPr>
          <w:p w14:paraId="71FC5186"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-19.4</w:t>
            </w:r>
          </w:p>
        </w:tc>
        <w:tc>
          <w:tcPr>
            <w:tcW w:w="808" w:type="dxa"/>
            <w:shd w:val="clear" w:color="000000" w:fill="FFFFFF"/>
            <w:vAlign w:val="center"/>
            <w:hideMark/>
          </w:tcPr>
          <w:p w14:paraId="77D0736B"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20.9</w:t>
            </w:r>
          </w:p>
        </w:tc>
      </w:tr>
      <w:tr w:rsidR="0082493A" w:rsidRPr="00B64E1A" w14:paraId="6E7FFE93" w14:textId="77777777" w:rsidTr="00857042">
        <w:trPr>
          <w:trHeight w:val="314"/>
          <w:jc w:val="center"/>
        </w:trPr>
        <w:tc>
          <w:tcPr>
            <w:tcW w:w="4677" w:type="dxa"/>
            <w:shd w:val="clear" w:color="000000" w:fill="FFFFFF"/>
            <w:noWrap/>
            <w:vAlign w:val="center"/>
            <w:hideMark/>
          </w:tcPr>
          <w:p w14:paraId="06FC4C3E" w14:textId="77777777" w:rsidR="0082493A" w:rsidRPr="000755DA" w:rsidRDefault="0082493A" w:rsidP="00857042">
            <w:pPr>
              <w:rPr>
                <w:rFonts w:ascii="Arial" w:hAnsi="Arial" w:cs="Arial"/>
                <w:color w:val="000000"/>
                <w:sz w:val="20"/>
                <w:szCs w:val="20"/>
              </w:rPr>
            </w:pPr>
            <w:r w:rsidRPr="00634F65">
              <w:rPr>
                <w:rFonts w:ascii="Arial" w:hAnsi="Arial" w:cs="Arial"/>
                <w:color w:val="000000"/>
                <w:sz w:val="20"/>
                <w:szCs w:val="20"/>
              </w:rPr>
              <w:t>Manufacture of basic metals</w:t>
            </w:r>
          </w:p>
        </w:tc>
        <w:tc>
          <w:tcPr>
            <w:tcW w:w="851" w:type="dxa"/>
            <w:shd w:val="clear" w:color="000000" w:fill="FFFFFF"/>
            <w:vAlign w:val="center"/>
            <w:hideMark/>
          </w:tcPr>
          <w:p w14:paraId="18059189"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-6,8</w:t>
            </w:r>
          </w:p>
        </w:tc>
        <w:tc>
          <w:tcPr>
            <w:tcW w:w="850" w:type="dxa"/>
            <w:shd w:val="clear" w:color="000000" w:fill="FFFFFF"/>
            <w:vAlign w:val="center"/>
            <w:hideMark/>
          </w:tcPr>
          <w:p w14:paraId="28ACF24A"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54.1</w:t>
            </w:r>
          </w:p>
        </w:tc>
        <w:tc>
          <w:tcPr>
            <w:tcW w:w="851" w:type="dxa"/>
            <w:shd w:val="clear" w:color="000000" w:fill="FFFFFF"/>
            <w:vAlign w:val="center"/>
            <w:hideMark/>
          </w:tcPr>
          <w:p w14:paraId="0DD7B93B"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-0.3</w:t>
            </w:r>
          </w:p>
        </w:tc>
        <w:tc>
          <w:tcPr>
            <w:tcW w:w="887" w:type="dxa"/>
            <w:shd w:val="clear" w:color="000000" w:fill="FFFFFF"/>
            <w:vAlign w:val="center"/>
            <w:hideMark/>
          </w:tcPr>
          <w:p w14:paraId="27E9D6B0"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-19.7</w:t>
            </w:r>
          </w:p>
        </w:tc>
        <w:tc>
          <w:tcPr>
            <w:tcW w:w="808" w:type="dxa"/>
            <w:shd w:val="clear" w:color="000000" w:fill="FFFFFF"/>
            <w:vAlign w:val="center"/>
            <w:hideMark/>
          </w:tcPr>
          <w:p w14:paraId="50DDF800"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39.4</w:t>
            </w:r>
          </w:p>
        </w:tc>
      </w:tr>
      <w:tr w:rsidR="0082493A" w:rsidRPr="00B64E1A" w14:paraId="1F91D261" w14:textId="77777777" w:rsidTr="00857042">
        <w:trPr>
          <w:trHeight w:val="314"/>
          <w:jc w:val="center"/>
        </w:trPr>
        <w:tc>
          <w:tcPr>
            <w:tcW w:w="4677" w:type="dxa"/>
            <w:shd w:val="clear" w:color="000000" w:fill="FFFFFF"/>
            <w:noWrap/>
            <w:vAlign w:val="center"/>
          </w:tcPr>
          <w:p w14:paraId="3F5640CB" w14:textId="77777777" w:rsidR="0082493A" w:rsidRPr="000755DA" w:rsidRDefault="0082493A" w:rsidP="00857042">
            <w:pPr>
              <w:rPr>
                <w:rFonts w:ascii="Arial" w:hAnsi="Arial" w:cs="Arial"/>
                <w:color w:val="000000"/>
                <w:sz w:val="20"/>
                <w:szCs w:val="20"/>
              </w:rPr>
            </w:pPr>
            <w:r w:rsidRPr="00634F65">
              <w:rPr>
                <w:rFonts w:ascii="Arial" w:hAnsi="Arial" w:cs="Arial"/>
                <w:color w:val="000000"/>
                <w:sz w:val="20"/>
                <w:szCs w:val="20"/>
              </w:rPr>
              <w:t>Manufacture of fabricated metal products, except machinery and equipment</w:t>
            </w:r>
          </w:p>
        </w:tc>
        <w:tc>
          <w:tcPr>
            <w:tcW w:w="851" w:type="dxa"/>
            <w:shd w:val="clear" w:color="000000" w:fill="FFFFFF"/>
            <w:vAlign w:val="center"/>
          </w:tcPr>
          <w:p w14:paraId="6B007B18"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-4,2</w:t>
            </w:r>
          </w:p>
        </w:tc>
        <w:tc>
          <w:tcPr>
            <w:tcW w:w="850" w:type="dxa"/>
            <w:shd w:val="clear" w:color="000000" w:fill="FFFFFF"/>
            <w:vAlign w:val="center"/>
          </w:tcPr>
          <w:p w14:paraId="0C7F2F46"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24.5</w:t>
            </w:r>
          </w:p>
        </w:tc>
        <w:tc>
          <w:tcPr>
            <w:tcW w:w="851" w:type="dxa"/>
            <w:shd w:val="clear" w:color="000000" w:fill="FFFFFF"/>
            <w:vAlign w:val="center"/>
          </w:tcPr>
          <w:p w14:paraId="0645451C"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4.1</w:t>
            </w:r>
          </w:p>
        </w:tc>
        <w:tc>
          <w:tcPr>
            <w:tcW w:w="887" w:type="dxa"/>
            <w:shd w:val="clear" w:color="000000" w:fill="FFFFFF"/>
            <w:vAlign w:val="center"/>
          </w:tcPr>
          <w:p w14:paraId="2A78EAE3"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3.5</w:t>
            </w:r>
          </w:p>
        </w:tc>
        <w:tc>
          <w:tcPr>
            <w:tcW w:w="808" w:type="dxa"/>
            <w:shd w:val="clear" w:color="000000" w:fill="FFFFFF"/>
            <w:vAlign w:val="center"/>
          </w:tcPr>
          <w:p w14:paraId="7BD7C447"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7.8</w:t>
            </w:r>
          </w:p>
        </w:tc>
      </w:tr>
      <w:tr w:rsidR="0082493A" w:rsidRPr="00B64E1A" w14:paraId="4B76ED17" w14:textId="77777777" w:rsidTr="00857042">
        <w:trPr>
          <w:trHeight w:val="314"/>
          <w:jc w:val="center"/>
        </w:trPr>
        <w:tc>
          <w:tcPr>
            <w:tcW w:w="4677" w:type="dxa"/>
            <w:shd w:val="clear" w:color="000000" w:fill="FFFFFF"/>
            <w:noWrap/>
            <w:vAlign w:val="center"/>
          </w:tcPr>
          <w:p w14:paraId="38408D02" w14:textId="77777777" w:rsidR="0082493A" w:rsidRPr="000755DA" w:rsidRDefault="0082493A" w:rsidP="00857042">
            <w:pPr>
              <w:rPr>
                <w:rFonts w:ascii="Arial" w:hAnsi="Arial" w:cs="Arial"/>
                <w:color w:val="000000"/>
                <w:sz w:val="20"/>
                <w:szCs w:val="20"/>
              </w:rPr>
            </w:pPr>
            <w:r w:rsidRPr="00634F65">
              <w:rPr>
                <w:rFonts w:ascii="Arial" w:hAnsi="Arial" w:cs="Arial"/>
                <w:color w:val="000000"/>
                <w:sz w:val="20"/>
                <w:szCs w:val="20"/>
              </w:rPr>
              <w:t>Manufacture of computer, electronic and optical products</w:t>
            </w:r>
          </w:p>
        </w:tc>
        <w:tc>
          <w:tcPr>
            <w:tcW w:w="851" w:type="dxa"/>
            <w:shd w:val="clear" w:color="000000" w:fill="FFFFFF"/>
            <w:vAlign w:val="center"/>
          </w:tcPr>
          <w:p w14:paraId="1F6E614B"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-5,4</w:t>
            </w:r>
          </w:p>
        </w:tc>
        <w:tc>
          <w:tcPr>
            <w:tcW w:w="850" w:type="dxa"/>
            <w:shd w:val="clear" w:color="000000" w:fill="FFFFFF"/>
            <w:vAlign w:val="center"/>
          </w:tcPr>
          <w:p w14:paraId="68972C5F"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39.7</w:t>
            </w:r>
          </w:p>
        </w:tc>
        <w:tc>
          <w:tcPr>
            <w:tcW w:w="851" w:type="dxa"/>
            <w:shd w:val="clear" w:color="000000" w:fill="FFFFFF"/>
            <w:vAlign w:val="center"/>
          </w:tcPr>
          <w:p w14:paraId="0A8E2636"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1.4</w:t>
            </w:r>
          </w:p>
        </w:tc>
        <w:tc>
          <w:tcPr>
            <w:tcW w:w="887" w:type="dxa"/>
            <w:shd w:val="clear" w:color="000000" w:fill="FFFFFF"/>
            <w:vAlign w:val="center"/>
          </w:tcPr>
          <w:p w14:paraId="0A5C9619"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-1,1</w:t>
            </w:r>
          </w:p>
        </w:tc>
        <w:tc>
          <w:tcPr>
            <w:tcW w:w="808" w:type="dxa"/>
            <w:shd w:val="clear" w:color="000000" w:fill="FFFFFF"/>
            <w:vAlign w:val="center"/>
          </w:tcPr>
          <w:p w14:paraId="1CF70491"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5,6</w:t>
            </w:r>
          </w:p>
        </w:tc>
      </w:tr>
      <w:tr w:rsidR="0082493A" w:rsidRPr="00B64E1A" w14:paraId="5BEB6274" w14:textId="77777777" w:rsidTr="00857042">
        <w:trPr>
          <w:trHeight w:val="314"/>
          <w:jc w:val="center"/>
        </w:trPr>
        <w:tc>
          <w:tcPr>
            <w:tcW w:w="4677" w:type="dxa"/>
            <w:shd w:val="clear" w:color="auto" w:fill="auto"/>
            <w:noWrap/>
            <w:vAlign w:val="center"/>
          </w:tcPr>
          <w:p w14:paraId="2C7270F6" w14:textId="77777777" w:rsidR="0082493A" w:rsidRPr="000755DA" w:rsidRDefault="0082493A" w:rsidP="00857042">
            <w:pPr>
              <w:rPr>
                <w:rFonts w:ascii="Arial" w:hAnsi="Arial" w:cs="Arial"/>
                <w:color w:val="000000"/>
                <w:sz w:val="20"/>
                <w:szCs w:val="20"/>
              </w:rPr>
            </w:pPr>
            <w:r w:rsidRPr="000755DA">
              <w:rPr>
                <w:rFonts w:ascii="Arial" w:hAnsi="Arial" w:cs="Arial"/>
                <w:color w:val="000000"/>
                <w:sz w:val="20"/>
                <w:szCs w:val="20"/>
              </w:rPr>
              <w:t>Manufacture of electrical equipment</w:t>
            </w:r>
          </w:p>
        </w:tc>
        <w:tc>
          <w:tcPr>
            <w:tcW w:w="851" w:type="dxa"/>
            <w:shd w:val="clear" w:color="000000" w:fill="FFFFFF"/>
            <w:vAlign w:val="center"/>
          </w:tcPr>
          <w:p w14:paraId="3D644C88"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-19.4</w:t>
            </w:r>
          </w:p>
        </w:tc>
        <w:tc>
          <w:tcPr>
            <w:tcW w:w="850" w:type="dxa"/>
            <w:shd w:val="clear" w:color="000000" w:fill="FFFFFF"/>
            <w:vAlign w:val="center"/>
          </w:tcPr>
          <w:p w14:paraId="4BD8DBF7"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41.2</w:t>
            </w:r>
          </w:p>
        </w:tc>
        <w:tc>
          <w:tcPr>
            <w:tcW w:w="851" w:type="dxa"/>
            <w:shd w:val="clear" w:color="000000" w:fill="FFFFFF"/>
            <w:vAlign w:val="center"/>
          </w:tcPr>
          <w:p w14:paraId="597B7569"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9.7</w:t>
            </w:r>
          </w:p>
        </w:tc>
        <w:tc>
          <w:tcPr>
            <w:tcW w:w="887" w:type="dxa"/>
            <w:shd w:val="clear" w:color="000000" w:fill="FFFFFF"/>
            <w:vAlign w:val="center"/>
          </w:tcPr>
          <w:p w14:paraId="70541F73"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-26.7</w:t>
            </w:r>
          </w:p>
        </w:tc>
        <w:tc>
          <w:tcPr>
            <w:tcW w:w="808" w:type="dxa"/>
            <w:shd w:val="clear" w:color="000000" w:fill="FFFFFF"/>
            <w:vAlign w:val="center"/>
          </w:tcPr>
          <w:p w14:paraId="6647649A"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43.3</w:t>
            </w:r>
          </w:p>
        </w:tc>
      </w:tr>
      <w:tr w:rsidR="0082493A" w:rsidRPr="00B64E1A" w14:paraId="2ECDF02C" w14:textId="77777777" w:rsidTr="00857042">
        <w:trPr>
          <w:trHeight w:val="427"/>
          <w:jc w:val="center"/>
        </w:trPr>
        <w:tc>
          <w:tcPr>
            <w:tcW w:w="4677" w:type="dxa"/>
            <w:shd w:val="clear" w:color="000000" w:fill="FFFFFF"/>
            <w:vAlign w:val="center"/>
          </w:tcPr>
          <w:p w14:paraId="702CD54D" w14:textId="77777777" w:rsidR="0082493A" w:rsidRPr="000755DA" w:rsidRDefault="0082493A" w:rsidP="00857042">
            <w:pPr>
              <w:rPr>
                <w:rFonts w:ascii="Arial" w:hAnsi="Arial" w:cs="Arial"/>
                <w:color w:val="000000"/>
                <w:sz w:val="20"/>
                <w:szCs w:val="20"/>
              </w:rPr>
            </w:pPr>
            <w:r w:rsidRPr="00634F65">
              <w:rPr>
                <w:rFonts w:ascii="Arial" w:hAnsi="Arial" w:cs="Arial"/>
                <w:color w:val="000000"/>
                <w:sz w:val="20"/>
                <w:szCs w:val="20"/>
              </w:rPr>
              <w:t>nufacture of other transport equipment</w:t>
            </w:r>
          </w:p>
        </w:tc>
        <w:tc>
          <w:tcPr>
            <w:tcW w:w="851" w:type="dxa"/>
            <w:shd w:val="clear" w:color="000000" w:fill="FFFFFF"/>
            <w:vAlign w:val="center"/>
          </w:tcPr>
          <w:p w14:paraId="02FFF106" w14:textId="77777777" w:rsidR="0082493A" w:rsidRPr="000755DA" w:rsidRDefault="0082493A" w:rsidP="00857042">
            <w:pPr>
              <w:jc w:val="right"/>
              <w:rPr>
                <w:rFonts w:ascii="Arial" w:hAnsi="Arial" w:cs="Arial"/>
                <w:color w:val="000000"/>
                <w:sz w:val="20"/>
                <w:szCs w:val="20"/>
              </w:rPr>
            </w:pPr>
            <w:r>
              <w:rPr>
                <w:rFonts w:ascii="Arial" w:hAnsi="Arial" w:cs="Arial"/>
                <w:color w:val="000000"/>
                <w:sz w:val="20"/>
                <w:szCs w:val="20"/>
              </w:rPr>
              <w:t>-17.8</w:t>
            </w:r>
          </w:p>
        </w:tc>
        <w:tc>
          <w:tcPr>
            <w:tcW w:w="850" w:type="dxa"/>
            <w:shd w:val="clear" w:color="000000" w:fill="FFFFFF"/>
            <w:vAlign w:val="center"/>
          </w:tcPr>
          <w:p w14:paraId="2FCE2502" w14:textId="77777777" w:rsidR="0082493A" w:rsidRPr="000755DA" w:rsidRDefault="0082493A" w:rsidP="00857042">
            <w:pPr>
              <w:jc w:val="right"/>
              <w:rPr>
                <w:rFonts w:ascii="Arial" w:hAnsi="Arial" w:cs="Arial"/>
                <w:color w:val="000000"/>
                <w:sz w:val="20"/>
                <w:szCs w:val="20"/>
              </w:rPr>
            </w:pPr>
            <w:r>
              <w:rPr>
                <w:rFonts w:ascii="Arial" w:hAnsi="Arial" w:cs="Arial"/>
                <w:color w:val="000000"/>
                <w:sz w:val="20"/>
                <w:szCs w:val="20"/>
              </w:rPr>
              <w:t>12.7</w:t>
            </w:r>
          </w:p>
        </w:tc>
        <w:tc>
          <w:tcPr>
            <w:tcW w:w="851" w:type="dxa"/>
            <w:shd w:val="clear" w:color="000000" w:fill="FFFFFF"/>
            <w:vAlign w:val="center"/>
          </w:tcPr>
          <w:p w14:paraId="126E8F8E" w14:textId="77777777" w:rsidR="0082493A" w:rsidRPr="000755DA" w:rsidRDefault="0082493A" w:rsidP="00857042">
            <w:pPr>
              <w:jc w:val="right"/>
              <w:rPr>
                <w:rFonts w:ascii="Arial" w:hAnsi="Arial" w:cs="Arial"/>
                <w:color w:val="000000"/>
                <w:sz w:val="20"/>
                <w:szCs w:val="20"/>
              </w:rPr>
            </w:pPr>
            <w:r>
              <w:rPr>
                <w:rFonts w:ascii="Arial" w:hAnsi="Arial" w:cs="Arial"/>
                <w:color w:val="000000"/>
                <w:sz w:val="20"/>
                <w:szCs w:val="20"/>
              </w:rPr>
              <w:t>8.2</w:t>
            </w:r>
          </w:p>
        </w:tc>
        <w:tc>
          <w:tcPr>
            <w:tcW w:w="887" w:type="dxa"/>
            <w:shd w:val="clear" w:color="000000" w:fill="FFFFFF"/>
            <w:vAlign w:val="center"/>
          </w:tcPr>
          <w:p w14:paraId="3685EC30" w14:textId="77777777" w:rsidR="0082493A" w:rsidRPr="000755DA" w:rsidRDefault="0082493A" w:rsidP="00857042">
            <w:pPr>
              <w:jc w:val="right"/>
              <w:rPr>
                <w:rFonts w:ascii="Arial" w:hAnsi="Arial" w:cs="Arial"/>
                <w:color w:val="000000"/>
                <w:sz w:val="20"/>
                <w:szCs w:val="20"/>
              </w:rPr>
            </w:pPr>
            <w:r>
              <w:rPr>
                <w:rFonts w:ascii="Arial" w:hAnsi="Arial" w:cs="Arial"/>
                <w:color w:val="000000"/>
                <w:sz w:val="20"/>
                <w:szCs w:val="20"/>
              </w:rPr>
              <w:t>-24.2</w:t>
            </w:r>
          </w:p>
        </w:tc>
        <w:tc>
          <w:tcPr>
            <w:tcW w:w="808" w:type="dxa"/>
            <w:shd w:val="clear" w:color="000000" w:fill="FFFFFF"/>
            <w:vAlign w:val="center"/>
          </w:tcPr>
          <w:p w14:paraId="4AC2D0B8" w14:textId="77777777" w:rsidR="0082493A" w:rsidRPr="000755DA" w:rsidRDefault="0082493A" w:rsidP="00857042">
            <w:pPr>
              <w:jc w:val="right"/>
              <w:rPr>
                <w:rFonts w:ascii="Arial" w:hAnsi="Arial" w:cs="Arial"/>
                <w:color w:val="000000"/>
                <w:sz w:val="20"/>
                <w:szCs w:val="20"/>
              </w:rPr>
            </w:pPr>
            <w:r>
              <w:rPr>
                <w:rFonts w:ascii="Arial" w:hAnsi="Arial" w:cs="Arial"/>
                <w:color w:val="000000"/>
                <w:sz w:val="20"/>
                <w:szCs w:val="20"/>
              </w:rPr>
              <w:t>13.1</w:t>
            </w:r>
          </w:p>
        </w:tc>
      </w:tr>
      <w:tr w:rsidR="0082493A" w:rsidRPr="00B64E1A" w14:paraId="29161AC1" w14:textId="77777777" w:rsidTr="00857042">
        <w:trPr>
          <w:trHeight w:val="279"/>
          <w:jc w:val="center"/>
        </w:trPr>
        <w:tc>
          <w:tcPr>
            <w:tcW w:w="4677" w:type="dxa"/>
            <w:shd w:val="clear" w:color="000000" w:fill="FFFFFF"/>
            <w:vAlign w:val="center"/>
            <w:hideMark/>
          </w:tcPr>
          <w:p w14:paraId="2D838CD8" w14:textId="77777777" w:rsidR="0082493A" w:rsidRPr="000755DA" w:rsidRDefault="0082493A" w:rsidP="00857042">
            <w:pPr>
              <w:rPr>
                <w:rFonts w:ascii="Arial" w:hAnsi="Arial" w:cs="Arial"/>
                <w:color w:val="000000"/>
                <w:sz w:val="20"/>
                <w:szCs w:val="20"/>
              </w:rPr>
            </w:pPr>
            <w:r w:rsidRPr="00634F65">
              <w:rPr>
                <w:rFonts w:ascii="Arial" w:hAnsi="Arial" w:cs="Arial"/>
                <w:color w:val="000000"/>
                <w:sz w:val="20"/>
                <w:szCs w:val="20"/>
              </w:rPr>
              <w:t>Manufacture of furniture</w:t>
            </w:r>
          </w:p>
        </w:tc>
        <w:tc>
          <w:tcPr>
            <w:tcW w:w="851" w:type="dxa"/>
            <w:shd w:val="clear" w:color="000000" w:fill="FFFFFF"/>
            <w:vAlign w:val="center"/>
            <w:hideMark/>
          </w:tcPr>
          <w:p w14:paraId="2ABF1189"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-13.1</w:t>
            </w:r>
          </w:p>
        </w:tc>
        <w:tc>
          <w:tcPr>
            <w:tcW w:w="850" w:type="dxa"/>
            <w:shd w:val="clear" w:color="000000" w:fill="FFFFFF"/>
            <w:vAlign w:val="center"/>
            <w:hideMark/>
          </w:tcPr>
          <w:p w14:paraId="7F109127"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28.1</w:t>
            </w:r>
          </w:p>
        </w:tc>
        <w:tc>
          <w:tcPr>
            <w:tcW w:w="851" w:type="dxa"/>
            <w:shd w:val="clear" w:color="000000" w:fill="FFFFFF"/>
            <w:vAlign w:val="center"/>
            <w:hideMark/>
          </w:tcPr>
          <w:p w14:paraId="399D83F3"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2.6</w:t>
            </w:r>
          </w:p>
        </w:tc>
        <w:tc>
          <w:tcPr>
            <w:tcW w:w="887" w:type="dxa"/>
            <w:shd w:val="clear" w:color="000000" w:fill="FFFFFF"/>
            <w:vAlign w:val="center"/>
            <w:hideMark/>
          </w:tcPr>
          <w:p w14:paraId="6ADBC1A3"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-24.0</w:t>
            </w:r>
          </w:p>
        </w:tc>
        <w:tc>
          <w:tcPr>
            <w:tcW w:w="808" w:type="dxa"/>
            <w:shd w:val="clear" w:color="000000" w:fill="FFFFFF"/>
            <w:vAlign w:val="center"/>
            <w:hideMark/>
          </w:tcPr>
          <w:p w14:paraId="0BA08B8B" w14:textId="77777777" w:rsidR="0082493A" w:rsidRPr="000755DA" w:rsidRDefault="0082493A" w:rsidP="00857042">
            <w:pPr>
              <w:jc w:val="right"/>
              <w:rPr>
                <w:rFonts w:ascii="Arial" w:hAnsi="Arial" w:cs="Arial"/>
                <w:color w:val="000000"/>
                <w:sz w:val="20"/>
                <w:szCs w:val="20"/>
              </w:rPr>
            </w:pPr>
            <w:r w:rsidRPr="000755DA">
              <w:rPr>
                <w:rFonts w:ascii="Arial" w:hAnsi="Arial" w:cs="Arial"/>
                <w:color w:val="000000"/>
                <w:sz w:val="20"/>
                <w:szCs w:val="20"/>
              </w:rPr>
              <w:t>66.7</w:t>
            </w:r>
          </w:p>
        </w:tc>
      </w:tr>
      <w:tr w:rsidR="0082493A" w:rsidRPr="00B64E1A" w14:paraId="4A8FEA88" w14:textId="77777777" w:rsidTr="00857042">
        <w:trPr>
          <w:trHeight w:val="92"/>
          <w:jc w:val="center"/>
        </w:trPr>
        <w:tc>
          <w:tcPr>
            <w:tcW w:w="4677" w:type="dxa"/>
            <w:tcBorders>
              <w:bottom w:val="single" w:sz="4" w:space="0" w:color="auto"/>
            </w:tcBorders>
            <w:shd w:val="clear" w:color="000000" w:fill="FFFFFF"/>
          </w:tcPr>
          <w:p w14:paraId="500D2DFC" w14:textId="77777777" w:rsidR="0082493A" w:rsidRPr="00761FD8" w:rsidRDefault="0082493A" w:rsidP="00857042">
            <w:pPr>
              <w:jc w:val="center"/>
              <w:rPr>
                <w:rFonts w:ascii="Arial" w:hAnsi="Arial" w:cs="Arial"/>
                <w:color w:val="000000"/>
                <w:sz w:val="10"/>
                <w:szCs w:val="10"/>
              </w:rPr>
            </w:pPr>
          </w:p>
        </w:tc>
        <w:tc>
          <w:tcPr>
            <w:tcW w:w="851" w:type="dxa"/>
            <w:tcBorders>
              <w:bottom w:val="single" w:sz="4" w:space="0" w:color="auto"/>
            </w:tcBorders>
            <w:shd w:val="clear" w:color="000000" w:fill="FFFFFF"/>
          </w:tcPr>
          <w:p w14:paraId="24AA0E84" w14:textId="77777777" w:rsidR="0082493A" w:rsidRPr="00761FD8" w:rsidRDefault="0082493A" w:rsidP="00857042">
            <w:pPr>
              <w:jc w:val="center"/>
              <w:rPr>
                <w:rFonts w:ascii="Arial" w:hAnsi="Arial" w:cs="Arial"/>
                <w:color w:val="000000"/>
                <w:sz w:val="10"/>
                <w:szCs w:val="10"/>
              </w:rPr>
            </w:pPr>
          </w:p>
        </w:tc>
        <w:tc>
          <w:tcPr>
            <w:tcW w:w="850" w:type="dxa"/>
            <w:tcBorders>
              <w:bottom w:val="single" w:sz="4" w:space="0" w:color="auto"/>
            </w:tcBorders>
            <w:shd w:val="clear" w:color="000000" w:fill="FFFFFF"/>
          </w:tcPr>
          <w:p w14:paraId="2AFB9BFF" w14:textId="77777777" w:rsidR="0082493A" w:rsidRPr="00761FD8" w:rsidRDefault="0082493A" w:rsidP="00857042">
            <w:pPr>
              <w:jc w:val="center"/>
              <w:rPr>
                <w:rFonts w:ascii="Arial" w:hAnsi="Arial" w:cs="Arial"/>
                <w:color w:val="000000"/>
                <w:sz w:val="10"/>
                <w:szCs w:val="10"/>
              </w:rPr>
            </w:pPr>
          </w:p>
        </w:tc>
        <w:tc>
          <w:tcPr>
            <w:tcW w:w="851" w:type="dxa"/>
            <w:tcBorders>
              <w:bottom w:val="single" w:sz="4" w:space="0" w:color="auto"/>
            </w:tcBorders>
            <w:shd w:val="clear" w:color="000000" w:fill="FFFFFF"/>
          </w:tcPr>
          <w:p w14:paraId="119C4867" w14:textId="77777777" w:rsidR="0082493A" w:rsidRPr="00761FD8" w:rsidRDefault="0082493A" w:rsidP="00857042">
            <w:pPr>
              <w:jc w:val="center"/>
              <w:rPr>
                <w:rFonts w:ascii="Arial" w:hAnsi="Arial" w:cs="Arial"/>
                <w:color w:val="000000"/>
                <w:sz w:val="10"/>
                <w:szCs w:val="10"/>
              </w:rPr>
            </w:pPr>
          </w:p>
        </w:tc>
        <w:tc>
          <w:tcPr>
            <w:tcW w:w="887" w:type="dxa"/>
            <w:tcBorders>
              <w:bottom w:val="single" w:sz="4" w:space="0" w:color="auto"/>
            </w:tcBorders>
            <w:shd w:val="clear" w:color="000000" w:fill="FFFFFF"/>
          </w:tcPr>
          <w:p w14:paraId="339244D3" w14:textId="77777777" w:rsidR="0082493A" w:rsidRPr="00761FD8" w:rsidRDefault="0082493A" w:rsidP="00857042">
            <w:pPr>
              <w:jc w:val="center"/>
              <w:rPr>
                <w:rFonts w:ascii="Arial" w:hAnsi="Arial" w:cs="Arial"/>
                <w:color w:val="000000"/>
                <w:sz w:val="10"/>
                <w:szCs w:val="10"/>
              </w:rPr>
            </w:pPr>
          </w:p>
        </w:tc>
        <w:tc>
          <w:tcPr>
            <w:tcW w:w="808" w:type="dxa"/>
            <w:tcBorders>
              <w:bottom w:val="single" w:sz="4" w:space="0" w:color="auto"/>
            </w:tcBorders>
            <w:shd w:val="clear" w:color="000000" w:fill="FFFFFF"/>
          </w:tcPr>
          <w:p w14:paraId="0D672F58" w14:textId="77777777" w:rsidR="0082493A" w:rsidRPr="00761FD8" w:rsidRDefault="0082493A" w:rsidP="00857042">
            <w:pPr>
              <w:jc w:val="center"/>
              <w:rPr>
                <w:rFonts w:ascii="Arial" w:hAnsi="Arial" w:cs="Arial"/>
                <w:color w:val="000000"/>
                <w:sz w:val="10"/>
                <w:szCs w:val="10"/>
              </w:rPr>
            </w:pPr>
          </w:p>
        </w:tc>
      </w:tr>
    </w:tbl>
    <w:p w14:paraId="0E2539A7" w14:textId="77777777" w:rsidR="0082493A" w:rsidRPr="00601ABA" w:rsidRDefault="0082493A" w:rsidP="0082493A">
      <w:pPr>
        <w:shd w:val="clear" w:color="auto" w:fill="FFFFFF"/>
        <w:tabs>
          <w:tab w:val="left" w:pos="8931"/>
        </w:tabs>
        <w:spacing w:before="60"/>
        <w:jc w:val="right"/>
        <w:rPr>
          <w:rFonts w:ascii="Arial" w:hAnsi="Arial" w:cs="Arial"/>
          <w:color w:val="FF0000"/>
          <w:spacing w:val="-2"/>
          <w:sz w:val="10"/>
          <w:szCs w:val="10"/>
          <w:lang w:val="pl-PL"/>
        </w:rPr>
      </w:pPr>
    </w:p>
    <w:p w14:paraId="452171C4" w14:textId="77777777" w:rsidR="0082493A" w:rsidRPr="00601ABA" w:rsidRDefault="0082493A" w:rsidP="0082493A">
      <w:pPr>
        <w:shd w:val="clear" w:color="auto" w:fill="FFFFFF"/>
        <w:spacing w:after="120" w:line="264" w:lineRule="auto"/>
        <w:ind w:firstLine="567"/>
        <w:jc w:val="both"/>
        <w:rPr>
          <w:rFonts w:ascii="Arial" w:hAnsi="Arial" w:cs="Arial"/>
          <w:b/>
          <w:bCs/>
          <w:color w:val="FF0000"/>
          <w:sz w:val="10"/>
          <w:szCs w:val="24"/>
          <w:lang w:val="pl-PL"/>
        </w:rPr>
      </w:pPr>
      <w:r w:rsidRPr="000755DA">
        <w:rPr>
          <w:i/>
          <w:lang w:val="pl-PL"/>
        </w:rPr>
        <w:t xml:space="preserve">The industrial production index in January 2024 </w:t>
      </w:r>
      <w:r w:rsidRPr="000755DA">
        <w:rPr>
          <w:lang w:val="pl-PL"/>
        </w:rPr>
        <w:t xml:space="preserve">compared to the same period last year increased in 60 localities and decreased in 3 localities across the country. Some localities have had a fairly high increase in the IIP index due to the manufacturing industry; </w:t>
      </w:r>
      <w:r>
        <w:rPr>
          <w:lang w:val="pl-PL"/>
        </w:rPr>
        <w:t>t</w:t>
      </w:r>
      <w:r w:rsidRPr="000755DA">
        <w:rPr>
          <w:lang w:val="pl-PL"/>
        </w:rPr>
        <w:t>he electricity production and distribu</w:t>
      </w:r>
      <w:r>
        <w:rPr>
          <w:lang w:val="pl-PL"/>
        </w:rPr>
        <w:t>tion increased sharply</w:t>
      </w:r>
      <w:r w:rsidRPr="000755DA">
        <w:rPr>
          <w:rStyle w:val="FootnoteReference"/>
        </w:rPr>
        <w:footnoteReference w:id="6"/>
      </w:r>
      <w:r w:rsidRPr="000755DA">
        <w:rPr>
          <w:lang w:val="pl-PL"/>
        </w:rPr>
        <w:t xml:space="preserve">. </w:t>
      </w:r>
      <w:r>
        <w:rPr>
          <w:spacing w:val="-2"/>
          <w:lang w:val="pl-PL"/>
        </w:rPr>
        <w:t>On the other hand</w:t>
      </w:r>
      <w:r w:rsidRPr="000755DA">
        <w:rPr>
          <w:lang w:val="pl-PL"/>
        </w:rPr>
        <w:t xml:space="preserve">, some localities have a low increase or decrease in the IIP index due to the </w:t>
      </w:r>
      <w:r>
        <w:rPr>
          <w:lang w:val="pl-PL"/>
        </w:rPr>
        <w:t>manufacturing industries</w:t>
      </w:r>
      <w:r w:rsidRPr="000755DA">
        <w:rPr>
          <w:spacing w:val="-4"/>
          <w:lang w:val="pl-PL"/>
        </w:rPr>
        <w:t xml:space="preserve">; </w:t>
      </w:r>
      <w:r>
        <w:rPr>
          <w:spacing w:val="-4"/>
          <w:lang w:val="pl-PL"/>
        </w:rPr>
        <w:t>t</w:t>
      </w:r>
      <w:r w:rsidRPr="000755DA">
        <w:rPr>
          <w:spacing w:val="-4"/>
          <w:lang w:val="pl-PL"/>
        </w:rPr>
        <w:t xml:space="preserve">he mining iand the electricity production and distribution </w:t>
      </w:r>
      <w:r>
        <w:rPr>
          <w:spacing w:val="-4"/>
          <w:lang w:val="pl-PL"/>
        </w:rPr>
        <w:t>increased slightly or decreased</w:t>
      </w:r>
      <w:r w:rsidRPr="000755DA">
        <w:rPr>
          <w:rStyle w:val="FootnoteReference"/>
          <w:spacing w:val="-4"/>
        </w:rPr>
        <w:footnoteReference w:id="7"/>
      </w:r>
      <w:r w:rsidRPr="000755DA">
        <w:rPr>
          <w:spacing w:val="-4"/>
          <w:lang w:val="pl-PL"/>
        </w:rPr>
        <w:t>.</w:t>
      </w:r>
    </w:p>
    <w:p w14:paraId="2F164B97" w14:textId="77777777" w:rsidR="0082493A" w:rsidRPr="00E94BF0" w:rsidRDefault="0082493A" w:rsidP="0082493A">
      <w:pPr>
        <w:shd w:val="clear" w:color="auto" w:fill="FFFFFF"/>
        <w:jc w:val="center"/>
        <w:rPr>
          <w:rFonts w:ascii="Arial" w:hAnsi="Arial" w:cs="Arial"/>
          <w:b/>
          <w:bCs/>
          <w:sz w:val="24"/>
          <w:szCs w:val="24"/>
          <w:lang w:val="pl-PL"/>
        </w:rPr>
      </w:pPr>
      <w:r w:rsidRPr="00E94BF0">
        <w:rPr>
          <w:rFonts w:ascii="Arial" w:hAnsi="Arial" w:cs="Arial"/>
          <w:b/>
          <w:bCs/>
          <w:sz w:val="24"/>
          <w:szCs w:val="24"/>
          <w:lang w:val="pl-PL"/>
        </w:rPr>
        <w:t>Figure 4. IIP increase/decrease rate in January 2024</w:t>
      </w:r>
    </w:p>
    <w:p w14:paraId="055E9C1A" w14:textId="77777777" w:rsidR="0082493A" w:rsidRPr="00E94BF0" w:rsidRDefault="0082493A" w:rsidP="0082493A">
      <w:pPr>
        <w:shd w:val="clear" w:color="auto" w:fill="FFFFFF"/>
        <w:spacing w:after="120"/>
        <w:jc w:val="center"/>
        <w:rPr>
          <w:noProof/>
        </w:rPr>
      </w:pPr>
      <w:r w:rsidRPr="00E94BF0">
        <w:rPr>
          <w:rFonts w:ascii="Arial" w:hAnsi="Arial" w:cs="Arial"/>
          <w:b/>
          <w:bCs/>
          <w:sz w:val="24"/>
          <w:szCs w:val="24"/>
          <w:lang w:val="pl-PL"/>
        </w:rPr>
        <w:t>compared to the same period last year</w:t>
      </w:r>
      <w:r w:rsidRPr="00E94BF0">
        <w:rPr>
          <w:rFonts w:ascii="Arial" w:hAnsi="Arial" w:cs="Arial"/>
          <w:b/>
          <w:bCs/>
          <w:sz w:val="24"/>
          <w:szCs w:val="24"/>
        </w:rPr>
        <w:t xml:space="preserve"> </w:t>
      </w:r>
      <w:r w:rsidRPr="00E94BF0">
        <w:rPr>
          <w:rFonts w:ascii="Arial" w:hAnsi="Arial" w:cs="Arial"/>
          <w:b/>
          <w:bCs/>
          <w:sz w:val="24"/>
          <w:szCs w:val="24"/>
          <w:lang w:val="pl-PL"/>
        </w:rPr>
        <w:t xml:space="preserve">of some </w:t>
      </w:r>
      <w:r w:rsidRPr="00E94BF0">
        <w:rPr>
          <w:rFonts w:ascii="Arial" w:hAnsi="Arial" w:cs="Arial"/>
          <w:b/>
          <w:bCs/>
          <w:sz w:val="24"/>
          <w:szCs w:val="24"/>
        </w:rPr>
        <w:t xml:space="preserve">localities </w:t>
      </w:r>
      <w:r w:rsidRPr="00E94BF0">
        <w:rPr>
          <w:rFonts w:ascii="Arial" w:hAnsi="Arial" w:cs="Arial"/>
          <w:b/>
          <w:bCs/>
          <w:sz w:val="24"/>
          <w:szCs w:val="24"/>
          <w:lang w:val="pl-PL"/>
        </w:rPr>
        <w:t>(%)</w:t>
      </w:r>
      <w:r w:rsidRPr="00E94BF0">
        <w:rPr>
          <w:noProof/>
          <w:lang w:val="pl-P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4493"/>
      </w:tblGrid>
      <w:tr w:rsidR="0082493A" w:rsidRPr="00E94BF0" w14:paraId="41102BFC" w14:textId="77777777" w:rsidTr="00857042">
        <w:tc>
          <w:tcPr>
            <w:tcW w:w="4596" w:type="dxa"/>
          </w:tcPr>
          <w:p w14:paraId="1997466C" w14:textId="77777777" w:rsidR="0082493A" w:rsidRPr="00E94BF0" w:rsidRDefault="0082493A" w:rsidP="00857042">
            <w:pPr>
              <w:spacing w:before="40" w:after="40" w:line="262" w:lineRule="auto"/>
              <w:jc w:val="center"/>
              <w:rPr>
                <w:rFonts w:ascii="Arial" w:hAnsi="Arial" w:cs="Arial"/>
                <w:b/>
                <w:spacing w:val="-2"/>
                <w:sz w:val="19"/>
                <w:szCs w:val="19"/>
                <w:lang w:val="pl-PL"/>
              </w:rPr>
            </w:pPr>
            <w:r w:rsidRPr="00E94BF0">
              <w:rPr>
                <w:rFonts w:ascii="Arial" w:hAnsi="Arial" w:cs="Arial"/>
                <w:b/>
                <w:spacing w:val="-2"/>
                <w:sz w:val="19"/>
                <w:szCs w:val="19"/>
                <w:lang w:val="pl-PL"/>
              </w:rPr>
              <w:t>10 localities with the highest IIP growth rate</w:t>
            </w:r>
          </w:p>
        </w:tc>
        <w:tc>
          <w:tcPr>
            <w:tcW w:w="4596" w:type="dxa"/>
          </w:tcPr>
          <w:p w14:paraId="5B7560D1" w14:textId="77777777" w:rsidR="0082493A" w:rsidRPr="00E94BF0" w:rsidRDefault="0082493A" w:rsidP="00857042">
            <w:pPr>
              <w:spacing w:before="40" w:after="40" w:line="262" w:lineRule="auto"/>
              <w:jc w:val="center"/>
              <w:rPr>
                <w:spacing w:val="-2"/>
                <w:sz w:val="19"/>
                <w:szCs w:val="19"/>
                <w:lang w:val="pl-PL"/>
              </w:rPr>
            </w:pPr>
            <w:r w:rsidRPr="00E94BF0">
              <w:rPr>
                <w:rFonts w:ascii="Arial" w:hAnsi="Arial" w:cs="Arial"/>
                <w:b/>
                <w:spacing w:val="-2"/>
                <w:sz w:val="19"/>
                <w:szCs w:val="19"/>
                <w:lang w:val="pl-PL"/>
              </w:rPr>
              <w:t xml:space="preserve">10 localities have low </w:t>
            </w:r>
            <w:r>
              <w:rPr>
                <w:rFonts w:ascii="Arial" w:hAnsi="Arial" w:cs="Arial"/>
                <w:b/>
                <w:spacing w:val="-2"/>
                <w:sz w:val="19"/>
                <w:szCs w:val="19"/>
                <w:lang w:val="pl-PL"/>
              </w:rPr>
              <w:br/>
            </w:r>
            <w:r w:rsidRPr="00E94BF0">
              <w:rPr>
                <w:rFonts w:ascii="Arial" w:hAnsi="Arial" w:cs="Arial"/>
                <w:b/>
                <w:spacing w:val="-2"/>
                <w:sz w:val="19"/>
                <w:szCs w:val="19"/>
                <w:lang w:val="pl-PL"/>
              </w:rPr>
              <w:t>or decreasing IIP index</w:t>
            </w:r>
          </w:p>
        </w:tc>
      </w:tr>
      <w:tr w:rsidR="0082493A" w14:paraId="11694D9F" w14:textId="77777777" w:rsidTr="00857042">
        <w:tc>
          <w:tcPr>
            <w:tcW w:w="4596" w:type="dxa"/>
          </w:tcPr>
          <w:p w14:paraId="24743844" w14:textId="77777777" w:rsidR="0082493A" w:rsidRDefault="0082493A" w:rsidP="00857042">
            <w:pPr>
              <w:spacing w:before="40" w:after="40" w:line="262" w:lineRule="auto"/>
              <w:jc w:val="center"/>
              <w:rPr>
                <w:i/>
                <w:color w:val="FF0000"/>
                <w:spacing w:val="-2"/>
                <w:lang w:val="pl-PL"/>
              </w:rPr>
            </w:pPr>
            <w:r>
              <w:rPr>
                <w:i/>
                <w:noProof/>
                <w:color w:val="FF0000"/>
                <w:spacing w:val="-2"/>
                <w:lang w:val="en-US"/>
              </w:rPr>
              <w:lastRenderedPageBreak/>
              <w:drawing>
                <wp:inline distT="0" distB="0" distL="0" distR="0" wp14:anchorId="19A230CE" wp14:editId="7E37156A">
                  <wp:extent cx="2732757" cy="1796902"/>
                  <wp:effectExtent l="0" t="0" r="0" b="0"/>
                  <wp:docPr id="654437499" name="Picture 654437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5720" cy="1798850"/>
                          </a:xfrm>
                          <a:prstGeom prst="rect">
                            <a:avLst/>
                          </a:prstGeom>
                          <a:noFill/>
                        </pic:spPr>
                      </pic:pic>
                    </a:graphicData>
                  </a:graphic>
                </wp:inline>
              </w:drawing>
            </w:r>
          </w:p>
        </w:tc>
        <w:tc>
          <w:tcPr>
            <w:tcW w:w="4596" w:type="dxa"/>
          </w:tcPr>
          <w:p w14:paraId="199F5AC1" w14:textId="77777777" w:rsidR="0082493A" w:rsidRDefault="0082493A" w:rsidP="00857042">
            <w:pPr>
              <w:spacing w:before="40" w:after="40" w:line="262" w:lineRule="auto"/>
              <w:jc w:val="both"/>
              <w:rPr>
                <w:i/>
                <w:color w:val="FF0000"/>
                <w:spacing w:val="-2"/>
                <w:lang w:val="pl-PL"/>
              </w:rPr>
            </w:pPr>
            <w:r>
              <w:rPr>
                <w:i/>
                <w:noProof/>
                <w:color w:val="FF0000"/>
                <w:spacing w:val="-2"/>
                <w:lang w:val="en-US"/>
              </w:rPr>
              <w:drawing>
                <wp:inline distT="0" distB="0" distL="0" distR="0" wp14:anchorId="223D87C2" wp14:editId="2D8DE7E2">
                  <wp:extent cx="2485811" cy="1796902"/>
                  <wp:effectExtent l="0" t="0" r="0" b="0"/>
                  <wp:docPr id="829758412" name="Picture 82975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2505" cy="1801741"/>
                          </a:xfrm>
                          <a:prstGeom prst="rect">
                            <a:avLst/>
                          </a:prstGeom>
                          <a:noFill/>
                        </pic:spPr>
                      </pic:pic>
                    </a:graphicData>
                  </a:graphic>
                </wp:inline>
              </w:drawing>
            </w:r>
          </w:p>
        </w:tc>
      </w:tr>
    </w:tbl>
    <w:p w14:paraId="0FD38663" w14:textId="77777777" w:rsidR="0082493A" w:rsidRPr="00BB11D9" w:rsidRDefault="0082493A" w:rsidP="0082493A">
      <w:pPr>
        <w:shd w:val="clear" w:color="auto" w:fill="FFFFFF"/>
        <w:spacing w:before="40" w:after="40" w:line="252" w:lineRule="auto"/>
        <w:ind w:firstLine="567"/>
        <w:jc w:val="both"/>
        <w:rPr>
          <w:spacing w:val="-2"/>
          <w:lang w:val="pl-PL"/>
        </w:rPr>
      </w:pPr>
      <w:r w:rsidRPr="00BB11D9">
        <w:rPr>
          <w:i/>
          <w:spacing w:val="-2"/>
          <w:lang w:val="pl-PL"/>
        </w:rPr>
        <w:t>Some key industrial products</w:t>
      </w:r>
      <w:r w:rsidRPr="00BB11D9">
        <w:rPr>
          <w:spacing w:val="-2"/>
          <w:lang w:val="pl-PL"/>
        </w:rPr>
        <w:t xml:space="preserve"> </w:t>
      </w:r>
      <w:r w:rsidRPr="00BB11D9">
        <w:rPr>
          <w:i/>
          <w:spacing w:val="-2"/>
          <w:lang w:val="pl-PL"/>
        </w:rPr>
        <w:t>in January 2024 increased compa</w:t>
      </w:r>
      <w:r>
        <w:rPr>
          <w:i/>
          <w:spacing w:val="-2"/>
          <w:lang w:val="pl-PL"/>
        </w:rPr>
        <w:t>red to the same period last year</w:t>
      </w:r>
      <w:r w:rsidRPr="00BB11D9">
        <w:rPr>
          <w:spacing w:val="-2"/>
          <w:lang w:val="pl-PL"/>
        </w:rPr>
        <w:t xml:space="preserve">: </w:t>
      </w:r>
      <w:r w:rsidRPr="00D5501F">
        <w:rPr>
          <w:spacing w:val="-2"/>
          <w:lang w:val="pl-PL"/>
        </w:rPr>
        <w:t>Refined sugar</w:t>
      </w:r>
      <w:r w:rsidRPr="00BB11D9">
        <w:rPr>
          <w:spacing w:val="-2"/>
          <w:lang w:val="pl-PL"/>
        </w:rPr>
        <w:t xml:space="preserve"> increased by 66.2%; </w:t>
      </w:r>
      <w:r>
        <w:rPr>
          <w:spacing w:val="-2"/>
          <w:lang w:val="pl-PL"/>
        </w:rPr>
        <w:t>l</w:t>
      </w:r>
      <w:r w:rsidRPr="00D5501F">
        <w:rPr>
          <w:spacing w:val="-2"/>
          <w:lang w:val="pl-PL"/>
        </w:rPr>
        <w:t>aminated steel</w:t>
      </w:r>
      <w:r w:rsidRPr="00BB11D9">
        <w:rPr>
          <w:spacing w:val="-2"/>
          <w:lang w:val="pl-PL"/>
        </w:rPr>
        <w:t xml:space="preserve"> increased by 59.6%; </w:t>
      </w:r>
      <w:r>
        <w:rPr>
          <w:spacing w:val="-2"/>
          <w:lang w:val="pl-PL"/>
        </w:rPr>
        <w:t>t</w:t>
      </w:r>
      <w:r w:rsidRPr="00D5501F">
        <w:rPr>
          <w:spacing w:val="-2"/>
          <w:lang w:val="pl-PL"/>
        </w:rPr>
        <w:t>extile fabric from natural yarn</w:t>
      </w:r>
      <w:r w:rsidRPr="00BB11D9">
        <w:rPr>
          <w:spacing w:val="-2"/>
          <w:lang w:val="pl-PL"/>
        </w:rPr>
        <w:t xml:space="preserve"> increased by 57.1%; </w:t>
      </w:r>
      <w:r>
        <w:rPr>
          <w:spacing w:val="-2"/>
          <w:lang w:val="pl-PL"/>
        </w:rPr>
        <w:t>p</w:t>
      </w:r>
      <w:r w:rsidRPr="00D5501F">
        <w:rPr>
          <w:spacing w:val="-2"/>
          <w:lang w:val="pl-PL"/>
        </w:rPr>
        <w:t>owder milk</w:t>
      </w:r>
      <w:r w:rsidRPr="00BB11D9">
        <w:rPr>
          <w:spacing w:val="-2"/>
          <w:lang w:val="pl-PL"/>
        </w:rPr>
        <w:t xml:space="preserve"> increased by 47.4%; Chemical paint increased by 44.7%; NPK mixed fertilizer increased by 40.7%; </w:t>
      </w:r>
      <w:r w:rsidRPr="00D5501F">
        <w:rPr>
          <w:spacing w:val="-2"/>
          <w:lang w:val="pl-PL"/>
        </w:rPr>
        <w:t>Steel bars and corners</w:t>
      </w:r>
      <w:r w:rsidRPr="00BB11D9">
        <w:rPr>
          <w:spacing w:val="-2"/>
          <w:lang w:val="pl-PL"/>
        </w:rPr>
        <w:t xml:space="preserve"> increased by 37.5%; cigarettes increased by 34.7%. On the contrary, some products decreased compared to the same period last year: </w:t>
      </w:r>
      <w:r w:rsidRPr="00D5501F">
        <w:rPr>
          <w:spacing w:val="-2"/>
          <w:lang w:val="pl-PL"/>
        </w:rPr>
        <w:t>Phone accessories</w:t>
      </w:r>
      <w:r w:rsidRPr="00BB11D9">
        <w:rPr>
          <w:spacing w:val="-2"/>
          <w:lang w:val="pl-PL"/>
        </w:rPr>
        <w:t xml:space="preserve"> decreased by 15.3%; television decreased by 11.3%; mobile phones decreased by 3.5%; </w:t>
      </w:r>
      <w:r>
        <w:rPr>
          <w:spacing w:val="-2"/>
          <w:lang w:val="pl-PL"/>
        </w:rPr>
        <w:t>e</w:t>
      </w:r>
      <w:r w:rsidRPr="00D5501F">
        <w:rPr>
          <w:spacing w:val="-2"/>
          <w:lang w:val="pl-PL"/>
        </w:rPr>
        <w:t>xtracted crude oil</w:t>
      </w:r>
      <w:r w:rsidRPr="00BB11D9">
        <w:rPr>
          <w:spacing w:val="-2"/>
          <w:lang w:val="pl-PL"/>
        </w:rPr>
        <w:t xml:space="preserve"> decreased by 2.2%.</w:t>
      </w:r>
    </w:p>
    <w:p w14:paraId="40D72B3A" w14:textId="77777777" w:rsidR="0082493A" w:rsidRPr="009D1A29" w:rsidRDefault="0082493A" w:rsidP="0082493A">
      <w:pPr>
        <w:spacing w:before="40" w:after="40" w:line="252" w:lineRule="auto"/>
        <w:ind w:firstLine="567"/>
        <w:jc w:val="both"/>
        <w:rPr>
          <w:b/>
          <w:bCs/>
          <w:lang w:val="pl-PL"/>
        </w:rPr>
      </w:pPr>
      <w:r w:rsidRPr="009D1A29">
        <w:rPr>
          <w:i/>
          <w:lang w:val="pl-PL"/>
        </w:rPr>
        <w:t xml:space="preserve">Number of </w:t>
      </w:r>
      <w:r w:rsidRPr="00240CC1">
        <w:rPr>
          <w:i/>
        </w:rPr>
        <w:t>employees</w:t>
      </w:r>
      <w:r w:rsidRPr="009D1A29">
        <w:rPr>
          <w:i/>
          <w:lang w:val="pl-PL"/>
        </w:rPr>
        <w:t xml:space="preserve"> working in industrial enterprises</w:t>
      </w:r>
      <w:r w:rsidRPr="009D1A29">
        <w:rPr>
          <w:lang w:val="pl-PL"/>
        </w:rPr>
        <w:t xml:space="preserve"> </w:t>
      </w:r>
      <w:r>
        <w:rPr>
          <w:i/>
          <w:lang w:val="pl-PL"/>
        </w:rPr>
        <w:t xml:space="preserve">as of January 1, 2024 </w:t>
      </w:r>
      <w:r w:rsidRPr="00D5501F">
        <w:rPr>
          <w:lang w:val="pl-PL"/>
        </w:rPr>
        <w:t>up</w:t>
      </w:r>
      <w:r w:rsidRPr="009D1A29">
        <w:rPr>
          <w:lang w:val="pl-PL"/>
        </w:rPr>
        <w:t xml:space="preserve"> 0.5% compared to the same time last month and increased by 0.1% comp</w:t>
      </w:r>
      <w:r>
        <w:rPr>
          <w:lang w:val="pl-PL"/>
        </w:rPr>
        <w:t>ared to the same time last year</w:t>
      </w:r>
      <w:r w:rsidRPr="009D1A29">
        <w:t>.</w:t>
      </w:r>
      <w:r w:rsidRPr="009D1A29">
        <w:rPr>
          <w:lang w:val="pl-PL"/>
        </w:rPr>
        <w:t xml:space="preserve"> </w:t>
      </w:r>
      <w:r>
        <w:t>Of which,</w:t>
      </w:r>
      <w:r w:rsidRPr="009D1A29">
        <w:rPr>
          <w:lang w:val="pl-PL"/>
        </w:rPr>
        <w:t xml:space="preserve"> </w:t>
      </w:r>
      <w:r w:rsidRPr="00240CC1">
        <w:t>the number of working employees in the state-owned enterprise sector</w:t>
      </w:r>
      <w:r w:rsidRPr="009D1A29">
        <w:rPr>
          <w:lang w:val="pl-PL"/>
        </w:rPr>
        <w:t xml:space="preserve"> increased by 0.1% and decreased by 0.9%; </w:t>
      </w:r>
      <w:r w:rsidRPr="00240CC1">
        <w:t>non-state enterprises</w:t>
      </w:r>
      <w:r w:rsidRPr="009D1A29">
        <w:rPr>
          <w:lang w:val="pl-PL"/>
        </w:rPr>
        <w:t xml:space="preserve"> increased by 0.1% and decreased by 1.3%; </w:t>
      </w:r>
      <w:r w:rsidRPr="00240CC1">
        <w:t>enterprises of foreign direct investment</w:t>
      </w:r>
      <w:r w:rsidRPr="009D1A29">
        <w:rPr>
          <w:lang w:val="pl-PL"/>
        </w:rPr>
        <w:t xml:space="preserve"> increased by 0.7% and 0.8%. By industry, </w:t>
      </w:r>
      <w:r w:rsidRPr="00240CC1">
        <w:t>the number of employees working in mining and quarrying</w:t>
      </w:r>
      <w:r w:rsidRPr="009D1A29">
        <w:rPr>
          <w:lang w:val="pl-PL"/>
        </w:rPr>
        <w:t xml:space="preserve"> unchanged compared to the same time last month and increased 0.7% compared to the same time last year; </w:t>
      </w:r>
      <w:r w:rsidRPr="00240CC1">
        <w:t>manufacturing</w:t>
      </w:r>
      <w:r w:rsidRPr="009D1A29">
        <w:rPr>
          <w:lang w:val="pl-PL"/>
        </w:rPr>
        <w:t xml:space="preserve"> increased by 0.5% and 0.1%; </w:t>
      </w:r>
      <w:r w:rsidRPr="00240CC1">
        <w:t>the production and distribution of electricity</w:t>
      </w:r>
      <w:r w:rsidRPr="009D1A29">
        <w:rPr>
          <w:lang w:val="pl-PL"/>
        </w:rPr>
        <w:t xml:space="preserve"> increased by 0.2% and 0.7%; </w:t>
      </w:r>
      <w:r w:rsidRPr="00240CC1">
        <w:t>the water supply, sewerage, waste management and remediation activities</w:t>
      </w:r>
      <w:r w:rsidRPr="009D1A29">
        <w:rPr>
          <w:lang w:val="pl-PL"/>
        </w:rPr>
        <w:t xml:space="preserve"> increased by 0.1% and 1%.</w:t>
      </w:r>
    </w:p>
    <w:p w14:paraId="0B3C171A" w14:textId="77777777" w:rsidR="007E3EAD" w:rsidRPr="00677041" w:rsidRDefault="007E3EAD" w:rsidP="007E3EAD">
      <w:pPr>
        <w:tabs>
          <w:tab w:val="left" w:pos="1843"/>
        </w:tabs>
        <w:spacing w:after="60" w:line="276" w:lineRule="auto"/>
        <w:ind w:firstLine="567"/>
        <w:jc w:val="both"/>
        <w:rPr>
          <w:b/>
          <w:lang w:val="it-IT"/>
        </w:rPr>
      </w:pPr>
      <w:r w:rsidRPr="00677041">
        <w:rPr>
          <w:b/>
          <w:bCs/>
          <w:lang w:val="it-IT"/>
        </w:rPr>
        <w:t xml:space="preserve">3. </w:t>
      </w:r>
      <w:r w:rsidRPr="00387E47">
        <w:rPr>
          <w:b/>
          <w:bCs/>
        </w:rPr>
        <w:t>Enterprise registration status</w:t>
      </w:r>
      <w:r w:rsidRPr="00387E47">
        <w:rPr>
          <w:bCs/>
          <w:vertAlign w:val="superscript"/>
        </w:rPr>
        <w:t xml:space="preserve"> </w:t>
      </w:r>
      <w:r w:rsidRPr="00677041">
        <w:rPr>
          <w:bCs/>
          <w:vertAlign w:val="superscript"/>
        </w:rPr>
        <w:footnoteReference w:id="8"/>
      </w:r>
    </w:p>
    <w:p w14:paraId="1B4EF51F" w14:textId="77777777" w:rsidR="007E3EAD" w:rsidRPr="0026341D" w:rsidRDefault="007E3EAD" w:rsidP="007E3EAD">
      <w:pPr>
        <w:tabs>
          <w:tab w:val="left" w:pos="1843"/>
        </w:tabs>
        <w:spacing w:after="40" w:line="276" w:lineRule="auto"/>
        <w:ind w:firstLine="567"/>
        <w:jc w:val="both"/>
        <w:rPr>
          <w:spacing w:val="-4"/>
        </w:rPr>
      </w:pPr>
      <w:r>
        <w:rPr>
          <w:spacing w:val="-4"/>
          <w:lang w:val="en-GB"/>
        </w:rPr>
        <w:t>I</w:t>
      </w:r>
      <w:r w:rsidRPr="0026341D">
        <w:rPr>
          <w:spacing w:val="-4"/>
        </w:rPr>
        <w:t>n January 202</w:t>
      </w:r>
      <w:r>
        <w:rPr>
          <w:spacing w:val="-4"/>
          <w:lang w:val="en-GB"/>
        </w:rPr>
        <w:t>4</w:t>
      </w:r>
      <w:r w:rsidRPr="0026341D">
        <w:rPr>
          <w:spacing w:val="-4"/>
        </w:rPr>
        <w:t xml:space="preserve">, the whole country had </w:t>
      </w:r>
      <w:r>
        <w:rPr>
          <w:spacing w:val="-4"/>
          <w:lang w:val="en-GB"/>
        </w:rPr>
        <w:t>13.5</w:t>
      </w:r>
      <w:r w:rsidRPr="0026341D">
        <w:rPr>
          <w:spacing w:val="-4"/>
        </w:rPr>
        <w:t xml:space="preserve"> thousand newly established enterprises with a registered capital of </w:t>
      </w:r>
      <w:r>
        <w:rPr>
          <w:spacing w:val="-4"/>
          <w:lang w:val="en-GB"/>
        </w:rPr>
        <w:t>151.5</w:t>
      </w:r>
      <w:r w:rsidRPr="0026341D">
        <w:rPr>
          <w:spacing w:val="-4"/>
        </w:rPr>
        <w:t xml:space="preserve"> trillion VND and the number of registered employees was </w:t>
      </w:r>
      <w:r>
        <w:rPr>
          <w:spacing w:val="-4"/>
          <w:lang w:val="en-GB"/>
        </w:rPr>
        <w:t>over 103.4</w:t>
      </w:r>
      <w:r w:rsidRPr="0026341D">
        <w:rPr>
          <w:spacing w:val="-4"/>
        </w:rPr>
        <w:t xml:space="preserve"> thousand employees, an increase of  </w:t>
      </w:r>
      <w:r>
        <w:rPr>
          <w:spacing w:val="-4"/>
          <w:lang w:val="en-GB"/>
        </w:rPr>
        <w:t>2.2</w:t>
      </w:r>
      <w:r w:rsidRPr="0026341D">
        <w:rPr>
          <w:spacing w:val="-4"/>
        </w:rPr>
        <w:t xml:space="preserve">% in the number of enterprises, down </w:t>
      </w:r>
      <w:r>
        <w:rPr>
          <w:spacing w:val="-4"/>
          <w:lang w:val="en-GB"/>
        </w:rPr>
        <w:t>2.3</w:t>
      </w:r>
      <w:r w:rsidRPr="0026341D">
        <w:rPr>
          <w:spacing w:val="-4"/>
        </w:rPr>
        <w:t xml:space="preserve">% in registered capital and </w:t>
      </w:r>
      <w:r>
        <w:rPr>
          <w:spacing w:val="-4"/>
          <w:lang w:val="en-GB"/>
        </w:rPr>
        <w:t>up 31.8</w:t>
      </w:r>
      <w:r w:rsidRPr="0026341D">
        <w:rPr>
          <w:spacing w:val="-4"/>
        </w:rPr>
        <w:t>% in the number of employees compared to December 202</w:t>
      </w:r>
      <w:r>
        <w:rPr>
          <w:spacing w:val="-4"/>
          <w:lang w:val="en-GB"/>
        </w:rPr>
        <w:t>3</w:t>
      </w:r>
      <w:r w:rsidRPr="0026341D">
        <w:rPr>
          <w:spacing w:val="-4"/>
        </w:rPr>
        <w:t>. Compared to the same period last year, a</w:t>
      </w:r>
      <w:r>
        <w:rPr>
          <w:spacing w:val="-4"/>
          <w:lang w:val="en-GB"/>
        </w:rPr>
        <w:t>n in</w:t>
      </w:r>
      <w:r w:rsidRPr="0026341D">
        <w:rPr>
          <w:spacing w:val="-4"/>
        </w:rPr>
        <w:t xml:space="preserve">crease of </w:t>
      </w:r>
      <w:r>
        <w:rPr>
          <w:spacing w:val="-4"/>
          <w:lang w:val="en-GB"/>
        </w:rPr>
        <w:t>24.8</w:t>
      </w:r>
      <w:r w:rsidRPr="0026341D">
        <w:rPr>
          <w:spacing w:val="-4"/>
        </w:rPr>
        <w:t>% in the number of enterprises, a</w:t>
      </w:r>
      <w:r>
        <w:rPr>
          <w:spacing w:val="-4"/>
          <w:lang w:val="en-GB"/>
        </w:rPr>
        <w:t>n in</w:t>
      </w:r>
      <w:r w:rsidRPr="0026341D">
        <w:rPr>
          <w:spacing w:val="-4"/>
        </w:rPr>
        <w:t xml:space="preserve">crease of </w:t>
      </w:r>
      <w:r>
        <w:rPr>
          <w:spacing w:val="-4"/>
          <w:lang w:val="en-GB"/>
        </w:rPr>
        <w:t>52.8</w:t>
      </w:r>
      <w:r w:rsidRPr="0026341D">
        <w:rPr>
          <w:spacing w:val="-4"/>
        </w:rPr>
        <w:t>% in the registered capital, and a</w:t>
      </w:r>
      <w:r>
        <w:rPr>
          <w:spacing w:val="-4"/>
          <w:lang w:val="en-GB"/>
        </w:rPr>
        <w:t>n in</w:t>
      </w:r>
      <w:r w:rsidRPr="0026341D">
        <w:rPr>
          <w:spacing w:val="-4"/>
        </w:rPr>
        <w:t xml:space="preserve">crease of </w:t>
      </w:r>
      <w:r>
        <w:rPr>
          <w:spacing w:val="-4"/>
          <w:lang w:val="en-GB"/>
        </w:rPr>
        <w:t>50.8</w:t>
      </w:r>
      <w:r w:rsidRPr="0026341D">
        <w:rPr>
          <w:spacing w:val="-4"/>
        </w:rPr>
        <w:t xml:space="preserve">% in the number of employees. The average registered capital of a newly established enterprise in the month reached </w:t>
      </w:r>
      <w:r>
        <w:rPr>
          <w:spacing w:val="-4"/>
          <w:lang w:val="en-GB"/>
        </w:rPr>
        <w:t>11.2</w:t>
      </w:r>
      <w:r w:rsidRPr="0026341D">
        <w:rPr>
          <w:spacing w:val="-4"/>
        </w:rPr>
        <w:t xml:space="preserve"> billion VND, down </w:t>
      </w:r>
      <w:r>
        <w:rPr>
          <w:spacing w:val="-4"/>
          <w:lang w:val="en-GB"/>
        </w:rPr>
        <w:t>4.4</w:t>
      </w:r>
      <w:r w:rsidRPr="0026341D">
        <w:rPr>
          <w:spacing w:val="-4"/>
        </w:rPr>
        <w:t xml:space="preserve">% over the previous month and </w:t>
      </w:r>
      <w:r>
        <w:rPr>
          <w:spacing w:val="-4"/>
          <w:lang w:val="en-GB"/>
        </w:rPr>
        <w:t>up 22.4</w:t>
      </w:r>
      <w:r w:rsidRPr="0026341D">
        <w:rPr>
          <w:spacing w:val="-4"/>
        </w:rPr>
        <w:t xml:space="preserve">% compared to the </w:t>
      </w:r>
      <w:r w:rsidRPr="0026341D">
        <w:rPr>
          <w:spacing w:val="-4"/>
        </w:rPr>
        <w:lastRenderedPageBreak/>
        <w:t>same period in 202</w:t>
      </w:r>
      <w:r>
        <w:rPr>
          <w:spacing w:val="-4"/>
          <w:lang w:val="en-GB"/>
        </w:rPr>
        <w:t>3</w:t>
      </w:r>
      <w:r w:rsidRPr="0026341D">
        <w:rPr>
          <w:spacing w:val="-4"/>
        </w:rPr>
        <w:t xml:space="preserve">. If including </w:t>
      </w:r>
      <w:r>
        <w:rPr>
          <w:spacing w:val="-4"/>
          <w:lang w:val="en-GB"/>
        </w:rPr>
        <w:t>218.7</w:t>
      </w:r>
      <w:r w:rsidRPr="0026341D">
        <w:rPr>
          <w:spacing w:val="-4"/>
        </w:rPr>
        <w:t xml:space="preserve"> trillion VND of the additionally registered capital of 4.</w:t>
      </w:r>
      <w:r>
        <w:rPr>
          <w:spacing w:val="-4"/>
          <w:lang w:val="en-GB"/>
        </w:rPr>
        <w:t>4</w:t>
      </w:r>
      <w:r w:rsidRPr="0026341D">
        <w:rPr>
          <w:spacing w:val="-4"/>
        </w:rPr>
        <w:t xml:space="preserve"> thousand enterprises increased capital, the total amount of additionally registered capital in the economy in January was 37</w:t>
      </w:r>
      <w:r>
        <w:rPr>
          <w:spacing w:val="-4"/>
          <w:lang w:val="en-GB"/>
        </w:rPr>
        <w:t>0</w:t>
      </w:r>
      <w:r w:rsidRPr="0026341D">
        <w:rPr>
          <w:spacing w:val="-4"/>
        </w:rPr>
        <w:t xml:space="preserve">.1 trillion VND, down </w:t>
      </w:r>
      <w:r>
        <w:rPr>
          <w:spacing w:val="-4"/>
          <w:lang w:val="en-GB"/>
        </w:rPr>
        <w:t>2.1</w:t>
      </w:r>
      <w:r w:rsidRPr="0026341D">
        <w:rPr>
          <w:spacing w:val="-4"/>
        </w:rPr>
        <w:t xml:space="preserve">% over the same period last year. In addition, there were </w:t>
      </w:r>
      <w:r>
        <w:rPr>
          <w:spacing w:val="-4"/>
          <w:lang w:val="en-GB"/>
        </w:rPr>
        <w:t>nearly 13.8</w:t>
      </w:r>
      <w:r w:rsidRPr="0026341D">
        <w:rPr>
          <w:spacing w:val="-4"/>
        </w:rPr>
        <w:t xml:space="preserve"> thousand re-operated enterprises (up </w:t>
      </w:r>
      <w:r>
        <w:rPr>
          <w:spacing w:val="-4"/>
          <w:lang w:val="en-GB"/>
        </w:rPr>
        <w:t>2.2 times</w:t>
      </w:r>
      <w:r w:rsidRPr="0026341D">
        <w:rPr>
          <w:spacing w:val="-4"/>
        </w:rPr>
        <w:t xml:space="preserve"> compared to December 202</w:t>
      </w:r>
      <w:r>
        <w:rPr>
          <w:spacing w:val="-4"/>
          <w:lang w:val="en-GB"/>
        </w:rPr>
        <w:t>3</w:t>
      </w:r>
      <w:r w:rsidRPr="0026341D">
        <w:rPr>
          <w:spacing w:val="-4"/>
        </w:rPr>
        <w:t xml:space="preserve"> and decreased by </w:t>
      </w:r>
      <w:r>
        <w:rPr>
          <w:spacing w:val="-4"/>
          <w:lang w:val="en-GB"/>
        </w:rPr>
        <w:t>8.4</w:t>
      </w:r>
      <w:r w:rsidRPr="0026341D">
        <w:rPr>
          <w:spacing w:val="-4"/>
        </w:rPr>
        <w:t>% compared to January 202</w:t>
      </w:r>
      <w:r>
        <w:rPr>
          <w:spacing w:val="-4"/>
          <w:lang w:val="en-GB"/>
        </w:rPr>
        <w:t>3</w:t>
      </w:r>
      <w:r w:rsidRPr="0026341D">
        <w:rPr>
          <w:spacing w:val="-4"/>
        </w:rPr>
        <w:t>), bringing the total number of newly-established enterprises and re-operated enterprises in January 202</w:t>
      </w:r>
      <w:r>
        <w:rPr>
          <w:spacing w:val="-4"/>
          <w:lang w:val="en-GB"/>
        </w:rPr>
        <w:t>4</w:t>
      </w:r>
      <w:r w:rsidRPr="0026341D">
        <w:rPr>
          <w:spacing w:val="-4"/>
        </w:rPr>
        <w:t xml:space="preserve"> to</w:t>
      </w:r>
      <w:r>
        <w:rPr>
          <w:spacing w:val="-4"/>
          <w:lang w:val="en-GB"/>
        </w:rPr>
        <w:t xml:space="preserve"> over 27.3</w:t>
      </w:r>
      <w:r w:rsidRPr="0026341D">
        <w:rPr>
          <w:spacing w:val="-4"/>
        </w:rPr>
        <w:t xml:space="preserve"> thousand enterprises, a</w:t>
      </w:r>
      <w:r>
        <w:rPr>
          <w:spacing w:val="-4"/>
          <w:lang w:val="en-GB"/>
        </w:rPr>
        <w:t>n in</w:t>
      </w:r>
      <w:r w:rsidRPr="0026341D">
        <w:rPr>
          <w:spacing w:val="-4"/>
        </w:rPr>
        <w:t xml:space="preserve">crease of </w:t>
      </w:r>
      <w:r>
        <w:rPr>
          <w:spacing w:val="-4"/>
          <w:lang w:val="en-GB"/>
        </w:rPr>
        <w:t>5.5</w:t>
      </w:r>
      <w:r w:rsidRPr="0026341D">
        <w:rPr>
          <w:spacing w:val="-4"/>
        </w:rPr>
        <w:t>% over the same period last year.</w:t>
      </w:r>
    </w:p>
    <w:p w14:paraId="3F1E7456" w14:textId="77777777" w:rsidR="007E3EAD" w:rsidRPr="0026341D" w:rsidRDefault="007E3EAD" w:rsidP="007E3EAD">
      <w:pPr>
        <w:tabs>
          <w:tab w:val="left" w:pos="1843"/>
        </w:tabs>
        <w:spacing w:after="40" w:line="276" w:lineRule="auto"/>
        <w:ind w:firstLine="567"/>
        <w:jc w:val="both"/>
        <w:rPr>
          <w:spacing w:val="-4"/>
        </w:rPr>
      </w:pPr>
      <w:bookmarkStart w:id="2" w:name="_Hlk126075137"/>
      <w:r w:rsidRPr="0026341D">
        <w:rPr>
          <w:spacing w:val="-4"/>
        </w:rPr>
        <w:t xml:space="preserve">By economic sector, January </w:t>
      </w:r>
      <w:bookmarkEnd w:id="2"/>
      <w:r>
        <w:rPr>
          <w:spacing w:val="-4"/>
          <w:lang w:val="en-GB"/>
        </w:rPr>
        <w:t>2024</w:t>
      </w:r>
      <w:r w:rsidRPr="0026341D">
        <w:rPr>
          <w:spacing w:val="-4"/>
        </w:rPr>
        <w:t xml:space="preserve"> there were </w:t>
      </w:r>
      <w:r>
        <w:rPr>
          <w:spacing w:val="-4"/>
          <w:lang w:val="en-GB"/>
        </w:rPr>
        <w:t>151</w:t>
      </w:r>
      <w:r w:rsidRPr="0026341D">
        <w:rPr>
          <w:spacing w:val="-4"/>
        </w:rPr>
        <w:t xml:space="preserve"> newly-established enterprises in the agriculture, forestry, and fishery sector, </w:t>
      </w:r>
      <w:r>
        <w:rPr>
          <w:spacing w:val="-4"/>
          <w:lang w:val="en-GB"/>
        </w:rPr>
        <w:t>up 20.8</w:t>
      </w:r>
      <w:r w:rsidRPr="0026341D">
        <w:rPr>
          <w:spacing w:val="-4"/>
        </w:rPr>
        <w:t xml:space="preserve">% over the same period last year; </w:t>
      </w:r>
      <w:r>
        <w:rPr>
          <w:spacing w:val="-4"/>
          <w:lang w:val="en-GB"/>
        </w:rPr>
        <w:t>3,208</w:t>
      </w:r>
      <w:r w:rsidRPr="0026341D">
        <w:rPr>
          <w:spacing w:val="-4"/>
        </w:rPr>
        <w:t xml:space="preserve"> enterprises in the industry and construction sector, </w:t>
      </w:r>
      <w:r>
        <w:rPr>
          <w:spacing w:val="-4"/>
          <w:lang w:val="en-GB"/>
        </w:rPr>
        <w:t>up 26.3</w:t>
      </w:r>
      <w:r w:rsidRPr="0026341D">
        <w:rPr>
          <w:spacing w:val="-4"/>
        </w:rPr>
        <w:t xml:space="preserve">%; </w:t>
      </w:r>
      <w:r>
        <w:rPr>
          <w:spacing w:val="-4"/>
          <w:lang w:val="en-GB"/>
        </w:rPr>
        <w:t>10.2 thousand</w:t>
      </w:r>
      <w:r w:rsidRPr="0026341D">
        <w:rPr>
          <w:spacing w:val="-4"/>
        </w:rPr>
        <w:t xml:space="preserve"> enterprises in the service sector, </w:t>
      </w:r>
      <w:r>
        <w:rPr>
          <w:spacing w:val="-4"/>
          <w:lang w:val="en-GB"/>
        </w:rPr>
        <w:t>up 24.4</w:t>
      </w:r>
      <w:r w:rsidRPr="0026341D">
        <w:rPr>
          <w:spacing w:val="-4"/>
        </w:rPr>
        <w:t>%.</w:t>
      </w:r>
    </w:p>
    <w:p w14:paraId="0E61EB6D" w14:textId="77777777" w:rsidR="007E3EAD" w:rsidRDefault="007E3EAD" w:rsidP="007E3EAD">
      <w:pPr>
        <w:tabs>
          <w:tab w:val="left" w:pos="1843"/>
        </w:tabs>
        <w:spacing w:before="40" w:after="40" w:line="276" w:lineRule="auto"/>
        <w:jc w:val="center"/>
        <w:rPr>
          <w:noProof/>
        </w:rPr>
      </w:pPr>
      <w:r>
        <w:rPr>
          <w:rFonts w:ascii="Arial" w:hAnsi="Arial" w:cs="Arial"/>
          <w:b/>
          <w:sz w:val="24"/>
          <w:szCs w:val="24"/>
          <w:lang w:val="it-IT"/>
        </w:rPr>
        <w:t>Figure</w:t>
      </w:r>
      <w:r w:rsidRPr="00DD1073">
        <w:rPr>
          <w:rFonts w:ascii="Arial" w:hAnsi="Arial" w:cs="Arial"/>
          <w:b/>
          <w:sz w:val="24"/>
          <w:lang w:val="it-IT"/>
        </w:rPr>
        <w:t xml:space="preserve"> 5. </w:t>
      </w:r>
      <w:r>
        <w:rPr>
          <w:rFonts w:ascii="Arial" w:hAnsi="Arial" w:cs="Arial"/>
          <w:b/>
          <w:sz w:val="24"/>
          <w:szCs w:val="24"/>
          <w:lang w:val="it-IT"/>
        </w:rPr>
        <w:t>Enterprise registration status</w:t>
      </w:r>
      <w:r>
        <w:rPr>
          <w:noProof/>
          <w:lang w:val="en-GB" w:eastAsia="en-GB"/>
        </w:rPr>
        <w:t xml:space="preserve"> </w:t>
      </w:r>
    </w:p>
    <w:p w14:paraId="5D916274" w14:textId="77777777" w:rsidR="007E3EAD" w:rsidRPr="00DB0E95" w:rsidRDefault="007E3EAD" w:rsidP="007E3EAD">
      <w:pPr>
        <w:tabs>
          <w:tab w:val="left" w:pos="1843"/>
        </w:tabs>
        <w:spacing w:before="40" w:after="40" w:line="276" w:lineRule="auto"/>
        <w:jc w:val="center"/>
        <w:rPr>
          <w:lang w:val="it-IT"/>
        </w:rPr>
      </w:pPr>
      <w:r w:rsidRPr="00ED369D">
        <w:rPr>
          <w:noProof/>
          <w:lang w:val="en-GB" w:eastAsia="en-GB"/>
        </w:rPr>
        <w:drawing>
          <wp:inline distT="0" distB="0" distL="0" distR="0" wp14:anchorId="04581C23" wp14:editId="433C2575">
            <wp:extent cx="5699760" cy="2986486"/>
            <wp:effectExtent l="0" t="0" r="0" b="0"/>
            <wp:docPr id="547548704" name="Picture 547548704" descr="C:\Users\dtphong\Downloads\Doanh nghiep (1)_Doanh nghiep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phong\Downloads\Doanh nghiep (1)_Doanh nghiep cop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9760" cy="2986486"/>
                    </a:xfrm>
                    <a:prstGeom prst="rect">
                      <a:avLst/>
                    </a:prstGeom>
                    <a:noFill/>
                    <a:ln>
                      <a:noFill/>
                    </a:ln>
                  </pic:spPr>
                </pic:pic>
              </a:graphicData>
            </a:graphic>
          </wp:inline>
        </w:drawing>
      </w:r>
    </w:p>
    <w:p w14:paraId="2D7ADC46" w14:textId="77777777" w:rsidR="007E3EAD" w:rsidRDefault="007E3EAD" w:rsidP="007E3EAD">
      <w:pPr>
        <w:tabs>
          <w:tab w:val="left" w:pos="1843"/>
        </w:tabs>
        <w:spacing w:after="40" w:line="276" w:lineRule="auto"/>
        <w:ind w:firstLine="567"/>
        <w:jc w:val="both"/>
        <w:rPr>
          <w:lang w:val="it-IT"/>
        </w:rPr>
      </w:pPr>
      <w:r w:rsidRPr="00387E47">
        <w:rPr>
          <w:spacing w:val="-4"/>
        </w:rPr>
        <w:t xml:space="preserve">In </w:t>
      </w:r>
      <w:r>
        <w:rPr>
          <w:spacing w:val="-4"/>
        </w:rPr>
        <w:t>January</w:t>
      </w:r>
      <w:r w:rsidRPr="00387E47">
        <w:rPr>
          <w:spacing w:val="-4"/>
        </w:rPr>
        <w:t xml:space="preserve"> </w:t>
      </w:r>
      <w:r w:rsidRPr="00014363">
        <w:rPr>
          <w:lang w:val="it-IT"/>
        </w:rPr>
        <w:t>202</w:t>
      </w:r>
      <w:r>
        <w:rPr>
          <w:lang w:val="it-IT"/>
        </w:rPr>
        <w:t>4,</w:t>
      </w:r>
      <w:r w:rsidRPr="00014363">
        <w:rPr>
          <w:lang w:val="it-IT"/>
        </w:rPr>
        <w:t xml:space="preserve"> </w:t>
      </w:r>
      <w:r>
        <w:rPr>
          <w:lang w:val="it-IT"/>
        </w:rPr>
        <w:t>43.9 thousand</w:t>
      </w:r>
      <w:r w:rsidRPr="00014363">
        <w:rPr>
          <w:lang w:val="it-IT"/>
        </w:rPr>
        <w:t xml:space="preserve"> </w:t>
      </w:r>
      <w:r w:rsidRPr="00387E47">
        <w:rPr>
          <w:spacing w:val="-4"/>
        </w:rPr>
        <w:t>enterprises ceased for a certain time</w:t>
      </w:r>
      <w:r>
        <w:rPr>
          <w:spacing w:val="-4"/>
          <w:lang w:val="en-US"/>
        </w:rPr>
        <w:t>,</w:t>
      </w:r>
      <w:r w:rsidRPr="00387E47">
        <w:rPr>
          <w:spacing w:val="-4"/>
        </w:rPr>
        <w:t xml:space="preserve"> an increase of</w:t>
      </w:r>
      <w:r>
        <w:rPr>
          <w:lang w:val="it-IT"/>
        </w:rPr>
        <w:t xml:space="preserve"> 25.5</w:t>
      </w:r>
      <w:r w:rsidRPr="00014363">
        <w:rPr>
          <w:lang w:val="it-IT"/>
        </w:rPr>
        <w:t xml:space="preserve">% </w:t>
      </w:r>
      <w:r w:rsidRPr="00387E47">
        <w:rPr>
          <w:spacing w:val="-4"/>
        </w:rPr>
        <w:t xml:space="preserve">compared to the same period </w:t>
      </w:r>
      <w:r>
        <w:rPr>
          <w:lang w:val="it-IT"/>
        </w:rPr>
        <w:t>2023</w:t>
      </w:r>
      <w:r w:rsidRPr="00014363">
        <w:rPr>
          <w:lang w:val="it-IT"/>
        </w:rPr>
        <w:t xml:space="preserve">; </w:t>
      </w:r>
      <w:r>
        <w:rPr>
          <w:lang w:val="it-IT"/>
        </w:rPr>
        <w:t>7,798</w:t>
      </w:r>
      <w:r w:rsidRPr="00014363">
        <w:rPr>
          <w:lang w:val="it-IT"/>
        </w:rPr>
        <w:t xml:space="preserve"> </w:t>
      </w:r>
      <w:r w:rsidRPr="00387E47">
        <w:rPr>
          <w:spacing w:val="-4"/>
        </w:rPr>
        <w:t>enterprises temporarily ceased and awaited dissolution procedures</w:t>
      </w:r>
      <w:r>
        <w:rPr>
          <w:lang w:val="it-IT"/>
        </w:rPr>
        <w:t>,</w:t>
      </w:r>
      <w:r w:rsidRPr="00014363">
        <w:rPr>
          <w:lang w:val="it-IT"/>
        </w:rPr>
        <w:t xml:space="preserve"> </w:t>
      </w:r>
      <w:r>
        <w:rPr>
          <w:lang w:val="it-IT"/>
        </w:rPr>
        <w:t>up 14</w:t>
      </w:r>
      <w:r w:rsidRPr="00014363">
        <w:rPr>
          <w:lang w:val="it-IT"/>
        </w:rPr>
        <w:t>%; 2</w:t>
      </w:r>
      <w:r>
        <w:rPr>
          <w:lang w:val="it-IT"/>
        </w:rPr>
        <w:t>,165</w:t>
      </w:r>
      <w:r w:rsidRPr="00014363">
        <w:rPr>
          <w:lang w:val="it-IT"/>
        </w:rPr>
        <w:t xml:space="preserve"> </w:t>
      </w:r>
      <w:r w:rsidRPr="00387E47">
        <w:rPr>
          <w:spacing w:val="-4"/>
        </w:rPr>
        <w:t>enterprises completed dissolution procedures</w:t>
      </w:r>
      <w:r>
        <w:rPr>
          <w:lang w:val="it-IT"/>
        </w:rPr>
        <w:t>,</w:t>
      </w:r>
      <w:r w:rsidRPr="00014363">
        <w:rPr>
          <w:lang w:val="it-IT"/>
        </w:rPr>
        <w:t xml:space="preserve"> </w:t>
      </w:r>
      <w:r>
        <w:rPr>
          <w:lang w:val="it-IT"/>
        </w:rPr>
        <w:t>up</w:t>
      </w:r>
      <w:r w:rsidRPr="00014363">
        <w:rPr>
          <w:lang w:val="it-IT"/>
        </w:rPr>
        <w:t xml:space="preserve"> </w:t>
      </w:r>
      <w:r>
        <w:rPr>
          <w:lang w:val="it-IT"/>
        </w:rPr>
        <w:t>6.2</w:t>
      </w:r>
      <w:r w:rsidRPr="00014363">
        <w:rPr>
          <w:lang w:val="it-IT"/>
        </w:rPr>
        <w:t>%.</w:t>
      </w:r>
    </w:p>
    <w:p w14:paraId="5D6144FE" w14:textId="77777777" w:rsidR="007E3EAD" w:rsidRPr="00DD1073" w:rsidRDefault="007E3EAD" w:rsidP="007E3EAD">
      <w:pPr>
        <w:tabs>
          <w:tab w:val="left" w:pos="1843"/>
          <w:tab w:val="left" w:pos="6810"/>
        </w:tabs>
        <w:spacing w:before="120" w:after="120" w:line="276" w:lineRule="auto"/>
        <w:jc w:val="center"/>
        <w:rPr>
          <w:rFonts w:ascii="Arial" w:hAnsi="Arial" w:cs="Arial"/>
          <w:b/>
          <w:sz w:val="24"/>
          <w:lang w:val="it-IT"/>
        </w:rPr>
      </w:pPr>
      <w:r>
        <w:rPr>
          <w:rFonts w:ascii="Arial" w:hAnsi="Arial" w:cs="Arial"/>
          <w:b/>
          <w:sz w:val="24"/>
          <w:szCs w:val="20"/>
          <w:lang w:val="it-IT"/>
        </w:rPr>
        <w:t>Table</w:t>
      </w:r>
      <w:r w:rsidRPr="00DD1073">
        <w:rPr>
          <w:rFonts w:ascii="Arial" w:hAnsi="Arial" w:cs="Arial"/>
          <w:b/>
          <w:sz w:val="24"/>
          <w:lang w:val="it-IT"/>
        </w:rPr>
        <w:t xml:space="preserve"> 2. </w:t>
      </w:r>
      <w:r w:rsidRPr="005B2FFF">
        <w:rPr>
          <w:rFonts w:ascii="Arial" w:hAnsi="Arial" w:cs="Arial"/>
          <w:b/>
          <w:sz w:val="24"/>
          <w:lang w:val="it-IT"/>
        </w:rPr>
        <w:t xml:space="preserve">Number of newly registered enterprises and  completed dissolution </w:t>
      </w:r>
      <w:r w:rsidRPr="00280098">
        <w:rPr>
          <w:rFonts w:ascii="Arial" w:hAnsi="Arial" w:cs="Arial"/>
          <w:b/>
          <w:sz w:val="24"/>
          <w:szCs w:val="20"/>
          <w:lang w:val="it-IT"/>
        </w:rPr>
        <w:t xml:space="preserve">procedures in </w:t>
      </w:r>
      <w:r>
        <w:rPr>
          <w:rFonts w:ascii="Arial" w:hAnsi="Arial" w:cs="Arial"/>
          <w:b/>
          <w:sz w:val="24"/>
          <w:szCs w:val="20"/>
          <w:lang w:val="it-IT"/>
        </w:rPr>
        <w:t xml:space="preserve">January 2024 </w:t>
      </w:r>
      <w:r w:rsidRPr="005B2FFF">
        <w:rPr>
          <w:rFonts w:ascii="Arial" w:hAnsi="Arial" w:cs="Arial"/>
          <w:b/>
          <w:sz w:val="24"/>
          <w:lang w:val="it-IT"/>
        </w:rPr>
        <w:t>by kinds of some activity</w:t>
      </w:r>
    </w:p>
    <w:p w14:paraId="77A09CC3" w14:textId="77777777" w:rsidR="007E3EAD" w:rsidRPr="00677041" w:rsidRDefault="007E3EAD" w:rsidP="007E3EAD">
      <w:pPr>
        <w:tabs>
          <w:tab w:val="left" w:pos="1843"/>
          <w:tab w:val="left" w:pos="6810"/>
        </w:tabs>
        <w:spacing w:line="276" w:lineRule="auto"/>
        <w:jc w:val="center"/>
        <w:rPr>
          <w:b/>
          <w:sz w:val="8"/>
          <w:lang w:val="it-IT"/>
        </w:rPr>
      </w:pPr>
    </w:p>
    <w:tbl>
      <w:tblPr>
        <w:tblW w:w="9438" w:type="dxa"/>
        <w:jc w:val="center"/>
        <w:tblLook w:val="04A0" w:firstRow="1" w:lastRow="0" w:firstColumn="1" w:lastColumn="0" w:noHBand="0" w:noVBand="1"/>
      </w:tblPr>
      <w:tblGrid>
        <w:gridCol w:w="3963"/>
        <w:gridCol w:w="1573"/>
        <w:gridCol w:w="1195"/>
        <w:gridCol w:w="1512"/>
        <w:gridCol w:w="1195"/>
      </w:tblGrid>
      <w:tr w:rsidR="007E3EAD" w:rsidRPr="005519E7" w14:paraId="4EB0ED89" w14:textId="77777777" w:rsidTr="008278F8">
        <w:trPr>
          <w:cantSplit/>
          <w:trHeight w:val="629"/>
          <w:jc w:val="center"/>
        </w:trPr>
        <w:tc>
          <w:tcPr>
            <w:tcW w:w="3963" w:type="dxa"/>
            <w:vMerge w:val="restart"/>
            <w:tcBorders>
              <w:top w:val="single" w:sz="4" w:space="0" w:color="auto"/>
            </w:tcBorders>
            <w:shd w:val="clear" w:color="auto" w:fill="auto"/>
            <w:noWrap/>
            <w:vAlign w:val="bottom"/>
            <w:hideMark/>
          </w:tcPr>
          <w:p w14:paraId="67AAD288" w14:textId="77777777" w:rsidR="007E3EAD" w:rsidRPr="005519E7" w:rsidRDefault="007E3EAD" w:rsidP="008278F8">
            <w:pPr>
              <w:tabs>
                <w:tab w:val="left" w:pos="1843"/>
              </w:tabs>
              <w:spacing w:before="40" w:after="40" w:line="276" w:lineRule="auto"/>
              <w:jc w:val="center"/>
              <w:rPr>
                <w:rFonts w:ascii="Arial" w:hAnsi="Arial" w:cs="Arial"/>
                <w:color w:val="000000"/>
                <w:sz w:val="20"/>
                <w:szCs w:val="20"/>
                <w:lang w:val="it-IT"/>
              </w:rPr>
            </w:pPr>
            <w:r w:rsidRPr="005519E7">
              <w:rPr>
                <w:rFonts w:ascii="Arial" w:hAnsi="Arial" w:cs="Arial"/>
                <w:color w:val="000000"/>
                <w:sz w:val="20"/>
                <w:szCs w:val="20"/>
                <w:lang w:val="it-IT"/>
              </w:rPr>
              <w:t> </w:t>
            </w:r>
          </w:p>
        </w:tc>
        <w:tc>
          <w:tcPr>
            <w:tcW w:w="2768" w:type="dxa"/>
            <w:gridSpan w:val="2"/>
            <w:tcBorders>
              <w:top w:val="single" w:sz="4" w:space="0" w:color="auto"/>
              <w:bottom w:val="single" w:sz="4" w:space="0" w:color="auto"/>
            </w:tcBorders>
            <w:shd w:val="clear" w:color="auto" w:fill="auto"/>
            <w:vAlign w:val="center"/>
            <w:hideMark/>
          </w:tcPr>
          <w:p w14:paraId="1F5BA89D" w14:textId="77777777" w:rsidR="007E3EAD" w:rsidRPr="005519E7" w:rsidRDefault="007E3EAD" w:rsidP="008278F8">
            <w:pPr>
              <w:tabs>
                <w:tab w:val="left" w:pos="1843"/>
              </w:tabs>
              <w:spacing w:before="40" w:after="40" w:line="276" w:lineRule="auto"/>
              <w:jc w:val="center"/>
              <w:rPr>
                <w:rFonts w:ascii="Arial" w:hAnsi="Arial" w:cs="Arial"/>
                <w:bCs/>
                <w:color w:val="000000"/>
                <w:sz w:val="20"/>
                <w:szCs w:val="20"/>
                <w:lang w:val="it-IT"/>
              </w:rPr>
            </w:pPr>
            <w:r w:rsidRPr="005519E7">
              <w:rPr>
                <w:rFonts w:ascii="Arial" w:hAnsi="Arial" w:cs="Arial"/>
                <w:bCs/>
                <w:color w:val="000000"/>
                <w:sz w:val="20"/>
                <w:szCs w:val="20"/>
              </w:rPr>
              <w:t>Number of enterprises (Enterprise)</w:t>
            </w:r>
          </w:p>
        </w:tc>
        <w:tc>
          <w:tcPr>
            <w:tcW w:w="2707" w:type="dxa"/>
            <w:gridSpan w:val="2"/>
            <w:tcBorders>
              <w:top w:val="single" w:sz="4" w:space="0" w:color="auto"/>
              <w:bottom w:val="single" w:sz="4" w:space="0" w:color="auto"/>
            </w:tcBorders>
            <w:shd w:val="clear" w:color="auto" w:fill="auto"/>
            <w:vAlign w:val="center"/>
            <w:hideMark/>
          </w:tcPr>
          <w:p w14:paraId="1A605685" w14:textId="77777777" w:rsidR="007E3EAD" w:rsidRPr="005519E7" w:rsidRDefault="007E3EAD" w:rsidP="008278F8">
            <w:pPr>
              <w:spacing w:before="40" w:after="40" w:line="276" w:lineRule="auto"/>
              <w:jc w:val="center"/>
              <w:rPr>
                <w:rFonts w:ascii="Arial" w:hAnsi="Arial" w:cs="Arial"/>
                <w:bCs/>
                <w:color w:val="000000"/>
                <w:sz w:val="20"/>
                <w:szCs w:val="20"/>
              </w:rPr>
            </w:pPr>
            <w:r w:rsidRPr="005519E7">
              <w:rPr>
                <w:rFonts w:ascii="Arial" w:hAnsi="Arial" w:cs="Arial"/>
                <w:bCs/>
                <w:color w:val="000000"/>
                <w:sz w:val="20"/>
                <w:szCs w:val="20"/>
                <w:lang w:val="en-GB"/>
              </w:rPr>
              <w:t>Growth</w:t>
            </w:r>
            <w:r w:rsidRPr="005519E7">
              <w:rPr>
                <w:rFonts w:ascii="Arial" w:hAnsi="Arial" w:cs="Arial"/>
                <w:bCs/>
                <w:color w:val="000000"/>
                <w:sz w:val="20"/>
                <w:szCs w:val="20"/>
              </w:rPr>
              <w:t xml:space="preserve"> rate </w:t>
            </w:r>
          </w:p>
          <w:p w14:paraId="7CE3EABA" w14:textId="77777777" w:rsidR="007E3EAD" w:rsidRPr="005519E7" w:rsidRDefault="007E3EAD" w:rsidP="008278F8">
            <w:pPr>
              <w:tabs>
                <w:tab w:val="left" w:pos="1843"/>
              </w:tabs>
              <w:spacing w:before="40" w:after="40" w:line="276" w:lineRule="auto"/>
              <w:jc w:val="center"/>
              <w:rPr>
                <w:rFonts w:ascii="Arial" w:hAnsi="Arial" w:cs="Arial"/>
                <w:bCs/>
                <w:color w:val="000000"/>
                <w:sz w:val="20"/>
                <w:szCs w:val="20"/>
                <w:lang w:val="it-IT"/>
              </w:rPr>
            </w:pPr>
            <w:r w:rsidRPr="005519E7">
              <w:rPr>
                <w:rFonts w:ascii="Arial" w:hAnsi="Arial" w:cs="Arial"/>
                <w:bCs/>
                <w:color w:val="000000"/>
                <w:sz w:val="20"/>
                <w:szCs w:val="20"/>
              </w:rPr>
              <w:t>over the same period last year (%)</w:t>
            </w:r>
            <w:r w:rsidRPr="005519E7">
              <w:rPr>
                <w:rFonts w:ascii="Arial" w:hAnsi="Arial" w:cs="Arial"/>
                <w:bCs/>
                <w:color w:val="000000"/>
                <w:sz w:val="20"/>
                <w:szCs w:val="20"/>
                <w:lang w:val="it-IT"/>
              </w:rPr>
              <w:t xml:space="preserve"> </w:t>
            </w:r>
          </w:p>
        </w:tc>
      </w:tr>
      <w:tr w:rsidR="007E3EAD" w:rsidRPr="005519E7" w14:paraId="28C02CFB" w14:textId="77777777" w:rsidTr="008278F8">
        <w:trPr>
          <w:cantSplit/>
          <w:trHeight w:val="369"/>
          <w:jc w:val="center"/>
        </w:trPr>
        <w:tc>
          <w:tcPr>
            <w:tcW w:w="3963" w:type="dxa"/>
            <w:vMerge/>
            <w:vAlign w:val="center"/>
            <w:hideMark/>
          </w:tcPr>
          <w:p w14:paraId="7495864B" w14:textId="77777777" w:rsidR="007E3EAD" w:rsidRPr="005519E7" w:rsidRDefault="007E3EAD" w:rsidP="008278F8">
            <w:pPr>
              <w:tabs>
                <w:tab w:val="left" w:pos="1843"/>
              </w:tabs>
              <w:spacing w:before="40" w:after="40" w:line="276" w:lineRule="auto"/>
              <w:rPr>
                <w:rFonts w:ascii="Arial" w:hAnsi="Arial" w:cs="Arial"/>
                <w:color w:val="000000"/>
                <w:sz w:val="20"/>
                <w:szCs w:val="20"/>
                <w:lang w:val="it-IT"/>
              </w:rPr>
            </w:pPr>
          </w:p>
        </w:tc>
        <w:tc>
          <w:tcPr>
            <w:tcW w:w="1573" w:type="dxa"/>
            <w:tcBorders>
              <w:top w:val="single" w:sz="4" w:space="0" w:color="auto"/>
              <w:bottom w:val="single" w:sz="4" w:space="0" w:color="auto"/>
            </w:tcBorders>
            <w:shd w:val="clear" w:color="auto" w:fill="auto"/>
            <w:vAlign w:val="center"/>
            <w:hideMark/>
          </w:tcPr>
          <w:p w14:paraId="274DF02C" w14:textId="77777777" w:rsidR="007E3EAD" w:rsidRPr="005519E7" w:rsidRDefault="007E3EAD" w:rsidP="008278F8">
            <w:pPr>
              <w:tabs>
                <w:tab w:val="left" w:pos="1843"/>
              </w:tabs>
              <w:spacing w:before="40" w:after="40" w:line="276" w:lineRule="auto"/>
              <w:jc w:val="center"/>
              <w:rPr>
                <w:rFonts w:ascii="Arial" w:hAnsi="Arial" w:cs="Arial"/>
                <w:bCs/>
                <w:color w:val="000000"/>
                <w:sz w:val="20"/>
                <w:szCs w:val="20"/>
              </w:rPr>
            </w:pPr>
            <w:r w:rsidRPr="005519E7">
              <w:rPr>
                <w:rFonts w:ascii="Arial" w:hAnsi="Arial" w:cs="Arial"/>
                <w:bCs/>
                <w:color w:val="000000"/>
                <w:sz w:val="20"/>
                <w:szCs w:val="20"/>
              </w:rPr>
              <w:t>Newly registered</w:t>
            </w:r>
          </w:p>
        </w:tc>
        <w:tc>
          <w:tcPr>
            <w:tcW w:w="1195" w:type="dxa"/>
            <w:tcBorders>
              <w:top w:val="single" w:sz="4" w:space="0" w:color="auto"/>
              <w:bottom w:val="single" w:sz="4" w:space="0" w:color="auto"/>
            </w:tcBorders>
            <w:shd w:val="clear" w:color="auto" w:fill="auto"/>
            <w:vAlign w:val="center"/>
            <w:hideMark/>
          </w:tcPr>
          <w:p w14:paraId="74038473" w14:textId="77777777" w:rsidR="007E3EAD" w:rsidRPr="005519E7" w:rsidRDefault="007E3EAD" w:rsidP="008278F8">
            <w:pPr>
              <w:tabs>
                <w:tab w:val="left" w:pos="1843"/>
              </w:tabs>
              <w:spacing w:before="40" w:after="40" w:line="276" w:lineRule="auto"/>
              <w:jc w:val="center"/>
              <w:rPr>
                <w:rFonts w:ascii="Arial" w:hAnsi="Arial" w:cs="Arial"/>
                <w:bCs/>
                <w:color w:val="000000"/>
                <w:sz w:val="20"/>
                <w:szCs w:val="20"/>
              </w:rPr>
            </w:pPr>
            <w:r w:rsidRPr="005519E7">
              <w:rPr>
                <w:rFonts w:ascii="Arial" w:hAnsi="Arial" w:cs="Arial"/>
                <w:bCs/>
                <w:color w:val="000000"/>
                <w:sz w:val="20"/>
                <w:szCs w:val="20"/>
              </w:rPr>
              <w:t>Dissolution</w:t>
            </w:r>
          </w:p>
        </w:tc>
        <w:tc>
          <w:tcPr>
            <w:tcW w:w="1512" w:type="dxa"/>
            <w:tcBorders>
              <w:top w:val="single" w:sz="4" w:space="0" w:color="auto"/>
              <w:bottom w:val="single" w:sz="4" w:space="0" w:color="auto"/>
            </w:tcBorders>
            <w:shd w:val="clear" w:color="auto" w:fill="auto"/>
            <w:vAlign w:val="center"/>
            <w:hideMark/>
          </w:tcPr>
          <w:p w14:paraId="45FD2005" w14:textId="77777777" w:rsidR="007E3EAD" w:rsidRPr="005519E7" w:rsidRDefault="007E3EAD" w:rsidP="008278F8">
            <w:pPr>
              <w:tabs>
                <w:tab w:val="left" w:pos="1843"/>
              </w:tabs>
              <w:spacing w:before="40" w:after="40" w:line="276" w:lineRule="auto"/>
              <w:jc w:val="center"/>
              <w:rPr>
                <w:rFonts w:ascii="Arial" w:hAnsi="Arial" w:cs="Arial"/>
                <w:bCs/>
                <w:color w:val="000000"/>
                <w:sz w:val="20"/>
                <w:szCs w:val="20"/>
              </w:rPr>
            </w:pPr>
            <w:r w:rsidRPr="005519E7">
              <w:rPr>
                <w:rFonts w:ascii="Arial" w:hAnsi="Arial" w:cs="Arial"/>
                <w:bCs/>
                <w:color w:val="000000"/>
                <w:sz w:val="20"/>
                <w:szCs w:val="20"/>
              </w:rPr>
              <w:t>Newly registered</w:t>
            </w:r>
          </w:p>
        </w:tc>
        <w:tc>
          <w:tcPr>
            <w:tcW w:w="1195" w:type="dxa"/>
            <w:tcBorders>
              <w:top w:val="single" w:sz="4" w:space="0" w:color="auto"/>
              <w:bottom w:val="single" w:sz="4" w:space="0" w:color="auto"/>
            </w:tcBorders>
            <w:shd w:val="clear" w:color="auto" w:fill="auto"/>
            <w:vAlign w:val="center"/>
            <w:hideMark/>
          </w:tcPr>
          <w:p w14:paraId="1AC23D8E" w14:textId="77777777" w:rsidR="007E3EAD" w:rsidRPr="005519E7" w:rsidRDefault="007E3EAD" w:rsidP="008278F8">
            <w:pPr>
              <w:tabs>
                <w:tab w:val="left" w:pos="1843"/>
              </w:tabs>
              <w:spacing w:before="40" w:after="40" w:line="276" w:lineRule="auto"/>
              <w:jc w:val="center"/>
              <w:rPr>
                <w:rFonts w:ascii="Arial" w:hAnsi="Arial" w:cs="Arial"/>
                <w:bCs/>
                <w:color w:val="000000"/>
                <w:sz w:val="20"/>
                <w:szCs w:val="20"/>
              </w:rPr>
            </w:pPr>
            <w:r w:rsidRPr="005519E7">
              <w:rPr>
                <w:rFonts w:ascii="Arial" w:hAnsi="Arial" w:cs="Arial"/>
                <w:bCs/>
                <w:color w:val="000000"/>
                <w:sz w:val="20"/>
                <w:szCs w:val="20"/>
              </w:rPr>
              <w:t>Dissolution</w:t>
            </w:r>
          </w:p>
        </w:tc>
      </w:tr>
      <w:tr w:rsidR="007E3EAD" w:rsidRPr="005519E7" w14:paraId="76D8E02F" w14:textId="77777777" w:rsidTr="008278F8">
        <w:trPr>
          <w:cantSplit/>
          <w:trHeight w:val="355"/>
          <w:jc w:val="center"/>
        </w:trPr>
        <w:tc>
          <w:tcPr>
            <w:tcW w:w="3963" w:type="dxa"/>
            <w:shd w:val="clear" w:color="auto" w:fill="auto"/>
            <w:noWrap/>
            <w:vAlign w:val="bottom"/>
            <w:hideMark/>
          </w:tcPr>
          <w:p w14:paraId="6F8A5C18" w14:textId="77777777" w:rsidR="007E3EAD" w:rsidRPr="005519E7" w:rsidRDefault="007E3EAD" w:rsidP="008278F8">
            <w:pPr>
              <w:tabs>
                <w:tab w:val="left" w:pos="1843"/>
              </w:tabs>
              <w:spacing w:before="40" w:after="40" w:line="276" w:lineRule="auto"/>
              <w:rPr>
                <w:rFonts w:ascii="Arial" w:hAnsi="Arial" w:cs="Arial"/>
                <w:color w:val="000000"/>
                <w:sz w:val="20"/>
                <w:szCs w:val="20"/>
              </w:rPr>
            </w:pPr>
            <w:r w:rsidRPr="005519E7">
              <w:rPr>
                <w:rFonts w:ascii="Arial" w:hAnsi="Arial" w:cs="Arial"/>
                <w:color w:val="000000"/>
                <w:sz w:val="20"/>
                <w:szCs w:val="20"/>
              </w:rPr>
              <w:t>Wholesale and retail trade; repair of motor vehicles and motorcycles</w:t>
            </w:r>
          </w:p>
        </w:tc>
        <w:tc>
          <w:tcPr>
            <w:tcW w:w="1573" w:type="dxa"/>
            <w:tcBorders>
              <w:top w:val="single" w:sz="4" w:space="0" w:color="auto"/>
            </w:tcBorders>
            <w:shd w:val="clear" w:color="auto" w:fill="auto"/>
            <w:noWrap/>
            <w:vAlign w:val="bottom"/>
          </w:tcPr>
          <w:p w14:paraId="29FBE66D" w14:textId="77777777" w:rsidR="007E3EAD" w:rsidRPr="005519E7" w:rsidRDefault="007E3EAD" w:rsidP="008278F8">
            <w:pPr>
              <w:tabs>
                <w:tab w:val="left" w:pos="1843"/>
              </w:tabs>
              <w:spacing w:before="40" w:after="40" w:line="276" w:lineRule="auto"/>
              <w:ind w:right="176"/>
              <w:jc w:val="right"/>
              <w:rPr>
                <w:rFonts w:ascii="Arial" w:hAnsi="Arial" w:cs="Arial"/>
                <w:sz w:val="20"/>
                <w:szCs w:val="20"/>
              </w:rPr>
            </w:pPr>
            <w:r>
              <w:rPr>
                <w:rFonts w:ascii="Arial" w:hAnsi="Arial" w:cs="Arial"/>
                <w:sz w:val="20"/>
                <w:szCs w:val="20"/>
              </w:rPr>
              <w:t>5</w:t>
            </w:r>
            <w:r>
              <w:rPr>
                <w:rFonts w:ascii="Arial" w:hAnsi="Arial" w:cs="Arial"/>
                <w:sz w:val="20"/>
                <w:szCs w:val="20"/>
                <w:lang w:val="en-GB"/>
              </w:rPr>
              <w:t>,</w:t>
            </w:r>
            <w:r>
              <w:rPr>
                <w:rFonts w:ascii="Arial" w:hAnsi="Arial" w:cs="Arial"/>
                <w:sz w:val="20"/>
                <w:szCs w:val="20"/>
              </w:rPr>
              <w:t>525</w:t>
            </w:r>
          </w:p>
        </w:tc>
        <w:tc>
          <w:tcPr>
            <w:tcW w:w="1195" w:type="dxa"/>
            <w:tcBorders>
              <w:top w:val="single" w:sz="4" w:space="0" w:color="auto"/>
            </w:tcBorders>
            <w:shd w:val="clear" w:color="auto" w:fill="auto"/>
            <w:noWrap/>
            <w:vAlign w:val="bottom"/>
          </w:tcPr>
          <w:p w14:paraId="3FC3B80B" w14:textId="77777777" w:rsidR="007E3EAD" w:rsidRPr="005519E7" w:rsidRDefault="007E3EAD" w:rsidP="008278F8">
            <w:pPr>
              <w:tabs>
                <w:tab w:val="left" w:pos="1843"/>
              </w:tabs>
              <w:spacing w:before="40" w:after="40" w:line="276" w:lineRule="auto"/>
              <w:ind w:right="176"/>
              <w:jc w:val="right"/>
              <w:rPr>
                <w:rFonts w:ascii="Arial" w:hAnsi="Arial" w:cs="Arial"/>
                <w:sz w:val="20"/>
                <w:szCs w:val="20"/>
              </w:rPr>
            </w:pPr>
            <w:r>
              <w:rPr>
                <w:rFonts w:ascii="Arial" w:hAnsi="Arial" w:cs="Arial"/>
                <w:sz w:val="20"/>
                <w:szCs w:val="20"/>
              </w:rPr>
              <w:t>812</w:t>
            </w:r>
          </w:p>
        </w:tc>
        <w:tc>
          <w:tcPr>
            <w:tcW w:w="1512" w:type="dxa"/>
            <w:tcBorders>
              <w:top w:val="single" w:sz="4" w:space="0" w:color="auto"/>
            </w:tcBorders>
            <w:shd w:val="clear" w:color="auto" w:fill="auto"/>
            <w:noWrap/>
            <w:vAlign w:val="bottom"/>
          </w:tcPr>
          <w:p w14:paraId="52784CAC" w14:textId="77777777" w:rsidR="007E3EAD" w:rsidRPr="005519E7" w:rsidRDefault="007E3EAD" w:rsidP="008278F8">
            <w:pPr>
              <w:tabs>
                <w:tab w:val="left" w:pos="1843"/>
              </w:tabs>
              <w:spacing w:before="40" w:after="40" w:line="276" w:lineRule="auto"/>
              <w:ind w:right="316"/>
              <w:jc w:val="right"/>
              <w:rPr>
                <w:rFonts w:ascii="Arial" w:hAnsi="Arial" w:cs="Arial"/>
                <w:sz w:val="20"/>
                <w:szCs w:val="20"/>
              </w:rPr>
            </w:pPr>
            <w:r>
              <w:rPr>
                <w:rFonts w:ascii="Arial" w:hAnsi="Arial" w:cs="Arial"/>
                <w:sz w:val="20"/>
                <w:szCs w:val="20"/>
              </w:rPr>
              <w:t>34</w:t>
            </w:r>
            <w:r>
              <w:rPr>
                <w:rFonts w:ascii="Arial" w:hAnsi="Arial" w:cs="Arial"/>
                <w:sz w:val="20"/>
                <w:szCs w:val="20"/>
                <w:lang w:val="en-GB"/>
              </w:rPr>
              <w:t>.</w:t>
            </w:r>
            <w:r>
              <w:rPr>
                <w:rFonts w:ascii="Arial" w:hAnsi="Arial" w:cs="Arial"/>
                <w:sz w:val="20"/>
                <w:szCs w:val="20"/>
              </w:rPr>
              <w:t>6</w:t>
            </w:r>
          </w:p>
        </w:tc>
        <w:tc>
          <w:tcPr>
            <w:tcW w:w="1195" w:type="dxa"/>
            <w:tcBorders>
              <w:top w:val="single" w:sz="4" w:space="0" w:color="auto"/>
            </w:tcBorders>
            <w:shd w:val="clear" w:color="auto" w:fill="auto"/>
            <w:noWrap/>
            <w:vAlign w:val="bottom"/>
          </w:tcPr>
          <w:p w14:paraId="6C2231AE" w14:textId="77777777" w:rsidR="007E3EAD" w:rsidRPr="005519E7" w:rsidRDefault="007E3EAD" w:rsidP="008278F8">
            <w:pPr>
              <w:tabs>
                <w:tab w:val="left" w:pos="1843"/>
              </w:tabs>
              <w:spacing w:before="40" w:after="40" w:line="276" w:lineRule="auto"/>
              <w:ind w:right="176"/>
              <w:jc w:val="right"/>
              <w:rPr>
                <w:rFonts w:ascii="Arial" w:hAnsi="Arial" w:cs="Arial"/>
                <w:sz w:val="20"/>
                <w:szCs w:val="20"/>
              </w:rPr>
            </w:pPr>
            <w:r>
              <w:rPr>
                <w:rFonts w:ascii="Arial" w:hAnsi="Arial" w:cs="Arial"/>
                <w:sz w:val="20"/>
                <w:szCs w:val="20"/>
              </w:rPr>
              <w:t>12.6</w:t>
            </w:r>
          </w:p>
        </w:tc>
      </w:tr>
      <w:tr w:rsidR="007E3EAD" w:rsidRPr="005519E7" w14:paraId="1361438B" w14:textId="77777777" w:rsidTr="008278F8">
        <w:trPr>
          <w:cantSplit/>
          <w:trHeight w:val="355"/>
          <w:jc w:val="center"/>
        </w:trPr>
        <w:tc>
          <w:tcPr>
            <w:tcW w:w="3963" w:type="dxa"/>
            <w:shd w:val="clear" w:color="auto" w:fill="auto"/>
            <w:noWrap/>
            <w:vAlign w:val="bottom"/>
            <w:hideMark/>
          </w:tcPr>
          <w:p w14:paraId="791D7491" w14:textId="77777777" w:rsidR="007E3EAD" w:rsidRPr="005519E7" w:rsidRDefault="007E3EAD" w:rsidP="008278F8">
            <w:pPr>
              <w:tabs>
                <w:tab w:val="left" w:pos="1843"/>
              </w:tabs>
              <w:spacing w:before="40" w:after="40" w:line="276" w:lineRule="auto"/>
              <w:rPr>
                <w:rFonts w:ascii="Arial" w:hAnsi="Arial" w:cs="Arial"/>
                <w:color w:val="000000"/>
                <w:sz w:val="20"/>
                <w:szCs w:val="20"/>
              </w:rPr>
            </w:pPr>
            <w:r w:rsidRPr="005519E7">
              <w:rPr>
                <w:rFonts w:ascii="Arial" w:hAnsi="Arial" w:cs="Arial"/>
                <w:color w:val="000000"/>
                <w:sz w:val="20"/>
                <w:szCs w:val="20"/>
              </w:rPr>
              <w:lastRenderedPageBreak/>
              <w:t xml:space="preserve">Manufacturing </w:t>
            </w:r>
          </w:p>
        </w:tc>
        <w:tc>
          <w:tcPr>
            <w:tcW w:w="1573" w:type="dxa"/>
            <w:shd w:val="clear" w:color="auto" w:fill="auto"/>
            <w:noWrap/>
            <w:vAlign w:val="bottom"/>
          </w:tcPr>
          <w:p w14:paraId="7A0DC480" w14:textId="77777777" w:rsidR="007E3EAD" w:rsidRPr="005519E7" w:rsidRDefault="007E3EAD" w:rsidP="008278F8">
            <w:pPr>
              <w:tabs>
                <w:tab w:val="left" w:pos="1843"/>
              </w:tabs>
              <w:spacing w:before="40" w:after="40" w:line="276" w:lineRule="auto"/>
              <w:ind w:right="176"/>
              <w:jc w:val="right"/>
              <w:rPr>
                <w:rFonts w:ascii="Arial" w:hAnsi="Arial" w:cs="Arial"/>
                <w:sz w:val="20"/>
                <w:szCs w:val="20"/>
              </w:rPr>
            </w:pPr>
            <w:r>
              <w:rPr>
                <w:rFonts w:ascii="Arial" w:hAnsi="Arial" w:cs="Arial"/>
                <w:sz w:val="20"/>
                <w:szCs w:val="20"/>
              </w:rPr>
              <w:t>1,647</w:t>
            </w:r>
          </w:p>
        </w:tc>
        <w:tc>
          <w:tcPr>
            <w:tcW w:w="1195" w:type="dxa"/>
            <w:shd w:val="clear" w:color="auto" w:fill="auto"/>
            <w:noWrap/>
            <w:vAlign w:val="bottom"/>
          </w:tcPr>
          <w:p w14:paraId="7D385D01" w14:textId="77777777" w:rsidR="007E3EAD" w:rsidRPr="005519E7" w:rsidRDefault="007E3EAD" w:rsidP="008278F8">
            <w:pPr>
              <w:tabs>
                <w:tab w:val="left" w:pos="1843"/>
              </w:tabs>
              <w:spacing w:before="40" w:after="40" w:line="276" w:lineRule="auto"/>
              <w:ind w:right="176"/>
              <w:jc w:val="right"/>
              <w:rPr>
                <w:rFonts w:ascii="Arial" w:hAnsi="Arial" w:cs="Arial"/>
                <w:sz w:val="20"/>
                <w:szCs w:val="20"/>
              </w:rPr>
            </w:pPr>
            <w:r>
              <w:rPr>
                <w:rFonts w:ascii="Arial" w:hAnsi="Arial" w:cs="Arial"/>
                <w:sz w:val="20"/>
                <w:szCs w:val="20"/>
              </w:rPr>
              <w:t>237</w:t>
            </w:r>
          </w:p>
        </w:tc>
        <w:tc>
          <w:tcPr>
            <w:tcW w:w="1512" w:type="dxa"/>
            <w:shd w:val="clear" w:color="auto" w:fill="auto"/>
            <w:noWrap/>
            <w:vAlign w:val="bottom"/>
          </w:tcPr>
          <w:p w14:paraId="7654EEF7" w14:textId="77777777" w:rsidR="007E3EAD" w:rsidRPr="005519E7" w:rsidRDefault="007E3EAD" w:rsidP="008278F8">
            <w:pPr>
              <w:tabs>
                <w:tab w:val="left" w:pos="1843"/>
              </w:tabs>
              <w:spacing w:before="40" w:after="40" w:line="276" w:lineRule="auto"/>
              <w:ind w:right="316"/>
              <w:jc w:val="right"/>
              <w:rPr>
                <w:rFonts w:ascii="Arial" w:hAnsi="Arial" w:cs="Arial"/>
                <w:sz w:val="20"/>
                <w:szCs w:val="20"/>
              </w:rPr>
            </w:pPr>
            <w:r>
              <w:rPr>
                <w:rFonts w:ascii="Arial" w:hAnsi="Arial" w:cs="Arial"/>
                <w:sz w:val="20"/>
                <w:szCs w:val="20"/>
              </w:rPr>
              <w:t>31.9</w:t>
            </w:r>
          </w:p>
        </w:tc>
        <w:tc>
          <w:tcPr>
            <w:tcW w:w="1195" w:type="dxa"/>
            <w:shd w:val="clear" w:color="auto" w:fill="auto"/>
            <w:noWrap/>
            <w:vAlign w:val="bottom"/>
          </w:tcPr>
          <w:p w14:paraId="33606075" w14:textId="77777777" w:rsidR="007E3EAD" w:rsidRPr="005519E7" w:rsidRDefault="007E3EAD" w:rsidP="008278F8">
            <w:pPr>
              <w:tabs>
                <w:tab w:val="left" w:pos="1843"/>
              </w:tabs>
              <w:spacing w:before="40" w:after="40" w:line="276" w:lineRule="auto"/>
              <w:ind w:right="176"/>
              <w:jc w:val="right"/>
              <w:rPr>
                <w:rFonts w:ascii="Arial" w:hAnsi="Arial" w:cs="Arial"/>
                <w:sz w:val="20"/>
                <w:szCs w:val="20"/>
              </w:rPr>
            </w:pPr>
            <w:r>
              <w:rPr>
                <w:rFonts w:ascii="Arial" w:hAnsi="Arial" w:cs="Arial"/>
                <w:sz w:val="20"/>
                <w:szCs w:val="20"/>
              </w:rPr>
              <w:t>-1.</w:t>
            </w:r>
            <w:r w:rsidRPr="00D01477">
              <w:rPr>
                <w:rFonts w:ascii="Arial" w:hAnsi="Arial" w:cs="Arial"/>
                <w:sz w:val="20"/>
                <w:szCs w:val="20"/>
              </w:rPr>
              <w:t>7</w:t>
            </w:r>
          </w:p>
        </w:tc>
      </w:tr>
      <w:tr w:rsidR="007E3EAD" w:rsidRPr="005519E7" w14:paraId="5F3E054F" w14:textId="77777777" w:rsidTr="008278F8">
        <w:trPr>
          <w:cantSplit/>
          <w:trHeight w:val="355"/>
          <w:jc w:val="center"/>
        </w:trPr>
        <w:tc>
          <w:tcPr>
            <w:tcW w:w="3963" w:type="dxa"/>
            <w:shd w:val="clear" w:color="auto" w:fill="auto"/>
            <w:noWrap/>
            <w:vAlign w:val="bottom"/>
            <w:hideMark/>
          </w:tcPr>
          <w:p w14:paraId="1568F993" w14:textId="77777777" w:rsidR="007E3EAD" w:rsidRPr="005519E7" w:rsidRDefault="007E3EAD" w:rsidP="008278F8">
            <w:pPr>
              <w:tabs>
                <w:tab w:val="left" w:pos="1843"/>
              </w:tabs>
              <w:spacing w:before="40" w:after="40" w:line="276" w:lineRule="auto"/>
              <w:rPr>
                <w:rFonts w:ascii="Arial" w:hAnsi="Arial" w:cs="Arial"/>
                <w:color w:val="000000"/>
                <w:sz w:val="20"/>
                <w:szCs w:val="20"/>
              </w:rPr>
            </w:pPr>
            <w:r w:rsidRPr="005519E7">
              <w:rPr>
                <w:rFonts w:ascii="Arial" w:hAnsi="Arial" w:cs="Arial"/>
                <w:color w:val="000000"/>
                <w:sz w:val="20"/>
                <w:szCs w:val="20"/>
              </w:rPr>
              <w:t>Construction</w:t>
            </w:r>
          </w:p>
        </w:tc>
        <w:tc>
          <w:tcPr>
            <w:tcW w:w="1573" w:type="dxa"/>
            <w:shd w:val="clear" w:color="auto" w:fill="auto"/>
            <w:noWrap/>
            <w:vAlign w:val="bottom"/>
          </w:tcPr>
          <w:p w14:paraId="773B3A37" w14:textId="77777777" w:rsidR="007E3EAD" w:rsidRPr="005519E7" w:rsidRDefault="007E3EAD" w:rsidP="008278F8">
            <w:pPr>
              <w:tabs>
                <w:tab w:val="left" w:pos="1843"/>
              </w:tabs>
              <w:spacing w:before="40" w:after="40" w:line="276" w:lineRule="auto"/>
              <w:ind w:right="176"/>
              <w:jc w:val="right"/>
              <w:rPr>
                <w:rFonts w:ascii="Arial" w:hAnsi="Arial" w:cs="Arial"/>
                <w:sz w:val="20"/>
                <w:szCs w:val="20"/>
              </w:rPr>
            </w:pPr>
            <w:r>
              <w:rPr>
                <w:rFonts w:ascii="Arial" w:hAnsi="Arial" w:cs="Arial"/>
                <w:sz w:val="20"/>
                <w:szCs w:val="20"/>
              </w:rPr>
              <w:t>1,409</w:t>
            </w:r>
          </w:p>
        </w:tc>
        <w:tc>
          <w:tcPr>
            <w:tcW w:w="1195" w:type="dxa"/>
            <w:shd w:val="clear" w:color="auto" w:fill="auto"/>
            <w:noWrap/>
            <w:vAlign w:val="bottom"/>
          </w:tcPr>
          <w:p w14:paraId="36354A90" w14:textId="77777777" w:rsidR="007E3EAD" w:rsidRPr="005519E7" w:rsidRDefault="007E3EAD" w:rsidP="008278F8">
            <w:pPr>
              <w:tabs>
                <w:tab w:val="left" w:pos="1843"/>
              </w:tabs>
              <w:spacing w:before="40" w:after="40" w:line="276" w:lineRule="auto"/>
              <w:ind w:right="176"/>
              <w:jc w:val="right"/>
              <w:rPr>
                <w:rFonts w:ascii="Arial" w:hAnsi="Arial" w:cs="Arial"/>
                <w:sz w:val="20"/>
                <w:szCs w:val="20"/>
              </w:rPr>
            </w:pPr>
            <w:r>
              <w:rPr>
                <w:rFonts w:ascii="Arial" w:hAnsi="Arial" w:cs="Arial"/>
                <w:sz w:val="20"/>
                <w:szCs w:val="20"/>
              </w:rPr>
              <w:t>165</w:t>
            </w:r>
          </w:p>
        </w:tc>
        <w:tc>
          <w:tcPr>
            <w:tcW w:w="1512" w:type="dxa"/>
            <w:shd w:val="clear" w:color="auto" w:fill="auto"/>
            <w:noWrap/>
            <w:vAlign w:val="bottom"/>
          </w:tcPr>
          <w:p w14:paraId="357A5672" w14:textId="77777777" w:rsidR="007E3EAD" w:rsidRPr="005519E7" w:rsidRDefault="007E3EAD" w:rsidP="008278F8">
            <w:pPr>
              <w:tabs>
                <w:tab w:val="left" w:pos="1843"/>
              </w:tabs>
              <w:spacing w:before="40" w:after="40" w:line="276" w:lineRule="auto"/>
              <w:ind w:right="316"/>
              <w:jc w:val="right"/>
              <w:rPr>
                <w:rFonts w:ascii="Arial" w:hAnsi="Arial" w:cs="Arial"/>
                <w:sz w:val="20"/>
                <w:szCs w:val="20"/>
              </w:rPr>
            </w:pPr>
            <w:r>
              <w:rPr>
                <w:rFonts w:ascii="Arial" w:hAnsi="Arial" w:cs="Arial"/>
                <w:sz w:val="20"/>
                <w:szCs w:val="20"/>
              </w:rPr>
              <w:t>23.2</w:t>
            </w:r>
          </w:p>
        </w:tc>
        <w:tc>
          <w:tcPr>
            <w:tcW w:w="1195" w:type="dxa"/>
            <w:shd w:val="clear" w:color="auto" w:fill="auto"/>
            <w:noWrap/>
            <w:vAlign w:val="bottom"/>
          </w:tcPr>
          <w:p w14:paraId="31532EFA" w14:textId="77777777" w:rsidR="007E3EAD" w:rsidRPr="005519E7" w:rsidRDefault="007E3EAD" w:rsidP="008278F8">
            <w:pPr>
              <w:tabs>
                <w:tab w:val="left" w:pos="1843"/>
              </w:tabs>
              <w:spacing w:before="40" w:after="40" w:line="276" w:lineRule="auto"/>
              <w:ind w:right="176"/>
              <w:jc w:val="right"/>
              <w:rPr>
                <w:rFonts w:ascii="Arial" w:hAnsi="Arial" w:cs="Arial"/>
                <w:sz w:val="20"/>
                <w:szCs w:val="20"/>
              </w:rPr>
            </w:pPr>
            <w:r>
              <w:rPr>
                <w:rFonts w:ascii="Arial" w:hAnsi="Arial" w:cs="Arial"/>
                <w:sz w:val="20"/>
                <w:szCs w:val="20"/>
              </w:rPr>
              <w:t>5.8</w:t>
            </w:r>
          </w:p>
        </w:tc>
      </w:tr>
      <w:tr w:rsidR="007E3EAD" w:rsidRPr="005519E7" w14:paraId="352F4FC0" w14:textId="77777777" w:rsidTr="008278F8">
        <w:trPr>
          <w:cantSplit/>
          <w:trHeight w:val="369"/>
          <w:jc w:val="center"/>
        </w:trPr>
        <w:tc>
          <w:tcPr>
            <w:tcW w:w="3963" w:type="dxa"/>
            <w:shd w:val="clear" w:color="auto" w:fill="auto"/>
            <w:noWrap/>
            <w:vAlign w:val="bottom"/>
            <w:hideMark/>
          </w:tcPr>
          <w:p w14:paraId="695E9564" w14:textId="77777777" w:rsidR="007E3EAD" w:rsidRPr="005519E7" w:rsidRDefault="007E3EAD" w:rsidP="008278F8">
            <w:pPr>
              <w:tabs>
                <w:tab w:val="left" w:pos="1843"/>
              </w:tabs>
              <w:spacing w:before="40" w:after="40" w:line="276" w:lineRule="auto"/>
              <w:rPr>
                <w:rFonts w:ascii="Arial" w:hAnsi="Arial" w:cs="Arial"/>
                <w:color w:val="000000"/>
                <w:sz w:val="20"/>
                <w:szCs w:val="20"/>
              </w:rPr>
            </w:pPr>
            <w:r w:rsidRPr="005519E7">
              <w:rPr>
                <w:rFonts w:ascii="Arial" w:hAnsi="Arial" w:cs="Arial"/>
                <w:color w:val="000000"/>
                <w:sz w:val="20"/>
                <w:szCs w:val="20"/>
              </w:rPr>
              <w:t>Real estate business</w:t>
            </w:r>
          </w:p>
        </w:tc>
        <w:tc>
          <w:tcPr>
            <w:tcW w:w="1573" w:type="dxa"/>
            <w:shd w:val="clear" w:color="auto" w:fill="auto"/>
            <w:noWrap/>
            <w:vAlign w:val="bottom"/>
          </w:tcPr>
          <w:p w14:paraId="6C961A88" w14:textId="77777777" w:rsidR="007E3EAD" w:rsidRPr="005519E7" w:rsidRDefault="007E3EAD" w:rsidP="008278F8">
            <w:pPr>
              <w:tabs>
                <w:tab w:val="left" w:pos="1843"/>
              </w:tabs>
              <w:spacing w:before="40" w:after="40" w:line="276" w:lineRule="auto"/>
              <w:ind w:right="176"/>
              <w:jc w:val="right"/>
              <w:rPr>
                <w:rFonts w:ascii="Arial" w:hAnsi="Arial" w:cs="Arial"/>
                <w:sz w:val="20"/>
                <w:szCs w:val="20"/>
              </w:rPr>
            </w:pPr>
            <w:r>
              <w:rPr>
                <w:rFonts w:ascii="Arial" w:hAnsi="Arial" w:cs="Arial"/>
                <w:sz w:val="20"/>
                <w:szCs w:val="20"/>
              </w:rPr>
              <w:t>342</w:t>
            </w:r>
          </w:p>
        </w:tc>
        <w:tc>
          <w:tcPr>
            <w:tcW w:w="1195" w:type="dxa"/>
            <w:shd w:val="clear" w:color="auto" w:fill="auto"/>
            <w:noWrap/>
            <w:vAlign w:val="bottom"/>
          </w:tcPr>
          <w:p w14:paraId="5584C140" w14:textId="77777777" w:rsidR="007E3EAD" w:rsidRPr="005519E7" w:rsidRDefault="007E3EAD" w:rsidP="008278F8">
            <w:pPr>
              <w:tabs>
                <w:tab w:val="left" w:pos="1843"/>
              </w:tabs>
              <w:spacing w:before="40" w:after="40" w:line="276" w:lineRule="auto"/>
              <w:ind w:right="176"/>
              <w:jc w:val="right"/>
              <w:rPr>
                <w:rFonts w:ascii="Arial" w:hAnsi="Arial" w:cs="Arial"/>
                <w:sz w:val="20"/>
                <w:szCs w:val="20"/>
              </w:rPr>
            </w:pPr>
            <w:r>
              <w:rPr>
                <w:rFonts w:ascii="Arial" w:hAnsi="Arial" w:cs="Arial"/>
                <w:sz w:val="20"/>
                <w:szCs w:val="20"/>
              </w:rPr>
              <w:t>149</w:t>
            </w:r>
          </w:p>
        </w:tc>
        <w:tc>
          <w:tcPr>
            <w:tcW w:w="1512" w:type="dxa"/>
            <w:shd w:val="clear" w:color="auto" w:fill="auto"/>
            <w:noWrap/>
            <w:vAlign w:val="bottom"/>
          </w:tcPr>
          <w:p w14:paraId="60F6992D" w14:textId="77777777" w:rsidR="007E3EAD" w:rsidRPr="005519E7" w:rsidRDefault="007E3EAD" w:rsidP="008278F8">
            <w:pPr>
              <w:tabs>
                <w:tab w:val="left" w:pos="1843"/>
              </w:tabs>
              <w:spacing w:before="40" w:after="40" w:line="276" w:lineRule="auto"/>
              <w:ind w:right="316"/>
              <w:jc w:val="right"/>
              <w:rPr>
                <w:rFonts w:ascii="Arial" w:hAnsi="Arial" w:cs="Arial"/>
                <w:sz w:val="20"/>
                <w:szCs w:val="20"/>
              </w:rPr>
            </w:pPr>
            <w:r>
              <w:rPr>
                <w:rFonts w:ascii="Arial" w:hAnsi="Arial" w:cs="Arial"/>
                <w:sz w:val="20"/>
                <w:szCs w:val="20"/>
              </w:rPr>
              <w:t>1.2</w:t>
            </w:r>
          </w:p>
        </w:tc>
        <w:tc>
          <w:tcPr>
            <w:tcW w:w="1195" w:type="dxa"/>
            <w:shd w:val="clear" w:color="auto" w:fill="auto"/>
            <w:noWrap/>
            <w:vAlign w:val="bottom"/>
          </w:tcPr>
          <w:p w14:paraId="6F5F46E2" w14:textId="77777777" w:rsidR="007E3EAD" w:rsidRPr="005519E7" w:rsidRDefault="007E3EAD" w:rsidP="008278F8">
            <w:pPr>
              <w:tabs>
                <w:tab w:val="left" w:pos="1843"/>
              </w:tabs>
              <w:spacing w:before="40" w:after="40" w:line="276" w:lineRule="auto"/>
              <w:ind w:right="176"/>
              <w:jc w:val="right"/>
              <w:rPr>
                <w:rFonts w:ascii="Arial" w:hAnsi="Arial" w:cs="Arial"/>
                <w:sz w:val="20"/>
                <w:szCs w:val="20"/>
              </w:rPr>
            </w:pPr>
            <w:r>
              <w:rPr>
                <w:rFonts w:ascii="Arial" w:hAnsi="Arial" w:cs="Arial"/>
                <w:sz w:val="20"/>
                <w:szCs w:val="20"/>
              </w:rPr>
              <w:t>-2.6</w:t>
            </w:r>
          </w:p>
        </w:tc>
      </w:tr>
      <w:tr w:rsidR="007E3EAD" w:rsidRPr="005519E7" w14:paraId="7E17A5DF" w14:textId="77777777" w:rsidTr="008278F8">
        <w:trPr>
          <w:cantSplit/>
          <w:trHeight w:val="355"/>
          <w:jc w:val="center"/>
        </w:trPr>
        <w:tc>
          <w:tcPr>
            <w:tcW w:w="3963" w:type="dxa"/>
            <w:shd w:val="clear" w:color="auto" w:fill="auto"/>
            <w:noWrap/>
            <w:vAlign w:val="bottom"/>
            <w:hideMark/>
          </w:tcPr>
          <w:p w14:paraId="73135822" w14:textId="77777777" w:rsidR="007E3EAD" w:rsidRPr="005519E7" w:rsidRDefault="007E3EAD" w:rsidP="008278F8">
            <w:pPr>
              <w:tabs>
                <w:tab w:val="left" w:pos="1843"/>
              </w:tabs>
              <w:spacing w:before="40" w:after="40" w:line="276" w:lineRule="auto"/>
              <w:rPr>
                <w:rFonts w:ascii="Arial" w:hAnsi="Arial" w:cs="Arial"/>
                <w:color w:val="000000"/>
                <w:sz w:val="20"/>
                <w:szCs w:val="20"/>
              </w:rPr>
            </w:pPr>
            <w:r w:rsidRPr="005519E7">
              <w:rPr>
                <w:rFonts w:ascii="Arial" w:hAnsi="Arial" w:cs="Arial"/>
                <w:color w:val="000000"/>
                <w:sz w:val="20"/>
                <w:szCs w:val="20"/>
              </w:rPr>
              <w:t>Transportation and storage</w:t>
            </w:r>
          </w:p>
        </w:tc>
        <w:tc>
          <w:tcPr>
            <w:tcW w:w="1573" w:type="dxa"/>
            <w:shd w:val="clear" w:color="auto" w:fill="auto"/>
            <w:noWrap/>
            <w:vAlign w:val="bottom"/>
          </w:tcPr>
          <w:p w14:paraId="4828F2F5" w14:textId="77777777" w:rsidR="007E3EAD" w:rsidRPr="005519E7" w:rsidRDefault="007E3EAD" w:rsidP="008278F8">
            <w:pPr>
              <w:tabs>
                <w:tab w:val="left" w:pos="1843"/>
              </w:tabs>
              <w:spacing w:before="40" w:after="40" w:line="276" w:lineRule="auto"/>
              <w:ind w:right="176"/>
              <w:jc w:val="right"/>
              <w:rPr>
                <w:rFonts w:ascii="Arial" w:hAnsi="Arial" w:cs="Arial"/>
                <w:sz w:val="20"/>
                <w:szCs w:val="20"/>
              </w:rPr>
            </w:pPr>
            <w:r>
              <w:rPr>
                <w:rFonts w:ascii="Arial" w:hAnsi="Arial" w:cs="Arial"/>
                <w:sz w:val="20"/>
                <w:szCs w:val="20"/>
              </w:rPr>
              <w:t>713</w:t>
            </w:r>
          </w:p>
        </w:tc>
        <w:tc>
          <w:tcPr>
            <w:tcW w:w="1195" w:type="dxa"/>
            <w:shd w:val="clear" w:color="auto" w:fill="auto"/>
            <w:noWrap/>
            <w:vAlign w:val="bottom"/>
          </w:tcPr>
          <w:p w14:paraId="65FD7C57" w14:textId="77777777" w:rsidR="007E3EAD" w:rsidRPr="005519E7" w:rsidRDefault="007E3EAD" w:rsidP="008278F8">
            <w:pPr>
              <w:tabs>
                <w:tab w:val="left" w:pos="1843"/>
              </w:tabs>
              <w:spacing w:before="40" w:after="40" w:line="276" w:lineRule="auto"/>
              <w:ind w:right="176"/>
              <w:jc w:val="right"/>
              <w:rPr>
                <w:rFonts w:ascii="Arial" w:hAnsi="Arial" w:cs="Arial"/>
                <w:sz w:val="20"/>
                <w:szCs w:val="20"/>
              </w:rPr>
            </w:pPr>
            <w:r>
              <w:rPr>
                <w:rFonts w:ascii="Arial" w:hAnsi="Arial" w:cs="Arial"/>
                <w:sz w:val="20"/>
                <w:szCs w:val="20"/>
              </w:rPr>
              <w:t>89</w:t>
            </w:r>
          </w:p>
        </w:tc>
        <w:tc>
          <w:tcPr>
            <w:tcW w:w="1512" w:type="dxa"/>
            <w:shd w:val="clear" w:color="auto" w:fill="auto"/>
            <w:noWrap/>
            <w:vAlign w:val="bottom"/>
          </w:tcPr>
          <w:p w14:paraId="4897FF8E" w14:textId="77777777" w:rsidR="007E3EAD" w:rsidRPr="005519E7" w:rsidRDefault="007E3EAD" w:rsidP="008278F8">
            <w:pPr>
              <w:tabs>
                <w:tab w:val="left" w:pos="1843"/>
              </w:tabs>
              <w:spacing w:before="40" w:after="40" w:line="276" w:lineRule="auto"/>
              <w:ind w:right="316"/>
              <w:jc w:val="right"/>
              <w:rPr>
                <w:rFonts w:ascii="Arial" w:hAnsi="Arial" w:cs="Arial"/>
                <w:sz w:val="20"/>
                <w:szCs w:val="20"/>
              </w:rPr>
            </w:pPr>
            <w:r>
              <w:rPr>
                <w:rFonts w:ascii="Arial" w:hAnsi="Arial" w:cs="Arial"/>
                <w:sz w:val="20"/>
                <w:szCs w:val="20"/>
              </w:rPr>
              <w:t>44.3</w:t>
            </w:r>
          </w:p>
        </w:tc>
        <w:tc>
          <w:tcPr>
            <w:tcW w:w="1195" w:type="dxa"/>
            <w:shd w:val="clear" w:color="auto" w:fill="auto"/>
            <w:noWrap/>
            <w:vAlign w:val="bottom"/>
          </w:tcPr>
          <w:p w14:paraId="0A33BE49" w14:textId="77777777" w:rsidR="007E3EAD" w:rsidRPr="005519E7" w:rsidRDefault="007E3EAD" w:rsidP="008278F8">
            <w:pPr>
              <w:tabs>
                <w:tab w:val="left" w:pos="1843"/>
              </w:tabs>
              <w:spacing w:before="40" w:after="40" w:line="276" w:lineRule="auto"/>
              <w:ind w:right="176"/>
              <w:jc w:val="right"/>
              <w:rPr>
                <w:rFonts w:ascii="Arial" w:hAnsi="Arial" w:cs="Arial"/>
                <w:sz w:val="20"/>
                <w:szCs w:val="20"/>
              </w:rPr>
            </w:pPr>
            <w:r>
              <w:rPr>
                <w:rFonts w:ascii="Arial" w:hAnsi="Arial" w:cs="Arial"/>
                <w:sz w:val="20"/>
                <w:szCs w:val="20"/>
              </w:rPr>
              <w:t>8.5</w:t>
            </w:r>
          </w:p>
        </w:tc>
      </w:tr>
      <w:tr w:rsidR="007E3EAD" w:rsidRPr="005519E7" w14:paraId="427B1B1E" w14:textId="77777777" w:rsidTr="008278F8">
        <w:trPr>
          <w:cantSplit/>
          <w:trHeight w:val="355"/>
          <w:jc w:val="center"/>
        </w:trPr>
        <w:tc>
          <w:tcPr>
            <w:tcW w:w="3963" w:type="dxa"/>
            <w:shd w:val="clear" w:color="auto" w:fill="auto"/>
            <w:noWrap/>
            <w:vAlign w:val="bottom"/>
            <w:hideMark/>
          </w:tcPr>
          <w:p w14:paraId="6C43546B" w14:textId="77777777" w:rsidR="007E3EAD" w:rsidRPr="005519E7" w:rsidRDefault="007E3EAD" w:rsidP="008278F8">
            <w:pPr>
              <w:tabs>
                <w:tab w:val="left" w:pos="1843"/>
              </w:tabs>
              <w:spacing w:before="40" w:after="40" w:line="276" w:lineRule="auto"/>
              <w:rPr>
                <w:rFonts w:ascii="Arial" w:hAnsi="Arial" w:cs="Arial"/>
                <w:color w:val="000000"/>
                <w:sz w:val="20"/>
                <w:szCs w:val="20"/>
              </w:rPr>
            </w:pPr>
            <w:r w:rsidRPr="005519E7">
              <w:rPr>
                <w:rFonts w:ascii="Arial" w:hAnsi="Arial" w:cs="Arial"/>
                <w:color w:val="000000"/>
                <w:sz w:val="20"/>
                <w:szCs w:val="20"/>
              </w:rPr>
              <w:t>Accommodation and catering service</w:t>
            </w:r>
          </w:p>
        </w:tc>
        <w:tc>
          <w:tcPr>
            <w:tcW w:w="1573" w:type="dxa"/>
            <w:shd w:val="clear" w:color="auto" w:fill="auto"/>
            <w:noWrap/>
            <w:vAlign w:val="bottom"/>
          </w:tcPr>
          <w:p w14:paraId="6E0A892D" w14:textId="77777777" w:rsidR="007E3EAD" w:rsidRPr="005519E7" w:rsidRDefault="007E3EAD" w:rsidP="008278F8">
            <w:pPr>
              <w:tabs>
                <w:tab w:val="left" w:pos="1843"/>
              </w:tabs>
              <w:spacing w:before="40" w:after="40" w:line="276" w:lineRule="auto"/>
              <w:ind w:right="176"/>
              <w:jc w:val="right"/>
              <w:rPr>
                <w:rFonts w:ascii="Arial" w:hAnsi="Arial" w:cs="Arial"/>
                <w:sz w:val="20"/>
                <w:szCs w:val="20"/>
              </w:rPr>
            </w:pPr>
            <w:r>
              <w:rPr>
                <w:rFonts w:ascii="Arial" w:hAnsi="Arial" w:cs="Arial"/>
                <w:sz w:val="20"/>
                <w:szCs w:val="20"/>
              </w:rPr>
              <w:t>504</w:t>
            </w:r>
          </w:p>
        </w:tc>
        <w:tc>
          <w:tcPr>
            <w:tcW w:w="1195" w:type="dxa"/>
            <w:shd w:val="clear" w:color="auto" w:fill="auto"/>
            <w:noWrap/>
            <w:vAlign w:val="bottom"/>
          </w:tcPr>
          <w:p w14:paraId="253D6A60" w14:textId="77777777" w:rsidR="007E3EAD" w:rsidRPr="005519E7" w:rsidRDefault="007E3EAD" w:rsidP="008278F8">
            <w:pPr>
              <w:tabs>
                <w:tab w:val="left" w:pos="1843"/>
              </w:tabs>
              <w:spacing w:before="40" w:after="40" w:line="276" w:lineRule="auto"/>
              <w:ind w:right="176"/>
              <w:jc w:val="right"/>
              <w:rPr>
                <w:rFonts w:ascii="Arial" w:hAnsi="Arial" w:cs="Arial"/>
                <w:sz w:val="20"/>
                <w:szCs w:val="20"/>
              </w:rPr>
            </w:pPr>
            <w:r>
              <w:rPr>
                <w:rFonts w:ascii="Arial" w:hAnsi="Arial" w:cs="Arial"/>
                <w:sz w:val="20"/>
                <w:szCs w:val="20"/>
              </w:rPr>
              <w:t>87</w:t>
            </w:r>
          </w:p>
        </w:tc>
        <w:tc>
          <w:tcPr>
            <w:tcW w:w="1512" w:type="dxa"/>
            <w:shd w:val="clear" w:color="auto" w:fill="auto"/>
            <w:noWrap/>
            <w:vAlign w:val="bottom"/>
          </w:tcPr>
          <w:p w14:paraId="4026B56C" w14:textId="77777777" w:rsidR="007E3EAD" w:rsidRPr="005519E7" w:rsidRDefault="007E3EAD" w:rsidP="008278F8">
            <w:pPr>
              <w:tabs>
                <w:tab w:val="left" w:pos="1843"/>
              </w:tabs>
              <w:spacing w:before="40" w:after="40" w:line="276" w:lineRule="auto"/>
              <w:ind w:right="316"/>
              <w:jc w:val="right"/>
              <w:rPr>
                <w:rFonts w:ascii="Arial" w:hAnsi="Arial" w:cs="Arial"/>
                <w:sz w:val="20"/>
                <w:szCs w:val="20"/>
              </w:rPr>
            </w:pPr>
            <w:r>
              <w:rPr>
                <w:rFonts w:ascii="Arial" w:hAnsi="Arial" w:cs="Arial"/>
                <w:sz w:val="20"/>
                <w:szCs w:val="20"/>
              </w:rPr>
              <w:t>-10.2</w:t>
            </w:r>
          </w:p>
        </w:tc>
        <w:tc>
          <w:tcPr>
            <w:tcW w:w="1195" w:type="dxa"/>
            <w:shd w:val="clear" w:color="auto" w:fill="auto"/>
            <w:noWrap/>
            <w:vAlign w:val="bottom"/>
          </w:tcPr>
          <w:p w14:paraId="280AD431" w14:textId="77777777" w:rsidR="007E3EAD" w:rsidRPr="005519E7" w:rsidRDefault="007E3EAD" w:rsidP="008278F8">
            <w:pPr>
              <w:tabs>
                <w:tab w:val="left" w:pos="1843"/>
              </w:tabs>
              <w:spacing w:before="40" w:after="40" w:line="276" w:lineRule="auto"/>
              <w:ind w:right="176"/>
              <w:jc w:val="right"/>
              <w:rPr>
                <w:rFonts w:ascii="Arial" w:hAnsi="Arial" w:cs="Arial"/>
                <w:sz w:val="20"/>
                <w:szCs w:val="20"/>
              </w:rPr>
            </w:pPr>
            <w:r>
              <w:rPr>
                <w:rFonts w:ascii="Arial" w:hAnsi="Arial" w:cs="Arial"/>
                <w:sz w:val="20"/>
                <w:szCs w:val="20"/>
              </w:rPr>
              <w:t>-12.1</w:t>
            </w:r>
          </w:p>
        </w:tc>
      </w:tr>
      <w:tr w:rsidR="007E3EAD" w:rsidRPr="005519E7" w14:paraId="20F2CE96" w14:textId="77777777" w:rsidTr="008278F8">
        <w:trPr>
          <w:cantSplit/>
          <w:trHeight w:val="355"/>
          <w:jc w:val="center"/>
        </w:trPr>
        <w:tc>
          <w:tcPr>
            <w:tcW w:w="3963" w:type="dxa"/>
            <w:tcBorders>
              <w:bottom w:val="single" w:sz="4" w:space="0" w:color="auto"/>
            </w:tcBorders>
            <w:shd w:val="clear" w:color="auto" w:fill="auto"/>
            <w:noWrap/>
            <w:vAlign w:val="bottom"/>
          </w:tcPr>
          <w:p w14:paraId="07CC1409" w14:textId="77777777" w:rsidR="007E3EAD" w:rsidRPr="005519E7" w:rsidRDefault="007E3EAD" w:rsidP="008278F8">
            <w:pPr>
              <w:tabs>
                <w:tab w:val="left" w:pos="1843"/>
              </w:tabs>
              <w:spacing w:before="40" w:after="40" w:line="276" w:lineRule="auto"/>
              <w:rPr>
                <w:rFonts w:ascii="Arial" w:hAnsi="Arial" w:cs="Arial"/>
                <w:color w:val="000000"/>
                <w:sz w:val="20"/>
                <w:szCs w:val="20"/>
              </w:rPr>
            </w:pPr>
            <w:r w:rsidRPr="005519E7">
              <w:rPr>
                <w:rFonts w:ascii="Arial" w:hAnsi="Arial" w:cs="Arial"/>
                <w:color w:val="000000"/>
                <w:sz w:val="20"/>
                <w:szCs w:val="20"/>
              </w:rPr>
              <w:t>Production and distribution of electricity</w:t>
            </w:r>
            <w:r>
              <w:rPr>
                <w:rFonts w:ascii="Arial" w:hAnsi="Arial" w:cs="Arial"/>
                <w:color w:val="000000"/>
                <w:sz w:val="20"/>
                <w:szCs w:val="20"/>
              </w:rPr>
              <w:t>.</w:t>
            </w:r>
            <w:r w:rsidRPr="005519E7">
              <w:rPr>
                <w:rFonts w:ascii="Arial" w:hAnsi="Arial" w:cs="Arial"/>
                <w:color w:val="000000"/>
                <w:sz w:val="20"/>
                <w:szCs w:val="20"/>
              </w:rPr>
              <w:t xml:space="preserve"> water</w:t>
            </w:r>
            <w:r>
              <w:rPr>
                <w:rFonts w:ascii="Arial" w:hAnsi="Arial" w:cs="Arial"/>
                <w:color w:val="000000"/>
                <w:sz w:val="20"/>
                <w:szCs w:val="20"/>
              </w:rPr>
              <w:t>,</w:t>
            </w:r>
            <w:r w:rsidRPr="005519E7">
              <w:rPr>
                <w:rFonts w:ascii="Arial" w:hAnsi="Arial" w:cs="Arial"/>
                <w:color w:val="000000"/>
                <w:sz w:val="20"/>
                <w:szCs w:val="20"/>
              </w:rPr>
              <w:t xml:space="preserve"> gas</w:t>
            </w:r>
          </w:p>
        </w:tc>
        <w:tc>
          <w:tcPr>
            <w:tcW w:w="1573" w:type="dxa"/>
            <w:tcBorders>
              <w:bottom w:val="single" w:sz="4" w:space="0" w:color="auto"/>
            </w:tcBorders>
            <w:shd w:val="clear" w:color="auto" w:fill="auto"/>
            <w:noWrap/>
            <w:vAlign w:val="bottom"/>
          </w:tcPr>
          <w:p w14:paraId="3B295158" w14:textId="77777777" w:rsidR="007E3EAD" w:rsidRPr="005519E7" w:rsidRDefault="007E3EAD" w:rsidP="008278F8">
            <w:pPr>
              <w:tabs>
                <w:tab w:val="left" w:pos="1843"/>
              </w:tabs>
              <w:spacing w:before="40" w:after="40" w:line="276" w:lineRule="auto"/>
              <w:ind w:right="176"/>
              <w:jc w:val="right"/>
              <w:rPr>
                <w:rFonts w:ascii="Arial" w:hAnsi="Arial" w:cs="Arial"/>
                <w:sz w:val="20"/>
                <w:szCs w:val="20"/>
              </w:rPr>
            </w:pPr>
            <w:r>
              <w:rPr>
                <w:rFonts w:ascii="Arial" w:hAnsi="Arial" w:cs="Arial"/>
                <w:sz w:val="20"/>
                <w:szCs w:val="20"/>
              </w:rPr>
              <w:t>88</w:t>
            </w:r>
          </w:p>
        </w:tc>
        <w:tc>
          <w:tcPr>
            <w:tcW w:w="1195" w:type="dxa"/>
            <w:tcBorders>
              <w:bottom w:val="single" w:sz="4" w:space="0" w:color="auto"/>
            </w:tcBorders>
            <w:shd w:val="clear" w:color="auto" w:fill="auto"/>
            <w:noWrap/>
            <w:vAlign w:val="bottom"/>
          </w:tcPr>
          <w:p w14:paraId="3B228006" w14:textId="77777777" w:rsidR="007E3EAD" w:rsidRPr="005519E7" w:rsidRDefault="007E3EAD" w:rsidP="008278F8">
            <w:pPr>
              <w:tabs>
                <w:tab w:val="left" w:pos="1843"/>
              </w:tabs>
              <w:spacing w:before="40" w:after="40" w:line="276" w:lineRule="auto"/>
              <w:ind w:right="176"/>
              <w:jc w:val="right"/>
              <w:rPr>
                <w:rFonts w:ascii="Arial" w:hAnsi="Arial" w:cs="Arial"/>
                <w:sz w:val="20"/>
                <w:szCs w:val="20"/>
              </w:rPr>
            </w:pPr>
            <w:r>
              <w:rPr>
                <w:rFonts w:ascii="Arial" w:hAnsi="Arial" w:cs="Arial"/>
                <w:sz w:val="20"/>
                <w:szCs w:val="20"/>
              </w:rPr>
              <w:t>23</w:t>
            </w:r>
          </w:p>
        </w:tc>
        <w:tc>
          <w:tcPr>
            <w:tcW w:w="1512" w:type="dxa"/>
            <w:tcBorders>
              <w:bottom w:val="single" w:sz="4" w:space="0" w:color="auto"/>
            </w:tcBorders>
            <w:shd w:val="clear" w:color="auto" w:fill="auto"/>
            <w:noWrap/>
            <w:vAlign w:val="bottom"/>
          </w:tcPr>
          <w:p w14:paraId="359644F7" w14:textId="77777777" w:rsidR="007E3EAD" w:rsidRPr="005519E7" w:rsidRDefault="007E3EAD" w:rsidP="008278F8">
            <w:pPr>
              <w:tabs>
                <w:tab w:val="left" w:pos="1843"/>
              </w:tabs>
              <w:spacing w:before="40" w:after="40" w:line="276" w:lineRule="auto"/>
              <w:ind w:right="316"/>
              <w:jc w:val="right"/>
              <w:rPr>
                <w:rFonts w:ascii="Arial" w:hAnsi="Arial" w:cs="Arial"/>
                <w:sz w:val="20"/>
                <w:szCs w:val="20"/>
              </w:rPr>
            </w:pPr>
            <w:r w:rsidRPr="00D01477">
              <w:rPr>
                <w:rFonts w:ascii="Arial" w:hAnsi="Arial" w:cs="Arial"/>
                <w:sz w:val="20"/>
                <w:szCs w:val="20"/>
              </w:rPr>
              <w:t>-</w:t>
            </w:r>
            <w:r>
              <w:rPr>
                <w:rFonts w:ascii="Arial" w:hAnsi="Arial" w:cs="Arial"/>
                <w:sz w:val="20"/>
                <w:szCs w:val="20"/>
              </w:rPr>
              <w:t>8.3</w:t>
            </w:r>
          </w:p>
        </w:tc>
        <w:tc>
          <w:tcPr>
            <w:tcW w:w="1195" w:type="dxa"/>
            <w:tcBorders>
              <w:bottom w:val="single" w:sz="4" w:space="0" w:color="auto"/>
            </w:tcBorders>
            <w:shd w:val="clear" w:color="auto" w:fill="auto"/>
            <w:noWrap/>
            <w:vAlign w:val="bottom"/>
          </w:tcPr>
          <w:p w14:paraId="60E088F3" w14:textId="77777777" w:rsidR="007E3EAD" w:rsidRPr="005519E7" w:rsidRDefault="007E3EAD" w:rsidP="008278F8">
            <w:pPr>
              <w:tabs>
                <w:tab w:val="left" w:pos="1843"/>
              </w:tabs>
              <w:spacing w:before="40" w:after="40" w:line="276" w:lineRule="auto"/>
              <w:ind w:right="176"/>
              <w:jc w:val="right"/>
              <w:rPr>
                <w:rFonts w:ascii="Arial" w:hAnsi="Arial" w:cs="Arial"/>
                <w:sz w:val="20"/>
                <w:szCs w:val="20"/>
              </w:rPr>
            </w:pPr>
            <w:r>
              <w:rPr>
                <w:rFonts w:ascii="Arial" w:hAnsi="Arial" w:cs="Arial"/>
                <w:sz w:val="20"/>
                <w:szCs w:val="20"/>
              </w:rPr>
              <w:t>-54.0</w:t>
            </w:r>
          </w:p>
        </w:tc>
      </w:tr>
    </w:tbl>
    <w:p w14:paraId="1DEC1115" w14:textId="77777777" w:rsidR="007E3EAD" w:rsidRPr="00677041" w:rsidRDefault="007E3EAD" w:rsidP="007E3EAD">
      <w:pPr>
        <w:spacing w:line="276" w:lineRule="auto"/>
        <w:rPr>
          <w:sz w:val="22"/>
        </w:rPr>
      </w:pPr>
    </w:p>
    <w:p w14:paraId="2044A135" w14:textId="77777777" w:rsidR="00E62310" w:rsidRPr="00CD5F6F" w:rsidRDefault="00E62310" w:rsidP="00E62310">
      <w:pPr>
        <w:spacing w:after="120" w:line="300" w:lineRule="auto"/>
        <w:ind w:firstLine="567"/>
        <w:jc w:val="both"/>
        <w:rPr>
          <w:b/>
          <w:bCs/>
          <w:lang w:val="af-ZA"/>
        </w:rPr>
      </w:pPr>
      <w:r w:rsidRPr="00CD5F6F">
        <w:rPr>
          <w:b/>
          <w:bCs/>
          <w:lang w:val="af-ZA"/>
        </w:rPr>
        <w:t>4. Investment</w:t>
      </w:r>
    </w:p>
    <w:p w14:paraId="03E932BE" w14:textId="77777777" w:rsidR="00E62310" w:rsidRPr="00CD5F6F" w:rsidRDefault="00E62310" w:rsidP="00E62310">
      <w:pPr>
        <w:spacing w:after="120" w:line="264" w:lineRule="auto"/>
        <w:ind w:firstLine="567"/>
        <w:jc w:val="both"/>
        <w:rPr>
          <w:bCs/>
          <w:i/>
          <w:color w:val="333333"/>
          <w:lang w:val="de-DE"/>
        </w:rPr>
      </w:pPr>
      <w:r w:rsidRPr="00CD5F6F">
        <w:rPr>
          <w:i/>
          <w:lang w:val="it-IT"/>
        </w:rPr>
        <w:t xml:space="preserve">Investment activities in January focused on implementing the 2024 capital plan allocation for newly allocated capital projects and works that are </w:t>
      </w:r>
      <w:r w:rsidRPr="00CD5F6F">
        <w:rPr>
          <w:i/>
        </w:rPr>
        <w:t xml:space="preserve">in </w:t>
      </w:r>
      <w:r w:rsidRPr="00CD5F6F">
        <w:rPr>
          <w:i/>
          <w:lang w:val="it-IT"/>
        </w:rPr>
        <w:t xml:space="preserve">the process of preparing to complete investment preparation procedures and documents. The amount of work done is mainly </w:t>
      </w:r>
      <w:r w:rsidRPr="00CD5F6F">
        <w:rPr>
          <w:i/>
        </w:rPr>
        <w:t xml:space="preserve">at </w:t>
      </w:r>
      <w:r w:rsidRPr="00CD5F6F">
        <w:rPr>
          <w:i/>
          <w:lang w:val="it-IT"/>
        </w:rPr>
        <w:t xml:space="preserve">transitional works. The proportion of investment capital realized </w:t>
      </w:r>
      <w:r w:rsidRPr="00CD5F6F">
        <w:rPr>
          <w:i/>
          <w:spacing w:val="-4"/>
          <w:lang w:val="it-IT"/>
        </w:rPr>
        <w:t xml:space="preserve">from the State budget is estimated to reach 4.4% compared to the year plan and increase 12.5% over the same period in 2023. </w:t>
      </w:r>
      <w:r w:rsidRPr="00CD5F6F" w:rsidDel="00142F83">
        <w:rPr>
          <w:bCs/>
          <w:i/>
          <w:lang w:val="de-DE"/>
        </w:rPr>
        <w:t xml:space="preserve">Foreign </w:t>
      </w:r>
      <w:r w:rsidRPr="00CD5F6F">
        <w:rPr>
          <w:bCs/>
          <w:i/>
          <w:lang w:val="de-DE"/>
        </w:rPr>
        <w:t xml:space="preserve">direct </w:t>
      </w:r>
      <w:r w:rsidRPr="00CD5F6F" w:rsidDel="00142F83">
        <w:rPr>
          <w:bCs/>
          <w:i/>
          <w:lang w:val="de-DE"/>
        </w:rPr>
        <w:t xml:space="preserve">investment capital </w:t>
      </w:r>
      <w:r>
        <w:rPr>
          <w:bCs/>
          <w:i/>
          <w:lang w:val="de-DE"/>
        </w:rPr>
        <w:t xml:space="preserve">realized in January, </w:t>
      </w:r>
      <w:r w:rsidRPr="00CD5F6F">
        <w:rPr>
          <w:bCs/>
          <w:i/>
          <w:lang w:val="de-DE"/>
        </w:rPr>
        <w:t>2024 reaches 1.48 billion USD, up 9.6% over the same period last year.</w:t>
      </w:r>
    </w:p>
    <w:p w14:paraId="244C5740" w14:textId="77777777" w:rsidR="00E62310" w:rsidRPr="00CD5F6F" w:rsidRDefault="00E62310" w:rsidP="00E62310">
      <w:pPr>
        <w:spacing w:after="120" w:line="264" w:lineRule="auto"/>
        <w:ind w:firstLine="567"/>
        <w:jc w:val="both"/>
        <w:rPr>
          <w:bCs/>
          <w:iCs/>
          <w:lang w:val="af-ZA"/>
        </w:rPr>
      </w:pPr>
      <w:r w:rsidRPr="00CD5F6F">
        <w:rPr>
          <w:bCs/>
          <w:i/>
          <w:iCs/>
          <w:lang w:val="af-ZA"/>
        </w:rPr>
        <w:t xml:space="preserve">Implemented investment capital from the State budget </w:t>
      </w:r>
      <w:r w:rsidRPr="00CD5F6F">
        <w:rPr>
          <w:bCs/>
          <w:iCs/>
          <w:lang w:val="af-ZA"/>
        </w:rPr>
        <w:t>in January</w:t>
      </w:r>
      <w:r>
        <w:rPr>
          <w:bCs/>
          <w:iCs/>
          <w:lang w:val="af-ZA"/>
        </w:rPr>
        <w:t xml:space="preserve">, </w:t>
      </w:r>
      <w:r w:rsidRPr="00CD5F6F">
        <w:rPr>
          <w:bCs/>
          <w:iCs/>
          <w:lang w:val="af-ZA"/>
        </w:rPr>
        <w:t>2024 is estimated to reach 31.1 trillion VND, equal to 4.4% of the year's plan and an increase of 12.5% over the same period last year (same period in 2023 equals 3.8% and increased by 5.6%), including:</w:t>
      </w:r>
    </w:p>
    <w:p w14:paraId="1FBBFCE2" w14:textId="77777777" w:rsidR="00E62310" w:rsidRPr="00CD5F6F" w:rsidRDefault="00E62310" w:rsidP="00E62310">
      <w:pPr>
        <w:spacing w:after="120" w:line="264" w:lineRule="auto"/>
        <w:ind w:firstLine="567"/>
        <w:jc w:val="both"/>
        <w:rPr>
          <w:b/>
          <w:bCs/>
          <w:lang w:val="af-ZA"/>
        </w:rPr>
      </w:pPr>
      <w:r w:rsidRPr="00CD5F6F">
        <w:rPr>
          <w:bCs/>
          <w:iCs/>
          <w:spacing w:val="-2"/>
          <w:lang w:val="af-ZA"/>
        </w:rPr>
        <w:t>- Implemented investment capital managed by the Central Government reached 4.7 trillion VND, equal to 4% of the year's plan and increased 3.7% over the same period last year.</w:t>
      </w:r>
    </w:p>
    <w:p w14:paraId="09E11A49" w14:textId="77777777" w:rsidR="00E62310" w:rsidRPr="00CD5F6F" w:rsidRDefault="00E62310" w:rsidP="00E62310">
      <w:pPr>
        <w:jc w:val="center"/>
        <w:rPr>
          <w:b/>
          <w:bCs/>
          <w:lang w:val="af-ZA"/>
        </w:rPr>
      </w:pPr>
      <w:r w:rsidRPr="00CD5F6F">
        <w:rPr>
          <w:b/>
          <w:bCs/>
          <w:lang w:val="af-ZA"/>
        </w:rPr>
        <w:t>Figure 6. Investment capital made from the State budget</w:t>
      </w:r>
    </w:p>
    <w:p w14:paraId="1BBA0E21" w14:textId="77777777" w:rsidR="00E62310" w:rsidRDefault="00E62310" w:rsidP="00E62310">
      <w:pPr>
        <w:jc w:val="center"/>
        <w:rPr>
          <w:b/>
          <w:bCs/>
          <w:lang w:val="af-ZA"/>
        </w:rPr>
      </w:pPr>
      <w:r w:rsidRPr="00CD5F6F">
        <w:rPr>
          <w:b/>
          <w:bCs/>
          <w:lang w:val="af-ZA"/>
        </w:rPr>
        <w:t>January 2024 divided by ministries and branches</w:t>
      </w:r>
    </w:p>
    <w:p w14:paraId="4BBCD6E3" w14:textId="77777777" w:rsidR="00E62310" w:rsidRPr="00CD5F6F" w:rsidRDefault="00E62310" w:rsidP="00E62310">
      <w:pPr>
        <w:jc w:val="center"/>
        <w:rPr>
          <w:b/>
          <w:bCs/>
          <w:lang w:val="af-ZA"/>
        </w:rPr>
      </w:pPr>
      <w:r>
        <w:rPr>
          <w:noProof/>
          <w:lang w:val="en-US"/>
        </w:rPr>
        <w:lastRenderedPageBreak/>
        <w:drawing>
          <wp:inline distT="0" distB="0" distL="0" distR="0" wp14:anchorId="0CDD79F4" wp14:editId="279C2DE1">
            <wp:extent cx="5943600" cy="4133850"/>
            <wp:effectExtent l="0" t="0" r="0" b="0"/>
            <wp:docPr id="1146381611" name="Chart 1146381611">
              <a:extLst xmlns:a="http://schemas.openxmlformats.org/drawingml/2006/main">
                <a:ext uri="{FF2B5EF4-FFF2-40B4-BE49-F238E27FC236}">
                  <a16:creationId xmlns:a16="http://schemas.microsoft.com/office/drawing/2014/main" id="{927F9077-A9D2-292A-5E46-499834788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8CA692" w14:textId="77777777" w:rsidR="00E62310" w:rsidRPr="00CD5F6F" w:rsidRDefault="00E62310" w:rsidP="00E62310">
      <w:pPr>
        <w:jc w:val="center"/>
        <w:rPr>
          <w:b/>
          <w:bCs/>
          <w:lang w:val="af-ZA"/>
        </w:rPr>
      </w:pPr>
    </w:p>
    <w:p w14:paraId="7CDEFC49" w14:textId="77777777" w:rsidR="00E62310" w:rsidRPr="00CD5F6F" w:rsidRDefault="00E62310" w:rsidP="00E62310">
      <w:pPr>
        <w:spacing w:before="20" w:after="20" w:line="254" w:lineRule="auto"/>
        <w:ind w:firstLine="567"/>
        <w:jc w:val="both"/>
        <w:rPr>
          <w:bCs/>
          <w:iCs/>
          <w:lang w:val="af-ZA"/>
        </w:rPr>
      </w:pPr>
      <w:r w:rsidRPr="00CD5F6F">
        <w:rPr>
          <w:bCs/>
          <w:iCs/>
          <w:lang w:val="af-ZA"/>
        </w:rPr>
        <w:t xml:space="preserve">- </w:t>
      </w:r>
      <w:r w:rsidRPr="00CD5F6F">
        <w:rPr>
          <w:bCs/>
          <w:iCs/>
          <w:spacing w:val="-2"/>
          <w:lang w:val="af-ZA"/>
        </w:rPr>
        <w:t xml:space="preserve">Implemented investment capital </w:t>
      </w:r>
      <w:r w:rsidRPr="00CD5F6F">
        <w:rPr>
          <w:bCs/>
          <w:iCs/>
          <w:lang w:val="af-ZA"/>
        </w:rPr>
        <w:t>managed by the locality reached 26.4 trillion VND, equal to 4.5% of the year's plan and increased by 14.2% over the same period in 2023, of which:</w:t>
      </w:r>
    </w:p>
    <w:p w14:paraId="11818724" w14:textId="77777777" w:rsidR="00E62310" w:rsidRPr="00CD5F6F" w:rsidRDefault="00E62310" w:rsidP="00E62310">
      <w:pPr>
        <w:spacing w:before="20" w:after="20" w:line="254" w:lineRule="auto"/>
        <w:ind w:firstLine="567"/>
        <w:jc w:val="both"/>
        <w:rPr>
          <w:bCs/>
          <w:iCs/>
          <w:lang w:val="af-ZA"/>
        </w:rPr>
      </w:pPr>
      <w:r w:rsidRPr="00CD5F6F">
        <w:rPr>
          <w:bCs/>
          <w:iCs/>
          <w:lang w:val="af-ZA"/>
        </w:rPr>
        <w:t>Provincial state budget capital reached 17.4 trillion VND, equal to 4.2% of the year's plan and increased 11.1% over the same period last year;</w:t>
      </w:r>
    </w:p>
    <w:p w14:paraId="312A250E" w14:textId="77777777" w:rsidR="00E62310" w:rsidRPr="00CD5F6F" w:rsidRDefault="00E62310" w:rsidP="00E62310">
      <w:pPr>
        <w:pStyle w:val="ListParagraph"/>
        <w:spacing w:before="20" w:after="20" w:line="254" w:lineRule="auto"/>
        <w:ind w:left="0" w:firstLine="567"/>
        <w:contextualSpacing w:val="0"/>
        <w:jc w:val="both"/>
        <w:rPr>
          <w:bCs/>
          <w:iCs/>
          <w:lang w:val="af-ZA"/>
        </w:rPr>
      </w:pPr>
      <w:r w:rsidRPr="00CD5F6F">
        <w:rPr>
          <w:bCs/>
          <w:iCs/>
          <w:lang w:val="af-ZA"/>
        </w:rPr>
        <w:t>State budget capital at district level reached 7.9 trillion VND, equal to 5.3% and increased 20.8%;</w:t>
      </w:r>
    </w:p>
    <w:p w14:paraId="38DC4DAC" w14:textId="77777777" w:rsidR="00E62310" w:rsidRPr="00CD5F6F" w:rsidRDefault="00E62310" w:rsidP="00E62310">
      <w:pPr>
        <w:pStyle w:val="ListParagraph"/>
        <w:spacing w:before="20" w:after="20" w:line="254" w:lineRule="auto"/>
        <w:ind w:left="0" w:firstLine="567"/>
        <w:contextualSpacing w:val="0"/>
        <w:jc w:val="both"/>
        <w:rPr>
          <w:bCs/>
          <w:iCs/>
          <w:spacing w:val="-10"/>
          <w:lang w:val="af-ZA"/>
        </w:rPr>
      </w:pPr>
      <w:r w:rsidRPr="00CD5F6F">
        <w:rPr>
          <w:bCs/>
          <w:iCs/>
          <w:spacing w:val="-10"/>
          <w:lang w:val="af-ZA"/>
        </w:rPr>
        <w:t>State budget capital at commune level reached 1.1 trillion VND, equal to 5.9% and increased by 19.7%.</w:t>
      </w:r>
    </w:p>
    <w:p w14:paraId="769C932D" w14:textId="77777777" w:rsidR="00E62310" w:rsidRDefault="00E62310" w:rsidP="00E62310">
      <w:pPr>
        <w:pStyle w:val="ListParagraph"/>
        <w:numPr>
          <w:ilvl w:val="0"/>
          <w:numId w:val="7"/>
        </w:numPr>
        <w:spacing w:before="20" w:after="20" w:line="254" w:lineRule="auto"/>
        <w:ind w:left="0" w:firstLine="567"/>
        <w:contextualSpacing w:val="0"/>
        <w:jc w:val="both"/>
        <w:rPr>
          <w:b/>
          <w:bCs/>
          <w:lang w:val="af-ZA"/>
        </w:rPr>
      </w:pPr>
      <w:r w:rsidRPr="00CD5F6F">
        <w:rPr>
          <w:bCs/>
          <w:iCs/>
          <w:lang w:val="af-ZA"/>
        </w:rPr>
        <w:t>Investment capital implemented from the State budget in January 2024 of a number of provinces and centrally run cities is as follows:</w:t>
      </w:r>
    </w:p>
    <w:p w14:paraId="6FC7216D" w14:textId="77777777" w:rsidR="00E62310" w:rsidRPr="00CD5F6F" w:rsidRDefault="00E62310" w:rsidP="00016882">
      <w:pPr>
        <w:pStyle w:val="ListParagraph"/>
        <w:spacing w:before="20" w:after="20" w:line="254" w:lineRule="auto"/>
        <w:ind w:left="567"/>
        <w:contextualSpacing w:val="0"/>
        <w:jc w:val="both"/>
        <w:rPr>
          <w:b/>
          <w:bCs/>
          <w:lang w:val="af-ZA"/>
        </w:rPr>
      </w:pPr>
    </w:p>
    <w:p w14:paraId="455A4B02" w14:textId="77777777" w:rsidR="00E62310" w:rsidRPr="00CD5F6F" w:rsidRDefault="00E62310" w:rsidP="00E62310">
      <w:pPr>
        <w:spacing w:before="40" w:after="40"/>
        <w:jc w:val="center"/>
        <w:rPr>
          <w:b/>
          <w:bCs/>
          <w:lang w:val="af-ZA"/>
        </w:rPr>
      </w:pPr>
      <w:r w:rsidRPr="00CD5F6F">
        <w:rPr>
          <w:b/>
          <w:bCs/>
          <w:lang w:val="af-ZA"/>
        </w:rPr>
        <w:t>Figure 7. Investment capital made from the State budget</w:t>
      </w:r>
    </w:p>
    <w:p w14:paraId="33FC61AC" w14:textId="77777777" w:rsidR="00E62310" w:rsidRDefault="00E62310" w:rsidP="00E62310">
      <w:pPr>
        <w:spacing w:before="40" w:after="40"/>
        <w:jc w:val="center"/>
        <w:rPr>
          <w:bCs/>
          <w:iCs/>
          <w:spacing w:val="-2"/>
          <w:lang w:val="af-ZA"/>
        </w:rPr>
      </w:pPr>
      <w:r w:rsidRPr="00CD5F6F">
        <w:rPr>
          <w:b/>
          <w:bCs/>
          <w:lang w:val="af-ZA"/>
        </w:rPr>
        <w:t>January 2024 divided by some localities</w:t>
      </w:r>
    </w:p>
    <w:p w14:paraId="743BC412" w14:textId="77777777" w:rsidR="00E62310" w:rsidRPr="00CD5F6F" w:rsidRDefault="00E62310" w:rsidP="00E62310">
      <w:pPr>
        <w:spacing w:before="40" w:after="40"/>
        <w:jc w:val="center"/>
        <w:rPr>
          <w:bCs/>
          <w:iCs/>
          <w:spacing w:val="-2"/>
          <w:lang w:val="af-ZA"/>
        </w:rPr>
      </w:pPr>
      <w:r>
        <w:rPr>
          <w:noProof/>
          <w:lang w:val="en-US"/>
        </w:rPr>
        <w:lastRenderedPageBreak/>
        <w:drawing>
          <wp:inline distT="0" distB="0" distL="0" distR="0" wp14:anchorId="2D98D8F8" wp14:editId="5BC87FD4">
            <wp:extent cx="6419850" cy="4419600"/>
            <wp:effectExtent l="0" t="0" r="0" b="0"/>
            <wp:docPr id="2" name="Chart 2">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3DDD668" w14:textId="77777777" w:rsidR="00E62310" w:rsidRPr="00CD5F6F" w:rsidRDefault="00E62310" w:rsidP="00E62310">
      <w:pPr>
        <w:spacing w:before="40" w:after="40"/>
        <w:jc w:val="center"/>
        <w:rPr>
          <w:bCs/>
          <w:iCs/>
          <w:spacing w:val="-2"/>
          <w:lang w:val="af-ZA"/>
        </w:rPr>
      </w:pPr>
    </w:p>
    <w:p w14:paraId="607734F6" w14:textId="77777777" w:rsidR="00E62310" w:rsidRPr="00CD5F6F" w:rsidRDefault="00E62310" w:rsidP="00E62310">
      <w:pPr>
        <w:spacing w:after="40" w:line="264" w:lineRule="auto"/>
        <w:ind w:firstLine="720"/>
        <w:jc w:val="both"/>
        <w:rPr>
          <w:iCs/>
          <w:spacing w:val="-8"/>
          <w:lang w:val="de-DE"/>
        </w:rPr>
      </w:pPr>
      <w:r w:rsidRPr="00CD5F6F">
        <w:rPr>
          <w:i/>
          <w:iCs/>
          <w:spacing w:val="-6"/>
          <w:lang w:val="de-DE"/>
        </w:rPr>
        <w:t>Total foreign investment capital registered in Vietnam</w:t>
      </w:r>
      <w:r w:rsidRPr="00CD5F6F">
        <w:rPr>
          <w:rStyle w:val="FootnoteReference"/>
          <w:i/>
          <w:iCs/>
          <w:spacing w:val="-6"/>
          <w:lang w:val="de-DE"/>
        </w:rPr>
        <w:footnoteReference w:id="9"/>
      </w:r>
      <w:r w:rsidRPr="00CD5F6F">
        <w:rPr>
          <w:i/>
          <w:iCs/>
          <w:spacing w:val="-6"/>
          <w:lang w:val="de-DE"/>
        </w:rPr>
        <w:t xml:space="preserve"> </w:t>
      </w:r>
      <w:r w:rsidRPr="00CD5F6F">
        <w:rPr>
          <w:iCs/>
          <w:spacing w:val="-6"/>
          <w:lang w:val="de-DE"/>
        </w:rPr>
        <w:t xml:space="preserve">As of January 20, 2024 </w:t>
      </w:r>
      <w:r w:rsidRPr="00CD5F6F">
        <w:rPr>
          <w:iCs/>
          <w:spacing w:val="-8"/>
          <w:lang w:val="de-DE"/>
        </w:rPr>
        <w:t>, including newly registered capital, adjusted registered capital and the value of capital contributions and share purchases by foreign investors reached 2.36 billion USD, an increase of 40.2% compared to the previous year. in the same period last year.</w:t>
      </w:r>
    </w:p>
    <w:p w14:paraId="5837B1C2" w14:textId="77777777" w:rsidR="00E62310" w:rsidRPr="00CD5F6F" w:rsidRDefault="00E62310" w:rsidP="00E62310">
      <w:pPr>
        <w:jc w:val="center"/>
        <w:rPr>
          <w:b/>
          <w:bCs/>
          <w:lang w:val="de-DE"/>
        </w:rPr>
      </w:pPr>
      <w:r w:rsidRPr="00CD5F6F">
        <w:rPr>
          <w:b/>
          <w:bCs/>
          <w:lang w:val="de-DE"/>
        </w:rPr>
        <w:t>Figure 8. Foreign investment capital registered in Vietnam</w:t>
      </w:r>
    </w:p>
    <w:p w14:paraId="6BAB4AFF" w14:textId="77777777" w:rsidR="00E62310" w:rsidRDefault="00E62310" w:rsidP="00E62310">
      <w:pPr>
        <w:jc w:val="center"/>
        <w:rPr>
          <w:b/>
          <w:bCs/>
          <w:lang w:val="de-DE"/>
        </w:rPr>
      </w:pPr>
      <w:r w:rsidRPr="00CD5F6F">
        <w:rPr>
          <w:b/>
          <w:bCs/>
          <w:lang w:val="de-DE"/>
        </w:rPr>
        <w:t>as of January 20, years 20</w:t>
      </w:r>
      <w:r w:rsidRPr="00CD5F6F">
        <w:rPr>
          <w:b/>
          <w:bCs/>
        </w:rPr>
        <w:t xml:space="preserve">20 </w:t>
      </w:r>
      <w:r w:rsidRPr="00CD5F6F">
        <w:rPr>
          <w:b/>
          <w:bCs/>
          <w:lang w:val="de-DE"/>
        </w:rPr>
        <w:t>-202</w:t>
      </w:r>
      <w:r w:rsidRPr="00CD5F6F">
        <w:rPr>
          <w:b/>
          <w:bCs/>
        </w:rPr>
        <w:t xml:space="preserve">4 </w:t>
      </w:r>
      <w:r w:rsidRPr="00CD5F6F">
        <w:rPr>
          <w:b/>
          <w:bCs/>
          <w:lang w:val="de-DE"/>
        </w:rPr>
        <w:t>(Billion USD)</w:t>
      </w:r>
    </w:p>
    <w:p w14:paraId="25690B94" w14:textId="77777777" w:rsidR="00E62310" w:rsidRPr="00CD5F6F" w:rsidRDefault="00E62310" w:rsidP="00E62310">
      <w:pPr>
        <w:jc w:val="center"/>
        <w:rPr>
          <w:b/>
          <w:bCs/>
          <w:lang w:val="de-DE"/>
        </w:rPr>
      </w:pPr>
      <w:r>
        <w:rPr>
          <w:noProof/>
          <w:lang w:val="en-US"/>
        </w:rPr>
        <w:lastRenderedPageBreak/>
        <w:drawing>
          <wp:inline distT="0" distB="0" distL="0" distR="0" wp14:anchorId="35DCCAC6" wp14:editId="725BD0D7">
            <wp:extent cx="5286376" cy="3429000"/>
            <wp:effectExtent l="0" t="0" r="9525" b="0"/>
            <wp:docPr id="3" name="Chart 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EDF8D1" w14:textId="77777777" w:rsidR="00E62310" w:rsidRPr="00CD5F6F" w:rsidRDefault="00E62310" w:rsidP="00E62310">
      <w:pPr>
        <w:jc w:val="center"/>
        <w:rPr>
          <w:b/>
          <w:bCs/>
          <w:lang w:val="de-DE"/>
        </w:rPr>
      </w:pPr>
    </w:p>
    <w:p w14:paraId="496F51C7" w14:textId="4CD838D3" w:rsidR="00E62310" w:rsidRPr="00CD5F6F" w:rsidRDefault="00E62310" w:rsidP="00E62310">
      <w:pPr>
        <w:spacing w:after="120" w:line="288" w:lineRule="auto"/>
        <w:ind w:firstLine="567"/>
        <w:jc w:val="both"/>
        <w:rPr>
          <w:iCs/>
          <w:lang w:val="de-DE"/>
        </w:rPr>
      </w:pPr>
      <w:r w:rsidRPr="00CD5F6F">
        <w:rPr>
          <w:iCs/>
          <w:lang w:val="de-DE"/>
        </w:rPr>
        <w:t xml:space="preserve">- Newly registered capital has 190 licensed projects with a registered capital of </w:t>
      </w:r>
      <w:r w:rsidRPr="00CD5F6F">
        <w:rPr>
          <w:iCs/>
        </w:rPr>
        <w:t xml:space="preserve">2.01 billion </w:t>
      </w:r>
      <w:r w:rsidRPr="00CD5F6F">
        <w:rPr>
          <w:iCs/>
          <w:lang w:val="de-DE"/>
        </w:rPr>
        <w:t xml:space="preserve">USD , an increase </w:t>
      </w:r>
      <w:r w:rsidRPr="00CD5F6F">
        <w:rPr>
          <w:iCs/>
        </w:rPr>
        <w:t>of 24.2</w:t>
      </w:r>
      <w:r w:rsidR="00016882">
        <w:rPr>
          <w:iCs/>
        </w:rPr>
        <w:t>%</w:t>
      </w:r>
      <w:r w:rsidRPr="00CD5F6F">
        <w:rPr>
          <w:iCs/>
        </w:rPr>
        <w:t xml:space="preserve"> in </w:t>
      </w:r>
      <w:r w:rsidRPr="00CD5F6F">
        <w:rPr>
          <w:iCs/>
          <w:lang w:val="de-DE"/>
        </w:rPr>
        <w:t xml:space="preserve">the number of projects and </w:t>
      </w:r>
      <w:r w:rsidRPr="00CD5F6F">
        <w:rPr>
          <w:iCs/>
        </w:rPr>
        <w:t xml:space="preserve">an increase of 66.9% </w:t>
      </w:r>
      <w:r w:rsidRPr="00CD5F6F">
        <w:rPr>
          <w:iCs/>
          <w:lang w:val="de-DE"/>
        </w:rPr>
        <w:t xml:space="preserve">in registered capital over the same period last year . before. Among them, </w:t>
      </w:r>
      <w:r w:rsidRPr="00CD5F6F">
        <w:rPr>
          <w:iCs/>
        </w:rPr>
        <w:t xml:space="preserve">real estate business activities with new foreign investment </w:t>
      </w:r>
      <w:r w:rsidRPr="00CD5F6F">
        <w:rPr>
          <w:iCs/>
          <w:lang w:val="de-DE"/>
        </w:rPr>
        <w:t xml:space="preserve">licenses are the largest with registered capital of 1.24 </w:t>
      </w:r>
      <w:r w:rsidRPr="00CD5F6F">
        <w:rPr>
          <w:iCs/>
        </w:rPr>
        <w:t xml:space="preserve">billion </w:t>
      </w:r>
      <w:r w:rsidRPr="00CD5F6F">
        <w:rPr>
          <w:iCs/>
          <w:lang w:val="de-DE"/>
        </w:rPr>
        <w:t>USD , accounting for 61.8</w:t>
      </w:r>
      <w:r w:rsidR="00016882">
        <w:rPr>
          <w:iCs/>
          <w:lang w:val="de-DE"/>
        </w:rPr>
        <w:t>%</w:t>
      </w:r>
      <w:r w:rsidRPr="00CD5F6F">
        <w:rPr>
          <w:iCs/>
          <w:lang w:val="de-DE"/>
        </w:rPr>
        <w:t xml:space="preserve"> </w:t>
      </w:r>
      <w:r w:rsidRPr="00CD5F6F">
        <w:rPr>
          <w:iCs/>
        </w:rPr>
        <w:t xml:space="preserve">of </w:t>
      </w:r>
      <w:r w:rsidRPr="00CD5F6F">
        <w:rPr>
          <w:iCs/>
          <w:lang w:val="de-DE"/>
        </w:rPr>
        <w:t xml:space="preserve">total newly registered capital; Processing and manufacturing industry reached </w:t>
      </w:r>
      <w:r w:rsidRPr="00CD5F6F">
        <w:rPr>
          <w:iCs/>
        </w:rPr>
        <w:t xml:space="preserve">715.9 million </w:t>
      </w:r>
      <w:r w:rsidRPr="00CD5F6F">
        <w:rPr>
          <w:iCs/>
          <w:lang w:val="de-DE"/>
        </w:rPr>
        <w:t xml:space="preserve">USD, accounting for </w:t>
      </w:r>
      <w:r w:rsidRPr="00CD5F6F">
        <w:rPr>
          <w:iCs/>
        </w:rPr>
        <w:t>35.6</w:t>
      </w:r>
      <w:r w:rsidR="00016882">
        <w:rPr>
          <w:iCs/>
        </w:rPr>
        <w:t>%</w:t>
      </w:r>
      <w:r w:rsidRPr="00CD5F6F">
        <w:rPr>
          <w:iCs/>
          <w:lang w:val="de-DE"/>
        </w:rPr>
        <w:t xml:space="preserve">; The remaining industries reached </w:t>
      </w:r>
      <w:r w:rsidRPr="00CD5F6F">
        <w:rPr>
          <w:iCs/>
        </w:rPr>
        <w:t xml:space="preserve">51.6 million </w:t>
      </w:r>
      <w:r w:rsidRPr="00CD5F6F">
        <w:rPr>
          <w:iCs/>
          <w:lang w:val="de-DE"/>
        </w:rPr>
        <w:t xml:space="preserve">USD, accounting for </w:t>
      </w:r>
      <w:r w:rsidRPr="00CD5F6F">
        <w:rPr>
          <w:iCs/>
        </w:rPr>
        <w:t>2.6</w:t>
      </w:r>
      <w:r w:rsidR="00016882">
        <w:rPr>
          <w:iCs/>
        </w:rPr>
        <w:t>%</w:t>
      </w:r>
      <w:r w:rsidRPr="00CD5F6F">
        <w:rPr>
          <w:iCs/>
          <w:lang w:val="de-DE"/>
        </w:rPr>
        <w:t xml:space="preserve"> </w:t>
      </w:r>
      <w:r w:rsidRPr="00CD5F6F">
        <w:rPr>
          <w:iCs/>
        </w:rPr>
        <w:t>.</w:t>
      </w:r>
    </w:p>
    <w:p w14:paraId="4EA10FB1" w14:textId="558EE849" w:rsidR="00E62310" w:rsidRPr="00CD5F6F" w:rsidRDefault="00E62310" w:rsidP="00E62310">
      <w:pPr>
        <w:spacing w:after="120" w:line="288" w:lineRule="auto"/>
        <w:ind w:firstLine="567"/>
        <w:jc w:val="both"/>
        <w:rPr>
          <w:iCs/>
          <w:spacing w:val="-2"/>
          <w:lang w:val="de-DE"/>
        </w:rPr>
      </w:pPr>
      <w:r w:rsidRPr="00CD5F6F">
        <w:rPr>
          <w:iCs/>
          <w:lang w:val="de-DE"/>
        </w:rPr>
        <w:t xml:space="preserve">Among 25 </w:t>
      </w:r>
      <w:r w:rsidRPr="00CD5F6F">
        <w:rPr>
          <w:iCs/>
        </w:rPr>
        <w:t xml:space="preserve">countries </w:t>
      </w:r>
      <w:r w:rsidRPr="00CD5F6F">
        <w:rPr>
          <w:iCs/>
          <w:lang w:val="de-DE"/>
        </w:rPr>
        <w:t xml:space="preserve">and territories with new licensed investment projects in Vietnam in January 2024 </w:t>
      </w:r>
      <w:r w:rsidRPr="00CD5F6F">
        <w:rPr>
          <w:iCs/>
        </w:rPr>
        <w:t xml:space="preserve">, </w:t>
      </w:r>
      <w:r w:rsidRPr="00CD5F6F">
        <w:rPr>
          <w:iCs/>
          <w:lang w:val="de-DE"/>
        </w:rPr>
        <w:t xml:space="preserve">Singapore is the largest investor with </w:t>
      </w:r>
      <w:r w:rsidRPr="00CD5F6F">
        <w:rPr>
          <w:iCs/>
        </w:rPr>
        <w:t xml:space="preserve">1.32 </w:t>
      </w:r>
      <w:r w:rsidRPr="00CD5F6F">
        <w:rPr>
          <w:iCs/>
          <w:lang w:val="de-DE"/>
        </w:rPr>
        <w:t xml:space="preserve">billion USD , accounting </w:t>
      </w:r>
      <w:r w:rsidRPr="00CD5F6F">
        <w:rPr>
          <w:iCs/>
        </w:rPr>
        <w:t>for 65</w:t>
      </w:r>
      <w:r w:rsidRPr="00CD5F6F">
        <w:rPr>
          <w:iCs/>
          <w:lang w:val="de-DE"/>
        </w:rPr>
        <w:t>,</w:t>
      </w:r>
      <w:r w:rsidRPr="00CD5F6F">
        <w:rPr>
          <w:iCs/>
        </w:rPr>
        <w:t>6</w:t>
      </w:r>
      <w:r w:rsidRPr="00CD5F6F">
        <w:rPr>
          <w:iCs/>
          <w:lang w:val="de-DE"/>
        </w:rPr>
        <w:t xml:space="preserve">% of total newly registered capital; followed by </w:t>
      </w:r>
      <w:r w:rsidRPr="00CD5F6F">
        <w:rPr>
          <w:iCs/>
        </w:rPr>
        <w:t>Japan 302</w:t>
      </w:r>
      <w:r w:rsidRPr="00CD5F6F">
        <w:rPr>
          <w:iCs/>
          <w:lang w:val="de-DE"/>
        </w:rPr>
        <w:t>,</w:t>
      </w:r>
      <w:r w:rsidRPr="00CD5F6F">
        <w:rPr>
          <w:iCs/>
        </w:rPr>
        <w:t xml:space="preserve">6 </w:t>
      </w:r>
      <w:r w:rsidRPr="00CD5F6F">
        <w:rPr>
          <w:iCs/>
          <w:lang w:val="de-DE"/>
        </w:rPr>
        <w:t xml:space="preserve">million USD, accounting for </w:t>
      </w:r>
      <w:r w:rsidRPr="00CD5F6F">
        <w:rPr>
          <w:iCs/>
        </w:rPr>
        <w:t>15</w:t>
      </w:r>
      <w:r w:rsidR="00016882">
        <w:rPr>
          <w:iCs/>
        </w:rPr>
        <w:t>%</w:t>
      </w:r>
      <w:r w:rsidRPr="00CD5F6F">
        <w:rPr>
          <w:iCs/>
          <w:lang w:val="de-DE"/>
        </w:rPr>
        <w:t xml:space="preserve">; </w:t>
      </w:r>
      <w:r w:rsidRPr="00CD5F6F">
        <w:rPr>
          <w:iCs/>
        </w:rPr>
        <w:t xml:space="preserve">China 142.1 </w:t>
      </w:r>
      <w:r w:rsidRPr="00CD5F6F">
        <w:rPr>
          <w:iCs/>
          <w:lang w:val="de-DE"/>
        </w:rPr>
        <w:t xml:space="preserve">million USD, accounting for </w:t>
      </w:r>
      <w:r w:rsidRPr="00CD5F6F">
        <w:rPr>
          <w:iCs/>
        </w:rPr>
        <w:t>7.1</w:t>
      </w:r>
      <w:r w:rsidRPr="00CD5F6F">
        <w:rPr>
          <w:iCs/>
          <w:lang w:val="de-DE"/>
        </w:rPr>
        <w:t xml:space="preserve">%; Hong Kong Special Administrative Region (China) </w:t>
      </w:r>
      <w:r w:rsidRPr="00CD5F6F">
        <w:rPr>
          <w:iCs/>
        </w:rPr>
        <w:t xml:space="preserve">74.7 million </w:t>
      </w:r>
      <w:r w:rsidRPr="00CD5F6F">
        <w:rPr>
          <w:iCs/>
          <w:lang w:val="de-DE"/>
        </w:rPr>
        <w:t xml:space="preserve">USD , accounting for </w:t>
      </w:r>
      <w:r w:rsidRPr="00CD5F6F">
        <w:rPr>
          <w:iCs/>
        </w:rPr>
        <w:t>3.7</w:t>
      </w:r>
      <w:r w:rsidRPr="00CD5F6F">
        <w:rPr>
          <w:iCs/>
          <w:lang w:val="de-DE"/>
        </w:rPr>
        <w:t xml:space="preserve">%; </w:t>
      </w:r>
      <w:r w:rsidRPr="00CD5F6F">
        <w:rPr>
          <w:iCs/>
        </w:rPr>
        <w:t xml:space="preserve">Samoa 49.4 </w:t>
      </w:r>
      <w:r w:rsidRPr="00CD5F6F">
        <w:rPr>
          <w:iCs/>
          <w:spacing w:val="-2"/>
          <w:lang w:val="de-DE"/>
        </w:rPr>
        <w:t xml:space="preserve">million </w:t>
      </w:r>
      <w:r w:rsidRPr="00CD5F6F">
        <w:rPr>
          <w:iCs/>
          <w:lang w:val="de-DE"/>
        </w:rPr>
        <w:t xml:space="preserve">USD, accounting for </w:t>
      </w:r>
      <w:r w:rsidRPr="00CD5F6F">
        <w:rPr>
          <w:iCs/>
        </w:rPr>
        <w:t>2.5</w:t>
      </w:r>
      <w:r w:rsidRPr="00CD5F6F">
        <w:rPr>
          <w:iCs/>
          <w:lang w:val="de-DE"/>
        </w:rPr>
        <w:t xml:space="preserve">% </w:t>
      </w:r>
      <w:r w:rsidRPr="00CD5F6F">
        <w:rPr>
          <w:iCs/>
        </w:rPr>
        <w:t>.</w:t>
      </w:r>
    </w:p>
    <w:p w14:paraId="13E3CF52" w14:textId="77777777" w:rsidR="00E62310" w:rsidRPr="00CD5F6F" w:rsidRDefault="00E62310" w:rsidP="00E62310">
      <w:pPr>
        <w:spacing w:after="120" w:line="288" w:lineRule="auto"/>
        <w:ind w:firstLine="567"/>
        <w:jc w:val="both"/>
        <w:rPr>
          <w:iCs/>
          <w:lang w:val="de-DE"/>
        </w:rPr>
      </w:pPr>
      <w:r w:rsidRPr="00CD5F6F">
        <w:rPr>
          <w:iCs/>
          <w:lang w:val="de-DE"/>
        </w:rPr>
        <w:t>- Adjusted registered capital:</w:t>
      </w:r>
      <w:r>
        <w:rPr>
          <w:iCs/>
        </w:rPr>
        <w:t xml:space="preserve"> </w:t>
      </w:r>
      <w:r w:rsidRPr="00CD5F6F">
        <w:rPr>
          <w:iCs/>
        </w:rPr>
        <w:t xml:space="preserve">75 </w:t>
      </w:r>
      <w:r w:rsidRPr="00CD5F6F">
        <w:rPr>
          <w:iCs/>
          <w:lang w:val="de-DE"/>
        </w:rPr>
        <w:t xml:space="preserve">projects licensed from previous years registered to adjust their investment capital by </w:t>
      </w:r>
      <w:r w:rsidRPr="00CD5F6F">
        <w:rPr>
          <w:iCs/>
        </w:rPr>
        <w:t xml:space="preserve">235.4 </w:t>
      </w:r>
      <w:r w:rsidRPr="00CD5F6F">
        <w:rPr>
          <w:iCs/>
          <w:lang w:val="de-DE"/>
        </w:rPr>
        <w:t xml:space="preserve">million </w:t>
      </w:r>
      <w:r w:rsidRPr="00CD5F6F">
        <w:rPr>
          <w:iCs/>
        </w:rPr>
        <w:t xml:space="preserve">USD, </w:t>
      </w:r>
      <w:r w:rsidRPr="00CD5F6F">
        <w:rPr>
          <w:iCs/>
          <w:lang w:val="de-DE"/>
        </w:rPr>
        <w:t xml:space="preserve">down </w:t>
      </w:r>
      <w:r w:rsidRPr="00CD5F6F">
        <w:rPr>
          <w:iCs/>
        </w:rPr>
        <w:t>23.1</w:t>
      </w:r>
      <w:r w:rsidRPr="00CD5F6F">
        <w:rPr>
          <w:iCs/>
          <w:lang w:val="de-DE"/>
        </w:rPr>
        <w:t>% over the same period last year .</w:t>
      </w:r>
    </w:p>
    <w:p w14:paraId="25954459" w14:textId="43AF88A4" w:rsidR="00E62310" w:rsidRPr="00CD5F6F" w:rsidRDefault="00E62310" w:rsidP="00E62310">
      <w:pPr>
        <w:spacing w:after="120" w:line="288" w:lineRule="auto"/>
        <w:ind w:firstLine="567"/>
        <w:jc w:val="both"/>
        <w:rPr>
          <w:iCs/>
          <w:lang w:val="de-DE"/>
        </w:rPr>
      </w:pPr>
      <w:r w:rsidRPr="00CD5F6F">
        <w:rPr>
          <w:iCs/>
          <w:lang w:val="de-DE"/>
        </w:rPr>
        <w:t xml:space="preserve">If including new registered capital and adjusted registered capital of projects licensed in previous years, foreign investment capital in </w:t>
      </w:r>
      <w:r w:rsidRPr="00CD5F6F">
        <w:rPr>
          <w:iCs/>
        </w:rPr>
        <w:t xml:space="preserve">real estate business activities </w:t>
      </w:r>
      <w:r w:rsidRPr="00CD5F6F">
        <w:rPr>
          <w:iCs/>
          <w:lang w:val="de-DE"/>
        </w:rPr>
        <w:t>reaches</w:t>
      </w:r>
      <w:r>
        <w:rPr>
          <w:iCs/>
        </w:rPr>
        <w:t xml:space="preserve"> </w:t>
      </w:r>
      <w:r w:rsidRPr="00CD5F6F">
        <w:rPr>
          <w:iCs/>
        </w:rPr>
        <w:t>1.25 billion USD</w:t>
      </w:r>
      <w:r w:rsidRPr="00CD5F6F">
        <w:rPr>
          <w:iCs/>
          <w:lang w:val="de-DE"/>
        </w:rPr>
        <w:t xml:space="preserve">, accounting for </w:t>
      </w:r>
      <w:r w:rsidRPr="00CD5F6F">
        <w:rPr>
          <w:iCs/>
        </w:rPr>
        <w:t>55.7</w:t>
      </w:r>
      <w:r w:rsidRPr="00CD5F6F">
        <w:rPr>
          <w:iCs/>
          <w:lang w:val="de-DE"/>
        </w:rPr>
        <w:t xml:space="preserve">% of total newly registered and increased capital; Processing and manufacturing industry reached </w:t>
      </w:r>
      <w:r w:rsidRPr="00CD5F6F">
        <w:rPr>
          <w:iCs/>
        </w:rPr>
        <w:lastRenderedPageBreak/>
        <w:t xml:space="preserve">909.4 </w:t>
      </w:r>
      <w:r w:rsidRPr="00CD5F6F">
        <w:rPr>
          <w:iCs/>
          <w:lang w:val="de-DE"/>
        </w:rPr>
        <w:t>million USD, accounting for 40.5</w:t>
      </w:r>
      <w:r w:rsidRPr="00CD5F6F">
        <w:rPr>
          <w:iCs/>
        </w:rPr>
        <w:t>%</w:t>
      </w:r>
      <w:r w:rsidRPr="00CD5F6F">
        <w:rPr>
          <w:iCs/>
          <w:lang w:val="de-DE"/>
        </w:rPr>
        <w:t xml:space="preserve">; The remaining industries reached </w:t>
      </w:r>
      <w:r w:rsidRPr="00CD5F6F">
        <w:rPr>
          <w:iCs/>
        </w:rPr>
        <w:t xml:space="preserve">86.2 million </w:t>
      </w:r>
      <w:r w:rsidRPr="00CD5F6F">
        <w:rPr>
          <w:iCs/>
          <w:lang w:val="de-DE"/>
        </w:rPr>
        <w:t xml:space="preserve">USD , accounting for </w:t>
      </w:r>
      <w:r w:rsidRPr="00CD5F6F">
        <w:rPr>
          <w:iCs/>
        </w:rPr>
        <w:t>3.8</w:t>
      </w:r>
      <w:r w:rsidR="00016882">
        <w:rPr>
          <w:iCs/>
        </w:rPr>
        <w:t>%</w:t>
      </w:r>
      <w:r w:rsidRPr="00CD5F6F">
        <w:rPr>
          <w:iCs/>
          <w:lang w:val="de-DE"/>
        </w:rPr>
        <w:t xml:space="preserve"> </w:t>
      </w:r>
      <w:r w:rsidRPr="00CD5F6F">
        <w:rPr>
          <w:iCs/>
        </w:rPr>
        <w:t>.</w:t>
      </w:r>
    </w:p>
    <w:p w14:paraId="6A6BCFB7" w14:textId="3C286402" w:rsidR="00E62310" w:rsidRPr="00CD5F6F" w:rsidRDefault="00E62310" w:rsidP="00E62310">
      <w:pPr>
        <w:spacing w:after="120" w:line="288" w:lineRule="auto"/>
        <w:ind w:firstLine="567"/>
        <w:jc w:val="both"/>
        <w:rPr>
          <w:iCs/>
          <w:spacing w:val="-4"/>
          <w:lang w:val="de-DE"/>
        </w:rPr>
      </w:pPr>
      <w:r w:rsidRPr="00CD5F6F">
        <w:rPr>
          <w:iCs/>
          <w:spacing w:val="-4"/>
          <w:lang w:val="de-DE"/>
        </w:rPr>
        <w:t xml:space="preserve">- Registered capital for capital contribution and share purchase by foreign investors was </w:t>
      </w:r>
      <w:r w:rsidRPr="00CD5F6F">
        <w:rPr>
          <w:iCs/>
          <w:spacing w:val="-4"/>
        </w:rPr>
        <w:t xml:space="preserve">174 times </w:t>
      </w:r>
      <w:r w:rsidRPr="00CD5F6F">
        <w:rPr>
          <w:iCs/>
          <w:spacing w:val="-4"/>
          <w:lang w:val="de-DE"/>
        </w:rPr>
        <w:t xml:space="preserve">with a total </w:t>
      </w:r>
      <w:r>
        <w:rPr>
          <w:iCs/>
          <w:spacing w:val="-4"/>
          <w:lang w:val="de-DE"/>
        </w:rPr>
        <w:t>capital contribution value of 1</w:t>
      </w:r>
      <w:r w:rsidRPr="00CD5F6F">
        <w:rPr>
          <w:iCs/>
          <w:spacing w:val="-4"/>
          <w:lang w:val="de-DE"/>
        </w:rPr>
        <w:t xml:space="preserve">16,5 </w:t>
      </w:r>
      <w:r w:rsidRPr="00CD5F6F">
        <w:rPr>
          <w:iCs/>
          <w:spacing w:val="-4"/>
        </w:rPr>
        <w:t xml:space="preserve">million USD </w:t>
      </w:r>
      <w:r w:rsidRPr="00CD5F6F">
        <w:rPr>
          <w:iCs/>
          <w:spacing w:val="-4"/>
          <w:lang w:val="de-DE"/>
        </w:rPr>
        <w:t xml:space="preserve">, down </w:t>
      </w:r>
      <w:r w:rsidRPr="00CD5F6F">
        <w:rPr>
          <w:iCs/>
          <w:spacing w:val="-4"/>
        </w:rPr>
        <w:t>33</w:t>
      </w:r>
      <w:r>
        <w:rPr>
          <w:iCs/>
          <w:spacing w:val="-4"/>
        </w:rPr>
        <w:t>.</w:t>
      </w:r>
      <w:r w:rsidRPr="00CD5F6F">
        <w:rPr>
          <w:iCs/>
          <w:spacing w:val="-4"/>
        </w:rPr>
        <w:t>1</w:t>
      </w:r>
      <w:r w:rsidRPr="00CD5F6F">
        <w:rPr>
          <w:iCs/>
          <w:spacing w:val="-4"/>
          <w:lang w:val="de-DE"/>
        </w:rPr>
        <w:t>% over the same period last year</w:t>
      </w:r>
      <w:r w:rsidRPr="00CD5F6F">
        <w:rPr>
          <w:iCs/>
          <w:spacing w:val="-4"/>
        </w:rPr>
        <w:t xml:space="preserve">. </w:t>
      </w:r>
      <w:r w:rsidRPr="00CD5F6F">
        <w:rPr>
          <w:iCs/>
          <w:spacing w:val="-4"/>
          <w:lang w:val="de-DE"/>
        </w:rPr>
        <w:t xml:space="preserve">Including </w:t>
      </w:r>
      <w:r w:rsidRPr="00CD5F6F">
        <w:rPr>
          <w:iCs/>
          <w:spacing w:val="-4"/>
        </w:rPr>
        <w:t xml:space="preserve">56 </w:t>
      </w:r>
      <w:r w:rsidRPr="00CD5F6F">
        <w:rPr>
          <w:iCs/>
          <w:spacing w:val="-4"/>
          <w:lang w:val="de-DE"/>
        </w:rPr>
        <w:t xml:space="preserve">times of capital contribution and share purchase to increase the charter capital of the enterprise with a capital contribution value of </w:t>
      </w:r>
      <w:r w:rsidRPr="00CD5F6F">
        <w:rPr>
          <w:iCs/>
          <w:spacing w:val="-4"/>
        </w:rPr>
        <w:t xml:space="preserve">79.5 million </w:t>
      </w:r>
      <w:r w:rsidRPr="00CD5F6F">
        <w:rPr>
          <w:iCs/>
          <w:spacing w:val="-4"/>
          <w:lang w:val="de-DE"/>
        </w:rPr>
        <w:t xml:space="preserve">USD and </w:t>
      </w:r>
      <w:r w:rsidRPr="00CD5F6F">
        <w:rPr>
          <w:iCs/>
          <w:spacing w:val="-4"/>
        </w:rPr>
        <w:t xml:space="preserve">118 </w:t>
      </w:r>
      <w:r w:rsidRPr="00CD5F6F">
        <w:rPr>
          <w:iCs/>
          <w:spacing w:val="-4"/>
          <w:lang w:val="de-DE"/>
        </w:rPr>
        <w:t xml:space="preserve">times of foreign investors buying back domestic shares without increasing capital. charter with a value of </w:t>
      </w:r>
      <w:r w:rsidRPr="00CD5F6F">
        <w:rPr>
          <w:iCs/>
          <w:spacing w:val="-4"/>
        </w:rPr>
        <w:t xml:space="preserve">nearly 37 </w:t>
      </w:r>
      <w:r w:rsidRPr="00CD5F6F">
        <w:rPr>
          <w:iCs/>
          <w:spacing w:val="-4"/>
          <w:lang w:val="de-DE"/>
        </w:rPr>
        <w:t xml:space="preserve">million USD. For the form of capital contribution and share purchase by foreign investors, capital invested in professional and scientific and technological activities reached </w:t>
      </w:r>
      <w:r w:rsidRPr="00CD5F6F">
        <w:rPr>
          <w:iCs/>
          <w:spacing w:val="-4"/>
        </w:rPr>
        <w:t>57 million USD</w:t>
      </w:r>
      <w:r w:rsidRPr="00CD5F6F">
        <w:rPr>
          <w:iCs/>
          <w:spacing w:val="-4"/>
          <w:lang w:val="de-DE"/>
        </w:rPr>
        <w:t xml:space="preserve">, accounting for </w:t>
      </w:r>
      <w:r w:rsidRPr="00CD5F6F">
        <w:rPr>
          <w:iCs/>
          <w:spacing w:val="-4"/>
        </w:rPr>
        <w:t>48.9</w:t>
      </w:r>
      <w:r w:rsidRPr="00CD5F6F">
        <w:rPr>
          <w:iCs/>
          <w:spacing w:val="-4"/>
          <w:lang w:val="de-DE"/>
        </w:rPr>
        <w:t xml:space="preserve">%; </w:t>
      </w:r>
      <w:r w:rsidRPr="00CD5F6F">
        <w:rPr>
          <w:iCs/>
          <w:spacing w:val="-4"/>
        </w:rPr>
        <w:t xml:space="preserve">Real estate business activities </w:t>
      </w:r>
      <w:r w:rsidRPr="00CD5F6F">
        <w:rPr>
          <w:iCs/>
          <w:spacing w:val="-4"/>
          <w:lang w:val="de-DE"/>
        </w:rPr>
        <w:t xml:space="preserve">reached </w:t>
      </w:r>
      <w:r w:rsidRPr="00CD5F6F">
        <w:rPr>
          <w:iCs/>
          <w:spacing w:val="-4"/>
        </w:rPr>
        <w:t xml:space="preserve">22.1 million </w:t>
      </w:r>
      <w:r w:rsidRPr="00CD5F6F">
        <w:rPr>
          <w:iCs/>
          <w:spacing w:val="-4"/>
          <w:lang w:val="de-DE"/>
        </w:rPr>
        <w:t xml:space="preserve">USD, accounting for </w:t>
      </w:r>
      <w:r w:rsidRPr="00CD5F6F">
        <w:rPr>
          <w:iCs/>
          <w:spacing w:val="-4"/>
        </w:rPr>
        <w:t xml:space="preserve">18.9% of </w:t>
      </w:r>
      <w:r w:rsidRPr="00CD5F6F">
        <w:rPr>
          <w:iCs/>
          <w:spacing w:val="-4"/>
          <w:lang w:val="de-DE"/>
        </w:rPr>
        <w:t xml:space="preserve">capital contribution value; </w:t>
      </w:r>
      <w:r w:rsidRPr="00CD5F6F">
        <w:rPr>
          <w:iCs/>
          <w:spacing w:val="-4"/>
        </w:rPr>
        <w:t xml:space="preserve">The </w:t>
      </w:r>
      <w:r w:rsidRPr="00CD5F6F">
        <w:rPr>
          <w:iCs/>
          <w:spacing w:val="-4"/>
          <w:lang w:val="de-DE"/>
        </w:rPr>
        <w:t xml:space="preserve">remaining industry </w:t>
      </w:r>
      <w:r w:rsidRPr="00CD5F6F">
        <w:rPr>
          <w:iCs/>
          <w:spacing w:val="-4"/>
        </w:rPr>
        <w:t xml:space="preserve">is 37.4 million </w:t>
      </w:r>
      <w:r w:rsidRPr="00CD5F6F">
        <w:rPr>
          <w:iCs/>
          <w:spacing w:val="-4"/>
          <w:lang w:val="de-DE"/>
        </w:rPr>
        <w:t xml:space="preserve">USD, accounting for </w:t>
      </w:r>
      <w:r w:rsidRPr="00CD5F6F">
        <w:rPr>
          <w:iCs/>
          <w:spacing w:val="-4"/>
        </w:rPr>
        <w:t>32.2</w:t>
      </w:r>
      <w:r w:rsidR="00016882">
        <w:rPr>
          <w:iCs/>
          <w:spacing w:val="-4"/>
        </w:rPr>
        <w:t>%</w:t>
      </w:r>
      <w:r w:rsidRPr="00CD5F6F">
        <w:rPr>
          <w:iCs/>
          <w:spacing w:val="-4"/>
          <w:lang w:val="de-DE"/>
        </w:rPr>
        <w:t xml:space="preserve"> .</w:t>
      </w:r>
    </w:p>
    <w:p w14:paraId="450C80F6" w14:textId="08DC0399" w:rsidR="00E62310" w:rsidRPr="00CD5F6F" w:rsidRDefault="00E62310" w:rsidP="00E62310">
      <w:pPr>
        <w:spacing w:after="120" w:line="288" w:lineRule="auto"/>
        <w:ind w:firstLine="567"/>
        <w:jc w:val="both"/>
        <w:rPr>
          <w:iCs/>
          <w:lang w:val="de-DE"/>
        </w:rPr>
      </w:pPr>
      <w:r w:rsidRPr="00CD5F6F">
        <w:rPr>
          <w:i/>
          <w:iCs/>
          <w:lang w:val="de-DE"/>
        </w:rPr>
        <w:t xml:space="preserve">Foreign direct investment capital realized in Vietnam </w:t>
      </w:r>
      <w:r w:rsidRPr="00CD5F6F">
        <w:rPr>
          <w:iCs/>
          <w:lang w:val="de-DE"/>
        </w:rPr>
        <w:t xml:space="preserve">in January 2024 </w:t>
      </w:r>
      <w:r w:rsidRPr="00CD5F6F">
        <w:rPr>
          <w:iCs/>
        </w:rPr>
        <w:t xml:space="preserve">was </w:t>
      </w:r>
      <w:r w:rsidRPr="00CD5F6F">
        <w:rPr>
          <w:iCs/>
          <w:lang w:val="de-DE"/>
        </w:rPr>
        <w:t xml:space="preserve">estimated at 1.48 billion USD, </w:t>
      </w:r>
      <w:r w:rsidRPr="00CD5F6F">
        <w:rPr>
          <w:iCs/>
        </w:rPr>
        <w:t>up 9.6</w:t>
      </w:r>
      <w:r w:rsidR="00016882">
        <w:rPr>
          <w:iCs/>
        </w:rPr>
        <w:t>%</w:t>
      </w:r>
      <w:r w:rsidRPr="00CD5F6F">
        <w:rPr>
          <w:iCs/>
          <w:lang w:val="de-DE"/>
        </w:rPr>
        <w:t xml:space="preserve"> over the same period last year</w:t>
      </w:r>
      <w:r w:rsidRPr="00CD5F6F">
        <w:rPr>
          <w:iCs/>
        </w:rPr>
        <w:t xml:space="preserve">. </w:t>
      </w:r>
      <w:r w:rsidRPr="00CD5F6F">
        <w:rPr>
          <w:iCs/>
          <w:lang w:val="de-DE"/>
        </w:rPr>
        <w:t xml:space="preserve">Of which: Processing and manufacturing industry reached 1.15 </w:t>
      </w:r>
      <w:r w:rsidRPr="00CD5F6F">
        <w:rPr>
          <w:iCs/>
        </w:rPr>
        <w:t xml:space="preserve">billion </w:t>
      </w:r>
      <w:r w:rsidRPr="00CD5F6F">
        <w:rPr>
          <w:iCs/>
          <w:lang w:val="de-DE"/>
        </w:rPr>
        <w:t>USD, accounting for 77.7</w:t>
      </w:r>
      <w:r w:rsidRPr="00CD5F6F">
        <w:rPr>
          <w:iCs/>
        </w:rPr>
        <w:t xml:space="preserve">% </w:t>
      </w:r>
      <w:r w:rsidRPr="00CD5F6F">
        <w:rPr>
          <w:iCs/>
          <w:lang w:val="de-DE"/>
        </w:rPr>
        <w:t xml:space="preserve">of total realized foreign direct investment capital; Real estate business activities reached </w:t>
      </w:r>
      <w:r w:rsidRPr="00CD5F6F">
        <w:rPr>
          <w:iCs/>
        </w:rPr>
        <w:t xml:space="preserve">147.3 million </w:t>
      </w:r>
      <w:r w:rsidRPr="00CD5F6F">
        <w:rPr>
          <w:iCs/>
          <w:lang w:val="de-DE"/>
        </w:rPr>
        <w:t xml:space="preserve">USD, accounting for </w:t>
      </w:r>
      <w:r w:rsidRPr="00CD5F6F">
        <w:rPr>
          <w:iCs/>
        </w:rPr>
        <w:t>10</w:t>
      </w:r>
      <w:r w:rsidRPr="00CD5F6F">
        <w:rPr>
          <w:iCs/>
          <w:lang w:val="de-DE"/>
        </w:rPr>
        <w:t>%;</w:t>
      </w:r>
      <w:r w:rsidRPr="00CD5F6F">
        <w:rPr>
          <w:iCs/>
        </w:rPr>
        <w:t xml:space="preserve"> Production </w:t>
      </w:r>
      <w:r w:rsidRPr="00CD5F6F">
        <w:rPr>
          <w:iCs/>
          <w:lang w:val="de-DE"/>
        </w:rPr>
        <w:t xml:space="preserve">and distribution of electricity, gas, hot water, steam and air conditioning reached </w:t>
      </w:r>
      <w:r w:rsidRPr="00CD5F6F">
        <w:rPr>
          <w:iCs/>
        </w:rPr>
        <w:t xml:space="preserve">72.4 million </w:t>
      </w:r>
      <w:r w:rsidRPr="00CD5F6F">
        <w:rPr>
          <w:iCs/>
          <w:lang w:val="de-DE"/>
        </w:rPr>
        <w:t xml:space="preserve">USD, accounting for </w:t>
      </w:r>
      <w:r w:rsidRPr="00CD5F6F">
        <w:rPr>
          <w:iCs/>
        </w:rPr>
        <w:t xml:space="preserve">4.9% </w:t>
      </w:r>
      <w:r w:rsidRPr="00CD5F6F">
        <w:rPr>
          <w:iCs/>
          <w:lang w:val="de-DE"/>
        </w:rPr>
        <w:t>.</w:t>
      </w:r>
    </w:p>
    <w:p w14:paraId="0BBC4346" w14:textId="77777777" w:rsidR="00E62310" w:rsidRPr="00CD5F6F" w:rsidRDefault="00E62310" w:rsidP="00E62310">
      <w:pPr>
        <w:spacing w:after="40" w:line="252" w:lineRule="auto"/>
        <w:ind w:firstLine="567"/>
        <w:jc w:val="both"/>
        <w:rPr>
          <w:iCs/>
          <w:lang w:val="de-DE"/>
        </w:rPr>
      </w:pPr>
      <w:r w:rsidRPr="00CD5F6F">
        <w:rPr>
          <w:iCs/>
          <w:lang w:val="de-DE"/>
        </w:rPr>
        <w:t xml:space="preserve"> </w:t>
      </w:r>
    </w:p>
    <w:p w14:paraId="506D891B" w14:textId="77777777" w:rsidR="00E62310" w:rsidRPr="00CD5F6F" w:rsidRDefault="00E62310" w:rsidP="00E62310">
      <w:pPr>
        <w:spacing w:after="40" w:line="252" w:lineRule="auto"/>
        <w:jc w:val="center"/>
        <w:rPr>
          <w:iCs/>
          <w:lang w:val="de-DE"/>
        </w:rPr>
      </w:pPr>
      <w:r w:rsidRPr="00CD5F6F">
        <w:rPr>
          <w:b/>
          <w:bCs/>
          <w:lang w:val="de-DE"/>
        </w:rPr>
        <w:t xml:space="preserve">Figure 9. Realized foreign direct investment capital in </w:t>
      </w:r>
      <w:r w:rsidRPr="00CD5F6F">
        <w:rPr>
          <w:b/>
          <w:bCs/>
        </w:rPr>
        <w:t>January</w:t>
      </w:r>
    </w:p>
    <w:p w14:paraId="15319EE3" w14:textId="77777777" w:rsidR="00E62310" w:rsidRDefault="00E62310" w:rsidP="00E62310">
      <w:pPr>
        <w:jc w:val="center"/>
        <w:rPr>
          <w:b/>
          <w:bCs/>
          <w:lang w:val="de-DE"/>
        </w:rPr>
      </w:pPr>
      <w:r w:rsidRPr="00CD5F6F">
        <w:rPr>
          <w:b/>
          <w:bCs/>
          <w:lang w:val="de-DE"/>
        </w:rPr>
        <w:t>years 20</w:t>
      </w:r>
      <w:r w:rsidRPr="00CD5F6F">
        <w:rPr>
          <w:b/>
          <w:bCs/>
        </w:rPr>
        <w:t xml:space="preserve">20 </w:t>
      </w:r>
      <w:r w:rsidRPr="00CD5F6F">
        <w:rPr>
          <w:b/>
          <w:bCs/>
          <w:lang w:val="de-DE"/>
        </w:rPr>
        <w:t>-</w:t>
      </w:r>
      <w:r>
        <w:rPr>
          <w:b/>
          <w:bCs/>
          <w:lang w:val="de-DE"/>
        </w:rPr>
        <w:t xml:space="preserve"> </w:t>
      </w:r>
      <w:r w:rsidRPr="00CD5F6F">
        <w:rPr>
          <w:b/>
          <w:bCs/>
          <w:lang w:val="de-DE"/>
        </w:rPr>
        <w:t>202</w:t>
      </w:r>
      <w:r w:rsidRPr="00CD5F6F">
        <w:rPr>
          <w:b/>
          <w:bCs/>
        </w:rPr>
        <w:t xml:space="preserve">4 </w:t>
      </w:r>
      <w:r w:rsidRPr="00CD5F6F">
        <w:rPr>
          <w:b/>
          <w:bCs/>
          <w:lang w:val="de-DE"/>
        </w:rPr>
        <w:t>(Billion USD)</w:t>
      </w:r>
    </w:p>
    <w:p w14:paraId="2BA92848" w14:textId="77777777" w:rsidR="00E62310" w:rsidRPr="00CD5F6F" w:rsidRDefault="00E62310" w:rsidP="00E62310">
      <w:pPr>
        <w:jc w:val="center"/>
        <w:rPr>
          <w:b/>
          <w:bCs/>
          <w:lang w:val="de-DE"/>
        </w:rPr>
      </w:pPr>
    </w:p>
    <w:p w14:paraId="137B2661" w14:textId="77777777" w:rsidR="00E62310" w:rsidRPr="00CD5F6F" w:rsidRDefault="00E62310" w:rsidP="00E62310">
      <w:pPr>
        <w:jc w:val="center"/>
        <w:rPr>
          <w:b/>
          <w:bCs/>
          <w:lang w:val="de-DE"/>
        </w:rPr>
      </w:pPr>
      <w:r w:rsidRPr="00CD5F6F">
        <w:rPr>
          <w:noProof/>
          <w:lang w:val="en-US"/>
        </w:rPr>
        <w:drawing>
          <wp:inline distT="0" distB="0" distL="0" distR="0" wp14:anchorId="4767A9D0" wp14:editId="6EEA6501">
            <wp:extent cx="4572000" cy="18764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67C1101" w14:textId="77777777" w:rsidR="00E62310" w:rsidRPr="00CD5F6F" w:rsidRDefault="00E62310" w:rsidP="00E62310">
      <w:pPr>
        <w:jc w:val="center"/>
        <w:rPr>
          <w:b/>
          <w:bCs/>
          <w:lang w:val="de-DE"/>
        </w:rPr>
      </w:pPr>
    </w:p>
    <w:p w14:paraId="10A5554B" w14:textId="77A10C97" w:rsidR="00E62310" w:rsidRPr="00CD5F6F" w:rsidRDefault="00E62310" w:rsidP="00E62310">
      <w:pPr>
        <w:spacing w:after="40" w:line="252" w:lineRule="auto"/>
        <w:ind w:firstLine="567"/>
        <w:jc w:val="both"/>
        <w:rPr>
          <w:iCs/>
          <w:spacing w:val="-2"/>
          <w:lang w:val="de-DE"/>
        </w:rPr>
      </w:pPr>
      <w:r w:rsidRPr="00CD5F6F">
        <w:rPr>
          <w:i/>
          <w:iCs/>
          <w:spacing w:val="-2"/>
          <w:lang w:val="de-DE"/>
        </w:rPr>
        <w:t xml:space="preserve">Vietnam's investment abroad </w:t>
      </w:r>
      <w:r w:rsidRPr="00CD5F6F">
        <w:rPr>
          <w:iCs/>
          <w:spacing w:val="-2"/>
          <w:lang w:val="de-DE"/>
        </w:rPr>
        <w:t xml:space="preserve">in January 2024 </w:t>
      </w:r>
      <w:r w:rsidRPr="00CD5F6F">
        <w:rPr>
          <w:iCs/>
          <w:spacing w:val="-2"/>
        </w:rPr>
        <w:t xml:space="preserve">had </w:t>
      </w:r>
      <w:r w:rsidRPr="00CD5F6F">
        <w:rPr>
          <w:iCs/>
          <w:spacing w:val="-2"/>
          <w:lang w:val="de-DE"/>
        </w:rPr>
        <w:t xml:space="preserve">11 </w:t>
      </w:r>
      <w:r w:rsidRPr="00CD5F6F">
        <w:rPr>
          <w:iCs/>
          <w:spacing w:val="-2"/>
        </w:rPr>
        <w:t xml:space="preserve">projects </w:t>
      </w:r>
      <w:r w:rsidRPr="00CD5F6F">
        <w:rPr>
          <w:iCs/>
          <w:spacing w:val="-2"/>
          <w:lang w:val="de-DE"/>
        </w:rPr>
        <w:t xml:space="preserve">granted new investment certificates with a total Vietnamese capital of </w:t>
      </w:r>
      <w:r w:rsidRPr="00CD5F6F">
        <w:rPr>
          <w:iCs/>
          <w:spacing w:val="-2"/>
        </w:rPr>
        <w:t xml:space="preserve">16.2 million </w:t>
      </w:r>
      <w:r w:rsidRPr="00CD5F6F">
        <w:rPr>
          <w:iCs/>
          <w:spacing w:val="-2"/>
          <w:lang w:val="de-DE"/>
        </w:rPr>
        <w:t xml:space="preserve">USD, 9.3 times higher </w:t>
      </w:r>
      <w:r w:rsidRPr="00CD5F6F">
        <w:rPr>
          <w:iCs/>
          <w:spacing w:val="-2"/>
        </w:rPr>
        <w:t xml:space="preserve">than </w:t>
      </w:r>
      <w:r w:rsidRPr="00CD5F6F">
        <w:rPr>
          <w:iCs/>
          <w:spacing w:val="-2"/>
          <w:lang w:val="de-DE"/>
        </w:rPr>
        <w:t>the same period last year. Last year</w:t>
      </w:r>
      <w:r w:rsidRPr="00CD5F6F">
        <w:rPr>
          <w:rStyle w:val="FootnoteReference"/>
          <w:iCs/>
          <w:spacing w:val="-2"/>
          <w:lang w:val="de-DE"/>
        </w:rPr>
        <w:footnoteReference w:id="10"/>
      </w:r>
      <w:r w:rsidRPr="00CD5F6F">
        <w:rPr>
          <w:iCs/>
          <w:spacing w:val="-2"/>
          <w:lang w:val="de-DE"/>
        </w:rPr>
        <w:t xml:space="preserve">, of which: </w:t>
      </w:r>
      <w:r w:rsidRPr="00CD5F6F">
        <w:rPr>
          <w:iCs/>
          <w:spacing w:val="-2"/>
        </w:rPr>
        <w:t xml:space="preserve">Real estate </w:t>
      </w:r>
      <w:r w:rsidRPr="00CD5F6F">
        <w:rPr>
          <w:iCs/>
          <w:spacing w:val="-2"/>
        </w:rPr>
        <w:lastRenderedPageBreak/>
        <w:t xml:space="preserve">business activities </w:t>
      </w:r>
      <w:r w:rsidRPr="00CD5F6F">
        <w:rPr>
          <w:iCs/>
          <w:spacing w:val="-2"/>
          <w:lang w:val="de-DE"/>
        </w:rPr>
        <w:t xml:space="preserve">reached </w:t>
      </w:r>
      <w:r w:rsidRPr="00CD5F6F">
        <w:rPr>
          <w:iCs/>
          <w:spacing w:val="-2"/>
        </w:rPr>
        <w:t xml:space="preserve">5.4 million </w:t>
      </w:r>
      <w:r w:rsidRPr="00CD5F6F">
        <w:rPr>
          <w:iCs/>
          <w:spacing w:val="-2"/>
          <w:lang w:val="de-DE"/>
        </w:rPr>
        <w:t xml:space="preserve">USD , accounting for </w:t>
      </w:r>
      <w:r w:rsidRPr="00CD5F6F">
        <w:rPr>
          <w:iCs/>
          <w:spacing w:val="-2"/>
        </w:rPr>
        <w:t>33.2</w:t>
      </w:r>
      <w:r w:rsidRPr="00CD5F6F">
        <w:rPr>
          <w:iCs/>
          <w:spacing w:val="-2"/>
          <w:lang w:val="de-DE"/>
        </w:rPr>
        <w:t xml:space="preserve">% of total investment capital </w:t>
      </w:r>
      <w:r w:rsidRPr="00CD5F6F">
        <w:rPr>
          <w:iCs/>
          <w:spacing w:val="-2"/>
        </w:rPr>
        <w:t xml:space="preserve">; Construction activities reached 5 million </w:t>
      </w:r>
      <w:r w:rsidRPr="00CD5F6F">
        <w:rPr>
          <w:iCs/>
          <w:spacing w:val="-2"/>
          <w:lang w:val="de-DE"/>
        </w:rPr>
        <w:t xml:space="preserve">USD, accounting for </w:t>
      </w:r>
      <w:r w:rsidRPr="00CD5F6F">
        <w:rPr>
          <w:iCs/>
          <w:spacing w:val="-2"/>
        </w:rPr>
        <w:t>30.9</w:t>
      </w:r>
      <w:r w:rsidRPr="00CD5F6F">
        <w:rPr>
          <w:iCs/>
          <w:spacing w:val="-2"/>
          <w:lang w:val="de-DE"/>
        </w:rPr>
        <w:t xml:space="preserve">%; </w:t>
      </w:r>
      <w:r w:rsidRPr="00CD5F6F">
        <w:rPr>
          <w:iCs/>
          <w:spacing w:val="-2"/>
        </w:rPr>
        <w:t xml:space="preserve">Mining </w:t>
      </w:r>
      <w:r w:rsidRPr="00CD5F6F">
        <w:rPr>
          <w:iCs/>
          <w:spacing w:val="-2"/>
          <w:lang w:val="de-DE"/>
        </w:rPr>
        <w:t xml:space="preserve">activities reached 4 </w:t>
      </w:r>
      <w:r w:rsidRPr="00CD5F6F">
        <w:rPr>
          <w:iCs/>
          <w:spacing w:val="-2"/>
        </w:rPr>
        <w:t xml:space="preserve">million </w:t>
      </w:r>
      <w:r w:rsidRPr="00CD5F6F">
        <w:rPr>
          <w:iCs/>
          <w:spacing w:val="-2"/>
          <w:lang w:val="de-DE"/>
        </w:rPr>
        <w:t xml:space="preserve">USD, accounting for </w:t>
      </w:r>
      <w:r w:rsidRPr="00CD5F6F">
        <w:rPr>
          <w:iCs/>
          <w:spacing w:val="-2"/>
        </w:rPr>
        <w:t xml:space="preserve">24.7% </w:t>
      </w:r>
      <w:r w:rsidRPr="00CD5F6F">
        <w:rPr>
          <w:iCs/>
          <w:spacing w:val="-2"/>
          <w:lang w:val="de-DE"/>
        </w:rPr>
        <w:t>.</w:t>
      </w:r>
    </w:p>
    <w:p w14:paraId="31C5D086" w14:textId="2E9A7C58" w:rsidR="00E62310" w:rsidRPr="00CD5F6F" w:rsidRDefault="00E62310" w:rsidP="00E62310">
      <w:pPr>
        <w:spacing w:after="40" w:line="252" w:lineRule="auto"/>
        <w:ind w:firstLine="567"/>
        <w:jc w:val="both"/>
        <w:rPr>
          <w:b/>
          <w:bCs/>
          <w:lang w:val="de-DE"/>
        </w:rPr>
      </w:pPr>
      <w:r w:rsidRPr="00CD5F6F">
        <w:rPr>
          <w:iCs/>
          <w:lang w:val="de-DE"/>
        </w:rPr>
        <w:t xml:space="preserve">In January 2024, </w:t>
      </w:r>
      <w:r w:rsidRPr="00CD5F6F">
        <w:rPr>
          <w:iCs/>
        </w:rPr>
        <w:t xml:space="preserve">there were </w:t>
      </w:r>
      <w:r w:rsidRPr="00CD5F6F">
        <w:rPr>
          <w:iCs/>
          <w:lang w:val="de-DE"/>
        </w:rPr>
        <w:t xml:space="preserve">06 </w:t>
      </w:r>
      <w:r w:rsidRPr="00CD5F6F">
        <w:rPr>
          <w:iCs/>
        </w:rPr>
        <w:t xml:space="preserve">countries </w:t>
      </w:r>
      <w:r w:rsidRPr="00CD5F6F">
        <w:rPr>
          <w:iCs/>
          <w:lang w:val="de-DE"/>
        </w:rPr>
        <w:t xml:space="preserve">receiving investment from Vietnam, of which: </w:t>
      </w:r>
      <w:r w:rsidRPr="00CD5F6F">
        <w:rPr>
          <w:iCs/>
        </w:rPr>
        <w:t xml:space="preserve">the United States </w:t>
      </w:r>
      <w:r w:rsidRPr="00CD5F6F">
        <w:rPr>
          <w:iCs/>
          <w:lang w:val="de-DE"/>
        </w:rPr>
        <w:t xml:space="preserve">was the leading country with </w:t>
      </w:r>
      <w:r w:rsidRPr="00CD5F6F">
        <w:rPr>
          <w:iCs/>
        </w:rPr>
        <w:t xml:space="preserve">5.9 million </w:t>
      </w:r>
      <w:r w:rsidRPr="00CD5F6F">
        <w:rPr>
          <w:iCs/>
          <w:lang w:val="de-DE"/>
        </w:rPr>
        <w:t xml:space="preserve">USD, accounting for </w:t>
      </w:r>
      <w:r w:rsidRPr="00CD5F6F">
        <w:rPr>
          <w:iCs/>
        </w:rPr>
        <w:t>36.1</w:t>
      </w:r>
      <w:r w:rsidRPr="00CD5F6F">
        <w:rPr>
          <w:iCs/>
          <w:lang w:val="de-DE"/>
        </w:rPr>
        <w:t xml:space="preserve">% of total investment capital; </w:t>
      </w:r>
      <w:r>
        <w:rPr>
          <w:iCs/>
        </w:rPr>
        <w:t xml:space="preserve">Germany </w:t>
      </w:r>
      <w:r w:rsidRPr="00CD5F6F">
        <w:rPr>
          <w:iCs/>
        </w:rPr>
        <w:t xml:space="preserve">5.4 million </w:t>
      </w:r>
      <w:r w:rsidRPr="00CD5F6F">
        <w:rPr>
          <w:iCs/>
          <w:lang w:val="de-DE"/>
        </w:rPr>
        <w:t xml:space="preserve">USD, accounting for </w:t>
      </w:r>
      <w:r w:rsidRPr="00CD5F6F">
        <w:rPr>
          <w:iCs/>
        </w:rPr>
        <w:t>33.2</w:t>
      </w:r>
      <w:r w:rsidRPr="00CD5F6F">
        <w:rPr>
          <w:iCs/>
          <w:lang w:val="de-DE"/>
        </w:rPr>
        <w:t xml:space="preserve">% ; Laos </w:t>
      </w:r>
      <w:r w:rsidRPr="00CD5F6F">
        <w:rPr>
          <w:iCs/>
        </w:rPr>
        <w:t>4</w:t>
      </w:r>
      <w:r>
        <w:rPr>
          <w:iCs/>
        </w:rPr>
        <w:t>.</w:t>
      </w:r>
      <w:r w:rsidRPr="00CD5F6F">
        <w:rPr>
          <w:iCs/>
        </w:rPr>
        <w:t>2</w:t>
      </w:r>
      <w:r w:rsidRPr="00CD5F6F">
        <w:rPr>
          <w:iCs/>
          <w:lang w:val="de-DE"/>
        </w:rPr>
        <w:t xml:space="preserve"> </w:t>
      </w:r>
      <w:r w:rsidRPr="00CD5F6F">
        <w:rPr>
          <w:iCs/>
        </w:rPr>
        <w:t xml:space="preserve">million </w:t>
      </w:r>
      <w:r w:rsidRPr="00CD5F6F">
        <w:rPr>
          <w:iCs/>
          <w:lang w:val="de-DE"/>
        </w:rPr>
        <w:t xml:space="preserve">USD, accounting for </w:t>
      </w:r>
      <w:r w:rsidRPr="00CD5F6F">
        <w:rPr>
          <w:iCs/>
        </w:rPr>
        <w:t>26.2</w:t>
      </w:r>
      <w:r w:rsidRPr="00CD5F6F">
        <w:rPr>
          <w:iCs/>
          <w:lang w:val="de-DE"/>
        </w:rPr>
        <w:t>%</w:t>
      </w:r>
      <w:r w:rsidRPr="00CD5F6F">
        <w:rPr>
          <w:iCs/>
        </w:rPr>
        <w:t>.</w:t>
      </w:r>
    </w:p>
    <w:p w14:paraId="498186A2" w14:textId="77777777" w:rsidR="004510A8" w:rsidRPr="00F660F6" w:rsidRDefault="004510A8" w:rsidP="004510A8">
      <w:pPr>
        <w:spacing w:before="40" w:after="40" w:line="276" w:lineRule="auto"/>
        <w:ind w:firstLine="567"/>
        <w:jc w:val="both"/>
        <w:rPr>
          <w:b/>
          <w:bCs/>
        </w:rPr>
      </w:pPr>
      <w:r>
        <w:rPr>
          <w:b/>
          <w:bCs/>
        </w:rPr>
        <w:t xml:space="preserve">5. </w:t>
      </w:r>
      <w:r w:rsidRPr="00AF2C03">
        <w:rPr>
          <w:b/>
          <w:bCs/>
        </w:rPr>
        <w:t>State budget revenue and expenditure</w:t>
      </w:r>
      <w:r>
        <w:rPr>
          <w:rStyle w:val="FootnoteReference"/>
          <w:b/>
          <w:bCs/>
        </w:rPr>
        <w:footnoteReference w:id="11"/>
      </w:r>
    </w:p>
    <w:p w14:paraId="0916C627" w14:textId="77777777" w:rsidR="004510A8" w:rsidRDefault="004510A8" w:rsidP="004510A8">
      <w:pPr>
        <w:spacing w:before="40" w:after="40" w:line="276" w:lineRule="auto"/>
        <w:ind w:firstLine="567"/>
        <w:jc w:val="both"/>
        <w:rPr>
          <w:i/>
          <w:spacing w:val="-2"/>
          <w:sz w:val="30"/>
          <w:lang w:val="nl-NL"/>
        </w:rPr>
      </w:pPr>
      <w:r w:rsidRPr="00AF2C03">
        <w:rPr>
          <w:i/>
          <w:spacing w:val="-2"/>
          <w:sz w:val="30"/>
          <w:lang w:val="nl-NL"/>
        </w:rPr>
        <w:t xml:space="preserve">State budget revenue in January 2024 </w:t>
      </w:r>
      <w:r>
        <w:rPr>
          <w:i/>
          <w:spacing w:val="-2"/>
          <w:sz w:val="30"/>
          <w:lang w:val="nl-NL"/>
        </w:rPr>
        <w:t>wa</w:t>
      </w:r>
      <w:r w:rsidRPr="00AF2C03">
        <w:rPr>
          <w:i/>
          <w:spacing w:val="-2"/>
          <w:sz w:val="30"/>
          <w:lang w:val="nl-NL"/>
        </w:rPr>
        <w:t xml:space="preserve">s estimated to decrease by 2.8% compared to the same period last year. State budget expenditure </w:t>
      </w:r>
      <w:r>
        <w:rPr>
          <w:i/>
          <w:spacing w:val="-2"/>
          <w:sz w:val="30"/>
          <w:lang w:val="nl-NL"/>
        </w:rPr>
        <w:t>wa</w:t>
      </w:r>
      <w:r w:rsidRPr="00AF2C03">
        <w:rPr>
          <w:i/>
          <w:spacing w:val="-2"/>
          <w:sz w:val="30"/>
          <w:lang w:val="nl-NL"/>
        </w:rPr>
        <w:t>s estimated to decrease by 0.2% compared to the same period in 2023, promptly meeting the spending needs for the operations of the State apparatus, promptly paying salaries and pensions, and well implementing social security policies.</w:t>
      </w:r>
    </w:p>
    <w:p w14:paraId="49BC7CB7" w14:textId="77777777" w:rsidR="004510A8" w:rsidRPr="008207E0" w:rsidRDefault="004510A8" w:rsidP="004510A8">
      <w:pPr>
        <w:spacing w:before="40" w:after="40" w:line="276" w:lineRule="auto"/>
        <w:ind w:firstLine="567"/>
        <w:jc w:val="both"/>
        <w:rPr>
          <w:rFonts w:ascii="Times New Roman Italic" w:hAnsi="Times New Roman Italic" w:cs="Arial"/>
          <w:b/>
          <w:spacing w:val="-2"/>
          <w:sz w:val="6"/>
          <w:szCs w:val="10"/>
          <w:lang w:val="nl-NL"/>
        </w:rPr>
      </w:pPr>
    </w:p>
    <w:p w14:paraId="5F095B4F" w14:textId="77777777" w:rsidR="004510A8" w:rsidRDefault="004510A8" w:rsidP="004510A8">
      <w:pPr>
        <w:spacing w:before="40" w:after="160" w:line="264" w:lineRule="auto"/>
        <w:jc w:val="center"/>
        <w:rPr>
          <w:rFonts w:ascii="Arial" w:hAnsi="Arial" w:cs="Arial"/>
          <w:b/>
          <w:sz w:val="24"/>
          <w:szCs w:val="24"/>
          <w:lang w:val="nl-NL"/>
        </w:rPr>
      </w:pPr>
      <w:r w:rsidRPr="00AF2C03">
        <w:rPr>
          <w:rFonts w:ascii="Arial" w:hAnsi="Arial" w:cs="Arial"/>
          <w:b/>
          <w:sz w:val="24"/>
          <w:szCs w:val="24"/>
          <w:lang w:val="nl-NL"/>
        </w:rPr>
        <w:t>Figure 10. State budget revenues and expenditures in January 2024</w:t>
      </w:r>
    </w:p>
    <w:p w14:paraId="0500D5F2" w14:textId="77777777" w:rsidR="004510A8" w:rsidRDefault="004510A8" w:rsidP="004510A8">
      <w:pPr>
        <w:spacing w:before="40" w:after="160" w:line="264" w:lineRule="auto"/>
        <w:jc w:val="center"/>
        <w:rPr>
          <w:rFonts w:ascii="Arial" w:hAnsi="Arial" w:cs="Arial"/>
          <w:b/>
          <w:sz w:val="24"/>
          <w:szCs w:val="24"/>
          <w:lang w:val="nl-NL"/>
        </w:rPr>
      </w:pPr>
      <w:r>
        <w:rPr>
          <w:rFonts w:ascii="Arial" w:hAnsi="Arial" w:cs="Arial"/>
          <w:b/>
          <w:noProof/>
          <w:sz w:val="24"/>
          <w:szCs w:val="24"/>
        </w:rPr>
        <w:drawing>
          <wp:inline distT="0" distB="0" distL="0" distR="0" wp14:anchorId="769A0FC3" wp14:editId="0F5BA8B6">
            <wp:extent cx="5763780" cy="2404877"/>
            <wp:effectExtent l="0" t="0" r="8890" b="0"/>
            <wp:docPr id="557610307" name="Picture 557610307" descr="A cartoon of a piggy bank and money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10307" name="Picture 557610307" descr="A cartoon of a piggy bank and money on a sca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3780" cy="2404877"/>
                    </a:xfrm>
                    <a:prstGeom prst="rect">
                      <a:avLst/>
                    </a:prstGeom>
                  </pic:spPr>
                </pic:pic>
              </a:graphicData>
            </a:graphic>
          </wp:inline>
        </w:drawing>
      </w:r>
    </w:p>
    <w:p w14:paraId="0C1C5C24" w14:textId="77777777" w:rsidR="004510A8" w:rsidRPr="00AF2C03" w:rsidRDefault="004510A8" w:rsidP="004510A8">
      <w:pPr>
        <w:spacing w:before="40" w:after="40" w:line="276" w:lineRule="auto"/>
        <w:ind w:firstLine="567"/>
        <w:jc w:val="both"/>
        <w:rPr>
          <w:b/>
          <w:i/>
          <w:lang w:val="it-IT"/>
        </w:rPr>
      </w:pPr>
      <w:r w:rsidRPr="00AF2C03">
        <w:rPr>
          <w:b/>
          <w:i/>
          <w:lang w:val="it-IT"/>
        </w:rPr>
        <w:t>State budget revenue:</w:t>
      </w:r>
    </w:p>
    <w:p w14:paraId="37077F89" w14:textId="77777777" w:rsidR="004510A8" w:rsidRPr="00AF2C03" w:rsidRDefault="004510A8" w:rsidP="004510A8">
      <w:pPr>
        <w:spacing w:before="40" w:after="40" w:line="283" w:lineRule="auto"/>
        <w:ind w:firstLine="567"/>
        <w:jc w:val="both"/>
        <w:rPr>
          <w:lang w:val="nl-NL"/>
        </w:rPr>
      </w:pPr>
      <w:r w:rsidRPr="00AF2C03">
        <w:rPr>
          <w:lang w:val="nl-NL"/>
        </w:rPr>
        <w:t xml:space="preserve">Total State budget revenue in January 2024 </w:t>
      </w:r>
      <w:r>
        <w:rPr>
          <w:lang w:val="nl-NL"/>
        </w:rPr>
        <w:t>wa</w:t>
      </w:r>
      <w:r w:rsidRPr="00AF2C03">
        <w:rPr>
          <w:lang w:val="nl-NL"/>
        </w:rPr>
        <w:t xml:space="preserve">s estimated to reach nearly 231 trillion VND, equal to 13.6% of the year's estimate and down 2.8% over the same period last year. Among them, some main revenues </w:t>
      </w:r>
      <w:r>
        <w:rPr>
          <w:lang w:val="nl-NL"/>
        </w:rPr>
        <w:t>we</w:t>
      </w:r>
      <w:r w:rsidRPr="00AF2C03">
        <w:rPr>
          <w:lang w:val="nl-NL"/>
        </w:rPr>
        <w:t>re as follows:</w:t>
      </w:r>
    </w:p>
    <w:p w14:paraId="35B475EC" w14:textId="77777777" w:rsidR="004510A8" w:rsidRPr="00AF2C03" w:rsidRDefault="004510A8" w:rsidP="004510A8">
      <w:pPr>
        <w:spacing w:before="40" w:after="40" w:line="283" w:lineRule="auto"/>
        <w:ind w:firstLine="567"/>
        <w:jc w:val="both"/>
        <w:rPr>
          <w:lang w:val="nl-NL"/>
        </w:rPr>
      </w:pPr>
      <w:r w:rsidRPr="00AF2C03">
        <w:rPr>
          <w:i/>
          <w:lang w:val="nl-NL"/>
        </w:rPr>
        <w:t>- Domestic revenue</w:t>
      </w:r>
      <w:r w:rsidRPr="00AF2C03">
        <w:rPr>
          <w:lang w:val="nl-NL"/>
        </w:rPr>
        <w:t xml:space="preserve"> in January 2024 </w:t>
      </w:r>
      <w:r>
        <w:rPr>
          <w:lang w:val="nl-NL"/>
        </w:rPr>
        <w:t>wa</w:t>
      </w:r>
      <w:r w:rsidRPr="00AF2C03">
        <w:rPr>
          <w:lang w:val="nl-NL"/>
        </w:rPr>
        <w:t>s estimated to reach 206.1 trillion VND, equal to 14.3% of the yearly estimate and down 4.2% over the same period last year.</w:t>
      </w:r>
    </w:p>
    <w:p w14:paraId="671CBFB1" w14:textId="77777777" w:rsidR="004510A8" w:rsidRPr="00AF2C03" w:rsidRDefault="004510A8" w:rsidP="004510A8">
      <w:pPr>
        <w:spacing w:before="40" w:after="40" w:line="283" w:lineRule="auto"/>
        <w:ind w:firstLine="567"/>
        <w:jc w:val="both"/>
        <w:rPr>
          <w:lang w:val="nl-NL"/>
        </w:rPr>
      </w:pPr>
      <w:r w:rsidRPr="00AF2C03">
        <w:rPr>
          <w:lang w:val="nl-NL"/>
        </w:rPr>
        <w:lastRenderedPageBreak/>
        <w:t xml:space="preserve">- </w:t>
      </w:r>
      <w:r w:rsidRPr="00AF2C03">
        <w:rPr>
          <w:i/>
          <w:lang w:val="nl-NL"/>
        </w:rPr>
        <w:t>Revenue from crude oil</w:t>
      </w:r>
      <w:r w:rsidRPr="00AF2C03">
        <w:rPr>
          <w:lang w:val="nl-NL"/>
        </w:rPr>
        <w:t xml:space="preserve"> in January 2024 </w:t>
      </w:r>
      <w:r>
        <w:rPr>
          <w:lang w:val="nl-NL"/>
        </w:rPr>
        <w:t>wa</w:t>
      </w:r>
      <w:r w:rsidRPr="00AF2C03">
        <w:rPr>
          <w:lang w:val="nl-NL"/>
        </w:rPr>
        <w:t>s estimated to reach 5 trillion VND, equal to 10.9% of the yearly estimate and down 9% over the same period last year.</w:t>
      </w:r>
    </w:p>
    <w:p w14:paraId="54F2C4CA" w14:textId="77777777" w:rsidR="004510A8" w:rsidRDefault="004510A8" w:rsidP="004510A8">
      <w:pPr>
        <w:spacing w:before="40" w:after="40" w:line="283" w:lineRule="auto"/>
        <w:ind w:firstLine="567"/>
        <w:jc w:val="both"/>
        <w:rPr>
          <w:lang w:val="nl-NL"/>
        </w:rPr>
      </w:pPr>
      <w:r w:rsidRPr="00A90779">
        <w:rPr>
          <w:i/>
          <w:lang w:val="nl-NL"/>
        </w:rPr>
        <w:t xml:space="preserve">- Balanced budget revenue from import and export activities </w:t>
      </w:r>
      <w:r>
        <w:rPr>
          <w:lang w:val="nl-NL"/>
        </w:rPr>
        <w:t>in January 2024 wa</w:t>
      </w:r>
      <w:r w:rsidRPr="00AF2C03">
        <w:rPr>
          <w:lang w:val="nl-NL"/>
        </w:rPr>
        <w:t>s estimated to reach 19.9 trillion VND, equal to 9.8% of the yearly estimate and up 16.9% over the same period last year.</w:t>
      </w:r>
    </w:p>
    <w:p w14:paraId="00744AE9" w14:textId="77777777" w:rsidR="004510A8" w:rsidRPr="00AF2C03" w:rsidRDefault="004510A8" w:rsidP="004510A8">
      <w:pPr>
        <w:spacing w:before="40" w:after="40" w:line="283" w:lineRule="auto"/>
        <w:ind w:firstLine="567"/>
        <w:jc w:val="both"/>
        <w:rPr>
          <w:b/>
          <w:i/>
          <w:lang w:val="nl-NL"/>
        </w:rPr>
      </w:pPr>
      <w:r w:rsidRPr="00AF2C03">
        <w:rPr>
          <w:b/>
          <w:i/>
          <w:lang w:val="nl-NL"/>
        </w:rPr>
        <w:t>State budget expenditure:</w:t>
      </w:r>
    </w:p>
    <w:p w14:paraId="086A71BD" w14:textId="77777777" w:rsidR="004510A8" w:rsidRDefault="004510A8" w:rsidP="004510A8">
      <w:pPr>
        <w:spacing w:before="40" w:after="40" w:line="283" w:lineRule="auto"/>
        <w:ind w:firstLine="567"/>
        <w:jc w:val="both"/>
        <w:rPr>
          <w:lang w:val="nl-NL"/>
        </w:rPr>
      </w:pPr>
      <w:r w:rsidRPr="00AF2C03">
        <w:rPr>
          <w:lang w:val="nl-NL"/>
        </w:rPr>
        <w:t xml:space="preserve">Total State budget expenditure in January 2024 </w:t>
      </w:r>
      <w:r>
        <w:rPr>
          <w:lang w:val="nl-NL"/>
        </w:rPr>
        <w:t>wa</w:t>
      </w:r>
      <w:r w:rsidRPr="00AF2C03">
        <w:rPr>
          <w:lang w:val="nl-NL"/>
        </w:rPr>
        <w:t xml:space="preserve">s estimated at 128.9 trillion VND, equal to 6.1% of the yearly estimate and down 0.2% over the same period last year. Of which, </w:t>
      </w:r>
      <w:r w:rsidRPr="00A90779">
        <w:t>recurrent expenditure</w:t>
      </w:r>
      <w:r w:rsidRPr="00AF2C03">
        <w:rPr>
          <w:lang w:val="nl-NL"/>
        </w:rPr>
        <w:t xml:space="preserve"> in January 2024 reached 93 trillion VND, equal to 7.4% of the yearly estimate and increased 8.1% over the same period last year; </w:t>
      </w:r>
      <w:r w:rsidRPr="00476F68">
        <w:rPr>
          <w:lang w:val="nl-NL"/>
        </w:rPr>
        <w:t>development investment expenditure</w:t>
      </w:r>
      <w:r w:rsidRPr="00AF2C03">
        <w:rPr>
          <w:lang w:val="nl-NL"/>
        </w:rPr>
        <w:t xml:space="preserve"> reached 16.9 trillion VND, equal to 2.5% and decreased by 35.2%; </w:t>
      </w:r>
      <w:r>
        <w:rPr>
          <w:lang w:val="nl-NL"/>
        </w:rPr>
        <w:t xml:space="preserve">debt payment </w:t>
      </w:r>
      <w:r w:rsidRPr="00AF2C03">
        <w:rPr>
          <w:lang w:val="nl-NL"/>
        </w:rPr>
        <w:t>were 19 trillion VND, equal to 17% and increased by 11.5%.</w:t>
      </w:r>
    </w:p>
    <w:p w14:paraId="7B216DFA" w14:textId="77777777" w:rsidR="00F05F4E" w:rsidRPr="00B51DB9" w:rsidRDefault="00F05F4E" w:rsidP="00F05F4E">
      <w:pPr>
        <w:pStyle w:val="Normal10"/>
        <w:spacing w:before="0" w:beforeAutospacing="0" w:after="60" w:afterAutospacing="0" w:line="276" w:lineRule="auto"/>
        <w:ind w:firstLine="567"/>
        <w:jc w:val="both"/>
        <w:rPr>
          <w:rFonts w:ascii="Times New Roman" w:hAnsi="Times New Roman" w:cs="Times New Roman"/>
          <w:b/>
          <w:bCs/>
          <w:sz w:val="28"/>
          <w:szCs w:val="28"/>
        </w:rPr>
      </w:pPr>
      <w:r w:rsidRPr="00B51DB9">
        <w:rPr>
          <w:rFonts w:ascii="Times New Roman" w:hAnsi="Times New Roman" w:cs="Times New Roman"/>
          <w:b/>
          <w:bCs/>
          <w:sz w:val="28"/>
          <w:szCs w:val="28"/>
        </w:rPr>
        <w:t xml:space="preserve">6. </w:t>
      </w:r>
      <w:r w:rsidRPr="001B10CF">
        <w:rPr>
          <w:rFonts w:ascii="Times New Roman" w:hAnsi="Times New Roman" w:cs="Times New Roman"/>
          <w:b/>
          <w:bCs/>
          <w:sz w:val="28"/>
          <w:szCs w:val="28"/>
        </w:rPr>
        <w:t>Trade</w:t>
      </w:r>
      <w:r>
        <w:rPr>
          <w:rFonts w:ascii="Times New Roman" w:hAnsi="Times New Roman" w:cs="Times New Roman"/>
          <w:b/>
          <w:bCs/>
          <w:sz w:val="28"/>
          <w:szCs w:val="28"/>
          <w:lang w:val="en-US"/>
        </w:rPr>
        <w:t>,</w:t>
      </w:r>
      <w:r w:rsidRPr="001B10CF">
        <w:rPr>
          <w:rFonts w:ascii="Times New Roman" w:hAnsi="Times New Roman" w:cs="Times New Roman"/>
          <w:b/>
          <w:bCs/>
          <w:sz w:val="28"/>
          <w:szCs w:val="28"/>
        </w:rPr>
        <w:t xml:space="preserve"> prices</w:t>
      </w:r>
      <w:r>
        <w:rPr>
          <w:rFonts w:ascii="Times New Roman" w:hAnsi="Times New Roman" w:cs="Times New Roman"/>
          <w:b/>
          <w:bCs/>
          <w:sz w:val="28"/>
          <w:szCs w:val="28"/>
          <w:lang w:val="en-US"/>
        </w:rPr>
        <w:t>,</w:t>
      </w:r>
      <w:r w:rsidRPr="001B10CF">
        <w:rPr>
          <w:rFonts w:ascii="Times New Roman" w:hAnsi="Times New Roman" w:cs="Times New Roman"/>
          <w:b/>
          <w:bCs/>
          <w:sz w:val="28"/>
          <w:szCs w:val="28"/>
        </w:rPr>
        <w:t xml:space="preserve"> transport</w:t>
      </w:r>
      <w:r>
        <w:rPr>
          <w:rFonts w:ascii="Times New Roman" w:hAnsi="Times New Roman" w:cs="Times New Roman"/>
          <w:b/>
          <w:bCs/>
          <w:sz w:val="28"/>
          <w:szCs w:val="28"/>
          <w:lang w:val="en-US"/>
        </w:rPr>
        <w:t>,</w:t>
      </w:r>
      <w:r w:rsidRPr="001B10CF">
        <w:rPr>
          <w:rFonts w:ascii="Times New Roman" w:hAnsi="Times New Roman" w:cs="Times New Roman"/>
          <w:b/>
          <w:bCs/>
          <w:sz w:val="28"/>
          <w:szCs w:val="28"/>
        </w:rPr>
        <w:t xml:space="preserve"> and tourism</w:t>
      </w:r>
    </w:p>
    <w:p w14:paraId="4C84FAE4" w14:textId="77777777" w:rsidR="00F05F4E" w:rsidRDefault="00F05F4E" w:rsidP="00F05F4E">
      <w:pPr>
        <w:spacing w:after="60" w:line="276" w:lineRule="auto"/>
        <w:ind w:firstLine="567"/>
        <w:jc w:val="both"/>
        <w:rPr>
          <w:bCs/>
          <w:i/>
          <w:spacing w:val="-2"/>
          <w:lang w:val="it-IT"/>
        </w:rPr>
      </w:pPr>
      <w:r w:rsidRPr="00B51DB9">
        <w:rPr>
          <w:b/>
          <w:i/>
          <w:lang w:val="it-IT"/>
        </w:rPr>
        <w:t xml:space="preserve">a) </w:t>
      </w:r>
      <w:r w:rsidRPr="00387E47">
        <w:rPr>
          <w:b/>
          <w:bCs/>
          <w:i/>
          <w:iCs/>
        </w:rPr>
        <w:t>Retail sales of goods and services</w:t>
      </w:r>
      <w:r>
        <w:rPr>
          <w:bCs/>
          <w:i/>
          <w:spacing w:val="-2"/>
          <w:lang w:val="it-IT"/>
        </w:rPr>
        <w:t xml:space="preserve"> </w:t>
      </w:r>
    </w:p>
    <w:p w14:paraId="2499EC66" w14:textId="77777777" w:rsidR="00F05F4E" w:rsidRPr="0024228B" w:rsidRDefault="00F05F4E" w:rsidP="00F05F4E">
      <w:pPr>
        <w:spacing w:after="60" w:line="276" w:lineRule="auto"/>
        <w:ind w:firstLine="567"/>
        <w:jc w:val="both"/>
        <w:rPr>
          <w:bCs/>
          <w:i/>
          <w:spacing w:val="-2"/>
        </w:rPr>
      </w:pPr>
      <w:r w:rsidRPr="00EF3DD1">
        <w:rPr>
          <w:bCs/>
          <w:i/>
          <w:spacing w:val="-2"/>
        </w:rPr>
        <w:t>January is the month close to the Lunar New Year, so commercial and service activities are quite vibrant to serve people's consumption needs.</w:t>
      </w:r>
      <w:r>
        <w:rPr>
          <w:bCs/>
          <w:i/>
          <w:spacing w:val="-2"/>
          <w:lang w:val="en-US"/>
        </w:rPr>
        <w:t xml:space="preserve"> Gross</w:t>
      </w:r>
      <w:r w:rsidRPr="007A5FD2">
        <w:rPr>
          <w:bCs/>
          <w:i/>
          <w:spacing w:val="-2"/>
        </w:rPr>
        <w:t xml:space="preserve"> retail sales of goods and services in January </w:t>
      </w:r>
      <w:r>
        <w:rPr>
          <w:bCs/>
          <w:i/>
          <w:spacing w:val="-2"/>
        </w:rPr>
        <w:t>2024</w:t>
      </w:r>
      <w:r w:rsidRPr="007A5FD2">
        <w:rPr>
          <w:bCs/>
          <w:i/>
          <w:spacing w:val="-2"/>
        </w:rPr>
        <w:t xml:space="preserve"> increased by </w:t>
      </w:r>
      <w:r>
        <w:rPr>
          <w:bCs/>
          <w:i/>
          <w:spacing w:val="-2"/>
          <w:lang w:val="en-US"/>
        </w:rPr>
        <w:t>8.1</w:t>
      </w:r>
      <w:r w:rsidRPr="007A5FD2">
        <w:rPr>
          <w:bCs/>
          <w:i/>
          <w:spacing w:val="-2"/>
        </w:rPr>
        <w:t>% over the same period last year.</w:t>
      </w:r>
    </w:p>
    <w:p w14:paraId="400ECA4A" w14:textId="77777777" w:rsidR="00F05F4E" w:rsidRDefault="00F05F4E" w:rsidP="00F05F4E">
      <w:pPr>
        <w:spacing w:after="60" w:line="276" w:lineRule="auto"/>
        <w:ind w:firstLine="567"/>
        <w:jc w:val="both"/>
        <w:rPr>
          <w:rFonts w:ascii="Arial" w:hAnsi="Arial" w:cs="Arial"/>
          <w:b/>
          <w:spacing w:val="-2"/>
          <w:sz w:val="24"/>
          <w:szCs w:val="20"/>
          <w:lang w:val="pl-PL"/>
        </w:rPr>
      </w:pPr>
      <w:r>
        <w:rPr>
          <w:bCs/>
          <w:lang w:val="it-IT"/>
        </w:rPr>
        <w:t>Gross</w:t>
      </w:r>
      <w:r w:rsidRPr="007A5FD2">
        <w:rPr>
          <w:bCs/>
          <w:lang w:val="it-IT"/>
        </w:rPr>
        <w:t xml:space="preserve"> retail sales of goods and services in January </w:t>
      </w:r>
      <w:r>
        <w:rPr>
          <w:bCs/>
          <w:lang w:val="it-IT"/>
        </w:rPr>
        <w:t>2024</w:t>
      </w:r>
      <w:r w:rsidRPr="007A5FD2">
        <w:rPr>
          <w:bCs/>
          <w:lang w:val="it-IT"/>
        </w:rPr>
        <w:t xml:space="preserve"> w</w:t>
      </w:r>
      <w:r>
        <w:rPr>
          <w:bCs/>
          <w:lang w:val="it-IT"/>
        </w:rPr>
        <w:t>ere</w:t>
      </w:r>
      <w:r w:rsidRPr="007A5FD2">
        <w:rPr>
          <w:bCs/>
          <w:lang w:val="it-IT"/>
        </w:rPr>
        <w:t xml:space="preserve"> estimated at </w:t>
      </w:r>
      <w:r>
        <w:rPr>
          <w:bCs/>
          <w:lang w:val="it-IT"/>
        </w:rPr>
        <w:t>524.1</w:t>
      </w:r>
      <w:r w:rsidRPr="007A5FD2">
        <w:rPr>
          <w:bCs/>
          <w:lang w:val="it-IT"/>
        </w:rPr>
        <w:t xml:space="preserve"> trillion VND</w:t>
      </w:r>
      <w:r>
        <w:rPr>
          <w:bCs/>
          <w:lang w:val="it-IT"/>
        </w:rPr>
        <w:t>,</w:t>
      </w:r>
      <w:r w:rsidRPr="007A5FD2">
        <w:rPr>
          <w:bCs/>
          <w:lang w:val="it-IT"/>
        </w:rPr>
        <w:t xml:space="preserve"> up </w:t>
      </w:r>
      <w:r>
        <w:rPr>
          <w:bCs/>
          <w:lang w:val="it-IT"/>
        </w:rPr>
        <w:t>1.6</w:t>
      </w:r>
      <w:r w:rsidRPr="007A5FD2">
        <w:rPr>
          <w:bCs/>
          <w:lang w:val="it-IT"/>
        </w:rPr>
        <w:t xml:space="preserve">% over the previous month and </w:t>
      </w:r>
      <w:r>
        <w:rPr>
          <w:bCs/>
          <w:lang w:val="it-IT"/>
        </w:rPr>
        <w:t>up 8.1</w:t>
      </w:r>
      <w:r w:rsidRPr="007A5FD2">
        <w:rPr>
          <w:bCs/>
          <w:lang w:val="it-IT"/>
        </w:rPr>
        <w:t>% over the same period last year</w:t>
      </w:r>
      <w:r>
        <w:rPr>
          <w:bCs/>
          <w:lang w:val="it-IT"/>
        </w:rPr>
        <w:t xml:space="preserve"> (</w:t>
      </w:r>
      <w:r w:rsidRPr="007A5FD2">
        <w:rPr>
          <w:bCs/>
          <w:lang w:val="it-IT"/>
        </w:rPr>
        <w:t>in the same period in 202</w:t>
      </w:r>
      <w:r>
        <w:rPr>
          <w:bCs/>
          <w:lang w:val="it-IT"/>
        </w:rPr>
        <w:t>3, it increased by 13.3%</w:t>
      </w:r>
      <w:r>
        <w:rPr>
          <w:rStyle w:val="FootnoteReference"/>
          <w:bCs/>
          <w:lang w:val="it-IT"/>
        </w:rPr>
        <w:footnoteReference w:id="12"/>
      </w:r>
      <w:r>
        <w:rPr>
          <w:bCs/>
          <w:lang w:val="it-IT"/>
        </w:rPr>
        <w:t>),</w:t>
      </w:r>
      <w:r w:rsidRPr="007A5FD2">
        <w:rPr>
          <w:bCs/>
          <w:lang w:val="it-IT"/>
        </w:rPr>
        <w:t xml:space="preserve"> if excluding the price factor</w:t>
      </w:r>
      <w:r>
        <w:rPr>
          <w:bCs/>
          <w:lang w:val="it-IT"/>
        </w:rPr>
        <w:t>, it</w:t>
      </w:r>
      <w:r w:rsidRPr="007A5FD2">
        <w:rPr>
          <w:bCs/>
          <w:lang w:val="it-IT"/>
        </w:rPr>
        <w:t xml:space="preserve"> increased by 5.8% (in the same period in 202</w:t>
      </w:r>
      <w:r>
        <w:rPr>
          <w:bCs/>
          <w:lang w:val="it-IT"/>
        </w:rPr>
        <w:t>3, it increased by 9.1</w:t>
      </w:r>
      <w:r w:rsidRPr="007A5FD2">
        <w:rPr>
          <w:bCs/>
          <w:lang w:val="it-IT"/>
        </w:rPr>
        <w:t>%).</w:t>
      </w:r>
    </w:p>
    <w:p w14:paraId="12734C6E" w14:textId="77777777" w:rsidR="00F05F4E" w:rsidRDefault="00F05F4E" w:rsidP="00F05F4E">
      <w:pPr>
        <w:tabs>
          <w:tab w:val="left" w:pos="2835"/>
        </w:tabs>
        <w:spacing w:before="120" w:after="60" w:line="276" w:lineRule="auto"/>
        <w:jc w:val="center"/>
        <w:rPr>
          <w:rFonts w:ascii="Arial" w:hAnsi="Arial" w:cs="Arial"/>
          <w:b/>
          <w:bCs/>
          <w:spacing w:val="-6"/>
          <w:sz w:val="24"/>
          <w:szCs w:val="20"/>
          <w:lang w:val="it-IT"/>
        </w:rPr>
      </w:pPr>
      <w:r w:rsidRPr="00C20B8E">
        <w:rPr>
          <w:rFonts w:ascii="Arial" w:hAnsi="Arial" w:cs="Arial"/>
          <w:b/>
          <w:spacing w:val="-2"/>
          <w:sz w:val="24"/>
          <w:szCs w:val="20"/>
          <w:lang w:val="pl-PL"/>
        </w:rPr>
        <w:t xml:space="preserve">Table 3. </w:t>
      </w:r>
      <w:r>
        <w:rPr>
          <w:rFonts w:ascii="Arial" w:hAnsi="Arial" w:cs="Arial"/>
          <w:b/>
          <w:spacing w:val="-2"/>
          <w:sz w:val="24"/>
          <w:szCs w:val="20"/>
          <w:lang w:val="pl-PL"/>
        </w:rPr>
        <w:t>Gross</w:t>
      </w:r>
      <w:r w:rsidRPr="00C20B8E">
        <w:rPr>
          <w:rFonts w:ascii="Arial" w:hAnsi="Arial" w:cs="Arial"/>
          <w:b/>
          <w:spacing w:val="-2"/>
          <w:sz w:val="24"/>
          <w:szCs w:val="20"/>
          <w:lang w:val="pl-PL"/>
        </w:rPr>
        <w:t xml:space="preserve"> retail sales of goods and services</w:t>
      </w:r>
      <w:r>
        <w:rPr>
          <w:rFonts w:ascii="Arial" w:hAnsi="Arial" w:cs="Arial"/>
          <w:b/>
          <w:spacing w:val="-2"/>
          <w:sz w:val="24"/>
          <w:szCs w:val="20"/>
          <w:lang w:val="pl-PL"/>
        </w:rPr>
        <w:t xml:space="preserve"> in January 2024</w:t>
      </w:r>
    </w:p>
    <w:p w14:paraId="6C47DFBD" w14:textId="77777777" w:rsidR="00F05F4E" w:rsidRDefault="00F05F4E" w:rsidP="00F05F4E">
      <w:pPr>
        <w:tabs>
          <w:tab w:val="left" w:pos="2835"/>
        </w:tabs>
        <w:spacing w:line="276" w:lineRule="auto"/>
        <w:ind w:right="140" w:firstLine="567"/>
        <w:jc w:val="right"/>
        <w:rPr>
          <w:rFonts w:ascii="Arial" w:hAnsi="Arial" w:cs="Arial"/>
          <w:b/>
          <w:bCs/>
          <w:i/>
          <w:spacing w:val="-6"/>
          <w:sz w:val="2"/>
          <w:szCs w:val="20"/>
          <w:lang w:val="it-IT"/>
        </w:rPr>
      </w:pPr>
    </w:p>
    <w:p w14:paraId="1C5F5651" w14:textId="77777777" w:rsidR="00F05F4E" w:rsidRPr="007A5FD2" w:rsidRDefault="00F05F4E" w:rsidP="00F05F4E">
      <w:pPr>
        <w:tabs>
          <w:tab w:val="left" w:pos="2835"/>
        </w:tabs>
        <w:spacing w:line="276" w:lineRule="auto"/>
        <w:ind w:right="45" w:firstLine="567"/>
        <w:jc w:val="right"/>
        <w:rPr>
          <w:rFonts w:ascii="Arial" w:hAnsi="Arial" w:cs="Arial"/>
          <w:b/>
          <w:bCs/>
          <w:i/>
          <w:spacing w:val="-6"/>
          <w:sz w:val="20"/>
          <w:szCs w:val="20"/>
          <w:lang w:val="en-US"/>
        </w:rPr>
      </w:pPr>
      <w:r w:rsidRPr="007A5FD2">
        <w:rPr>
          <w:rFonts w:ascii="Arial" w:hAnsi="Arial" w:cs="Arial"/>
          <w:b/>
          <w:bCs/>
          <w:i/>
          <w:spacing w:val="-6"/>
          <w:sz w:val="20"/>
          <w:szCs w:val="20"/>
        </w:rPr>
        <w:t>Trill</w:t>
      </w:r>
      <w:r>
        <w:rPr>
          <w:rFonts w:ascii="Arial" w:hAnsi="Arial" w:cs="Arial"/>
          <w:b/>
          <w:bCs/>
          <w:i/>
          <w:spacing w:val="-6"/>
          <w:sz w:val="20"/>
          <w:szCs w:val="20"/>
          <w:lang w:val="en-US"/>
        </w:rPr>
        <w:t>. VND</w:t>
      </w:r>
    </w:p>
    <w:tbl>
      <w:tblPr>
        <w:tblW w:w="9072" w:type="dxa"/>
        <w:jc w:val="center"/>
        <w:tblLook w:val="04A0" w:firstRow="1" w:lastRow="0" w:firstColumn="1" w:lastColumn="0" w:noHBand="0" w:noVBand="1"/>
      </w:tblPr>
      <w:tblGrid>
        <w:gridCol w:w="3402"/>
        <w:gridCol w:w="1276"/>
        <w:gridCol w:w="2395"/>
        <w:gridCol w:w="1999"/>
      </w:tblGrid>
      <w:tr w:rsidR="00F05F4E" w14:paraId="30F301BB" w14:textId="77777777" w:rsidTr="008278F8">
        <w:trPr>
          <w:cantSplit/>
          <w:trHeight w:val="298"/>
          <w:jc w:val="center"/>
        </w:trPr>
        <w:tc>
          <w:tcPr>
            <w:tcW w:w="3402" w:type="dxa"/>
            <w:tcBorders>
              <w:top w:val="single" w:sz="4" w:space="0" w:color="auto"/>
              <w:left w:val="nil"/>
              <w:bottom w:val="nil"/>
              <w:right w:val="nil"/>
            </w:tcBorders>
            <w:hideMark/>
          </w:tcPr>
          <w:p w14:paraId="107F1042" w14:textId="77777777" w:rsidR="00F05F4E" w:rsidRPr="00CD5BFE" w:rsidRDefault="00F05F4E" w:rsidP="008278F8">
            <w:pPr>
              <w:spacing w:before="20" w:after="20" w:line="276" w:lineRule="auto"/>
              <w:jc w:val="both"/>
              <w:rPr>
                <w:rFonts w:ascii="Arial" w:hAnsi="Arial" w:cs="Arial"/>
                <w:color w:val="000000"/>
                <w:sz w:val="18"/>
                <w:szCs w:val="18"/>
                <w:lang w:val="en-GB" w:eastAsia="en-GB"/>
              </w:rPr>
            </w:pPr>
            <w:r w:rsidRPr="00CD5BFE">
              <w:rPr>
                <w:rFonts w:ascii="Arial" w:hAnsi="Arial" w:cs="Arial"/>
                <w:bCs/>
                <w:color w:val="000000"/>
                <w:sz w:val="18"/>
                <w:szCs w:val="18"/>
                <w:lang w:val="en-GB" w:eastAsia="en-GB"/>
              </w:rPr>
              <w:t> </w:t>
            </w:r>
          </w:p>
        </w:tc>
        <w:tc>
          <w:tcPr>
            <w:tcW w:w="1276" w:type="dxa"/>
            <w:vMerge w:val="restart"/>
            <w:tcBorders>
              <w:top w:val="single" w:sz="4" w:space="0" w:color="auto"/>
              <w:left w:val="nil"/>
              <w:bottom w:val="single" w:sz="4" w:space="0" w:color="auto"/>
              <w:right w:val="nil"/>
            </w:tcBorders>
            <w:hideMark/>
          </w:tcPr>
          <w:p w14:paraId="759F7B9B" w14:textId="77777777" w:rsidR="00F05F4E" w:rsidRPr="00CD5BFE" w:rsidRDefault="00F05F4E" w:rsidP="008278F8">
            <w:pPr>
              <w:spacing w:before="20" w:after="20" w:line="276" w:lineRule="auto"/>
              <w:jc w:val="center"/>
              <w:rPr>
                <w:rFonts w:ascii="Arial" w:hAnsi="Arial" w:cs="Arial"/>
                <w:color w:val="000000"/>
                <w:sz w:val="18"/>
                <w:szCs w:val="18"/>
                <w:lang w:val="en-GB" w:eastAsia="en-GB"/>
              </w:rPr>
            </w:pPr>
            <w:r w:rsidRPr="00CD5BFE">
              <w:rPr>
                <w:rFonts w:ascii="Arial" w:hAnsi="Arial" w:cs="Arial"/>
                <w:color w:val="000000"/>
                <w:sz w:val="18"/>
                <w:szCs w:val="18"/>
                <w:lang w:val="en-GB" w:eastAsia="en-GB"/>
              </w:rPr>
              <w:t>Estimate</w:t>
            </w:r>
          </w:p>
          <w:p w14:paraId="0255DC07" w14:textId="77777777" w:rsidR="00F05F4E" w:rsidRPr="00CD5BFE" w:rsidRDefault="00F05F4E" w:rsidP="008278F8">
            <w:pPr>
              <w:spacing w:before="20" w:after="20" w:line="276" w:lineRule="auto"/>
              <w:jc w:val="center"/>
              <w:rPr>
                <w:rFonts w:ascii="Arial" w:hAnsi="Arial" w:cs="Arial"/>
                <w:color w:val="000000"/>
                <w:sz w:val="18"/>
                <w:szCs w:val="18"/>
                <w:lang w:val="en-GB" w:eastAsia="en-GB"/>
              </w:rPr>
            </w:pPr>
            <w:r w:rsidRPr="00CD5BFE">
              <w:rPr>
                <w:rFonts w:ascii="Arial" w:hAnsi="Arial" w:cs="Arial"/>
                <w:color w:val="000000"/>
                <w:sz w:val="18"/>
                <w:szCs w:val="18"/>
                <w:lang w:val="en-GB" w:eastAsia="en-GB"/>
              </w:rPr>
              <w:t>January</w:t>
            </w:r>
          </w:p>
          <w:p w14:paraId="32E6AF9E" w14:textId="77777777" w:rsidR="00F05F4E" w:rsidRPr="00CD5BFE" w:rsidRDefault="00F05F4E" w:rsidP="008278F8">
            <w:pPr>
              <w:spacing w:before="20" w:after="20" w:line="276" w:lineRule="auto"/>
              <w:jc w:val="center"/>
              <w:rPr>
                <w:rFonts w:ascii="Arial" w:hAnsi="Arial" w:cs="Arial"/>
                <w:color w:val="000000"/>
                <w:sz w:val="18"/>
                <w:szCs w:val="18"/>
                <w:lang w:val="en-GB" w:eastAsia="en-GB"/>
              </w:rPr>
            </w:pPr>
            <w:r>
              <w:rPr>
                <w:rFonts w:ascii="Arial" w:hAnsi="Arial" w:cs="Arial"/>
                <w:color w:val="000000"/>
                <w:sz w:val="18"/>
                <w:szCs w:val="18"/>
                <w:lang w:val="en-GB" w:eastAsia="en-GB"/>
              </w:rPr>
              <w:t>2024</w:t>
            </w:r>
          </w:p>
        </w:tc>
        <w:tc>
          <w:tcPr>
            <w:tcW w:w="2395" w:type="dxa"/>
            <w:vMerge w:val="restart"/>
            <w:tcBorders>
              <w:top w:val="single" w:sz="4" w:space="0" w:color="auto"/>
              <w:left w:val="nil"/>
              <w:bottom w:val="single" w:sz="4" w:space="0" w:color="auto"/>
              <w:right w:val="nil"/>
            </w:tcBorders>
            <w:hideMark/>
          </w:tcPr>
          <w:p w14:paraId="56EC0748" w14:textId="77777777" w:rsidR="00F05F4E" w:rsidRPr="00CD5BFE" w:rsidRDefault="00F05F4E" w:rsidP="008278F8">
            <w:pPr>
              <w:spacing w:before="40" w:after="40" w:line="276" w:lineRule="auto"/>
              <w:jc w:val="center"/>
              <w:rPr>
                <w:rFonts w:ascii="Arial" w:hAnsi="Arial" w:cs="Arial"/>
                <w:color w:val="000000"/>
                <w:sz w:val="18"/>
                <w:szCs w:val="18"/>
                <w:lang w:val="en-GB" w:eastAsia="en-GB"/>
              </w:rPr>
            </w:pPr>
            <w:r w:rsidRPr="00CD5BFE">
              <w:rPr>
                <w:rFonts w:ascii="Arial" w:hAnsi="Arial" w:cs="Arial"/>
                <w:color w:val="000000"/>
                <w:sz w:val="18"/>
                <w:szCs w:val="18"/>
              </w:rPr>
              <w:t>Growth rate</w:t>
            </w:r>
            <w:r>
              <w:rPr>
                <w:rFonts w:ascii="Arial" w:hAnsi="Arial" w:cs="Arial"/>
                <w:color w:val="000000"/>
                <w:sz w:val="18"/>
                <w:szCs w:val="18"/>
                <w:lang w:val="en-US"/>
              </w:rPr>
              <w:t xml:space="preserve"> </w:t>
            </w:r>
            <w:r w:rsidRPr="00CD5BFE">
              <w:rPr>
                <w:rFonts w:ascii="Arial" w:hAnsi="Arial" w:cs="Arial"/>
                <w:color w:val="000000"/>
                <w:sz w:val="18"/>
                <w:szCs w:val="18"/>
              </w:rPr>
              <w:t>01/</w:t>
            </w:r>
            <w:r>
              <w:rPr>
                <w:rFonts w:ascii="Arial" w:hAnsi="Arial" w:cs="Arial"/>
                <w:color w:val="000000"/>
                <w:sz w:val="18"/>
                <w:szCs w:val="18"/>
              </w:rPr>
              <w:t>2024</w:t>
            </w:r>
            <w:r w:rsidRPr="00CD5BFE">
              <w:rPr>
                <w:rFonts w:ascii="Arial" w:hAnsi="Arial" w:cs="Arial"/>
                <w:color w:val="000000"/>
                <w:sz w:val="18"/>
                <w:szCs w:val="18"/>
              </w:rPr>
              <w:t xml:space="preserve"> compared to the previous month </w:t>
            </w:r>
            <w:r w:rsidRPr="00CD5BFE">
              <w:rPr>
                <w:rFonts w:ascii="Arial" w:hAnsi="Arial" w:cs="Arial"/>
                <w:color w:val="000000"/>
                <w:spacing w:val="-6"/>
                <w:sz w:val="18"/>
                <w:szCs w:val="18"/>
                <w:lang w:val="en-GB" w:eastAsia="en-GB"/>
              </w:rPr>
              <w:t>(%)</w:t>
            </w:r>
          </w:p>
        </w:tc>
        <w:tc>
          <w:tcPr>
            <w:tcW w:w="1999" w:type="dxa"/>
            <w:vMerge w:val="restart"/>
            <w:tcBorders>
              <w:top w:val="single" w:sz="4" w:space="0" w:color="auto"/>
              <w:left w:val="nil"/>
              <w:bottom w:val="single" w:sz="4" w:space="0" w:color="auto"/>
              <w:right w:val="nil"/>
            </w:tcBorders>
            <w:hideMark/>
          </w:tcPr>
          <w:p w14:paraId="37E03F8E" w14:textId="77777777" w:rsidR="00F05F4E" w:rsidRPr="00CD5BFE" w:rsidRDefault="00F05F4E" w:rsidP="008278F8">
            <w:pPr>
              <w:spacing w:before="40" w:after="40" w:line="276" w:lineRule="auto"/>
              <w:jc w:val="center"/>
              <w:rPr>
                <w:rFonts w:ascii="Arial" w:hAnsi="Arial" w:cs="Arial"/>
                <w:color w:val="000000"/>
                <w:sz w:val="18"/>
                <w:szCs w:val="18"/>
                <w:lang w:val="en-GB" w:eastAsia="en-GB"/>
              </w:rPr>
            </w:pPr>
            <w:r w:rsidRPr="00CD5BFE">
              <w:rPr>
                <w:rFonts w:ascii="Arial" w:hAnsi="Arial" w:cs="Arial"/>
                <w:color w:val="000000"/>
                <w:sz w:val="18"/>
                <w:szCs w:val="18"/>
              </w:rPr>
              <w:t>Growth rate</w:t>
            </w:r>
            <w:r>
              <w:rPr>
                <w:rFonts w:ascii="Arial" w:hAnsi="Arial" w:cs="Arial"/>
                <w:color w:val="000000"/>
                <w:sz w:val="18"/>
                <w:szCs w:val="18"/>
                <w:lang w:val="en-US"/>
              </w:rPr>
              <w:t xml:space="preserve"> </w:t>
            </w:r>
            <w:r w:rsidRPr="00CD5BFE">
              <w:rPr>
                <w:rFonts w:ascii="Arial" w:hAnsi="Arial" w:cs="Arial"/>
                <w:color w:val="000000"/>
                <w:sz w:val="18"/>
                <w:szCs w:val="18"/>
              </w:rPr>
              <w:t>01/</w:t>
            </w:r>
            <w:r>
              <w:rPr>
                <w:rFonts w:ascii="Arial" w:hAnsi="Arial" w:cs="Arial"/>
                <w:color w:val="000000"/>
                <w:sz w:val="18"/>
                <w:szCs w:val="18"/>
              </w:rPr>
              <w:t>2024</w:t>
            </w:r>
            <w:r w:rsidRPr="00CD5BFE">
              <w:rPr>
                <w:rFonts w:ascii="Arial" w:hAnsi="Arial" w:cs="Arial"/>
                <w:color w:val="000000"/>
                <w:sz w:val="18"/>
                <w:szCs w:val="18"/>
              </w:rPr>
              <w:t xml:space="preserve"> compare to</w:t>
            </w:r>
            <w:r>
              <w:rPr>
                <w:rFonts w:ascii="Arial" w:hAnsi="Arial" w:cs="Arial"/>
                <w:color w:val="000000"/>
                <w:sz w:val="18"/>
                <w:szCs w:val="18"/>
                <w:lang w:val="en-US"/>
              </w:rPr>
              <w:t xml:space="preserve"> </w:t>
            </w:r>
            <w:r w:rsidRPr="00CD5BFE">
              <w:rPr>
                <w:rFonts w:ascii="Arial" w:hAnsi="Arial" w:cs="Arial"/>
                <w:color w:val="000000"/>
                <w:sz w:val="18"/>
                <w:szCs w:val="18"/>
              </w:rPr>
              <w:t xml:space="preserve">the same period last year </w:t>
            </w:r>
            <w:r w:rsidRPr="00CD5BFE">
              <w:rPr>
                <w:rFonts w:ascii="Arial" w:hAnsi="Arial" w:cs="Arial"/>
                <w:color w:val="000000"/>
                <w:sz w:val="18"/>
                <w:szCs w:val="18"/>
                <w:lang w:val="en-GB" w:eastAsia="en-GB"/>
              </w:rPr>
              <w:t>(%)</w:t>
            </w:r>
          </w:p>
        </w:tc>
      </w:tr>
      <w:tr w:rsidR="00F05F4E" w14:paraId="14921B2D" w14:textId="77777777" w:rsidTr="008278F8">
        <w:trPr>
          <w:cantSplit/>
          <w:trHeight w:val="141"/>
          <w:jc w:val="center"/>
        </w:trPr>
        <w:tc>
          <w:tcPr>
            <w:tcW w:w="3402" w:type="dxa"/>
            <w:hideMark/>
          </w:tcPr>
          <w:p w14:paraId="75961FEC" w14:textId="77777777" w:rsidR="00F05F4E" w:rsidRPr="00CD5BFE" w:rsidRDefault="00F05F4E" w:rsidP="008278F8">
            <w:pPr>
              <w:spacing w:before="20" w:after="20" w:line="276" w:lineRule="auto"/>
              <w:rPr>
                <w:rFonts w:ascii="Arial" w:hAnsi="Arial" w:cs="Arial"/>
                <w:color w:val="000000"/>
                <w:sz w:val="18"/>
                <w:szCs w:val="18"/>
                <w:lang w:val="en-GB" w:eastAsia="en-GB"/>
              </w:rPr>
            </w:pPr>
          </w:p>
        </w:tc>
        <w:tc>
          <w:tcPr>
            <w:tcW w:w="1276" w:type="dxa"/>
            <w:vMerge/>
            <w:tcBorders>
              <w:top w:val="single" w:sz="4" w:space="0" w:color="auto"/>
              <w:left w:val="nil"/>
              <w:bottom w:val="single" w:sz="4" w:space="0" w:color="auto"/>
              <w:right w:val="nil"/>
            </w:tcBorders>
            <w:vAlign w:val="center"/>
            <w:hideMark/>
          </w:tcPr>
          <w:p w14:paraId="1B539B65" w14:textId="77777777" w:rsidR="00F05F4E" w:rsidRPr="00CD5BFE" w:rsidRDefault="00F05F4E" w:rsidP="008278F8">
            <w:pPr>
              <w:spacing w:before="20" w:after="20" w:line="276" w:lineRule="auto"/>
              <w:rPr>
                <w:rFonts w:ascii="Arial" w:hAnsi="Arial" w:cs="Arial"/>
                <w:color w:val="000000"/>
                <w:sz w:val="18"/>
                <w:szCs w:val="18"/>
                <w:lang w:val="en-GB" w:eastAsia="en-GB"/>
              </w:rPr>
            </w:pPr>
          </w:p>
        </w:tc>
        <w:tc>
          <w:tcPr>
            <w:tcW w:w="2395" w:type="dxa"/>
            <w:vMerge/>
            <w:tcBorders>
              <w:top w:val="single" w:sz="4" w:space="0" w:color="auto"/>
              <w:left w:val="nil"/>
              <w:bottom w:val="single" w:sz="4" w:space="0" w:color="auto"/>
              <w:right w:val="nil"/>
            </w:tcBorders>
            <w:vAlign w:val="center"/>
            <w:hideMark/>
          </w:tcPr>
          <w:p w14:paraId="717D3280" w14:textId="77777777" w:rsidR="00F05F4E" w:rsidRPr="00CD5BFE" w:rsidRDefault="00F05F4E" w:rsidP="008278F8">
            <w:pPr>
              <w:spacing w:before="20" w:after="20" w:line="276" w:lineRule="auto"/>
              <w:rPr>
                <w:rFonts w:ascii="Arial" w:hAnsi="Arial" w:cs="Arial"/>
                <w:color w:val="000000"/>
                <w:sz w:val="18"/>
                <w:szCs w:val="18"/>
                <w:lang w:val="en-GB" w:eastAsia="en-GB"/>
              </w:rPr>
            </w:pPr>
          </w:p>
        </w:tc>
        <w:tc>
          <w:tcPr>
            <w:tcW w:w="1999" w:type="dxa"/>
            <w:vMerge/>
            <w:tcBorders>
              <w:top w:val="single" w:sz="4" w:space="0" w:color="auto"/>
              <w:left w:val="nil"/>
              <w:bottom w:val="single" w:sz="4" w:space="0" w:color="auto"/>
              <w:right w:val="nil"/>
            </w:tcBorders>
            <w:vAlign w:val="center"/>
            <w:hideMark/>
          </w:tcPr>
          <w:p w14:paraId="6B075D45" w14:textId="77777777" w:rsidR="00F05F4E" w:rsidRPr="00CD5BFE" w:rsidRDefault="00F05F4E" w:rsidP="008278F8">
            <w:pPr>
              <w:spacing w:before="20" w:after="20" w:line="276" w:lineRule="auto"/>
              <w:rPr>
                <w:rFonts w:ascii="Arial" w:hAnsi="Arial" w:cs="Arial"/>
                <w:color w:val="000000"/>
                <w:sz w:val="18"/>
                <w:szCs w:val="18"/>
                <w:lang w:val="en-GB" w:eastAsia="en-GB"/>
              </w:rPr>
            </w:pPr>
          </w:p>
        </w:tc>
      </w:tr>
      <w:tr w:rsidR="00F05F4E" w14:paraId="77B3A0FF" w14:textId="77777777" w:rsidTr="008278F8">
        <w:trPr>
          <w:cantSplit/>
          <w:trHeight w:val="141"/>
          <w:jc w:val="center"/>
        </w:trPr>
        <w:tc>
          <w:tcPr>
            <w:tcW w:w="3402" w:type="dxa"/>
            <w:hideMark/>
          </w:tcPr>
          <w:p w14:paraId="4429519B" w14:textId="77777777" w:rsidR="00F05F4E" w:rsidRPr="00CD5BFE" w:rsidRDefault="00F05F4E" w:rsidP="008278F8">
            <w:pPr>
              <w:spacing w:before="20" w:after="20" w:line="276" w:lineRule="auto"/>
              <w:rPr>
                <w:rFonts w:ascii="Arial" w:eastAsia="Calibri" w:hAnsi="Arial" w:cs="Arial"/>
                <w:sz w:val="18"/>
                <w:szCs w:val="18"/>
              </w:rPr>
            </w:pPr>
          </w:p>
        </w:tc>
        <w:tc>
          <w:tcPr>
            <w:tcW w:w="1276" w:type="dxa"/>
            <w:vMerge/>
            <w:tcBorders>
              <w:top w:val="single" w:sz="4" w:space="0" w:color="auto"/>
              <w:left w:val="nil"/>
              <w:bottom w:val="single" w:sz="4" w:space="0" w:color="auto"/>
              <w:right w:val="nil"/>
            </w:tcBorders>
            <w:vAlign w:val="center"/>
            <w:hideMark/>
          </w:tcPr>
          <w:p w14:paraId="002C935C" w14:textId="77777777" w:rsidR="00F05F4E" w:rsidRPr="00CD5BFE" w:rsidRDefault="00F05F4E" w:rsidP="008278F8">
            <w:pPr>
              <w:spacing w:before="20" w:after="20" w:line="276" w:lineRule="auto"/>
              <w:rPr>
                <w:rFonts w:ascii="Arial" w:hAnsi="Arial" w:cs="Arial"/>
                <w:color w:val="000000"/>
                <w:sz w:val="18"/>
                <w:szCs w:val="18"/>
                <w:lang w:val="en-GB" w:eastAsia="en-GB"/>
              </w:rPr>
            </w:pPr>
          </w:p>
        </w:tc>
        <w:tc>
          <w:tcPr>
            <w:tcW w:w="2395" w:type="dxa"/>
            <w:vMerge/>
            <w:tcBorders>
              <w:top w:val="single" w:sz="4" w:space="0" w:color="auto"/>
              <w:left w:val="nil"/>
              <w:bottom w:val="single" w:sz="4" w:space="0" w:color="auto"/>
              <w:right w:val="nil"/>
            </w:tcBorders>
            <w:vAlign w:val="center"/>
            <w:hideMark/>
          </w:tcPr>
          <w:p w14:paraId="491DE10D" w14:textId="77777777" w:rsidR="00F05F4E" w:rsidRPr="00CD5BFE" w:rsidRDefault="00F05F4E" w:rsidP="008278F8">
            <w:pPr>
              <w:spacing w:before="20" w:after="20" w:line="276" w:lineRule="auto"/>
              <w:rPr>
                <w:rFonts w:ascii="Arial" w:hAnsi="Arial" w:cs="Arial"/>
                <w:color w:val="000000"/>
                <w:sz w:val="18"/>
                <w:szCs w:val="18"/>
                <w:lang w:val="en-GB" w:eastAsia="en-GB"/>
              </w:rPr>
            </w:pPr>
          </w:p>
        </w:tc>
        <w:tc>
          <w:tcPr>
            <w:tcW w:w="1999" w:type="dxa"/>
            <w:vMerge/>
            <w:tcBorders>
              <w:top w:val="single" w:sz="4" w:space="0" w:color="auto"/>
              <w:left w:val="nil"/>
              <w:bottom w:val="single" w:sz="4" w:space="0" w:color="auto"/>
              <w:right w:val="nil"/>
            </w:tcBorders>
            <w:vAlign w:val="center"/>
            <w:hideMark/>
          </w:tcPr>
          <w:p w14:paraId="1A4F8525" w14:textId="77777777" w:rsidR="00F05F4E" w:rsidRPr="00CD5BFE" w:rsidRDefault="00F05F4E" w:rsidP="008278F8">
            <w:pPr>
              <w:spacing w:before="20" w:after="20" w:line="276" w:lineRule="auto"/>
              <w:rPr>
                <w:rFonts w:ascii="Arial" w:hAnsi="Arial" w:cs="Arial"/>
                <w:color w:val="000000"/>
                <w:sz w:val="18"/>
                <w:szCs w:val="18"/>
                <w:lang w:val="en-GB" w:eastAsia="en-GB"/>
              </w:rPr>
            </w:pPr>
          </w:p>
        </w:tc>
      </w:tr>
      <w:tr w:rsidR="00F05F4E" w14:paraId="0AAEFCA4" w14:textId="77777777" w:rsidTr="008278F8">
        <w:trPr>
          <w:cantSplit/>
          <w:trHeight w:val="298"/>
          <w:jc w:val="center"/>
        </w:trPr>
        <w:tc>
          <w:tcPr>
            <w:tcW w:w="3402" w:type="dxa"/>
            <w:vAlign w:val="center"/>
            <w:hideMark/>
          </w:tcPr>
          <w:p w14:paraId="41345E8F" w14:textId="77777777" w:rsidR="00F05F4E" w:rsidRPr="00CD5BFE" w:rsidRDefault="00F05F4E" w:rsidP="008278F8">
            <w:pPr>
              <w:spacing w:before="120" w:after="60" w:line="276" w:lineRule="auto"/>
              <w:rPr>
                <w:rFonts w:ascii="Arial" w:hAnsi="Arial" w:cs="Arial"/>
                <w:b/>
                <w:bCs/>
                <w:color w:val="000000"/>
                <w:sz w:val="18"/>
                <w:szCs w:val="18"/>
                <w:lang w:val="en-GB" w:eastAsia="en-GB"/>
              </w:rPr>
            </w:pPr>
            <w:r w:rsidRPr="00CD5BFE">
              <w:rPr>
                <w:rFonts w:ascii="Arial" w:hAnsi="Arial" w:cs="Arial"/>
                <w:b/>
                <w:bCs/>
                <w:sz w:val="18"/>
                <w:szCs w:val="18"/>
              </w:rPr>
              <w:t>Total</w:t>
            </w:r>
          </w:p>
        </w:tc>
        <w:tc>
          <w:tcPr>
            <w:tcW w:w="1276" w:type="dxa"/>
            <w:tcBorders>
              <w:top w:val="single" w:sz="4" w:space="0" w:color="auto"/>
              <w:left w:val="nil"/>
              <w:bottom w:val="nil"/>
              <w:right w:val="nil"/>
            </w:tcBorders>
            <w:vAlign w:val="center"/>
            <w:hideMark/>
          </w:tcPr>
          <w:p w14:paraId="111C5A9C" w14:textId="77777777" w:rsidR="00F05F4E" w:rsidRPr="00CD5BFE" w:rsidRDefault="00F05F4E" w:rsidP="008278F8">
            <w:pPr>
              <w:spacing w:before="120" w:after="60" w:line="276" w:lineRule="auto"/>
              <w:ind w:right="240"/>
              <w:jc w:val="right"/>
              <w:rPr>
                <w:rFonts w:ascii="Arial" w:hAnsi="Arial" w:cs="Arial"/>
                <w:b/>
                <w:bCs/>
                <w:color w:val="000000"/>
                <w:sz w:val="18"/>
                <w:szCs w:val="18"/>
                <w:lang w:eastAsia="en-GB"/>
              </w:rPr>
            </w:pPr>
            <w:r>
              <w:rPr>
                <w:rFonts w:ascii="Arial" w:hAnsi="Arial" w:cs="Arial"/>
                <w:b/>
                <w:bCs/>
                <w:color w:val="000000"/>
                <w:sz w:val="18"/>
                <w:szCs w:val="18"/>
                <w:lang w:val="en-GB" w:eastAsia="en-GB"/>
              </w:rPr>
              <w:t>524.1</w:t>
            </w:r>
          </w:p>
        </w:tc>
        <w:tc>
          <w:tcPr>
            <w:tcW w:w="2395" w:type="dxa"/>
            <w:tcBorders>
              <w:top w:val="single" w:sz="4" w:space="0" w:color="auto"/>
              <w:left w:val="nil"/>
              <w:bottom w:val="nil"/>
              <w:right w:val="nil"/>
            </w:tcBorders>
            <w:vAlign w:val="center"/>
            <w:hideMark/>
          </w:tcPr>
          <w:p w14:paraId="07CCD12A" w14:textId="77777777" w:rsidR="00F05F4E" w:rsidRPr="00CD5BFE" w:rsidRDefault="00F05F4E" w:rsidP="008278F8">
            <w:pPr>
              <w:spacing w:before="120" w:after="60" w:line="276" w:lineRule="auto"/>
              <w:ind w:right="884"/>
              <w:jc w:val="right"/>
              <w:rPr>
                <w:rFonts w:ascii="Arial" w:hAnsi="Arial" w:cs="Arial"/>
                <w:b/>
                <w:bCs/>
                <w:color w:val="000000"/>
                <w:sz w:val="18"/>
                <w:szCs w:val="18"/>
                <w:lang w:eastAsia="en-GB"/>
              </w:rPr>
            </w:pPr>
            <w:r>
              <w:rPr>
                <w:rFonts w:ascii="Arial" w:hAnsi="Arial" w:cs="Arial"/>
                <w:b/>
                <w:bCs/>
                <w:color w:val="000000"/>
                <w:sz w:val="18"/>
                <w:szCs w:val="18"/>
                <w:lang w:val="en-GB" w:eastAsia="en-GB"/>
              </w:rPr>
              <w:t>1.6</w:t>
            </w:r>
          </w:p>
        </w:tc>
        <w:tc>
          <w:tcPr>
            <w:tcW w:w="1999" w:type="dxa"/>
            <w:tcBorders>
              <w:top w:val="single" w:sz="4" w:space="0" w:color="auto"/>
              <w:left w:val="nil"/>
              <w:bottom w:val="nil"/>
              <w:right w:val="nil"/>
            </w:tcBorders>
            <w:vAlign w:val="center"/>
            <w:hideMark/>
          </w:tcPr>
          <w:p w14:paraId="5780FE77" w14:textId="77777777" w:rsidR="00F05F4E" w:rsidRPr="00CD5BFE" w:rsidRDefault="00F05F4E" w:rsidP="008278F8">
            <w:pPr>
              <w:spacing w:before="120" w:after="60" w:line="276" w:lineRule="auto"/>
              <w:ind w:right="600"/>
              <w:jc w:val="right"/>
              <w:rPr>
                <w:rFonts w:ascii="Arial" w:hAnsi="Arial" w:cs="Arial"/>
                <w:b/>
                <w:bCs/>
                <w:color w:val="000000"/>
                <w:sz w:val="18"/>
                <w:szCs w:val="18"/>
                <w:lang w:eastAsia="en-GB"/>
              </w:rPr>
            </w:pPr>
            <w:r>
              <w:rPr>
                <w:rFonts w:ascii="Arial" w:hAnsi="Arial" w:cs="Arial"/>
                <w:b/>
                <w:bCs/>
                <w:color w:val="000000"/>
                <w:sz w:val="18"/>
                <w:szCs w:val="18"/>
                <w:lang w:val="en-GB" w:eastAsia="en-GB"/>
              </w:rPr>
              <w:t>8.1</w:t>
            </w:r>
          </w:p>
        </w:tc>
      </w:tr>
      <w:tr w:rsidR="00F05F4E" w14:paraId="4E6F4800" w14:textId="77777777" w:rsidTr="008278F8">
        <w:trPr>
          <w:cantSplit/>
          <w:trHeight w:val="298"/>
          <w:jc w:val="center"/>
        </w:trPr>
        <w:tc>
          <w:tcPr>
            <w:tcW w:w="3402" w:type="dxa"/>
            <w:vAlign w:val="center"/>
            <w:hideMark/>
          </w:tcPr>
          <w:p w14:paraId="761ED825" w14:textId="77777777" w:rsidR="00F05F4E" w:rsidRPr="00D30DFA" w:rsidRDefault="00F05F4E" w:rsidP="008278F8">
            <w:pPr>
              <w:spacing w:before="20" w:after="20" w:line="276" w:lineRule="auto"/>
              <w:ind w:firstLine="176"/>
              <w:rPr>
                <w:rFonts w:ascii="Arial" w:hAnsi="Arial" w:cs="Arial"/>
                <w:color w:val="000000"/>
                <w:sz w:val="18"/>
                <w:szCs w:val="18"/>
                <w:lang w:val="en-US" w:eastAsia="en-GB"/>
              </w:rPr>
            </w:pPr>
            <w:r w:rsidRPr="00CD5BFE">
              <w:rPr>
                <w:rFonts w:ascii="Arial" w:hAnsi="Arial" w:cs="Arial"/>
                <w:bCs/>
                <w:sz w:val="18"/>
                <w:szCs w:val="18"/>
              </w:rPr>
              <w:t>Retail sale</w:t>
            </w:r>
            <w:r>
              <w:rPr>
                <w:rFonts w:ascii="Arial" w:hAnsi="Arial" w:cs="Arial"/>
                <w:bCs/>
                <w:sz w:val="18"/>
                <w:szCs w:val="18"/>
                <w:lang w:val="en-US"/>
              </w:rPr>
              <w:t xml:space="preserve"> of good</w:t>
            </w:r>
          </w:p>
        </w:tc>
        <w:tc>
          <w:tcPr>
            <w:tcW w:w="1276" w:type="dxa"/>
            <w:vAlign w:val="center"/>
            <w:hideMark/>
          </w:tcPr>
          <w:p w14:paraId="185708F7" w14:textId="77777777" w:rsidR="00F05F4E" w:rsidRPr="00CD5BFE" w:rsidRDefault="00F05F4E" w:rsidP="008278F8">
            <w:pPr>
              <w:spacing w:before="20" w:after="20" w:line="276" w:lineRule="auto"/>
              <w:ind w:right="240"/>
              <w:jc w:val="right"/>
              <w:rPr>
                <w:rFonts w:ascii="Arial" w:hAnsi="Arial" w:cs="Arial"/>
                <w:color w:val="000000"/>
                <w:sz w:val="18"/>
                <w:szCs w:val="18"/>
                <w:lang w:eastAsia="en-GB"/>
              </w:rPr>
            </w:pPr>
            <w:r>
              <w:rPr>
                <w:rFonts w:ascii="Arial" w:hAnsi="Arial" w:cs="Arial"/>
                <w:color w:val="000000"/>
                <w:sz w:val="18"/>
                <w:szCs w:val="18"/>
                <w:lang w:val="en-GB" w:eastAsia="en-GB"/>
              </w:rPr>
              <w:t>407.5</w:t>
            </w:r>
          </w:p>
        </w:tc>
        <w:tc>
          <w:tcPr>
            <w:tcW w:w="2395" w:type="dxa"/>
            <w:vAlign w:val="center"/>
            <w:hideMark/>
          </w:tcPr>
          <w:p w14:paraId="5DFFB994" w14:textId="77777777" w:rsidR="00F05F4E" w:rsidRPr="00CD5BFE" w:rsidRDefault="00F05F4E" w:rsidP="008278F8">
            <w:pPr>
              <w:spacing w:before="20" w:after="20" w:line="276" w:lineRule="auto"/>
              <w:ind w:right="884"/>
              <w:jc w:val="right"/>
              <w:rPr>
                <w:rFonts w:ascii="Arial" w:hAnsi="Arial" w:cs="Arial"/>
                <w:color w:val="000000"/>
                <w:sz w:val="18"/>
                <w:szCs w:val="18"/>
                <w:lang w:eastAsia="en-GB"/>
              </w:rPr>
            </w:pPr>
            <w:r>
              <w:rPr>
                <w:rFonts w:ascii="Arial" w:hAnsi="Arial" w:cs="Arial"/>
                <w:color w:val="000000"/>
                <w:sz w:val="18"/>
                <w:szCs w:val="18"/>
                <w:lang w:val="en-GB" w:eastAsia="en-GB"/>
              </w:rPr>
              <w:t>3.5</w:t>
            </w:r>
          </w:p>
        </w:tc>
        <w:tc>
          <w:tcPr>
            <w:tcW w:w="1999" w:type="dxa"/>
            <w:vAlign w:val="center"/>
            <w:hideMark/>
          </w:tcPr>
          <w:p w14:paraId="367F5867" w14:textId="77777777" w:rsidR="00F05F4E" w:rsidRPr="00CD5BFE" w:rsidRDefault="00F05F4E" w:rsidP="008278F8">
            <w:pPr>
              <w:spacing w:before="20" w:after="20" w:line="276" w:lineRule="auto"/>
              <w:ind w:right="600"/>
              <w:jc w:val="right"/>
              <w:rPr>
                <w:rFonts w:ascii="Arial" w:hAnsi="Arial" w:cs="Arial"/>
                <w:color w:val="000000"/>
                <w:sz w:val="18"/>
                <w:szCs w:val="18"/>
                <w:lang w:eastAsia="en-GB"/>
              </w:rPr>
            </w:pPr>
            <w:r>
              <w:rPr>
                <w:rFonts w:ascii="Arial" w:hAnsi="Arial" w:cs="Arial"/>
                <w:color w:val="000000"/>
                <w:sz w:val="18"/>
                <w:szCs w:val="18"/>
                <w:lang w:val="en-GB" w:eastAsia="en-GB"/>
              </w:rPr>
              <w:t>7.3</w:t>
            </w:r>
          </w:p>
        </w:tc>
      </w:tr>
      <w:tr w:rsidR="00F05F4E" w14:paraId="3F175CB0" w14:textId="77777777" w:rsidTr="008278F8">
        <w:trPr>
          <w:cantSplit/>
          <w:trHeight w:val="298"/>
          <w:jc w:val="center"/>
        </w:trPr>
        <w:tc>
          <w:tcPr>
            <w:tcW w:w="3402" w:type="dxa"/>
            <w:vAlign w:val="center"/>
            <w:hideMark/>
          </w:tcPr>
          <w:p w14:paraId="1E2A0703" w14:textId="77777777" w:rsidR="00F05F4E" w:rsidRPr="00CD5BFE" w:rsidRDefault="00F05F4E" w:rsidP="008278F8">
            <w:pPr>
              <w:spacing w:before="20" w:after="20" w:line="276" w:lineRule="auto"/>
              <w:ind w:left="176"/>
              <w:rPr>
                <w:rFonts w:ascii="Arial" w:hAnsi="Arial" w:cs="Arial"/>
                <w:color w:val="000000"/>
                <w:sz w:val="18"/>
                <w:szCs w:val="18"/>
                <w:lang w:eastAsia="en-GB"/>
              </w:rPr>
            </w:pPr>
            <w:r w:rsidRPr="00CD5BFE">
              <w:rPr>
                <w:rFonts w:ascii="Arial" w:hAnsi="Arial" w:cs="Arial"/>
                <w:bCs/>
                <w:sz w:val="18"/>
                <w:szCs w:val="18"/>
              </w:rPr>
              <w:t>Accommodation and catering service</w:t>
            </w:r>
          </w:p>
        </w:tc>
        <w:tc>
          <w:tcPr>
            <w:tcW w:w="1276" w:type="dxa"/>
            <w:vAlign w:val="center"/>
            <w:hideMark/>
          </w:tcPr>
          <w:p w14:paraId="4D5BBDDA" w14:textId="77777777" w:rsidR="00F05F4E" w:rsidRPr="00CD5BFE" w:rsidRDefault="00F05F4E" w:rsidP="008278F8">
            <w:pPr>
              <w:spacing w:before="20" w:after="20" w:line="276" w:lineRule="auto"/>
              <w:ind w:right="240"/>
              <w:jc w:val="right"/>
              <w:rPr>
                <w:rFonts w:ascii="Arial" w:hAnsi="Arial" w:cs="Arial"/>
                <w:color w:val="000000"/>
                <w:sz w:val="18"/>
                <w:szCs w:val="18"/>
                <w:lang w:eastAsia="en-GB"/>
              </w:rPr>
            </w:pPr>
            <w:r>
              <w:rPr>
                <w:rFonts w:ascii="Arial" w:hAnsi="Arial" w:cs="Arial"/>
                <w:color w:val="000000"/>
                <w:sz w:val="18"/>
                <w:szCs w:val="18"/>
                <w:lang w:val="en-GB" w:eastAsia="en-GB"/>
              </w:rPr>
              <w:t>58.9</w:t>
            </w:r>
          </w:p>
        </w:tc>
        <w:tc>
          <w:tcPr>
            <w:tcW w:w="2395" w:type="dxa"/>
            <w:vAlign w:val="center"/>
            <w:hideMark/>
          </w:tcPr>
          <w:p w14:paraId="538F4423" w14:textId="77777777" w:rsidR="00F05F4E" w:rsidRPr="00CD5BFE" w:rsidRDefault="00F05F4E" w:rsidP="008278F8">
            <w:pPr>
              <w:spacing w:before="20" w:after="20" w:line="276" w:lineRule="auto"/>
              <w:ind w:right="884"/>
              <w:jc w:val="right"/>
              <w:rPr>
                <w:rFonts w:ascii="Arial" w:hAnsi="Arial" w:cs="Arial"/>
                <w:color w:val="000000"/>
                <w:sz w:val="18"/>
                <w:szCs w:val="18"/>
                <w:lang w:eastAsia="en-GB"/>
              </w:rPr>
            </w:pPr>
            <w:r>
              <w:rPr>
                <w:rFonts w:ascii="Arial" w:hAnsi="Arial" w:cs="Arial"/>
                <w:color w:val="000000"/>
                <w:sz w:val="18"/>
                <w:szCs w:val="18"/>
                <w:lang w:val="en-GB" w:eastAsia="en-GB"/>
              </w:rPr>
              <w:t>1.9</w:t>
            </w:r>
          </w:p>
        </w:tc>
        <w:tc>
          <w:tcPr>
            <w:tcW w:w="1999" w:type="dxa"/>
            <w:vAlign w:val="center"/>
            <w:hideMark/>
          </w:tcPr>
          <w:p w14:paraId="3A35DACA" w14:textId="77777777" w:rsidR="00F05F4E" w:rsidRPr="00CD5BFE" w:rsidRDefault="00F05F4E" w:rsidP="008278F8">
            <w:pPr>
              <w:spacing w:before="20" w:after="20" w:line="276" w:lineRule="auto"/>
              <w:ind w:right="600"/>
              <w:jc w:val="right"/>
              <w:rPr>
                <w:rFonts w:ascii="Arial" w:hAnsi="Arial" w:cs="Arial"/>
                <w:color w:val="000000"/>
                <w:sz w:val="18"/>
                <w:szCs w:val="18"/>
                <w:lang w:eastAsia="en-GB"/>
              </w:rPr>
            </w:pPr>
            <w:r>
              <w:rPr>
                <w:rFonts w:ascii="Arial" w:hAnsi="Arial" w:cs="Arial"/>
                <w:color w:val="000000"/>
                <w:sz w:val="18"/>
                <w:szCs w:val="18"/>
                <w:lang w:val="en-GB" w:eastAsia="en-GB"/>
              </w:rPr>
              <w:t>10.2</w:t>
            </w:r>
          </w:p>
        </w:tc>
      </w:tr>
      <w:tr w:rsidR="00F05F4E" w14:paraId="3500D33E" w14:textId="77777777" w:rsidTr="008278F8">
        <w:trPr>
          <w:cantSplit/>
          <w:trHeight w:val="298"/>
          <w:jc w:val="center"/>
        </w:trPr>
        <w:tc>
          <w:tcPr>
            <w:tcW w:w="3402" w:type="dxa"/>
            <w:vAlign w:val="center"/>
            <w:hideMark/>
          </w:tcPr>
          <w:p w14:paraId="7E4B9597" w14:textId="77777777" w:rsidR="00F05F4E" w:rsidRPr="00CD5BFE" w:rsidRDefault="00F05F4E" w:rsidP="008278F8">
            <w:pPr>
              <w:spacing w:before="20" w:after="20" w:line="276" w:lineRule="auto"/>
              <w:ind w:firstLine="176"/>
              <w:rPr>
                <w:rFonts w:ascii="Arial" w:hAnsi="Arial" w:cs="Arial"/>
                <w:color w:val="000000"/>
                <w:sz w:val="18"/>
                <w:szCs w:val="18"/>
                <w:lang w:val="en-GB" w:eastAsia="en-GB"/>
              </w:rPr>
            </w:pPr>
            <w:r w:rsidRPr="00CD5BFE">
              <w:rPr>
                <w:rFonts w:ascii="Arial" w:hAnsi="Arial" w:cs="Arial"/>
                <w:bCs/>
                <w:sz w:val="18"/>
                <w:szCs w:val="18"/>
              </w:rPr>
              <w:t>Traveling service</w:t>
            </w:r>
          </w:p>
        </w:tc>
        <w:tc>
          <w:tcPr>
            <w:tcW w:w="1276" w:type="dxa"/>
            <w:vAlign w:val="center"/>
            <w:hideMark/>
          </w:tcPr>
          <w:p w14:paraId="34B6B0E6" w14:textId="77777777" w:rsidR="00F05F4E" w:rsidRPr="00CD5BFE" w:rsidRDefault="00F05F4E" w:rsidP="008278F8">
            <w:pPr>
              <w:spacing w:before="20" w:after="20" w:line="276" w:lineRule="auto"/>
              <w:ind w:right="240"/>
              <w:jc w:val="right"/>
              <w:rPr>
                <w:rFonts w:ascii="Arial" w:hAnsi="Arial" w:cs="Arial"/>
                <w:color w:val="000000"/>
                <w:sz w:val="18"/>
                <w:szCs w:val="18"/>
                <w:lang w:eastAsia="en-GB"/>
              </w:rPr>
            </w:pPr>
            <w:r>
              <w:rPr>
                <w:rFonts w:ascii="Arial" w:hAnsi="Arial" w:cs="Arial"/>
                <w:color w:val="000000"/>
                <w:sz w:val="18"/>
                <w:szCs w:val="18"/>
                <w:lang w:val="en-GB" w:eastAsia="en-GB"/>
              </w:rPr>
              <w:t>4.4</w:t>
            </w:r>
          </w:p>
        </w:tc>
        <w:tc>
          <w:tcPr>
            <w:tcW w:w="2395" w:type="dxa"/>
            <w:vAlign w:val="center"/>
            <w:hideMark/>
          </w:tcPr>
          <w:p w14:paraId="5FAD48E3" w14:textId="77777777" w:rsidR="00F05F4E" w:rsidRPr="00CD5BFE" w:rsidRDefault="00F05F4E" w:rsidP="008278F8">
            <w:pPr>
              <w:spacing w:before="20" w:after="20" w:line="276" w:lineRule="auto"/>
              <w:ind w:right="884"/>
              <w:jc w:val="right"/>
              <w:rPr>
                <w:rFonts w:ascii="Arial" w:hAnsi="Arial" w:cs="Arial"/>
                <w:color w:val="000000"/>
                <w:sz w:val="18"/>
                <w:szCs w:val="18"/>
                <w:lang w:val="en-GB" w:eastAsia="en-GB"/>
              </w:rPr>
            </w:pPr>
            <w:r>
              <w:rPr>
                <w:rFonts w:ascii="Arial" w:hAnsi="Arial" w:cs="Arial"/>
                <w:color w:val="000000"/>
                <w:sz w:val="18"/>
                <w:szCs w:val="18"/>
                <w:lang w:val="en-GB" w:eastAsia="en-GB"/>
              </w:rPr>
              <w:t>-9.1</w:t>
            </w:r>
          </w:p>
        </w:tc>
        <w:tc>
          <w:tcPr>
            <w:tcW w:w="1999" w:type="dxa"/>
            <w:vAlign w:val="center"/>
            <w:hideMark/>
          </w:tcPr>
          <w:p w14:paraId="15D2046F" w14:textId="77777777" w:rsidR="00F05F4E" w:rsidRPr="00CD5BFE" w:rsidRDefault="00F05F4E" w:rsidP="008278F8">
            <w:pPr>
              <w:spacing w:before="20" w:after="20" w:line="276" w:lineRule="auto"/>
              <w:ind w:right="600"/>
              <w:jc w:val="right"/>
              <w:rPr>
                <w:rFonts w:ascii="Arial" w:hAnsi="Arial" w:cs="Arial"/>
                <w:color w:val="000000"/>
                <w:sz w:val="18"/>
                <w:szCs w:val="18"/>
                <w:lang w:eastAsia="en-GB"/>
              </w:rPr>
            </w:pPr>
            <w:r>
              <w:rPr>
                <w:rFonts w:ascii="Arial" w:hAnsi="Arial" w:cs="Arial"/>
                <w:color w:val="000000"/>
                <w:sz w:val="18"/>
                <w:szCs w:val="18"/>
                <w:lang w:val="en-GB" w:eastAsia="en-GB"/>
              </w:rPr>
              <w:t>18.5</w:t>
            </w:r>
          </w:p>
        </w:tc>
      </w:tr>
      <w:tr w:rsidR="00F05F4E" w14:paraId="4A3AABE4" w14:textId="77777777" w:rsidTr="008278F8">
        <w:trPr>
          <w:cantSplit/>
          <w:trHeight w:val="298"/>
          <w:jc w:val="center"/>
        </w:trPr>
        <w:tc>
          <w:tcPr>
            <w:tcW w:w="3402" w:type="dxa"/>
            <w:tcBorders>
              <w:top w:val="nil"/>
              <w:left w:val="nil"/>
              <w:bottom w:val="single" w:sz="4" w:space="0" w:color="auto"/>
              <w:right w:val="nil"/>
            </w:tcBorders>
            <w:vAlign w:val="center"/>
            <w:hideMark/>
          </w:tcPr>
          <w:p w14:paraId="7BB4BED9" w14:textId="77777777" w:rsidR="00F05F4E" w:rsidRPr="00CD5BFE" w:rsidRDefault="00F05F4E" w:rsidP="008278F8">
            <w:pPr>
              <w:spacing w:before="20" w:after="20" w:line="276" w:lineRule="auto"/>
              <w:ind w:firstLine="176"/>
              <w:rPr>
                <w:rFonts w:ascii="Arial" w:hAnsi="Arial" w:cs="Arial"/>
                <w:color w:val="000000"/>
                <w:sz w:val="18"/>
                <w:szCs w:val="18"/>
                <w:lang w:val="en-GB" w:eastAsia="en-GB"/>
              </w:rPr>
            </w:pPr>
            <w:r w:rsidRPr="00CD5BFE">
              <w:rPr>
                <w:rFonts w:ascii="Arial" w:hAnsi="Arial" w:cs="Arial"/>
                <w:bCs/>
                <w:sz w:val="18"/>
                <w:szCs w:val="18"/>
              </w:rPr>
              <w:t>Other services</w:t>
            </w:r>
          </w:p>
        </w:tc>
        <w:tc>
          <w:tcPr>
            <w:tcW w:w="1276" w:type="dxa"/>
            <w:tcBorders>
              <w:top w:val="nil"/>
              <w:left w:val="nil"/>
              <w:bottom w:val="single" w:sz="4" w:space="0" w:color="auto"/>
              <w:right w:val="nil"/>
            </w:tcBorders>
            <w:vAlign w:val="center"/>
            <w:hideMark/>
          </w:tcPr>
          <w:p w14:paraId="600A760E" w14:textId="77777777" w:rsidR="00F05F4E" w:rsidRPr="00CD5BFE" w:rsidRDefault="00F05F4E" w:rsidP="008278F8">
            <w:pPr>
              <w:spacing w:before="20" w:after="20" w:line="276" w:lineRule="auto"/>
              <w:ind w:right="240"/>
              <w:jc w:val="right"/>
              <w:rPr>
                <w:rFonts w:ascii="Arial" w:hAnsi="Arial" w:cs="Arial"/>
                <w:color w:val="000000"/>
                <w:sz w:val="18"/>
                <w:szCs w:val="18"/>
                <w:lang w:eastAsia="en-GB"/>
              </w:rPr>
            </w:pPr>
            <w:r>
              <w:rPr>
                <w:rFonts w:ascii="Arial" w:hAnsi="Arial" w:cs="Arial"/>
                <w:color w:val="000000"/>
                <w:sz w:val="18"/>
                <w:szCs w:val="18"/>
                <w:lang w:val="en-GB" w:eastAsia="en-GB"/>
              </w:rPr>
              <w:t>53.3</w:t>
            </w:r>
          </w:p>
        </w:tc>
        <w:tc>
          <w:tcPr>
            <w:tcW w:w="2395" w:type="dxa"/>
            <w:tcBorders>
              <w:top w:val="nil"/>
              <w:left w:val="nil"/>
              <w:bottom w:val="single" w:sz="4" w:space="0" w:color="auto"/>
              <w:right w:val="nil"/>
            </w:tcBorders>
            <w:vAlign w:val="center"/>
            <w:hideMark/>
          </w:tcPr>
          <w:p w14:paraId="0C5FCE3B" w14:textId="77777777" w:rsidR="00F05F4E" w:rsidRPr="00CD5BFE" w:rsidRDefault="00F05F4E" w:rsidP="008278F8">
            <w:pPr>
              <w:spacing w:before="20" w:after="20" w:line="276" w:lineRule="auto"/>
              <w:ind w:right="884"/>
              <w:jc w:val="right"/>
              <w:rPr>
                <w:rFonts w:ascii="Arial" w:hAnsi="Arial" w:cs="Arial"/>
                <w:color w:val="000000"/>
                <w:sz w:val="18"/>
                <w:szCs w:val="18"/>
                <w:lang w:val="en-GB" w:eastAsia="en-GB"/>
              </w:rPr>
            </w:pPr>
            <w:r w:rsidRPr="00CD5BFE">
              <w:rPr>
                <w:rFonts w:ascii="Arial" w:hAnsi="Arial" w:cs="Arial"/>
                <w:color w:val="000000"/>
                <w:sz w:val="18"/>
                <w:szCs w:val="18"/>
                <w:lang w:eastAsia="en-GB"/>
              </w:rPr>
              <w:t>-1</w:t>
            </w:r>
            <w:r>
              <w:rPr>
                <w:rFonts w:ascii="Arial" w:hAnsi="Arial" w:cs="Arial"/>
                <w:color w:val="000000"/>
                <w:sz w:val="18"/>
                <w:szCs w:val="18"/>
                <w:lang w:val="en-US" w:eastAsia="en-GB"/>
              </w:rPr>
              <w:t>0.6</w:t>
            </w:r>
          </w:p>
        </w:tc>
        <w:tc>
          <w:tcPr>
            <w:tcW w:w="1999" w:type="dxa"/>
            <w:tcBorders>
              <w:top w:val="nil"/>
              <w:left w:val="nil"/>
              <w:bottom w:val="single" w:sz="4" w:space="0" w:color="auto"/>
              <w:right w:val="nil"/>
            </w:tcBorders>
            <w:vAlign w:val="center"/>
            <w:hideMark/>
          </w:tcPr>
          <w:p w14:paraId="52776A6D" w14:textId="77777777" w:rsidR="00F05F4E" w:rsidRPr="00CD5BFE" w:rsidRDefault="00F05F4E" w:rsidP="008278F8">
            <w:pPr>
              <w:spacing w:before="20" w:after="20" w:line="276" w:lineRule="auto"/>
              <w:ind w:right="600"/>
              <w:jc w:val="right"/>
              <w:rPr>
                <w:rFonts w:ascii="Arial" w:hAnsi="Arial" w:cs="Arial"/>
                <w:color w:val="000000"/>
                <w:sz w:val="18"/>
                <w:szCs w:val="18"/>
                <w:lang w:eastAsia="en-GB"/>
              </w:rPr>
            </w:pPr>
            <w:r>
              <w:rPr>
                <w:rFonts w:ascii="Arial" w:hAnsi="Arial" w:cs="Arial"/>
                <w:color w:val="000000"/>
                <w:sz w:val="18"/>
                <w:szCs w:val="18"/>
                <w:lang w:val="en-GB" w:eastAsia="en-GB"/>
              </w:rPr>
              <w:t>11.2</w:t>
            </w:r>
          </w:p>
        </w:tc>
      </w:tr>
    </w:tbl>
    <w:p w14:paraId="47E130EE" w14:textId="77777777" w:rsidR="00F05F4E" w:rsidRDefault="00F05F4E" w:rsidP="00F05F4E">
      <w:pPr>
        <w:tabs>
          <w:tab w:val="left" w:pos="2552"/>
          <w:tab w:val="left" w:pos="2835"/>
          <w:tab w:val="left" w:pos="3402"/>
        </w:tabs>
        <w:spacing w:before="40" w:after="40" w:line="276" w:lineRule="auto"/>
        <w:ind w:firstLine="567"/>
        <w:jc w:val="both"/>
        <w:rPr>
          <w:bCs/>
          <w:sz w:val="2"/>
        </w:rPr>
      </w:pPr>
    </w:p>
    <w:p w14:paraId="251EF1E7" w14:textId="77777777" w:rsidR="00F05F4E" w:rsidRDefault="00F05F4E" w:rsidP="00F05F4E">
      <w:pPr>
        <w:spacing w:before="40" w:after="120" w:line="276" w:lineRule="auto"/>
        <w:ind w:firstLine="567"/>
        <w:jc w:val="both"/>
        <w:rPr>
          <w:bCs/>
          <w:iCs/>
          <w:spacing w:val="-2"/>
          <w:lang w:val="it-IT"/>
        </w:rPr>
      </w:pPr>
      <w:r>
        <w:rPr>
          <w:bCs/>
          <w:lang w:val="it-IT"/>
        </w:rPr>
        <w:t>Gross</w:t>
      </w:r>
      <w:r w:rsidRPr="007A5FD2">
        <w:rPr>
          <w:bCs/>
          <w:lang w:val="it-IT"/>
        </w:rPr>
        <w:t xml:space="preserve"> retail sales of goods and services </w:t>
      </w:r>
      <w:r w:rsidRPr="00EF3DD1">
        <w:rPr>
          <w:bCs/>
          <w:iCs/>
          <w:spacing w:val="-2"/>
          <w:lang w:val="it-IT"/>
        </w:rPr>
        <w:t xml:space="preserve">at current prices in January 2024 reached a higher scale than the same period in previous years due to the demand </w:t>
      </w:r>
      <w:r w:rsidRPr="00EF3DD1">
        <w:rPr>
          <w:bCs/>
          <w:iCs/>
          <w:spacing w:val="-2"/>
          <w:lang w:val="it-IT"/>
        </w:rPr>
        <w:lastRenderedPageBreak/>
        <w:t xml:space="preserve">for cultural and educational items; </w:t>
      </w:r>
      <w:r w:rsidRPr="007A5FD2">
        <w:t>household appliances</w:t>
      </w:r>
      <w:r>
        <w:t>,</w:t>
      </w:r>
      <w:r w:rsidRPr="007A5FD2">
        <w:t xml:space="preserve"> tools and equ</w:t>
      </w:r>
      <w:r>
        <w:t>ipment</w:t>
      </w:r>
      <w:r>
        <w:rPr>
          <w:lang w:val="en-US"/>
        </w:rPr>
        <w:t xml:space="preserve">; </w:t>
      </w:r>
      <w:r w:rsidRPr="00EF3DD1">
        <w:rPr>
          <w:bCs/>
          <w:iCs/>
          <w:spacing w:val="-2"/>
          <w:lang w:val="it-IT"/>
        </w:rPr>
        <w:t>accommodation, food, and travel services increased quite high compared to the same period last year.</w:t>
      </w:r>
    </w:p>
    <w:p w14:paraId="2F3303C9" w14:textId="77777777" w:rsidR="00F05F4E" w:rsidRPr="007A5FD2" w:rsidRDefault="00F05F4E" w:rsidP="00F05F4E">
      <w:pPr>
        <w:spacing w:line="276" w:lineRule="auto"/>
        <w:jc w:val="center"/>
        <w:rPr>
          <w:rFonts w:ascii="Arial" w:hAnsi="Arial" w:cs="Arial"/>
          <w:b/>
          <w:bCs/>
          <w:sz w:val="24"/>
          <w:szCs w:val="24"/>
          <w:lang w:val="it-IT"/>
        </w:rPr>
      </w:pPr>
      <w:r w:rsidRPr="007A5FD2">
        <w:rPr>
          <w:rFonts w:ascii="Arial" w:hAnsi="Arial" w:cs="Arial"/>
          <w:b/>
          <w:bCs/>
          <w:sz w:val="24"/>
          <w:szCs w:val="24"/>
          <w:lang w:val="it-IT"/>
        </w:rPr>
        <w:t xml:space="preserve">Figure 11. </w:t>
      </w:r>
      <w:r>
        <w:rPr>
          <w:rFonts w:ascii="Arial" w:hAnsi="Arial" w:cs="Arial"/>
          <w:b/>
          <w:bCs/>
          <w:sz w:val="24"/>
          <w:szCs w:val="24"/>
          <w:lang w:val="it-IT"/>
        </w:rPr>
        <w:t>Gross</w:t>
      </w:r>
      <w:r w:rsidRPr="007A5FD2">
        <w:rPr>
          <w:rFonts w:ascii="Arial" w:hAnsi="Arial" w:cs="Arial"/>
          <w:b/>
          <w:bCs/>
          <w:sz w:val="24"/>
          <w:szCs w:val="24"/>
          <w:lang w:val="it-IT"/>
        </w:rPr>
        <w:t xml:space="preserve"> retail sales of goods and services</w:t>
      </w:r>
      <w:r>
        <w:rPr>
          <w:rFonts w:ascii="Arial" w:hAnsi="Arial" w:cs="Arial"/>
          <w:b/>
          <w:bCs/>
          <w:sz w:val="24"/>
          <w:szCs w:val="24"/>
          <w:lang w:val="it-IT"/>
        </w:rPr>
        <w:t xml:space="preserve"> </w:t>
      </w:r>
    </w:p>
    <w:p w14:paraId="5324F9D4" w14:textId="77777777" w:rsidR="00F05F4E" w:rsidRDefault="00F05F4E" w:rsidP="00F05F4E">
      <w:pPr>
        <w:spacing w:after="120" w:line="276" w:lineRule="auto"/>
        <w:jc w:val="center"/>
        <w:rPr>
          <w:rFonts w:ascii="Arial" w:hAnsi="Arial" w:cs="Arial"/>
          <w:b/>
          <w:bCs/>
          <w:sz w:val="24"/>
          <w:szCs w:val="24"/>
          <w:lang w:val="it-IT"/>
        </w:rPr>
      </w:pPr>
      <w:r>
        <w:rPr>
          <w:rFonts w:ascii="Arial" w:hAnsi="Arial" w:cs="Arial"/>
          <w:b/>
          <w:bCs/>
          <w:sz w:val="24"/>
          <w:szCs w:val="24"/>
          <w:lang w:val="it-IT"/>
        </w:rPr>
        <w:t xml:space="preserve">in </w:t>
      </w:r>
      <w:r w:rsidRPr="007A5FD2">
        <w:rPr>
          <w:rFonts w:ascii="Arial" w:hAnsi="Arial" w:cs="Arial"/>
          <w:b/>
          <w:bCs/>
          <w:sz w:val="24"/>
          <w:szCs w:val="24"/>
          <w:lang w:val="it-IT"/>
        </w:rPr>
        <w:t xml:space="preserve">January </w:t>
      </w:r>
      <w:r>
        <w:rPr>
          <w:rFonts w:ascii="Arial" w:hAnsi="Arial" w:cs="Arial"/>
          <w:b/>
          <w:bCs/>
          <w:sz w:val="24"/>
          <w:szCs w:val="24"/>
          <w:lang w:val="it-IT"/>
        </w:rPr>
        <w:t xml:space="preserve">from </w:t>
      </w:r>
      <w:r w:rsidRPr="007A5FD2">
        <w:rPr>
          <w:rFonts w:ascii="Arial" w:hAnsi="Arial" w:cs="Arial"/>
          <w:b/>
          <w:bCs/>
          <w:sz w:val="24"/>
          <w:szCs w:val="24"/>
          <w:lang w:val="it-IT"/>
        </w:rPr>
        <w:t>20</w:t>
      </w:r>
      <w:r>
        <w:rPr>
          <w:rFonts w:ascii="Arial" w:hAnsi="Arial" w:cs="Arial"/>
          <w:b/>
          <w:bCs/>
          <w:sz w:val="24"/>
          <w:szCs w:val="24"/>
          <w:lang w:val="it-IT"/>
        </w:rPr>
        <w:t>20</w:t>
      </w:r>
      <w:r w:rsidRPr="007A5FD2">
        <w:rPr>
          <w:rFonts w:ascii="Arial" w:hAnsi="Arial" w:cs="Arial"/>
          <w:b/>
          <w:bCs/>
          <w:sz w:val="24"/>
          <w:szCs w:val="24"/>
          <w:lang w:val="it-IT"/>
        </w:rPr>
        <w:t>-</w:t>
      </w:r>
      <w:r>
        <w:rPr>
          <w:rFonts w:ascii="Arial" w:hAnsi="Arial" w:cs="Arial"/>
          <w:b/>
          <w:bCs/>
          <w:sz w:val="24"/>
          <w:szCs w:val="24"/>
          <w:lang w:val="it-IT"/>
        </w:rPr>
        <w:t>2024</w:t>
      </w:r>
    </w:p>
    <w:p w14:paraId="4C91229D" w14:textId="77777777" w:rsidR="00F05F4E" w:rsidRDefault="00F05F4E" w:rsidP="00F05F4E">
      <w:pPr>
        <w:spacing w:before="40" w:after="40" w:line="276" w:lineRule="auto"/>
        <w:jc w:val="center"/>
        <w:rPr>
          <w:rFonts w:ascii="Arial" w:hAnsi="Arial" w:cs="Arial"/>
          <w:b/>
          <w:bCs/>
          <w:sz w:val="24"/>
          <w:szCs w:val="24"/>
          <w:lang w:val="it-IT"/>
        </w:rPr>
      </w:pPr>
      <w:r>
        <w:rPr>
          <w:noProof/>
          <w:lang w:val="en-US"/>
        </w:rPr>
        <w:drawing>
          <wp:inline distT="0" distB="0" distL="0" distR="0" wp14:anchorId="7758921A" wp14:editId="1BE9DFC4">
            <wp:extent cx="4572000" cy="2352675"/>
            <wp:effectExtent l="0" t="0" r="0" b="9525"/>
            <wp:docPr id="1307708190" name="Chart 1307708190">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E9D0C0" w14:textId="77777777" w:rsidR="00F05F4E" w:rsidRDefault="00F05F4E" w:rsidP="00F05F4E">
      <w:pPr>
        <w:tabs>
          <w:tab w:val="left" w:pos="2552"/>
          <w:tab w:val="left" w:pos="2835"/>
          <w:tab w:val="left" w:pos="3402"/>
        </w:tabs>
        <w:spacing w:before="120" w:after="120" w:line="276" w:lineRule="auto"/>
        <w:ind w:firstLine="567"/>
        <w:jc w:val="both"/>
      </w:pPr>
      <w:r>
        <w:rPr>
          <w:i/>
          <w:lang w:val="en-US"/>
        </w:rPr>
        <w:t>R</w:t>
      </w:r>
      <w:r w:rsidRPr="007A5FD2">
        <w:rPr>
          <w:i/>
        </w:rPr>
        <w:t>etail sales of goods</w:t>
      </w:r>
      <w:r w:rsidRPr="007A5FD2">
        <w:t xml:space="preserve"> in January </w:t>
      </w:r>
      <w:r>
        <w:t>2024</w:t>
      </w:r>
      <w:r w:rsidRPr="007A5FD2">
        <w:t xml:space="preserve"> w</w:t>
      </w:r>
      <w:r>
        <w:rPr>
          <w:lang w:val="en-US"/>
        </w:rPr>
        <w:t>ere</w:t>
      </w:r>
      <w:r w:rsidRPr="007A5FD2">
        <w:t xml:space="preserve"> estimated at </w:t>
      </w:r>
      <w:r>
        <w:rPr>
          <w:lang w:val="en-US"/>
        </w:rPr>
        <w:t>407.5</w:t>
      </w:r>
      <w:r w:rsidRPr="007A5FD2">
        <w:t xml:space="preserve"> trillion VND</w:t>
      </w:r>
      <w:r>
        <w:t>,</w:t>
      </w:r>
      <w:r w:rsidRPr="007A5FD2">
        <w:t xml:space="preserve"> up </w:t>
      </w:r>
      <w:r>
        <w:rPr>
          <w:lang w:val="en-US"/>
        </w:rPr>
        <w:t>7.3</w:t>
      </w:r>
      <w:r w:rsidRPr="007A5FD2">
        <w:t>% over the same period last year</w:t>
      </w:r>
      <w:r>
        <w:t>,</w:t>
      </w:r>
      <w:r w:rsidRPr="007A5FD2">
        <w:t xml:space="preserve"> of which: </w:t>
      </w:r>
      <w:r>
        <w:rPr>
          <w:lang w:val="en-US"/>
        </w:rPr>
        <w:t>C</w:t>
      </w:r>
      <w:r w:rsidRPr="007A5FD2">
        <w:t xml:space="preserve">ultural and educational products increased by </w:t>
      </w:r>
      <w:r>
        <w:rPr>
          <w:lang w:val="en-US"/>
        </w:rPr>
        <w:t>22.5</w:t>
      </w:r>
      <w:r w:rsidRPr="007A5FD2">
        <w:t>%</w:t>
      </w:r>
      <w:r>
        <w:rPr>
          <w:lang w:val="en-US"/>
        </w:rPr>
        <w:t xml:space="preserve">; </w:t>
      </w:r>
      <w:r w:rsidRPr="007A5FD2">
        <w:t>household appliances</w:t>
      </w:r>
      <w:r>
        <w:t>,</w:t>
      </w:r>
      <w:r w:rsidRPr="007A5FD2">
        <w:t xml:space="preserve"> tools and equ</w:t>
      </w:r>
      <w:r>
        <w:t xml:space="preserve">ipment increased by </w:t>
      </w:r>
      <w:r>
        <w:rPr>
          <w:lang w:val="en-US"/>
        </w:rPr>
        <w:t>13.4</w:t>
      </w:r>
      <w:r>
        <w:t>%</w:t>
      </w:r>
      <w:r>
        <w:rPr>
          <w:lang w:val="en-US"/>
        </w:rPr>
        <w:t xml:space="preserve">;  </w:t>
      </w:r>
      <w:r>
        <w:t>food and</w:t>
      </w:r>
      <w:r w:rsidRPr="007A5FD2">
        <w:t xml:space="preserve"> foodstuffs increased by </w:t>
      </w:r>
      <w:r>
        <w:rPr>
          <w:lang w:val="en-US"/>
        </w:rPr>
        <w:t>6.2</w:t>
      </w:r>
      <w:r w:rsidRPr="007A5FD2">
        <w:t xml:space="preserve">%; means of transport increased by </w:t>
      </w:r>
      <w:r>
        <w:rPr>
          <w:lang w:val="en-US"/>
        </w:rPr>
        <w:t>2.5</w:t>
      </w:r>
      <w:r w:rsidRPr="007A5FD2">
        <w:t xml:space="preserve">%; </w:t>
      </w:r>
      <w:r>
        <w:rPr>
          <w:lang w:val="en-US"/>
        </w:rPr>
        <w:t>g</w:t>
      </w:r>
      <w:r w:rsidRPr="007A5FD2">
        <w:t xml:space="preserve">arments increased by </w:t>
      </w:r>
      <w:r>
        <w:rPr>
          <w:lang w:val="en-US"/>
        </w:rPr>
        <w:t>1.5</w:t>
      </w:r>
      <w:r>
        <w:t xml:space="preserve">%. </w:t>
      </w:r>
      <w:r w:rsidRPr="007A5FD2">
        <w:t xml:space="preserve">Retail sales of goods in January compared to the same period last year </w:t>
      </w:r>
      <w:r>
        <w:rPr>
          <w:lang w:val="en-US"/>
        </w:rPr>
        <w:t>in</w:t>
      </w:r>
      <w:r w:rsidRPr="007A5FD2">
        <w:t xml:space="preserve"> some localities: </w:t>
      </w:r>
      <w:r w:rsidRPr="00193241">
        <w:t>Quang Ninh increased by 11%; Hai Phong increased by 10.4%; Da Nang increased by 9.2%; Dong Nai increased by 8.1%; Ho Chi Minh City increased by 7.5%; Binh Duong increased by 7.0%; Ha</w:t>
      </w:r>
      <w:r>
        <w:rPr>
          <w:lang w:val="en-US"/>
        </w:rPr>
        <w:t xml:space="preserve"> N</w:t>
      </w:r>
      <w:r w:rsidRPr="00193241">
        <w:t>oi increased by 6.1%; Binh Dinh increased by 4.2%.</w:t>
      </w:r>
    </w:p>
    <w:p w14:paraId="02FA4F4A" w14:textId="77777777" w:rsidR="00F05F4E" w:rsidRDefault="00F05F4E" w:rsidP="00F05F4E">
      <w:pPr>
        <w:tabs>
          <w:tab w:val="left" w:pos="2552"/>
          <w:tab w:val="left" w:pos="2835"/>
          <w:tab w:val="left" w:pos="3402"/>
        </w:tabs>
        <w:spacing w:after="120" w:line="276" w:lineRule="auto"/>
        <w:ind w:firstLine="567"/>
        <w:jc w:val="both"/>
        <w:rPr>
          <w:bCs/>
          <w:lang w:val="en-US"/>
        </w:rPr>
      </w:pPr>
      <w:r w:rsidRPr="003D7B05">
        <w:rPr>
          <w:bCs/>
          <w:i/>
        </w:rPr>
        <w:t>Revenue from accommodation and catering services</w:t>
      </w:r>
      <w:r w:rsidRPr="007A5FD2">
        <w:rPr>
          <w:bCs/>
        </w:rPr>
        <w:t xml:space="preserve"> in January </w:t>
      </w:r>
      <w:r>
        <w:rPr>
          <w:bCs/>
        </w:rPr>
        <w:t>2024</w:t>
      </w:r>
      <w:r w:rsidRPr="007A5FD2">
        <w:rPr>
          <w:bCs/>
        </w:rPr>
        <w:t xml:space="preserve"> was estimated at </w:t>
      </w:r>
      <w:r>
        <w:rPr>
          <w:bCs/>
          <w:lang w:val="en-US"/>
        </w:rPr>
        <w:t>58.9</w:t>
      </w:r>
      <w:r w:rsidRPr="007A5FD2">
        <w:rPr>
          <w:bCs/>
        </w:rPr>
        <w:t xml:space="preserve"> trillion</w:t>
      </w:r>
      <w:r>
        <w:rPr>
          <w:bCs/>
          <w:lang w:val="en-US"/>
        </w:rPr>
        <w:t xml:space="preserve"> </w:t>
      </w:r>
      <w:r w:rsidRPr="007A5FD2">
        <w:rPr>
          <w:bCs/>
        </w:rPr>
        <w:t>VND</w:t>
      </w:r>
      <w:r>
        <w:rPr>
          <w:bCs/>
        </w:rPr>
        <w:t>,</w:t>
      </w:r>
      <w:r w:rsidRPr="007A5FD2">
        <w:rPr>
          <w:bCs/>
        </w:rPr>
        <w:t xml:space="preserve"> up </w:t>
      </w:r>
      <w:r>
        <w:rPr>
          <w:bCs/>
          <w:lang w:val="en-US"/>
        </w:rPr>
        <w:t>10.2</w:t>
      </w:r>
      <w:r w:rsidRPr="007A5FD2">
        <w:rPr>
          <w:bCs/>
        </w:rPr>
        <w:t>% over the same period last year</w:t>
      </w:r>
      <w:r>
        <w:rPr>
          <w:bCs/>
          <w:lang w:val="en-US"/>
        </w:rPr>
        <w:t xml:space="preserve">. </w:t>
      </w:r>
      <w:r w:rsidRPr="00EF0D17">
        <w:rPr>
          <w:bCs/>
          <w:lang w:val="en-US"/>
        </w:rPr>
        <w:t xml:space="preserve">Revenue in January 2024 compared to the same period last year of some localities </w:t>
      </w:r>
      <w:r>
        <w:rPr>
          <w:bCs/>
          <w:lang w:val="en-US"/>
        </w:rPr>
        <w:t>was</w:t>
      </w:r>
      <w:r w:rsidRPr="00EF0D17">
        <w:rPr>
          <w:bCs/>
          <w:lang w:val="en-US"/>
        </w:rPr>
        <w:t xml:space="preserve"> as follows</w:t>
      </w:r>
      <w:r>
        <w:rPr>
          <w:bCs/>
          <w:lang w:val="en-US"/>
        </w:rPr>
        <w:t xml:space="preserve">: </w:t>
      </w:r>
      <w:r w:rsidRPr="00EF0D17">
        <w:rPr>
          <w:bCs/>
          <w:lang w:val="en-US"/>
        </w:rPr>
        <w:t>Da Nang increased by 29.9%; Ho Chi Minh City increased by 14.7%; Ha</w:t>
      </w:r>
      <w:r>
        <w:rPr>
          <w:bCs/>
          <w:lang w:val="en-US"/>
        </w:rPr>
        <w:t xml:space="preserve"> N</w:t>
      </w:r>
      <w:r w:rsidRPr="00EF0D17">
        <w:rPr>
          <w:bCs/>
          <w:lang w:val="en-US"/>
        </w:rPr>
        <w:t>oi increased by 10.8%; Thua Thien - Hue increased by 9.3%; Bac Ninh increased by 8.1%; Binh Dinh increased by 7.0%; Binh Duong increased by 6.6%.</w:t>
      </w:r>
    </w:p>
    <w:p w14:paraId="57C06EF9" w14:textId="77777777" w:rsidR="00F05F4E" w:rsidRPr="002B56C3" w:rsidRDefault="00F05F4E" w:rsidP="00F05F4E">
      <w:pPr>
        <w:tabs>
          <w:tab w:val="left" w:pos="720"/>
          <w:tab w:val="left" w:pos="2552"/>
          <w:tab w:val="left" w:pos="3402"/>
        </w:tabs>
        <w:spacing w:after="120" w:line="276" w:lineRule="auto"/>
        <w:ind w:firstLine="567"/>
        <w:jc w:val="both"/>
        <w:rPr>
          <w:bCs/>
        </w:rPr>
      </w:pPr>
      <w:r w:rsidRPr="002B56C3">
        <w:rPr>
          <w:bCs/>
        </w:rPr>
        <w:tab/>
      </w:r>
      <w:r w:rsidRPr="00370C9A">
        <w:rPr>
          <w:bCs/>
          <w:i/>
        </w:rPr>
        <w:t xml:space="preserve">Revenue from tourism and travel services </w:t>
      </w:r>
      <w:r w:rsidRPr="00370C9A">
        <w:rPr>
          <w:bCs/>
          <w:iCs/>
        </w:rPr>
        <w:t xml:space="preserve">in January </w:t>
      </w:r>
      <w:r>
        <w:rPr>
          <w:bCs/>
          <w:iCs/>
        </w:rPr>
        <w:t>2024</w:t>
      </w:r>
      <w:r w:rsidRPr="00370C9A">
        <w:rPr>
          <w:bCs/>
          <w:iCs/>
        </w:rPr>
        <w:t xml:space="preserve"> was estimated at </w:t>
      </w:r>
      <w:r>
        <w:rPr>
          <w:bCs/>
          <w:iCs/>
          <w:lang w:val="en-US"/>
        </w:rPr>
        <w:t>4.4</w:t>
      </w:r>
      <w:r w:rsidRPr="00370C9A">
        <w:rPr>
          <w:bCs/>
          <w:iCs/>
        </w:rPr>
        <w:t xml:space="preserve"> trillion VND</w:t>
      </w:r>
      <w:r>
        <w:rPr>
          <w:bCs/>
          <w:iCs/>
        </w:rPr>
        <w:t>,</w:t>
      </w:r>
      <w:r w:rsidRPr="00370C9A">
        <w:rPr>
          <w:bCs/>
          <w:iCs/>
        </w:rPr>
        <w:t xml:space="preserve"> up </w:t>
      </w:r>
      <w:r>
        <w:rPr>
          <w:bCs/>
          <w:iCs/>
          <w:lang w:val="en-US"/>
        </w:rPr>
        <w:t>18.5</w:t>
      </w:r>
      <w:r w:rsidRPr="00370C9A">
        <w:rPr>
          <w:bCs/>
          <w:iCs/>
        </w:rPr>
        <w:t>% percent over the same period last year</w:t>
      </w:r>
      <w:r>
        <w:rPr>
          <w:bCs/>
          <w:iCs/>
          <w:lang w:val="en-US"/>
        </w:rPr>
        <w:t xml:space="preserve">. </w:t>
      </w:r>
      <w:r w:rsidRPr="00EF0D17">
        <w:rPr>
          <w:bCs/>
          <w:lang w:val="en-US"/>
        </w:rPr>
        <w:t xml:space="preserve">Revenue in January 2024 compared to the same period last year of some localities </w:t>
      </w:r>
      <w:r>
        <w:rPr>
          <w:bCs/>
          <w:lang w:val="en-US"/>
        </w:rPr>
        <w:t>was</w:t>
      </w:r>
      <w:r w:rsidRPr="00EF0D17">
        <w:rPr>
          <w:bCs/>
          <w:lang w:val="en-US"/>
        </w:rPr>
        <w:t xml:space="preserve"> as follows</w:t>
      </w:r>
      <w:r w:rsidRPr="00370C9A">
        <w:rPr>
          <w:bCs/>
          <w:iCs/>
        </w:rPr>
        <w:t xml:space="preserve">: </w:t>
      </w:r>
      <w:r w:rsidRPr="00EF0D17">
        <w:rPr>
          <w:bCs/>
          <w:iCs/>
        </w:rPr>
        <w:t>Ha</w:t>
      </w:r>
      <w:r>
        <w:rPr>
          <w:bCs/>
          <w:iCs/>
          <w:lang w:val="en-US"/>
        </w:rPr>
        <w:t xml:space="preserve"> N</w:t>
      </w:r>
      <w:r w:rsidRPr="00EF0D17">
        <w:rPr>
          <w:bCs/>
          <w:iCs/>
        </w:rPr>
        <w:t>oi increased by 24.4%; Ho Chi Minh City increased by 22.8%; Dong Nai increased by 9.1%; Quang Ninh increased by 9%; Hai Phong increased by 4.9%; Kien Giang decreased by 3.9%; Tra Vinh decreased by 5.7%; Binh Thuan decreased by 7.2%; Phu Yen decreased by 24.6%.</w:t>
      </w:r>
    </w:p>
    <w:p w14:paraId="0C6E1CEE" w14:textId="77777777" w:rsidR="00F05F4E" w:rsidRDefault="00F05F4E" w:rsidP="00F05F4E">
      <w:pPr>
        <w:tabs>
          <w:tab w:val="left" w:pos="900"/>
          <w:tab w:val="left" w:pos="9475"/>
        </w:tabs>
        <w:spacing w:after="120" w:line="276" w:lineRule="auto"/>
        <w:ind w:firstLine="567"/>
        <w:jc w:val="both"/>
        <w:rPr>
          <w:bCs/>
        </w:rPr>
      </w:pPr>
      <w:r w:rsidRPr="00204454">
        <w:rPr>
          <w:bCs/>
          <w:i/>
        </w:rPr>
        <w:lastRenderedPageBreak/>
        <w:t>Other service revenue</w:t>
      </w:r>
      <w:r w:rsidRPr="00204454">
        <w:rPr>
          <w:bCs/>
        </w:rPr>
        <w:t xml:space="preserve"> in January </w:t>
      </w:r>
      <w:r>
        <w:rPr>
          <w:bCs/>
        </w:rPr>
        <w:t>2024</w:t>
      </w:r>
      <w:r w:rsidRPr="00204454">
        <w:rPr>
          <w:bCs/>
        </w:rPr>
        <w:t xml:space="preserve"> was estimated at </w:t>
      </w:r>
      <w:r>
        <w:rPr>
          <w:bCs/>
          <w:lang w:val="en-US"/>
        </w:rPr>
        <w:t>53.2</w:t>
      </w:r>
      <w:r w:rsidRPr="00204454">
        <w:rPr>
          <w:bCs/>
        </w:rPr>
        <w:t xml:space="preserve"> trillion VND</w:t>
      </w:r>
      <w:r>
        <w:rPr>
          <w:bCs/>
          <w:lang w:val="en-US"/>
        </w:rPr>
        <w:t>,</w:t>
      </w:r>
      <w:r w:rsidRPr="00204454">
        <w:rPr>
          <w:bCs/>
        </w:rPr>
        <w:t xml:space="preserve"> up </w:t>
      </w:r>
      <w:r>
        <w:rPr>
          <w:bCs/>
          <w:lang w:val="en-US"/>
        </w:rPr>
        <w:t>11.2</w:t>
      </w:r>
      <w:r w:rsidRPr="00204454">
        <w:rPr>
          <w:bCs/>
        </w:rPr>
        <w:t>% over the same period last year</w:t>
      </w:r>
      <w:r>
        <w:rPr>
          <w:bCs/>
          <w:lang w:val="en-US"/>
        </w:rPr>
        <w:t xml:space="preserve">. </w:t>
      </w:r>
      <w:r w:rsidRPr="00EF0D17">
        <w:rPr>
          <w:bCs/>
          <w:lang w:val="en-US"/>
        </w:rPr>
        <w:t>The increase</w:t>
      </w:r>
      <w:r>
        <w:rPr>
          <w:bCs/>
          <w:lang w:val="en-US"/>
        </w:rPr>
        <w:t>/</w:t>
      </w:r>
      <w:r w:rsidRPr="00EF0D17">
        <w:rPr>
          <w:bCs/>
          <w:lang w:val="en-US"/>
        </w:rPr>
        <w:t>decrease in January 2024 compared to the same period last year of some localities are as follows:</w:t>
      </w:r>
      <w:r>
        <w:rPr>
          <w:bCs/>
          <w:lang w:val="en-US"/>
        </w:rPr>
        <w:t xml:space="preserve"> </w:t>
      </w:r>
      <w:r w:rsidRPr="00EF0D17">
        <w:rPr>
          <w:bCs/>
        </w:rPr>
        <w:t>Ho Chi Minh City increased by 17.2%; Lam Dong increased by 15.3%; Can Tho increased by 13.7%; Kien Giang increased by 11.8%; Ha Tinh increased by 10.8%; Binh Duong increased by 9.4%; H</w:t>
      </w:r>
      <w:r>
        <w:rPr>
          <w:bCs/>
        </w:rPr>
        <w:t xml:space="preserve">ai Phong increased by 8.4%; Ha </w:t>
      </w:r>
      <w:r>
        <w:rPr>
          <w:bCs/>
          <w:lang w:val="en-US"/>
        </w:rPr>
        <w:t>N</w:t>
      </w:r>
      <w:r w:rsidRPr="00EF0D17">
        <w:rPr>
          <w:bCs/>
        </w:rPr>
        <w:t>oi increased by 6.5%; Ninh Binh increased by 5.3%; Thua Thien - Hue decreased by 2.3%; Thai Nguyen decreased by 5.8%; Phu Tho decreased by 8.8%; Da Nang decreased by 34.9%.</w:t>
      </w:r>
    </w:p>
    <w:p w14:paraId="24AD6D17" w14:textId="3F58C811" w:rsidR="0090698A" w:rsidRPr="0090698A" w:rsidRDefault="0090698A" w:rsidP="0090698A">
      <w:pPr>
        <w:tabs>
          <w:tab w:val="left" w:pos="900"/>
        </w:tabs>
        <w:spacing w:before="40" w:after="40" w:line="288" w:lineRule="auto"/>
        <w:ind w:firstLine="567"/>
        <w:jc w:val="both"/>
        <w:rPr>
          <w:rStyle w:val="Strong"/>
          <w:i/>
          <w:lang w:val="de-DE"/>
        </w:rPr>
      </w:pPr>
      <w:r w:rsidRPr="0090698A">
        <w:rPr>
          <w:rStyle w:val="Strong"/>
          <w:i/>
          <w:lang w:val="de-DE"/>
        </w:rPr>
        <w:t>b</w:t>
      </w:r>
      <w:r w:rsidR="006B1D19">
        <w:rPr>
          <w:rStyle w:val="Strong"/>
          <w:i/>
          <w:lang w:val="de-DE"/>
        </w:rPr>
        <w:t>)</w:t>
      </w:r>
      <w:r w:rsidRPr="0090698A">
        <w:rPr>
          <w:rStyle w:val="Strong"/>
          <w:i/>
          <w:lang w:val="de-DE"/>
        </w:rPr>
        <w:t xml:space="preserve"> </w:t>
      </w:r>
      <w:r w:rsidRPr="0090698A">
        <w:rPr>
          <w:rStyle w:val="Strong"/>
          <w:i/>
          <w:lang w:val="en-US"/>
        </w:rPr>
        <w:t>Export and import of goods</w:t>
      </w:r>
      <w:r w:rsidRPr="0090698A">
        <w:rPr>
          <w:rStyle w:val="FootnoteReference"/>
          <w:b/>
          <w:bCs/>
          <w:i/>
          <w:lang w:val="de-DE"/>
        </w:rPr>
        <w:t xml:space="preserve"> </w:t>
      </w:r>
      <w:r w:rsidRPr="0090698A">
        <w:rPr>
          <w:rStyle w:val="FootnoteReference"/>
          <w:b/>
          <w:bCs/>
          <w:i/>
          <w:lang w:val="de-DE"/>
        </w:rPr>
        <w:footnoteReference w:id="13"/>
      </w:r>
    </w:p>
    <w:p w14:paraId="2C3EDFCD" w14:textId="77777777" w:rsidR="0090698A" w:rsidRDefault="0090698A" w:rsidP="0090698A">
      <w:pPr>
        <w:tabs>
          <w:tab w:val="left" w:pos="900"/>
          <w:tab w:val="left" w:pos="9475"/>
        </w:tabs>
        <w:spacing w:before="40" w:after="40" w:line="288" w:lineRule="auto"/>
        <w:ind w:firstLine="567"/>
        <w:jc w:val="both"/>
        <w:rPr>
          <w:i/>
          <w:iCs/>
          <w:lang w:val="en-US"/>
        </w:rPr>
      </w:pPr>
      <w:r w:rsidRPr="00DF7D9B">
        <w:rPr>
          <w:i/>
          <w:lang w:val="de-DE"/>
        </w:rPr>
        <w:t>The number of working days in January 2024 is more than January 2023 (the month in which the Lunar New Year takes place entirely), so the export and import turnover of goods in January 2024 compared to the same period last year is the same. increase.</w:t>
      </w:r>
      <w:r>
        <w:rPr>
          <w:i/>
          <w:lang w:val="de-DE"/>
        </w:rPr>
        <w:t xml:space="preserve"> T</w:t>
      </w:r>
      <w:r w:rsidRPr="00F92C22">
        <w:rPr>
          <w:i/>
          <w:lang w:val="de-DE"/>
        </w:rPr>
        <w:t>he import and export turnover</w:t>
      </w:r>
      <w:r>
        <w:rPr>
          <w:i/>
          <w:lang w:val="de-DE"/>
        </w:rPr>
        <w:t xml:space="preserve"> of goods</w:t>
      </w:r>
      <w:r w:rsidRPr="006F47C2">
        <w:rPr>
          <w:rFonts w:ascii="Times New Roman Italic" w:hAnsi="Times New Roman Italic"/>
          <w:i/>
          <w:iCs/>
          <w:vertAlign w:val="superscript"/>
          <w:lang w:val="en-US"/>
        </w:rPr>
        <w:footnoteReference w:id="14"/>
      </w:r>
      <w:r w:rsidRPr="00F92C22">
        <w:rPr>
          <w:i/>
          <w:lang w:val="de-DE"/>
        </w:rPr>
        <w:t xml:space="preserve"> </w:t>
      </w:r>
      <w:r>
        <w:rPr>
          <w:i/>
          <w:lang w:val="de-DE"/>
        </w:rPr>
        <w:t xml:space="preserve">in January 2024 </w:t>
      </w:r>
      <w:r w:rsidRPr="00F92C22">
        <w:rPr>
          <w:i/>
          <w:lang w:val="de-DE"/>
        </w:rPr>
        <w:t xml:space="preserve">was estimated at </w:t>
      </w:r>
      <w:r>
        <w:rPr>
          <w:i/>
          <w:lang w:val="de-DE"/>
        </w:rPr>
        <w:t>64.22</w:t>
      </w:r>
      <w:r w:rsidRPr="00F92C22">
        <w:rPr>
          <w:i/>
          <w:lang w:val="de-DE"/>
        </w:rPr>
        <w:t xml:space="preserve"> billion USD, went </w:t>
      </w:r>
      <w:r>
        <w:rPr>
          <w:i/>
          <w:lang w:val="de-DE"/>
        </w:rPr>
        <w:t>up</w:t>
      </w:r>
      <w:r w:rsidRPr="00F92C22">
        <w:rPr>
          <w:i/>
          <w:lang w:val="de-DE"/>
        </w:rPr>
        <w:t xml:space="preserve"> </w:t>
      </w:r>
      <w:r>
        <w:rPr>
          <w:i/>
          <w:lang w:val="de-DE"/>
        </w:rPr>
        <w:t>1</w:t>
      </w:r>
      <w:r w:rsidRPr="00F92C22">
        <w:rPr>
          <w:i/>
          <w:lang w:val="de-DE"/>
        </w:rPr>
        <w:t>7</w:t>
      </w:r>
      <w:r>
        <w:rPr>
          <w:i/>
          <w:lang w:val="de-DE"/>
        </w:rPr>
        <w:t>.1</w:t>
      </w:r>
      <w:r w:rsidRPr="00F92C22">
        <w:rPr>
          <w:i/>
          <w:lang w:val="de-DE"/>
        </w:rPr>
        <w:t>% compared to the same period last year</w:t>
      </w:r>
      <w:r>
        <w:rPr>
          <w:i/>
          <w:lang w:val="de-DE"/>
        </w:rPr>
        <w:t>,</w:t>
      </w:r>
      <w:r w:rsidRPr="00F92C22">
        <w:rPr>
          <w:i/>
          <w:lang w:val="de-DE"/>
        </w:rPr>
        <w:t xml:space="preserve"> of which exports </w:t>
      </w:r>
      <w:r>
        <w:rPr>
          <w:i/>
          <w:lang w:val="de-DE"/>
        </w:rPr>
        <w:t>in</w:t>
      </w:r>
      <w:r w:rsidRPr="00F92C22">
        <w:rPr>
          <w:i/>
          <w:lang w:val="de-DE"/>
        </w:rPr>
        <w:t xml:space="preserve">creased by </w:t>
      </w:r>
      <w:r>
        <w:rPr>
          <w:i/>
          <w:lang w:val="de-DE"/>
        </w:rPr>
        <w:t>42</w:t>
      </w:r>
      <w:r w:rsidRPr="00F92C22">
        <w:rPr>
          <w:i/>
          <w:lang w:val="de-DE"/>
        </w:rPr>
        <w:t xml:space="preserve">%; imports </w:t>
      </w:r>
      <w:r>
        <w:rPr>
          <w:i/>
          <w:lang w:val="de-DE"/>
        </w:rPr>
        <w:t>in</w:t>
      </w:r>
      <w:r w:rsidRPr="00F92C22">
        <w:rPr>
          <w:i/>
          <w:lang w:val="de-DE"/>
        </w:rPr>
        <w:t xml:space="preserve">creased by </w:t>
      </w:r>
      <w:r>
        <w:rPr>
          <w:i/>
          <w:lang w:val="de-DE"/>
        </w:rPr>
        <w:t>33.3</w:t>
      </w:r>
      <w:r w:rsidRPr="00F92C22">
        <w:rPr>
          <w:i/>
          <w:lang w:val="de-DE"/>
        </w:rPr>
        <w:t>%</w:t>
      </w:r>
      <w:r w:rsidRPr="000B4588">
        <w:rPr>
          <w:i/>
          <w:vertAlign w:val="superscript"/>
          <w:lang w:val="es-NI"/>
        </w:rPr>
        <w:footnoteReference w:id="15"/>
      </w:r>
      <w:r w:rsidRPr="000B4588">
        <w:rPr>
          <w:i/>
          <w:lang w:val="es-NI"/>
        </w:rPr>
        <w:t xml:space="preserve">. </w:t>
      </w:r>
      <w:r w:rsidRPr="00ED2378">
        <w:rPr>
          <w:i/>
          <w:iCs/>
          <w:lang w:val="en-US"/>
        </w:rPr>
        <w:t xml:space="preserve">The trade balance of goods in </w:t>
      </w:r>
      <w:r>
        <w:rPr>
          <w:i/>
          <w:iCs/>
          <w:lang w:val="en-US"/>
        </w:rPr>
        <w:t xml:space="preserve">January </w:t>
      </w:r>
      <w:r w:rsidRPr="00ED2378">
        <w:rPr>
          <w:i/>
          <w:iCs/>
          <w:lang w:val="en-US"/>
        </w:rPr>
        <w:t>202</w:t>
      </w:r>
      <w:r>
        <w:rPr>
          <w:i/>
          <w:iCs/>
          <w:lang w:val="en-US"/>
        </w:rPr>
        <w:t>4</w:t>
      </w:r>
      <w:r w:rsidRPr="00ED2378">
        <w:rPr>
          <w:i/>
          <w:iCs/>
          <w:lang w:val="en-US"/>
        </w:rPr>
        <w:t xml:space="preserve"> was estimated to have a trade surplus of </w:t>
      </w:r>
      <w:r>
        <w:rPr>
          <w:i/>
          <w:iCs/>
          <w:lang w:val="en-US"/>
        </w:rPr>
        <w:t>2.92</w:t>
      </w:r>
      <w:r w:rsidRPr="00ED2378">
        <w:rPr>
          <w:i/>
          <w:iCs/>
          <w:lang w:val="en-US"/>
        </w:rPr>
        <w:t xml:space="preserve"> billion USD</w:t>
      </w:r>
      <w:r>
        <w:rPr>
          <w:i/>
          <w:iCs/>
          <w:lang w:val="en-US"/>
        </w:rPr>
        <w:t>.</w:t>
      </w:r>
    </w:p>
    <w:p w14:paraId="031C8A27" w14:textId="77777777" w:rsidR="0090698A" w:rsidRDefault="0090698A" w:rsidP="0090698A">
      <w:pPr>
        <w:tabs>
          <w:tab w:val="left" w:pos="900"/>
          <w:tab w:val="left" w:pos="9475"/>
        </w:tabs>
        <w:spacing w:before="40" w:after="40" w:line="288" w:lineRule="auto"/>
        <w:ind w:firstLine="567"/>
        <w:jc w:val="center"/>
        <w:rPr>
          <w:rFonts w:ascii="Arial" w:hAnsi="Arial" w:cs="Arial"/>
          <w:b/>
          <w:bCs/>
          <w:sz w:val="24"/>
          <w:szCs w:val="24"/>
          <w:lang w:val="es-NI"/>
        </w:rPr>
      </w:pPr>
      <w:r w:rsidRPr="00DE01CB">
        <w:rPr>
          <w:rFonts w:ascii="Arial" w:hAnsi="Arial" w:cs="Arial"/>
          <w:b/>
          <w:bCs/>
          <w:sz w:val="24"/>
          <w:szCs w:val="24"/>
          <w:lang w:val="es-NI"/>
        </w:rPr>
        <w:t xml:space="preserve">Figure 15. Export and import of goods in </w:t>
      </w:r>
      <w:r>
        <w:rPr>
          <w:rFonts w:ascii="Arial" w:hAnsi="Arial" w:cs="Arial"/>
          <w:b/>
          <w:bCs/>
          <w:sz w:val="24"/>
          <w:szCs w:val="24"/>
          <w:lang w:val="es-NI"/>
        </w:rPr>
        <w:t>January 2024</w:t>
      </w:r>
    </w:p>
    <w:p w14:paraId="78ECA300" w14:textId="77777777" w:rsidR="0090698A" w:rsidRPr="007D2C55" w:rsidRDefault="0090698A" w:rsidP="0090698A">
      <w:pPr>
        <w:tabs>
          <w:tab w:val="left" w:pos="900"/>
          <w:tab w:val="left" w:pos="9475"/>
        </w:tabs>
        <w:spacing w:before="40" w:after="40" w:line="264" w:lineRule="auto"/>
        <w:ind w:right="119"/>
        <w:jc w:val="center"/>
        <w:rPr>
          <w:i/>
          <w:spacing w:val="2"/>
          <w:sz w:val="12"/>
          <w:szCs w:val="10"/>
          <w:lang w:val="es-NI"/>
        </w:rPr>
      </w:pPr>
    </w:p>
    <w:p w14:paraId="293636FB" w14:textId="77777777" w:rsidR="0090698A" w:rsidRPr="00525F32" w:rsidRDefault="0090698A" w:rsidP="0090698A">
      <w:pPr>
        <w:tabs>
          <w:tab w:val="left" w:pos="900"/>
          <w:tab w:val="left" w:pos="9475"/>
        </w:tabs>
        <w:spacing w:before="40" w:after="40" w:line="264" w:lineRule="auto"/>
        <w:ind w:right="119"/>
        <w:jc w:val="center"/>
        <w:rPr>
          <w:i/>
          <w:spacing w:val="2"/>
          <w:lang w:val="es-NI"/>
        </w:rPr>
      </w:pPr>
      <w:r>
        <w:rPr>
          <w:noProof/>
        </w:rPr>
        <w:drawing>
          <wp:inline distT="0" distB="0" distL="0" distR="0" wp14:anchorId="74ED14B8" wp14:editId="4640D938">
            <wp:extent cx="5530582" cy="1802921"/>
            <wp:effectExtent l="0" t="0" r="0" b="6985"/>
            <wp:docPr id="9404252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2528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538433" cy="1805480"/>
                    </a:xfrm>
                    <a:prstGeom prst="rect">
                      <a:avLst/>
                    </a:prstGeom>
                  </pic:spPr>
                </pic:pic>
              </a:graphicData>
            </a:graphic>
          </wp:inline>
        </w:drawing>
      </w:r>
    </w:p>
    <w:p w14:paraId="1FE80F08" w14:textId="77777777" w:rsidR="0090698A" w:rsidRPr="008816F9" w:rsidRDefault="0090698A" w:rsidP="0090698A">
      <w:pPr>
        <w:tabs>
          <w:tab w:val="left" w:pos="900"/>
          <w:tab w:val="left" w:pos="9475"/>
        </w:tabs>
        <w:spacing w:before="40" w:after="40" w:line="264" w:lineRule="auto"/>
        <w:ind w:right="119" w:firstLine="567"/>
        <w:jc w:val="both"/>
        <w:rPr>
          <w:rStyle w:val="Strong"/>
          <w:i/>
          <w:iCs/>
          <w:color w:val="000000" w:themeColor="text1"/>
          <w:sz w:val="2"/>
          <w:szCs w:val="4"/>
          <w:lang w:val="de-DE"/>
        </w:rPr>
      </w:pPr>
    </w:p>
    <w:p w14:paraId="24956333" w14:textId="77777777" w:rsidR="0090698A" w:rsidRPr="006D1316" w:rsidRDefault="0090698A" w:rsidP="0090698A">
      <w:pPr>
        <w:spacing w:before="40" w:after="40" w:line="269" w:lineRule="auto"/>
        <w:ind w:firstLine="567"/>
        <w:jc w:val="both"/>
        <w:rPr>
          <w:rStyle w:val="Strong"/>
          <w:i/>
          <w:iCs/>
          <w:color w:val="000000" w:themeColor="text1"/>
          <w:sz w:val="2"/>
          <w:lang w:val="de-DE"/>
        </w:rPr>
      </w:pPr>
    </w:p>
    <w:p w14:paraId="120B6556" w14:textId="77777777" w:rsidR="0090698A" w:rsidRDefault="0090698A" w:rsidP="0090698A">
      <w:pPr>
        <w:tabs>
          <w:tab w:val="num" w:pos="0"/>
          <w:tab w:val="left" w:pos="9475"/>
        </w:tabs>
        <w:spacing w:before="40" w:after="40" w:line="288" w:lineRule="auto"/>
        <w:ind w:right="6" w:firstLine="567"/>
        <w:jc w:val="both"/>
        <w:rPr>
          <w:bCs/>
          <w:lang w:val="de-DE"/>
        </w:rPr>
      </w:pPr>
      <w:r w:rsidRPr="00641159">
        <w:rPr>
          <w:b/>
          <w:bCs/>
          <w:i/>
          <w:iCs/>
          <w:lang w:val="de-DE"/>
        </w:rPr>
        <w:t>Export of goods</w:t>
      </w:r>
      <w:r w:rsidRPr="00BC5895">
        <w:rPr>
          <w:bCs/>
          <w:lang w:val="de-DE"/>
        </w:rPr>
        <w:t xml:space="preserve"> </w:t>
      </w:r>
    </w:p>
    <w:p w14:paraId="5A3B447F" w14:textId="77777777" w:rsidR="0090698A" w:rsidRPr="00D64BE4" w:rsidRDefault="0090698A" w:rsidP="0090698A">
      <w:pPr>
        <w:tabs>
          <w:tab w:val="num" w:pos="0"/>
        </w:tabs>
        <w:spacing w:before="40" w:after="40" w:line="288" w:lineRule="auto"/>
        <w:ind w:firstLine="562"/>
        <w:jc w:val="both"/>
        <w:rPr>
          <w:bCs/>
          <w:lang w:val="en-US"/>
        </w:rPr>
      </w:pPr>
      <w:bookmarkStart w:id="3" w:name="_Hlk60146518"/>
      <w:r w:rsidRPr="00F7354A">
        <w:rPr>
          <w:bCs/>
          <w:lang w:val="en-US"/>
        </w:rPr>
        <w:t xml:space="preserve">Preliminary export turnover of goods </w:t>
      </w:r>
      <w:r w:rsidRPr="00D64BE4">
        <w:rPr>
          <w:bCs/>
          <w:lang w:val="en-US"/>
        </w:rPr>
        <w:t xml:space="preserve">in </w:t>
      </w:r>
      <w:r>
        <w:rPr>
          <w:bCs/>
          <w:lang w:val="en-US"/>
        </w:rPr>
        <w:t>December</w:t>
      </w:r>
      <w:r w:rsidRPr="00D64BE4">
        <w:rPr>
          <w:bCs/>
          <w:lang w:val="en-US"/>
        </w:rPr>
        <w:t xml:space="preserve"> </w:t>
      </w:r>
      <w:r>
        <w:rPr>
          <w:bCs/>
          <w:lang w:val="en-US"/>
        </w:rPr>
        <w:t>2023</w:t>
      </w:r>
      <w:r w:rsidRPr="00D64BE4">
        <w:rPr>
          <w:bCs/>
          <w:lang w:val="en-US"/>
        </w:rPr>
        <w:t xml:space="preserve"> reached </w:t>
      </w:r>
      <w:r>
        <w:rPr>
          <w:bCs/>
          <w:lang w:val="en-US"/>
        </w:rPr>
        <w:t>31.47</w:t>
      </w:r>
      <w:r w:rsidRPr="00D64BE4">
        <w:rPr>
          <w:bCs/>
          <w:lang w:val="en-US"/>
        </w:rPr>
        <w:t xml:space="preserve"> </w:t>
      </w:r>
      <w:r>
        <w:rPr>
          <w:bCs/>
          <w:lang w:val="en-US"/>
        </w:rPr>
        <w:t>b</w:t>
      </w:r>
      <w:r w:rsidRPr="00D64BE4">
        <w:rPr>
          <w:bCs/>
          <w:lang w:val="en-US"/>
        </w:rPr>
        <w:t xml:space="preserve">illion USD, </w:t>
      </w:r>
      <w:r>
        <w:rPr>
          <w:bCs/>
          <w:lang w:val="en-US"/>
        </w:rPr>
        <w:t>1.45</w:t>
      </w:r>
      <w:r w:rsidRPr="00D64BE4">
        <w:rPr>
          <w:bCs/>
          <w:lang w:val="en-US"/>
        </w:rPr>
        <w:t xml:space="preserve"> </w:t>
      </w:r>
      <w:r>
        <w:rPr>
          <w:bCs/>
          <w:lang w:val="en-US"/>
        </w:rPr>
        <w:t>b</w:t>
      </w:r>
      <w:r w:rsidRPr="00D64BE4">
        <w:rPr>
          <w:bCs/>
          <w:lang w:val="en-US"/>
        </w:rPr>
        <w:t xml:space="preserve">illion USD </w:t>
      </w:r>
      <w:r>
        <w:rPr>
          <w:bCs/>
          <w:lang w:val="en-US"/>
        </w:rPr>
        <w:t>low</w:t>
      </w:r>
      <w:r w:rsidRPr="00D64BE4">
        <w:rPr>
          <w:bCs/>
          <w:lang w:val="en-US"/>
        </w:rPr>
        <w:t xml:space="preserve">er than </w:t>
      </w:r>
      <w:r>
        <w:rPr>
          <w:bCs/>
          <w:lang w:val="en-US"/>
        </w:rPr>
        <w:t xml:space="preserve">the </w:t>
      </w:r>
      <w:r w:rsidRPr="00D64BE4">
        <w:rPr>
          <w:bCs/>
          <w:lang w:val="en-US"/>
        </w:rPr>
        <w:t>estimated figure</w:t>
      </w:r>
      <w:bookmarkEnd w:id="3"/>
      <w:r w:rsidRPr="00D64BE4">
        <w:rPr>
          <w:bCs/>
          <w:lang w:val="en-US"/>
        </w:rPr>
        <w:t>.</w:t>
      </w:r>
    </w:p>
    <w:p w14:paraId="2EBF9514" w14:textId="77777777" w:rsidR="0090698A" w:rsidRPr="008B7D77" w:rsidRDefault="0090698A" w:rsidP="0090698A">
      <w:pPr>
        <w:tabs>
          <w:tab w:val="num" w:pos="0"/>
        </w:tabs>
        <w:spacing w:before="40" w:after="40" w:line="288" w:lineRule="auto"/>
        <w:ind w:firstLine="562"/>
        <w:jc w:val="both"/>
        <w:rPr>
          <w:bCs/>
          <w:i/>
          <w:iCs/>
          <w:lang w:val="en-US"/>
        </w:rPr>
      </w:pPr>
      <w:r w:rsidRPr="00007A12">
        <w:rPr>
          <w:bCs/>
          <w:lang w:val="en-US"/>
        </w:rPr>
        <w:lastRenderedPageBreak/>
        <w:t>Export turnover in January 2024 was estimated at 33.57 billion USD, a</w:t>
      </w:r>
      <w:r w:rsidRPr="008B7D77">
        <w:rPr>
          <w:bCs/>
          <w:lang w:val="en-US"/>
        </w:rPr>
        <w:t xml:space="preserve"> </w:t>
      </w:r>
      <w:r>
        <w:rPr>
          <w:bCs/>
          <w:lang w:val="en-US"/>
        </w:rPr>
        <w:t>in</w:t>
      </w:r>
      <w:r w:rsidRPr="008B7D77">
        <w:rPr>
          <w:bCs/>
          <w:lang w:val="en-US"/>
        </w:rPr>
        <w:t xml:space="preserve">crease of </w:t>
      </w:r>
      <w:r>
        <w:rPr>
          <w:bCs/>
          <w:lang w:val="en-US"/>
        </w:rPr>
        <w:t>6.7</w:t>
      </w:r>
      <w:r w:rsidRPr="008B7D77">
        <w:rPr>
          <w:bCs/>
          <w:lang w:val="en-US"/>
        </w:rPr>
        <w:t xml:space="preserve">% over the previous month, of which the domestic economic sector gained </w:t>
      </w:r>
      <w:r>
        <w:rPr>
          <w:bCs/>
          <w:lang w:val="en-US"/>
        </w:rPr>
        <w:t>9.03</w:t>
      </w:r>
      <w:r w:rsidRPr="008B7D77">
        <w:rPr>
          <w:bCs/>
          <w:lang w:val="en-US"/>
        </w:rPr>
        <w:t xml:space="preserve"> billion USD, which </w:t>
      </w:r>
      <w:r>
        <w:rPr>
          <w:bCs/>
          <w:lang w:val="en-US"/>
        </w:rPr>
        <w:t>de</w:t>
      </w:r>
      <w:r w:rsidRPr="008B7D77">
        <w:rPr>
          <w:bCs/>
          <w:lang w:val="en-US"/>
        </w:rPr>
        <w:t xml:space="preserve">creased by </w:t>
      </w:r>
      <w:r>
        <w:rPr>
          <w:bCs/>
          <w:lang w:val="en-US"/>
        </w:rPr>
        <w:t>0.1</w:t>
      </w:r>
      <w:r w:rsidRPr="008B7D77">
        <w:rPr>
          <w:bCs/>
          <w:lang w:val="en-US"/>
        </w:rPr>
        <w:t xml:space="preserve">%; the FDI sector (including crude oil) reached </w:t>
      </w:r>
      <w:r>
        <w:rPr>
          <w:bCs/>
          <w:lang w:val="en-US"/>
        </w:rPr>
        <w:t>24.54</w:t>
      </w:r>
      <w:r w:rsidRPr="008B7D77">
        <w:rPr>
          <w:bCs/>
          <w:lang w:val="en-US"/>
        </w:rPr>
        <w:t xml:space="preserve"> billion USD, </w:t>
      </w:r>
      <w:r>
        <w:rPr>
          <w:bCs/>
          <w:lang w:val="en-US"/>
        </w:rPr>
        <w:t>in</w:t>
      </w:r>
      <w:r w:rsidRPr="008B7D77">
        <w:rPr>
          <w:bCs/>
          <w:lang w:val="en-US"/>
        </w:rPr>
        <w:t xml:space="preserve">creased by </w:t>
      </w:r>
      <w:r>
        <w:rPr>
          <w:bCs/>
          <w:lang w:val="en-US"/>
        </w:rPr>
        <w:t>9.4</w:t>
      </w:r>
      <w:r w:rsidRPr="008B7D77">
        <w:rPr>
          <w:bCs/>
          <w:lang w:val="en-US"/>
        </w:rPr>
        <w:t xml:space="preserve">%. Compared to the same period last year, export turnover of goods in </w:t>
      </w:r>
      <w:r>
        <w:rPr>
          <w:bCs/>
          <w:lang w:val="en-US"/>
        </w:rPr>
        <w:t>January</w:t>
      </w:r>
      <w:r w:rsidRPr="008B7D77">
        <w:rPr>
          <w:bCs/>
          <w:lang w:val="en-US"/>
        </w:rPr>
        <w:t xml:space="preserve"> went </w:t>
      </w:r>
      <w:r>
        <w:rPr>
          <w:bCs/>
          <w:lang w:val="en-US"/>
        </w:rPr>
        <w:t>up</w:t>
      </w:r>
      <w:r w:rsidRPr="008B7D77">
        <w:rPr>
          <w:bCs/>
          <w:lang w:val="en-US"/>
        </w:rPr>
        <w:t xml:space="preserve"> </w:t>
      </w:r>
      <w:r>
        <w:rPr>
          <w:bCs/>
          <w:lang w:val="en-US"/>
        </w:rPr>
        <w:t>42</w:t>
      </w:r>
      <w:r w:rsidRPr="008B7D77">
        <w:rPr>
          <w:bCs/>
          <w:lang w:val="en-US"/>
        </w:rPr>
        <w:t xml:space="preserve">%, of which the domestic economic sector </w:t>
      </w:r>
      <w:r>
        <w:rPr>
          <w:bCs/>
          <w:lang w:val="en-US"/>
        </w:rPr>
        <w:t>in</w:t>
      </w:r>
      <w:r w:rsidRPr="008B7D77">
        <w:rPr>
          <w:bCs/>
          <w:lang w:val="en-US"/>
        </w:rPr>
        <w:t xml:space="preserve">creased by </w:t>
      </w:r>
      <w:r>
        <w:rPr>
          <w:bCs/>
          <w:lang w:val="en-US"/>
        </w:rPr>
        <w:t>62.6</w:t>
      </w:r>
      <w:r w:rsidRPr="008B7D77">
        <w:rPr>
          <w:bCs/>
          <w:lang w:val="en-US"/>
        </w:rPr>
        <w:t>%</w:t>
      </w:r>
      <w:r w:rsidRPr="009C5B6D">
        <w:rPr>
          <w:iCs/>
          <w:spacing w:val="-4"/>
          <w:lang w:val="en-US"/>
        </w:rPr>
        <w:t>, accounting for 2</w:t>
      </w:r>
      <w:r>
        <w:rPr>
          <w:iCs/>
          <w:spacing w:val="-4"/>
          <w:lang w:val="en-US"/>
        </w:rPr>
        <w:t>6.9</w:t>
      </w:r>
      <w:r w:rsidRPr="009C5B6D">
        <w:rPr>
          <w:iCs/>
          <w:spacing w:val="-4"/>
          <w:lang w:val="en-US"/>
        </w:rPr>
        <w:t>% of total export turnover;</w:t>
      </w:r>
      <w:r w:rsidRPr="008B7D77">
        <w:rPr>
          <w:bCs/>
          <w:lang w:val="en-US"/>
        </w:rPr>
        <w:t xml:space="preserve"> the FDI sector (including crude oil) </w:t>
      </w:r>
      <w:r>
        <w:rPr>
          <w:bCs/>
          <w:lang w:val="en-US"/>
        </w:rPr>
        <w:t>in</w:t>
      </w:r>
      <w:r w:rsidRPr="008B7D77">
        <w:rPr>
          <w:bCs/>
          <w:lang w:val="en-US"/>
        </w:rPr>
        <w:t xml:space="preserve">creased by </w:t>
      </w:r>
      <w:r>
        <w:rPr>
          <w:bCs/>
          <w:lang w:val="en-US"/>
        </w:rPr>
        <w:t>35.6</w:t>
      </w:r>
      <w:r w:rsidRPr="008B7D77">
        <w:rPr>
          <w:bCs/>
          <w:lang w:val="en-US"/>
        </w:rPr>
        <w:t>%</w:t>
      </w:r>
      <w:r>
        <w:rPr>
          <w:bCs/>
          <w:lang w:val="en-US"/>
        </w:rPr>
        <w:t xml:space="preserve">, </w:t>
      </w:r>
      <w:r w:rsidRPr="00632A8D">
        <w:rPr>
          <w:iCs/>
          <w:spacing w:val="-4"/>
          <w:lang w:val="en-US"/>
        </w:rPr>
        <w:t>sharing 7</w:t>
      </w:r>
      <w:r>
        <w:rPr>
          <w:iCs/>
          <w:spacing w:val="-4"/>
          <w:lang w:val="en-US"/>
        </w:rPr>
        <w:t>3.1</w:t>
      </w:r>
      <w:r w:rsidRPr="00632A8D">
        <w:rPr>
          <w:iCs/>
          <w:spacing w:val="-4"/>
          <w:lang w:val="en-US"/>
        </w:rPr>
        <w:t>%</w:t>
      </w:r>
      <w:r w:rsidRPr="008B7D77">
        <w:rPr>
          <w:bCs/>
          <w:lang w:val="en-US"/>
        </w:rPr>
        <w:t>.</w:t>
      </w:r>
    </w:p>
    <w:p w14:paraId="0CE911C1" w14:textId="77777777" w:rsidR="0055731C" w:rsidRDefault="0090698A" w:rsidP="0055731C">
      <w:pPr>
        <w:tabs>
          <w:tab w:val="num" w:pos="0"/>
        </w:tabs>
        <w:spacing w:before="40" w:after="40" w:line="288" w:lineRule="auto"/>
        <w:ind w:firstLine="562"/>
        <w:jc w:val="both"/>
        <w:rPr>
          <w:spacing w:val="-2"/>
          <w:lang w:val="en-US"/>
        </w:rPr>
      </w:pPr>
      <w:r w:rsidRPr="00B46109">
        <w:rPr>
          <w:spacing w:val="-2"/>
          <w:lang w:val="en-US"/>
        </w:rPr>
        <w:t xml:space="preserve">In </w:t>
      </w:r>
      <w:r>
        <w:rPr>
          <w:spacing w:val="-2"/>
          <w:lang w:val="en-US"/>
        </w:rPr>
        <w:t xml:space="preserve">January </w:t>
      </w:r>
      <w:r w:rsidRPr="00B46109">
        <w:rPr>
          <w:spacing w:val="-2"/>
          <w:lang w:val="en-US"/>
        </w:rPr>
        <w:t>202</w:t>
      </w:r>
      <w:r>
        <w:rPr>
          <w:spacing w:val="-2"/>
          <w:lang w:val="en-US"/>
        </w:rPr>
        <w:t>4</w:t>
      </w:r>
      <w:r w:rsidRPr="00B46109">
        <w:rPr>
          <w:spacing w:val="-2"/>
          <w:lang w:val="en-US"/>
        </w:rPr>
        <w:t xml:space="preserve">, there were </w:t>
      </w:r>
      <w:r>
        <w:rPr>
          <w:spacing w:val="-2"/>
          <w:lang w:val="en-US"/>
        </w:rPr>
        <w:t>7</w:t>
      </w:r>
      <w:r w:rsidRPr="00B46109">
        <w:rPr>
          <w:spacing w:val="-2"/>
          <w:lang w:val="en-US"/>
        </w:rPr>
        <w:t xml:space="preserve"> </w:t>
      </w:r>
      <w:r>
        <w:rPr>
          <w:spacing w:val="-2"/>
          <w:lang w:val="en-US"/>
        </w:rPr>
        <w:t xml:space="preserve">exported </w:t>
      </w:r>
      <w:r w:rsidRPr="00B46109">
        <w:rPr>
          <w:spacing w:val="-2"/>
          <w:lang w:val="en-US"/>
        </w:rPr>
        <w:t>products with a</w:t>
      </w:r>
      <w:r>
        <w:rPr>
          <w:spacing w:val="-2"/>
          <w:lang w:val="en-US"/>
        </w:rPr>
        <w:t xml:space="preserve"> value of over</w:t>
      </w:r>
      <w:r w:rsidRPr="00B46109">
        <w:rPr>
          <w:spacing w:val="-2"/>
          <w:lang w:val="en-US"/>
        </w:rPr>
        <w:t xml:space="preserve"> 1 billion USD, contributing </w:t>
      </w:r>
      <w:r>
        <w:rPr>
          <w:spacing w:val="-2"/>
          <w:lang w:val="en-US"/>
        </w:rPr>
        <w:t>65.7</w:t>
      </w:r>
      <w:r w:rsidRPr="00B46109">
        <w:rPr>
          <w:spacing w:val="-2"/>
          <w:lang w:val="en-US"/>
        </w:rPr>
        <w:t>% to the total export turnover.</w:t>
      </w:r>
    </w:p>
    <w:p w14:paraId="1833E97A" w14:textId="6E033A86" w:rsidR="0090698A" w:rsidRDefault="0090698A" w:rsidP="0055731C">
      <w:pPr>
        <w:tabs>
          <w:tab w:val="num" w:pos="0"/>
        </w:tabs>
        <w:spacing w:before="40" w:after="40" w:line="288" w:lineRule="auto"/>
        <w:ind w:firstLine="562"/>
        <w:jc w:val="center"/>
        <w:rPr>
          <w:rFonts w:ascii="Arial" w:hAnsi="Arial" w:cs="Arial"/>
          <w:b/>
          <w:bCs/>
          <w:sz w:val="24"/>
          <w:szCs w:val="24"/>
          <w:lang w:val="es-NI"/>
        </w:rPr>
      </w:pPr>
      <w:r w:rsidRPr="00082E24">
        <w:rPr>
          <w:rFonts w:ascii="Arial" w:hAnsi="Arial" w:cs="Arial"/>
          <w:b/>
          <w:spacing w:val="-2"/>
          <w:sz w:val="24"/>
          <w:szCs w:val="20"/>
          <w:lang w:val="pl-PL"/>
        </w:rPr>
        <w:t xml:space="preserve">Table 7. Value of some export items in </w:t>
      </w:r>
      <w:r>
        <w:rPr>
          <w:rFonts w:ascii="Arial" w:hAnsi="Arial" w:cs="Arial"/>
          <w:b/>
          <w:spacing w:val="-2"/>
          <w:sz w:val="24"/>
          <w:szCs w:val="20"/>
          <w:lang w:val="pl-PL"/>
        </w:rPr>
        <w:t xml:space="preserve">January </w:t>
      </w:r>
      <w:r>
        <w:rPr>
          <w:rFonts w:ascii="Arial" w:hAnsi="Arial" w:cs="Arial"/>
          <w:b/>
          <w:bCs/>
          <w:sz w:val="24"/>
          <w:szCs w:val="24"/>
          <w:lang w:val="es-NI"/>
        </w:rPr>
        <w:t>2024</w:t>
      </w:r>
    </w:p>
    <w:p w14:paraId="1A90B70D" w14:textId="77777777" w:rsidR="0090698A" w:rsidRPr="000B4588" w:rsidRDefault="0090698A" w:rsidP="0090698A">
      <w:pPr>
        <w:tabs>
          <w:tab w:val="num" w:pos="0"/>
          <w:tab w:val="left" w:pos="9475"/>
        </w:tabs>
        <w:spacing w:before="40" w:after="40" w:line="264" w:lineRule="auto"/>
        <w:ind w:right="119"/>
        <w:jc w:val="center"/>
        <w:rPr>
          <w:rFonts w:ascii="Arial" w:hAnsi="Arial" w:cs="Arial"/>
          <w:b/>
          <w:bCs/>
          <w:sz w:val="8"/>
          <w:szCs w:val="24"/>
          <w:lang w:val="es-NI"/>
        </w:rPr>
      </w:pPr>
    </w:p>
    <w:tbl>
      <w:tblPr>
        <w:tblStyle w:val="TableGrid"/>
        <w:tblW w:w="864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4"/>
        <w:gridCol w:w="1509"/>
        <w:gridCol w:w="2881"/>
      </w:tblGrid>
      <w:tr w:rsidR="0090698A" w:rsidRPr="005F0D48" w14:paraId="509BF04D" w14:textId="77777777" w:rsidTr="0055731C">
        <w:trPr>
          <w:trHeight w:val="531"/>
        </w:trPr>
        <w:tc>
          <w:tcPr>
            <w:tcW w:w="4254" w:type="dxa"/>
          </w:tcPr>
          <w:p w14:paraId="3CCB3D5F" w14:textId="77777777" w:rsidR="0090698A" w:rsidRPr="005F0D48" w:rsidRDefault="0090698A" w:rsidP="008278F8">
            <w:pPr>
              <w:tabs>
                <w:tab w:val="num" w:pos="0"/>
                <w:tab w:val="left" w:pos="9475"/>
              </w:tabs>
              <w:spacing w:before="40" w:after="40" w:line="288" w:lineRule="auto"/>
              <w:ind w:right="119"/>
              <w:jc w:val="right"/>
              <w:rPr>
                <w:rFonts w:ascii="Arial" w:hAnsi="Arial" w:cs="Arial"/>
                <w:b/>
                <w:bCs/>
                <w:i/>
                <w:iCs/>
                <w:sz w:val="20"/>
                <w:szCs w:val="20"/>
                <w:lang w:val="es-NI"/>
              </w:rPr>
            </w:pPr>
          </w:p>
          <w:p w14:paraId="5BFE4292" w14:textId="77777777" w:rsidR="0090698A" w:rsidRPr="005F0D48" w:rsidRDefault="0090698A" w:rsidP="008278F8">
            <w:pPr>
              <w:tabs>
                <w:tab w:val="num" w:pos="0"/>
                <w:tab w:val="left" w:pos="9475"/>
              </w:tabs>
              <w:spacing w:before="40" w:after="40" w:line="288" w:lineRule="auto"/>
              <w:ind w:right="119"/>
              <w:jc w:val="right"/>
              <w:rPr>
                <w:rFonts w:ascii="Arial" w:hAnsi="Arial" w:cs="Arial"/>
                <w:b/>
                <w:bCs/>
                <w:i/>
                <w:iCs/>
                <w:sz w:val="20"/>
                <w:szCs w:val="20"/>
                <w:lang w:val="es-NI"/>
              </w:rPr>
            </w:pPr>
          </w:p>
        </w:tc>
        <w:tc>
          <w:tcPr>
            <w:tcW w:w="1509" w:type="dxa"/>
            <w:tcBorders>
              <w:top w:val="single" w:sz="4" w:space="0" w:color="auto"/>
              <w:bottom w:val="single" w:sz="4" w:space="0" w:color="auto"/>
            </w:tcBorders>
          </w:tcPr>
          <w:p w14:paraId="444CCBCE" w14:textId="77777777" w:rsidR="0090698A" w:rsidRPr="005F0D48" w:rsidRDefault="0090698A" w:rsidP="008278F8">
            <w:pPr>
              <w:spacing w:before="40" w:after="40" w:line="288" w:lineRule="auto"/>
              <w:jc w:val="center"/>
              <w:rPr>
                <w:rFonts w:ascii="Arial" w:hAnsi="Arial" w:cs="Arial"/>
                <w:color w:val="000000"/>
                <w:sz w:val="20"/>
                <w:szCs w:val="20"/>
                <w:lang w:val="es-NI"/>
              </w:rPr>
            </w:pPr>
            <w:r w:rsidRPr="005F0D48">
              <w:rPr>
                <w:rFonts w:ascii="Arial" w:hAnsi="Arial" w:cs="Arial"/>
                <w:color w:val="000000"/>
                <w:sz w:val="20"/>
                <w:szCs w:val="20"/>
                <w:lang w:val="es-NI"/>
              </w:rPr>
              <w:t xml:space="preserve">Estimate </w:t>
            </w:r>
          </w:p>
          <w:p w14:paraId="513385D6" w14:textId="77777777" w:rsidR="0090698A" w:rsidRPr="005F0D48" w:rsidRDefault="0090698A" w:rsidP="008278F8">
            <w:pPr>
              <w:spacing w:before="40" w:after="40" w:line="288" w:lineRule="auto"/>
              <w:jc w:val="center"/>
              <w:rPr>
                <w:rFonts w:ascii="Arial" w:hAnsi="Arial" w:cs="Arial"/>
                <w:b/>
                <w:bCs/>
                <w:i/>
                <w:iCs/>
                <w:sz w:val="20"/>
                <w:szCs w:val="20"/>
                <w:lang w:val="es-NI"/>
              </w:rPr>
            </w:pPr>
            <w:r w:rsidRPr="005F0D48">
              <w:rPr>
                <w:rFonts w:ascii="Arial" w:hAnsi="Arial" w:cs="Arial"/>
                <w:i/>
                <w:iCs/>
                <w:color w:val="000000"/>
                <w:sz w:val="20"/>
                <w:szCs w:val="20"/>
                <w:lang w:val="es-NI"/>
              </w:rPr>
              <w:t>(Mill. USD)</w:t>
            </w:r>
          </w:p>
        </w:tc>
        <w:tc>
          <w:tcPr>
            <w:tcW w:w="2881" w:type="dxa"/>
            <w:tcBorders>
              <w:top w:val="single" w:sz="4" w:space="0" w:color="auto"/>
              <w:bottom w:val="single" w:sz="4" w:space="0" w:color="auto"/>
            </w:tcBorders>
          </w:tcPr>
          <w:p w14:paraId="40A24114" w14:textId="77777777" w:rsidR="0090698A" w:rsidRPr="00985BEA" w:rsidRDefault="0090698A" w:rsidP="008278F8">
            <w:pPr>
              <w:spacing w:before="40" w:after="40" w:line="288" w:lineRule="auto"/>
              <w:jc w:val="center"/>
              <w:rPr>
                <w:rFonts w:ascii="Arial" w:hAnsi="Arial" w:cs="Arial"/>
                <w:color w:val="000000"/>
                <w:sz w:val="20"/>
                <w:szCs w:val="20"/>
                <w:lang w:val="es-NI"/>
              </w:rPr>
            </w:pPr>
            <w:r w:rsidRPr="005F0D48">
              <w:rPr>
                <w:rFonts w:ascii="Arial" w:hAnsi="Arial" w:cs="Arial"/>
                <w:color w:val="000000"/>
                <w:sz w:val="20"/>
                <w:szCs w:val="20"/>
                <w:lang w:val="es-NI"/>
              </w:rPr>
              <w:t xml:space="preserve">Growth rate </w:t>
            </w:r>
            <w:r w:rsidRPr="00985BEA">
              <w:rPr>
                <w:rFonts w:ascii="Arial" w:hAnsi="Arial" w:cs="Arial"/>
                <w:color w:val="000000"/>
                <w:sz w:val="20"/>
                <w:szCs w:val="20"/>
                <w:lang w:val="en-US"/>
              </w:rPr>
              <w:t>compare to</w:t>
            </w:r>
          </w:p>
          <w:p w14:paraId="2BA76A0B" w14:textId="77777777" w:rsidR="0090698A" w:rsidRPr="005F0D48" w:rsidRDefault="0090698A" w:rsidP="008278F8">
            <w:pPr>
              <w:spacing w:before="40" w:after="40" w:line="288" w:lineRule="auto"/>
              <w:jc w:val="center"/>
              <w:rPr>
                <w:rFonts w:ascii="Arial" w:hAnsi="Arial" w:cs="Arial"/>
                <w:b/>
                <w:bCs/>
                <w:i/>
                <w:iCs/>
                <w:sz w:val="20"/>
                <w:szCs w:val="20"/>
              </w:rPr>
            </w:pPr>
            <w:r w:rsidRPr="00985BEA">
              <w:rPr>
                <w:rFonts w:ascii="Arial" w:hAnsi="Arial" w:cs="Arial"/>
                <w:color w:val="000000"/>
                <w:sz w:val="20"/>
                <w:szCs w:val="20"/>
                <w:lang w:val="es-NI"/>
              </w:rPr>
              <w:t>the same period last year</w:t>
            </w:r>
            <w:r>
              <w:rPr>
                <w:rFonts w:ascii="Arial" w:hAnsi="Arial" w:cs="Arial"/>
                <w:color w:val="000000"/>
                <w:sz w:val="20"/>
                <w:szCs w:val="20"/>
                <w:lang w:val="es-NI"/>
              </w:rPr>
              <w:t xml:space="preserve"> </w:t>
            </w:r>
            <w:r w:rsidRPr="005F0D48">
              <w:rPr>
                <w:rFonts w:ascii="Arial" w:hAnsi="Arial" w:cs="Arial"/>
                <w:i/>
                <w:iCs/>
                <w:color w:val="000000"/>
                <w:sz w:val="20"/>
                <w:szCs w:val="20"/>
              </w:rPr>
              <w:t>(%)</w:t>
            </w:r>
          </w:p>
        </w:tc>
      </w:tr>
      <w:tr w:rsidR="0090698A" w:rsidRPr="005F0D48" w14:paraId="5B2A0C10" w14:textId="77777777" w:rsidTr="0055731C">
        <w:trPr>
          <w:trHeight w:val="308"/>
        </w:trPr>
        <w:tc>
          <w:tcPr>
            <w:tcW w:w="4254" w:type="dxa"/>
            <w:vAlign w:val="bottom"/>
          </w:tcPr>
          <w:p w14:paraId="095E9EAE" w14:textId="77777777" w:rsidR="0090698A" w:rsidRPr="005F0D48" w:rsidRDefault="0090698A" w:rsidP="008278F8">
            <w:pPr>
              <w:spacing w:before="40" w:after="40" w:line="288" w:lineRule="auto"/>
              <w:rPr>
                <w:rFonts w:ascii="Arial" w:hAnsi="Arial" w:cs="Arial"/>
                <w:b/>
                <w:bCs/>
                <w:color w:val="000000"/>
                <w:sz w:val="20"/>
                <w:szCs w:val="20"/>
              </w:rPr>
            </w:pPr>
            <w:r w:rsidRPr="005F0D48">
              <w:rPr>
                <w:rFonts w:ascii="Arial" w:hAnsi="Arial" w:cs="Arial"/>
                <w:b/>
                <w:bCs/>
                <w:color w:val="000000"/>
                <w:sz w:val="20"/>
                <w:szCs w:val="20"/>
              </w:rPr>
              <w:t xml:space="preserve">Items with a value of over 1 billion USD </w:t>
            </w:r>
          </w:p>
        </w:tc>
        <w:tc>
          <w:tcPr>
            <w:tcW w:w="1509" w:type="dxa"/>
            <w:tcBorders>
              <w:top w:val="single" w:sz="4" w:space="0" w:color="auto"/>
            </w:tcBorders>
          </w:tcPr>
          <w:p w14:paraId="0DFA317C" w14:textId="77777777" w:rsidR="0090698A" w:rsidRPr="005F0D48" w:rsidRDefault="0090698A" w:rsidP="008278F8">
            <w:pPr>
              <w:tabs>
                <w:tab w:val="num" w:pos="0"/>
                <w:tab w:val="left" w:pos="9475"/>
              </w:tabs>
              <w:spacing w:before="40" w:after="40" w:line="288" w:lineRule="auto"/>
              <w:ind w:right="119"/>
              <w:jc w:val="right"/>
              <w:rPr>
                <w:rFonts w:ascii="Arial" w:hAnsi="Arial" w:cs="Arial"/>
                <w:b/>
                <w:bCs/>
                <w:i/>
                <w:iCs/>
                <w:sz w:val="20"/>
                <w:szCs w:val="20"/>
              </w:rPr>
            </w:pPr>
          </w:p>
        </w:tc>
        <w:tc>
          <w:tcPr>
            <w:tcW w:w="2881" w:type="dxa"/>
            <w:tcBorders>
              <w:top w:val="single" w:sz="4" w:space="0" w:color="auto"/>
            </w:tcBorders>
          </w:tcPr>
          <w:p w14:paraId="52492555" w14:textId="77777777" w:rsidR="0090698A" w:rsidRPr="005F0D48" w:rsidRDefault="0090698A" w:rsidP="008278F8">
            <w:pPr>
              <w:tabs>
                <w:tab w:val="num" w:pos="0"/>
                <w:tab w:val="left" w:pos="9475"/>
              </w:tabs>
              <w:spacing w:before="40" w:after="40" w:line="288" w:lineRule="auto"/>
              <w:ind w:right="119"/>
              <w:jc w:val="right"/>
              <w:rPr>
                <w:rFonts w:ascii="Arial" w:hAnsi="Arial" w:cs="Arial"/>
                <w:b/>
                <w:bCs/>
                <w:i/>
                <w:iCs/>
                <w:sz w:val="20"/>
                <w:szCs w:val="20"/>
              </w:rPr>
            </w:pPr>
          </w:p>
        </w:tc>
      </w:tr>
      <w:tr w:rsidR="0090698A" w:rsidRPr="005F0D48" w14:paraId="0A334F31" w14:textId="77777777" w:rsidTr="0055731C">
        <w:trPr>
          <w:trHeight w:val="308"/>
        </w:trPr>
        <w:tc>
          <w:tcPr>
            <w:tcW w:w="4254" w:type="dxa"/>
            <w:vAlign w:val="bottom"/>
          </w:tcPr>
          <w:p w14:paraId="771DA803" w14:textId="77777777" w:rsidR="0090698A" w:rsidRPr="005F0D48" w:rsidRDefault="0090698A" w:rsidP="008278F8">
            <w:pPr>
              <w:spacing w:before="40" w:after="40" w:line="288" w:lineRule="auto"/>
              <w:ind w:firstLine="170"/>
              <w:rPr>
                <w:rFonts w:ascii="Arial" w:hAnsi="Arial" w:cs="Arial"/>
                <w:sz w:val="20"/>
                <w:szCs w:val="20"/>
              </w:rPr>
            </w:pPr>
            <w:r w:rsidRPr="005F0D48">
              <w:rPr>
                <w:rFonts w:ascii="Arial" w:hAnsi="Arial" w:cs="Arial"/>
                <w:sz w:val="20"/>
                <w:szCs w:val="20"/>
              </w:rPr>
              <w:t>Phones all of kinds and their parts</w:t>
            </w:r>
          </w:p>
        </w:tc>
        <w:tc>
          <w:tcPr>
            <w:tcW w:w="1509" w:type="dxa"/>
            <w:vAlign w:val="bottom"/>
          </w:tcPr>
          <w:p w14:paraId="47C37200" w14:textId="77777777" w:rsidR="0090698A" w:rsidRPr="005F0D48" w:rsidRDefault="0090698A" w:rsidP="008278F8">
            <w:pPr>
              <w:spacing w:before="40" w:after="40" w:line="288" w:lineRule="auto"/>
              <w:ind w:firstLine="170"/>
              <w:jc w:val="center"/>
              <w:rPr>
                <w:rFonts w:ascii="Arial" w:hAnsi="Arial" w:cs="Arial"/>
                <w:sz w:val="20"/>
                <w:szCs w:val="20"/>
              </w:rPr>
            </w:pPr>
            <w:r w:rsidRPr="005C0605">
              <w:rPr>
                <w:rFonts w:ascii="Arial" w:hAnsi="Arial" w:cs="Arial"/>
                <w:sz w:val="20"/>
                <w:szCs w:val="20"/>
              </w:rPr>
              <w:t>5</w:t>
            </w:r>
            <w:r>
              <w:rPr>
                <w:rFonts w:ascii="Arial" w:hAnsi="Arial" w:cs="Arial"/>
                <w:sz w:val="20"/>
                <w:szCs w:val="20"/>
                <w:lang w:val="en-US"/>
              </w:rPr>
              <w:t>,</w:t>
            </w:r>
            <w:r w:rsidRPr="005C0605">
              <w:rPr>
                <w:rFonts w:ascii="Arial" w:hAnsi="Arial" w:cs="Arial"/>
                <w:sz w:val="20"/>
                <w:szCs w:val="20"/>
              </w:rPr>
              <w:t>800</w:t>
            </w:r>
          </w:p>
        </w:tc>
        <w:tc>
          <w:tcPr>
            <w:tcW w:w="2881" w:type="dxa"/>
            <w:vAlign w:val="bottom"/>
          </w:tcPr>
          <w:p w14:paraId="2FF94E08" w14:textId="77777777" w:rsidR="0090698A" w:rsidRPr="005F0D48" w:rsidRDefault="0090698A" w:rsidP="008278F8">
            <w:pPr>
              <w:spacing w:before="40" w:after="40" w:line="288" w:lineRule="auto"/>
              <w:ind w:firstLine="170"/>
              <w:jc w:val="center"/>
              <w:rPr>
                <w:rFonts w:ascii="Arial" w:hAnsi="Arial" w:cs="Arial"/>
                <w:sz w:val="20"/>
                <w:szCs w:val="20"/>
              </w:rPr>
            </w:pPr>
            <w:r w:rsidRPr="005C0605">
              <w:rPr>
                <w:rFonts w:ascii="Arial" w:hAnsi="Arial" w:cs="Arial"/>
                <w:sz w:val="20"/>
                <w:szCs w:val="20"/>
              </w:rPr>
              <w:t>15</w:t>
            </w:r>
            <w:r>
              <w:rPr>
                <w:rFonts w:ascii="Arial" w:hAnsi="Arial" w:cs="Arial"/>
                <w:sz w:val="20"/>
                <w:szCs w:val="20"/>
                <w:lang w:val="en-US"/>
              </w:rPr>
              <w:t>.</w:t>
            </w:r>
            <w:r w:rsidRPr="005C0605">
              <w:rPr>
                <w:rFonts w:ascii="Arial" w:hAnsi="Arial" w:cs="Arial"/>
                <w:sz w:val="20"/>
                <w:szCs w:val="20"/>
              </w:rPr>
              <w:t>8</w:t>
            </w:r>
          </w:p>
        </w:tc>
      </w:tr>
      <w:tr w:rsidR="0090698A" w:rsidRPr="005F0D48" w14:paraId="7E673252" w14:textId="77777777" w:rsidTr="0055731C">
        <w:trPr>
          <w:trHeight w:val="320"/>
        </w:trPr>
        <w:tc>
          <w:tcPr>
            <w:tcW w:w="4254" w:type="dxa"/>
            <w:vAlign w:val="bottom"/>
          </w:tcPr>
          <w:p w14:paraId="6D71CCCF" w14:textId="77777777" w:rsidR="0090698A" w:rsidRPr="005F0D48" w:rsidRDefault="0090698A" w:rsidP="008278F8">
            <w:pPr>
              <w:spacing w:before="40" w:after="40" w:line="288" w:lineRule="auto"/>
              <w:ind w:firstLine="170"/>
              <w:rPr>
                <w:rFonts w:ascii="Arial" w:hAnsi="Arial" w:cs="Arial"/>
                <w:sz w:val="20"/>
                <w:szCs w:val="20"/>
              </w:rPr>
            </w:pPr>
            <w:r w:rsidRPr="005F0D48">
              <w:rPr>
                <w:rFonts w:ascii="Arial" w:hAnsi="Arial" w:cs="Arial"/>
                <w:sz w:val="20"/>
                <w:szCs w:val="20"/>
              </w:rPr>
              <w:t>Electronic goods, computers and their parts</w:t>
            </w:r>
          </w:p>
        </w:tc>
        <w:tc>
          <w:tcPr>
            <w:tcW w:w="1509" w:type="dxa"/>
            <w:vAlign w:val="bottom"/>
          </w:tcPr>
          <w:p w14:paraId="41CB2260" w14:textId="77777777" w:rsidR="0090698A" w:rsidRPr="005F0D48" w:rsidRDefault="0090698A" w:rsidP="008278F8">
            <w:pPr>
              <w:spacing w:before="40" w:after="40" w:line="288" w:lineRule="auto"/>
              <w:ind w:firstLine="170"/>
              <w:jc w:val="center"/>
              <w:rPr>
                <w:rFonts w:ascii="Arial" w:hAnsi="Arial" w:cs="Arial"/>
                <w:sz w:val="20"/>
                <w:szCs w:val="20"/>
              </w:rPr>
            </w:pPr>
            <w:r w:rsidRPr="005C0605">
              <w:rPr>
                <w:rFonts w:ascii="Arial" w:hAnsi="Arial" w:cs="Arial"/>
                <w:sz w:val="20"/>
                <w:szCs w:val="20"/>
              </w:rPr>
              <w:t>5</w:t>
            </w:r>
            <w:r>
              <w:rPr>
                <w:rFonts w:ascii="Arial" w:hAnsi="Arial" w:cs="Arial"/>
                <w:sz w:val="20"/>
                <w:szCs w:val="20"/>
                <w:lang w:val="en-US"/>
              </w:rPr>
              <w:t>,</w:t>
            </w:r>
            <w:r w:rsidRPr="005C0605">
              <w:rPr>
                <w:rFonts w:ascii="Arial" w:hAnsi="Arial" w:cs="Arial"/>
                <w:sz w:val="20"/>
                <w:szCs w:val="20"/>
              </w:rPr>
              <w:t>000</w:t>
            </w:r>
          </w:p>
        </w:tc>
        <w:tc>
          <w:tcPr>
            <w:tcW w:w="2881" w:type="dxa"/>
            <w:vAlign w:val="bottom"/>
          </w:tcPr>
          <w:p w14:paraId="28F29C69" w14:textId="77777777" w:rsidR="0090698A" w:rsidRPr="005F0D48" w:rsidRDefault="0090698A" w:rsidP="008278F8">
            <w:pPr>
              <w:spacing w:before="40" w:after="40" w:line="288" w:lineRule="auto"/>
              <w:ind w:firstLine="170"/>
              <w:jc w:val="center"/>
              <w:rPr>
                <w:rFonts w:ascii="Arial" w:hAnsi="Arial" w:cs="Arial"/>
                <w:sz w:val="20"/>
                <w:szCs w:val="20"/>
              </w:rPr>
            </w:pPr>
            <w:r w:rsidRPr="005C0605">
              <w:rPr>
                <w:rFonts w:ascii="Arial" w:hAnsi="Arial" w:cs="Arial"/>
                <w:sz w:val="20"/>
                <w:szCs w:val="20"/>
              </w:rPr>
              <w:t>57</w:t>
            </w:r>
            <w:r>
              <w:rPr>
                <w:rFonts w:ascii="Arial" w:hAnsi="Arial" w:cs="Arial"/>
                <w:sz w:val="20"/>
                <w:szCs w:val="20"/>
              </w:rPr>
              <w:t>.</w:t>
            </w:r>
            <w:r w:rsidRPr="005C0605">
              <w:rPr>
                <w:rFonts w:ascii="Arial" w:hAnsi="Arial" w:cs="Arial"/>
                <w:sz w:val="20"/>
                <w:szCs w:val="20"/>
              </w:rPr>
              <w:t>4</w:t>
            </w:r>
          </w:p>
        </w:tc>
      </w:tr>
      <w:tr w:rsidR="0090698A" w:rsidRPr="005F0D48" w14:paraId="40A42734" w14:textId="77777777" w:rsidTr="0055731C">
        <w:trPr>
          <w:trHeight w:val="308"/>
        </w:trPr>
        <w:tc>
          <w:tcPr>
            <w:tcW w:w="4254" w:type="dxa"/>
            <w:vAlign w:val="bottom"/>
          </w:tcPr>
          <w:p w14:paraId="58026D3F" w14:textId="77777777" w:rsidR="0090698A" w:rsidRPr="005F0D48" w:rsidRDefault="0090698A" w:rsidP="008278F8">
            <w:pPr>
              <w:spacing w:before="40" w:after="40" w:line="288" w:lineRule="auto"/>
              <w:ind w:firstLine="170"/>
              <w:rPr>
                <w:rFonts w:ascii="Arial" w:hAnsi="Arial" w:cs="Arial"/>
                <w:sz w:val="20"/>
                <w:szCs w:val="20"/>
              </w:rPr>
            </w:pPr>
            <w:r w:rsidRPr="005F0D48">
              <w:rPr>
                <w:rFonts w:ascii="Arial" w:hAnsi="Arial" w:cs="Arial"/>
                <w:sz w:val="20"/>
                <w:szCs w:val="20"/>
              </w:rPr>
              <w:t>Machinery, instrument, accessory</w:t>
            </w:r>
          </w:p>
        </w:tc>
        <w:tc>
          <w:tcPr>
            <w:tcW w:w="1509" w:type="dxa"/>
            <w:vAlign w:val="bottom"/>
          </w:tcPr>
          <w:p w14:paraId="7025F4A8" w14:textId="77777777" w:rsidR="0090698A" w:rsidRPr="005F0D48" w:rsidRDefault="0090698A" w:rsidP="008278F8">
            <w:pPr>
              <w:spacing w:before="40" w:after="40" w:line="288" w:lineRule="auto"/>
              <w:ind w:firstLine="170"/>
              <w:jc w:val="center"/>
              <w:rPr>
                <w:rFonts w:ascii="Arial" w:hAnsi="Arial" w:cs="Arial"/>
                <w:sz w:val="20"/>
                <w:szCs w:val="20"/>
              </w:rPr>
            </w:pPr>
            <w:r w:rsidRPr="005C0605">
              <w:rPr>
                <w:rFonts w:ascii="Arial" w:hAnsi="Arial" w:cs="Arial"/>
                <w:sz w:val="20"/>
                <w:szCs w:val="20"/>
              </w:rPr>
              <w:t>3</w:t>
            </w:r>
            <w:r>
              <w:rPr>
                <w:rFonts w:ascii="Arial" w:hAnsi="Arial" w:cs="Arial"/>
                <w:sz w:val="20"/>
                <w:szCs w:val="20"/>
                <w:lang w:val="en-US"/>
              </w:rPr>
              <w:t>,</w:t>
            </w:r>
            <w:r w:rsidRPr="005C0605">
              <w:rPr>
                <w:rFonts w:ascii="Arial" w:hAnsi="Arial" w:cs="Arial"/>
                <w:sz w:val="20"/>
                <w:szCs w:val="20"/>
              </w:rPr>
              <w:t>800</w:t>
            </w:r>
          </w:p>
        </w:tc>
        <w:tc>
          <w:tcPr>
            <w:tcW w:w="2881" w:type="dxa"/>
            <w:vAlign w:val="bottom"/>
          </w:tcPr>
          <w:p w14:paraId="7B27CB03" w14:textId="77777777" w:rsidR="0090698A" w:rsidRPr="005F0D48" w:rsidRDefault="0090698A" w:rsidP="008278F8">
            <w:pPr>
              <w:spacing w:before="40" w:after="40" w:line="288" w:lineRule="auto"/>
              <w:ind w:firstLine="170"/>
              <w:jc w:val="center"/>
              <w:rPr>
                <w:rFonts w:ascii="Arial" w:hAnsi="Arial" w:cs="Arial"/>
                <w:sz w:val="20"/>
                <w:szCs w:val="20"/>
              </w:rPr>
            </w:pPr>
            <w:r w:rsidRPr="005C0605">
              <w:rPr>
                <w:rFonts w:ascii="Arial" w:hAnsi="Arial" w:cs="Arial"/>
                <w:sz w:val="20"/>
                <w:szCs w:val="20"/>
              </w:rPr>
              <w:t>31</w:t>
            </w:r>
            <w:r>
              <w:rPr>
                <w:rFonts w:ascii="Arial" w:hAnsi="Arial" w:cs="Arial"/>
                <w:sz w:val="20"/>
                <w:szCs w:val="20"/>
                <w:lang w:val="en-US"/>
              </w:rPr>
              <w:t>.</w:t>
            </w:r>
            <w:r w:rsidRPr="005C0605">
              <w:rPr>
                <w:rFonts w:ascii="Arial" w:hAnsi="Arial" w:cs="Arial"/>
                <w:sz w:val="20"/>
                <w:szCs w:val="20"/>
              </w:rPr>
              <w:t>2</w:t>
            </w:r>
          </w:p>
        </w:tc>
      </w:tr>
      <w:tr w:rsidR="0090698A" w:rsidRPr="005F0D48" w14:paraId="1BD31843" w14:textId="77777777" w:rsidTr="0055731C">
        <w:trPr>
          <w:trHeight w:val="308"/>
        </w:trPr>
        <w:tc>
          <w:tcPr>
            <w:tcW w:w="4254" w:type="dxa"/>
            <w:vAlign w:val="bottom"/>
          </w:tcPr>
          <w:p w14:paraId="7480CC21" w14:textId="77777777" w:rsidR="0090698A" w:rsidRPr="005F0D48" w:rsidRDefault="0090698A" w:rsidP="008278F8">
            <w:pPr>
              <w:spacing w:before="40" w:after="40" w:line="288" w:lineRule="auto"/>
              <w:ind w:firstLine="170"/>
              <w:rPr>
                <w:rFonts w:ascii="Arial" w:hAnsi="Arial" w:cs="Arial"/>
                <w:sz w:val="20"/>
                <w:szCs w:val="20"/>
              </w:rPr>
            </w:pPr>
            <w:r w:rsidRPr="005F0D48">
              <w:rPr>
                <w:rFonts w:ascii="Arial" w:hAnsi="Arial" w:cs="Arial"/>
                <w:sz w:val="20"/>
                <w:szCs w:val="20"/>
              </w:rPr>
              <w:t>Textiles and garments</w:t>
            </w:r>
          </w:p>
        </w:tc>
        <w:tc>
          <w:tcPr>
            <w:tcW w:w="1509" w:type="dxa"/>
            <w:vAlign w:val="bottom"/>
          </w:tcPr>
          <w:p w14:paraId="0C2410D1" w14:textId="77777777" w:rsidR="0090698A" w:rsidRPr="005F0D48" w:rsidRDefault="0090698A" w:rsidP="008278F8">
            <w:pPr>
              <w:spacing w:before="40" w:after="40" w:line="288" w:lineRule="auto"/>
              <w:ind w:firstLine="170"/>
              <w:jc w:val="center"/>
              <w:rPr>
                <w:rFonts w:ascii="Arial" w:hAnsi="Arial" w:cs="Arial"/>
                <w:sz w:val="20"/>
                <w:szCs w:val="20"/>
              </w:rPr>
            </w:pPr>
            <w:r w:rsidRPr="005C0605">
              <w:rPr>
                <w:rFonts w:ascii="Arial" w:hAnsi="Arial" w:cs="Arial"/>
                <w:sz w:val="20"/>
                <w:szCs w:val="20"/>
              </w:rPr>
              <w:t>2</w:t>
            </w:r>
            <w:r>
              <w:rPr>
                <w:rFonts w:ascii="Arial" w:hAnsi="Arial" w:cs="Arial"/>
                <w:sz w:val="20"/>
                <w:szCs w:val="20"/>
                <w:lang w:val="en-US"/>
              </w:rPr>
              <w:t>,</w:t>
            </w:r>
            <w:r w:rsidRPr="005C0605">
              <w:rPr>
                <w:rFonts w:ascii="Arial" w:hAnsi="Arial" w:cs="Arial"/>
                <w:sz w:val="20"/>
                <w:szCs w:val="20"/>
              </w:rPr>
              <w:t>900</w:t>
            </w:r>
          </w:p>
        </w:tc>
        <w:tc>
          <w:tcPr>
            <w:tcW w:w="2881" w:type="dxa"/>
            <w:vAlign w:val="bottom"/>
          </w:tcPr>
          <w:p w14:paraId="5EA5DB18" w14:textId="77777777" w:rsidR="0090698A" w:rsidRPr="005F0D48" w:rsidRDefault="0090698A" w:rsidP="008278F8">
            <w:pPr>
              <w:spacing w:before="40" w:after="40" w:line="288" w:lineRule="auto"/>
              <w:ind w:firstLine="170"/>
              <w:jc w:val="center"/>
              <w:rPr>
                <w:rFonts w:ascii="Arial" w:hAnsi="Arial" w:cs="Arial"/>
                <w:sz w:val="20"/>
                <w:szCs w:val="20"/>
              </w:rPr>
            </w:pPr>
            <w:r w:rsidRPr="005C0605">
              <w:rPr>
                <w:rFonts w:ascii="Arial" w:hAnsi="Arial" w:cs="Arial"/>
                <w:sz w:val="20"/>
                <w:szCs w:val="20"/>
              </w:rPr>
              <w:t>28</w:t>
            </w:r>
            <w:r>
              <w:rPr>
                <w:rFonts w:ascii="Arial" w:hAnsi="Arial" w:cs="Arial"/>
                <w:sz w:val="20"/>
                <w:szCs w:val="20"/>
                <w:lang w:val="en-US"/>
              </w:rPr>
              <w:t>.</w:t>
            </w:r>
            <w:r w:rsidRPr="005C0605">
              <w:rPr>
                <w:rFonts w:ascii="Arial" w:hAnsi="Arial" w:cs="Arial"/>
                <w:sz w:val="20"/>
                <w:szCs w:val="20"/>
              </w:rPr>
              <w:t>6</w:t>
            </w:r>
          </w:p>
        </w:tc>
      </w:tr>
      <w:tr w:rsidR="0090698A" w:rsidRPr="005F0D48" w14:paraId="76F80652" w14:textId="77777777" w:rsidTr="0055731C">
        <w:trPr>
          <w:trHeight w:val="308"/>
        </w:trPr>
        <w:tc>
          <w:tcPr>
            <w:tcW w:w="4254" w:type="dxa"/>
            <w:vAlign w:val="bottom"/>
          </w:tcPr>
          <w:p w14:paraId="0C569570" w14:textId="77777777" w:rsidR="0090698A" w:rsidRPr="005F0D48" w:rsidRDefault="0090698A" w:rsidP="008278F8">
            <w:pPr>
              <w:spacing w:before="40" w:after="40" w:line="288" w:lineRule="auto"/>
              <w:ind w:firstLine="170"/>
              <w:rPr>
                <w:rFonts w:ascii="Arial" w:hAnsi="Arial" w:cs="Arial"/>
                <w:sz w:val="20"/>
                <w:szCs w:val="20"/>
              </w:rPr>
            </w:pPr>
            <w:r w:rsidRPr="005F0D48">
              <w:rPr>
                <w:rFonts w:ascii="Arial" w:hAnsi="Arial" w:cs="Arial"/>
                <w:sz w:val="20"/>
                <w:szCs w:val="20"/>
              </w:rPr>
              <w:t>Footwear</w:t>
            </w:r>
          </w:p>
        </w:tc>
        <w:tc>
          <w:tcPr>
            <w:tcW w:w="1509" w:type="dxa"/>
            <w:vAlign w:val="bottom"/>
          </w:tcPr>
          <w:p w14:paraId="70AFAE05" w14:textId="77777777" w:rsidR="0090698A" w:rsidRPr="005F0D48" w:rsidRDefault="0090698A" w:rsidP="008278F8">
            <w:pPr>
              <w:spacing w:before="40" w:after="40" w:line="288" w:lineRule="auto"/>
              <w:ind w:firstLine="170"/>
              <w:jc w:val="center"/>
              <w:rPr>
                <w:rFonts w:ascii="Arial" w:hAnsi="Arial" w:cs="Arial"/>
                <w:sz w:val="20"/>
                <w:szCs w:val="20"/>
              </w:rPr>
            </w:pPr>
            <w:r w:rsidRPr="005C0605">
              <w:rPr>
                <w:rFonts w:ascii="Arial" w:hAnsi="Arial" w:cs="Arial"/>
                <w:sz w:val="20"/>
                <w:szCs w:val="20"/>
              </w:rPr>
              <w:t>1</w:t>
            </w:r>
            <w:r>
              <w:rPr>
                <w:rFonts w:ascii="Arial" w:hAnsi="Arial" w:cs="Arial"/>
                <w:sz w:val="20"/>
                <w:szCs w:val="20"/>
                <w:lang w:val="en-US"/>
              </w:rPr>
              <w:t>,</w:t>
            </w:r>
            <w:r w:rsidRPr="005C0605">
              <w:rPr>
                <w:rFonts w:ascii="Arial" w:hAnsi="Arial" w:cs="Arial"/>
                <w:sz w:val="20"/>
                <w:szCs w:val="20"/>
              </w:rPr>
              <w:t>850</w:t>
            </w:r>
          </w:p>
        </w:tc>
        <w:tc>
          <w:tcPr>
            <w:tcW w:w="2881" w:type="dxa"/>
            <w:vAlign w:val="bottom"/>
          </w:tcPr>
          <w:p w14:paraId="1EB3E8D5" w14:textId="77777777" w:rsidR="0090698A" w:rsidRPr="005F0D48" w:rsidRDefault="0090698A" w:rsidP="008278F8">
            <w:pPr>
              <w:spacing w:before="40" w:after="40" w:line="288" w:lineRule="auto"/>
              <w:ind w:firstLine="170"/>
              <w:jc w:val="center"/>
              <w:rPr>
                <w:rFonts w:ascii="Arial" w:hAnsi="Arial" w:cs="Arial"/>
                <w:sz w:val="20"/>
                <w:szCs w:val="20"/>
              </w:rPr>
            </w:pPr>
            <w:r w:rsidRPr="005C0605">
              <w:rPr>
                <w:rFonts w:ascii="Arial" w:hAnsi="Arial" w:cs="Arial"/>
                <w:sz w:val="20"/>
                <w:szCs w:val="20"/>
              </w:rPr>
              <w:t>35</w:t>
            </w:r>
            <w:r>
              <w:rPr>
                <w:rFonts w:ascii="Arial" w:hAnsi="Arial" w:cs="Arial"/>
                <w:sz w:val="20"/>
                <w:szCs w:val="20"/>
                <w:lang w:val="en-US"/>
              </w:rPr>
              <w:t>.</w:t>
            </w:r>
            <w:r w:rsidRPr="005C0605">
              <w:rPr>
                <w:rFonts w:ascii="Arial" w:hAnsi="Arial" w:cs="Arial"/>
                <w:sz w:val="20"/>
                <w:szCs w:val="20"/>
              </w:rPr>
              <w:t>0</w:t>
            </w:r>
          </w:p>
        </w:tc>
      </w:tr>
      <w:tr w:rsidR="0090698A" w:rsidRPr="005F0D48" w14:paraId="0BE80F41" w14:textId="77777777" w:rsidTr="0055731C">
        <w:trPr>
          <w:trHeight w:val="308"/>
        </w:trPr>
        <w:tc>
          <w:tcPr>
            <w:tcW w:w="4254" w:type="dxa"/>
            <w:vAlign w:val="bottom"/>
          </w:tcPr>
          <w:p w14:paraId="24177AEA" w14:textId="77777777" w:rsidR="0090698A" w:rsidRPr="005F0D48" w:rsidRDefault="0090698A" w:rsidP="008278F8">
            <w:pPr>
              <w:spacing w:before="40" w:after="40" w:line="288" w:lineRule="auto"/>
              <w:ind w:firstLine="170"/>
              <w:rPr>
                <w:rFonts w:ascii="Arial" w:hAnsi="Arial" w:cs="Arial"/>
                <w:sz w:val="20"/>
                <w:szCs w:val="20"/>
              </w:rPr>
            </w:pPr>
            <w:r w:rsidRPr="005F0D48">
              <w:rPr>
                <w:rFonts w:ascii="Arial" w:hAnsi="Arial" w:cs="Arial"/>
                <w:sz w:val="20"/>
                <w:szCs w:val="20"/>
              </w:rPr>
              <w:t>Wood and products</w:t>
            </w:r>
          </w:p>
        </w:tc>
        <w:tc>
          <w:tcPr>
            <w:tcW w:w="1509" w:type="dxa"/>
            <w:vAlign w:val="bottom"/>
          </w:tcPr>
          <w:p w14:paraId="33D3380D" w14:textId="77777777" w:rsidR="0090698A" w:rsidRPr="005F0D48" w:rsidRDefault="0090698A" w:rsidP="008278F8">
            <w:pPr>
              <w:spacing w:before="40" w:after="40" w:line="288" w:lineRule="auto"/>
              <w:ind w:firstLine="170"/>
              <w:jc w:val="center"/>
              <w:rPr>
                <w:rFonts w:ascii="Arial" w:hAnsi="Arial" w:cs="Arial"/>
                <w:sz w:val="20"/>
                <w:szCs w:val="20"/>
              </w:rPr>
            </w:pPr>
            <w:r w:rsidRPr="005C0605">
              <w:rPr>
                <w:rFonts w:ascii="Arial" w:hAnsi="Arial" w:cs="Arial"/>
                <w:sz w:val="20"/>
                <w:szCs w:val="20"/>
              </w:rPr>
              <w:t>1</w:t>
            </w:r>
            <w:r>
              <w:rPr>
                <w:rFonts w:ascii="Arial" w:hAnsi="Arial" w:cs="Arial"/>
                <w:sz w:val="20"/>
                <w:szCs w:val="20"/>
                <w:lang w:val="en-US"/>
              </w:rPr>
              <w:t>,</w:t>
            </w:r>
            <w:r w:rsidRPr="005C0605">
              <w:rPr>
                <w:rFonts w:ascii="Arial" w:hAnsi="Arial" w:cs="Arial"/>
                <w:sz w:val="20"/>
                <w:szCs w:val="20"/>
              </w:rPr>
              <w:t>400</w:t>
            </w:r>
          </w:p>
        </w:tc>
        <w:tc>
          <w:tcPr>
            <w:tcW w:w="2881" w:type="dxa"/>
            <w:vAlign w:val="bottom"/>
          </w:tcPr>
          <w:p w14:paraId="491A2AC8" w14:textId="77777777" w:rsidR="0090698A" w:rsidRPr="005F0D48" w:rsidRDefault="0090698A" w:rsidP="008278F8">
            <w:pPr>
              <w:spacing w:before="40" w:after="40" w:line="288" w:lineRule="auto"/>
              <w:ind w:firstLine="170"/>
              <w:jc w:val="center"/>
              <w:rPr>
                <w:rFonts w:ascii="Arial" w:hAnsi="Arial" w:cs="Arial"/>
                <w:sz w:val="20"/>
                <w:szCs w:val="20"/>
              </w:rPr>
            </w:pPr>
            <w:r w:rsidRPr="005C0605">
              <w:rPr>
                <w:rFonts w:ascii="Arial" w:hAnsi="Arial" w:cs="Arial"/>
                <w:sz w:val="20"/>
                <w:szCs w:val="20"/>
              </w:rPr>
              <w:t>74</w:t>
            </w:r>
            <w:r>
              <w:rPr>
                <w:rFonts w:ascii="Arial" w:hAnsi="Arial" w:cs="Arial"/>
                <w:sz w:val="20"/>
                <w:szCs w:val="20"/>
                <w:lang w:val="en-US"/>
              </w:rPr>
              <w:t>.</w:t>
            </w:r>
            <w:r w:rsidRPr="005C0605">
              <w:rPr>
                <w:rFonts w:ascii="Arial" w:hAnsi="Arial" w:cs="Arial"/>
                <w:sz w:val="20"/>
                <w:szCs w:val="20"/>
              </w:rPr>
              <w:t>6</w:t>
            </w:r>
          </w:p>
        </w:tc>
      </w:tr>
      <w:tr w:rsidR="0090698A" w:rsidRPr="005F0D48" w14:paraId="20713F8E" w14:textId="77777777" w:rsidTr="0055731C">
        <w:trPr>
          <w:trHeight w:val="308"/>
        </w:trPr>
        <w:tc>
          <w:tcPr>
            <w:tcW w:w="4254" w:type="dxa"/>
            <w:vAlign w:val="bottom"/>
          </w:tcPr>
          <w:p w14:paraId="609DE6DC" w14:textId="77777777" w:rsidR="0090698A" w:rsidRPr="005F0D48" w:rsidRDefault="0090698A" w:rsidP="008278F8">
            <w:pPr>
              <w:spacing w:before="40" w:after="40" w:line="288" w:lineRule="auto"/>
              <w:ind w:firstLine="170"/>
              <w:rPr>
                <w:rFonts w:ascii="Arial" w:hAnsi="Arial" w:cs="Arial"/>
                <w:sz w:val="20"/>
                <w:szCs w:val="20"/>
              </w:rPr>
            </w:pPr>
            <w:r w:rsidRPr="005F0D48">
              <w:rPr>
                <w:rFonts w:ascii="Arial" w:hAnsi="Arial" w:cs="Arial"/>
                <w:sz w:val="20"/>
                <w:szCs w:val="20"/>
              </w:rPr>
              <w:t>Means of transport and components</w:t>
            </w:r>
          </w:p>
        </w:tc>
        <w:tc>
          <w:tcPr>
            <w:tcW w:w="1509" w:type="dxa"/>
            <w:vAlign w:val="bottom"/>
          </w:tcPr>
          <w:p w14:paraId="24AE733F" w14:textId="77777777" w:rsidR="0090698A" w:rsidRPr="005F0D48" w:rsidRDefault="0090698A" w:rsidP="008278F8">
            <w:pPr>
              <w:spacing w:before="40" w:after="40" w:line="288" w:lineRule="auto"/>
              <w:ind w:firstLine="170"/>
              <w:jc w:val="center"/>
              <w:rPr>
                <w:rFonts w:ascii="Arial" w:hAnsi="Arial" w:cs="Arial"/>
                <w:sz w:val="20"/>
                <w:szCs w:val="20"/>
              </w:rPr>
            </w:pPr>
            <w:r w:rsidRPr="005C0605">
              <w:rPr>
                <w:rFonts w:ascii="Arial" w:hAnsi="Arial" w:cs="Arial"/>
                <w:sz w:val="20"/>
                <w:szCs w:val="20"/>
              </w:rPr>
              <w:t>1</w:t>
            </w:r>
            <w:r>
              <w:rPr>
                <w:rFonts w:ascii="Arial" w:hAnsi="Arial" w:cs="Arial"/>
                <w:sz w:val="20"/>
                <w:szCs w:val="20"/>
                <w:lang w:val="en-US"/>
              </w:rPr>
              <w:t>,</w:t>
            </w:r>
            <w:r w:rsidRPr="005C0605">
              <w:rPr>
                <w:rFonts w:ascii="Arial" w:hAnsi="Arial" w:cs="Arial"/>
                <w:sz w:val="20"/>
                <w:szCs w:val="20"/>
              </w:rPr>
              <w:t>300</w:t>
            </w:r>
          </w:p>
        </w:tc>
        <w:tc>
          <w:tcPr>
            <w:tcW w:w="2881" w:type="dxa"/>
            <w:vAlign w:val="bottom"/>
          </w:tcPr>
          <w:p w14:paraId="5387EBE3" w14:textId="77777777" w:rsidR="0090698A" w:rsidRPr="005F0D48" w:rsidRDefault="0090698A" w:rsidP="008278F8">
            <w:pPr>
              <w:spacing w:before="40" w:after="40" w:line="288" w:lineRule="auto"/>
              <w:ind w:firstLine="170"/>
              <w:jc w:val="center"/>
              <w:rPr>
                <w:rFonts w:ascii="Arial" w:hAnsi="Arial" w:cs="Arial"/>
                <w:sz w:val="20"/>
                <w:szCs w:val="20"/>
              </w:rPr>
            </w:pPr>
            <w:r w:rsidRPr="005C0605">
              <w:rPr>
                <w:rFonts w:ascii="Arial" w:hAnsi="Arial" w:cs="Arial"/>
                <w:sz w:val="20"/>
                <w:szCs w:val="20"/>
              </w:rPr>
              <w:t>52</w:t>
            </w:r>
            <w:r>
              <w:rPr>
                <w:rFonts w:ascii="Arial" w:hAnsi="Arial" w:cs="Arial"/>
                <w:sz w:val="20"/>
                <w:szCs w:val="20"/>
                <w:lang w:val="en-US"/>
              </w:rPr>
              <w:t>.</w:t>
            </w:r>
            <w:r w:rsidRPr="005C0605">
              <w:rPr>
                <w:rFonts w:ascii="Arial" w:hAnsi="Arial" w:cs="Arial"/>
                <w:sz w:val="20"/>
                <w:szCs w:val="20"/>
              </w:rPr>
              <w:t>1</w:t>
            </w:r>
          </w:p>
        </w:tc>
      </w:tr>
    </w:tbl>
    <w:p w14:paraId="339FE721" w14:textId="77777777" w:rsidR="0090698A" w:rsidRPr="001A2C17" w:rsidRDefault="0090698A" w:rsidP="0090698A">
      <w:pPr>
        <w:tabs>
          <w:tab w:val="num" w:pos="0"/>
          <w:tab w:val="left" w:pos="9475"/>
        </w:tabs>
        <w:spacing w:before="40" w:after="40" w:line="264" w:lineRule="auto"/>
        <w:ind w:right="119" w:firstLine="567"/>
        <w:jc w:val="right"/>
        <w:rPr>
          <w:rFonts w:ascii="Arial" w:hAnsi="Arial" w:cs="Arial"/>
          <w:b/>
          <w:bCs/>
          <w:i/>
          <w:iCs/>
          <w:sz w:val="2"/>
          <w:szCs w:val="20"/>
          <w:lang w:val="es-NI"/>
        </w:rPr>
      </w:pPr>
    </w:p>
    <w:p w14:paraId="1872ADD7" w14:textId="77777777" w:rsidR="0090698A" w:rsidRPr="00FF3382" w:rsidRDefault="0090698A" w:rsidP="0090698A">
      <w:pPr>
        <w:spacing w:before="40" w:after="40" w:line="264" w:lineRule="auto"/>
        <w:rPr>
          <w:rFonts w:eastAsia="Batang"/>
          <w:bCs/>
          <w:i/>
          <w:spacing w:val="-6"/>
          <w:sz w:val="2"/>
        </w:rPr>
      </w:pPr>
    </w:p>
    <w:p w14:paraId="0283C436" w14:textId="77777777" w:rsidR="0090698A" w:rsidRPr="009D3010" w:rsidRDefault="0090698A" w:rsidP="0090698A">
      <w:pPr>
        <w:spacing w:before="40" w:after="40" w:line="252" w:lineRule="auto"/>
        <w:jc w:val="both"/>
        <w:rPr>
          <w:rFonts w:eastAsia="Batang"/>
          <w:bCs/>
          <w:i/>
          <w:noProof/>
          <w:spacing w:val="-2"/>
        </w:rPr>
      </w:pPr>
      <w:r w:rsidRPr="00007A12">
        <w:rPr>
          <w:noProof/>
          <w:spacing w:val="-2"/>
          <w:lang w:val="en-US"/>
        </w:rPr>
        <mc:AlternateContent>
          <mc:Choice Requires="wps">
            <w:drawing>
              <wp:anchor distT="0" distB="0" distL="114300" distR="114300" simplePos="0" relativeHeight="251673088" behindDoc="0" locked="0" layoutInCell="1" allowOverlap="1" wp14:anchorId="40DA1548" wp14:editId="096F4021">
                <wp:simplePos x="0" y="0"/>
                <wp:positionH relativeFrom="column">
                  <wp:posOffset>23495</wp:posOffset>
                </wp:positionH>
                <wp:positionV relativeFrom="paragraph">
                  <wp:posOffset>88265</wp:posOffset>
                </wp:positionV>
                <wp:extent cx="3375660" cy="2647315"/>
                <wp:effectExtent l="0" t="0" r="0" b="6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2647315"/>
                        </a:xfrm>
                        <a:prstGeom prst="rect">
                          <a:avLst/>
                        </a:prstGeom>
                        <a:solidFill>
                          <a:srgbClr val="FFFFFF"/>
                        </a:solidFill>
                        <a:ln w="9525">
                          <a:noFill/>
                          <a:miter lim="800000"/>
                          <a:headEnd/>
                          <a:tailEnd/>
                        </a:ln>
                      </wps:spPr>
                      <wps:txbx>
                        <w:txbxContent>
                          <w:p w14:paraId="4C71756D" w14:textId="77777777" w:rsidR="0090698A" w:rsidRPr="00074B7B" w:rsidRDefault="0090698A" w:rsidP="0090698A">
                            <w:pPr>
                              <w:jc w:val="center"/>
                              <w:rPr>
                                <w:rFonts w:ascii="Arial" w:hAnsi="Arial" w:cs="Arial"/>
                                <w:b/>
                                <w:bCs/>
                                <w:sz w:val="24"/>
                                <w:szCs w:val="24"/>
                              </w:rPr>
                            </w:pPr>
                            <w:r w:rsidRPr="00EB4138">
                              <w:rPr>
                                <w:rFonts w:ascii="Arial" w:hAnsi="Arial" w:cs="Arial"/>
                                <w:b/>
                                <w:bCs/>
                                <w:sz w:val="24"/>
                                <w:szCs w:val="24"/>
                              </w:rPr>
                              <w:t>Figure</w:t>
                            </w:r>
                            <w:r>
                              <w:rPr>
                                <w:rFonts w:ascii="Arial" w:hAnsi="Arial" w:cs="Arial"/>
                                <w:b/>
                                <w:bCs/>
                                <w:sz w:val="24"/>
                                <w:szCs w:val="24"/>
                              </w:rPr>
                              <w:t xml:space="preserve"> 16. </w:t>
                            </w:r>
                            <w:r w:rsidRPr="00074B7B">
                              <w:rPr>
                                <w:rFonts w:ascii="Arial" w:hAnsi="Arial" w:cs="Arial"/>
                                <w:b/>
                                <w:bCs/>
                                <w:sz w:val="24"/>
                                <w:szCs w:val="24"/>
                              </w:rPr>
                              <w:t>Structure of exported groups</w:t>
                            </w:r>
                          </w:p>
                          <w:p w14:paraId="37B2C531" w14:textId="77777777" w:rsidR="0090698A" w:rsidRDefault="0090698A" w:rsidP="0090698A">
                            <w:pPr>
                              <w:spacing w:before="40" w:after="120"/>
                              <w:jc w:val="center"/>
                              <w:rPr>
                                <w:rFonts w:ascii="Arial" w:hAnsi="Arial" w:cs="Arial"/>
                                <w:b/>
                                <w:bCs/>
                                <w:sz w:val="24"/>
                                <w:szCs w:val="24"/>
                              </w:rPr>
                            </w:pPr>
                            <w:r w:rsidRPr="00F105D1">
                              <w:rPr>
                                <w:rFonts w:ascii="Arial" w:hAnsi="Arial" w:cs="Arial"/>
                                <w:b/>
                                <w:bCs/>
                                <w:sz w:val="24"/>
                                <w:szCs w:val="24"/>
                              </w:rPr>
                              <w:t xml:space="preserve">in </w:t>
                            </w:r>
                            <w:r>
                              <w:rPr>
                                <w:rFonts w:ascii="Arial" w:hAnsi="Arial" w:cs="Arial"/>
                                <w:b/>
                                <w:bCs/>
                                <w:sz w:val="24"/>
                                <w:szCs w:val="24"/>
                              </w:rPr>
                              <w:t xml:space="preserve">January </w:t>
                            </w:r>
                            <w:r w:rsidRPr="00F105D1">
                              <w:rPr>
                                <w:rFonts w:ascii="Arial" w:hAnsi="Arial" w:cs="Arial"/>
                                <w:b/>
                                <w:bCs/>
                                <w:sz w:val="24"/>
                                <w:szCs w:val="24"/>
                              </w:rPr>
                              <w:t>202</w:t>
                            </w:r>
                            <w:r>
                              <w:rPr>
                                <w:rFonts w:ascii="Arial" w:hAnsi="Arial" w:cs="Arial"/>
                                <w:b/>
                                <w:bCs/>
                                <w:sz w:val="24"/>
                                <w:szCs w:val="24"/>
                              </w:rPr>
                              <w:t>4</w:t>
                            </w:r>
                          </w:p>
                          <w:p w14:paraId="6043C689" w14:textId="77777777" w:rsidR="0090698A" w:rsidRPr="000B4588" w:rsidRDefault="0090698A" w:rsidP="0090698A">
                            <w:pPr>
                              <w:jc w:val="center"/>
                              <w:rPr>
                                <w:rFonts w:ascii="Arial" w:hAnsi="Arial" w:cs="Arial"/>
                                <w:b/>
                                <w:bCs/>
                                <w:sz w:val="2"/>
                                <w:szCs w:val="24"/>
                              </w:rPr>
                            </w:pPr>
                          </w:p>
                          <w:p w14:paraId="23245887" w14:textId="77777777" w:rsidR="0090698A" w:rsidRPr="00271B83" w:rsidRDefault="0090698A" w:rsidP="0090698A">
                            <w:pPr>
                              <w:ind w:left="-142"/>
                              <w:jc w:val="center"/>
                              <w:rPr>
                                <w:rFonts w:ascii="Arial" w:hAnsi="Arial" w:cs="Arial"/>
                                <w:sz w:val="24"/>
                                <w:szCs w:val="24"/>
                              </w:rPr>
                            </w:pPr>
                            <w:r w:rsidRPr="00B72505">
                              <w:rPr>
                                <w:noProof/>
                              </w:rPr>
                              <w:drawing>
                                <wp:inline distT="0" distB="0" distL="0" distR="0" wp14:anchorId="4464F5F4" wp14:editId="703C7358">
                                  <wp:extent cx="3294380" cy="2138680"/>
                                  <wp:effectExtent l="0" t="0" r="1270" b="0"/>
                                  <wp:docPr id="2064306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4380" cy="213868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40DA1548" id="_x0000_t202" coordsize="21600,21600" o:spt="202" path="m,l,21600r21600,l21600,xe">
                <v:stroke joinstyle="miter"/>
                <v:path gradientshapeok="t" o:connecttype="rect"/>
              </v:shapetype>
              <v:shape id="Text Box 2" o:spid="_x0000_s1026" type="#_x0000_t202" style="position:absolute;left:0;text-align:left;margin-left:1.85pt;margin-top:6.95pt;width:265.8pt;height:208.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" stroked="f">
                <v:textbox inset="1mm,1mm,1mm,1mm">
                  <w:txbxContent>
                    <w:p w14:paraId="4C71756D" w14:textId="77777777" w:rsidR="0090698A" w:rsidRPr="00074B7B" w:rsidRDefault="0090698A" w:rsidP="0090698A">
                      <w:pPr>
                        <w:jc w:val="center"/>
                        <w:rPr>
                          <w:rFonts w:ascii="Arial" w:hAnsi="Arial" w:cs="Arial"/>
                          <w:b/>
                          <w:bCs/>
                          <w:sz w:val="24"/>
                          <w:szCs w:val="24"/>
                        </w:rPr>
                      </w:pPr>
                      <w:r w:rsidRPr="00EB4138">
                        <w:rPr>
                          <w:rFonts w:ascii="Arial" w:hAnsi="Arial" w:cs="Arial"/>
                          <w:b/>
                          <w:bCs/>
                          <w:sz w:val="24"/>
                          <w:szCs w:val="24"/>
                        </w:rPr>
                        <w:t>Figure</w:t>
                      </w:r>
                      <w:r>
                        <w:rPr>
                          <w:rFonts w:ascii="Arial" w:hAnsi="Arial" w:cs="Arial"/>
                          <w:b/>
                          <w:bCs/>
                          <w:sz w:val="24"/>
                          <w:szCs w:val="24"/>
                        </w:rPr>
                        <w:t xml:space="preserve"> 16. </w:t>
                      </w:r>
                      <w:r w:rsidRPr="00074B7B">
                        <w:rPr>
                          <w:rFonts w:ascii="Arial" w:hAnsi="Arial" w:cs="Arial"/>
                          <w:b/>
                          <w:bCs/>
                          <w:sz w:val="24"/>
                          <w:szCs w:val="24"/>
                        </w:rPr>
                        <w:t>Structure of exported groups</w:t>
                      </w:r>
                    </w:p>
                    <w:p w14:paraId="37B2C531" w14:textId="77777777" w:rsidR="0090698A" w:rsidRDefault="0090698A" w:rsidP="0090698A">
                      <w:pPr>
                        <w:spacing w:before="40" w:after="120"/>
                        <w:jc w:val="center"/>
                        <w:rPr>
                          <w:rFonts w:ascii="Arial" w:hAnsi="Arial" w:cs="Arial"/>
                          <w:b/>
                          <w:bCs/>
                          <w:sz w:val="24"/>
                          <w:szCs w:val="24"/>
                        </w:rPr>
                      </w:pPr>
                      <w:r w:rsidRPr="00F105D1">
                        <w:rPr>
                          <w:rFonts w:ascii="Arial" w:hAnsi="Arial" w:cs="Arial"/>
                          <w:b/>
                          <w:bCs/>
                          <w:sz w:val="24"/>
                          <w:szCs w:val="24"/>
                        </w:rPr>
                        <w:t xml:space="preserve">in </w:t>
                      </w:r>
                      <w:r>
                        <w:rPr>
                          <w:rFonts w:ascii="Arial" w:hAnsi="Arial" w:cs="Arial"/>
                          <w:b/>
                          <w:bCs/>
                          <w:sz w:val="24"/>
                          <w:szCs w:val="24"/>
                        </w:rPr>
                        <w:t xml:space="preserve">January </w:t>
                      </w:r>
                      <w:r w:rsidRPr="00F105D1">
                        <w:rPr>
                          <w:rFonts w:ascii="Arial" w:hAnsi="Arial" w:cs="Arial"/>
                          <w:b/>
                          <w:bCs/>
                          <w:sz w:val="24"/>
                          <w:szCs w:val="24"/>
                        </w:rPr>
                        <w:t>202</w:t>
                      </w:r>
                      <w:r>
                        <w:rPr>
                          <w:rFonts w:ascii="Arial" w:hAnsi="Arial" w:cs="Arial"/>
                          <w:b/>
                          <w:bCs/>
                          <w:sz w:val="24"/>
                          <w:szCs w:val="24"/>
                        </w:rPr>
                        <w:t>4</w:t>
                      </w:r>
                    </w:p>
                    <w:p w14:paraId="6043C689" w14:textId="77777777" w:rsidR="0090698A" w:rsidRPr="000B4588" w:rsidRDefault="0090698A" w:rsidP="0090698A">
                      <w:pPr>
                        <w:jc w:val="center"/>
                        <w:rPr>
                          <w:rFonts w:ascii="Arial" w:hAnsi="Arial" w:cs="Arial"/>
                          <w:b/>
                          <w:bCs/>
                          <w:sz w:val="2"/>
                          <w:szCs w:val="24"/>
                        </w:rPr>
                      </w:pPr>
                    </w:p>
                    <w:p w14:paraId="23245887" w14:textId="77777777" w:rsidR="0090698A" w:rsidRPr="00271B83" w:rsidRDefault="0090698A" w:rsidP="0090698A">
                      <w:pPr>
                        <w:ind w:left="-142"/>
                        <w:jc w:val="center"/>
                        <w:rPr>
                          <w:rFonts w:ascii="Arial" w:hAnsi="Arial" w:cs="Arial"/>
                          <w:sz w:val="24"/>
                          <w:szCs w:val="24"/>
                        </w:rPr>
                      </w:pPr>
                      <w:r w:rsidRPr="00B72505">
                        <w:rPr>
                          <w:noProof/>
                        </w:rPr>
                        <w:drawing>
                          <wp:inline distT="0" distB="0" distL="0" distR="0" wp14:anchorId="4464F5F4" wp14:editId="703C7358">
                            <wp:extent cx="3294380" cy="2138680"/>
                            <wp:effectExtent l="0" t="0" r="1270" b="0"/>
                            <wp:docPr id="2064306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4380" cy="2138680"/>
                                    </a:xfrm>
                                    <a:prstGeom prst="rect">
                                      <a:avLst/>
                                    </a:prstGeom>
                                    <a:noFill/>
                                    <a:ln>
                                      <a:noFill/>
                                    </a:ln>
                                  </pic:spPr>
                                </pic:pic>
                              </a:graphicData>
                            </a:graphic>
                          </wp:inline>
                        </w:drawing>
                      </w:r>
                    </w:p>
                  </w:txbxContent>
                </v:textbox>
                <w10:wrap type="square"/>
              </v:shape>
            </w:pict>
          </mc:Fallback>
        </mc:AlternateContent>
      </w:r>
      <w:r w:rsidRPr="00007A12">
        <w:rPr>
          <w:rFonts w:eastAsia="Batang"/>
          <w:bCs/>
          <w:noProof/>
          <w:spacing w:val="-2"/>
        </w:rPr>
        <w:t xml:space="preserve"> </w:t>
      </w:r>
      <w:r w:rsidRPr="00007A12">
        <w:rPr>
          <w:rFonts w:eastAsia="Batang"/>
          <w:noProof/>
          <w:lang w:val="en-US"/>
        </w:rPr>
        <w:t>Regarding the structure of exported groups in January 2024,</w:t>
      </w:r>
      <w:r w:rsidRPr="00571D78">
        <w:rPr>
          <w:rFonts w:eastAsia="Batang"/>
        </w:rPr>
        <w:t xml:space="preserve"> </w:t>
      </w:r>
      <w:r w:rsidRPr="00BD5086">
        <w:rPr>
          <w:rFonts w:eastAsia="Batang"/>
        </w:rPr>
        <w:t xml:space="preserve">the group of fuels and minerals </w:t>
      </w:r>
      <w:r w:rsidRPr="00587292">
        <w:rPr>
          <w:rFonts w:eastAsia="Batang"/>
          <w:bCs/>
          <w:lang w:val="en-US"/>
        </w:rPr>
        <w:t>was estimated at 2</w:t>
      </w:r>
      <w:r>
        <w:rPr>
          <w:rFonts w:eastAsia="Batang"/>
          <w:bCs/>
          <w:lang w:val="en-US"/>
        </w:rPr>
        <w:t>92</w:t>
      </w:r>
      <w:r w:rsidRPr="00587292">
        <w:rPr>
          <w:rFonts w:eastAsia="Batang"/>
          <w:bCs/>
          <w:lang w:val="en-US"/>
        </w:rPr>
        <w:t xml:space="preserve"> </w:t>
      </w:r>
      <w:r>
        <w:rPr>
          <w:rFonts w:eastAsia="Batang"/>
          <w:bCs/>
          <w:lang w:val="en-US"/>
        </w:rPr>
        <w:t>m</w:t>
      </w:r>
      <w:r w:rsidRPr="00587292">
        <w:rPr>
          <w:rFonts w:eastAsia="Batang"/>
          <w:bCs/>
          <w:lang w:val="en-US"/>
        </w:rPr>
        <w:t>illion USD</w:t>
      </w:r>
      <w:r>
        <w:rPr>
          <w:rFonts w:eastAsia="Batang"/>
          <w:bCs/>
          <w:lang w:val="en-US"/>
        </w:rPr>
        <w:t>,</w:t>
      </w:r>
      <w:r w:rsidRPr="00587292">
        <w:rPr>
          <w:rFonts w:eastAsia="Batang"/>
        </w:rPr>
        <w:t xml:space="preserve"> </w:t>
      </w:r>
      <w:r w:rsidRPr="00BD5086">
        <w:rPr>
          <w:rFonts w:eastAsia="Batang"/>
        </w:rPr>
        <w:t xml:space="preserve">accounting for </w:t>
      </w:r>
      <w:r>
        <w:rPr>
          <w:rFonts w:eastAsia="Batang"/>
        </w:rPr>
        <w:t>0.9</w:t>
      </w:r>
      <w:r w:rsidRPr="00BD5086">
        <w:rPr>
          <w:rFonts w:eastAsia="Batang"/>
        </w:rPr>
        <w:t>%</w:t>
      </w:r>
      <w:r>
        <w:rPr>
          <w:rFonts w:eastAsia="Batang"/>
        </w:rPr>
        <w:t>;</w:t>
      </w:r>
      <w:r w:rsidRPr="00BD5086">
        <w:rPr>
          <w:rFonts w:eastAsia="Batang"/>
        </w:rPr>
        <w:t xml:space="preserve"> </w:t>
      </w:r>
      <w:r>
        <w:rPr>
          <w:rFonts w:eastAsia="Batang"/>
        </w:rPr>
        <w:t>t</w:t>
      </w:r>
      <w:r w:rsidRPr="00571D78">
        <w:rPr>
          <w:rFonts w:eastAsia="Batang"/>
        </w:rPr>
        <w:t xml:space="preserve">he group of processing industry </w:t>
      </w:r>
      <w:r w:rsidRPr="00587292">
        <w:rPr>
          <w:rFonts w:eastAsia="Batang"/>
          <w:bCs/>
          <w:lang w:val="en-US"/>
        </w:rPr>
        <w:t xml:space="preserve">was estimated at </w:t>
      </w:r>
      <w:r>
        <w:rPr>
          <w:rFonts w:eastAsia="Batang"/>
          <w:bCs/>
          <w:lang w:val="en-US"/>
        </w:rPr>
        <w:t>29.48</w:t>
      </w:r>
      <w:r w:rsidRPr="00587292">
        <w:rPr>
          <w:rFonts w:eastAsia="Batang"/>
          <w:bCs/>
          <w:lang w:val="en-US"/>
        </w:rPr>
        <w:t xml:space="preserve"> </w:t>
      </w:r>
      <w:r>
        <w:rPr>
          <w:rFonts w:eastAsia="Batang"/>
          <w:bCs/>
          <w:lang w:val="en-US"/>
        </w:rPr>
        <w:t>b</w:t>
      </w:r>
      <w:r w:rsidRPr="00587292">
        <w:rPr>
          <w:rFonts w:eastAsia="Batang"/>
          <w:bCs/>
          <w:lang w:val="en-US"/>
        </w:rPr>
        <w:t>illion USD</w:t>
      </w:r>
      <w:r>
        <w:rPr>
          <w:rFonts w:eastAsia="Batang"/>
          <w:bCs/>
          <w:lang w:val="en-US"/>
        </w:rPr>
        <w:t>,</w:t>
      </w:r>
      <w:r w:rsidRPr="00587292">
        <w:rPr>
          <w:rFonts w:eastAsia="Batang"/>
        </w:rPr>
        <w:t xml:space="preserve"> </w:t>
      </w:r>
      <w:r w:rsidRPr="00571D78">
        <w:rPr>
          <w:rFonts w:eastAsia="Batang"/>
        </w:rPr>
        <w:t xml:space="preserve">accounting for </w:t>
      </w:r>
      <w:r>
        <w:rPr>
          <w:rFonts w:eastAsia="Batang"/>
        </w:rPr>
        <w:t>87.8</w:t>
      </w:r>
      <w:r w:rsidRPr="00571D78">
        <w:rPr>
          <w:rFonts w:eastAsia="Batang"/>
        </w:rPr>
        <w:t>%</w:t>
      </w:r>
      <w:r>
        <w:rPr>
          <w:rFonts w:eastAsia="Batang"/>
        </w:rPr>
        <w:t>;</w:t>
      </w:r>
      <w:r w:rsidRPr="00571D78">
        <w:rPr>
          <w:rFonts w:eastAsia="Batang"/>
        </w:rPr>
        <w:t xml:space="preserve"> </w:t>
      </w:r>
      <w:r>
        <w:rPr>
          <w:rFonts w:eastAsia="Batang"/>
        </w:rPr>
        <w:t>a</w:t>
      </w:r>
      <w:r w:rsidRPr="00571D78">
        <w:rPr>
          <w:rFonts w:eastAsia="Batang"/>
        </w:rPr>
        <w:t xml:space="preserve">gricultural and forestry products </w:t>
      </w:r>
      <w:r w:rsidRPr="00587292">
        <w:rPr>
          <w:rFonts w:eastAsia="Batang"/>
          <w:bCs/>
          <w:lang w:val="en-US"/>
        </w:rPr>
        <w:t xml:space="preserve">was estimated at </w:t>
      </w:r>
      <w:r>
        <w:rPr>
          <w:rFonts w:eastAsia="Batang"/>
          <w:bCs/>
          <w:lang w:val="en-US"/>
        </w:rPr>
        <w:t>3.07</w:t>
      </w:r>
      <w:r w:rsidRPr="00587292">
        <w:rPr>
          <w:rFonts w:eastAsia="Batang"/>
          <w:bCs/>
          <w:lang w:val="en-US"/>
        </w:rPr>
        <w:t xml:space="preserve"> </w:t>
      </w:r>
      <w:r>
        <w:rPr>
          <w:rFonts w:eastAsia="Batang"/>
          <w:bCs/>
          <w:lang w:val="en-US"/>
        </w:rPr>
        <w:t>b</w:t>
      </w:r>
      <w:r w:rsidRPr="00587292">
        <w:rPr>
          <w:rFonts w:eastAsia="Batang"/>
          <w:bCs/>
          <w:lang w:val="en-US"/>
        </w:rPr>
        <w:t>illion USD</w:t>
      </w:r>
      <w:r w:rsidRPr="00587292">
        <w:rPr>
          <w:rFonts w:eastAsia="Batang"/>
        </w:rPr>
        <w:t xml:space="preserve"> </w:t>
      </w:r>
      <w:r w:rsidRPr="00571D78">
        <w:rPr>
          <w:rFonts w:eastAsia="Batang"/>
        </w:rPr>
        <w:t xml:space="preserve">accounting for </w:t>
      </w:r>
      <w:r>
        <w:rPr>
          <w:rFonts w:eastAsia="Batang"/>
        </w:rPr>
        <w:t>9.1</w:t>
      </w:r>
      <w:r w:rsidRPr="00571D78">
        <w:rPr>
          <w:rFonts w:eastAsia="Batang"/>
        </w:rPr>
        <w:t>%</w:t>
      </w:r>
      <w:r>
        <w:rPr>
          <w:rFonts w:eastAsia="Batang"/>
        </w:rPr>
        <w:t>;</w:t>
      </w:r>
      <w:r w:rsidRPr="00571D78">
        <w:rPr>
          <w:rFonts w:eastAsia="Batang"/>
        </w:rPr>
        <w:t xml:space="preserve"> </w:t>
      </w:r>
      <w:r>
        <w:rPr>
          <w:rFonts w:eastAsia="Batang"/>
        </w:rPr>
        <w:t>t</w:t>
      </w:r>
      <w:r w:rsidRPr="00571D78">
        <w:rPr>
          <w:rFonts w:eastAsia="Batang"/>
        </w:rPr>
        <w:t xml:space="preserve">he group of </w:t>
      </w:r>
      <w:r w:rsidRPr="00571D78">
        <w:t>fishery</w:t>
      </w:r>
      <w:r w:rsidRPr="00571D78">
        <w:rPr>
          <w:rFonts w:eastAsia="Batang"/>
        </w:rPr>
        <w:t xml:space="preserve"> products </w:t>
      </w:r>
      <w:r w:rsidRPr="00587292">
        <w:rPr>
          <w:rFonts w:eastAsia="Batang"/>
          <w:bCs/>
          <w:lang w:val="en-US"/>
        </w:rPr>
        <w:t xml:space="preserve">was estimated at </w:t>
      </w:r>
      <w:r>
        <w:rPr>
          <w:rFonts w:eastAsia="Batang"/>
          <w:bCs/>
          <w:lang w:val="en-US"/>
        </w:rPr>
        <w:t>730</w:t>
      </w:r>
      <w:r w:rsidRPr="00587292">
        <w:rPr>
          <w:rFonts w:eastAsia="Batang"/>
          <w:bCs/>
          <w:lang w:val="en-US"/>
        </w:rPr>
        <w:t xml:space="preserve"> </w:t>
      </w:r>
      <w:r>
        <w:rPr>
          <w:rFonts w:eastAsia="Batang"/>
          <w:bCs/>
          <w:lang w:val="en-US"/>
        </w:rPr>
        <w:t>m</w:t>
      </w:r>
      <w:r w:rsidRPr="00587292">
        <w:rPr>
          <w:rFonts w:eastAsia="Batang"/>
          <w:bCs/>
          <w:lang w:val="en-US"/>
        </w:rPr>
        <w:t>illion USD</w:t>
      </w:r>
      <w:r w:rsidRPr="00587292">
        <w:rPr>
          <w:rFonts w:eastAsia="Batang"/>
        </w:rPr>
        <w:t xml:space="preserve"> </w:t>
      </w:r>
      <w:r w:rsidRPr="00571D78">
        <w:rPr>
          <w:rFonts w:eastAsia="Batang"/>
        </w:rPr>
        <w:t>accounting for 2.</w:t>
      </w:r>
      <w:r>
        <w:rPr>
          <w:rFonts w:eastAsia="Batang"/>
        </w:rPr>
        <w:t>4</w:t>
      </w:r>
      <w:r w:rsidRPr="00571D78">
        <w:rPr>
          <w:rFonts w:eastAsia="Batang"/>
        </w:rPr>
        <w:t>%</w:t>
      </w:r>
      <w:r>
        <w:rPr>
          <w:rFonts w:eastAsia="Batang"/>
        </w:rPr>
        <w:t>.</w:t>
      </w:r>
    </w:p>
    <w:p w14:paraId="140AFA73" w14:textId="77777777" w:rsidR="0090698A" w:rsidRPr="006D1316" w:rsidRDefault="0090698A" w:rsidP="0090698A">
      <w:pPr>
        <w:tabs>
          <w:tab w:val="left" w:pos="900"/>
          <w:tab w:val="left" w:pos="9475"/>
        </w:tabs>
        <w:spacing w:before="40" w:after="40"/>
        <w:ind w:firstLine="567"/>
        <w:rPr>
          <w:rStyle w:val="Strong"/>
          <w:b w:val="0"/>
          <w:bCs w:val="0"/>
          <w:sz w:val="2"/>
          <w:szCs w:val="16"/>
          <w:lang w:val="de-DE"/>
        </w:rPr>
      </w:pPr>
    </w:p>
    <w:p w14:paraId="0436D56A" w14:textId="77777777" w:rsidR="0090698A" w:rsidRDefault="0090698A" w:rsidP="0090698A">
      <w:pPr>
        <w:tabs>
          <w:tab w:val="num" w:pos="0"/>
          <w:tab w:val="left" w:pos="9475"/>
        </w:tabs>
        <w:spacing w:before="40" w:after="40" w:line="283" w:lineRule="auto"/>
        <w:ind w:right="6" w:firstLine="567"/>
        <w:jc w:val="both"/>
        <w:rPr>
          <w:rStyle w:val="Strong"/>
          <w:i/>
          <w:iCs/>
          <w:lang w:val="de-DE"/>
        </w:rPr>
      </w:pPr>
      <w:r w:rsidRPr="00443786">
        <w:rPr>
          <w:rStyle w:val="Strong"/>
          <w:i/>
          <w:iCs/>
          <w:lang w:val="de-DE"/>
        </w:rPr>
        <w:t>Import of goods</w:t>
      </w:r>
    </w:p>
    <w:p w14:paraId="46A60080" w14:textId="77777777" w:rsidR="0090698A" w:rsidRPr="0000305B" w:rsidRDefault="0090698A" w:rsidP="0090698A">
      <w:pPr>
        <w:tabs>
          <w:tab w:val="left" w:pos="9475"/>
        </w:tabs>
        <w:spacing w:before="40" w:after="40" w:line="264" w:lineRule="auto"/>
        <w:ind w:right="6" w:firstLine="567"/>
        <w:jc w:val="both"/>
        <w:rPr>
          <w:bCs/>
          <w:lang w:val="en-US"/>
        </w:rPr>
      </w:pPr>
      <w:r w:rsidRPr="006C716C">
        <w:rPr>
          <w:bCs/>
          <w:lang w:val="en-US"/>
        </w:rPr>
        <w:t xml:space="preserve">Preliminary import turnover of goods </w:t>
      </w:r>
      <w:r w:rsidRPr="00BF2FFF">
        <w:rPr>
          <w:bCs/>
          <w:lang w:val="de-DE"/>
        </w:rPr>
        <w:t xml:space="preserve">in </w:t>
      </w:r>
      <w:r>
        <w:rPr>
          <w:bCs/>
          <w:lang w:val="en-US"/>
        </w:rPr>
        <w:t>December</w:t>
      </w:r>
      <w:r w:rsidRPr="0000305B">
        <w:rPr>
          <w:bCs/>
          <w:lang w:val="en-US"/>
        </w:rPr>
        <w:t xml:space="preserve"> 202</w:t>
      </w:r>
      <w:r>
        <w:rPr>
          <w:bCs/>
          <w:lang w:val="en-US"/>
        </w:rPr>
        <w:t>3</w:t>
      </w:r>
      <w:r w:rsidRPr="0000305B">
        <w:rPr>
          <w:bCs/>
          <w:lang w:val="en-US"/>
        </w:rPr>
        <w:t xml:space="preserve"> reached 2</w:t>
      </w:r>
      <w:r>
        <w:rPr>
          <w:bCs/>
          <w:lang w:val="en-US"/>
        </w:rPr>
        <w:t>9.4</w:t>
      </w:r>
      <w:r w:rsidRPr="0000305B">
        <w:rPr>
          <w:bCs/>
          <w:lang w:val="en-US"/>
        </w:rPr>
        <w:t xml:space="preserve"> billion USD, </w:t>
      </w:r>
      <w:r>
        <w:rPr>
          <w:bCs/>
          <w:lang w:val="en-US"/>
        </w:rPr>
        <w:t>1.23 b</w:t>
      </w:r>
      <w:r w:rsidRPr="0000305B">
        <w:rPr>
          <w:bCs/>
          <w:lang w:val="en-US"/>
        </w:rPr>
        <w:t>illion USD lower than the estimated figure.</w:t>
      </w:r>
    </w:p>
    <w:p w14:paraId="696E02CB" w14:textId="77777777" w:rsidR="0090698A" w:rsidRPr="0000305B" w:rsidRDefault="0090698A" w:rsidP="0090698A">
      <w:pPr>
        <w:tabs>
          <w:tab w:val="left" w:pos="9475"/>
        </w:tabs>
        <w:spacing w:before="40" w:after="40" w:line="264" w:lineRule="auto"/>
        <w:ind w:right="6" w:firstLine="567"/>
        <w:jc w:val="both"/>
        <w:rPr>
          <w:bCs/>
          <w:lang w:val="en-US"/>
        </w:rPr>
      </w:pPr>
      <w:r w:rsidRPr="00007A12">
        <w:rPr>
          <w:bCs/>
          <w:lang w:val="en-US"/>
        </w:rPr>
        <w:t>Import turnover in January 2024 was estimated at 30.65 billion USD, which</w:t>
      </w:r>
      <w:r w:rsidRPr="0000305B">
        <w:rPr>
          <w:bCs/>
          <w:lang w:val="en-US"/>
        </w:rPr>
        <w:t xml:space="preserve"> </w:t>
      </w:r>
      <w:r>
        <w:rPr>
          <w:bCs/>
          <w:lang w:val="en-US"/>
        </w:rPr>
        <w:t>in</w:t>
      </w:r>
      <w:r w:rsidRPr="0000305B">
        <w:rPr>
          <w:bCs/>
          <w:lang w:val="en-US"/>
        </w:rPr>
        <w:t xml:space="preserve">creased by </w:t>
      </w:r>
      <w:r>
        <w:rPr>
          <w:bCs/>
          <w:lang w:val="en-US"/>
        </w:rPr>
        <w:t>4.2</w:t>
      </w:r>
      <w:r w:rsidRPr="0000305B">
        <w:rPr>
          <w:bCs/>
          <w:lang w:val="en-US"/>
        </w:rPr>
        <w:t>% over the previous month</w:t>
      </w:r>
      <w:r>
        <w:rPr>
          <w:bCs/>
          <w:lang w:val="en-US"/>
        </w:rPr>
        <w:t>,</w:t>
      </w:r>
      <w:r w:rsidRPr="0000305B">
        <w:rPr>
          <w:bCs/>
          <w:lang w:val="en-US"/>
        </w:rPr>
        <w:t xml:space="preserve"> </w:t>
      </w:r>
      <w:r>
        <w:rPr>
          <w:bCs/>
          <w:lang w:val="en-US"/>
        </w:rPr>
        <w:t>o</w:t>
      </w:r>
      <w:r w:rsidRPr="0000305B">
        <w:rPr>
          <w:bCs/>
          <w:lang w:val="en-US"/>
        </w:rPr>
        <w:t xml:space="preserve">f which the domestic economic </w:t>
      </w:r>
      <w:r w:rsidRPr="0000305B">
        <w:rPr>
          <w:bCs/>
          <w:lang w:val="en-US"/>
        </w:rPr>
        <w:lastRenderedPageBreak/>
        <w:t xml:space="preserve">sector gained </w:t>
      </w:r>
      <w:r>
        <w:rPr>
          <w:bCs/>
          <w:lang w:val="en-US"/>
        </w:rPr>
        <w:t>11.15</w:t>
      </w:r>
      <w:r w:rsidRPr="0000305B">
        <w:rPr>
          <w:bCs/>
          <w:lang w:val="en-US"/>
        </w:rPr>
        <w:t xml:space="preserve"> billion USD, </w:t>
      </w:r>
      <w:r>
        <w:rPr>
          <w:bCs/>
          <w:lang w:val="en-US"/>
        </w:rPr>
        <w:t>up</w:t>
      </w:r>
      <w:r w:rsidRPr="0000305B">
        <w:rPr>
          <w:bCs/>
          <w:lang w:val="en-US"/>
        </w:rPr>
        <w:t xml:space="preserve"> </w:t>
      </w:r>
      <w:r>
        <w:rPr>
          <w:bCs/>
          <w:lang w:val="en-US"/>
        </w:rPr>
        <w:t>1.</w:t>
      </w:r>
      <w:r w:rsidRPr="0000305B">
        <w:rPr>
          <w:bCs/>
          <w:lang w:val="en-US"/>
        </w:rPr>
        <w:t>6%; the FDI sector reached 1</w:t>
      </w:r>
      <w:r>
        <w:rPr>
          <w:bCs/>
          <w:lang w:val="en-US"/>
        </w:rPr>
        <w:t>9.5</w:t>
      </w:r>
      <w:r w:rsidRPr="0000305B">
        <w:rPr>
          <w:bCs/>
          <w:lang w:val="en-US"/>
        </w:rPr>
        <w:t xml:space="preserve"> billion USD, </w:t>
      </w:r>
      <w:r>
        <w:rPr>
          <w:bCs/>
          <w:lang w:val="en-US"/>
        </w:rPr>
        <w:t>in</w:t>
      </w:r>
      <w:r w:rsidRPr="0000305B">
        <w:rPr>
          <w:bCs/>
          <w:lang w:val="en-US"/>
        </w:rPr>
        <w:t xml:space="preserve">creased by </w:t>
      </w:r>
      <w:r>
        <w:rPr>
          <w:bCs/>
          <w:lang w:val="en-US"/>
        </w:rPr>
        <w:t>5.8</w:t>
      </w:r>
      <w:r w:rsidRPr="0000305B">
        <w:rPr>
          <w:bCs/>
          <w:lang w:val="en-US"/>
        </w:rPr>
        <w:t>%. Compared to the same period in 202</w:t>
      </w:r>
      <w:r>
        <w:rPr>
          <w:bCs/>
          <w:lang w:val="en-US"/>
        </w:rPr>
        <w:t>3</w:t>
      </w:r>
      <w:r w:rsidRPr="0000305B">
        <w:rPr>
          <w:bCs/>
          <w:lang w:val="en-US"/>
        </w:rPr>
        <w:t xml:space="preserve">, the import turnover of goods in </w:t>
      </w:r>
      <w:r>
        <w:rPr>
          <w:bCs/>
          <w:lang w:val="en-US"/>
        </w:rPr>
        <w:t>January</w:t>
      </w:r>
      <w:r w:rsidRPr="0000305B">
        <w:rPr>
          <w:bCs/>
          <w:lang w:val="en-US"/>
        </w:rPr>
        <w:t xml:space="preserve"> </w:t>
      </w:r>
      <w:r>
        <w:rPr>
          <w:bCs/>
          <w:lang w:val="en-US"/>
        </w:rPr>
        <w:t>in</w:t>
      </w:r>
      <w:r w:rsidRPr="0000305B">
        <w:rPr>
          <w:bCs/>
          <w:lang w:val="en-US"/>
        </w:rPr>
        <w:t xml:space="preserve">creased by </w:t>
      </w:r>
      <w:r>
        <w:rPr>
          <w:bCs/>
          <w:lang w:val="en-US"/>
        </w:rPr>
        <w:t>33.3</w:t>
      </w:r>
      <w:r w:rsidRPr="0000305B">
        <w:rPr>
          <w:bCs/>
          <w:lang w:val="en-US"/>
        </w:rPr>
        <w:t xml:space="preserve">%, of which the domestic economic sector </w:t>
      </w:r>
      <w:r>
        <w:rPr>
          <w:bCs/>
          <w:lang w:val="en-US"/>
        </w:rPr>
        <w:t>in</w:t>
      </w:r>
      <w:r w:rsidRPr="0000305B">
        <w:rPr>
          <w:bCs/>
          <w:lang w:val="en-US"/>
        </w:rPr>
        <w:t xml:space="preserve">creased by </w:t>
      </w:r>
      <w:r>
        <w:rPr>
          <w:bCs/>
          <w:lang w:val="en-US"/>
        </w:rPr>
        <w:t>49.6</w:t>
      </w:r>
      <w:r w:rsidRPr="0000305B">
        <w:rPr>
          <w:bCs/>
          <w:lang w:val="en-US"/>
        </w:rPr>
        <w:t>%</w:t>
      </w:r>
      <w:r>
        <w:rPr>
          <w:bCs/>
          <w:lang w:val="en-US"/>
        </w:rPr>
        <w:t>,</w:t>
      </w:r>
      <w:r w:rsidRPr="00B72505">
        <w:rPr>
          <w:iCs/>
          <w:spacing w:val="-4"/>
          <w:lang w:val="en-US"/>
        </w:rPr>
        <w:t xml:space="preserve"> </w:t>
      </w:r>
      <w:r w:rsidRPr="009C5B6D">
        <w:rPr>
          <w:iCs/>
          <w:spacing w:val="-4"/>
          <w:lang w:val="en-US"/>
        </w:rPr>
        <w:t xml:space="preserve">accounting for </w:t>
      </w:r>
      <w:r>
        <w:rPr>
          <w:iCs/>
          <w:spacing w:val="-4"/>
          <w:lang w:val="en-US"/>
        </w:rPr>
        <w:t>36.4</w:t>
      </w:r>
      <w:r w:rsidRPr="009C5B6D">
        <w:rPr>
          <w:iCs/>
          <w:spacing w:val="-4"/>
          <w:lang w:val="en-US"/>
        </w:rPr>
        <w:t xml:space="preserve">% of total </w:t>
      </w:r>
      <w:r>
        <w:rPr>
          <w:iCs/>
          <w:spacing w:val="-4"/>
          <w:lang w:val="en-US"/>
        </w:rPr>
        <w:t>im</w:t>
      </w:r>
      <w:r w:rsidRPr="009C5B6D">
        <w:rPr>
          <w:iCs/>
          <w:spacing w:val="-4"/>
          <w:lang w:val="en-US"/>
        </w:rPr>
        <w:t>port turnover;</w:t>
      </w:r>
      <w:r w:rsidRPr="008B7D77">
        <w:rPr>
          <w:bCs/>
          <w:lang w:val="en-US"/>
        </w:rPr>
        <w:t xml:space="preserve"> the FDI sector creased by </w:t>
      </w:r>
      <w:r>
        <w:rPr>
          <w:bCs/>
          <w:lang w:val="en-US"/>
        </w:rPr>
        <w:t>25.5</w:t>
      </w:r>
      <w:r w:rsidRPr="008B7D77">
        <w:rPr>
          <w:bCs/>
          <w:lang w:val="en-US"/>
        </w:rPr>
        <w:t>%</w:t>
      </w:r>
      <w:r>
        <w:rPr>
          <w:bCs/>
          <w:lang w:val="en-US"/>
        </w:rPr>
        <w:t xml:space="preserve">, </w:t>
      </w:r>
      <w:r w:rsidRPr="00632A8D">
        <w:rPr>
          <w:iCs/>
          <w:spacing w:val="-4"/>
          <w:lang w:val="en-US"/>
        </w:rPr>
        <w:t xml:space="preserve">sharing </w:t>
      </w:r>
      <w:r>
        <w:rPr>
          <w:iCs/>
          <w:spacing w:val="-4"/>
          <w:lang w:val="en-US"/>
        </w:rPr>
        <w:t>63.6</w:t>
      </w:r>
      <w:r w:rsidRPr="00632A8D">
        <w:rPr>
          <w:iCs/>
          <w:spacing w:val="-4"/>
          <w:lang w:val="en-US"/>
        </w:rPr>
        <w:t>%</w:t>
      </w:r>
      <w:r w:rsidRPr="008B7D77">
        <w:rPr>
          <w:bCs/>
          <w:lang w:val="en-US"/>
        </w:rPr>
        <w:t>.</w:t>
      </w:r>
    </w:p>
    <w:p w14:paraId="3C6E0CD9" w14:textId="77777777" w:rsidR="0090698A" w:rsidRDefault="0090698A" w:rsidP="0090698A">
      <w:pPr>
        <w:tabs>
          <w:tab w:val="left" w:pos="9475"/>
        </w:tabs>
        <w:spacing w:before="40" w:after="40" w:line="264" w:lineRule="auto"/>
        <w:ind w:right="6" w:firstLine="567"/>
        <w:jc w:val="both"/>
        <w:rPr>
          <w:bCs/>
          <w:lang w:val="en-US"/>
        </w:rPr>
      </w:pPr>
      <w:r w:rsidRPr="0000305B">
        <w:rPr>
          <w:bCs/>
          <w:lang w:val="en-US"/>
        </w:rPr>
        <w:t xml:space="preserve">In </w:t>
      </w:r>
      <w:r>
        <w:rPr>
          <w:bCs/>
          <w:lang w:val="en-US"/>
        </w:rPr>
        <w:t xml:space="preserve">January </w:t>
      </w:r>
      <w:r w:rsidRPr="0000305B">
        <w:rPr>
          <w:bCs/>
          <w:lang w:val="en-US"/>
        </w:rPr>
        <w:t>202</w:t>
      </w:r>
      <w:r>
        <w:rPr>
          <w:bCs/>
          <w:lang w:val="en-US"/>
        </w:rPr>
        <w:t>4</w:t>
      </w:r>
      <w:r w:rsidRPr="0000305B">
        <w:rPr>
          <w:bCs/>
          <w:lang w:val="en-US"/>
        </w:rPr>
        <w:t xml:space="preserve">, there were </w:t>
      </w:r>
      <w:r>
        <w:rPr>
          <w:bCs/>
          <w:lang w:val="en-US"/>
        </w:rPr>
        <w:t>3</w:t>
      </w:r>
      <w:r w:rsidRPr="0000305B">
        <w:rPr>
          <w:bCs/>
          <w:lang w:val="en-US"/>
        </w:rPr>
        <w:t xml:space="preserve"> imported products with a </w:t>
      </w:r>
      <w:r>
        <w:rPr>
          <w:bCs/>
          <w:lang w:val="en-US"/>
        </w:rPr>
        <w:t>value</w:t>
      </w:r>
      <w:r w:rsidRPr="0000305B">
        <w:rPr>
          <w:bCs/>
          <w:lang w:val="en-US"/>
        </w:rPr>
        <w:t xml:space="preserve"> of </w:t>
      </w:r>
      <w:r>
        <w:rPr>
          <w:bCs/>
          <w:lang w:val="en-US"/>
        </w:rPr>
        <w:t xml:space="preserve">over </w:t>
      </w:r>
      <w:r w:rsidRPr="0000305B">
        <w:rPr>
          <w:bCs/>
          <w:lang w:val="en-US"/>
        </w:rPr>
        <w:t xml:space="preserve">1 billion USD, accounting for </w:t>
      </w:r>
      <w:r>
        <w:rPr>
          <w:bCs/>
          <w:lang w:val="en-US"/>
        </w:rPr>
        <w:t>43.9</w:t>
      </w:r>
      <w:r w:rsidRPr="0000305B">
        <w:rPr>
          <w:bCs/>
          <w:lang w:val="en-US"/>
        </w:rPr>
        <w:t>% of the total import turnover.</w:t>
      </w:r>
    </w:p>
    <w:p w14:paraId="64EFB845" w14:textId="77777777" w:rsidR="0090698A" w:rsidRPr="003D5B1E" w:rsidRDefault="0090698A" w:rsidP="0090698A">
      <w:pPr>
        <w:tabs>
          <w:tab w:val="left" w:pos="9475"/>
        </w:tabs>
        <w:spacing w:before="40" w:after="40" w:line="264" w:lineRule="auto"/>
        <w:ind w:right="6"/>
        <w:jc w:val="center"/>
        <w:rPr>
          <w:rFonts w:ascii="Arial" w:hAnsi="Arial" w:cs="Arial"/>
          <w:b/>
          <w:spacing w:val="-2"/>
          <w:sz w:val="4"/>
          <w:szCs w:val="20"/>
          <w:lang w:val="pl-PL"/>
        </w:rPr>
      </w:pPr>
    </w:p>
    <w:p w14:paraId="738BFD4F" w14:textId="77777777" w:rsidR="0090698A" w:rsidRDefault="0090698A" w:rsidP="0090698A">
      <w:pPr>
        <w:tabs>
          <w:tab w:val="left" w:pos="9475"/>
        </w:tabs>
        <w:spacing w:before="40" w:after="40" w:line="264" w:lineRule="auto"/>
        <w:ind w:right="6"/>
        <w:jc w:val="center"/>
        <w:rPr>
          <w:rFonts w:ascii="Arial" w:hAnsi="Arial" w:cs="Arial"/>
          <w:b/>
          <w:bCs/>
          <w:sz w:val="24"/>
          <w:szCs w:val="24"/>
          <w:lang w:val="de-DE"/>
        </w:rPr>
      </w:pPr>
      <w:r w:rsidRPr="00EF68C3">
        <w:rPr>
          <w:rFonts w:ascii="Arial" w:hAnsi="Arial" w:cs="Arial"/>
          <w:b/>
          <w:bCs/>
          <w:sz w:val="24"/>
          <w:szCs w:val="24"/>
          <w:lang w:val="es-NI"/>
        </w:rPr>
        <w:t xml:space="preserve">Table </w:t>
      </w:r>
      <w:r>
        <w:rPr>
          <w:rFonts w:ascii="Arial" w:hAnsi="Arial" w:cs="Arial"/>
          <w:b/>
          <w:bCs/>
          <w:sz w:val="24"/>
          <w:szCs w:val="24"/>
          <w:lang w:val="es-NI"/>
        </w:rPr>
        <w:t>5</w:t>
      </w:r>
      <w:r w:rsidRPr="00EF68C3">
        <w:rPr>
          <w:rFonts w:ascii="Arial" w:hAnsi="Arial" w:cs="Arial"/>
          <w:b/>
          <w:bCs/>
          <w:sz w:val="24"/>
          <w:szCs w:val="24"/>
          <w:lang w:val="es-NI"/>
        </w:rPr>
        <w:t xml:space="preserve">. Value of some </w:t>
      </w:r>
      <w:r>
        <w:rPr>
          <w:rFonts w:ascii="Arial" w:hAnsi="Arial" w:cs="Arial"/>
          <w:b/>
          <w:bCs/>
          <w:sz w:val="24"/>
          <w:szCs w:val="24"/>
          <w:lang w:val="es-NI"/>
        </w:rPr>
        <w:t>im</w:t>
      </w:r>
      <w:r w:rsidRPr="00EF68C3">
        <w:rPr>
          <w:rFonts w:ascii="Arial" w:hAnsi="Arial" w:cs="Arial"/>
          <w:b/>
          <w:bCs/>
          <w:sz w:val="24"/>
          <w:szCs w:val="24"/>
          <w:lang w:val="es-NI"/>
        </w:rPr>
        <w:t>port items</w:t>
      </w:r>
      <w:r>
        <w:rPr>
          <w:rFonts w:ascii="Arial" w:hAnsi="Arial" w:cs="Arial"/>
          <w:b/>
          <w:bCs/>
          <w:sz w:val="24"/>
          <w:szCs w:val="24"/>
          <w:lang w:val="de-DE"/>
        </w:rPr>
        <w:t xml:space="preserve"> in January 2024</w:t>
      </w:r>
    </w:p>
    <w:p w14:paraId="5C81B93B" w14:textId="77777777" w:rsidR="0090698A" w:rsidRPr="000B4588" w:rsidRDefault="0090698A" w:rsidP="0090698A">
      <w:pPr>
        <w:tabs>
          <w:tab w:val="left" w:pos="9475"/>
        </w:tabs>
        <w:spacing w:before="40" w:after="40" w:line="264" w:lineRule="auto"/>
        <w:ind w:right="6"/>
        <w:jc w:val="center"/>
        <w:rPr>
          <w:rFonts w:ascii="Arial" w:hAnsi="Arial" w:cs="Arial"/>
          <w:b/>
          <w:bCs/>
          <w:sz w:val="18"/>
          <w:szCs w:val="24"/>
          <w:lang w:val="de-DE"/>
        </w:rPr>
      </w:pPr>
    </w:p>
    <w:tbl>
      <w:tblPr>
        <w:tblStyle w:val="TableGrid"/>
        <w:tblW w:w="9072"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1559"/>
        <w:gridCol w:w="2835"/>
      </w:tblGrid>
      <w:tr w:rsidR="0090698A" w:rsidRPr="00797E21" w14:paraId="349BCE47" w14:textId="77777777" w:rsidTr="008278F8">
        <w:tc>
          <w:tcPr>
            <w:tcW w:w="4678" w:type="dxa"/>
          </w:tcPr>
          <w:p w14:paraId="77ABFE3F" w14:textId="77777777" w:rsidR="0090698A" w:rsidRPr="00797E21" w:rsidRDefault="0090698A" w:rsidP="008278F8">
            <w:pPr>
              <w:tabs>
                <w:tab w:val="num" w:pos="0"/>
                <w:tab w:val="left" w:pos="9475"/>
              </w:tabs>
              <w:spacing w:before="40" w:after="40" w:line="264" w:lineRule="auto"/>
              <w:ind w:right="119"/>
              <w:jc w:val="right"/>
              <w:rPr>
                <w:rFonts w:ascii="Arial" w:hAnsi="Arial" w:cs="Arial"/>
                <w:b/>
                <w:bCs/>
                <w:i/>
                <w:iCs/>
                <w:sz w:val="20"/>
                <w:szCs w:val="20"/>
                <w:lang w:val="pl-PL"/>
              </w:rPr>
            </w:pPr>
          </w:p>
        </w:tc>
        <w:tc>
          <w:tcPr>
            <w:tcW w:w="1559" w:type="dxa"/>
            <w:tcBorders>
              <w:top w:val="single" w:sz="4" w:space="0" w:color="auto"/>
              <w:bottom w:val="single" w:sz="4" w:space="0" w:color="auto"/>
            </w:tcBorders>
          </w:tcPr>
          <w:p w14:paraId="1C45B3B8" w14:textId="77777777" w:rsidR="0090698A" w:rsidRPr="00797E21" w:rsidRDefault="0090698A" w:rsidP="008278F8">
            <w:pPr>
              <w:spacing w:before="40" w:after="40" w:line="288" w:lineRule="auto"/>
              <w:jc w:val="center"/>
              <w:rPr>
                <w:rFonts w:ascii="Arial" w:hAnsi="Arial" w:cs="Arial"/>
                <w:color w:val="000000"/>
                <w:sz w:val="20"/>
                <w:szCs w:val="20"/>
                <w:lang w:val="es-NI"/>
              </w:rPr>
            </w:pPr>
            <w:r w:rsidRPr="00797E21">
              <w:rPr>
                <w:rFonts w:ascii="Arial" w:hAnsi="Arial" w:cs="Arial"/>
                <w:color w:val="000000"/>
                <w:sz w:val="20"/>
                <w:szCs w:val="20"/>
                <w:lang w:val="es-NI"/>
              </w:rPr>
              <w:t xml:space="preserve">Estimate </w:t>
            </w:r>
          </w:p>
          <w:p w14:paraId="390C64FF" w14:textId="77777777" w:rsidR="0090698A" w:rsidRPr="00797E21" w:rsidRDefault="0090698A" w:rsidP="008278F8">
            <w:pPr>
              <w:spacing w:before="40" w:after="40" w:line="264" w:lineRule="auto"/>
              <w:jc w:val="center"/>
              <w:rPr>
                <w:rFonts w:ascii="Arial" w:hAnsi="Arial" w:cs="Arial"/>
                <w:b/>
                <w:bCs/>
                <w:i/>
                <w:iCs/>
                <w:sz w:val="20"/>
                <w:szCs w:val="20"/>
                <w:lang w:val="pl-PL"/>
              </w:rPr>
            </w:pPr>
            <w:r w:rsidRPr="00797E21">
              <w:rPr>
                <w:rFonts w:ascii="Arial" w:hAnsi="Arial" w:cs="Arial"/>
                <w:i/>
                <w:iCs/>
                <w:color w:val="000000"/>
                <w:sz w:val="20"/>
                <w:szCs w:val="20"/>
                <w:lang w:val="es-NI"/>
              </w:rPr>
              <w:t>(Mill. USD)</w:t>
            </w:r>
          </w:p>
        </w:tc>
        <w:tc>
          <w:tcPr>
            <w:tcW w:w="2835" w:type="dxa"/>
            <w:tcBorders>
              <w:top w:val="single" w:sz="4" w:space="0" w:color="auto"/>
              <w:bottom w:val="single" w:sz="4" w:space="0" w:color="auto"/>
            </w:tcBorders>
          </w:tcPr>
          <w:p w14:paraId="2B8B6B98" w14:textId="77777777" w:rsidR="0090698A" w:rsidRPr="00797E21" w:rsidRDefault="0090698A" w:rsidP="008278F8">
            <w:pPr>
              <w:spacing w:before="40" w:after="40" w:line="288" w:lineRule="auto"/>
              <w:jc w:val="center"/>
              <w:rPr>
                <w:rFonts w:ascii="Arial" w:hAnsi="Arial" w:cs="Arial"/>
                <w:color w:val="000000"/>
                <w:sz w:val="20"/>
                <w:szCs w:val="20"/>
                <w:lang w:val="es-NI"/>
              </w:rPr>
            </w:pPr>
            <w:r w:rsidRPr="00797E21">
              <w:rPr>
                <w:rFonts w:ascii="Arial" w:hAnsi="Arial" w:cs="Arial"/>
                <w:color w:val="000000"/>
                <w:sz w:val="20"/>
                <w:szCs w:val="20"/>
                <w:lang w:val="es-NI"/>
              </w:rPr>
              <w:t xml:space="preserve">Growth rate </w:t>
            </w:r>
            <w:r w:rsidRPr="00797E21">
              <w:rPr>
                <w:rFonts w:ascii="Arial" w:hAnsi="Arial" w:cs="Arial"/>
                <w:color w:val="000000"/>
                <w:sz w:val="20"/>
                <w:szCs w:val="20"/>
                <w:lang w:val="en-US"/>
              </w:rPr>
              <w:t>compare to</w:t>
            </w:r>
          </w:p>
          <w:p w14:paraId="1EAB81B5" w14:textId="77777777" w:rsidR="0090698A" w:rsidRPr="00797E21" w:rsidRDefault="0090698A" w:rsidP="008278F8">
            <w:pPr>
              <w:spacing w:before="40" w:after="40" w:line="264" w:lineRule="auto"/>
              <w:jc w:val="center"/>
              <w:rPr>
                <w:rFonts w:ascii="Arial" w:hAnsi="Arial" w:cs="Arial"/>
                <w:b/>
                <w:bCs/>
                <w:i/>
                <w:iCs/>
                <w:sz w:val="20"/>
                <w:szCs w:val="20"/>
              </w:rPr>
            </w:pPr>
            <w:r w:rsidRPr="00797E21">
              <w:rPr>
                <w:rFonts w:ascii="Arial" w:hAnsi="Arial" w:cs="Arial"/>
                <w:color w:val="000000"/>
                <w:sz w:val="20"/>
                <w:szCs w:val="20"/>
                <w:lang w:val="es-NI"/>
              </w:rPr>
              <w:t xml:space="preserve">the same period last year </w:t>
            </w:r>
            <w:r w:rsidRPr="00797E21">
              <w:rPr>
                <w:rFonts w:ascii="Arial" w:hAnsi="Arial" w:cs="Arial"/>
                <w:i/>
                <w:iCs/>
                <w:color w:val="000000"/>
                <w:sz w:val="20"/>
                <w:szCs w:val="20"/>
              </w:rPr>
              <w:t>(%)</w:t>
            </w:r>
          </w:p>
        </w:tc>
      </w:tr>
      <w:tr w:rsidR="0090698A" w:rsidRPr="00797E21" w14:paraId="2E106610" w14:textId="77777777" w:rsidTr="008278F8">
        <w:tc>
          <w:tcPr>
            <w:tcW w:w="9072" w:type="dxa"/>
            <w:gridSpan w:val="3"/>
            <w:vAlign w:val="bottom"/>
          </w:tcPr>
          <w:p w14:paraId="5845453F" w14:textId="77777777" w:rsidR="0090698A" w:rsidRPr="00797E21" w:rsidRDefault="0090698A" w:rsidP="008278F8">
            <w:pPr>
              <w:tabs>
                <w:tab w:val="num" w:pos="0"/>
                <w:tab w:val="left" w:pos="9475"/>
              </w:tabs>
              <w:spacing w:before="40" w:after="40" w:line="264" w:lineRule="auto"/>
              <w:ind w:right="119"/>
              <w:rPr>
                <w:rFonts w:ascii="Arial" w:hAnsi="Arial" w:cs="Arial"/>
                <w:b/>
                <w:bCs/>
                <w:color w:val="000000"/>
                <w:sz w:val="20"/>
                <w:szCs w:val="20"/>
              </w:rPr>
            </w:pPr>
            <w:r w:rsidRPr="00797E21">
              <w:rPr>
                <w:rFonts w:ascii="Arial" w:hAnsi="Arial" w:cs="Arial"/>
                <w:b/>
                <w:bCs/>
                <w:color w:val="000000"/>
                <w:sz w:val="20"/>
                <w:szCs w:val="20"/>
              </w:rPr>
              <w:t>Items with a value of over 1 billion USD</w:t>
            </w:r>
          </w:p>
          <w:p w14:paraId="747E585A" w14:textId="77777777" w:rsidR="0090698A" w:rsidRPr="00797E21" w:rsidRDefault="0090698A" w:rsidP="008278F8">
            <w:pPr>
              <w:tabs>
                <w:tab w:val="num" w:pos="0"/>
                <w:tab w:val="left" w:pos="9475"/>
              </w:tabs>
              <w:spacing w:before="40" w:after="40" w:line="264" w:lineRule="auto"/>
              <w:ind w:right="119"/>
              <w:rPr>
                <w:rFonts w:ascii="Arial" w:hAnsi="Arial" w:cs="Arial"/>
                <w:b/>
                <w:bCs/>
                <w:i/>
                <w:iCs/>
                <w:sz w:val="20"/>
                <w:szCs w:val="20"/>
              </w:rPr>
            </w:pPr>
            <w:r w:rsidRPr="00797E21">
              <w:rPr>
                <w:rFonts w:ascii="Arial" w:hAnsi="Arial" w:cs="Arial"/>
                <w:b/>
                <w:bCs/>
                <w:color w:val="000000"/>
                <w:sz w:val="20"/>
                <w:szCs w:val="20"/>
              </w:rPr>
              <w:t>or more</w:t>
            </w:r>
          </w:p>
        </w:tc>
      </w:tr>
      <w:tr w:rsidR="0090698A" w:rsidRPr="00797E21" w14:paraId="5D72059D" w14:textId="77777777" w:rsidTr="008278F8">
        <w:tc>
          <w:tcPr>
            <w:tcW w:w="4678" w:type="dxa"/>
            <w:tcBorders>
              <w:bottom w:val="nil"/>
            </w:tcBorders>
            <w:vAlign w:val="bottom"/>
          </w:tcPr>
          <w:p w14:paraId="462846E8" w14:textId="77777777" w:rsidR="0090698A" w:rsidRPr="00797E21" w:rsidRDefault="0090698A" w:rsidP="008278F8">
            <w:pPr>
              <w:spacing w:before="60" w:after="60" w:line="264" w:lineRule="auto"/>
              <w:ind w:firstLine="32"/>
              <w:rPr>
                <w:rFonts w:ascii="Arial" w:hAnsi="Arial" w:cs="Arial"/>
                <w:sz w:val="20"/>
                <w:szCs w:val="20"/>
              </w:rPr>
            </w:pPr>
            <w:r w:rsidRPr="00797E21">
              <w:rPr>
                <w:rFonts w:ascii="Arial" w:hAnsi="Arial" w:cs="Arial"/>
                <w:sz w:val="20"/>
                <w:szCs w:val="20"/>
              </w:rPr>
              <w:t>Electronic devices, computers and their parts</w:t>
            </w:r>
          </w:p>
        </w:tc>
        <w:tc>
          <w:tcPr>
            <w:tcW w:w="1559" w:type="dxa"/>
            <w:tcBorders>
              <w:bottom w:val="nil"/>
            </w:tcBorders>
            <w:vAlign w:val="bottom"/>
          </w:tcPr>
          <w:p w14:paraId="12351CFB" w14:textId="77777777" w:rsidR="0090698A" w:rsidRPr="00797E21" w:rsidRDefault="0090698A" w:rsidP="008278F8">
            <w:pPr>
              <w:spacing w:before="60" w:after="60" w:line="264" w:lineRule="auto"/>
              <w:ind w:right="174" w:firstLine="170"/>
              <w:jc w:val="right"/>
              <w:rPr>
                <w:rFonts w:ascii="Arial" w:hAnsi="Arial" w:cs="Arial"/>
                <w:sz w:val="20"/>
                <w:szCs w:val="20"/>
              </w:rPr>
            </w:pPr>
            <w:r w:rsidRPr="00797E21">
              <w:rPr>
                <w:rFonts w:ascii="Arial" w:hAnsi="Arial" w:cs="Arial"/>
                <w:sz w:val="20"/>
                <w:szCs w:val="20"/>
              </w:rPr>
              <w:t>8</w:t>
            </w:r>
            <w:r w:rsidRPr="00797E21">
              <w:rPr>
                <w:rFonts w:ascii="Arial" w:hAnsi="Arial" w:cs="Arial"/>
                <w:sz w:val="20"/>
                <w:szCs w:val="20"/>
                <w:lang w:val="en-US"/>
              </w:rPr>
              <w:t>,</w:t>
            </w:r>
            <w:r w:rsidRPr="00797E21">
              <w:rPr>
                <w:rFonts w:ascii="Arial" w:hAnsi="Arial" w:cs="Arial"/>
                <w:sz w:val="20"/>
                <w:szCs w:val="20"/>
              </w:rPr>
              <w:t>250</w:t>
            </w:r>
          </w:p>
        </w:tc>
        <w:tc>
          <w:tcPr>
            <w:tcW w:w="2835" w:type="dxa"/>
            <w:tcBorders>
              <w:bottom w:val="nil"/>
            </w:tcBorders>
            <w:vAlign w:val="bottom"/>
          </w:tcPr>
          <w:p w14:paraId="1AA595D6" w14:textId="77777777" w:rsidR="0090698A" w:rsidRPr="00797E21" w:rsidRDefault="0090698A" w:rsidP="008278F8">
            <w:pPr>
              <w:spacing w:before="60" w:after="60" w:line="264" w:lineRule="auto"/>
              <w:ind w:right="1023" w:firstLine="170"/>
              <w:jc w:val="right"/>
              <w:rPr>
                <w:rFonts w:ascii="Arial" w:hAnsi="Arial" w:cs="Arial"/>
                <w:sz w:val="20"/>
                <w:szCs w:val="20"/>
              </w:rPr>
            </w:pPr>
            <w:r w:rsidRPr="00797E21">
              <w:rPr>
                <w:rFonts w:ascii="Arial" w:hAnsi="Arial" w:cs="Arial"/>
                <w:sz w:val="20"/>
                <w:szCs w:val="20"/>
              </w:rPr>
              <w:t>25</w:t>
            </w:r>
            <w:r w:rsidRPr="00797E21">
              <w:rPr>
                <w:rFonts w:ascii="Arial" w:hAnsi="Arial" w:cs="Arial"/>
                <w:sz w:val="20"/>
                <w:szCs w:val="20"/>
                <w:lang w:val="en-US"/>
              </w:rPr>
              <w:t>.</w:t>
            </w:r>
            <w:r w:rsidRPr="00797E21">
              <w:rPr>
                <w:rFonts w:ascii="Arial" w:hAnsi="Arial" w:cs="Arial"/>
                <w:sz w:val="20"/>
                <w:szCs w:val="20"/>
              </w:rPr>
              <w:t>7</w:t>
            </w:r>
          </w:p>
        </w:tc>
      </w:tr>
      <w:tr w:rsidR="0090698A" w:rsidRPr="00797E21" w14:paraId="3A324A07" w14:textId="77777777" w:rsidTr="008278F8">
        <w:tc>
          <w:tcPr>
            <w:tcW w:w="4678" w:type="dxa"/>
            <w:tcBorders>
              <w:top w:val="nil"/>
              <w:bottom w:val="nil"/>
            </w:tcBorders>
            <w:vAlign w:val="bottom"/>
          </w:tcPr>
          <w:p w14:paraId="7A4E2DD3" w14:textId="77777777" w:rsidR="0090698A" w:rsidRPr="00797E21" w:rsidRDefault="0090698A" w:rsidP="008278F8">
            <w:pPr>
              <w:spacing w:before="60" w:after="60" w:line="264" w:lineRule="auto"/>
              <w:ind w:firstLine="32"/>
              <w:rPr>
                <w:rFonts w:ascii="Arial" w:hAnsi="Arial" w:cs="Arial"/>
                <w:sz w:val="20"/>
                <w:szCs w:val="20"/>
              </w:rPr>
            </w:pPr>
            <w:r w:rsidRPr="00797E21">
              <w:rPr>
                <w:rFonts w:ascii="Arial" w:hAnsi="Arial" w:cs="Arial"/>
                <w:sz w:val="20"/>
                <w:szCs w:val="20"/>
              </w:rPr>
              <w:t>Machiner, instrument, accessory</w:t>
            </w:r>
          </w:p>
        </w:tc>
        <w:tc>
          <w:tcPr>
            <w:tcW w:w="1559" w:type="dxa"/>
            <w:tcBorders>
              <w:top w:val="nil"/>
              <w:bottom w:val="nil"/>
            </w:tcBorders>
            <w:vAlign w:val="bottom"/>
          </w:tcPr>
          <w:p w14:paraId="2440F708" w14:textId="77777777" w:rsidR="0090698A" w:rsidRPr="00797E21" w:rsidRDefault="0090698A" w:rsidP="008278F8">
            <w:pPr>
              <w:spacing w:before="60" w:after="60" w:line="264" w:lineRule="auto"/>
              <w:ind w:right="174" w:firstLine="170"/>
              <w:jc w:val="right"/>
              <w:rPr>
                <w:rFonts w:ascii="Arial" w:hAnsi="Arial" w:cs="Arial"/>
                <w:sz w:val="20"/>
                <w:szCs w:val="20"/>
              </w:rPr>
            </w:pPr>
            <w:r w:rsidRPr="00797E21">
              <w:rPr>
                <w:rFonts w:ascii="Arial" w:hAnsi="Arial" w:cs="Arial"/>
                <w:sz w:val="20"/>
                <w:szCs w:val="20"/>
              </w:rPr>
              <w:t>4</w:t>
            </w:r>
            <w:r w:rsidRPr="00797E21">
              <w:rPr>
                <w:rFonts w:ascii="Arial" w:hAnsi="Arial" w:cs="Arial"/>
                <w:sz w:val="20"/>
                <w:szCs w:val="20"/>
                <w:lang w:val="en-US"/>
              </w:rPr>
              <w:t>,</w:t>
            </w:r>
            <w:r w:rsidRPr="00797E21">
              <w:rPr>
                <w:rFonts w:ascii="Arial" w:hAnsi="Arial" w:cs="Arial"/>
                <w:sz w:val="20"/>
                <w:szCs w:val="20"/>
              </w:rPr>
              <w:t>000</w:t>
            </w:r>
          </w:p>
        </w:tc>
        <w:tc>
          <w:tcPr>
            <w:tcW w:w="2835" w:type="dxa"/>
            <w:tcBorders>
              <w:top w:val="nil"/>
              <w:bottom w:val="nil"/>
            </w:tcBorders>
            <w:vAlign w:val="bottom"/>
          </w:tcPr>
          <w:p w14:paraId="6B51BFA7" w14:textId="77777777" w:rsidR="0090698A" w:rsidRPr="00797E21" w:rsidRDefault="0090698A" w:rsidP="008278F8">
            <w:pPr>
              <w:spacing w:before="60" w:after="60" w:line="264" w:lineRule="auto"/>
              <w:ind w:right="1023" w:firstLine="170"/>
              <w:jc w:val="right"/>
              <w:rPr>
                <w:rFonts w:ascii="Arial" w:hAnsi="Arial" w:cs="Arial"/>
                <w:sz w:val="20"/>
                <w:szCs w:val="20"/>
              </w:rPr>
            </w:pPr>
            <w:r w:rsidRPr="00797E21">
              <w:rPr>
                <w:rFonts w:ascii="Arial" w:hAnsi="Arial" w:cs="Arial"/>
                <w:sz w:val="20"/>
                <w:szCs w:val="20"/>
              </w:rPr>
              <w:t>46</w:t>
            </w:r>
            <w:r w:rsidRPr="00797E21">
              <w:rPr>
                <w:rFonts w:ascii="Arial" w:hAnsi="Arial" w:cs="Arial"/>
                <w:sz w:val="20"/>
                <w:szCs w:val="20"/>
                <w:lang w:val="en-US"/>
              </w:rPr>
              <w:t>.</w:t>
            </w:r>
            <w:r w:rsidRPr="00797E21">
              <w:rPr>
                <w:rFonts w:ascii="Arial" w:hAnsi="Arial" w:cs="Arial"/>
                <w:sz w:val="20"/>
                <w:szCs w:val="20"/>
              </w:rPr>
              <w:t>0</w:t>
            </w:r>
          </w:p>
        </w:tc>
      </w:tr>
      <w:tr w:rsidR="0090698A" w:rsidRPr="00797E21" w14:paraId="05088B58" w14:textId="77777777" w:rsidTr="008278F8">
        <w:tc>
          <w:tcPr>
            <w:tcW w:w="4678" w:type="dxa"/>
            <w:tcBorders>
              <w:top w:val="nil"/>
              <w:bottom w:val="single" w:sz="4" w:space="0" w:color="auto"/>
            </w:tcBorders>
            <w:vAlign w:val="bottom"/>
          </w:tcPr>
          <w:p w14:paraId="364EB8CC" w14:textId="77777777" w:rsidR="0090698A" w:rsidRPr="00797E21" w:rsidRDefault="0090698A" w:rsidP="008278F8">
            <w:pPr>
              <w:spacing w:before="60" w:after="60" w:line="264" w:lineRule="auto"/>
              <w:ind w:firstLine="32"/>
              <w:rPr>
                <w:rFonts w:ascii="Arial" w:hAnsi="Arial" w:cs="Arial"/>
                <w:sz w:val="20"/>
                <w:szCs w:val="20"/>
              </w:rPr>
            </w:pPr>
            <w:r w:rsidRPr="00797E21">
              <w:rPr>
                <w:rFonts w:ascii="Arial" w:hAnsi="Arial" w:cs="Arial"/>
                <w:sz w:val="20"/>
                <w:szCs w:val="20"/>
              </w:rPr>
              <w:t>Fabrics</w:t>
            </w:r>
          </w:p>
        </w:tc>
        <w:tc>
          <w:tcPr>
            <w:tcW w:w="1559" w:type="dxa"/>
            <w:tcBorders>
              <w:top w:val="nil"/>
              <w:bottom w:val="single" w:sz="4" w:space="0" w:color="auto"/>
            </w:tcBorders>
            <w:vAlign w:val="bottom"/>
          </w:tcPr>
          <w:p w14:paraId="0514442D" w14:textId="77777777" w:rsidR="0090698A" w:rsidRPr="00797E21" w:rsidRDefault="0090698A" w:rsidP="008278F8">
            <w:pPr>
              <w:spacing w:before="60" w:after="60" w:line="264" w:lineRule="auto"/>
              <w:ind w:right="174" w:firstLine="170"/>
              <w:jc w:val="right"/>
              <w:rPr>
                <w:rFonts w:ascii="Arial" w:hAnsi="Arial" w:cs="Arial"/>
                <w:sz w:val="20"/>
                <w:szCs w:val="20"/>
              </w:rPr>
            </w:pPr>
            <w:r w:rsidRPr="00797E21">
              <w:rPr>
                <w:rFonts w:ascii="Arial" w:hAnsi="Arial" w:cs="Arial"/>
                <w:sz w:val="20"/>
                <w:szCs w:val="20"/>
              </w:rPr>
              <w:t>1</w:t>
            </w:r>
            <w:r w:rsidRPr="00797E21">
              <w:rPr>
                <w:rFonts w:ascii="Arial" w:hAnsi="Arial" w:cs="Arial"/>
                <w:sz w:val="20"/>
                <w:szCs w:val="20"/>
                <w:lang w:val="en-US"/>
              </w:rPr>
              <w:t>,</w:t>
            </w:r>
            <w:r w:rsidRPr="00797E21">
              <w:rPr>
                <w:rFonts w:ascii="Arial" w:hAnsi="Arial" w:cs="Arial"/>
                <w:sz w:val="20"/>
                <w:szCs w:val="20"/>
              </w:rPr>
              <w:t>200</w:t>
            </w:r>
          </w:p>
        </w:tc>
        <w:tc>
          <w:tcPr>
            <w:tcW w:w="2835" w:type="dxa"/>
            <w:tcBorders>
              <w:top w:val="nil"/>
              <w:bottom w:val="single" w:sz="4" w:space="0" w:color="auto"/>
            </w:tcBorders>
            <w:vAlign w:val="bottom"/>
          </w:tcPr>
          <w:p w14:paraId="7588328F" w14:textId="77777777" w:rsidR="0090698A" w:rsidRPr="00797E21" w:rsidRDefault="0090698A" w:rsidP="008278F8">
            <w:pPr>
              <w:spacing w:before="60" w:after="60" w:line="264" w:lineRule="auto"/>
              <w:ind w:right="1023" w:firstLine="170"/>
              <w:jc w:val="right"/>
              <w:rPr>
                <w:rFonts w:ascii="Arial" w:hAnsi="Arial" w:cs="Arial"/>
                <w:sz w:val="20"/>
                <w:szCs w:val="20"/>
              </w:rPr>
            </w:pPr>
            <w:r w:rsidRPr="00797E21">
              <w:rPr>
                <w:rFonts w:ascii="Arial" w:hAnsi="Arial" w:cs="Arial"/>
                <w:sz w:val="20"/>
                <w:szCs w:val="20"/>
              </w:rPr>
              <w:t>28</w:t>
            </w:r>
            <w:r w:rsidRPr="00797E21">
              <w:rPr>
                <w:rFonts w:ascii="Arial" w:hAnsi="Arial" w:cs="Arial"/>
                <w:sz w:val="20"/>
                <w:szCs w:val="20"/>
                <w:lang w:val="en-US"/>
              </w:rPr>
              <w:t>.</w:t>
            </w:r>
            <w:r w:rsidRPr="00797E21">
              <w:rPr>
                <w:rFonts w:ascii="Arial" w:hAnsi="Arial" w:cs="Arial"/>
                <w:sz w:val="20"/>
                <w:szCs w:val="20"/>
              </w:rPr>
              <w:t>2</w:t>
            </w:r>
          </w:p>
        </w:tc>
      </w:tr>
    </w:tbl>
    <w:p w14:paraId="33D657F5" w14:textId="77777777" w:rsidR="0090698A" w:rsidRDefault="0090698A" w:rsidP="0090698A">
      <w:pPr>
        <w:tabs>
          <w:tab w:val="num" w:pos="0"/>
          <w:tab w:val="left" w:pos="9475"/>
        </w:tabs>
        <w:spacing w:before="40" w:after="40" w:line="264" w:lineRule="auto"/>
        <w:ind w:right="187" w:firstLine="567"/>
        <w:jc w:val="right"/>
        <w:rPr>
          <w:rFonts w:ascii="Arial" w:hAnsi="Arial" w:cs="Arial"/>
          <w:b/>
          <w:bCs/>
          <w:i/>
          <w:iCs/>
          <w:sz w:val="2"/>
          <w:szCs w:val="20"/>
          <w:lang w:val="en-US"/>
        </w:rPr>
      </w:pPr>
    </w:p>
    <w:p w14:paraId="40F91331" w14:textId="77777777" w:rsidR="0090698A" w:rsidRPr="00241A4F" w:rsidRDefault="0090698A" w:rsidP="0090698A">
      <w:pPr>
        <w:tabs>
          <w:tab w:val="num" w:pos="0"/>
        </w:tabs>
        <w:spacing w:before="40" w:after="40" w:line="254" w:lineRule="auto"/>
        <w:jc w:val="both"/>
        <w:rPr>
          <w:bCs/>
          <w:iCs/>
          <w:spacing w:val="-2"/>
          <w:sz w:val="16"/>
          <w:szCs w:val="16"/>
        </w:rPr>
      </w:pPr>
    </w:p>
    <w:p w14:paraId="2E6219B1" w14:textId="77777777" w:rsidR="0090698A" w:rsidRDefault="0090698A" w:rsidP="0090698A">
      <w:pPr>
        <w:tabs>
          <w:tab w:val="num" w:pos="0"/>
        </w:tabs>
        <w:spacing w:before="40" w:after="40" w:line="288" w:lineRule="auto"/>
        <w:ind w:firstLine="562"/>
        <w:jc w:val="both"/>
        <w:rPr>
          <w:bCs/>
          <w:i/>
          <w:iCs/>
          <w:lang w:val="en-US"/>
        </w:rPr>
      </w:pPr>
      <w:bookmarkStart w:id="4" w:name="_Hlk60146895"/>
      <w:r w:rsidRPr="00007A12">
        <w:rPr>
          <w:noProof/>
          <w:spacing w:val="2"/>
          <w:lang w:val="en-US"/>
        </w:rPr>
        <mc:AlternateContent>
          <mc:Choice Requires="wps">
            <w:drawing>
              <wp:anchor distT="0" distB="0" distL="114300" distR="114300" simplePos="0" relativeHeight="251674112" behindDoc="0" locked="0" layoutInCell="1" allowOverlap="1" wp14:anchorId="0BFBE4B8" wp14:editId="59821932">
                <wp:simplePos x="0" y="0"/>
                <wp:positionH relativeFrom="column">
                  <wp:posOffset>83820</wp:posOffset>
                </wp:positionH>
                <wp:positionV relativeFrom="paragraph">
                  <wp:posOffset>42545</wp:posOffset>
                </wp:positionV>
                <wp:extent cx="3268980" cy="3070860"/>
                <wp:effectExtent l="0" t="0" r="762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3070860"/>
                        </a:xfrm>
                        <a:prstGeom prst="rect">
                          <a:avLst/>
                        </a:prstGeom>
                        <a:solidFill>
                          <a:srgbClr val="FFFFFF"/>
                        </a:solidFill>
                        <a:ln w="9525">
                          <a:noFill/>
                          <a:miter lim="800000"/>
                          <a:headEnd/>
                          <a:tailEnd/>
                        </a:ln>
                      </wps:spPr>
                      <wps:txbx>
                        <w:txbxContent>
                          <w:p w14:paraId="5A21F1C6" w14:textId="77777777" w:rsidR="0090698A" w:rsidRPr="003E5139" w:rsidRDefault="0090698A" w:rsidP="0090698A">
                            <w:pPr>
                              <w:ind w:left="-284"/>
                              <w:jc w:val="center"/>
                              <w:rPr>
                                <w:rFonts w:ascii="Arial" w:hAnsi="Arial" w:cs="Arial"/>
                                <w:b/>
                                <w:bCs/>
                                <w:sz w:val="8"/>
                                <w:szCs w:val="24"/>
                              </w:rPr>
                            </w:pPr>
                          </w:p>
                          <w:p w14:paraId="63452E0A" w14:textId="77777777" w:rsidR="0090698A" w:rsidRPr="00B835A8" w:rsidRDefault="0090698A" w:rsidP="0090698A">
                            <w:pPr>
                              <w:ind w:left="-284"/>
                              <w:jc w:val="center"/>
                              <w:rPr>
                                <w:rFonts w:ascii="Arial" w:hAnsi="Arial" w:cs="Arial"/>
                                <w:b/>
                                <w:bCs/>
                                <w:sz w:val="24"/>
                                <w:szCs w:val="24"/>
                              </w:rPr>
                            </w:pPr>
                            <w:r w:rsidRPr="00B835A8">
                              <w:rPr>
                                <w:rFonts w:ascii="Arial" w:hAnsi="Arial" w:cs="Arial"/>
                                <w:b/>
                                <w:bCs/>
                                <w:sz w:val="24"/>
                                <w:szCs w:val="24"/>
                              </w:rPr>
                              <w:t>Figure 1</w:t>
                            </w:r>
                            <w:r>
                              <w:rPr>
                                <w:rFonts w:ascii="Arial" w:hAnsi="Arial" w:cs="Arial"/>
                                <w:b/>
                                <w:bCs/>
                                <w:sz w:val="24"/>
                                <w:szCs w:val="24"/>
                              </w:rPr>
                              <w:t>7</w:t>
                            </w:r>
                            <w:r w:rsidRPr="00B835A8">
                              <w:rPr>
                                <w:rFonts w:ascii="Arial" w:hAnsi="Arial" w:cs="Arial"/>
                                <w:b/>
                                <w:bCs/>
                                <w:sz w:val="24"/>
                                <w:szCs w:val="24"/>
                              </w:rPr>
                              <w:t>. St</w:t>
                            </w:r>
                            <w:r w:rsidRPr="0058646B">
                              <w:rPr>
                                <w:rFonts w:ascii="Arial" w:hAnsi="Arial" w:cs="Arial"/>
                                <w:b/>
                                <w:bCs/>
                                <w:sz w:val="24"/>
                                <w:szCs w:val="24"/>
                              </w:rPr>
                              <w:t xml:space="preserve">ructure of </w:t>
                            </w:r>
                            <w:r w:rsidRPr="0058646B">
                              <w:rPr>
                                <w:rFonts w:ascii="Arial" w:hAnsi="Arial" w:cs="Arial"/>
                                <w:b/>
                                <w:bCs/>
                                <w:sz w:val="24"/>
                                <w:szCs w:val="24"/>
                                <w:lang w:val="en-US"/>
                              </w:rPr>
                              <w:t>imported goods</w:t>
                            </w:r>
                          </w:p>
                          <w:p w14:paraId="70043229" w14:textId="77777777" w:rsidR="0090698A" w:rsidRDefault="0090698A" w:rsidP="0090698A">
                            <w:pPr>
                              <w:spacing w:after="120"/>
                              <w:ind w:left="-284"/>
                              <w:jc w:val="center"/>
                              <w:rPr>
                                <w:rFonts w:ascii="Arial" w:hAnsi="Arial" w:cs="Arial"/>
                                <w:b/>
                                <w:bCs/>
                                <w:sz w:val="24"/>
                                <w:szCs w:val="24"/>
                              </w:rPr>
                            </w:pPr>
                            <w:r w:rsidRPr="00B835A8">
                              <w:rPr>
                                <w:rFonts w:ascii="Arial" w:hAnsi="Arial" w:cs="Arial"/>
                                <w:b/>
                                <w:bCs/>
                                <w:sz w:val="24"/>
                                <w:szCs w:val="24"/>
                              </w:rPr>
                              <w:t>in January 202</w:t>
                            </w:r>
                            <w:r>
                              <w:rPr>
                                <w:rFonts w:ascii="Arial" w:hAnsi="Arial" w:cs="Arial"/>
                                <w:b/>
                                <w:bCs/>
                                <w:sz w:val="24"/>
                                <w:szCs w:val="24"/>
                              </w:rPr>
                              <w:t>4</w:t>
                            </w:r>
                          </w:p>
                          <w:p w14:paraId="6C054AC0" w14:textId="77777777" w:rsidR="0090698A" w:rsidRPr="00F66505" w:rsidRDefault="0090698A" w:rsidP="0090698A">
                            <w:pPr>
                              <w:ind w:left="-284"/>
                              <w:jc w:val="center"/>
                              <w:rPr>
                                <w:rFonts w:ascii="Arial" w:hAnsi="Arial" w:cs="Arial"/>
                                <w:b/>
                                <w:bCs/>
                                <w:sz w:val="14"/>
                                <w:szCs w:val="24"/>
                              </w:rPr>
                            </w:pPr>
                            <w:r w:rsidRPr="0058646B">
                              <w:rPr>
                                <w:noProof/>
                              </w:rPr>
                              <w:drawing>
                                <wp:inline distT="0" distB="0" distL="0" distR="0" wp14:anchorId="22118B55" wp14:editId="161AFECB">
                                  <wp:extent cx="2984739" cy="2380441"/>
                                  <wp:effectExtent l="0" t="0" r="6350" b="1270"/>
                                  <wp:docPr id="20135245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1401" cy="23857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BE4B8" id="_x0000_s1027" type="#_x0000_t202" style="position:absolute;left:0;text-align:left;margin-left:6.6pt;margin-top:3.35pt;width:257.4pt;height:24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" stroked="f">
                <v:textbox>
                  <w:txbxContent>
                    <w:p w14:paraId="5A21F1C6" w14:textId="77777777" w:rsidR="0090698A" w:rsidRPr="003E5139" w:rsidRDefault="0090698A" w:rsidP="0090698A">
                      <w:pPr>
                        <w:ind w:left="-284"/>
                        <w:jc w:val="center"/>
                        <w:rPr>
                          <w:rFonts w:ascii="Arial" w:hAnsi="Arial" w:cs="Arial"/>
                          <w:b/>
                          <w:bCs/>
                          <w:sz w:val="8"/>
                          <w:szCs w:val="24"/>
                        </w:rPr>
                      </w:pPr>
                    </w:p>
                    <w:p w14:paraId="63452E0A" w14:textId="77777777" w:rsidR="0090698A" w:rsidRPr="00B835A8" w:rsidRDefault="0090698A" w:rsidP="0090698A">
                      <w:pPr>
                        <w:ind w:left="-284"/>
                        <w:jc w:val="center"/>
                        <w:rPr>
                          <w:rFonts w:ascii="Arial" w:hAnsi="Arial" w:cs="Arial"/>
                          <w:b/>
                          <w:bCs/>
                          <w:sz w:val="24"/>
                          <w:szCs w:val="24"/>
                        </w:rPr>
                      </w:pPr>
                      <w:r w:rsidRPr="00B835A8">
                        <w:rPr>
                          <w:rFonts w:ascii="Arial" w:hAnsi="Arial" w:cs="Arial"/>
                          <w:b/>
                          <w:bCs/>
                          <w:sz w:val="24"/>
                          <w:szCs w:val="24"/>
                        </w:rPr>
                        <w:t>Figure 1</w:t>
                      </w:r>
                      <w:r>
                        <w:rPr>
                          <w:rFonts w:ascii="Arial" w:hAnsi="Arial" w:cs="Arial"/>
                          <w:b/>
                          <w:bCs/>
                          <w:sz w:val="24"/>
                          <w:szCs w:val="24"/>
                        </w:rPr>
                        <w:t>7</w:t>
                      </w:r>
                      <w:r w:rsidRPr="00B835A8">
                        <w:rPr>
                          <w:rFonts w:ascii="Arial" w:hAnsi="Arial" w:cs="Arial"/>
                          <w:b/>
                          <w:bCs/>
                          <w:sz w:val="24"/>
                          <w:szCs w:val="24"/>
                        </w:rPr>
                        <w:t>. St</w:t>
                      </w:r>
                      <w:r w:rsidRPr="0058646B">
                        <w:rPr>
                          <w:rFonts w:ascii="Arial" w:hAnsi="Arial" w:cs="Arial"/>
                          <w:b/>
                          <w:bCs/>
                          <w:sz w:val="24"/>
                          <w:szCs w:val="24"/>
                        </w:rPr>
                        <w:t xml:space="preserve">ructure of </w:t>
                      </w:r>
                      <w:r w:rsidRPr="0058646B">
                        <w:rPr>
                          <w:rFonts w:ascii="Arial" w:hAnsi="Arial" w:cs="Arial"/>
                          <w:b/>
                          <w:bCs/>
                          <w:sz w:val="24"/>
                          <w:szCs w:val="24"/>
                          <w:lang w:val="en-US"/>
                        </w:rPr>
                        <w:t>imported goods</w:t>
                      </w:r>
                    </w:p>
                    <w:p w14:paraId="70043229" w14:textId="77777777" w:rsidR="0090698A" w:rsidRDefault="0090698A" w:rsidP="0090698A">
                      <w:pPr>
                        <w:spacing w:after="120"/>
                        <w:ind w:left="-284"/>
                        <w:jc w:val="center"/>
                        <w:rPr>
                          <w:rFonts w:ascii="Arial" w:hAnsi="Arial" w:cs="Arial"/>
                          <w:b/>
                          <w:bCs/>
                          <w:sz w:val="24"/>
                          <w:szCs w:val="24"/>
                        </w:rPr>
                      </w:pPr>
                      <w:r w:rsidRPr="00B835A8">
                        <w:rPr>
                          <w:rFonts w:ascii="Arial" w:hAnsi="Arial" w:cs="Arial"/>
                          <w:b/>
                          <w:bCs/>
                          <w:sz w:val="24"/>
                          <w:szCs w:val="24"/>
                        </w:rPr>
                        <w:t>in January 202</w:t>
                      </w:r>
                      <w:r>
                        <w:rPr>
                          <w:rFonts w:ascii="Arial" w:hAnsi="Arial" w:cs="Arial"/>
                          <w:b/>
                          <w:bCs/>
                          <w:sz w:val="24"/>
                          <w:szCs w:val="24"/>
                        </w:rPr>
                        <w:t>4</w:t>
                      </w:r>
                    </w:p>
                    <w:p w14:paraId="6C054AC0" w14:textId="77777777" w:rsidR="0090698A" w:rsidRPr="00F66505" w:rsidRDefault="0090698A" w:rsidP="0090698A">
                      <w:pPr>
                        <w:ind w:left="-284"/>
                        <w:jc w:val="center"/>
                        <w:rPr>
                          <w:rFonts w:ascii="Arial" w:hAnsi="Arial" w:cs="Arial"/>
                          <w:b/>
                          <w:bCs/>
                          <w:sz w:val="14"/>
                          <w:szCs w:val="24"/>
                        </w:rPr>
                      </w:pPr>
                      <w:r w:rsidRPr="0058646B">
                        <w:rPr>
                          <w:noProof/>
                        </w:rPr>
                        <w:drawing>
                          <wp:inline distT="0" distB="0" distL="0" distR="0" wp14:anchorId="22118B55" wp14:editId="161AFECB">
                            <wp:extent cx="2984739" cy="2380441"/>
                            <wp:effectExtent l="0" t="0" r="6350" b="1270"/>
                            <wp:docPr id="20135245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1401" cy="2385754"/>
                                    </a:xfrm>
                                    <a:prstGeom prst="rect">
                                      <a:avLst/>
                                    </a:prstGeom>
                                    <a:noFill/>
                                    <a:ln>
                                      <a:noFill/>
                                    </a:ln>
                                  </pic:spPr>
                                </pic:pic>
                              </a:graphicData>
                            </a:graphic>
                          </wp:inline>
                        </w:drawing>
                      </w:r>
                    </w:p>
                  </w:txbxContent>
                </v:textbox>
                <w10:wrap type="square"/>
              </v:shape>
            </w:pict>
          </mc:Fallback>
        </mc:AlternateContent>
      </w:r>
      <w:r w:rsidRPr="00007A12">
        <w:rPr>
          <w:bCs/>
          <w:lang w:val="en-US"/>
        </w:rPr>
        <w:t>Regarding the structure of imported goods in January 2024, the</w:t>
      </w:r>
      <w:r w:rsidRPr="00B835A8">
        <w:rPr>
          <w:bCs/>
          <w:lang w:val="en-US"/>
        </w:rPr>
        <w:t xml:space="preserve"> group of production materials </w:t>
      </w:r>
      <w:r w:rsidRPr="00A427F9">
        <w:rPr>
          <w:bCs/>
          <w:lang w:val="en-US"/>
        </w:rPr>
        <w:t xml:space="preserve">was estimated at </w:t>
      </w:r>
      <w:r>
        <w:rPr>
          <w:bCs/>
          <w:lang w:val="en-US"/>
        </w:rPr>
        <w:t>28.84</w:t>
      </w:r>
      <w:r w:rsidRPr="00A427F9">
        <w:rPr>
          <w:bCs/>
          <w:lang w:val="en-US"/>
        </w:rPr>
        <w:t xml:space="preserve"> billion USD</w:t>
      </w:r>
      <w:r>
        <w:rPr>
          <w:bCs/>
          <w:lang w:val="en-US"/>
        </w:rPr>
        <w:t>,</w:t>
      </w:r>
      <w:r w:rsidRPr="00A427F9">
        <w:rPr>
          <w:bCs/>
          <w:lang w:val="en-US"/>
        </w:rPr>
        <w:t xml:space="preserve"> </w:t>
      </w:r>
      <w:r w:rsidRPr="00B835A8">
        <w:rPr>
          <w:bCs/>
          <w:lang w:val="en-US"/>
        </w:rPr>
        <w:t>accounted for 9</w:t>
      </w:r>
      <w:r>
        <w:rPr>
          <w:bCs/>
          <w:lang w:val="en-US"/>
        </w:rPr>
        <w:t>4.1</w:t>
      </w:r>
      <w:r w:rsidRPr="00B835A8">
        <w:rPr>
          <w:bCs/>
          <w:lang w:val="en-US"/>
        </w:rPr>
        <w:t>%, in which the group of machinery, equipment, tools spare parts accounted for 4</w:t>
      </w:r>
      <w:r>
        <w:rPr>
          <w:bCs/>
          <w:lang w:val="en-US"/>
        </w:rPr>
        <w:t>6.5</w:t>
      </w:r>
      <w:r w:rsidRPr="00B835A8">
        <w:rPr>
          <w:bCs/>
          <w:lang w:val="en-US"/>
        </w:rPr>
        <w:t xml:space="preserve">%; raw materials, fuel and materials accounted for </w:t>
      </w:r>
      <w:r>
        <w:rPr>
          <w:bCs/>
          <w:lang w:val="en-US"/>
        </w:rPr>
        <w:t>47.6</w:t>
      </w:r>
      <w:r w:rsidRPr="00B835A8">
        <w:rPr>
          <w:bCs/>
          <w:lang w:val="en-US"/>
        </w:rPr>
        <w:t xml:space="preserve">%. The group of consumer products </w:t>
      </w:r>
      <w:r w:rsidRPr="00A427F9">
        <w:rPr>
          <w:bCs/>
          <w:lang w:val="en-US"/>
        </w:rPr>
        <w:t>was estimated at 1.</w:t>
      </w:r>
      <w:r>
        <w:rPr>
          <w:bCs/>
          <w:lang w:val="en-US"/>
        </w:rPr>
        <w:t>81</w:t>
      </w:r>
      <w:r w:rsidRPr="00A427F9">
        <w:rPr>
          <w:bCs/>
          <w:lang w:val="en-US"/>
        </w:rPr>
        <w:t xml:space="preserve"> billion USD </w:t>
      </w:r>
      <w:r w:rsidRPr="00B835A8">
        <w:rPr>
          <w:bCs/>
          <w:lang w:val="en-US"/>
        </w:rPr>
        <w:t xml:space="preserve">accounted for </w:t>
      </w:r>
      <w:r>
        <w:rPr>
          <w:bCs/>
          <w:lang w:val="en-US"/>
        </w:rPr>
        <w:t>5.9</w:t>
      </w:r>
      <w:r w:rsidRPr="00B835A8">
        <w:rPr>
          <w:bCs/>
          <w:lang w:val="en-US"/>
        </w:rPr>
        <w:t>%</w:t>
      </w:r>
      <w:r w:rsidRPr="00B835A8">
        <w:rPr>
          <w:bCs/>
          <w:i/>
          <w:iCs/>
          <w:lang w:val="en-US"/>
        </w:rPr>
        <w:t>.</w:t>
      </w:r>
    </w:p>
    <w:p w14:paraId="04805B71" w14:textId="77777777" w:rsidR="0090698A" w:rsidRPr="00D64BE4" w:rsidRDefault="0090698A" w:rsidP="0090698A">
      <w:pPr>
        <w:tabs>
          <w:tab w:val="num" w:pos="0"/>
        </w:tabs>
        <w:spacing w:before="40" w:after="40" w:line="288" w:lineRule="auto"/>
        <w:ind w:firstLine="562"/>
        <w:jc w:val="both"/>
        <w:rPr>
          <w:bCs/>
          <w:lang w:val="en-US"/>
        </w:rPr>
      </w:pPr>
      <w:r w:rsidRPr="00007A12">
        <w:rPr>
          <w:bCs/>
          <w:lang w:val="en-US"/>
        </w:rPr>
        <w:t xml:space="preserve">Regarding the export, import of goods market in January 2024, </w:t>
      </w:r>
      <w:r w:rsidRPr="00007A12">
        <w:rPr>
          <w:bCs/>
        </w:rPr>
        <w:t>the United</w:t>
      </w:r>
      <w:r w:rsidRPr="000F412D">
        <w:rPr>
          <w:bCs/>
        </w:rPr>
        <w:t xml:space="preserve"> States was Viet Nam's largest export market with a turnover of </w:t>
      </w:r>
      <w:r>
        <w:rPr>
          <w:bCs/>
        </w:rPr>
        <w:t>9.6</w:t>
      </w:r>
      <w:r w:rsidRPr="000F412D">
        <w:rPr>
          <w:bCs/>
        </w:rPr>
        <w:t xml:space="preserve"> billion USD</w:t>
      </w:r>
      <w:r>
        <w:rPr>
          <w:bCs/>
        </w:rPr>
        <w:t>.</w:t>
      </w:r>
      <w:r w:rsidRPr="00D64BE4">
        <w:rPr>
          <w:bCs/>
          <w:lang w:val="en-US"/>
        </w:rPr>
        <w:t xml:space="preserve"> China remained the largest import market of Viet</w:t>
      </w:r>
      <w:r>
        <w:rPr>
          <w:bCs/>
          <w:lang w:val="en-US"/>
        </w:rPr>
        <w:t xml:space="preserve"> N</w:t>
      </w:r>
      <w:r w:rsidRPr="00D64BE4">
        <w:rPr>
          <w:bCs/>
          <w:lang w:val="en-US"/>
        </w:rPr>
        <w:t xml:space="preserve">am with a turnover of </w:t>
      </w:r>
      <w:r>
        <w:rPr>
          <w:bCs/>
          <w:lang w:val="en-US"/>
        </w:rPr>
        <w:t>10.9</w:t>
      </w:r>
      <w:r w:rsidRPr="00D64BE4">
        <w:rPr>
          <w:bCs/>
          <w:lang w:val="en-US"/>
        </w:rPr>
        <w:t xml:space="preserve"> billion USD</w:t>
      </w:r>
      <w:r>
        <w:rPr>
          <w:bCs/>
          <w:lang w:val="en-US"/>
        </w:rPr>
        <w:t xml:space="preserve">. </w:t>
      </w:r>
      <w:r w:rsidRPr="000F412D">
        <w:rPr>
          <w:bCs/>
        </w:rPr>
        <w:t xml:space="preserve">In </w:t>
      </w:r>
      <w:r>
        <w:rPr>
          <w:bCs/>
        </w:rPr>
        <w:t>January 2024</w:t>
      </w:r>
      <w:r w:rsidRPr="000F412D">
        <w:rPr>
          <w:bCs/>
        </w:rPr>
        <w:t xml:space="preserve">, </w:t>
      </w:r>
      <w:r w:rsidRPr="000B113D">
        <w:rPr>
          <w:bCs/>
          <w:iCs/>
        </w:rPr>
        <w:t xml:space="preserve">the trade surplus to the  </w:t>
      </w:r>
      <w:r w:rsidRPr="004D176A">
        <w:rPr>
          <w:bCs/>
          <w:iCs/>
        </w:rPr>
        <w:t xml:space="preserve">United States </w:t>
      </w:r>
      <w:r w:rsidRPr="000B113D">
        <w:rPr>
          <w:bCs/>
          <w:iCs/>
        </w:rPr>
        <w:t xml:space="preserve">reached </w:t>
      </w:r>
      <w:r>
        <w:rPr>
          <w:bCs/>
          <w:iCs/>
        </w:rPr>
        <w:t>8.2</w:t>
      </w:r>
      <w:r w:rsidRPr="000B113D">
        <w:rPr>
          <w:bCs/>
          <w:iCs/>
        </w:rPr>
        <w:t xml:space="preserve"> billion USD, </w:t>
      </w:r>
      <w:r>
        <w:rPr>
          <w:bCs/>
          <w:iCs/>
        </w:rPr>
        <w:t>up 57.6%</w:t>
      </w:r>
      <w:r w:rsidRPr="000B113D">
        <w:rPr>
          <w:bCs/>
          <w:iCs/>
        </w:rPr>
        <w:t xml:space="preserve"> over </w:t>
      </w:r>
      <w:r>
        <w:rPr>
          <w:bCs/>
          <w:iCs/>
        </w:rPr>
        <w:t xml:space="preserve">the same period </w:t>
      </w:r>
      <w:r w:rsidRPr="000B113D">
        <w:rPr>
          <w:bCs/>
          <w:iCs/>
        </w:rPr>
        <w:t>last year</w:t>
      </w:r>
      <w:r>
        <w:rPr>
          <w:bCs/>
        </w:rPr>
        <w:t xml:space="preserve">; </w:t>
      </w:r>
      <w:r w:rsidRPr="00A427F9">
        <w:rPr>
          <w:bCs/>
        </w:rPr>
        <w:t xml:space="preserve">trade surplus to the EU was </w:t>
      </w:r>
      <w:r>
        <w:rPr>
          <w:bCs/>
        </w:rPr>
        <w:t>2.5</w:t>
      </w:r>
      <w:r w:rsidRPr="00A427F9">
        <w:rPr>
          <w:bCs/>
        </w:rPr>
        <w:t xml:space="preserve"> billion USD, </w:t>
      </w:r>
      <w:r>
        <w:rPr>
          <w:bCs/>
        </w:rPr>
        <w:t>up</w:t>
      </w:r>
      <w:r w:rsidRPr="00A427F9">
        <w:rPr>
          <w:bCs/>
        </w:rPr>
        <w:t xml:space="preserve"> </w:t>
      </w:r>
      <w:r>
        <w:rPr>
          <w:bCs/>
        </w:rPr>
        <w:t>10.6</w:t>
      </w:r>
      <w:r w:rsidRPr="00A427F9">
        <w:rPr>
          <w:bCs/>
        </w:rPr>
        <w:t xml:space="preserve">%; trade surplus to Japan was </w:t>
      </w:r>
      <w:r>
        <w:rPr>
          <w:bCs/>
        </w:rPr>
        <w:t>2</w:t>
      </w:r>
      <w:r w:rsidRPr="00A427F9">
        <w:rPr>
          <w:bCs/>
        </w:rPr>
        <w:t>00 million USD</w:t>
      </w:r>
      <w:r>
        <w:rPr>
          <w:bCs/>
        </w:rPr>
        <w:t xml:space="preserve"> (</w:t>
      </w:r>
      <w:r w:rsidRPr="0058646B">
        <w:rPr>
          <w:bCs/>
        </w:rPr>
        <w:t>same period last year, the trade deficit was 138 million USD</w:t>
      </w:r>
      <w:r>
        <w:rPr>
          <w:bCs/>
        </w:rPr>
        <w:t>)</w:t>
      </w:r>
      <w:r w:rsidRPr="00A427F9">
        <w:rPr>
          <w:bCs/>
        </w:rPr>
        <w:t xml:space="preserve">; trade deficit from China was </w:t>
      </w:r>
      <w:r>
        <w:rPr>
          <w:bCs/>
        </w:rPr>
        <w:t>4.8</w:t>
      </w:r>
      <w:r w:rsidRPr="00A427F9">
        <w:rPr>
          <w:bCs/>
        </w:rPr>
        <w:t xml:space="preserve"> billion USD, </w:t>
      </w:r>
      <w:r>
        <w:rPr>
          <w:bCs/>
        </w:rPr>
        <w:t>up 39.8</w:t>
      </w:r>
      <w:r w:rsidRPr="00A427F9">
        <w:rPr>
          <w:bCs/>
        </w:rPr>
        <w:t>%; trade deficit from Korea 2.</w:t>
      </w:r>
      <w:r>
        <w:rPr>
          <w:bCs/>
        </w:rPr>
        <w:t>8</w:t>
      </w:r>
      <w:r w:rsidRPr="00A427F9">
        <w:rPr>
          <w:bCs/>
        </w:rPr>
        <w:t xml:space="preserve"> billion USD, down 2</w:t>
      </w:r>
      <w:r>
        <w:rPr>
          <w:bCs/>
        </w:rPr>
        <w:t>4</w:t>
      </w:r>
      <w:r w:rsidRPr="00A427F9">
        <w:rPr>
          <w:bCs/>
        </w:rPr>
        <w:t xml:space="preserve">.9%; trade deficit from ASEAN is </w:t>
      </w:r>
      <w:r>
        <w:rPr>
          <w:bCs/>
        </w:rPr>
        <w:t>704</w:t>
      </w:r>
      <w:r w:rsidRPr="00A427F9">
        <w:rPr>
          <w:bCs/>
        </w:rPr>
        <w:t xml:space="preserve"> </w:t>
      </w:r>
      <w:r>
        <w:rPr>
          <w:bCs/>
        </w:rPr>
        <w:t>m</w:t>
      </w:r>
      <w:r w:rsidRPr="00A427F9">
        <w:rPr>
          <w:bCs/>
        </w:rPr>
        <w:t xml:space="preserve">illion USD, </w:t>
      </w:r>
      <w:r>
        <w:rPr>
          <w:bCs/>
        </w:rPr>
        <w:t>down</w:t>
      </w:r>
      <w:r w:rsidRPr="00A427F9">
        <w:rPr>
          <w:bCs/>
        </w:rPr>
        <w:t xml:space="preserve"> </w:t>
      </w:r>
      <w:r>
        <w:rPr>
          <w:bCs/>
        </w:rPr>
        <w:t>11.4</w:t>
      </w:r>
      <w:r w:rsidRPr="00A427F9">
        <w:rPr>
          <w:bCs/>
        </w:rPr>
        <w:t>%.</w:t>
      </w:r>
    </w:p>
    <w:bookmarkEnd w:id="4"/>
    <w:p w14:paraId="4B40C41C" w14:textId="77777777" w:rsidR="0090698A" w:rsidRPr="000F3B74" w:rsidRDefault="0090698A" w:rsidP="0090698A">
      <w:pPr>
        <w:tabs>
          <w:tab w:val="num" w:pos="0"/>
          <w:tab w:val="left" w:pos="9475"/>
        </w:tabs>
        <w:spacing w:before="40" w:after="40" w:line="264" w:lineRule="auto"/>
        <w:ind w:right="6"/>
        <w:jc w:val="center"/>
        <w:rPr>
          <w:rFonts w:ascii="Arial" w:hAnsi="Arial" w:cs="Arial"/>
          <w:b/>
          <w:iCs/>
          <w:sz w:val="6"/>
        </w:rPr>
      </w:pPr>
    </w:p>
    <w:p w14:paraId="0EB039A5" w14:textId="77777777" w:rsidR="0090698A" w:rsidRDefault="0090698A" w:rsidP="0090698A">
      <w:pPr>
        <w:tabs>
          <w:tab w:val="num" w:pos="0"/>
          <w:tab w:val="left" w:pos="9475"/>
        </w:tabs>
        <w:spacing w:before="40" w:after="40" w:line="264" w:lineRule="auto"/>
        <w:ind w:right="6"/>
        <w:jc w:val="center"/>
        <w:rPr>
          <w:rFonts w:ascii="Arial" w:hAnsi="Arial" w:cs="Arial"/>
          <w:b/>
          <w:iCs/>
          <w:sz w:val="24"/>
        </w:rPr>
      </w:pPr>
      <w:r w:rsidRPr="00EB4138">
        <w:rPr>
          <w:rFonts w:ascii="Arial" w:hAnsi="Arial" w:cs="Arial"/>
          <w:b/>
          <w:iCs/>
          <w:sz w:val="24"/>
        </w:rPr>
        <w:t>Figure 1</w:t>
      </w:r>
      <w:r>
        <w:rPr>
          <w:rFonts w:ascii="Arial" w:hAnsi="Arial" w:cs="Arial"/>
          <w:b/>
          <w:iCs/>
          <w:sz w:val="24"/>
        </w:rPr>
        <w:t>8</w:t>
      </w:r>
      <w:r w:rsidRPr="00EB4138">
        <w:rPr>
          <w:rFonts w:ascii="Arial" w:hAnsi="Arial" w:cs="Arial"/>
          <w:b/>
          <w:iCs/>
          <w:sz w:val="24"/>
        </w:rPr>
        <w:t xml:space="preserve">. </w:t>
      </w:r>
      <w:r>
        <w:rPr>
          <w:rFonts w:ascii="Arial" w:hAnsi="Arial" w:cs="Arial"/>
          <w:b/>
          <w:iCs/>
          <w:sz w:val="24"/>
        </w:rPr>
        <w:t>Ex</w:t>
      </w:r>
      <w:r w:rsidRPr="00EB4138">
        <w:rPr>
          <w:rFonts w:ascii="Arial" w:hAnsi="Arial" w:cs="Arial"/>
          <w:b/>
          <w:iCs/>
          <w:sz w:val="24"/>
        </w:rPr>
        <w:t>port</w:t>
      </w:r>
      <w:r>
        <w:rPr>
          <w:rFonts w:ascii="Arial" w:hAnsi="Arial" w:cs="Arial"/>
          <w:b/>
          <w:iCs/>
          <w:sz w:val="24"/>
        </w:rPr>
        <w:t>s</w:t>
      </w:r>
      <w:r w:rsidRPr="00EB4138">
        <w:rPr>
          <w:rFonts w:ascii="Arial" w:hAnsi="Arial" w:cs="Arial"/>
          <w:b/>
          <w:iCs/>
          <w:sz w:val="24"/>
        </w:rPr>
        <w:t xml:space="preserve"> and </w:t>
      </w:r>
      <w:r>
        <w:rPr>
          <w:rFonts w:ascii="Arial" w:hAnsi="Arial" w:cs="Arial"/>
          <w:b/>
          <w:iCs/>
          <w:sz w:val="24"/>
        </w:rPr>
        <w:t>im</w:t>
      </w:r>
      <w:r w:rsidRPr="00EB4138">
        <w:rPr>
          <w:rFonts w:ascii="Arial" w:hAnsi="Arial" w:cs="Arial"/>
          <w:b/>
          <w:iCs/>
          <w:sz w:val="24"/>
        </w:rPr>
        <w:t>port</w:t>
      </w:r>
      <w:r>
        <w:rPr>
          <w:rFonts w:ascii="Arial" w:hAnsi="Arial" w:cs="Arial"/>
          <w:b/>
          <w:iCs/>
          <w:sz w:val="24"/>
        </w:rPr>
        <w:t>s</w:t>
      </w:r>
      <w:r w:rsidRPr="00EB4138">
        <w:rPr>
          <w:rFonts w:ascii="Arial" w:hAnsi="Arial" w:cs="Arial"/>
          <w:b/>
          <w:iCs/>
          <w:sz w:val="24"/>
        </w:rPr>
        <w:t xml:space="preserve"> of goods in </w:t>
      </w:r>
      <w:r>
        <w:rPr>
          <w:rFonts w:ascii="Arial" w:hAnsi="Arial" w:cs="Arial"/>
          <w:b/>
          <w:iCs/>
          <w:sz w:val="24"/>
        </w:rPr>
        <w:t>January 2024</w:t>
      </w:r>
    </w:p>
    <w:p w14:paraId="19A02FC2" w14:textId="77777777" w:rsidR="0090698A" w:rsidRPr="006D1316" w:rsidRDefault="0090698A" w:rsidP="0090698A">
      <w:pPr>
        <w:tabs>
          <w:tab w:val="num" w:pos="0"/>
          <w:tab w:val="left" w:pos="9475"/>
        </w:tabs>
        <w:spacing w:before="40" w:after="40" w:line="264" w:lineRule="auto"/>
        <w:ind w:right="6"/>
        <w:jc w:val="center"/>
        <w:rPr>
          <w:rFonts w:ascii="Arial" w:hAnsi="Arial" w:cs="Arial"/>
          <w:b/>
          <w:iCs/>
          <w:sz w:val="2"/>
        </w:rPr>
      </w:pP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90698A" w14:paraId="1E7243C9" w14:textId="77777777" w:rsidTr="008278F8">
        <w:trPr>
          <w:trHeight w:val="4130"/>
          <w:jc w:val="center"/>
        </w:trPr>
        <w:tc>
          <w:tcPr>
            <w:tcW w:w="4675" w:type="dxa"/>
            <w:gridSpan w:val="3"/>
          </w:tcPr>
          <w:p w14:paraId="3154DD86" w14:textId="77777777" w:rsidR="0090698A" w:rsidRDefault="0090698A" w:rsidP="008278F8">
            <w:pPr>
              <w:tabs>
                <w:tab w:val="num" w:pos="0"/>
                <w:tab w:val="left" w:pos="9475"/>
              </w:tabs>
              <w:spacing w:before="40" w:after="40" w:line="264" w:lineRule="auto"/>
              <w:ind w:right="-118"/>
              <w:jc w:val="both"/>
              <w:rPr>
                <w:iCs/>
              </w:rPr>
            </w:pPr>
            <w:r>
              <w:rPr>
                <w:noProof/>
              </w:rPr>
              <w:drawing>
                <wp:inline distT="0" distB="0" distL="0" distR="0" wp14:anchorId="6F0D6F66" wp14:editId="71778CE5">
                  <wp:extent cx="2898475" cy="2363470"/>
                  <wp:effectExtent l="0" t="0" r="16510" b="17780"/>
                  <wp:docPr id="2023957479" name="Chart 1">
                    <a:extLst xmlns:a="http://schemas.openxmlformats.org/drawingml/2006/main">
                      <a:ext uri="{FF2B5EF4-FFF2-40B4-BE49-F238E27FC236}">
                        <a16:creationId xmlns:a16="http://schemas.microsoft.com/office/drawing/2014/main" id="{44D50716-56FF-4985-B386-1B9125899A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818" w:type="dxa"/>
            <w:gridSpan w:val="3"/>
            <w:shd w:val="clear" w:color="auto" w:fill="auto"/>
          </w:tcPr>
          <w:p w14:paraId="1FC3326D" w14:textId="77777777" w:rsidR="0090698A" w:rsidRDefault="0090698A" w:rsidP="008278F8">
            <w:pPr>
              <w:tabs>
                <w:tab w:val="num" w:pos="0"/>
                <w:tab w:val="left" w:pos="9475"/>
              </w:tabs>
              <w:spacing w:before="40" w:after="40" w:line="264" w:lineRule="auto"/>
              <w:ind w:right="6" w:hanging="107"/>
              <w:jc w:val="both"/>
              <w:rPr>
                <w:iCs/>
              </w:rPr>
            </w:pPr>
            <w:r>
              <w:rPr>
                <w:noProof/>
              </w:rPr>
              <w:drawing>
                <wp:inline distT="0" distB="0" distL="0" distR="0" wp14:anchorId="12651C50" wp14:editId="4BFBEAED">
                  <wp:extent cx="2922270" cy="2363470"/>
                  <wp:effectExtent l="0" t="0" r="11430" b="17780"/>
                  <wp:docPr id="1114354318" name="Chart 1">
                    <a:extLst xmlns:a="http://schemas.openxmlformats.org/drawingml/2006/main">
                      <a:ext uri="{FF2B5EF4-FFF2-40B4-BE49-F238E27FC236}">
                        <a16:creationId xmlns:a16="http://schemas.microsoft.com/office/drawing/2014/main" id="{6679D1D4-83B8-4932-992B-50028A3F5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90698A" w14:paraId="526BEE8C" w14:textId="77777777" w:rsidTr="008278F8">
        <w:trPr>
          <w:gridAfter w:val="1"/>
          <w:wAfter w:w="532" w:type="dxa"/>
          <w:trHeight w:val="176"/>
          <w:jc w:val="center"/>
        </w:trPr>
        <w:tc>
          <w:tcPr>
            <w:tcW w:w="1791" w:type="dxa"/>
          </w:tcPr>
          <w:p w14:paraId="209F34BD" w14:textId="77777777" w:rsidR="0090698A" w:rsidRDefault="0090698A" w:rsidP="008278F8">
            <w:pPr>
              <w:spacing w:before="40" w:after="40" w:line="264" w:lineRule="auto"/>
              <w:jc w:val="both"/>
              <w:rPr>
                <w:b/>
                <w:bCs/>
                <w:i/>
                <w:iCs/>
              </w:rPr>
            </w:pPr>
          </w:p>
        </w:tc>
        <w:tc>
          <w:tcPr>
            <w:tcW w:w="619" w:type="dxa"/>
            <w:shd w:val="clear" w:color="auto" w:fill="auto"/>
          </w:tcPr>
          <w:p w14:paraId="16B6EB6A" w14:textId="77777777" w:rsidR="0090698A" w:rsidRPr="00495002" w:rsidRDefault="0090698A" w:rsidP="008278F8">
            <w:pPr>
              <w:spacing w:before="40" w:after="40" w:line="264" w:lineRule="auto"/>
              <w:jc w:val="both"/>
              <w:rPr>
                <w:b/>
                <w:bCs/>
                <w:i/>
                <w:iCs/>
                <w:color w:val="FF0000"/>
              </w:rPr>
            </w:pPr>
          </w:p>
        </w:tc>
        <w:tc>
          <w:tcPr>
            <w:tcW w:w="2265" w:type="dxa"/>
          </w:tcPr>
          <w:p w14:paraId="0271F031" w14:textId="77777777" w:rsidR="0090698A" w:rsidRDefault="0090698A" w:rsidP="008278F8">
            <w:pPr>
              <w:spacing w:before="40" w:after="40"/>
              <w:jc w:val="both"/>
              <w:rPr>
                <w:b/>
                <w:bCs/>
                <w:i/>
                <w:iCs/>
              </w:rPr>
            </w:pPr>
            <w:r>
              <w:rPr>
                <w:noProof/>
                <w:lang w:val="en-US"/>
              </w:rPr>
              <mc:AlternateContent>
                <mc:Choice Requires="wps">
                  <w:drawing>
                    <wp:anchor distT="0" distB="0" distL="114300" distR="114300" simplePos="0" relativeHeight="251671040" behindDoc="0" locked="0" layoutInCell="1" allowOverlap="1" wp14:anchorId="1A7052FA" wp14:editId="622C023B">
                      <wp:simplePos x="0" y="0"/>
                      <wp:positionH relativeFrom="column">
                        <wp:posOffset>98425</wp:posOffset>
                      </wp:positionH>
                      <wp:positionV relativeFrom="paragraph">
                        <wp:posOffset>36195</wp:posOffset>
                      </wp:positionV>
                      <wp:extent cx="125730" cy="90170"/>
                      <wp:effectExtent l="0" t="0" r="7620" b="5080"/>
                      <wp:wrapNone/>
                      <wp:docPr id="2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55ADC" id="Rectangle 28" o:spid="_x0000_s1026" style="position:absolute;margin-left:7.75pt;margin-top:2.85pt;width:9.9pt;height:7.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" fillcolor="#c00000" stroked="f" strokeweight="2pt"/>
                  </w:pict>
                </mc:Fallback>
              </mc:AlternateContent>
            </w:r>
            <w:r>
              <w:rPr>
                <w:rFonts w:ascii="Arial" w:hAnsi="Arial" w:cs="Arial"/>
                <w:iCs/>
                <w:sz w:val="16"/>
                <w:szCs w:val="16"/>
              </w:rPr>
              <w:t xml:space="preserve">           Exports of goods</w:t>
            </w:r>
          </w:p>
        </w:tc>
        <w:tc>
          <w:tcPr>
            <w:tcW w:w="2838" w:type="dxa"/>
          </w:tcPr>
          <w:p w14:paraId="6818417E" w14:textId="77777777" w:rsidR="0090698A" w:rsidRDefault="0090698A" w:rsidP="008278F8">
            <w:pPr>
              <w:spacing w:before="40" w:after="40"/>
              <w:jc w:val="both"/>
              <w:rPr>
                <w:b/>
                <w:bCs/>
                <w:i/>
                <w:iCs/>
              </w:rPr>
            </w:pPr>
            <w:r>
              <w:rPr>
                <w:noProof/>
                <w:lang w:val="en-US"/>
              </w:rPr>
              <mc:AlternateContent>
                <mc:Choice Requires="wps">
                  <w:drawing>
                    <wp:anchor distT="0" distB="0" distL="114300" distR="114300" simplePos="0" relativeHeight="251672064" behindDoc="0" locked="0" layoutInCell="1" allowOverlap="1" wp14:anchorId="4D5E813A" wp14:editId="3D906836">
                      <wp:simplePos x="0" y="0"/>
                      <wp:positionH relativeFrom="column">
                        <wp:posOffset>24130</wp:posOffset>
                      </wp:positionH>
                      <wp:positionV relativeFrom="paragraph">
                        <wp:posOffset>36195</wp:posOffset>
                      </wp:positionV>
                      <wp:extent cx="125730" cy="90170"/>
                      <wp:effectExtent l="0" t="0" r="26670" b="24130"/>
                      <wp:wrapNone/>
                      <wp:docPr id="154782119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FE566" id="Rectangle 29" o:spid="_x0000_s1026" style="position:absolute;margin-left:1.9pt;margin-top:2.85pt;width:9.9pt;height:7.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" fillcolor="yellow" strokecolor="#484329 [814]" strokeweight=".5pt">
                      <v:path arrowok="t"/>
                    </v:rect>
                  </w:pict>
                </mc:Fallback>
              </mc:AlternateContent>
            </w:r>
            <w:r>
              <w:rPr>
                <w:rFonts w:ascii="Arial" w:hAnsi="Arial" w:cs="Arial"/>
                <w:iCs/>
                <w:sz w:val="16"/>
                <w:szCs w:val="16"/>
              </w:rPr>
              <w:t xml:space="preserve">          Im</w:t>
            </w:r>
            <w:r w:rsidRPr="00D31D36">
              <w:rPr>
                <w:rFonts w:ascii="Arial" w:hAnsi="Arial" w:cs="Arial"/>
                <w:iCs/>
                <w:sz w:val="16"/>
                <w:szCs w:val="16"/>
              </w:rPr>
              <w:t>ports of goods</w:t>
            </w:r>
          </w:p>
        </w:tc>
        <w:tc>
          <w:tcPr>
            <w:tcW w:w="1448" w:type="dxa"/>
          </w:tcPr>
          <w:p w14:paraId="059579BD" w14:textId="77777777" w:rsidR="0090698A" w:rsidRDefault="0090698A" w:rsidP="008278F8">
            <w:pPr>
              <w:spacing w:before="40" w:after="40" w:line="264" w:lineRule="auto"/>
              <w:jc w:val="both"/>
              <w:rPr>
                <w:b/>
                <w:bCs/>
                <w:i/>
                <w:iCs/>
              </w:rPr>
            </w:pPr>
          </w:p>
        </w:tc>
      </w:tr>
    </w:tbl>
    <w:p w14:paraId="11AB551E" w14:textId="77777777" w:rsidR="0090698A" w:rsidRPr="009A7684" w:rsidRDefault="0090698A" w:rsidP="0090698A">
      <w:pPr>
        <w:spacing w:before="40" w:after="40" w:line="274" w:lineRule="auto"/>
        <w:ind w:firstLine="567"/>
        <w:jc w:val="both"/>
        <w:rPr>
          <w:iCs/>
        </w:rPr>
      </w:pPr>
      <w:r w:rsidRPr="000F412D">
        <w:rPr>
          <w:bCs/>
          <w:lang w:val="en-US"/>
        </w:rPr>
        <w:t xml:space="preserve">The trade balance of goods in </w:t>
      </w:r>
      <w:r>
        <w:rPr>
          <w:bCs/>
          <w:lang w:val="en-US"/>
        </w:rPr>
        <w:t>Dec</w:t>
      </w:r>
      <w:r w:rsidRPr="000F412D">
        <w:rPr>
          <w:bCs/>
          <w:lang w:val="en-US"/>
        </w:rPr>
        <w:t xml:space="preserve">ember </w:t>
      </w:r>
      <w:r>
        <w:rPr>
          <w:bCs/>
          <w:lang w:val="en-US"/>
        </w:rPr>
        <w:t>2023</w:t>
      </w:r>
      <w:r w:rsidRPr="000F412D">
        <w:rPr>
          <w:bCs/>
          <w:lang w:val="en-US"/>
        </w:rPr>
        <w:t xml:space="preserve"> witnessed a trade surplus of </w:t>
      </w:r>
      <w:r>
        <w:rPr>
          <w:bCs/>
          <w:lang w:val="en-US"/>
        </w:rPr>
        <w:t>2.07</w:t>
      </w:r>
      <w:r w:rsidRPr="000F412D">
        <w:rPr>
          <w:bCs/>
          <w:lang w:val="en-US"/>
        </w:rPr>
        <w:t xml:space="preserve"> billion USD</w:t>
      </w:r>
      <w:r w:rsidRPr="009A7684">
        <w:rPr>
          <w:iCs/>
          <w:vertAlign w:val="superscript"/>
        </w:rPr>
        <w:footnoteReference w:id="16"/>
      </w:r>
      <w:r w:rsidRPr="009A7684">
        <w:rPr>
          <w:iCs/>
        </w:rPr>
        <w:t xml:space="preserve">; </w:t>
      </w:r>
      <w:r w:rsidRPr="000F412D">
        <w:rPr>
          <w:bCs/>
          <w:lang w:val="en-US"/>
        </w:rPr>
        <w:t xml:space="preserve">trade surplus for </w:t>
      </w:r>
      <w:r>
        <w:rPr>
          <w:bCs/>
          <w:lang w:val="en-US"/>
        </w:rPr>
        <w:t>2023</w:t>
      </w:r>
      <w:r w:rsidRPr="000F412D">
        <w:rPr>
          <w:bCs/>
          <w:lang w:val="en-US"/>
        </w:rPr>
        <w:t xml:space="preserve"> was </w:t>
      </w:r>
      <w:r>
        <w:rPr>
          <w:bCs/>
          <w:lang w:val="en-US"/>
        </w:rPr>
        <w:t>28.3</w:t>
      </w:r>
      <w:r w:rsidRPr="000F412D">
        <w:rPr>
          <w:bCs/>
          <w:lang w:val="en-US"/>
        </w:rPr>
        <w:t xml:space="preserve"> </w:t>
      </w:r>
      <w:r>
        <w:rPr>
          <w:bCs/>
          <w:lang w:val="en-US"/>
        </w:rPr>
        <w:t>b</w:t>
      </w:r>
      <w:r w:rsidRPr="000F412D">
        <w:rPr>
          <w:bCs/>
          <w:lang w:val="en-US"/>
        </w:rPr>
        <w:t xml:space="preserve">illion USD; trade surplus for </w:t>
      </w:r>
      <w:r>
        <w:rPr>
          <w:bCs/>
          <w:lang w:val="en-US"/>
        </w:rPr>
        <w:t>January</w:t>
      </w:r>
      <w:r w:rsidRPr="000F412D">
        <w:rPr>
          <w:bCs/>
          <w:lang w:val="en-US"/>
        </w:rPr>
        <w:t xml:space="preserve"> </w:t>
      </w:r>
      <w:r>
        <w:rPr>
          <w:bCs/>
          <w:lang w:val="en-US"/>
        </w:rPr>
        <w:t>2024</w:t>
      </w:r>
      <w:r w:rsidRPr="000F412D">
        <w:rPr>
          <w:bCs/>
          <w:lang w:val="en-US"/>
        </w:rPr>
        <w:t xml:space="preserve"> was </w:t>
      </w:r>
      <w:r>
        <w:rPr>
          <w:bCs/>
          <w:lang w:val="en-US"/>
        </w:rPr>
        <w:t>estimated at 2.92 b</w:t>
      </w:r>
      <w:r w:rsidRPr="000F412D">
        <w:rPr>
          <w:bCs/>
          <w:lang w:val="en-US"/>
        </w:rPr>
        <w:t>illion USD</w:t>
      </w:r>
      <w:r>
        <w:rPr>
          <w:bCs/>
          <w:lang w:val="en-US"/>
        </w:rPr>
        <w:t>.</w:t>
      </w:r>
      <w:r w:rsidRPr="000F412D">
        <w:rPr>
          <w:bCs/>
          <w:lang w:val="en-US"/>
        </w:rPr>
        <w:t xml:space="preserve"> </w:t>
      </w:r>
      <w:r>
        <w:rPr>
          <w:bCs/>
          <w:lang w:val="en-US"/>
        </w:rPr>
        <w:t>O</w:t>
      </w:r>
      <w:r w:rsidRPr="000F412D">
        <w:rPr>
          <w:bCs/>
          <w:lang w:val="en-US"/>
        </w:rPr>
        <w:t xml:space="preserve">f which the domestic economic sector saw a trade deficit of </w:t>
      </w:r>
      <w:r>
        <w:rPr>
          <w:bCs/>
          <w:lang w:val="en-US"/>
        </w:rPr>
        <w:t>2.12</w:t>
      </w:r>
      <w:r w:rsidRPr="000F412D">
        <w:rPr>
          <w:bCs/>
          <w:lang w:val="en-US"/>
        </w:rPr>
        <w:t xml:space="preserve"> billion USD; the FDI sector (including crude oil) saw a trade surplus of </w:t>
      </w:r>
      <w:r>
        <w:rPr>
          <w:bCs/>
          <w:lang w:val="en-US"/>
        </w:rPr>
        <w:t>5.04</w:t>
      </w:r>
      <w:r w:rsidRPr="000F412D">
        <w:rPr>
          <w:bCs/>
          <w:lang w:val="en-US"/>
        </w:rPr>
        <w:t xml:space="preserve"> billion USD.</w:t>
      </w:r>
    </w:p>
    <w:p w14:paraId="29C9E912" w14:textId="77777777" w:rsidR="00466CA3" w:rsidRPr="00591DA4" w:rsidRDefault="00466CA3" w:rsidP="00466CA3">
      <w:pPr>
        <w:spacing w:after="120" w:line="259" w:lineRule="auto"/>
        <w:ind w:firstLine="567"/>
        <w:jc w:val="both"/>
        <w:rPr>
          <w:rFonts w:eastAsia="Calibri"/>
          <w:b/>
          <w:i/>
          <w:color w:val="000000"/>
          <w:spacing w:val="2"/>
        </w:rPr>
      </w:pPr>
      <w:r w:rsidRPr="00591DA4">
        <w:rPr>
          <w:rFonts w:eastAsia="Calibri"/>
          <w:b/>
          <w:i/>
          <w:color w:val="000000"/>
          <w:spacing w:val="2"/>
        </w:rPr>
        <w:t>c) Consumer price index, gold price index and US dollar price index</w:t>
      </w:r>
    </w:p>
    <w:p w14:paraId="41FF1BF3" w14:textId="77777777" w:rsidR="00466CA3" w:rsidRDefault="00466CA3" w:rsidP="00466CA3">
      <w:pPr>
        <w:spacing w:after="120" w:line="259" w:lineRule="auto"/>
        <w:ind w:firstLine="567"/>
        <w:jc w:val="both"/>
        <w:rPr>
          <w:rFonts w:eastAsia="Calibri"/>
          <w:i/>
          <w:color w:val="000000"/>
          <w:spacing w:val="2"/>
        </w:rPr>
      </w:pPr>
      <w:r w:rsidRPr="00591DA4">
        <w:rPr>
          <w:rFonts w:eastAsia="Calibri"/>
          <w:i/>
          <w:color w:val="000000"/>
          <w:spacing w:val="2"/>
        </w:rPr>
        <w:t>Some localities increased medical service prices according to Circular No. 22/2023/TT-BYT, Vietnam Electricity Group adjusted the average retail electricity price and domestic rice prices continued to increase according to rice prices. Exports are the main reasons why the consumer price index (CPI) in January 2024 increased by 0.31% compared to the previous month. Compared to the same period in 2023, January CPI increased by 3.37%; Core inflation in January 2024 increased by 2.72%.</w:t>
      </w:r>
    </w:p>
    <w:p w14:paraId="72E00CE5" w14:textId="77777777" w:rsidR="00466CA3" w:rsidRDefault="00466CA3" w:rsidP="00466CA3">
      <w:pPr>
        <w:jc w:val="center"/>
        <w:rPr>
          <w:rFonts w:ascii="Arial" w:eastAsia="Calibri" w:hAnsi="Arial" w:cs="Arial"/>
          <w:b/>
          <w:sz w:val="24"/>
          <w:szCs w:val="24"/>
          <w:lang w:val="nl-NL"/>
        </w:rPr>
      </w:pPr>
      <w:r w:rsidRPr="00591DA4">
        <w:rPr>
          <w:rFonts w:ascii="Arial" w:eastAsia="Calibri" w:hAnsi="Arial" w:cs="Arial"/>
          <w:b/>
          <w:sz w:val="24"/>
          <w:szCs w:val="24"/>
          <w:lang w:val="nl-NL"/>
        </w:rPr>
        <w:t>Figure 15. CPI growt rate in January 2024 compared to the previous month</w:t>
      </w:r>
    </w:p>
    <w:p w14:paraId="185BA24F" w14:textId="77777777" w:rsidR="00466CA3" w:rsidRPr="008D4166" w:rsidRDefault="00466CA3" w:rsidP="00466CA3">
      <w:pPr>
        <w:jc w:val="center"/>
        <w:rPr>
          <w:rFonts w:ascii="Arial" w:eastAsia="Calibri" w:hAnsi="Arial" w:cs="Arial"/>
          <w:b/>
          <w:sz w:val="24"/>
          <w:szCs w:val="24"/>
          <w:lang w:val="nl-NL"/>
        </w:rPr>
      </w:pPr>
      <w:r>
        <w:rPr>
          <w:noProof/>
          <w:lang w:val="en-US"/>
        </w:rPr>
        <w:lastRenderedPageBreak/>
        <w:drawing>
          <wp:inline distT="0" distB="0" distL="0" distR="0" wp14:anchorId="64C9698F" wp14:editId="1DE37FD3">
            <wp:extent cx="5838825" cy="3133725"/>
            <wp:effectExtent l="0" t="0" r="9525" b="9525"/>
            <wp:docPr id="147856708" name="Chart 1478567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6E6095" w14:textId="77777777" w:rsidR="00466CA3" w:rsidRPr="008D4166" w:rsidRDefault="00466CA3" w:rsidP="00466CA3">
      <w:pPr>
        <w:tabs>
          <w:tab w:val="left" w:pos="720"/>
        </w:tabs>
        <w:ind w:right="142"/>
        <w:jc w:val="center"/>
        <w:rPr>
          <w:rFonts w:ascii="Arial" w:hAnsi="Arial" w:cs="Arial"/>
          <w:b/>
          <w:sz w:val="24"/>
          <w:szCs w:val="24"/>
          <w:lang w:val="nl-NL"/>
        </w:rPr>
      </w:pPr>
    </w:p>
    <w:p w14:paraId="3B7BEA3A" w14:textId="77777777" w:rsidR="00466CA3" w:rsidRPr="008D4166" w:rsidRDefault="00466CA3" w:rsidP="00466CA3">
      <w:pPr>
        <w:spacing w:after="120" w:line="252" w:lineRule="auto"/>
        <w:ind w:firstLine="567"/>
        <w:jc w:val="both"/>
        <w:rPr>
          <w:rFonts w:eastAsia="Calibri"/>
          <w:lang w:val="nl-NL"/>
        </w:rPr>
      </w:pPr>
      <w:r w:rsidRPr="00591DA4">
        <w:rPr>
          <w:rFonts w:eastAsia="Calibri"/>
          <w:lang w:val="nl-NL"/>
        </w:rPr>
        <w:t>In the 0.31% increase in CPI in January 2024 compared to the previous month, there were 09 groups of goods and services with increased price indexes, 02 groups of goods with decreased price indexes.</w:t>
      </w:r>
    </w:p>
    <w:p w14:paraId="1BD59275" w14:textId="77777777" w:rsidR="00466CA3" w:rsidRDefault="00466CA3" w:rsidP="00466CA3">
      <w:pPr>
        <w:tabs>
          <w:tab w:val="left" w:pos="993"/>
        </w:tabs>
        <w:spacing w:after="120" w:line="252" w:lineRule="auto"/>
        <w:ind w:firstLine="567"/>
        <w:jc w:val="both"/>
        <w:rPr>
          <w:rFonts w:eastAsia="Calibri"/>
          <w:lang w:val="es-NI"/>
        </w:rPr>
      </w:pPr>
      <w:r w:rsidRPr="008D4166">
        <w:rPr>
          <w:rFonts w:eastAsia="Calibri"/>
          <w:lang w:val="es-NI"/>
        </w:rPr>
        <w:t xml:space="preserve">(1) </w:t>
      </w:r>
      <w:r w:rsidRPr="00591DA4">
        <w:rPr>
          <w:rFonts w:eastAsia="Calibri"/>
          <w:lang w:val="es-NI"/>
        </w:rPr>
        <w:t>Nine groups of goods and services with increased price indexes include:</w:t>
      </w:r>
    </w:p>
    <w:p w14:paraId="6B604EBE" w14:textId="77777777" w:rsidR="00466CA3" w:rsidRPr="008D4166" w:rsidRDefault="00466CA3" w:rsidP="00466CA3">
      <w:pPr>
        <w:tabs>
          <w:tab w:val="left" w:pos="993"/>
        </w:tabs>
        <w:spacing w:after="120" w:line="252" w:lineRule="auto"/>
        <w:ind w:firstLine="567"/>
        <w:jc w:val="both"/>
        <w:rPr>
          <w:rFonts w:eastAsia="Calibri"/>
          <w:color w:val="000000"/>
        </w:rPr>
      </w:pPr>
      <w:r w:rsidRPr="00591DA4">
        <w:rPr>
          <w:rFonts w:eastAsia="Calibri"/>
          <w:i/>
          <w:color w:val="000000"/>
        </w:rPr>
        <w:t>- The group of medicines and health care services</w:t>
      </w:r>
      <w:r w:rsidRPr="00591DA4">
        <w:rPr>
          <w:rFonts w:eastAsia="Calibri"/>
          <w:color w:val="000000"/>
        </w:rPr>
        <w:t xml:space="preserve"> increased the highest with 1.02% (making the general CPI increase by 0.05 percentage points), in which the drug price index of all types increased by 0.09%; Outpatient medical examination and treatment services increased by 0.89%; Inpatient medical examination and treatment services increased by 1.67%. The main reason is that some localities have implemented new medical service prices according to Circular No. 22/2023/TT-BYT dated November 17, 2023 of the Ministry of Health regulating uniform prices for medical examination services, health insurance treatment among hospitals of the same class nationwide and instructions on applying prices and payment of medical examination and treatment costs in some cases.</w:t>
      </w:r>
    </w:p>
    <w:p w14:paraId="68B9D0B9" w14:textId="77777777" w:rsidR="00466CA3" w:rsidRPr="008D4166" w:rsidRDefault="00466CA3" w:rsidP="00466CA3">
      <w:pPr>
        <w:spacing w:after="120" w:line="252" w:lineRule="auto"/>
        <w:ind w:firstLine="567"/>
        <w:jc w:val="both"/>
        <w:rPr>
          <w:rFonts w:eastAsia="Calibri"/>
          <w:color w:val="000000"/>
        </w:rPr>
      </w:pPr>
      <w:r w:rsidRPr="00591DA4">
        <w:rPr>
          <w:rFonts w:eastAsia="Calibri"/>
          <w:i/>
          <w:color w:val="000000"/>
        </w:rPr>
        <w:t>- Housing and construction materials group</w:t>
      </w:r>
      <w:r w:rsidRPr="00591DA4">
        <w:rPr>
          <w:rFonts w:eastAsia="Calibri"/>
          <w:color w:val="000000"/>
        </w:rPr>
        <w:t xml:space="preserve"> increased by 0.56% (making the general CPI increase by 0.11 percentage points), due to electricity prices in January increasing by 1.29% compared to the previous month</w:t>
      </w:r>
      <w:r w:rsidRPr="008D4166">
        <w:rPr>
          <w:rFonts w:eastAsia="Calibri"/>
          <w:iCs/>
          <w:color w:val="000000"/>
          <w:vertAlign w:val="superscript"/>
        </w:rPr>
        <w:footnoteReference w:id="17"/>
      </w:r>
      <w:r w:rsidRPr="008D4166">
        <w:rPr>
          <w:rFonts w:eastAsia="Calibri"/>
          <w:color w:val="000000"/>
          <w:shd w:val="clear" w:color="auto" w:fill="FFFFFF"/>
        </w:rPr>
        <w:t xml:space="preserve"> </w:t>
      </w:r>
      <w:r w:rsidRPr="00591DA4">
        <w:rPr>
          <w:rFonts w:eastAsia="Calibri"/>
          <w:color w:val="000000"/>
        </w:rPr>
        <w:t xml:space="preserve">and demand for electricity for heating Warmth increases when the weather turns cold; </w:t>
      </w:r>
      <w:r>
        <w:rPr>
          <w:rFonts w:eastAsia="Calibri"/>
          <w:color w:val="000000"/>
          <w:lang w:val="en-US"/>
        </w:rPr>
        <w:t>t</w:t>
      </w:r>
      <w:r w:rsidRPr="00591DA4">
        <w:rPr>
          <w:rFonts w:eastAsia="Calibri"/>
          <w:color w:val="000000"/>
        </w:rPr>
        <w:t>he price of housing maintenance materials increased by 0.53% and the price of housing repai</w:t>
      </w:r>
      <w:r>
        <w:rPr>
          <w:rFonts w:eastAsia="Calibri"/>
          <w:color w:val="000000"/>
        </w:rPr>
        <w:t>r services increased by 0.33%; g</w:t>
      </w:r>
      <w:r w:rsidRPr="00591DA4">
        <w:rPr>
          <w:rFonts w:eastAsia="Calibri"/>
          <w:color w:val="000000"/>
        </w:rPr>
        <w:t>as prices increased by 1.69%</w:t>
      </w:r>
      <w:r w:rsidRPr="008D4166">
        <w:rPr>
          <w:rFonts w:eastAsia="Calibri"/>
          <w:color w:val="000000"/>
          <w:vertAlign w:val="superscript"/>
          <w:lang w:val="en-GB"/>
        </w:rPr>
        <w:footnoteReference w:id="18"/>
      </w:r>
      <w:r w:rsidRPr="00591DA4">
        <w:rPr>
          <w:rFonts w:eastAsia="Calibri"/>
          <w:color w:val="000000"/>
        </w:rPr>
        <w:t xml:space="preserve">. In the opposite direction, kerosene prices in January 2024 decreased by 1.24% compared to </w:t>
      </w:r>
      <w:r w:rsidRPr="00591DA4">
        <w:rPr>
          <w:rFonts w:eastAsia="Calibri"/>
          <w:color w:val="000000"/>
        </w:rPr>
        <w:lastRenderedPageBreak/>
        <w:t>December 2023 due to the impact of price adjustments on January 4, 2024, January 11, 2024, January 18, 2024. 2024 and January 25, 2024.</w:t>
      </w:r>
    </w:p>
    <w:p w14:paraId="3B89333B" w14:textId="77777777" w:rsidR="00466CA3" w:rsidRPr="008D4166" w:rsidRDefault="00466CA3" w:rsidP="00466CA3">
      <w:pPr>
        <w:spacing w:after="120" w:line="259" w:lineRule="auto"/>
        <w:ind w:firstLine="567"/>
        <w:jc w:val="both"/>
        <w:rPr>
          <w:rFonts w:eastAsia="Calibri"/>
          <w:color w:val="000000"/>
        </w:rPr>
      </w:pPr>
      <w:r w:rsidRPr="005740D4">
        <w:rPr>
          <w:rFonts w:eastAsia="Calibri"/>
          <w:i/>
          <w:color w:val="000000"/>
        </w:rPr>
        <w:t>- The transportation group</w:t>
      </w:r>
      <w:r w:rsidRPr="00591DA4">
        <w:rPr>
          <w:rFonts w:eastAsia="Calibri"/>
          <w:color w:val="000000"/>
        </w:rPr>
        <w:t xml:space="preserve"> increased by 0.41% (making the general CPI increase by 0.04 percentage points), due to the gasoline pr</w:t>
      </w:r>
      <w:r>
        <w:rPr>
          <w:rFonts w:eastAsia="Calibri"/>
          <w:color w:val="000000"/>
        </w:rPr>
        <w:t>ice index increasing by 0.79%; d</w:t>
      </w:r>
      <w:r w:rsidRPr="00591DA4">
        <w:rPr>
          <w:rFonts w:eastAsia="Calibri"/>
          <w:color w:val="000000"/>
        </w:rPr>
        <w:t>iesel p</w:t>
      </w:r>
      <w:r>
        <w:rPr>
          <w:rFonts w:eastAsia="Calibri"/>
          <w:color w:val="000000"/>
        </w:rPr>
        <w:t>rice index increased by 1.39%; p</w:t>
      </w:r>
      <w:r w:rsidRPr="00591DA4">
        <w:rPr>
          <w:rFonts w:eastAsia="Calibri"/>
          <w:color w:val="000000"/>
        </w:rPr>
        <w:t>ublic transport service price index increased by 3.64%; auto pa</w:t>
      </w:r>
      <w:r>
        <w:rPr>
          <w:rFonts w:eastAsia="Calibri"/>
          <w:color w:val="000000"/>
        </w:rPr>
        <w:t>rts prices increased by 0.06%; m</w:t>
      </w:r>
      <w:r w:rsidRPr="00591DA4">
        <w:rPr>
          <w:rFonts w:eastAsia="Calibri"/>
          <w:color w:val="000000"/>
        </w:rPr>
        <w:t>otorcycle tires</w:t>
      </w:r>
      <w:r>
        <w:rPr>
          <w:rFonts w:eastAsia="Calibri"/>
          <w:color w:val="000000"/>
        </w:rPr>
        <w:t xml:space="preserve"> and tubes increased by 0.12%; o</w:t>
      </w:r>
      <w:r w:rsidRPr="00591DA4">
        <w:rPr>
          <w:rFonts w:eastAsia="Calibri"/>
          <w:color w:val="000000"/>
        </w:rPr>
        <w:t>ther bicycle a</w:t>
      </w:r>
      <w:r>
        <w:rPr>
          <w:rFonts w:eastAsia="Calibri"/>
          <w:color w:val="000000"/>
        </w:rPr>
        <w:t>ccessories increased by 0.47%; v</w:t>
      </w:r>
      <w:r w:rsidRPr="00591DA4">
        <w:rPr>
          <w:rFonts w:eastAsia="Calibri"/>
          <w:color w:val="000000"/>
        </w:rPr>
        <w:t xml:space="preserve">ehicle maintenance services increased by 0.38%, car washing and car pumping services increased by 0.63% due to increased labor costs and </w:t>
      </w:r>
      <w:r>
        <w:rPr>
          <w:rFonts w:eastAsia="Calibri"/>
          <w:color w:val="000000"/>
        </w:rPr>
        <w:t>demand at the end of the year; r</w:t>
      </w:r>
      <w:r w:rsidRPr="00591DA4">
        <w:rPr>
          <w:rFonts w:eastAsia="Calibri"/>
          <w:color w:val="000000"/>
        </w:rPr>
        <w:t>oad tolls increased by 1.54%. On the contrary, there are a number of items that have decreased in price compared to the previous month: Prices of new cars, motorbikes and used cars decreased by 0.33%, 0.04% and 0.4% respectively. because car companies apply promotional programs to stimulate consumer demand.</w:t>
      </w:r>
    </w:p>
    <w:p w14:paraId="197F3919" w14:textId="77777777" w:rsidR="00466CA3" w:rsidRPr="008D4166" w:rsidRDefault="00466CA3" w:rsidP="00466CA3">
      <w:pPr>
        <w:spacing w:after="120" w:line="259" w:lineRule="auto"/>
        <w:ind w:firstLine="567"/>
        <w:jc w:val="both"/>
        <w:rPr>
          <w:rFonts w:eastAsia="Calibri"/>
          <w:color w:val="000000"/>
          <w:lang w:val="de-DE"/>
        </w:rPr>
      </w:pPr>
      <w:r w:rsidRPr="005740D4">
        <w:rPr>
          <w:rFonts w:eastAsia="Calibri"/>
          <w:i/>
          <w:color w:val="000000"/>
          <w:lang w:val="de-DE"/>
        </w:rPr>
        <w:t>- Other goods and services group</w:t>
      </w:r>
      <w:r w:rsidRPr="005740D4">
        <w:rPr>
          <w:rFonts w:eastAsia="Calibri"/>
          <w:color w:val="000000"/>
          <w:lang w:val="de-DE"/>
        </w:rPr>
        <w:t xml:space="preserve"> increased by 0.40%, mainly increasing prices of some items: Price of jew</w:t>
      </w:r>
      <w:r>
        <w:rPr>
          <w:rFonts w:eastAsia="Calibri"/>
          <w:color w:val="000000"/>
          <w:lang w:val="de-DE"/>
        </w:rPr>
        <w:t>elry group increased by 2.48%; h</w:t>
      </w:r>
      <w:r w:rsidRPr="005740D4">
        <w:rPr>
          <w:rFonts w:eastAsia="Calibri"/>
          <w:color w:val="000000"/>
          <w:lang w:val="de-DE"/>
        </w:rPr>
        <w:t>air cutting and hair washing services increased by</w:t>
      </w:r>
      <w:r>
        <w:rPr>
          <w:rFonts w:eastAsia="Calibri"/>
          <w:color w:val="000000"/>
          <w:lang w:val="de-DE"/>
        </w:rPr>
        <w:t xml:space="preserve"> 0.9%; p</w:t>
      </w:r>
      <w:r w:rsidRPr="005740D4">
        <w:rPr>
          <w:rFonts w:eastAsia="Calibri"/>
          <w:color w:val="000000"/>
          <w:lang w:val="de-DE"/>
        </w:rPr>
        <w:t>ersonal care services increased by 1.16%. During the wedding season, the prices of wedding items and services increase by 0.47%. In addition, the demand for worship items at the end of the year increased, so the prices of these items increased by 0.39% compared to the previous month.</w:t>
      </w:r>
    </w:p>
    <w:p w14:paraId="40BE45AE" w14:textId="77777777" w:rsidR="00466CA3" w:rsidRPr="008D4166" w:rsidRDefault="00466CA3" w:rsidP="00466CA3">
      <w:pPr>
        <w:spacing w:after="120" w:line="259" w:lineRule="auto"/>
        <w:ind w:firstLine="567"/>
        <w:jc w:val="both"/>
        <w:rPr>
          <w:rFonts w:eastAsia="Calibri"/>
          <w:color w:val="000000"/>
          <w:lang w:val="nl-NL"/>
        </w:rPr>
      </w:pPr>
      <w:r w:rsidRPr="000541E9">
        <w:rPr>
          <w:bCs/>
          <w:i/>
        </w:rPr>
        <w:t>- Beverage and cigarette group</w:t>
      </w:r>
      <w:r w:rsidRPr="000541E9">
        <w:rPr>
          <w:bCs/>
        </w:rPr>
        <w:t xml:space="preserve"> </w:t>
      </w:r>
      <w:r w:rsidRPr="005740D4">
        <w:rPr>
          <w:rFonts w:eastAsia="Calibri"/>
          <w:color w:val="000000"/>
          <w:lang w:val="nl-NL"/>
        </w:rPr>
        <w:t>increased by 0.38% due to increased demand for consumption and use as gifts during the upcoming Lunar New Year, causing alcohol prices to increase by 0.54%; smoking increased by 0.32%; Non-alcoholic beverages increased by 0.06%.</w:t>
      </w:r>
    </w:p>
    <w:p w14:paraId="47796735" w14:textId="77777777" w:rsidR="001C4E1B" w:rsidRDefault="00466CA3" w:rsidP="001C4E1B">
      <w:pPr>
        <w:spacing w:after="120" w:line="259" w:lineRule="auto"/>
        <w:ind w:firstLine="567"/>
        <w:jc w:val="both"/>
        <w:rPr>
          <w:rFonts w:eastAsia="Calibri"/>
          <w:color w:val="000000"/>
        </w:rPr>
      </w:pPr>
      <w:r w:rsidRPr="000541E9">
        <w:rPr>
          <w:i/>
          <w:shd w:val="clear" w:color="auto" w:fill="FFFFFF"/>
        </w:rPr>
        <w:t>- The garment, hat, and footwear group</w:t>
      </w:r>
      <w:r w:rsidRPr="000541E9">
        <w:rPr>
          <w:shd w:val="clear" w:color="auto" w:fill="FFFFFF"/>
        </w:rPr>
        <w:t xml:space="preserve"> </w:t>
      </w:r>
      <w:r w:rsidRPr="005740D4">
        <w:rPr>
          <w:rFonts w:eastAsia="Calibri"/>
          <w:color w:val="000000"/>
        </w:rPr>
        <w:t>increased by 0.22% due to increased labor costs, material costs, and the need to buy winter clothes and the Lunar New Year Giap Thin. Of which, ready-made clothes increased by 0.24% compared to the previous month; fabrics of</w:t>
      </w:r>
      <w:r>
        <w:rPr>
          <w:rFonts w:eastAsia="Calibri"/>
          <w:color w:val="000000"/>
        </w:rPr>
        <w:t xml:space="preserve"> all kinds increased by 0.23%; o</w:t>
      </w:r>
      <w:r w:rsidRPr="005740D4">
        <w:rPr>
          <w:rFonts w:eastAsia="Calibri"/>
          <w:color w:val="000000"/>
        </w:rPr>
        <w:t>the</w:t>
      </w:r>
      <w:r>
        <w:rPr>
          <w:rFonts w:eastAsia="Calibri"/>
          <w:color w:val="000000"/>
        </w:rPr>
        <w:t>r garments increased by 0.25%; g</w:t>
      </w:r>
      <w:r w:rsidRPr="005740D4">
        <w:rPr>
          <w:rFonts w:eastAsia="Calibri"/>
          <w:color w:val="000000"/>
        </w:rPr>
        <w:t>arment services increased by 0.43%; headwear increased by 0.1%</w:t>
      </w:r>
      <w:r>
        <w:rPr>
          <w:rFonts w:eastAsia="Calibri"/>
          <w:color w:val="000000"/>
        </w:rPr>
        <w:t>; footwear increased by 0.13%; f</w:t>
      </w:r>
      <w:r w:rsidRPr="005740D4">
        <w:rPr>
          <w:rFonts w:eastAsia="Calibri"/>
          <w:color w:val="000000"/>
        </w:rPr>
        <w:t>ootwear services increased by 0.93%.</w:t>
      </w:r>
    </w:p>
    <w:p w14:paraId="07997734" w14:textId="7BDC24B6" w:rsidR="00466CA3" w:rsidRPr="008D4166" w:rsidRDefault="00466CA3" w:rsidP="001C4E1B">
      <w:pPr>
        <w:spacing w:after="120" w:line="259" w:lineRule="auto"/>
        <w:ind w:firstLine="567"/>
        <w:jc w:val="both"/>
        <w:rPr>
          <w:rFonts w:eastAsia="Calibri"/>
          <w:lang w:val="nl-NL"/>
        </w:rPr>
      </w:pPr>
      <w:r w:rsidRPr="005740D4">
        <w:rPr>
          <w:rFonts w:eastAsia="Calibri"/>
          <w:lang w:val="nl-NL"/>
        </w:rPr>
        <w:lastRenderedPageBreak/>
        <w:t>- The food and catering services group increased by 0.21% (</w:t>
      </w:r>
      <w:r w:rsidRPr="00591DA4">
        <w:rPr>
          <w:rFonts w:eastAsia="Calibri"/>
          <w:color w:val="000000"/>
        </w:rPr>
        <w:t>making the general CPI</w:t>
      </w:r>
      <w:r w:rsidRPr="005740D4">
        <w:rPr>
          <w:rFonts w:eastAsia="Calibri"/>
          <w:lang w:val="nl-NL"/>
        </w:rPr>
        <w:t xml:space="preserve"> increase by 0.07 percentage points), of which: Food increased by 1.74%</w:t>
      </w:r>
      <w:r w:rsidRPr="008D4166">
        <w:rPr>
          <w:rFonts w:eastAsia="Calibri"/>
          <w:vertAlign w:val="superscript"/>
          <w:lang w:val="nl-NL"/>
        </w:rPr>
        <w:footnoteReference w:id="19"/>
      </w:r>
      <w:r w:rsidRPr="005740D4">
        <w:rPr>
          <w:rFonts w:eastAsia="Calibri"/>
          <w:lang w:val="nl-NL"/>
        </w:rPr>
        <w:t>; food decreased by 0.09%</w:t>
      </w:r>
      <w:r w:rsidRPr="008D4166">
        <w:rPr>
          <w:rFonts w:eastAsia="Calibri"/>
          <w:vertAlign w:val="superscript"/>
          <w:lang w:val="nl-NL"/>
        </w:rPr>
        <w:footnoteReference w:id="20"/>
      </w:r>
      <w:r w:rsidRPr="005740D4">
        <w:rPr>
          <w:rFonts w:eastAsia="Calibri"/>
          <w:lang w:val="nl-NL"/>
        </w:rPr>
        <w:t>; Eating out at home increased by 0.30%</w:t>
      </w:r>
      <w:r w:rsidRPr="008D4166">
        <w:rPr>
          <w:rFonts w:eastAsia="Calibri"/>
          <w:vertAlign w:val="superscript"/>
          <w:lang w:val="nl-NL"/>
        </w:rPr>
        <w:footnoteReference w:id="21"/>
      </w:r>
      <w:r w:rsidRPr="005740D4">
        <w:rPr>
          <w:rFonts w:eastAsia="Calibri"/>
          <w:lang w:val="nl-NL"/>
        </w:rPr>
        <w:t>.</w:t>
      </w:r>
    </w:p>
    <w:p w14:paraId="257EAAE8" w14:textId="77777777" w:rsidR="00466CA3" w:rsidRPr="008D4166" w:rsidRDefault="00466CA3" w:rsidP="00466CA3">
      <w:pPr>
        <w:shd w:val="clear" w:color="auto" w:fill="FFFFFF"/>
        <w:spacing w:after="120" w:line="276" w:lineRule="auto"/>
        <w:ind w:firstLine="567"/>
        <w:jc w:val="both"/>
        <w:rPr>
          <w:rFonts w:eastAsia="Calibri"/>
          <w:color w:val="000000"/>
        </w:rPr>
      </w:pPr>
      <w:r w:rsidRPr="000541E9">
        <w:rPr>
          <w:i/>
          <w:lang w:val="es-NI"/>
        </w:rPr>
        <w:t>- Household appliances and equipment group</w:t>
      </w:r>
      <w:r w:rsidRPr="000541E9">
        <w:rPr>
          <w:lang w:val="es-NI"/>
        </w:rPr>
        <w:t xml:space="preserve"> </w:t>
      </w:r>
      <w:r w:rsidRPr="005740D4">
        <w:rPr>
          <w:rFonts w:eastAsia="Calibri"/>
          <w:color w:val="000000"/>
        </w:rPr>
        <w:t>increased by 0.14%. Prices of some items increased due to increased demand to serve the upcoming Lunar New Year such as: Prices of blenders and juicers increased by 0.58%; kitche</w:t>
      </w:r>
      <w:r>
        <w:rPr>
          <w:rFonts w:eastAsia="Calibri"/>
          <w:color w:val="000000"/>
        </w:rPr>
        <w:t>n equipment increased by 0.3%; g</w:t>
      </w:r>
      <w:r w:rsidRPr="005740D4">
        <w:rPr>
          <w:rFonts w:eastAsia="Calibri"/>
          <w:color w:val="000000"/>
        </w:rPr>
        <w:t>lass and porcela</w:t>
      </w:r>
      <w:r>
        <w:rPr>
          <w:rFonts w:eastAsia="Calibri"/>
          <w:color w:val="000000"/>
        </w:rPr>
        <w:t xml:space="preserve">in products increased by 0.2%; </w:t>
      </w:r>
      <w:r>
        <w:rPr>
          <w:rFonts w:eastAsia="Calibri"/>
          <w:color w:val="000000"/>
          <w:lang w:val="en-US"/>
        </w:rPr>
        <w:t>e</w:t>
      </w:r>
      <w:r w:rsidRPr="005740D4">
        <w:rPr>
          <w:rFonts w:eastAsia="Calibri"/>
          <w:color w:val="000000"/>
        </w:rPr>
        <w:t>lectric lighting increased by 0.19%; beds, cabinets, tabl</w:t>
      </w:r>
      <w:r>
        <w:rPr>
          <w:rFonts w:eastAsia="Calibri"/>
          <w:color w:val="000000"/>
        </w:rPr>
        <w:t>es, chairs increased by 0.15%; s</w:t>
      </w:r>
      <w:r w:rsidRPr="005740D4">
        <w:rPr>
          <w:rFonts w:eastAsia="Calibri"/>
          <w:color w:val="000000"/>
        </w:rPr>
        <w:t xml:space="preserve">oaps and </w:t>
      </w:r>
      <w:r>
        <w:rPr>
          <w:rFonts w:eastAsia="Calibri"/>
          <w:color w:val="000000"/>
        </w:rPr>
        <w:t>detergents increased by 0.09%; o</w:t>
      </w:r>
      <w:r w:rsidRPr="005740D4">
        <w:rPr>
          <w:rFonts w:eastAsia="Calibri"/>
          <w:color w:val="000000"/>
        </w:rPr>
        <w:t>ther consumer goods increased by 0.23%; household appliance repair services increased by 0.39%.</w:t>
      </w:r>
    </w:p>
    <w:p w14:paraId="076F55C9" w14:textId="77777777" w:rsidR="00466CA3" w:rsidRPr="008D4166" w:rsidRDefault="00466CA3" w:rsidP="00466CA3">
      <w:pPr>
        <w:spacing w:after="120" w:line="276" w:lineRule="auto"/>
        <w:ind w:firstLine="567"/>
        <w:jc w:val="both"/>
        <w:rPr>
          <w:rFonts w:eastAsia="Calibri"/>
          <w:color w:val="000000"/>
        </w:rPr>
      </w:pPr>
      <w:r w:rsidRPr="005740D4">
        <w:rPr>
          <w:rFonts w:eastAsia="Calibri"/>
          <w:i/>
          <w:color w:val="000000"/>
        </w:rPr>
        <w:t>- Culture, entertainment and tourism group</w:t>
      </w:r>
      <w:r w:rsidRPr="005740D4">
        <w:rPr>
          <w:rFonts w:eastAsia="Calibri"/>
          <w:color w:val="000000"/>
        </w:rPr>
        <w:t xml:space="preserve"> increased by 0.11%, focusing mainly on the following items: Pack</w:t>
      </w:r>
      <w:r>
        <w:rPr>
          <w:rFonts w:eastAsia="Calibri"/>
          <w:color w:val="000000"/>
        </w:rPr>
        <w:t>age tourism increased by 0.7%; b</w:t>
      </w:r>
      <w:r w:rsidRPr="005740D4">
        <w:rPr>
          <w:rFonts w:eastAsia="Calibri"/>
          <w:color w:val="000000"/>
        </w:rPr>
        <w:t>ooks, newspapers, and magazines of</w:t>
      </w:r>
      <w:r>
        <w:rPr>
          <w:rFonts w:eastAsia="Calibri"/>
          <w:color w:val="000000"/>
        </w:rPr>
        <w:t xml:space="preserve"> all kinds increased by 0.43%; h</w:t>
      </w:r>
      <w:r w:rsidRPr="005740D4">
        <w:rPr>
          <w:rFonts w:eastAsia="Calibri"/>
          <w:color w:val="000000"/>
        </w:rPr>
        <w:t>otels and guest houses increased by 0.13%.</w:t>
      </w:r>
    </w:p>
    <w:p w14:paraId="553AA8C8" w14:textId="77777777" w:rsidR="00466CA3" w:rsidRPr="005740D4" w:rsidRDefault="00466CA3" w:rsidP="00466CA3">
      <w:pPr>
        <w:spacing w:after="120" w:line="276" w:lineRule="auto"/>
        <w:ind w:firstLine="567"/>
        <w:jc w:val="both"/>
        <w:rPr>
          <w:rFonts w:eastAsia="Calibri"/>
          <w:color w:val="000000"/>
        </w:rPr>
      </w:pPr>
      <w:r w:rsidRPr="005740D4">
        <w:rPr>
          <w:rFonts w:eastAsia="Calibri"/>
          <w:color w:val="000000"/>
        </w:rPr>
        <w:t xml:space="preserve"> (2) Two groups of goods and services with decreasing price index include:</w:t>
      </w:r>
    </w:p>
    <w:p w14:paraId="4669D34D" w14:textId="77777777" w:rsidR="00466CA3" w:rsidRPr="008D4166" w:rsidRDefault="00466CA3" w:rsidP="00466CA3">
      <w:pPr>
        <w:spacing w:after="120" w:line="276" w:lineRule="auto"/>
        <w:ind w:firstLine="567"/>
        <w:jc w:val="both"/>
        <w:rPr>
          <w:rFonts w:eastAsia="Calibri"/>
          <w:color w:val="000000"/>
        </w:rPr>
      </w:pPr>
      <w:r w:rsidRPr="005740D4">
        <w:rPr>
          <w:rFonts w:eastAsia="Calibri"/>
          <w:i/>
          <w:color w:val="000000"/>
        </w:rPr>
        <w:t>- Posts and telecommunications group</w:t>
      </w:r>
      <w:r w:rsidRPr="005740D4">
        <w:rPr>
          <w:rFonts w:eastAsia="Calibri"/>
          <w:color w:val="000000"/>
        </w:rPr>
        <w:t xml:space="preserve"> decreased by 0.05% due to companies implementing promotional discounts for some types of mobile phones.</w:t>
      </w:r>
    </w:p>
    <w:p w14:paraId="64DC1839" w14:textId="77777777" w:rsidR="00466CA3" w:rsidRPr="005740D4" w:rsidRDefault="00466CA3" w:rsidP="00466CA3">
      <w:pPr>
        <w:spacing w:after="120" w:line="276" w:lineRule="auto"/>
        <w:ind w:firstLine="567"/>
        <w:jc w:val="both"/>
        <w:rPr>
          <w:rFonts w:eastAsia="Calibri"/>
          <w:color w:val="000000"/>
        </w:rPr>
      </w:pPr>
      <w:r w:rsidRPr="005740D4">
        <w:rPr>
          <w:rFonts w:eastAsia="Calibri"/>
          <w:i/>
          <w:color w:val="000000"/>
        </w:rPr>
        <w:t>- Education group</w:t>
      </w:r>
      <w:r w:rsidRPr="005740D4">
        <w:rPr>
          <w:rFonts w:eastAsia="Calibri"/>
          <w:color w:val="000000"/>
        </w:rPr>
        <w:t xml:space="preserve"> decreased by 0.12%, of which educational services decreased by 0.15%</w:t>
      </w:r>
      <w:r w:rsidRPr="008D4166">
        <w:rPr>
          <w:rFonts w:eastAsia="Calibri"/>
          <w:shd w:val="clear" w:color="auto" w:fill="FFFFFF"/>
          <w:vertAlign w:val="superscript"/>
        </w:rPr>
        <w:footnoteReference w:id="22"/>
      </w:r>
      <w:r w:rsidRPr="005740D4">
        <w:rPr>
          <w:rFonts w:eastAsia="Calibri"/>
          <w:color w:val="000000"/>
        </w:rPr>
        <w:t>. The main reason is that on December 31, 2023, the Government issued Resolution No. 97/2023/ND-CP amending and supplementing a number of articles of Decree No. 81/2021/ND-CP dated August 27, 2023. 2021 of the Government, which requires maintaining a stable tuition fee rate from the 2023 - 2024 school year equal to the tuition rate of the 2021 - 2022 school year for preschool education and public general education. Therefore, some localities have adjusted to reduce tuition fees after being collected according to Decree No. 81/2021/ND-CP.</w:t>
      </w:r>
    </w:p>
    <w:p w14:paraId="6A9A2815" w14:textId="77777777" w:rsidR="00466CA3" w:rsidRPr="008D4166" w:rsidRDefault="00466CA3" w:rsidP="00466CA3">
      <w:pPr>
        <w:spacing w:after="120" w:line="276" w:lineRule="auto"/>
        <w:ind w:firstLine="567"/>
        <w:jc w:val="both"/>
        <w:rPr>
          <w:rFonts w:eastAsia="Calibri"/>
          <w:color w:val="000000"/>
          <w:lang w:val="nl-NL"/>
        </w:rPr>
      </w:pPr>
      <w:bookmarkStart w:id="5" w:name="_Hlk67815215"/>
      <w:r w:rsidRPr="005740D4">
        <w:rPr>
          <w:rFonts w:eastAsia="Calibri"/>
          <w:color w:val="000000"/>
          <w:lang w:val="nl-NL"/>
        </w:rPr>
        <w:lastRenderedPageBreak/>
        <w:t>Core inflation</w:t>
      </w:r>
      <w:r w:rsidRPr="000541E9">
        <w:rPr>
          <w:rStyle w:val="FootnoteReference"/>
        </w:rPr>
        <w:footnoteReference w:id="23"/>
      </w:r>
      <w:r w:rsidRPr="005740D4">
        <w:rPr>
          <w:rFonts w:eastAsia="Calibri"/>
          <w:color w:val="000000"/>
          <w:lang w:val="nl-NL"/>
        </w:rPr>
        <w:t xml:space="preserve"> in January 2024 increased by 0.21% over the previous month, up 2.72% over the same period last year. Core inflation increased by 2.72% over the same period last year, lower than the general average CPI (increased by 3.37%), mainly due to the increase in medical service prices and educational service prices. CPI but belongs to the group of goods excluded from the list of core inflation calculations.</w:t>
      </w:r>
    </w:p>
    <w:p w14:paraId="3700A49E" w14:textId="77777777" w:rsidR="00466CA3" w:rsidRPr="005740D4" w:rsidRDefault="00466CA3" w:rsidP="00466CA3">
      <w:pPr>
        <w:spacing w:after="120" w:line="276" w:lineRule="auto"/>
        <w:ind w:firstLine="567"/>
        <w:jc w:val="both"/>
        <w:rPr>
          <w:rFonts w:eastAsia="Calibri"/>
          <w:color w:val="000000"/>
        </w:rPr>
      </w:pPr>
      <w:r w:rsidRPr="005740D4">
        <w:rPr>
          <w:rFonts w:eastAsia="Calibri"/>
          <w:color w:val="000000"/>
        </w:rPr>
        <w:t>Domestic gold prices fluctuate in the opposite direction to world gold prices. As of January 25, 2024, the average world gold price was at 2,014.85 USD/ounce, down 1.23% compared to December 2023 due to the strengthening of the USD and the timing of interest rate cuts by the Federal Reserve. The US Federal Reserve (FED) is difficult to predict. Domestically, the increased demand for gold purchases before the Lunar New Year caused the gold price index in January 2024 to increase by 2.55% compared to December 2023 and by 15.43% over the same period last year.</w:t>
      </w:r>
    </w:p>
    <w:bookmarkEnd w:id="5"/>
    <w:p w14:paraId="2EB805F6" w14:textId="77777777" w:rsidR="00466CA3" w:rsidRPr="002B4E01" w:rsidRDefault="00466CA3" w:rsidP="00466CA3">
      <w:pPr>
        <w:spacing w:after="120" w:line="276" w:lineRule="auto"/>
        <w:ind w:firstLine="567"/>
        <w:jc w:val="both"/>
        <w:rPr>
          <w:rFonts w:eastAsia="Calibri"/>
          <w:color w:val="000000"/>
        </w:rPr>
      </w:pPr>
      <w:r>
        <w:tab/>
      </w:r>
      <w:r w:rsidRPr="002B4E01">
        <w:rPr>
          <w:rFonts w:eastAsia="Calibri"/>
          <w:color w:val="000000"/>
        </w:rPr>
        <w:t>Around the world, the price of the US dollar tends to increase as investors continue to buy the greenback with the expectation that the FED will not cut interest rates soon. As of January 25, 2024, the US dollar price index on the international market reached 103.18 points, up 0.24% over the previous month. Domestically, the average US dollar price on the free market is around 24,555 VND/USD. The US dollar price index in January 2024 increased by 0.52% compared to December 2023 and increased by 3.69% over the same period last year.</w:t>
      </w:r>
    </w:p>
    <w:p w14:paraId="52D04ED4" w14:textId="77777777" w:rsidR="00CE02B0" w:rsidRPr="00D11296" w:rsidRDefault="00CE02B0" w:rsidP="00CE02B0">
      <w:pPr>
        <w:spacing w:after="40" w:line="276" w:lineRule="auto"/>
        <w:ind w:firstLine="567"/>
        <w:jc w:val="both"/>
        <w:rPr>
          <w:b/>
          <w:bCs/>
          <w:i/>
          <w:iCs/>
          <w:lang w:val="fr-FR"/>
        </w:rPr>
      </w:pPr>
      <w:r w:rsidRPr="00D11296">
        <w:rPr>
          <w:b/>
          <w:bCs/>
          <w:i/>
          <w:iCs/>
          <w:lang w:val="fr-FR"/>
        </w:rPr>
        <w:t xml:space="preserve">d) </w:t>
      </w:r>
      <w:r w:rsidRPr="002C53C8">
        <w:rPr>
          <w:b/>
          <w:bCs/>
          <w:i/>
          <w:iCs/>
        </w:rPr>
        <w:t>Transport</w:t>
      </w:r>
    </w:p>
    <w:p w14:paraId="1C6CFA54" w14:textId="77777777" w:rsidR="00CE02B0" w:rsidRDefault="00CE02B0" w:rsidP="00CE0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firstLine="567"/>
        <w:jc w:val="both"/>
        <w:rPr>
          <w:rStyle w:val="y2iqfc"/>
          <w:i/>
          <w:color w:val="202124"/>
        </w:rPr>
      </w:pPr>
      <w:r w:rsidRPr="004D4F86">
        <w:rPr>
          <w:rStyle w:val="y2iqfc"/>
          <w:i/>
          <w:color w:val="202124"/>
        </w:rPr>
        <w:t>Transportation activities in January 2024 are quite exciting to meet the travel needs of passengers and transport goods for the upcoming Lunar New Year</w:t>
      </w:r>
      <w:r>
        <w:rPr>
          <w:rStyle w:val="y2iqfc"/>
          <w:i/>
          <w:color w:val="202124"/>
          <w:lang w:val="en-US"/>
        </w:rPr>
        <w:t xml:space="preserve">. </w:t>
      </w:r>
      <w:r w:rsidRPr="00A17AEF">
        <w:rPr>
          <w:rStyle w:val="y2iqfc"/>
          <w:i/>
          <w:color w:val="202124"/>
        </w:rPr>
        <w:t>Compared to the same period last year</w:t>
      </w:r>
      <w:r>
        <w:rPr>
          <w:rStyle w:val="y2iqfc"/>
          <w:i/>
          <w:color w:val="202124"/>
        </w:rPr>
        <w:t>,</w:t>
      </w:r>
      <w:r w:rsidRPr="00A17AEF">
        <w:rPr>
          <w:rStyle w:val="y2iqfc"/>
          <w:i/>
          <w:color w:val="202124"/>
        </w:rPr>
        <w:t xml:space="preserve"> passenger transport increased </w:t>
      </w:r>
      <w:r>
        <w:rPr>
          <w:rStyle w:val="y2iqfc"/>
          <w:i/>
          <w:color w:val="202124"/>
        </w:rPr>
        <w:t xml:space="preserve">by </w:t>
      </w:r>
      <w:r w:rsidRPr="004D4F86">
        <w:rPr>
          <w:rStyle w:val="y2iqfc"/>
          <w:i/>
          <w:color w:val="202124"/>
        </w:rPr>
        <w:t>5</w:t>
      </w:r>
      <w:r>
        <w:rPr>
          <w:rStyle w:val="y2iqfc"/>
          <w:i/>
          <w:color w:val="202124"/>
          <w:lang w:val="en-US"/>
        </w:rPr>
        <w:t>.</w:t>
      </w:r>
      <w:r w:rsidRPr="004D4F86">
        <w:rPr>
          <w:rStyle w:val="y2iqfc"/>
          <w:i/>
          <w:color w:val="202124"/>
        </w:rPr>
        <w:t xml:space="preserve">5% </w:t>
      </w:r>
      <w:r w:rsidRPr="00A17AEF">
        <w:rPr>
          <w:rStyle w:val="y2iqfc"/>
          <w:i/>
          <w:color w:val="202124"/>
        </w:rPr>
        <w:t xml:space="preserve">in </w:t>
      </w:r>
      <w:r w:rsidRPr="00E34057">
        <w:rPr>
          <w:i/>
          <w:iCs/>
        </w:rPr>
        <w:t>passengers carried</w:t>
      </w:r>
      <w:r w:rsidRPr="00A17AEF">
        <w:rPr>
          <w:rStyle w:val="y2iqfc"/>
          <w:i/>
          <w:color w:val="202124"/>
        </w:rPr>
        <w:t xml:space="preserve"> and </w:t>
      </w:r>
      <w:r w:rsidRPr="004D4F86">
        <w:rPr>
          <w:rStyle w:val="y2iqfc"/>
          <w:i/>
          <w:color w:val="202124"/>
        </w:rPr>
        <w:t>7</w:t>
      </w:r>
      <w:r>
        <w:rPr>
          <w:rStyle w:val="y2iqfc"/>
          <w:i/>
          <w:color w:val="202124"/>
          <w:lang w:val="en-US"/>
        </w:rPr>
        <w:t>.</w:t>
      </w:r>
      <w:r w:rsidRPr="004D4F86">
        <w:rPr>
          <w:rStyle w:val="y2iqfc"/>
          <w:i/>
          <w:color w:val="202124"/>
        </w:rPr>
        <w:t xml:space="preserve">4% </w:t>
      </w:r>
      <w:r w:rsidRPr="00A17AEF">
        <w:rPr>
          <w:rStyle w:val="y2iqfc"/>
          <w:i/>
          <w:color w:val="202124"/>
        </w:rPr>
        <w:t xml:space="preserve">in </w:t>
      </w:r>
      <w:r w:rsidRPr="00E34057">
        <w:rPr>
          <w:i/>
          <w:iCs/>
        </w:rPr>
        <w:t xml:space="preserve">passengers </w:t>
      </w:r>
      <w:r>
        <w:rPr>
          <w:i/>
          <w:iCs/>
        </w:rPr>
        <w:t>traffic</w:t>
      </w:r>
      <w:r w:rsidRPr="00A17AEF">
        <w:rPr>
          <w:rStyle w:val="y2iqfc"/>
          <w:i/>
          <w:color w:val="202124"/>
        </w:rPr>
        <w:t>; freight transport</w:t>
      </w:r>
      <w:r>
        <w:rPr>
          <w:rStyle w:val="y2iqfc"/>
          <w:i/>
          <w:color w:val="202124"/>
        </w:rPr>
        <w:t xml:space="preserve"> </w:t>
      </w:r>
      <w:r w:rsidRPr="00A17AEF">
        <w:rPr>
          <w:rStyle w:val="y2iqfc"/>
          <w:i/>
          <w:color w:val="202124"/>
        </w:rPr>
        <w:t xml:space="preserve">increased by </w:t>
      </w:r>
      <w:r w:rsidRPr="004D4F86">
        <w:rPr>
          <w:rStyle w:val="y2iqfc"/>
          <w:i/>
          <w:color w:val="202124"/>
        </w:rPr>
        <w:t>11</w:t>
      </w:r>
      <w:r>
        <w:rPr>
          <w:rStyle w:val="y2iqfc"/>
          <w:i/>
          <w:color w:val="202124"/>
          <w:lang w:val="en-US"/>
        </w:rPr>
        <w:t>.</w:t>
      </w:r>
      <w:r w:rsidRPr="004D4F86">
        <w:rPr>
          <w:rStyle w:val="y2iqfc"/>
          <w:i/>
          <w:color w:val="202124"/>
        </w:rPr>
        <w:t xml:space="preserve">5% </w:t>
      </w:r>
      <w:r w:rsidRPr="00A17AEF">
        <w:rPr>
          <w:rStyle w:val="y2iqfc"/>
          <w:i/>
          <w:color w:val="202124"/>
        </w:rPr>
        <w:t xml:space="preserve">in </w:t>
      </w:r>
      <w:r w:rsidRPr="00E34057">
        <w:rPr>
          <w:i/>
          <w:iCs/>
        </w:rPr>
        <w:t>freight carried</w:t>
      </w:r>
      <w:r w:rsidRPr="00A17AEF">
        <w:rPr>
          <w:rStyle w:val="y2iqfc"/>
          <w:i/>
          <w:color w:val="202124"/>
        </w:rPr>
        <w:t xml:space="preserve"> and </w:t>
      </w:r>
      <w:r w:rsidRPr="004D4F86">
        <w:rPr>
          <w:rStyle w:val="y2iqfc"/>
          <w:i/>
          <w:color w:val="202124"/>
        </w:rPr>
        <w:t>13</w:t>
      </w:r>
      <w:r>
        <w:rPr>
          <w:rStyle w:val="y2iqfc"/>
          <w:i/>
          <w:color w:val="202124"/>
          <w:lang w:val="en-US"/>
        </w:rPr>
        <w:t>.</w:t>
      </w:r>
      <w:r w:rsidRPr="004D4F86">
        <w:rPr>
          <w:rStyle w:val="y2iqfc"/>
          <w:i/>
          <w:color w:val="202124"/>
        </w:rPr>
        <w:t xml:space="preserve">8% </w:t>
      </w:r>
      <w:r w:rsidRPr="00A17AEF">
        <w:rPr>
          <w:rStyle w:val="y2iqfc"/>
          <w:i/>
          <w:color w:val="202124"/>
        </w:rPr>
        <w:t xml:space="preserve">in </w:t>
      </w:r>
      <w:r w:rsidRPr="00E34057">
        <w:rPr>
          <w:i/>
          <w:iCs/>
        </w:rPr>
        <w:t xml:space="preserve">freight </w:t>
      </w:r>
      <w:r>
        <w:rPr>
          <w:i/>
          <w:iCs/>
        </w:rPr>
        <w:t>traffic</w:t>
      </w:r>
      <w:r w:rsidRPr="00A17AEF">
        <w:rPr>
          <w:rStyle w:val="y2iqfc"/>
          <w:i/>
          <w:color w:val="202124"/>
        </w:rPr>
        <w:t>.</w:t>
      </w:r>
    </w:p>
    <w:p w14:paraId="1BCC1DCB" w14:textId="77777777" w:rsidR="00CE02B0" w:rsidRPr="00D11296" w:rsidRDefault="00CE02B0" w:rsidP="00CE02B0">
      <w:pPr>
        <w:spacing w:after="40" w:line="276" w:lineRule="auto"/>
        <w:ind w:firstLine="567"/>
        <w:jc w:val="both"/>
        <w:rPr>
          <w:lang w:val="fr-FR"/>
        </w:rPr>
      </w:pPr>
      <w:bookmarkStart w:id="6" w:name="_Hlk86823183"/>
      <w:r w:rsidRPr="001471CC">
        <w:rPr>
          <w:i/>
          <w:iCs/>
          <w:spacing w:val="-2"/>
          <w:lang w:val="fr-FR"/>
        </w:rPr>
        <w:t>Passengers carried</w:t>
      </w:r>
      <w:r w:rsidRPr="00E34057">
        <w:rPr>
          <w:spacing w:val="-2"/>
          <w:lang w:val="fr-FR"/>
        </w:rPr>
        <w:t xml:space="preserve"> in </w:t>
      </w:r>
      <w:r>
        <w:rPr>
          <w:lang w:val="pt-BR"/>
        </w:rPr>
        <w:t>January 2024</w:t>
      </w:r>
      <w:r w:rsidRPr="00E34057">
        <w:rPr>
          <w:spacing w:val="-2"/>
          <w:lang w:val="fr-FR"/>
        </w:rPr>
        <w:t xml:space="preserve"> were estimated at </w:t>
      </w:r>
      <w:r w:rsidRPr="004D4F86">
        <w:rPr>
          <w:spacing w:val="-2"/>
          <w:lang w:val="fr-FR"/>
        </w:rPr>
        <w:t>392</w:t>
      </w:r>
      <w:r>
        <w:rPr>
          <w:spacing w:val="-2"/>
          <w:lang w:val="fr-FR"/>
        </w:rPr>
        <w:t>.</w:t>
      </w:r>
      <w:r w:rsidRPr="004D4F86">
        <w:rPr>
          <w:spacing w:val="-2"/>
          <w:lang w:val="fr-FR"/>
        </w:rPr>
        <w:t xml:space="preserve">7 </w:t>
      </w:r>
      <w:r w:rsidRPr="00E34057">
        <w:rPr>
          <w:spacing w:val="-2"/>
          <w:lang w:val="fr-FR"/>
        </w:rPr>
        <w:t>million persons</w:t>
      </w:r>
      <w:r>
        <w:rPr>
          <w:spacing w:val="-2"/>
          <w:lang w:val="fr-FR"/>
        </w:rPr>
        <w:t>,</w:t>
      </w:r>
      <w:r w:rsidRPr="00E34057">
        <w:rPr>
          <w:spacing w:val="-2"/>
          <w:lang w:val="fr-FR"/>
        </w:rPr>
        <w:t xml:space="preserve"> increased by </w:t>
      </w:r>
      <w:r w:rsidRPr="004D4F86">
        <w:rPr>
          <w:spacing w:val="-2"/>
          <w:lang w:val="fr-FR"/>
        </w:rPr>
        <w:t>3%</w:t>
      </w:r>
      <w:r>
        <w:rPr>
          <w:spacing w:val="-2"/>
          <w:lang w:val="fr-FR"/>
        </w:rPr>
        <w:t xml:space="preserve"> </w:t>
      </w:r>
      <w:r w:rsidRPr="00E34057">
        <w:rPr>
          <w:spacing w:val="-2"/>
          <w:lang w:val="fr-FR"/>
        </w:rPr>
        <w:t xml:space="preserve">compared to the </w:t>
      </w:r>
      <w:r w:rsidRPr="00E34057">
        <w:rPr>
          <w:lang w:val="pt-BR"/>
        </w:rPr>
        <w:t>previous month</w:t>
      </w:r>
      <w:r>
        <w:rPr>
          <w:spacing w:val="-2"/>
          <w:lang w:val="fr-FR"/>
        </w:rPr>
        <w:t>,</w:t>
      </w:r>
      <w:r w:rsidRPr="00E34057">
        <w:rPr>
          <w:spacing w:val="-2"/>
          <w:lang w:val="fr-FR"/>
        </w:rPr>
        <w:t xml:space="preserve"> and a</w:t>
      </w:r>
      <w:r>
        <w:rPr>
          <w:spacing w:val="-2"/>
          <w:lang w:val="fr-FR"/>
        </w:rPr>
        <w:t>n</w:t>
      </w:r>
      <w:r w:rsidRPr="00E34057">
        <w:rPr>
          <w:spacing w:val="-2"/>
          <w:lang w:val="fr-FR"/>
        </w:rPr>
        <w:t xml:space="preserve"> </w:t>
      </w:r>
      <w:r>
        <w:rPr>
          <w:spacing w:val="-2"/>
          <w:lang w:val="fr-FR"/>
        </w:rPr>
        <w:t>in</w:t>
      </w:r>
      <w:r w:rsidRPr="00E34057">
        <w:rPr>
          <w:spacing w:val="-2"/>
          <w:lang w:val="fr-FR"/>
        </w:rPr>
        <w:t xml:space="preserve">crease of </w:t>
      </w:r>
      <w:r w:rsidRPr="004D4F86">
        <w:rPr>
          <w:spacing w:val="-2"/>
          <w:lang w:val="fr-FR"/>
        </w:rPr>
        <w:t>5</w:t>
      </w:r>
      <w:r>
        <w:rPr>
          <w:spacing w:val="-2"/>
          <w:lang w:val="fr-FR"/>
        </w:rPr>
        <w:t>.</w:t>
      </w:r>
      <w:r w:rsidRPr="004D4F86">
        <w:rPr>
          <w:spacing w:val="-2"/>
          <w:lang w:val="fr-FR"/>
        </w:rPr>
        <w:t xml:space="preserve">5% </w:t>
      </w:r>
      <w:r w:rsidRPr="00E34057">
        <w:rPr>
          <w:spacing w:val="-2"/>
          <w:lang w:val="fr-FR"/>
        </w:rPr>
        <w:t>over the same period last year</w:t>
      </w:r>
      <w:r>
        <w:rPr>
          <w:spacing w:val="-2"/>
          <w:lang w:val="fr-FR"/>
        </w:rPr>
        <w:t xml:space="preserve">; </w:t>
      </w:r>
      <w:r w:rsidRPr="00E34057">
        <w:rPr>
          <w:spacing w:val="-2"/>
          <w:lang w:val="fr-FR"/>
        </w:rPr>
        <w:t xml:space="preserve">passenger traffic gained </w:t>
      </w:r>
      <w:r w:rsidRPr="00AC04B0">
        <w:rPr>
          <w:spacing w:val="-2"/>
          <w:lang w:val="fr-FR"/>
        </w:rPr>
        <w:t>22</w:t>
      </w:r>
      <w:r>
        <w:rPr>
          <w:spacing w:val="-2"/>
          <w:lang w:val="fr-FR"/>
        </w:rPr>
        <w:t>.</w:t>
      </w:r>
      <w:r w:rsidRPr="00AC04B0">
        <w:rPr>
          <w:spacing w:val="-2"/>
          <w:lang w:val="fr-FR"/>
        </w:rPr>
        <w:t xml:space="preserve">7 </w:t>
      </w:r>
      <w:r w:rsidRPr="00E34057">
        <w:rPr>
          <w:spacing w:val="-2"/>
          <w:lang w:val="fr-FR"/>
        </w:rPr>
        <w:t>billion passengers-km</w:t>
      </w:r>
      <w:r>
        <w:rPr>
          <w:spacing w:val="-2"/>
          <w:lang w:val="fr-FR"/>
        </w:rPr>
        <w:t>,</w:t>
      </w:r>
      <w:r w:rsidRPr="00E34057">
        <w:rPr>
          <w:spacing w:val="-2"/>
          <w:lang w:val="fr-FR"/>
        </w:rPr>
        <w:t xml:space="preserve"> increased by </w:t>
      </w:r>
      <w:r w:rsidRPr="00AC04B0">
        <w:rPr>
          <w:spacing w:val="-2"/>
          <w:lang w:val="fr-FR"/>
        </w:rPr>
        <w:t>3</w:t>
      </w:r>
      <w:r>
        <w:rPr>
          <w:spacing w:val="-2"/>
          <w:lang w:val="fr-FR"/>
        </w:rPr>
        <w:t>.</w:t>
      </w:r>
      <w:r w:rsidRPr="00AC04B0">
        <w:rPr>
          <w:spacing w:val="-2"/>
          <w:lang w:val="fr-FR"/>
        </w:rPr>
        <w:t xml:space="preserve">6% </w:t>
      </w:r>
      <w:r>
        <w:rPr>
          <w:spacing w:val="-2"/>
          <w:lang w:val="fr-FR"/>
        </w:rPr>
        <w:t>and</w:t>
      </w:r>
      <w:r w:rsidRPr="00E34057">
        <w:rPr>
          <w:spacing w:val="-2"/>
          <w:lang w:val="fr-FR"/>
        </w:rPr>
        <w:t xml:space="preserve"> </w:t>
      </w:r>
      <w:r>
        <w:rPr>
          <w:spacing w:val="-2"/>
          <w:lang w:val="fr-FR"/>
        </w:rPr>
        <w:t>up</w:t>
      </w:r>
      <w:r w:rsidRPr="00E34057">
        <w:rPr>
          <w:spacing w:val="-2"/>
          <w:lang w:val="fr-FR"/>
        </w:rPr>
        <w:t xml:space="preserve"> </w:t>
      </w:r>
      <w:r w:rsidRPr="00AC04B0">
        <w:rPr>
          <w:spacing w:val="-2"/>
          <w:lang w:val="fr-FR"/>
        </w:rPr>
        <w:t>7</w:t>
      </w:r>
      <w:r>
        <w:rPr>
          <w:spacing w:val="-2"/>
          <w:lang w:val="fr-FR"/>
        </w:rPr>
        <w:t>.</w:t>
      </w:r>
      <w:r w:rsidRPr="00AC04B0">
        <w:rPr>
          <w:spacing w:val="-2"/>
          <w:lang w:val="fr-FR"/>
        </w:rPr>
        <w:t xml:space="preserve">4%. </w:t>
      </w:r>
      <w:bookmarkEnd w:id="6"/>
      <w:r w:rsidRPr="00971A79">
        <w:rPr>
          <w:spacing w:val="-2"/>
          <w:lang w:val="fr-FR"/>
        </w:rPr>
        <w:t>In which</w:t>
      </w:r>
      <w:r>
        <w:rPr>
          <w:spacing w:val="-2"/>
          <w:lang w:val="fr-FR"/>
        </w:rPr>
        <w:t>,</w:t>
      </w:r>
      <w:r w:rsidRPr="00971A79">
        <w:rPr>
          <w:spacing w:val="-2"/>
          <w:lang w:val="fr-FR"/>
        </w:rPr>
        <w:t xml:space="preserve"> domestic </w:t>
      </w:r>
      <w:r w:rsidRPr="00971A79">
        <w:rPr>
          <w:iCs/>
          <w:spacing w:val="-2"/>
          <w:lang w:val="fr-FR"/>
        </w:rPr>
        <w:t>passengers carried</w:t>
      </w:r>
      <w:r w:rsidRPr="00971A79">
        <w:rPr>
          <w:spacing w:val="-2"/>
          <w:lang w:val="fr-FR"/>
        </w:rPr>
        <w:t xml:space="preserve"> was estimated at </w:t>
      </w:r>
      <w:r w:rsidRPr="00AC04B0">
        <w:rPr>
          <w:spacing w:val="-2"/>
          <w:lang w:val="fr-FR"/>
        </w:rPr>
        <w:t>391</w:t>
      </w:r>
      <w:r>
        <w:rPr>
          <w:spacing w:val="-2"/>
          <w:lang w:val="fr-FR"/>
        </w:rPr>
        <w:t xml:space="preserve"> </w:t>
      </w:r>
      <w:r w:rsidRPr="00971A79">
        <w:rPr>
          <w:spacing w:val="-2"/>
          <w:lang w:val="fr-FR"/>
        </w:rPr>
        <w:t>million passengers</w:t>
      </w:r>
      <w:r>
        <w:rPr>
          <w:spacing w:val="-2"/>
          <w:lang w:val="fr-FR"/>
        </w:rPr>
        <w:t>,</w:t>
      </w:r>
      <w:r w:rsidRPr="00971A79">
        <w:rPr>
          <w:spacing w:val="-2"/>
          <w:lang w:val="fr-FR"/>
        </w:rPr>
        <w:t xml:space="preserve"> up </w:t>
      </w:r>
      <w:r w:rsidRPr="00AC04B0">
        <w:rPr>
          <w:spacing w:val="-2"/>
          <w:lang w:val="fr-FR"/>
        </w:rPr>
        <w:t xml:space="preserve">5,4% </w:t>
      </w:r>
      <w:r w:rsidRPr="00971A79">
        <w:rPr>
          <w:spacing w:val="-2"/>
          <w:lang w:val="fr-FR"/>
        </w:rPr>
        <w:t>over the same period last year and domestic</w:t>
      </w:r>
      <w:r w:rsidRPr="001471CC">
        <w:rPr>
          <w:i/>
          <w:iCs/>
          <w:spacing w:val="-2"/>
          <w:lang w:val="fr-FR"/>
        </w:rPr>
        <w:t xml:space="preserve"> </w:t>
      </w:r>
      <w:r w:rsidRPr="00971A79">
        <w:rPr>
          <w:iCs/>
          <w:spacing w:val="-2"/>
          <w:lang w:val="fr-FR"/>
        </w:rPr>
        <w:t>passengers traffic</w:t>
      </w:r>
      <w:r w:rsidRPr="00971A79">
        <w:rPr>
          <w:spacing w:val="-2"/>
          <w:lang w:val="fr-FR"/>
        </w:rPr>
        <w:t xml:space="preserve"> </w:t>
      </w:r>
      <w:r>
        <w:rPr>
          <w:spacing w:val="-2"/>
          <w:lang w:val="fr-FR"/>
        </w:rPr>
        <w:t xml:space="preserve">gained </w:t>
      </w:r>
      <w:r w:rsidRPr="00AC04B0">
        <w:rPr>
          <w:spacing w:val="-2"/>
          <w:lang w:val="fr-FR"/>
        </w:rPr>
        <w:t>17</w:t>
      </w:r>
      <w:r>
        <w:rPr>
          <w:spacing w:val="-2"/>
          <w:lang w:val="fr-FR"/>
        </w:rPr>
        <w:t>.</w:t>
      </w:r>
      <w:r w:rsidRPr="00AC04B0">
        <w:rPr>
          <w:spacing w:val="-2"/>
          <w:lang w:val="fr-FR"/>
        </w:rPr>
        <w:t xml:space="preserve">3 </w:t>
      </w:r>
      <w:r w:rsidRPr="00971A79">
        <w:rPr>
          <w:spacing w:val="-2"/>
          <w:lang w:val="fr-FR"/>
        </w:rPr>
        <w:t>billion passengers-kilometers</w:t>
      </w:r>
      <w:r>
        <w:rPr>
          <w:spacing w:val="-2"/>
          <w:lang w:val="fr-FR"/>
        </w:rPr>
        <w:t>,</w:t>
      </w:r>
      <w:r w:rsidRPr="00971A79">
        <w:rPr>
          <w:spacing w:val="-2"/>
          <w:lang w:val="fr-FR"/>
        </w:rPr>
        <w:t xml:space="preserve"> </w:t>
      </w:r>
      <w:r>
        <w:rPr>
          <w:spacing w:val="-2"/>
          <w:lang w:val="fr-FR"/>
        </w:rPr>
        <w:t>down 0.8%; o</w:t>
      </w:r>
      <w:r w:rsidRPr="00971A79">
        <w:rPr>
          <w:spacing w:val="-2"/>
          <w:lang w:val="fr-FR"/>
        </w:rPr>
        <w:t xml:space="preserve">verseas </w:t>
      </w:r>
      <w:r w:rsidRPr="00971A79">
        <w:rPr>
          <w:iCs/>
          <w:spacing w:val="-2"/>
          <w:lang w:val="fr-FR"/>
        </w:rPr>
        <w:t>passengers carried</w:t>
      </w:r>
      <w:r w:rsidRPr="00971A79">
        <w:rPr>
          <w:spacing w:val="-2"/>
          <w:lang w:val="fr-FR"/>
        </w:rPr>
        <w:t xml:space="preserve"> </w:t>
      </w:r>
      <w:r>
        <w:rPr>
          <w:spacing w:val="-2"/>
          <w:lang w:val="fr-FR"/>
        </w:rPr>
        <w:t>was</w:t>
      </w:r>
      <w:r w:rsidRPr="00971A79">
        <w:rPr>
          <w:spacing w:val="-2"/>
          <w:lang w:val="fr-FR"/>
        </w:rPr>
        <w:t xml:space="preserve"> estimated at </w:t>
      </w:r>
      <w:r w:rsidRPr="00AC04B0">
        <w:rPr>
          <w:spacing w:val="-2"/>
          <w:lang w:val="fr-FR"/>
        </w:rPr>
        <w:t>1</w:t>
      </w:r>
      <w:r>
        <w:rPr>
          <w:spacing w:val="-2"/>
          <w:lang w:val="fr-FR"/>
        </w:rPr>
        <w:t>.</w:t>
      </w:r>
      <w:r w:rsidRPr="00AC04B0">
        <w:rPr>
          <w:spacing w:val="-2"/>
          <w:lang w:val="fr-FR"/>
        </w:rPr>
        <w:t xml:space="preserve">7 </w:t>
      </w:r>
      <w:r w:rsidRPr="00971A79">
        <w:rPr>
          <w:spacing w:val="-2"/>
          <w:lang w:val="fr-FR"/>
        </w:rPr>
        <w:t>million passengers</w:t>
      </w:r>
      <w:r>
        <w:rPr>
          <w:spacing w:val="-2"/>
          <w:lang w:val="fr-FR"/>
        </w:rPr>
        <w:t>,</w:t>
      </w:r>
      <w:r w:rsidRPr="00971A79">
        <w:rPr>
          <w:spacing w:val="-2"/>
          <w:lang w:val="fr-FR"/>
        </w:rPr>
        <w:t xml:space="preserve"> </w:t>
      </w:r>
      <w:r>
        <w:rPr>
          <w:spacing w:val="-2"/>
          <w:lang w:val="fr-FR"/>
        </w:rPr>
        <w:t xml:space="preserve">increased by </w:t>
      </w:r>
      <w:r>
        <w:rPr>
          <w:lang w:val="es-NI"/>
        </w:rPr>
        <w:lastRenderedPageBreak/>
        <w:t xml:space="preserve">41.9% </w:t>
      </w:r>
      <w:r w:rsidRPr="00971A79">
        <w:rPr>
          <w:spacing w:val="-2"/>
          <w:lang w:val="fr-FR"/>
        </w:rPr>
        <w:t xml:space="preserve">and </w:t>
      </w:r>
      <w:r w:rsidRPr="00971A79">
        <w:rPr>
          <w:iCs/>
          <w:spacing w:val="-2"/>
          <w:lang w:val="fr-FR"/>
        </w:rPr>
        <w:t>passengers traffic</w:t>
      </w:r>
      <w:r w:rsidRPr="00971A79">
        <w:rPr>
          <w:spacing w:val="-2"/>
          <w:lang w:val="fr-FR"/>
        </w:rPr>
        <w:t xml:space="preserve"> </w:t>
      </w:r>
      <w:r>
        <w:rPr>
          <w:spacing w:val="-2"/>
          <w:lang w:val="fr-FR"/>
        </w:rPr>
        <w:t xml:space="preserve">was </w:t>
      </w:r>
      <w:r w:rsidRPr="00AC04B0">
        <w:rPr>
          <w:spacing w:val="-2"/>
          <w:lang w:val="fr-FR"/>
        </w:rPr>
        <w:t>5</w:t>
      </w:r>
      <w:r>
        <w:rPr>
          <w:spacing w:val="-2"/>
          <w:lang w:val="fr-FR"/>
        </w:rPr>
        <w:t>.</w:t>
      </w:r>
      <w:r w:rsidRPr="00AC04B0">
        <w:rPr>
          <w:spacing w:val="-2"/>
          <w:lang w:val="fr-FR"/>
        </w:rPr>
        <w:t xml:space="preserve">4 </w:t>
      </w:r>
      <w:r w:rsidRPr="00971A79">
        <w:rPr>
          <w:spacing w:val="-2"/>
          <w:lang w:val="fr-FR"/>
        </w:rPr>
        <w:t>billion passengers-kilometers</w:t>
      </w:r>
      <w:r>
        <w:rPr>
          <w:spacing w:val="-2"/>
          <w:lang w:val="fr-FR"/>
        </w:rPr>
        <w:t>,</w:t>
      </w:r>
      <w:r w:rsidRPr="00AC04B0">
        <w:rPr>
          <w:spacing w:val="-2"/>
          <w:lang w:val="fr-FR"/>
        </w:rPr>
        <w:t xml:space="preserve"> </w:t>
      </w:r>
      <w:r>
        <w:rPr>
          <w:spacing w:val="-2"/>
          <w:lang w:val="fr-FR"/>
        </w:rPr>
        <w:t xml:space="preserve">increased by </w:t>
      </w:r>
      <w:r>
        <w:rPr>
          <w:lang w:val="es-NI"/>
        </w:rPr>
        <w:t>46.2%</w:t>
      </w:r>
      <w:r w:rsidRPr="00971A79">
        <w:rPr>
          <w:spacing w:val="-2"/>
          <w:lang w:val="fr-FR"/>
        </w:rPr>
        <w:t xml:space="preserve"> </w:t>
      </w:r>
      <w:r>
        <w:rPr>
          <w:spacing w:val="-2"/>
          <w:lang w:val="fr-FR"/>
        </w:rPr>
        <w:t>compared to</w:t>
      </w:r>
      <w:r w:rsidRPr="00971A79">
        <w:rPr>
          <w:spacing w:val="-2"/>
          <w:lang w:val="fr-FR"/>
        </w:rPr>
        <w:t xml:space="preserve"> the same period last year.</w:t>
      </w:r>
      <w:r>
        <w:rPr>
          <w:spacing w:val="-2"/>
          <w:lang w:val="fr-FR"/>
        </w:rPr>
        <w:tab/>
      </w:r>
    </w:p>
    <w:p w14:paraId="009FADD8" w14:textId="77777777" w:rsidR="00CE02B0" w:rsidRDefault="00CE02B0" w:rsidP="00CE02B0">
      <w:pPr>
        <w:spacing w:before="120" w:after="120" w:line="276" w:lineRule="auto"/>
        <w:jc w:val="center"/>
        <w:rPr>
          <w:rFonts w:ascii="Arial" w:hAnsi="Arial" w:cs="Arial"/>
          <w:b/>
          <w:bCs/>
          <w:sz w:val="24"/>
          <w:szCs w:val="24"/>
          <w:lang w:val="fr-FR"/>
        </w:rPr>
      </w:pPr>
      <w:r w:rsidRPr="00952A02">
        <w:rPr>
          <w:rFonts w:ascii="Arial" w:hAnsi="Arial" w:cs="Arial"/>
          <w:b/>
          <w:bCs/>
          <w:iCs/>
          <w:sz w:val="24"/>
          <w:szCs w:val="24"/>
        </w:rPr>
        <w:t xml:space="preserve">Table 6. </w:t>
      </w:r>
      <w:r w:rsidRPr="00952A02">
        <w:rPr>
          <w:rFonts w:ascii="Arial" w:hAnsi="Arial" w:cs="Arial"/>
          <w:b/>
          <w:bCs/>
          <w:iCs/>
          <w:sz w:val="24"/>
          <w:szCs w:val="24"/>
          <w:lang w:val="fr-FR"/>
        </w:rPr>
        <w:t>Carriage of passengers in January 202</w:t>
      </w:r>
      <w:r>
        <w:rPr>
          <w:rFonts w:ascii="Arial" w:hAnsi="Arial" w:cs="Arial"/>
          <w:b/>
          <w:bCs/>
          <w:iCs/>
          <w:sz w:val="24"/>
          <w:szCs w:val="24"/>
          <w:lang w:val="fr-FR"/>
        </w:rPr>
        <w:t>4</w:t>
      </w:r>
      <w:r w:rsidRPr="00952A02">
        <w:rPr>
          <w:rFonts w:ascii="Arial" w:hAnsi="Arial" w:cs="Arial"/>
          <w:b/>
          <w:bCs/>
          <w:iCs/>
          <w:sz w:val="24"/>
          <w:szCs w:val="24"/>
          <w:lang w:val="fr-FR"/>
        </w:rPr>
        <w:t xml:space="preserve"> </w:t>
      </w:r>
      <w:r w:rsidRPr="00952A02">
        <w:rPr>
          <w:rFonts w:ascii="Arial" w:hAnsi="Arial" w:cs="Arial"/>
          <w:b/>
          <w:bCs/>
          <w:sz w:val="24"/>
          <w:szCs w:val="24"/>
          <w:lang w:val="fr-FR"/>
        </w:rPr>
        <w:t>by types of transport</w:t>
      </w:r>
    </w:p>
    <w:tbl>
      <w:tblPr>
        <w:tblW w:w="8926" w:type="dxa"/>
        <w:jc w:val="center"/>
        <w:tblLook w:val="04A0" w:firstRow="1" w:lastRow="0" w:firstColumn="1" w:lastColumn="0" w:noHBand="0" w:noVBand="1"/>
      </w:tblPr>
      <w:tblGrid>
        <w:gridCol w:w="1696"/>
        <w:gridCol w:w="1985"/>
        <w:gridCol w:w="2126"/>
        <w:gridCol w:w="1559"/>
        <w:gridCol w:w="1560"/>
      </w:tblGrid>
      <w:tr w:rsidR="00CE02B0" w:rsidRPr="00052095" w14:paraId="4DD3E90E" w14:textId="77777777" w:rsidTr="008278F8">
        <w:trPr>
          <w:trHeight w:val="499"/>
          <w:jc w:val="center"/>
        </w:trPr>
        <w:tc>
          <w:tcPr>
            <w:tcW w:w="1696" w:type="dxa"/>
            <w:tcBorders>
              <w:top w:val="single" w:sz="4" w:space="0" w:color="auto"/>
            </w:tcBorders>
            <w:shd w:val="clear" w:color="auto" w:fill="auto"/>
            <w:noWrap/>
            <w:vAlign w:val="center"/>
            <w:hideMark/>
          </w:tcPr>
          <w:p w14:paraId="08DCFAAF" w14:textId="77777777" w:rsidR="00CE02B0" w:rsidRPr="00894C78" w:rsidRDefault="00CE02B0" w:rsidP="008278F8">
            <w:pPr>
              <w:rPr>
                <w:rFonts w:ascii="Arial" w:hAnsi="Arial" w:cs="Arial"/>
                <w:b/>
                <w:bCs/>
                <w:sz w:val="20"/>
                <w:szCs w:val="20"/>
                <w:lang w:eastAsia="vi-VN"/>
              </w:rPr>
            </w:pPr>
          </w:p>
        </w:tc>
        <w:tc>
          <w:tcPr>
            <w:tcW w:w="4111" w:type="dxa"/>
            <w:gridSpan w:val="2"/>
            <w:tcBorders>
              <w:top w:val="single" w:sz="4" w:space="0" w:color="auto"/>
              <w:bottom w:val="single" w:sz="4" w:space="0" w:color="auto"/>
            </w:tcBorders>
            <w:shd w:val="clear" w:color="auto" w:fill="auto"/>
            <w:noWrap/>
            <w:vAlign w:val="center"/>
            <w:hideMark/>
          </w:tcPr>
          <w:p w14:paraId="2089BC6E" w14:textId="77777777" w:rsidR="00CE02B0" w:rsidRPr="00894C78" w:rsidRDefault="00CE02B0" w:rsidP="008278F8">
            <w:pPr>
              <w:jc w:val="center"/>
              <w:rPr>
                <w:rFonts w:ascii="Arial" w:hAnsi="Arial" w:cs="Arial"/>
                <w:b/>
                <w:bCs/>
                <w:sz w:val="20"/>
                <w:szCs w:val="20"/>
              </w:rPr>
            </w:pPr>
            <w:r w:rsidRPr="00894C78">
              <w:rPr>
                <w:rFonts w:ascii="Arial" w:hAnsi="Arial" w:cs="Arial"/>
                <w:iCs/>
                <w:sz w:val="20"/>
                <w:szCs w:val="20"/>
                <w:lang w:eastAsia="vi-VN"/>
              </w:rPr>
              <w:t>Number of passengers</w:t>
            </w:r>
          </w:p>
        </w:tc>
        <w:tc>
          <w:tcPr>
            <w:tcW w:w="3119" w:type="dxa"/>
            <w:gridSpan w:val="2"/>
            <w:tcBorders>
              <w:top w:val="single" w:sz="4" w:space="0" w:color="auto"/>
              <w:bottom w:val="single" w:sz="4" w:space="0" w:color="auto"/>
            </w:tcBorders>
            <w:shd w:val="clear" w:color="auto" w:fill="auto"/>
            <w:noWrap/>
            <w:vAlign w:val="center"/>
            <w:hideMark/>
          </w:tcPr>
          <w:p w14:paraId="5F0E976C" w14:textId="77777777" w:rsidR="00CE02B0" w:rsidRPr="00894C78" w:rsidRDefault="00CE02B0" w:rsidP="008278F8">
            <w:pPr>
              <w:ind w:right="-45"/>
              <w:jc w:val="center"/>
              <w:rPr>
                <w:rFonts w:ascii="Arial" w:hAnsi="Arial" w:cs="Arial"/>
                <w:b/>
                <w:bCs/>
                <w:sz w:val="20"/>
                <w:szCs w:val="20"/>
              </w:rPr>
            </w:pPr>
            <w:r w:rsidRPr="00894C78">
              <w:rPr>
                <w:rFonts w:ascii="Arial" w:hAnsi="Arial" w:cs="Arial"/>
                <w:color w:val="000000"/>
                <w:sz w:val="20"/>
                <w:szCs w:val="20"/>
                <w:lang w:eastAsia="vi-VN"/>
              </w:rPr>
              <w:t>The growth rate</w:t>
            </w:r>
            <w:r w:rsidRPr="00894C78">
              <w:rPr>
                <w:rFonts w:ascii="Arial" w:hAnsi="Arial" w:cs="Arial"/>
                <w:color w:val="000000"/>
                <w:sz w:val="20"/>
                <w:szCs w:val="20"/>
                <w:lang w:val="en-US" w:eastAsia="vi-VN"/>
              </w:rPr>
              <w:t xml:space="preserve"> </w:t>
            </w:r>
            <w:r w:rsidRPr="00894C78">
              <w:rPr>
                <w:rFonts w:ascii="Arial" w:hAnsi="Arial" w:cs="Arial"/>
                <w:color w:val="000000"/>
                <w:sz w:val="20"/>
                <w:szCs w:val="20"/>
                <w:lang w:eastAsia="vi-VN"/>
              </w:rPr>
              <w:t>compared to the same period last year (%)</w:t>
            </w:r>
          </w:p>
        </w:tc>
      </w:tr>
      <w:tr w:rsidR="00CE02B0" w:rsidRPr="009A67D2" w14:paraId="656386EB" w14:textId="77777777" w:rsidTr="008278F8">
        <w:trPr>
          <w:trHeight w:val="515"/>
          <w:jc w:val="center"/>
        </w:trPr>
        <w:tc>
          <w:tcPr>
            <w:tcW w:w="1696" w:type="dxa"/>
            <w:shd w:val="clear" w:color="auto" w:fill="auto"/>
            <w:noWrap/>
            <w:vAlign w:val="center"/>
            <w:hideMark/>
          </w:tcPr>
          <w:p w14:paraId="55A0A5F0" w14:textId="77777777" w:rsidR="00CE02B0" w:rsidRPr="00894C78" w:rsidRDefault="00CE02B0" w:rsidP="008278F8">
            <w:pPr>
              <w:rPr>
                <w:rFonts w:ascii="Arial" w:hAnsi="Arial" w:cs="Arial"/>
                <w:b/>
                <w:bCs/>
                <w:sz w:val="20"/>
                <w:szCs w:val="20"/>
                <w:lang w:eastAsia="vi-VN"/>
              </w:rPr>
            </w:pPr>
          </w:p>
        </w:tc>
        <w:tc>
          <w:tcPr>
            <w:tcW w:w="1985" w:type="dxa"/>
            <w:tcBorders>
              <w:top w:val="single" w:sz="4" w:space="0" w:color="auto"/>
              <w:bottom w:val="single" w:sz="4" w:space="0" w:color="auto"/>
            </w:tcBorders>
            <w:shd w:val="clear" w:color="auto" w:fill="auto"/>
            <w:noWrap/>
            <w:vAlign w:val="center"/>
            <w:hideMark/>
          </w:tcPr>
          <w:p w14:paraId="0F0AB897" w14:textId="77777777" w:rsidR="00CE02B0" w:rsidRPr="00894C78" w:rsidRDefault="00CE02B0" w:rsidP="008278F8">
            <w:pPr>
              <w:jc w:val="center"/>
              <w:rPr>
                <w:rFonts w:ascii="Arial" w:hAnsi="Arial" w:cs="Arial"/>
                <w:b/>
                <w:bCs/>
                <w:sz w:val="20"/>
                <w:szCs w:val="20"/>
              </w:rPr>
            </w:pPr>
            <w:r w:rsidRPr="00894C78">
              <w:rPr>
                <w:rFonts w:ascii="Arial" w:hAnsi="Arial" w:cs="Arial"/>
                <w:sz w:val="20"/>
                <w:szCs w:val="20"/>
                <w:lang w:eastAsia="vi-VN"/>
              </w:rPr>
              <w:t>Carried</w:t>
            </w:r>
            <w:r w:rsidRPr="00894C78">
              <w:rPr>
                <w:rFonts w:ascii="Arial" w:hAnsi="Arial" w:cs="Arial"/>
                <w:sz w:val="20"/>
                <w:szCs w:val="20"/>
                <w:lang w:eastAsia="vi-VN"/>
              </w:rPr>
              <w:br/>
              <w:t>(Mill. passengers)</w:t>
            </w:r>
          </w:p>
        </w:tc>
        <w:tc>
          <w:tcPr>
            <w:tcW w:w="2126" w:type="dxa"/>
            <w:tcBorders>
              <w:top w:val="single" w:sz="4" w:space="0" w:color="auto"/>
              <w:bottom w:val="single" w:sz="4" w:space="0" w:color="auto"/>
            </w:tcBorders>
            <w:shd w:val="clear" w:color="auto" w:fill="auto"/>
            <w:noWrap/>
            <w:vAlign w:val="center"/>
            <w:hideMark/>
          </w:tcPr>
          <w:p w14:paraId="29582883" w14:textId="77777777" w:rsidR="00CE02B0" w:rsidRPr="00894C78" w:rsidRDefault="00CE02B0" w:rsidP="008278F8">
            <w:pPr>
              <w:jc w:val="center"/>
              <w:rPr>
                <w:rFonts w:ascii="Arial" w:hAnsi="Arial" w:cs="Arial"/>
                <w:b/>
                <w:bCs/>
                <w:sz w:val="20"/>
                <w:szCs w:val="20"/>
              </w:rPr>
            </w:pPr>
            <w:r w:rsidRPr="00894C78">
              <w:rPr>
                <w:rFonts w:ascii="Arial" w:hAnsi="Arial" w:cs="Arial"/>
                <w:sz w:val="20"/>
                <w:szCs w:val="20"/>
                <w:lang w:eastAsia="vi-VN"/>
              </w:rPr>
              <w:t>Traffic</w:t>
            </w:r>
            <w:r w:rsidRPr="00894C78">
              <w:rPr>
                <w:rFonts w:ascii="Arial" w:hAnsi="Arial" w:cs="Arial"/>
                <w:sz w:val="20"/>
                <w:szCs w:val="20"/>
                <w:lang w:eastAsia="vi-VN"/>
              </w:rPr>
              <w:br/>
              <w:t>(Bill. passengers-km)</w:t>
            </w:r>
          </w:p>
        </w:tc>
        <w:tc>
          <w:tcPr>
            <w:tcW w:w="1559" w:type="dxa"/>
            <w:tcBorders>
              <w:top w:val="single" w:sz="4" w:space="0" w:color="auto"/>
              <w:bottom w:val="single" w:sz="4" w:space="0" w:color="auto"/>
            </w:tcBorders>
            <w:shd w:val="clear" w:color="auto" w:fill="auto"/>
            <w:noWrap/>
            <w:vAlign w:val="center"/>
            <w:hideMark/>
          </w:tcPr>
          <w:p w14:paraId="3616F126" w14:textId="77777777" w:rsidR="00CE02B0" w:rsidRPr="00894C78" w:rsidRDefault="00CE02B0" w:rsidP="008278F8">
            <w:pPr>
              <w:jc w:val="center"/>
              <w:rPr>
                <w:rFonts w:ascii="Arial" w:hAnsi="Arial" w:cs="Arial"/>
                <w:b/>
                <w:bCs/>
                <w:sz w:val="20"/>
                <w:szCs w:val="20"/>
              </w:rPr>
            </w:pPr>
            <w:r w:rsidRPr="00894C78">
              <w:rPr>
                <w:rFonts w:ascii="Arial" w:hAnsi="Arial" w:cs="Arial"/>
                <w:sz w:val="20"/>
                <w:szCs w:val="20"/>
                <w:lang w:eastAsia="vi-VN"/>
              </w:rPr>
              <w:t>Carried</w:t>
            </w:r>
          </w:p>
        </w:tc>
        <w:tc>
          <w:tcPr>
            <w:tcW w:w="1560" w:type="dxa"/>
            <w:tcBorders>
              <w:top w:val="single" w:sz="4" w:space="0" w:color="auto"/>
              <w:bottom w:val="single" w:sz="4" w:space="0" w:color="auto"/>
            </w:tcBorders>
            <w:shd w:val="clear" w:color="auto" w:fill="auto"/>
            <w:noWrap/>
            <w:vAlign w:val="center"/>
            <w:hideMark/>
          </w:tcPr>
          <w:p w14:paraId="292E0431" w14:textId="77777777" w:rsidR="00CE02B0" w:rsidRPr="00894C78" w:rsidRDefault="00CE02B0" w:rsidP="008278F8">
            <w:pPr>
              <w:jc w:val="center"/>
              <w:rPr>
                <w:rFonts w:ascii="Arial" w:hAnsi="Arial" w:cs="Arial"/>
                <w:b/>
                <w:bCs/>
                <w:sz w:val="20"/>
                <w:szCs w:val="20"/>
              </w:rPr>
            </w:pPr>
            <w:r w:rsidRPr="00894C78">
              <w:rPr>
                <w:rFonts w:ascii="Arial" w:hAnsi="Arial" w:cs="Arial"/>
                <w:sz w:val="20"/>
                <w:szCs w:val="20"/>
                <w:lang w:eastAsia="vi-VN"/>
              </w:rPr>
              <w:t>Traffic</w:t>
            </w:r>
          </w:p>
        </w:tc>
      </w:tr>
      <w:tr w:rsidR="00CE02B0" w:rsidRPr="00894C78" w14:paraId="281BB5F0" w14:textId="77777777" w:rsidTr="008278F8">
        <w:trPr>
          <w:trHeight w:val="408"/>
          <w:jc w:val="center"/>
        </w:trPr>
        <w:tc>
          <w:tcPr>
            <w:tcW w:w="1696" w:type="dxa"/>
            <w:shd w:val="clear" w:color="auto" w:fill="auto"/>
            <w:noWrap/>
            <w:vAlign w:val="center"/>
            <w:hideMark/>
          </w:tcPr>
          <w:p w14:paraId="363BCB46" w14:textId="77777777" w:rsidR="00CE02B0" w:rsidRPr="00894C78" w:rsidRDefault="00CE02B0" w:rsidP="008278F8">
            <w:pPr>
              <w:ind w:right="289"/>
              <w:rPr>
                <w:rFonts w:ascii="Arial" w:hAnsi="Arial" w:cs="Arial"/>
                <w:b/>
                <w:bCs/>
                <w:sz w:val="20"/>
                <w:szCs w:val="20"/>
              </w:rPr>
            </w:pPr>
            <w:r w:rsidRPr="00894C78">
              <w:rPr>
                <w:rFonts w:ascii="Arial" w:hAnsi="Arial" w:cs="Arial"/>
                <w:b/>
                <w:bCs/>
                <w:sz w:val="20"/>
                <w:szCs w:val="20"/>
              </w:rPr>
              <w:t>Total</w:t>
            </w:r>
          </w:p>
        </w:tc>
        <w:tc>
          <w:tcPr>
            <w:tcW w:w="1985" w:type="dxa"/>
            <w:tcBorders>
              <w:top w:val="single" w:sz="4" w:space="0" w:color="auto"/>
            </w:tcBorders>
            <w:shd w:val="clear" w:color="auto" w:fill="auto"/>
            <w:noWrap/>
            <w:vAlign w:val="center"/>
            <w:hideMark/>
          </w:tcPr>
          <w:p w14:paraId="2EF21778" w14:textId="77777777" w:rsidR="00CE02B0" w:rsidRPr="00894C78" w:rsidRDefault="00CE02B0" w:rsidP="008278F8">
            <w:pPr>
              <w:ind w:right="596"/>
              <w:jc w:val="right"/>
              <w:rPr>
                <w:rFonts w:ascii="Arial" w:hAnsi="Arial" w:cs="Arial"/>
                <w:b/>
                <w:bCs/>
                <w:color w:val="000000"/>
                <w:sz w:val="20"/>
                <w:szCs w:val="20"/>
              </w:rPr>
            </w:pPr>
            <w:r w:rsidRPr="00894C78">
              <w:rPr>
                <w:rFonts w:ascii="Arial" w:hAnsi="Arial" w:cs="Arial"/>
                <w:b/>
                <w:bCs/>
                <w:sz w:val="20"/>
                <w:szCs w:val="20"/>
              </w:rPr>
              <w:t xml:space="preserve">     392</w:t>
            </w:r>
            <w:r w:rsidRPr="00894C78">
              <w:rPr>
                <w:rFonts w:ascii="Arial" w:hAnsi="Arial" w:cs="Arial"/>
                <w:b/>
                <w:bCs/>
                <w:sz w:val="20"/>
                <w:szCs w:val="20"/>
                <w:lang w:val="en-US"/>
              </w:rPr>
              <w:t>.</w:t>
            </w:r>
            <w:r w:rsidRPr="00894C78">
              <w:rPr>
                <w:rFonts w:ascii="Arial" w:hAnsi="Arial" w:cs="Arial"/>
                <w:b/>
                <w:bCs/>
                <w:sz w:val="20"/>
                <w:szCs w:val="20"/>
              </w:rPr>
              <w:t xml:space="preserve">7 </w:t>
            </w:r>
          </w:p>
        </w:tc>
        <w:tc>
          <w:tcPr>
            <w:tcW w:w="2126" w:type="dxa"/>
            <w:tcBorders>
              <w:top w:val="single" w:sz="4" w:space="0" w:color="auto"/>
            </w:tcBorders>
            <w:shd w:val="clear" w:color="auto" w:fill="auto"/>
            <w:noWrap/>
            <w:vAlign w:val="center"/>
            <w:hideMark/>
          </w:tcPr>
          <w:p w14:paraId="187B24AC" w14:textId="77777777" w:rsidR="00CE02B0" w:rsidRPr="00894C78" w:rsidRDefault="00CE02B0" w:rsidP="008278F8">
            <w:pPr>
              <w:ind w:right="737"/>
              <w:jc w:val="right"/>
              <w:rPr>
                <w:rFonts w:ascii="Arial" w:hAnsi="Arial" w:cs="Arial"/>
                <w:b/>
                <w:bCs/>
                <w:color w:val="000000"/>
                <w:sz w:val="20"/>
                <w:szCs w:val="20"/>
              </w:rPr>
            </w:pPr>
            <w:r w:rsidRPr="00894C78">
              <w:rPr>
                <w:rFonts w:ascii="Arial" w:hAnsi="Arial" w:cs="Arial"/>
                <w:b/>
                <w:bCs/>
                <w:sz w:val="20"/>
                <w:szCs w:val="20"/>
              </w:rPr>
              <w:t xml:space="preserve">       22</w:t>
            </w:r>
            <w:r w:rsidRPr="00894C78">
              <w:rPr>
                <w:rFonts w:ascii="Arial" w:hAnsi="Arial" w:cs="Arial"/>
                <w:b/>
                <w:bCs/>
                <w:sz w:val="20"/>
                <w:szCs w:val="20"/>
                <w:lang w:val="en-US"/>
              </w:rPr>
              <w:t>.</w:t>
            </w:r>
            <w:r w:rsidRPr="00894C78">
              <w:rPr>
                <w:rFonts w:ascii="Arial" w:hAnsi="Arial" w:cs="Arial"/>
                <w:b/>
                <w:bCs/>
                <w:sz w:val="20"/>
                <w:szCs w:val="20"/>
              </w:rPr>
              <w:t xml:space="preserve">7 </w:t>
            </w:r>
          </w:p>
        </w:tc>
        <w:tc>
          <w:tcPr>
            <w:tcW w:w="1559" w:type="dxa"/>
            <w:tcBorders>
              <w:top w:val="single" w:sz="4" w:space="0" w:color="auto"/>
            </w:tcBorders>
            <w:shd w:val="clear" w:color="auto" w:fill="auto"/>
            <w:noWrap/>
            <w:vAlign w:val="center"/>
            <w:hideMark/>
          </w:tcPr>
          <w:p w14:paraId="473A984D" w14:textId="77777777" w:rsidR="00CE02B0" w:rsidRPr="00894C78" w:rsidRDefault="00CE02B0" w:rsidP="008278F8">
            <w:pPr>
              <w:ind w:right="312"/>
              <w:jc w:val="right"/>
              <w:rPr>
                <w:rFonts w:ascii="Arial" w:hAnsi="Arial" w:cs="Arial"/>
                <w:b/>
                <w:bCs/>
                <w:color w:val="000000"/>
                <w:sz w:val="20"/>
                <w:szCs w:val="20"/>
              </w:rPr>
            </w:pPr>
            <w:r w:rsidRPr="00894C78">
              <w:rPr>
                <w:rFonts w:ascii="Arial" w:hAnsi="Arial" w:cs="Arial"/>
                <w:b/>
                <w:bCs/>
                <w:color w:val="000000"/>
                <w:sz w:val="20"/>
                <w:szCs w:val="20"/>
              </w:rPr>
              <w:t xml:space="preserve">             5</w:t>
            </w:r>
            <w:r w:rsidRPr="00894C78">
              <w:rPr>
                <w:rFonts w:ascii="Arial" w:hAnsi="Arial" w:cs="Arial"/>
                <w:b/>
                <w:bCs/>
                <w:color w:val="000000"/>
                <w:sz w:val="20"/>
                <w:szCs w:val="20"/>
                <w:lang w:val="en-US"/>
              </w:rPr>
              <w:t>.</w:t>
            </w:r>
            <w:r w:rsidRPr="00894C78">
              <w:rPr>
                <w:rFonts w:ascii="Arial" w:hAnsi="Arial" w:cs="Arial"/>
                <w:b/>
                <w:bCs/>
                <w:color w:val="000000"/>
                <w:sz w:val="20"/>
                <w:szCs w:val="20"/>
              </w:rPr>
              <w:t xml:space="preserve">5 </w:t>
            </w:r>
          </w:p>
        </w:tc>
        <w:tc>
          <w:tcPr>
            <w:tcW w:w="1560" w:type="dxa"/>
            <w:tcBorders>
              <w:top w:val="single" w:sz="4" w:space="0" w:color="auto"/>
            </w:tcBorders>
            <w:shd w:val="clear" w:color="auto" w:fill="auto"/>
            <w:noWrap/>
            <w:vAlign w:val="center"/>
            <w:hideMark/>
          </w:tcPr>
          <w:p w14:paraId="2DF19632" w14:textId="77777777" w:rsidR="00CE02B0" w:rsidRPr="00894C78" w:rsidRDefault="00CE02B0" w:rsidP="008278F8">
            <w:pPr>
              <w:ind w:right="397"/>
              <w:jc w:val="right"/>
              <w:rPr>
                <w:rFonts w:ascii="Arial" w:hAnsi="Arial" w:cs="Arial"/>
                <w:b/>
                <w:bCs/>
                <w:color w:val="000000"/>
                <w:sz w:val="20"/>
                <w:szCs w:val="20"/>
              </w:rPr>
            </w:pPr>
            <w:r w:rsidRPr="00894C78">
              <w:rPr>
                <w:rFonts w:ascii="Arial" w:hAnsi="Arial" w:cs="Arial"/>
                <w:b/>
                <w:bCs/>
                <w:color w:val="000000"/>
                <w:sz w:val="20"/>
                <w:szCs w:val="20"/>
              </w:rPr>
              <w:t xml:space="preserve">         7</w:t>
            </w:r>
            <w:r w:rsidRPr="00894C78">
              <w:rPr>
                <w:rFonts w:ascii="Arial" w:hAnsi="Arial" w:cs="Arial"/>
                <w:b/>
                <w:bCs/>
                <w:color w:val="000000"/>
                <w:sz w:val="20"/>
                <w:szCs w:val="20"/>
                <w:lang w:val="en-US"/>
              </w:rPr>
              <w:t>.</w:t>
            </w:r>
            <w:r w:rsidRPr="00894C78">
              <w:rPr>
                <w:rFonts w:ascii="Arial" w:hAnsi="Arial" w:cs="Arial"/>
                <w:b/>
                <w:bCs/>
                <w:color w:val="000000"/>
                <w:sz w:val="20"/>
                <w:szCs w:val="20"/>
              </w:rPr>
              <w:t xml:space="preserve">4 </w:t>
            </w:r>
          </w:p>
        </w:tc>
      </w:tr>
      <w:tr w:rsidR="00CE02B0" w:rsidRPr="00F1379D" w14:paraId="683F7C3C" w14:textId="77777777" w:rsidTr="008278F8">
        <w:trPr>
          <w:trHeight w:val="353"/>
          <w:jc w:val="center"/>
        </w:trPr>
        <w:tc>
          <w:tcPr>
            <w:tcW w:w="1696" w:type="dxa"/>
            <w:shd w:val="clear" w:color="auto" w:fill="auto"/>
            <w:noWrap/>
            <w:vAlign w:val="center"/>
            <w:hideMark/>
          </w:tcPr>
          <w:p w14:paraId="4A1F6D63" w14:textId="77777777" w:rsidR="00CE02B0" w:rsidRPr="00894C78" w:rsidRDefault="00CE02B0" w:rsidP="008278F8">
            <w:pPr>
              <w:ind w:right="289"/>
              <w:rPr>
                <w:rFonts w:ascii="Arial" w:hAnsi="Arial" w:cs="Arial"/>
                <w:bCs/>
                <w:sz w:val="20"/>
                <w:szCs w:val="20"/>
              </w:rPr>
            </w:pPr>
            <w:r w:rsidRPr="00894C78">
              <w:rPr>
                <w:rFonts w:ascii="Arial" w:hAnsi="Arial" w:cs="Arial"/>
                <w:bCs/>
                <w:sz w:val="20"/>
                <w:szCs w:val="20"/>
              </w:rPr>
              <w:t>Railway</w:t>
            </w:r>
          </w:p>
        </w:tc>
        <w:tc>
          <w:tcPr>
            <w:tcW w:w="1985" w:type="dxa"/>
            <w:shd w:val="clear" w:color="auto" w:fill="auto"/>
            <w:noWrap/>
            <w:vAlign w:val="center"/>
            <w:hideMark/>
          </w:tcPr>
          <w:p w14:paraId="32B44775" w14:textId="77777777" w:rsidR="00CE02B0" w:rsidRPr="000F6283" w:rsidRDefault="00CE02B0" w:rsidP="008278F8">
            <w:pPr>
              <w:ind w:right="596"/>
              <w:jc w:val="right"/>
              <w:rPr>
                <w:rFonts w:ascii="Arial" w:hAnsi="Arial" w:cs="Arial"/>
                <w:color w:val="000000"/>
                <w:sz w:val="20"/>
                <w:szCs w:val="20"/>
              </w:rPr>
            </w:pPr>
            <w:r w:rsidRPr="000F6283">
              <w:rPr>
                <w:rFonts w:ascii="Arial" w:hAnsi="Arial" w:cs="Arial"/>
                <w:sz w:val="20"/>
                <w:szCs w:val="20"/>
              </w:rPr>
              <w:t xml:space="preserve">         0</w:t>
            </w:r>
            <w:r>
              <w:rPr>
                <w:rFonts w:ascii="Arial" w:hAnsi="Arial" w:cs="Arial"/>
                <w:sz w:val="20"/>
                <w:szCs w:val="20"/>
                <w:lang w:val="en-US"/>
              </w:rPr>
              <w:t>.</w:t>
            </w:r>
            <w:r w:rsidRPr="000F6283">
              <w:rPr>
                <w:rFonts w:ascii="Arial" w:hAnsi="Arial" w:cs="Arial"/>
                <w:sz w:val="20"/>
                <w:szCs w:val="20"/>
              </w:rPr>
              <w:t xml:space="preserve">4 </w:t>
            </w:r>
          </w:p>
        </w:tc>
        <w:tc>
          <w:tcPr>
            <w:tcW w:w="2126" w:type="dxa"/>
            <w:shd w:val="clear" w:color="auto" w:fill="auto"/>
            <w:noWrap/>
            <w:vAlign w:val="center"/>
            <w:hideMark/>
          </w:tcPr>
          <w:p w14:paraId="49261AD6" w14:textId="77777777" w:rsidR="00CE02B0" w:rsidRPr="000F6283" w:rsidRDefault="00CE02B0" w:rsidP="008278F8">
            <w:pPr>
              <w:ind w:right="737"/>
              <w:jc w:val="right"/>
              <w:rPr>
                <w:rFonts w:ascii="Arial" w:hAnsi="Arial" w:cs="Arial"/>
                <w:color w:val="000000"/>
                <w:sz w:val="20"/>
                <w:szCs w:val="20"/>
              </w:rPr>
            </w:pPr>
            <w:r w:rsidRPr="000F6283">
              <w:rPr>
                <w:rFonts w:ascii="Arial" w:hAnsi="Arial" w:cs="Arial"/>
                <w:sz w:val="20"/>
                <w:szCs w:val="20"/>
              </w:rPr>
              <w:t xml:space="preserve">         0</w:t>
            </w:r>
            <w:r>
              <w:rPr>
                <w:rFonts w:ascii="Arial" w:hAnsi="Arial" w:cs="Arial"/>
                <w:sz w:val="20"/>
                <w:szCs w:val="20"/>
                <w:lang w:val="en-US"/>
              </w:rPr>
              <w:t>.</w:t>
            </w:r>
            <w:r w:rsidRPr="000F6283">
              <w:rPr>
                <w:rFonts w:ascii="Arial" w:hAnsi="Arial" w:cs="Arial"/>
                <w:sz w:val="20"/>
                <w:szCs w:val="20"/>
              </w:rPr>
              <w:t xml:space="preserve">1 </w:t>
            </w:r>
          </w:p>
        </w:tc>
        <w:tc>
          <w:tcPr>
            <w:tcW w:w="1559" w:type="dxa"/>
            <w:shd w:val="clear" w:color="auto" w:fill="auto"/>
            <w:noWrap/>
            <w:vAlign w:val="center"/>
            <w:hideMark/>
          </w:tcPr>
          <w:p w14:paraId="55E05A95" w14:textId="77777777" w:rsidR="00CE02B0" w:rsidRDefault="00CE02B0" w:rsidP="008278F8">
            <w:pPr>
              <w:ind w:right="312"/>
              <w:jc w:val="right"/>
              <w:rPr>
                <w:rFonts w:ascii="Arial" w:hAnsi="Arial" w:cs="Arial"/>
                <w:color w:val="000000"/>
                <w:sz w:val="20"/>
                <w:szCs w:val="20"/>
              </w:rPr>
            </w:pPr>
            <w:r>
              <w:rPr>
                <w:rFonts w:ascii="Arial" w:hAnsi="Arial" w:cs="Arial"/>
                <w:color w:val="000000"/>
                <w:sz w:val="20"/>
                <w:szCs w:val="20"/>
              </w:rPr>
              <w:t xml:space="preserve">        </w:t>
            </w:r>
            <w:r>
              <w:rPr>
                <w:rFonts w:ascii="Arial" w:hAnsi="Arial" w:cs="Arial"/>
                <w:color w:val="000000"/>
                <w:sz w:val="20"/>
                <w:szCs w:val="20"/>
                <w:lang w:val="en-US"/>
              </w:rPr>
              <w:t>-31.7</w:t>
            </w:r>
            <w:r>
              <w:rPr>
                <w:rFonts w:ascii="Arial" w:hAnsi="Arial" w:cs="Arial"/>
                <w:color w:val="000000"/>
                <w:sz w:val="20"/>
                <w:szCs w:val="20"/>
              </w:rPr>
              <w:t xml:space="preserve"> </w:t>
            </w:r>
          </w:p>
        </w:tc>
        <w:tc>
          <w:tcPr>
            <w:tcW w:w="1560" w:type="dxa"/>
            <w:shd w:val="clear" w:color="auto" w:fill="auto"/>
            <w:noWrap/>
            <w:vAlign w:val="center"/>
            <w:hideMark/>
          </w:tcPr>
          <w:p w14:paraId="1AFFF3FA" w14:textId="77777777" w:rsidR="00CE02B0" w:rsidRDefault="00CE02B0" w:rsidP="008278F8">
            <w:pPr>
              <w:ind w:right="397"/>
              <w:jc w:val="right"/>
              <w:rPr>
                <w:rFonts w:ascii="Arial" w:hAnsi="Arial" w:cs="Arial"/>
                <w:color w:val="000000"/>
                <w:sz w:val="20"/>
                <w:szCs w:val="20"/>
              </w:rPr>
            </w:pPr>
            <w:r>
              <w:rPr>
                <w:rFonts w:ascii="Arial" w:hAnsi="Arial" w:cs="Arial"/>
                <w:color w:val="000000"/>
                <w:sz w:val="20"/>
                <w:szCs w:val="20"/>
                <w:lang w:val="en-US"/>
              </w:rPr>
              <w:t>-55.1</w:t>
            </w:r>
            <w:r>
              <w:rPr>
                <w:rFonts w:ascii="Arial" w:hAnsi="Arial" w:cs="Arial"/>
                <w:color w:val="000000"/>
                <w:sz w:val="20"/>
                <w:szCs w:val="20"/>
              </w:rPr>
              <w:t xml:space="preserve">         </w:t>
            </w:r>
          </w:p>
        </w:tc>
      </w:tr>
      <w:tr w:rsidR="00CE02B0" w:rsidRPr="00F1379D" w14:paraId="60F14326" w14:textId="77777777" w:rsidTr="008278F8">
        <w:trPr>
          <w:trHeight w:val="353"/>
          <w:jc w:val="center"/>
        </w:trPr>
        <w:tc>
          <w:tcPr>
            <w:tcW w:w="1696" w:type="dxa"/>
            <w:shd w:val="clear" w:color="auto" w:fill="auto"/>
            <w:noWrap/>
            <w:vAlign w:val="center"/>
            <w:hideMark/>
          </w:tcPr>
          <w:p w14:paraId="668DEF66" w14:textId="77777777" w:rsidR="00CE02B0" w:rsidRPr="00894C78" w:rsidRDefault="00CE02B0" w:rsidP="008278F8">
            <w:pPr>
              <w:ind w:right="289"/>
              <w:rPr>
                <w:rFonts w:ascii="Arial" w:hAnsi="Arial" w:cs="Arial"/>
                <w:bCs/>
                <w:sz w:val="20"/>
                <w:szCs w:val="20"/>
              </w:rPr>
            </w:pPr>
            <w:r w:rsidRPr="00894C78">
              <w:rPr>
                <w:rFonts w:ascii="Arial" w:hAnsi="Arial" w:cs="Arial"/>
                <w:bCs/>
                <w:sz w:val="20"/>
                <w:szCs w:val="20"/>
              </w:rPr>
              <w:t>Seaway</w:t>
            </w:r>
          </w:p>
        </w:tc>
        <w:tc>
          <w:tcPr>
            <w:tcW w:w="1985" w:type="dxa"/>
            <w:shd w:val="clear" w:color="auto" w:fill="auto"/>
            <w:noWrap/>
            <w:vAlign w:val="center"/>
            <w:hideMark/>
          </w:tcPr>
          <w:p w14:paraId="6E260194" w14:textId="77777777" w:rsidR="00CE02B0" w:rsidRPr="000F6283" w:rsidRDefault="00CE02B0" w:rsidP="008278F8">
            <w:pPr>
              <w:ind w:right="596"/>
              <w:jc w:val="right"/>
              <w:rPr>
                <w:rFonts w:ascii="Arial" w:hAnsi="Arial" w:cs="Arial"/>
                <w:color w:val="000000"/>
                <w:sz w:val="20"/>
                <w:szCs w:val="20"/>
              </w:rPr>
            </w:pPr>
            <w:r w:rsidRPr="000F6283">
              <w:rPr>
                <w:rFonts w:ascii="Arial" w:hAnsi="Arial" w:cs="Arial"/>
                <w:sz w:val="20"/>
                <w:szCs w:val="20"/>
              </w:rPr>
              <w:t xml:space="preserve">         2</w:t>
            </w:r>
            <w:r>
              <w:rPr>
                <w:rFonts w:ascii="Arial" w:hAnsi="Arial" w:cs="Arial"/>
                <w:sz w:val="20"/>
                <w:szCs w:val="20"/>
                <w:lang w:val="en-US"/>
              </w:rPr>
              <w:t>.</w:t>
            </w:r>
            <w:r w:rsidRPr="000F6283">
              <w:rPr>
                <w:rFonts w:ascii="Arial" w:hAnsi="Arial" w:cs="Arial"/>
                <w:sz w:val="20"/>
                <w:szCs w:val="20"/>
              </w:rPr>
              <w:t xml:space="preserve">2 </w:t>
            </w:r>
          </w:p>
        </w:tc>
        <w:tc>
          <w:tcPr>
            <w:tcW w:w="2126" w:type="dxa"/>
            <w:shd w:val="clear" w:color="auto" w:fill="auto"/>
            <w:noWrap/>
            <w:vAlign w:val="center"/>
            <w:hideMark/>
          </w:tcPr>
          <w:p w14:paraId="43178FB0" w14:textId="77777777" w:rsidR="00CE02B0" w:rsidRPr="000F6283" w:rsidRDefault="00CE02B0" w:rsidP="008278F8">
            <w:pPr>
              <w:ind w:right="737"/>
              <w:jc w:val="right"/>
              <w:rPr>
                <w:rFonts w:ascii="Arial" w:hAnsi="Arial" w:cs="Arial"/>
                <w:color w:val="000000"/>
                <w:sz w:val="20"/>
                <w:szCs w:val="20"/>
              </w:rPr>
            </w:pPr>
            <w:r w:rsidRPr="000F6283">
              <w:rPr>
                <w:rFonts w:ascii="Arial" w:hAnsi="Arial" w:cs="Arial"/>
                <w:sz w:val="20"/>
                <w:szCs w:val="20"/>
              </w:rPr>
              <w:t xml:space="preserve">         0</w:t>
            </w:r>
            <w:r>
              <w:rPr>
                <w:rFonts w:ascii="Arial" w:hAnsi="Arial" w:cs="Arial"/>
                <w:sz w:val="20"/>
                <w:szCs w:val="20"/>
                <w:lang w:val="en-US"/>
              </w:rPr>
              <w:t>.09</w:t>
            </w:r>
            <w:r w:rsidRPr="000F6283">
              <w:rPr>
                <w:rFonts w:ascii="Arial" w:hAnsi="Arial" w:cs="Arial"/>
                <w:sz w:val="20"/>
                <w:szCs w:val="20"/>
              </w:rPr>
              <w:t xml:space="preserve"> </w:t>
            </w:r>
          </w:p>
        </w:tc>
        <w:tc>
          <w:tcPr>
            <w:tcW w:w="1559" w:type="dxa"/>
            <w:shd w:val="clear" w:color="auto" w:fill="auto"/>
            <w:noWrap/>
            <w:vAlign w:val="center"/>
            <w:hideMark/>
          </w:tcPr>
          <w:p w14:paraId="79F035C4" w14:textId="77777777" w:rsidR="00CE02B0" w:rsidRPr="00B949A2" w:rsidRDefault="00CE02B0" w:rsidP="008278F8">
            <w:pPr>
              <w:ind w:right="312"/>
              <w:jc w:val="right"/>
              <w:rPr>
                <w:rFonts w:ascii="Arial" w:hAnsi="Arial" w:cs="Arial"/>
                <w:color w:val="000000"/>
                <w:sz w:val="22"/>
                <w:szCs w:val="22"/>
              </w:rPr>
            </w:pPr>
            <w:r>
              <w:rPr>
                <w:rFonts w:ascii="Arial" w:hAnsi="Arial" w:cs="Arial"/>
                <w:color w:val="000000"/>
                <w:sz w:val="20"/>
                <w:szCs w:val="20"/>
              </w:rPr>
              <w:t xml:space="preserve">           16</w:t>
            </w:r>
            <w:r>
              <w:rPr>
                <w:rFonts w:ascii="Arial" w:hAnsi="Arial" w:cs="Arial"/>
                <w:color w:val="000000"/>
                <w:sz w:val="20"/>
                <w:szCs w:val="20"/>
                <w:lang w:val="en-US"/>
              </w:rPr>
              <w:t>.</w:t>
            </w:r>
            <w:r>
              <w:rPr>
                <w:rFonts w:ascii="Arial" w:hAnsi="Arial" w:cs="Arial"/>
                <w:color w:val="000000"/>
                <w:sz w:val="20"/>
                <w:szCs w:val="20"/>
              </w:rPr>
              <w:t xml:space="preserve">9 </w:t>
            </w:r>
          </w:p>
        </w:tc>
        <w:tc>
          <w:tcPr>
            <w:tcW w:w="1560" w:type="dxa"/>
            <w:shd w:val="clear" w:color="auto" w:fill="auto"/>
            <w:noWrap/>
            <w:vAlign w:val="center"/>
            <w:hideMark/>
          </w:tcPr>
          <w:p w14:paraId="0F4B9073" w14:textId="77777777" w:rsidR="00CE02B0" w:rsidRPr="00B949A2" w:rsidRDefault="00CE02B0" w:rsidP="008278F8">
            <w:pPr>
              <w:ind w:right="397"/>
              <w:jc w:val="right"/>
              <w:rPr>
                <w:rFonts w:ascii="Arial" w:hAnsi="Arial" w:cs="Arial"/>
                <w:color w:val="000000"/>
                <w:sz w:val="22"/>
                <w:szCs w:val="22"/>
              </w:rPr>
            </w:pPr>
            <w:r>
              <w:rPr>
                <w:rFonts w:ascii="Arial" w:hAnsi="Arial" w:cs="Arial"/>
                <w:color w:val="000000"/>
                <w:sz w:val="20"/>
                <w:szCs w:val="20"/>
              </w:rPr>
              <w:t xml:space="preserve">       18</w:t>
            </w:r>
            <w:r>
              <w:rPr>
                <w:rFonts w:ascii="Arial" w:hAnsi="Arial" w:cs="Arial"/>
                <w:color w:val="000000"/>
                <w:sz w:val="20"/>
                <w:szCs w:val="20"/>
                <w:lang w:val="en-US"/>
              </w:rPr>
              <w:t>.</w:t>
            </w:r>
            <w:r>
              <w:rPr>
                <w:rFonts w:ascii="Arial" w:hAnsi="Arial" w:cs="Arial"/>
                <w:color w:val="000000"/>
                <w:sz w:val="20"/>
                <w:szCs w:val="20"/>
              </w:rPr>
              <w:t xml:space="preserve">0 </w:t>
            </w:r>
          </w:p>
        </w:tc>
      </w:tr>
      <w:tr w:rsidR="00CE02B0" w:rsidRPr="00F1379D" w14:paraId="4FC30DA0" w14:textId="77777777" w:rsidTr="008278F8">
        <w:trPr>
          <w:trHeight w:val="353"/>
          <w:jc w:val="center"/>
        </w:trPr>
        <w:tc>
          <w:tcPr>
            <w:tcW w:w="1696" w:type="dxa"/>
            <w:shd w:val="clear" w:color="auto" w:fill="auto"/>
            <w:noWrap/>
            <w:vAlign w:val="center"/>
            <w:hideMark/>
          </w:tcPr>
          <w:p w14:paraId="22A9EB90" w14:textId="77777777" w:rsidR="00CE02B0" w:rsidRPr="00894C78" w:rsidRDefault="00CE02B0" w:rsidP="008278F8">
            <w:pPr>
              <w:ind w:right="-5"/>
              <w:rPr>
                <w:rFonts w:ascii="Arial" w:hAnsi="Arial" w:cs="Arial"/>
                <w:bCs/>
                <w:sz w:val="20"/>
                <w:szCs w:val="20"/>
              </w:rPr>
            </w:pPr>
            <w:r>
              <w:rPr>
                <w:rFonts w:ascii="Arial" w:hAnsi="Arial" w:cs="Arial"/>
                <w:bCs/>
                <w:sz w:val="20"/>
                <w:szCs w:val="20"/>
              </w:rPr>
              <w:t>Inland w</w:t>
            </w:r>
            <w:r w:rsidRPr="00894C78">
              <w:rPr>
                <w:rFonts w:ascii="Arial" w:hAnsi="Arial" w:cs="Arial"/>
                <w:bCs/>
                <w:sz w:val="20"/>
                <w:szCs w:val="20"/>
              </w:rPr>
              <w:t>aterway</w:t>
            </w:r>
          </w:p>
        </w:tc>
        <w:tc>
          <w:tcPr>
            <w:tcW w:w="1985" w:type="dxa"/>
            <w:shd w:val="clear" w:color="auto" w:fill="auto"/>
            <w:noWrap/>
            <w:vAlign w:val="center"/>
            <w:hideMark/>
          </w:tcPr>
          <w:p w14:paraId="6BBEB639" w14:textId="77777777" w:rsidR="00CE02B0" w:rsidRPr="000F6283" w:rsidRDefault="00CE02B0" w:rsidP="008278F8">
            <w:pPr>
              <w:ind w:right="596"/>
              <w:jc w:val="right"/>
              <w:rPr>
                <w:rFonts w:ascii="Arial" w:hAnsi="Arial" w:cs="Arial"/>
                <w:color w:val="000000"/>
                <w:sz w:val="20"/>
                <w:szCs w:val="20"/>
              </w:rPr>
            </w:pPr>
            <w:r w:rsidRPr="000F6283">
              <w:rPr>
                <w:rFonts w:ascii="Arial" w:hAnsi="Arial" w:cs="Arial"/>
                <w:sz w:val="20"/>
                <w:szCs w:val="20"/>
              </w:rPr>
              <w:t xml:space="preserve">       31</w:t>
            </w:r>
            <w:r>
              <w:rPr>
                <w:rFonts w:ascii="Arial" w:hAnsi="Arial" w:cs="Arial"/>
                <w:sz w:val="20"/>
                <w:szCs w:val="20"/>
                <w:lang w:val="en-US"/>
              </w:rPr>
              <w:t>.</w:t>
            </w:r>
            <w:r w:rsidRPr="000F6283">
              <w:rPr>
                <w:rFonts w:ascii="Arial" w:hAnsi="Arial" w:cs="Arial"/>
                <w:sz w:val="20"/>
                <w:szCs w:val="20"/>
              </w:rPr>
              <w:t xml:space="preserve">3 </w:t>
            </w:r>
          </w:p>
        </w:tc>
        <w:tc>
          <w:tcPr>
            <w:tcW w:w="2126" w:type="dxa"/>
            <w:shd w:val="clear" w:color="auto" w:fill="auto"/>
            <w:noWrap/>
            <w:vAlign w:val="center"/>
            <w:hideMark/>
          </w:tcPr>
          <w:p w14:paraId="0E618A6B" w14:textId="77777777" w:rsidR="00CE02B0" w:rsidRPr="000F6283" w:rsidRDefault="00CE02B0" w:rsidP="008278F8">
            <w:pPr>
              <w:ind w:right="737"/>
              <w:jc w:val="right"/>
              <w:rPr>
                <w:rFonts w:ascii="Arial" w:hAnsi="Arial" w:cs="Arial"/>
                <w:color w:val="000000"/>
                <w:sz w:val="20"/>
                <w:szCs w:val="20"/>
              </w:rPr>
            </w:pPr>
            <w:r w:rsidRPr="000F6283">
              <w:rPr>
                <w:rFonts w:ascii="Arial" w:hAnsi="Arial" w:cs="Arial"/>
                <w:sz w:val="20"/>
                <w:szCs w:val="20"/>
              </w:rPr>
              <w:t xml:space="preserve">         0</w:t>
            </w:r>
            <w:r>
              <w:rPr>
                <w:rFonts w:ascii="Arial" w:hAnsi="Arial" w:cs="Arial"/>
                <w:sz w:val="20"/>
                <w:szCs w:val="20"/>
                <w:lang w:val="en-US"/>
              </w:rPr>
              <w:t>.</w:t>
            </w:r>
            <w:r w:rsidRPr="000F6283">
              <w:rPr>
                <w:rFonts w:ascii="Arial" w:hAnsi="Arial" w:cs="Arial"/>
                <w:sz w:val="20"/>
                <w:szCs w:val="20"/>
              </w:rPr>
              <w:t xml:space="preserve">4 </w:t>
            </w:r>
          </w:p>
        </w:tc>
        <w:tc>
          <w:tcPr>
            <w:tcW w:w="1559" w:type="dxa"/>
            <w:shd w:val="clear" w:color="auto" w:fill="auto"/>
            <w:noWrap/>
            <w:vAlign w:val="center"/>
            <w:hideMark/>
          </w:tcPr>
          <w:p w14:paraId="4F07D8F4" w14:textId="77777777" w:rsidR="00CE02B0" w:rsidRPr="00B949A2" w:rsidRDefault="00CE02B0" w:rsidP="008278F8">
            <w:pPr>
              <w:ind w:right="312"/>
              <w:jc w:val="right"/>
              <w:rPr>
                <w:rFonts w:ascii="Arial" w:hAnsi="Arial" w:cs="Arial"/>
                <w:color w:val="000000"/>
                <w:sz w:val="22"/>
                <w:szCs w:val="22"/>
              </w:rPr>
            </w:pPr>
            <w:r>
              <w:rPr>
                <w:rFonts w:ascii="Arial" w:hAnsi="Arial" w:cs="Arial"/>
                <w:color w:val="000000"/>
                <w:sz w:val="20"/>
                <w:szCs w:val="20"/>
              </w:rPr>
              <w:t xml:space="preserve">             7</w:t>
            </w:r>
            <w:r>
              <w:rPr>
                <w:rFonts w:ascii="Arial" w:hAnsi="Arial" w:cs="Arial"/>
                <w:color w:val="000000"/>
                <w:sz w:val="20"/>
                <w:szCs w:val="20"/>
                <w:lang w:val="en-US"/>
              </w:rPr>
              <w:t>.</w:t>
            </w:r>
            <w:r>
              <w:rPr>
                <w:rFonts w:ascii="Arial" w:hAnsi="Arial" w:cs="Arial"/>
                <w:color w:val="000000"/>
                <w:sz w:val="20"/>
                <w:szCs w:val="20"/>
              </w:rPr>
              <w:t xml:space="preserve">2 </w:t>
            </w:r>
          </w:p>
        </w:tc>
        <w:tc>
          <w:tcPr>
            <w:tcW w:w="1560" w:type="dxa"/>
            <w:shd w:val="clear" w:color="auto" w:fill="auto"/>
            <w:noWrap/>
            <w:vAlign w:val="center"/>
            <w:hideMark/>
          </w:tcPr>
          <w:p w14:paraId="7B1AD750" w14:textId="77777777" w:rsidR="00CE02B0" w:rsidRPr="00B949A2" w:rsidRDefault="00CE02B0" w:rsidP="008278F8">
            <w:pPr>
              <w:ind w:right="397"/>
              <w:jc w:val="right"/>
              <w:rPr>
                <w:rFonts w:ascii="Arial" w:hAnsi="Arial" w:cs="Arial"/>
                <w:color w:val="000000"/>
                <w:sz w:val="22"/>
                <w:szCs w:val="22"/>
              </w:rPr>
            </w:pPr>
            <w:r>
              <w:rPr>
                <w:rFonts w:ascii="Arial" w:hAnsi="Arial" w:cs="Arial"/>
                <w:color w:val="000000"/>
                <w:sz w:val="20"/>
                <w:szCs w:val="20"/>
              </w:rPr>
              <w:t xml:space="preserve">        </w:t>
            </w:r>
            <w:r>
              <w:rPr>
                <w:rFonts w:ascii="Arial" w:hAnsi="Arial" w:cs="Arial"/>
                <w:color w:val="000000"/>
                <w:sz w:val="20"/>
                <w:szCs w:val="20"/>
                <w:lang w:val="en-US"/>
              </w:rPr>
              <w:t>-</w:t>
            </w:r>
            <w:r>
              <w:rPr>
                <w:rFonts w:ascii="Arial" w:hAnsi="Arial" w:cs="Arial"/>
                <w:color w:val="000000"/>
                <w:sz w:val="20"/>
                <w:szCs w:val="20"/>
              </w:rPr>
              <w:t>8</w:t>
            </w:r>
            <w:r>
              <w:rPr>
                <w:rFonts w:ascii="Arial" w:hAnsi="Arial" w:cs="Arial"/>
                <w:color w:val="000000"/>
                <w:sz w:val="20"/>
                <w:szCs w:val="20"/>
                <w:lang w:val="en-US"/>
              </w:rPr>
              <w:t>.</w:t>
            </w:r>
            <w:r>
              <w:rPr>
                <w:rFonts w:ascii="Arial" w:hAnsi="Arial" w:cs="Arial"/>
                <w:color w:val="000000"/>
                <w:sz w:val="20"/>
                <w:szCs w:val="20"/>
              </w:rPr>
              <w:t>1</w:t>
            </w:r>
          </w:p>
        </w:tc>
      </w:tr>
      <w:tr w:rsidR="00CE02B0" w:rsidRPr="00F1379D" w14:paraId="47CF53DC" w14:textId="77777777" w:rsidTr="008278F8">
        <w:trPr>
          <w:trHeight w:val="353"/>
          <w:jc w:val="center"/>
        </w:trPr>
        <w:tc>
          <w:tcPr>
            <w:tcW w:w="1696" w:type="dxa"/>
            <w:shd w:val="clear" w:color="auto" w:fill="auto"/>
            <w:noWrap/>
            <w:vAlign w:val="center"/>
            <w:hideMark/>
          </w:tcPr>
          <w:p w14:paraId="08EE8CD1" w14:textId="77777777" w:rsidR="00CE02B0" w:rsidRPr="00894C78" w:rsidRDefault="00CE02B0" w:rsidP="008278F8">
            <w:pPr>
              <w:ind w:right="289"/>
              <w:rPr>
                <w:rFonts w:ascii="Arial" w:hAnsi="Arial" w:cs="Arial"/>
                <w:bCs/>
                <w:sz w:val="20"/>
                <w:szCs w:val="20"/>
              </w:rPr>
            </w:pPr>
            <w:r w:rsidRPr="00894C78">
              <w:rPr>
                <w:rFonts w:ascii="Arial" w:hAnsi="Arial" w:cs="Arial"/>
                <w:bCs/>
                <w:sz w:val="20"/>
                <w:szCs w:val="20"/>
              </w:rPr>
              <w:t>Road</w:t>
            </w:r>
          </w:p>
        </w:tc>
        <w:tc>
          <w:tcPr>
            <w:tcW w:w="1985" w:type="dxa"/>
            <w:shd w:val="clear" w:color="auto" w:fill="auto"/>
            <w:noWrap/>
            <w:vAlign w:val="center"/>
            <w:hideMark/>
          </w:tcPr>
          <w:p w14:paraId="429CF1A9" w14:textId="77777777" w:rsidR="00CE02B0" w:rsidRPr="000F6283" w:rsidRDefault="00CE02B0" w:rsidP="008278F8">
            <w:pPr>
              <w:ind w:right="596"/>
              <w:jc w:val="right"/>
              <w:rPr>
                <w:rFonts w:ascii="Arial" w:hAnsi="Arial" w:cs="Arial"/>
                <w:color w:val="000000"/>
                <w:sz w:val="20"/>
                <w:szCs w:val="20"/>
              </w:rPr>
            </w:pPr>
            <w:r w:rsidRPr="000F6283">
              <w:rPr>
                <w:rFonts w:ascii="Arial" w:hAnsi="Arial" w:cs="Arial"/>
                <w:sz w:val="20"/>
                <w:szCs w:val="20"/>
              </w:rPr>
              <w:t xml:space="preserve">     353</w:t>
            </w:r>
            <w:r>
              <w:rPr>
                <w:rFonts w:ascii="Arial" w:hAnsi="Arial" w:cs="Arial"/>
                <w:sz w:val="20"/>
                <w:szCs w:val="20"/>
                <w:lang w:val="en-US"/>
              </w:rPr>
              <w:t>.</w:t>
            </w:r>
            <w:r w:rsidRPr="000F6283">
              <w:rPr>
                <w:rFonts w:ascii="Arial" w:hAnsi="Arial" w:cs="Arial"/>
                <w:sz w:val="20"/>
                <w:szCs w:val="20"/>
              </w:rPr>
              <w:t xml:space="preserve">7 </w:t>
            </w:r>
          </w:p>
        </w:tc>
        <w:tc>
          <w:tcPr>
            <w:tcW w:w="2126" w:type="dxa"/>
            <w:shd w:val="clear" w:color="auto" w:fill="auto"/>
            <w:noWrap/>
            <w:vAlign w:val="center"/>
            <w:hideMark/>
          </w:tcPr>
          <w:p w14:paraId="19EFC207" w14:textId="77777777" w:rsidR="00CE02B0" w:rsidRPr="000F6283" w:rsidRDefault="00CE02B0" w:rsidP="008278F8">
            <w:pPr>
              <w:ind w:right="737"/>
              <w:jc w:val="right"/>
              <w:rPr>
                <w:rFonts w:ascii="Arial" w:hAnsi="Arial" w:cs="Arial"/>
                <w:color w:val="000000"/>
                <w:sz w:val="20"/>
                <w:szCs w:val="20"/>
              </w:rPr>
            </w:pPr>
            <w:r w:rsidRPr="000F6283">
              <w:rPr>
                <w:rFonts w:ascii="Arial" w:hAnsi="Arial" w:cs="Arial"/>
                <w:sz w:val="20"/>
                <w:szCs w:val="20"/>
              </w:rPr>
              <w:t xml:space="preserve">       14</w:t>
            </w:r>
            <w:r>
              <w:rPr>
                <w:rFonts w:ascii="Arial" w:hAnsi="Arial" w:cs="Arial"/>
                <w:sz w:val="20"/>
                <w:szCs w:val="20"/>
                <w:lang w:val="en-US"/>
              </w:rPr>
              <w:t>.</w:t>
            </w:r>
            <w:r w:rsidRPr="000F6283">
              <w:rPr>
                <w:rFonts w:ascii="Arial" w:hAnsi="Arial" w:cs="Arial"/>
                <w:sz w:val="20"/>
                <w:szCs w:val="20"/>
              </w:rPr>
              <w:t xml:space="preserve">4 </w:t>
            </w:r>
          </w:p>
        </w:tc>
        <w:tc>
          <w:tcPr>
            <w:tcW w:w="1559" w:type="dxa"/>
            <w:shd w:val="clear" w:color="auto" w:fill="auto"/>
            <w:noWrap/>
            <w:vAlign w:val="center"/>
            <w:hideMark/>
          </w:tcPr>
          <w:p w14:paraId="1DF35405" w14:textId="77777777" w:rsidR="00CE02B0" w:rsidRPr="00B949A2" w:rsidRDefault="00CE02B0" w:rsidP="008278F8">
            <w:pPr>
              <w:ind w:right="312"/>
              <w:jc w:val="right"/>
              <w:rPr>
                <w:rFonts w:ascii="Arial" w:hAnsi="Arial" w:cs="Arial"/>
                <w:color w:val="000000"/>
                <w:sz w:val="22"/>
                <w:szCs w:val="22"/>
              </w:rPr>
            </w:pPr>
            <w:r>
              <w:rPr>
                <w:rFonts w:ascii="Arial" w:hAnsi="Arial" w:cs="Arial"/>
                <w:color w:val="000000"/>
                <w:sz w:val="20"/>
                <w:szCs w:val="20"/>
              </w:rPr>
              <w:t xml:space="preserve">             5</w:t>
            </w:r>
            <w:r>
              <w:rPr>
                <w:rFonts w:ascii="Arial" w:hAnsi="Arial" w:cs="Arial"/>
                <w:color w:val="000000"/>
                <w:sz w:val="20"/>
                <w:szCs w:val="20"/>
                <w:lang w:val="en-US"/>
              </w:rPr>
              <w:t>.</w:t>
            </w:r>
            <w:r>
              <w:rPr>
                <w:rFonts w:ascii="Arial" w:hAnsi="Arial" w:cs="Arial"/>
                <w:color w:val="000000"/>
                <w:sz w:val="20"/>
                <w:szCs w:val="20"/>
              </w:rPr>
              <w:t xml:space="preserve">4 </w:t>
            </w:r>
          </w:p>
        </w:tc>
        <w:tc>
          <w:tcPr>
            <w:tcW w:w="1560" w:type="dxa"/>
            <w:shd w:val="clear" w:color="auto" w:fill="auto"/>
            <w:noWrap/>
            <w:vAlign w:val="center"/>
            <w:hideMark/>
          </w:tcPr>
          <w:p w14:paraId="1AEB169D" w14:textId="77777777" w:rsidR="00CE02B0" w:rsidRPr="00B949A2" w:rsidRDefault="00CE02B0" w:rsidP="008278F8">
            <w:pPr>
              <w:ind w:right="397"/>
              <w:jc w:val="right"/>
              <w:rPr>
                <w:rFonts w:ascii="Arial" w:hAnsi="Arial" w:cs="Arial"/>
                <w:color w:val="000000"/>
                <w:sz w:val="22"/>
                <w:szCs w:val="22"/>
              </w:rPr>
            </w:pPr>
            <w:r>
              <w:rPr>
                <w:rFonts w:ascii="Arial" w:hAnsi="Arial" w:cs="Arial"/>
                <w:color w:val="000000"/>
                <w:sz w:val="20"/>
                <w:szCs w:val="20"/>
              </w:rPr>
              <w:t xml:space="preserve">         9</w:t>
            </w:r>
            <w:r>
              <w:rPr>
                <w:rFonts w:ascii="Arial" w:hAnsi="Arial" w:cs="Arial"/>
                <w:color w:val="000000"/>
                <w:sz w:val="20"/>
                <w:szCs w:val="20"/>
                <w:lang w:val="en-US"/>
              </w:rPr>
              <w:t>.</w:t>
            </w:r>
            <w:r>
              <w:rPr>
                <w:rFonts w:ascii="Arial" w:hAnsi="Arial" w:cs="Arial"/>
                <w:color w:val="000000"/>
                <w:sz w:val="20"/>
                <w:szCs w:val="20"/>
              </w:rPr>
              <w:t xml:space="preserve">0 </w:t>
            </w:r>
          </w:p>
        </w:tc>
      </w:tr>
      <w:tr w:rsidR="00CE02B0" w:rsidRPr="00F1379D" w14:paraId="503795D2" w14:textId="77777777" w:rsidTr="008278F8">
        <w:trPr>
          <w:trHeight w:val="353"/>
          <w:jc w:val="center"/>
        </w:trPr>
        <w:tc>
          <w:tcPr>
            <w:tcW w:w="1696" w:type="dxa"/>
            <w:tcBorders>
              <w:bottom w:val="single" w:sz="4" w:space="0" w:color="auto"/>
            </w:tcBorders>
            <w:shd w:val="clear" w:color="auto" w:fill="auto"/>
            <w:noWrap/>
            <w:vAlign w:val="center"/>
            <w:hideMark/>
          </w:tcPr>
          <w:p w14:paraId="77D0FC0E" w14:textId="77777777" w:rsidR="00CE02B0" w:rsidRPr="00894C78" w:rsidRDefault="00CE02B0" w:rsidP="008278F8">
            <w:pPr>
              <w:ind w:right="289"/>
              <w:rPr>
                <w:rFonts w:ascii="Arial" w:hAnsi="Arial" w:cs="Arial"/>
                <w:bCs/>
                <w:sz w:val="20"/>
                <w:szCs w:val="20"/>
              </w:rPr>
            </w:pPr>
            <w:r w:rsidRPr="00894C78">
              <w:rPr>
                <w:rFonts w:ascii="Arial" w:hAnsi="Arial" w:cs="Arial"/>
                <w:bCs/>
                <w:sz w:val="20"/>
                <w:szCs w:val="20"/>
              </w:rPr>
              <w:t>Airway</w:t>
            </w:r>
          </w:p>
        </w:tc>
        <w:tc>
          <w:tcPr>
            <w:tcW w:w="1985" w:type="dxa"/>
            <w:tcBorders>
              <w:bottom w:val="single" w:sz="4" w:space="0" w:color="auto"/>
            </w:tcBorders>
            <w:shd w:val="clear" w:color="auto" w:fill="auto"/>
            <w:noWrap/>
            <w:vAlign w:val="center"/>
            <w:hideMark/>
          </w:tcPr>
          <w:p w14:paraId="27629CD3" w14:textId="77777777" w:rsidR="00CE02B0" w:rsidRPr="000F6283" w:rsidRDefault="00CE02B0" w:rsidP="008278F8">
            <w:pPr>
              <w:ind w:right="596"/>
              <w:jc w:val="right"/>
              <w:rPr>
                <w:rFonts w:ascii="Arial" w:hAnsi="Arial" w:cs="Arial"/>
                <w:color w:val="000000"/>
                <w:sz w:val="20"/>
                <w:szCs w:val="20"/>
              </w:rPr>
            </w:pPr>
            <w:r w:rsidRPr="000F6283">
              <w:rPr>
                <w:rFonts w:ascii="Arial" w:hAnsi="Arial" w:cs="Arial"/>
                <w:sz w:val="20"/>
                <w:szCs w:val="20"/>
              </w:rPr>
              <w:t xml:space="preserve">         5</w:t>
            </w:r>
            <w:r>
              <w:rPr>
                <w:rFonts w:ascii="Arial" w:hAnsi="Arial" w:cs="Arial"/>
                <w:sz w:val="20"/>
                <w:szCs w:val="20"/>
                <w:lang w:val="en-US"/>
              </w:rPr>
              <w:t>.</w:t>
            </w:r>
            <w:r w:rsidRPr="000F6283">
              <w:rPr>
                <w:rFonts w:ascii="Arial" w:hAnsi="Arial" w:cs="Arial"/>
                <w:sz w:val="20"/>
                <w:szCs w:val="20"/>
              </w:rPr>
              <w:t xml:space="preserve">1 </w:t>
            </w:r>
          </w:p>
        </w:tc>
        <w:tc>
          <w:tcPr>
            <w:tcW w:w="2126" w:type="dxa"/>
            <w:tcBorders>
              <w:bottom w:val="single" w:sz="4" w:space="0" w:color="auto"/>
            </w:tcBorders>
            <w:shd w:val="clear" w:color="auto" w:fill="auto"/>
            <w:noWrap/>
            <w:vAlign w:val="center"/>
            <w:hideMark/>
          </w:tcPr>
          <w:p w14:paraId="0D270852" w14:textId="77777777" w:rsidR="00CE02B0" w:rsidRPr="000F6283" w:rsidRDefault="00CE02B0" w:rsidP="008278F8">
            <w:pPr>
              <w:ind w:right="737"/>
              <w:jc w:val="right"/>
              <w:rPr>
                <w:rFonts w:ascii="Arial" w:hAnsi="Arial" w:cs="Arial"/>
                <w:color w:val="000000"/>
                <w:sz w:val="20"/>
                <w:szCs w:val="20"/>
              </w:rPr>
            </w:pPr>
            <w:r w:rsidRPr="000F6283">
              <w:rPr>
                <w:rFonts w:ascii="Arial" w:hAnsi="Arial" w:cs="Arial"/>
                <w:sz w:val="20"/>
                <w:szCs w:val="20"/>
              </w:rPr>
              <w:t xml:space="preserve">         7</w:t>
            </w:r>
            <w:r>
              <w:rPr>
                <w:rFonts w:ascii="Arial" w:hAnsi="Arial" w:cs="Arial"/>
                <w:sz w:val="20"/>
                <w:szCs w:val="20"/>
                <w:lang w:val="en-US"/>
              </w:rPr>
              <w:t>.</w:t>
            </w:r>
            <w:r>
              <w:rPr>
                <w:rFonts w:ascii="Arial" w:hAnsi="Arial" w:cs="Arial"/>
                <w:sz w:val="20"/>
                <w:szCs w:val="20"/>
              </w:rPr>
              <w:t>7</w:t>
            </w:r>
          </w:p>
        </w:tc>
        <w:tc>
          <w:tcPr>
            <w:tcW w:w="1559" w:type="dxa"/>
            <w:tcBorders>
              <w:bottom w:val="single" w:sz="4" w:space="0" w:color="auto"/>
            </w:tcBorders>
            <w:shd w:val="clear" w:color="auto" w:fill="auto"/>
            <w:noWrap/>
            <w:vAlign w:val="center"/>
            <w:hideMark/>
          </w:tcPr>
          <w:p w14:paraId="2D76F813" w14:textId="77777777" w:rsidR="00CE02B0" w:rsidRPr="00B949A2" w:rsidRDefault="00CE02B0" w:rsidP="008278F8">
            <w:pPr>
              <w:ind w:right="312"/>
              <w:jc w:val="right"/>
              <w:rPr>
                <w:rFonts w:ascii="Arial" w:hAnsi="Arial" w:cs="Arial"/>
                <w:color w:val="000000"/>
                <w:sz w:val="22"/>
                <w:szCs w:val="22"/>
              </w:rPr>
            </w:pPr>
            <w:r>
              <w:rPr>
                <w:rFonts w:ascii="Arial" w:hAnsi="Arial" w:cs="Arial"/>
                <w:color w:val="000000"/>
                <w:sz w:val="20"/>
                <w:szCs w:val="20"/>
              </w:rPr>
              <w:t xml:space="preserve">             1</w:t>
            </w:r>
            <w:r>
              <w:rPr>
                <w:rFonts w:ascii="Arial" w:hAnsi="Arial" w:cs="Arial"/>
                <w:color w:val="000000"/>
                <w:sz w:val="20"/>
                <w:szCs w:val="20"/>
                <w:lang w:val="en-US"/>
              </w:rPr>
              <w:t>.</w:t>
            </w:r>
            <w:r>
              <w:rPr>
                <w:rFonts w:ascii="Arial" w:hAnsi="Arial" w:cs="Arial"/>
                <w:color w:val="000000"/>
                <w:sz w:val="20"/>
                <w:szCs w:val="20"/>
              </w:rPr>
              <w:t xml:space="preserve">4 </w:t>
            </w:r>
          </w:p>
        </w:tc>
        <w:tc>
          <w:tcPr>
            <w:tcW w:w="1560" w:type="dxa"/>
            <w:tcBorders>
              <w:bottom w:val="single" w:sz="4" w:space="0" w:color="auto"/>
            </w:tcBorders>
            <w:shd w:val="clear" w:color="auto" w:fill="auto"/>
            <w:noWrap/>
            <w:vAlign w:val="center"/>
            <w:hideMark/>
          </w:tcPr>
          <w:p w14:paraId="4817B2EA" w14:textId="77777777" w:rsidR="00CE02B0" w:rsidRPr="00B949A2" w:rsidRDefault="00CE02B0" w:rsidP="008278F8">
            <w:pPr>
              <w:ind w:right="397"/>
              <w:jc w:val="right"/>
              <w:rPr>
                <w:rFonts w:ascii="Arial" w:hAnsi="Arial" w:cs="Arial"/>
                <w:color w:val="000000"/>
                <w:sz w:val="22"/>
                <w:szCs w:val="22"/>
              </w:rPr>
            </w:pPr>
            <w:r>
              <w:rPr>
                <w:rFonts w:ascii="Arial" w:hAnsi="Arial" w:cs="Arial"/>
                <w:color w:val="000000"/>
                <w:sz w:val="20"/>
                <w:szCs w:val="20"/>
              </w:rPr>
              <w:t xml:space="preserve">         8</w:t>
            </w:r>
            <w:r>
              <w:rPr>
                <w:rFonts w:ascii="Arial" w:hAnsi="Arial" w:cs="Arial"/>
                <w:color w:val="000000"/>
                <w:sz w:val="20"/>
                <w:szCs w:val="20"/>
                <w:lang w:val="en-US"/>
              </w:rPr>
              <w:t>.</w:t>
            </w:r>
            <w:r>
              <w:rPr>
                <w:rFonts w:ascii="Arial" w:hAnsi="Arial" w:cs="Arial"/>
                <w:color w:val="000000"/>
                <w:sz w:val="20"/>
                <w:szCs w:val="20"/>
              </w:rPr>
              <w:t xml:space="preserve">0 </w:t>
            </w:r>
          </w:p>
        </w:tc>
      </w:tr>
    </w:tbl>
    <w:p w14:paraId="7F7B78D2" w14:textId="77777777" w:rsidR="00CE02B0" w:rsidRDefault="00CE02B0" w:rsidP="00CE02B0">
      <w:pPr>
        <w:spacing w:before="120" w:after="120" w:line="276" w:lineRule="auto"/>
        <w:ind w:firstLine="720"/>
        <w:jc w:val="both"/>
        <w:rPr>
          <w:bCs/>
          <w:iCs/>
          <w:spacing w:val="4"/>
        </w:rPr>
      </w:pPr>
      <w:r w:rsidRPr="001471CC">
        <w:rPr>
          <w:bCs/>
          <w:i/>
          <w:spacing w:val="-4"/>
          <w:lang w:val="fr-FR"/>
        </w:rPr>
        <w:t>Freight carried</w:t>
      </w:r>
      <w:r w:rsidRPr="00CF7B18">
        <w:rPr>
          <w:bCs/>
          <w:iCs/>
          <w:spacing w:val="-4"/>
          <w:lang w:val="fr-FR"/>
        </w:rPr>
        <w:t xml:space="preserve"> </w:t>
      </w:r>
      <w:r w:rsidRPr="00E34057">
        <w:rPr>
          <w:spacing w:val="-2"/>
          <w:lang w:val="fr-FR"/>
        </w:rPr>
        <w:t xml:space="preserve">in </w:t>
      </w:r>
      <w:r>
        <w:rPr>
          <w:lang w:val="pt-BR"/>
        </w:rPr>
        <w:t>January 2024</w:t>
      </w:r>
      <w:r w:rsidRPr="00E34057">
        <w:rPr>
          <w:spacing w:val="-2"/>
          <w:lang w:val="fr-FR"/>
        </w:rPr>
        <w:t xml:space="preserve"> </w:t>
      </w:r>
      <w:r w:rsidRPr="00CF7B18">
        <w:rPr>
          <w:bCs/>
          <w:iCs/>
          <w:spacing w:val="-4"/>
          <w:lang w:val="fr-FR"/>
        </w:rPr>
        <w:t xml:space="preserve">was estimated at </w:t>
      </w:r>
      <w:r w:rsidRPr="00AC04B0">
        <w:rPr>
          <w:bCs/>
          <w:iCs/>
          <w:spacing w:val="-4"/>
          <w:lang w:val="fr-FR"/>
        </w:rPr>
        <w:t>205</w:t>
      </w:r>
      <w:r>
        <w:rPr>
          <w:bCs/>
          <w:iCs/>
          <w:spacing w:val="-4"/>
          <w:lang w:val="fr-FR"/>
        </w:rPr>
        <w:t xml:space="preserve"> </w:t>
      </w:r>
      <w:r w:rsidRPr="00CF7B18">
        <w:rPr>
          <w:bCs/>
          <w:iCs/>
          <w:spacing w:val="-4"/>
          <w:lang w:val="fr-FR"/>
        </w:rPr>
        <w:t>million tons</w:t>
      </w:r>
      <w:r>
        <w:rPr>
          <w:bCs/>
          <w:iCs/>
          <w:spacing w:val="-4"/>
          <w:lang w:val="fr-FR"/>
        </w:rPr>
        <w:t>,</w:t>
      </w:r>
      <w:r w:rsidRPr="00CF7B18">
        <w:rPr>
          <w:bCs/>
          <w:iCs/>
          <w:spacing w:val="-4"/>
          <w:lang w:val="fr-FR"/>
        </w:rPr>
        <w:t xml:space="preserve"> increased by </w:t>
      </w:r>
      <w:r w:rsidRPr="00AC04B0">
        <w:rPr>
          <w:bCs/>
          <w:iCs/>
          <w:spacing w:val="-4"/>
          <w:lang w:val="fr-FR"/>
        </w:rPr>
        <w:t>1</w:t>
      </w:r>
      <w:r>
        <w:rPr>
          <w:bCs/>
          <w:iCs/>
          <w:spacing w:val="-4"/>
          <w:lang w:val="fr-FR"/>
        </w:rPr>
        <w:t>.</w:t>
      </w:r>
      <w:r w:rsidRPr="00AC04B0">
        <w:rPr>
          <w:bCs/>
          <w:iCs/>
          <w:spacing w:val="-4"/>
          <w:lang w:val="fr-FR"/>
        </w:rPr>
        <w:t>8</w:t>
      </w:r>
      <w:r w:rsidRPr="00CF7B18">
        <w:rPr>
          <w:bCs/>
          <w:iCs/>
          <w:spacing w:val="-4"/>
          <w:lang w:val="fr-FR"/>
        </w:rPr>
        <w:t>% compared to the previous month</w:t>
      </w:r>
      <w:r>
        <w:rPr>
          <w:bCs/>
          <w:iCs/>
          <w:spacing w:val="-4"/>
          <w:lang w:val="fr-FR"/>
        </w:rPr>
        <w:t>,</w:t>
      </w:r>
      <w:r w:rsidRPr="00CF7B18">
        <w:rPr>
          <w:bCs/>
          <w:iCs/>
          <w:spacing w:val="-4"/>
          <w:lang w:val="fr-FR"/>
        </w:rPr>
        <w:t xml:space="preserve"> and </w:t>
      </w:r>
      <w:r>
        <w:rPr>
          <w:bCs/>
          <w:iCs/>
          <w:spacing w:val="-4"/>
          <w:lang w:val="fr-FR"/>
        </w:rPr>
        <w:t>up</w:t>
      </w:r>
      <w:r w:rsidRPr="00CF7B18">
        <w:rPr>
          <w:bCs/>
          <w:iCs/>
          <w:spacing w:val="-4"/>
          <w:lang w:val="fr-FR"/>
        </w:rPr>
        <w:t xml:space="preserve"> </w:t>
      </w:r>
      <w:r w:rsidRPr="00AC04B0">
        <w:rPr>
          <w:bCs/>
          <w:iCs/>
          <w:spacing w:val="-4"/>
          <w:lang w:val="fr-FR"/>
        </w:rPr>
        <w:t>11</w:t>
      </w:r>
      <w:r>
        <w:rPr>
          <w:bCs/>
          <w:iCs/>
          <w:spacing w:val="-4"/>
          <w:lang w:val="fr-FR"/>
        </w:rPr>
        <w:t>.</w:t>
      </w:r>
      <w:r w:rsidRPr="00AC04B0">
        <w:rPr>
          <w:bCs/>
          <w:iCs/>
          <w:spacing w:val="-4"/>
          <w:lang w:val="fr-FR"/>
        </w:rPr>
        <w:t>5</w:t>
      </w:r>
      <w:r w:rsidRPr="00CF7B18">
        <w:rPr>
          <w:bCs/>
          <w:iCs/>
          <w:spacing w:val="-4"/>
          <w:lang w:val="fr-FR"/>
        </w:rPr>
        <w:t>% against the similar period last year</w:t>
      </w:r>
      <w:r>
        <w:rPr>
          <w:bCs/>
          <w:iCs/>
          <w:spacing w:val="-4"/>
          <w:lang w:val="fr-FR"/>
        </w:rPr>
        <w:t xml:space="preserve">, </w:t>
      </w:r>
      <w:r w:rsidRPr="00CF7B18">
        <w:rPr>
          <w:bCs/>
          <w:iCs/>
          <w:spacing w:val="-4"/>
          <w:lang w:val="fr-FR"/>
        </w:rPr>
        <w:t xml:space="preserve">freight traffic gained </w:t>
      </w:r>
      <w:r>
        <w:rPr>
          <w:bCs/>
          <w:iCs/>
          <w:spacing w:val="4"/>
          <w:lang w:val="en-US"/>
        </w:rPr>
        <w:t>43</w:t>
      </w:r>
      <w:r w:rsidRPr="00CF7B18">
        <w:rPr>
          <w:bCs/>
          <w:iCs/>
          <w:spacing w:val="-4"/>
          <w:lang w:val="fr-FR"/>
        </w:rPr>
        <w:t xml:space="preserve"> billion tons-km</w:t>
      </w:r>
      <w:r>
        <w:rPr>
          <w:bCs/>
          <w:iCs/>
          <w:spacing w:val="-4"/>
          <w:lang w:val="fr-FR"/>
        </w:rPr>
        <w:t>,</w:t>
      </w:r>
      <w:r w:rsidRPr="00CF7B18">
        <w:rPr>
          <w:bCs/>
          <w:iCs/>
          <w:spacing w:val="-4"/>
          <w:lang w:val="fr-FR"/>
        </w:rPr>
        <w:t xml:space="preserve"> </w:t>
      </w:r>
      <w:r>
        <w:rPr>
          <w:bCs/>
          <w:iCs/>
          <w:spacing w:val="-4"/>
          <w:lang w:val="fr-FR"/>
        </w:rPr>
        <w:t>down by</w:t>
      </w:r>
      <w:r w:rsidRPr="00CF7B18">
        <w:rPr>
          <w:bCs/>
          <w:iCs/>
          <w:spacing w:val="-4"/>
          <w:lang w:val="fr-FR"/>
        </w:rPr>
        <w:t xml:space="preserve"> </w:t>
      </w:r>
      <w:r>
        <w:rPr>
          <w:bCs/>
          <w:iCs/>
          <w:spacing w:val="4"/>
          <w:lang w:val="en-US"/>
        </w:rPr>
        <w:t>0.2</w:t>
      </w:r>
      <w:r w:rsidRPr="00AC3D49">
        <w:rPr>
          <w:bCs/>
          <w:iCs/>
          <w:spacing w:val="4"/>
        </w:rPr>
        <w:t xml:space="preserve">% </w:t>
      </w:r>
      <w:r>
        <w:rPr>
          <w:bCs/>
          <w:iCs/>
          <w:spacing w:val="-4"/>
          <w:lang w:val="fr-FR"/>
        </w:rPr>
        <w:t xml:space="preserve">and </w:t>
      </w:r>
      <w:r w:rsidRPr="00CF7B18">
        <w:rPr>
          <w:bCs/>
          <w:iCs/>
          <w:spacing w:val="-4"/>
          <w:lang w:val="fr-FR"/>
        </w:rPr>
        <w:t>increased</w:t>
      </w:r>
      <w:r>
        <w:rPr>
          <w:bCs/>
          <w:iCs/>
          <w:spacing w:val="-4"/>
          <w:lang w:val="fr-FR"/>
        </w:rPr>
        <w:t xml:space="preserve"> by </w:t>
      </w:r>
      <w:r>
        <w:rPr>
          <w:spacing w:val="4"/>
          <w:lang w:val="en-US"/>
        </w:rPr>
        <w:t>13.8</w:t>
      </w:r>
      <w:r w:rsidRPr="00851384">
        <w:rPr>
          <w:spacing w:val="4"/>
        </w:rPr>
        <w:t>%</w:t>
      </w:r>
      <w:r w:rsidRPr="00CF7B18">
        <w:rPr>
          <w:bCs/>
          <w:iCs/>
          <w:spacing w:val="-4"/>
          <w:lang w:val="fr-FR"/>
        </w:rPr>
        <w:t>.</w:t>
      </w:r>
      <w:r>
        <w:rPr>
          <w:bCs/>
          <w:iCs/>
          <w:spacing w:val="-4"/>
          <w:lang w:val="fr-FR"/>
        </w:rPr>
        <w:t xml:space="preserve"> </w:t>
      </w:r>
      <w:r w:rsidRPr="007A574F">
        <w:rPr>
          <w:spacing w:val="-4"/>
          <w:lang w:val="fr-FR"/>
        </w:rPr>
        <w:t>Of which</w:t>
      </w:r>
      <w:r>
        <w:rPr>
          <w:spacing w:val="-4"/>
          <w:lang w:val="fr-FR"/>
        </w:rPr>
        <w:t>,</w:t>
      </w:r>
      <w:r w:rsidRPr="007A574F">
        <w:rPr>
          <w:spacing w:val="-4"/>
          <w:lang w:val="fr-FR"/>
        </w:rPr>
        <w:t xml:space="preserve"> domestic freight carried recorded </w:t>
      </w:r>
      <w:r w:rsidRPr="00EA7744">
        <w:rPr>
          <w:spacing w:val="-4"/>
          <w:lang w:val="fr-FR"/>
        </w:rPr>
        <w:t>201</w:t>
      </w:r>
      <w:r>
        <w:rPr>
          <w:spacing w:val="-4"/>
          <w:lang w:val="fr-FR"/>
        </w:rPr>
        <w:t>.</w:t>
      </w:r>
      <w:r w:rsidRPr="00EA7744">
        <w:rPr>
          <w:spacing w:val="-4"/>
          <w:lang w:val="fr-FR"/>
        </w:rPr>
        <w:t xml:space="preserve">3 </w:t>
      </w:r>
      <w:r w:rsidRPr="007A574F">
        <w:rPr>
          <w:spacing w:val="-4"/>
          <w:lang w:val="fr-FR"/>
        </w:rPr>
        <w:t>million tons</w:t>
      </w:r>
      <w:r>
        <w:rPr>
          <w:spacing w:val="-4"/>
          <w:lang w:val="fr-FR"/>
        </w:rPr>
        <w:t>,</w:t>
      </w:r>
      <w:r w:rsidRPr="007A574F">
        <w:rPr>
          <w:spacing w:val="-4"/>
          <w:lang w:val="fr-FR"/>
        </w:rPr>
        <w:t xml:space="preserve"> a</w:t>
      </w:r>
      <w:r>
        <w:rPr>
          <w:spacing w:val="-4"/>
          <w:lang w:val="fr-FR"/>
        </w:rPr>
        <w:t>n</w:t>
      </w:r>
      <w:r w:rsidRPr="007A574F">
        <w:rPr>
          <w:spacing w:val="-4"/>
          <w:lang w:val="fr-FR"/>
        </w:rPr>
        <w:t xml:space="preserve"> </w:t>
      </w:r>
      <w:r>
        <w:rPr>
          <w:spacing w:val="-4"/>
          <w:lang w:val="fr-FR"/>
        </w:rPr>
        <w:t>in</w:t>
      </w:r>
      <w:r w:rsidRPr="007A574F">
        <w:rPr>
          <w:spacing w:val="-4"/>
          <w:lang w:val="fr-FR"/>
        </w:rPr>
        <w:t xml:space="preserve">crease of </w:t>
      </w:r>
      <w:r w:rsidRPr="00EA7744">
        <w:rPr>
          <w:spacing w:val="-4"/>
          <w:lang w:val="fr-FR"/>
        </w:rPr>
        <w:t>11</w:t>
      </w:r>
      <w:r>
        <w:rPr>
          <w:spacing w:val="-4"/>
          <w:lang w:val="fr-FR"/>
        </w:rPr>
        <w:t>.</w:t>
      </w:r>
      <w:r w:rsidRPr="00EA7744">
        <w:rPr>
          <w:spacing w:val="-4"/>
          <w:lang w:val="fr-FR"/>
        </w:rPr>
        <w:t xml:space="preserve">8% </w:t>
      </w:r>
      <w:r w:rsidRPr="007A574F">
        <w:rPr>
          <w:spacing w:val="-4"/>
          <w:lang w:val="fr-FR"/>
        </w:rPr>
        <w:t xml:space="preserve">and </w:t>
      </w:r>
      <w:r w:rsidRPr="00EA7744">
        <w:rPr>
          <w:spacing w:val="-4"/>
          <w:lang w:val="fr-FR"/>
        </w:rPr>
        <w:t>27</w:t>
      </w:r>
      <w:r>
        <w:rPr>
          <w:spacing w:val="-4"/>
          <w:lang w:val="fr-FR"/>
        </w:rPr>
        <w:t>.</w:t>
      </w:r>
      <w:r w:rsidRPr="00EA7744">
        <w:rPr>
          <w:spacing w:val="-4"/>
          <w:lang w:val="fr-FR"/>
        </w:rPr>
        <w:t xml:space="preserve">5 </w:t>
      </w:r>
      <w:r w:rsidRPr="007A574F">
        <w:rPr>
          <w:spacing w:val="-4"/>
          <w:lang w:val="fr-FR"/>
        </w:rPr>
        <w:t>billion tons-km</w:t>
      </w:r>
      <w:r>
        <w:rPr>
          <w:spacing w:val="-4"/>
          <w:lang w:val="fr-FR"/>
        </w:rPr>
        <w:t>,</w:t>
      </w:r>
      <w:r w:rsidRPr="007A574F">
        <w:rPr>
          <w:spacing w:val="-4"/>
          <w:lang w:val="fr-FR"/>
        </w:rPr>
        <w:t xml:space="preserve"> up </w:t>
      </w:r>
      <w:r w:rsidRPr="00EA7744">
        <w:rPr>
          <w:spacing w:val="-4"/>
          <w:lang w:val="fr-FR"/>
        </w:rPr>
        <w:t>16</w:t>
      </w:r>
      <w:r>
        <w:rPr>
          <w:spacing w:val="-4"/>
          <w:lang w:val="fr-FR"/>
        </w:rPr>
        <w:t>.</w:t>
      </w:r>
      <w:r w:rsidRPr="00EA7744">
        <w:rPr>
          <w:spacing w:val="-4"/>
          <w:lang w:val="fr-FR"/>
        </w:rPr>
        <w:t>8%</w:t>
      </w:r>
      <w:r w:rsidRPr="007A574F">
        <w:rPr>
          <w:spacing w:val="-4"/>
          <w:lang w:val="fr-FR"/>
        </w:rPr>
        <w:t xml:space="preserve">; oversea freight reached </w:t>
      </w:r>
      <w:r w:rsidRPr="00EA7744">
        <w:rPr>
          <w:spacing w:val="-4"/>
          <w:lang w:val="fr-FR"/>
        </w:rPr>
        <w:t>3</w:t>
      </w:r>
      <w:r>
        <w:rPr>
          <w:spacing w:val="-4"/>
          <w:lang w:val="fr-FR"/>
        </w:rPr>
        <w:t>.</w:t>
      </w:r>
      <w:r w:rsidRPr="00EA7744">
        <w:rPr>
          <w:spacing w:val="-4"/>
          <w:lang w:val="fr-FR"/>
        </w:rPr>
        <w:t xml:space="preserve">7 </w:t>
      </w:r>
      <w:r w:rsidRPr="007A574F">
        <w:rPr>
          <w:spacing w:val="-4"/>
          <w:lang w:val="fr-FR"/>
        </w:rPr>
        <w:t>million tons</w:t>
      </w:r>
      <w:r>
        <w:rPr>
          <w:spacing w:val="-4"/>
          <w:lang w:val="fr-FR"/>
        </w:rPr>
        <w:t>,</w:t>
      </w:r>
      <w:r w:rsidRPr="007A574F">
        <w:rPr>
          <w:spacing w:val="-4"/>
          <w:lang w:val="fr-FR"/>
        </w:rPr>
        <w:t xml:space="preserve"> </w:t>
      </w:r>
      <w:r>
        <w:rPr>
          <w:spacing w:val="-4"/>
          <w:lang w:val="fr-FR"/>
        </w:rPr>
        <w:t>in</w:t>
      </w:r>
      <w:r w:rsidRPr="007A574F">
        <w:rPr>
          <w:spacing w:val="-4"/>
          <w:lang w:val="fr-FR"/>
        </w:rPr>
        <w:t xml:space="preserve">creasing by </w:t>
      </w:r>
      <w:r w:rsidRPr="00EA7744">
        <w:rPr>
          <w:spacing w:val="-4"/>
          <w:lang w:val="fr-FR"/>
        </w:rPr>
        <w:t>0</w:t>
      </w:r>
      <w:r>
        <w:rPr>
          <w:spacing w:val="-4"/>
          <w:lang w:val="fr-FR"/>
        </w:rPr>
        <w:t>.</w:t>
      </w:r>
      <w:r w:rsidRPr="00EA7744">
        <w:rPr>
          <w:spacing w:val="-4"/>
          <w:lang w:val="fr-FR"/>
        </w:rPr>
        <w:t>1</w:t>
      </w:r>
      <w:r w:rsidRPr="007A574F">
        <w:rPr>
          <w:spacing w:val="-4"/>
          <w:lang w:val="fr-FR"/>
        </w:rPr>
        <w:t xml:space="preserve">% and </w:t>
      </w:r>
      <w:r w:rsidRPr="00EA7744">
        <w:rPr>
          <w:spacing w:val="-4"/>
          <w:lang w:val="fr-FR"/>
        </w:rPr>
        <w:t>15</w:t>
      </w:r>
      <w:r>
        <w:rPr>
          <w:spacing w:val="-4"/>
          <w:lang w:val="fr-FR"/>
        </w:rPr>
        <w:t>.</w:t>
      </w:r>
      <w:r w:rsidRPr="00EA7744">
        <w:rPr>
          <w:spacing w:val="-4"/>
          <w:lang w:val="fr-FR"/>
        </w:rPr>
        <w:t xml:space="preserve">5 </w:t>
      </w:r>
      <w:r w:rsidRPr="007A574F">
        <w:rPr>
          <w:spacing w:val="-4"/>
          <w:lang w:val="fr-FR"/>
        </w:rPr>
        <w:t>billion tons-km</w:t>
      </w:r>
      <w:r>
        <w:rPr>
          <w:spacing w:val="-4"/>
          <w:lang w:val="fr-FR"/>
        </w:rPr>
        <w:t>,</w:t>
      </w:r>
      <w:r w:rsidRPr="007A574F">
        <w:rPr>
          <w:spacing w:val="-4"/>
          <w:lang w:val="fr-FR"/>
        </w:rPr>
        <w:t xml:space="preserve"> </w:t>
      </w:r>
      <w:r>
        <w:rPr>
          <w:bCs/>
          <w:iCs/>
          <w:spacing w:val="-4"/>
          <w:lang w:val="fr-FR"/>
        </w:rPr>
        <w:t>de</w:t>
      </w:r>
      <w:r w:rsidRPr="00CF7B18">
        <w:rPr>
          <w:bCs/>
          <w:iCs/>
          <w:spacing w:val="-4"/>
          <w:lang w:val="fr-FR"/>
        </w:rPr>
        <w:t>creased</w:t>
      </w:r>
      <w:r>
        <w:rPr>
          <w:bCs/>
          <w:iCs/>
          <w:spacing w:val="-4"/>
          <w:lang w:val="fr-FR"/>
        </w:rPr>
        <w:t xml:space="preserve"> by</w:t>
      </w:r>
      <w:r w:rsidRPr="007A574F">
        <w:rPr>
          <w:spacing w:val="-4"/>
          <w:lang w:val="fr-FR"/>
        </w:rPr>
        <w:t xml:space="preserve"> </w:t>
      </w:r>
      <w:r>
        <w:rPr>
          <w:bCs/>
          <w:iCs/>
          <w:spacing w:val="4"/>
          <w:lang w:val="en-US"/>
        </w:rPr>
        <w:t>8.8%</w:t>
      </w:r>
      <w:r w:rsidRPr="00AC3D49">
        <w:rPr>
          <w:bCs/>
          <w:iCs/>
          <w:spacing w:val="4"/>
        </w:rPr>
        <w:t>.</w:t>
      </w:r>
    </w:p>
    <w:p w14:paraId="3ED700D5" w14:textId="77777777" w:rsidR="00CE02B0" w:rsidRPr="00CF7B18" w:rsidRDefault="00CE02B0" w:rsidP="00CE02B0">
      <w:pPr>
        <w:spacing w:before="120" w:after="120" w:line="276" w:lineRule="auto"/>
        <w:ind w:firstLine="720"/>
        <w:jc w:val="both"/>
        <w:rPr>
          <w:bCs/>
          <w:iCs/>
          <w:lang w:val="fr-FR"/>
        </w:rPr>
      </w:pPr>
      <w:r w:rsidRPr="00EA7744">
        <w:rPr>
          <w:bCs/>
          <w:iCs/>
          <w:lang w:val="fr-FR"/>
        </w:rPr>
        <w:t xml:space="preserve">In terms of transportation industry, all </w:t>
      </w:r>
      <w:r>
        <w:rPr>
          <w:bCs/>
          <w:iCs/>
          <w:lang w:val="fr-FR"/>
        </w:rPr>
        <w:t>types of tranport</w:t>
      </w:r>
      <w:r w:rsidRPr="00EA7744">
        <w:rPr>
          <w:bCs/>
          <w:iCs/>
          <w:lang w:val="fr-FR"/>
        </w:rPr>
        <w:t xml:space="preserve"> in January 2024 had a positive growth rate compared to the same period last year due to increased transportation of goods to serve domestic production and consumption needs.</w:t>
      </w:r>
    </w:p>
    <w:p w14:paraId="5947BE9F" w14:textId="77777777" w:rsidR="00CE02B0" w:rsidRPr="00952A02" w:rsidRDefault="00CE02B0" w:rsidP="00CE02B0">
      <w:pPr>
        <w:spacing w:before="120" w:line="276" w:lineRule="auto"/>
        <w:jc w:val="center"/>
        <w:rPr>
          <w:rFonts w:ascii="Arial" w:hAnsi="Arial" w:cs="Arial"/>
          <w:b/>
          <w:bCs/>
          <w:sz w:val="24"/>
          <w:szCs w:val="24"/>
          <w:lang w:val="fr-FR"/>
        </w:rPr>
      </w:pPr>
      <w:r w:rsidRPr="00952A02">
        <w:rPr>
          <w:rFonts w:ascii="Arial" w:hAnsi="Arial" w:cs="Arial"/>
          <w:b/>
          <w:bCs/>
          <w:sz w:val="24"/>
          <w:szCs w:val="24"/>
        </w:rPr>
        <w:t xml:space="preserve">Table 7. </w:t>
      </w:r>
      <w:r w:rsidRPr="00952A02">
        <w:rPr>
          <w:rFonts w:ascii="Arial" w:hAnsi="Arial" w:cs="Arial"/>
          <w:b/>
          <w:bCs/>
          <w:sz w:val="24"/>
          <w:szCs w:val="24"/>
          <w:lang w:val="fr-FR"/>
        </w:rPr>
        <w:t xml:space="preserve">Carriage of freight in </w:t>
      </w:r>
      <w:r w:rsidRPr="00952A02">
        <w:rPr>
          <w:rFonts w:ascii="Arial" w:hAnsi="Arial" w:cs="Arial"/>
          <w:b/>
          <w:bCs/>
          <w:iCs/>
          <w:sz w:val="24"/>
          <w:szCs w:val="24"/>
          <w:lang w:val="fr-FR"/>
        </w:rPr>
        <w:t>January 202</w:t>
      </w:r>
      <w:r>
        <w:rPr>
          <w:rFonts w:ascii="Arial" w:hAnsi="Arial" w:cs="Arial"/>
          <w:b/>
          <w:bCs/>
          <w:iCs/>
          <w:sz w:val="24"/>
          <w:szCs w:val="24"/>
          <w:lang w:val="fr-FR"/>
        </w:rPr>
        <w:t>4</w:t>
      </w:r>
      <w:r w:rsidRPr="00952A02">
        <w:rPr>
          <w:rFonts w:ascii="Arial" w:hAnsi="Arial" w:cs="Arial"/>
          <w:b/>
          <w:bCs/>
          <w:iCs/>
          <w:sz w:val="24"/>
          <w:szCs w:val="24"/>
          <w:lang w:val="fr-FR"/>
        </w:rPr>
        <w:t xml:space="preserve"> </w:t>
      </w:r>
      <w:r w:rsidRPr="00952A02">
        <w:rPr>
          <w:rFonts w:ascii="Arial" w:hAnsi="Arial" w:cs="Arial"/>
          <w:b/>
          <w:bCs/>
          <w:sz w:val="24"/>
          <w:szCs w:val="24"/>
          <w:lang w:val="fr-FR"/>
        </w:rPr>
        <w:t>by types of transport</w:t>
      </w:r>
    </w:p>
    <w:p w14:paraId="3068D266" w14:textId="77777777" w:rsidR="00CE02B0" w:rsidRPr="004268AF" w:rsidRDefault="00CE02B0" w:rsidP="00CE02B0">
      <w:pPr>
        <w:spacing w:line="276" w:lineRule="auto"/>
        <w:jc w:val="center"/>
        <w:rPr>
          <w:rFonts w:ascii="Arial" w:hAnsi="Arial" w:cs="Arial"/>
          <w:b/>
          <w:bCs/>
          <w:sz w:val="12"/>
          <w:szCs w:val="24"/>
          <w:lang w:val="fr-FR"/>
        </w:rPr>
      </w:pPr>
    </w:p>
    <w:p w14:paraId="405C5777" w14:textId="77777777" w:rsidR="00CE02B0" w:rsidRPr="00E64F1F" w:rsidRDefault="00CE02B0" w:rsidP="00CE02B0">
      <w:pPr>
        <w:spacing w:before="120" w:line="276" w:lineRule="auto"/>
        <w:jc w:val="center"/>
        <w:rPr>
          <w:rFonts w:ascii="Arial" w:hAnsi="Arial" w:cs="Arial"/>
          <w:b/>
          <w:bCs/>
          <w:sz w:val="2"/>
          <w:szCs w:val="24"/>
          <w:lang w:val="fr-FR"/>
        </w:rPr>
      </w:pPr>
    </w:p>
    <w:tbl>
      <w:tblPr>
        <w:tblW w:w="8770" w:type="dxa"/>
        <w:jc w:val="center"/>
        <w:tblLook w:val="04A0" w:firstRow="1" w:lastRow="0" w:firstColumn="1" w:lastColumn="0" w:noHBand="0" w:noVBand="1"/>
      </w:tblPr>
      <w:tblGrid>
        <w:gridCol w:w="2387"/>
        <w:gridCol w:w="1571"/>
        <w:gridCol w:w="1406"/>
        <w:gridCol w:w="318"/>
        <w:gridCol w:w="1542"/>
        <w:gridCol w:w="1546"/>
      </w:tblGrid>
      <w:tr w:rsidR="00CE02B0" w:rsidRPr="00BF0F45" w14:paraId="194C31C5" w14:textId="77777777" w:rsidTr="008278F8">
        <w:trPr>
          <w:cantSplit/>
          <w:trHeight w:val="495"/>
          <w:jc w:val="center"/>
        </w:trPr>
        <w:tc>
          <w:tcPr>
            <w:tcW w:w="2387" w:type="dxa"/>
            <w:tcBorders>
              <w:top w:val="single" w:sz="4" w:space="0" w:color="auto"/>
            </w:tcBorders>
            <w:shd w:val="clear" w:color="auto" w:fill="auto"/>
            <w:noWrap/>
            <w:vAlign w:val="center"/>
            <w:hideMark/>
          </w:tcPr>
          <w:p w14:paraId="319443DA" w14:textId="77777777" w:rsidR="00CE02B0" w:rsidRPr="00BF0F45" w:rsidRDefault="00CE02B0" w:rsidP="008278F8">
            <w:pPr>
              <w:contextualSpacing/>
              <w:jc w:val="center"/>
              <w:rPr>
                <w:rFonts w:ascii="Arial" w:hAnsi="Arial" w:cs="Arial"/>
                <w:b/>
                <w:bCs/>
                <w:sz w:val="18"/>
                <w:szCs w:val="18"/>
                <w:lang w:eastAsia="vi-VN"/>
              </w:rPr>
            </w:pPr>
          </w:p>
        </w:tc>
        <w:tc>
          <w:tcPr>
            <w:tcW w:w="2977" w:type="dxa"/>
            <w:gridSpan w:val="2"/>
            <w:tcBorders>
              <w:top w:val="single" w:sz="4" w:space="0" w:color="auto"/>
              <w:bottom w:val="single" w:sz="4" w:space="0" w:color="auto"/>
            </w:tcBorders>
            <w:shd w:val="clear" w:color="auto" w:fill="auto"/>
            <w:noWrap/>
            <w:vAlign w:val="center"/>
            <w:hideMark/>
          </w:tcPr>
          <w:p w14:paraId="1FFBD0F2" w14:textId="77777777" w:rsidR="00CE02B0" w:rsidRPr="00BF0F45" w:rsidRDefault="00CE02B0" w:rsidP="008278F8">
            <w:pPr>
              <w:ind w:right="97"/>
              <w:contextualSpacing/>
              <w:jc w:val="center"/>
              <w:rPr>
                <w:rFonts w:ascii="Arial" w:hAnsi="Arial" w:cs="Arial"/>
                <w:b/>
                <w:bCs/>
                <w:sz w:val="18"/>
                <w:szCs w:val="18"/>
              </w:rPr>
            </w:pPr>
            <w:r w:rsidRPr="00BF0F45">
              <w:rPr>
                <w:rFonts w:ascii="Arial" w:hAnsi="Arial" w:cs="Arial"/>
                <w:color w:val="000000"/>
                <w:sz w:val="18"/>
                <w:szCs w:val="18"/>
                <w:lang w:eastAsia="vi-VN"/>
              </w:rPr>
              <w:t>Quantity of goods</w:t>
            </w:r>
          </w:p>
        </w:tc>
        <w:tc>
          <w:tcPr>
            <w:tcW w:w="318" w:type="dxa"/>
            <w:tcBorders>
              <w:top w:val="single" w:sz="4" w:space="0" w:color="auto"/>
            </w:tcBorders>
            <w:shd w:val="clear" w:color="auto" w:fill="auto"/>
            <w:noWrap/>
            <w:vAlign w:val="center"/>
            <w:hideMark/>
          </w:tcPr>
          <w:p w14:paraId="1A8BAA16" w14:textId="77777777" w:rsidR="00CE02B0" w:rsidRPr="00BF0F45" w:rsidRDefault="00CE02B0" w:rsidP="008278F8">
            <w:pPr>
              <w:contextualSpacing/>
              <w:jc w:val="center"/>
              <w:rPr>
                <w:rFonts w:ascii="Arial" w:hAnsi="Arial" w:cs="Arial"/>
                <w:b/>
                <w:bCs/>
                <w:sz w:val="18"/>
                <w:szCs w:val="18"/>
              </w:rPr>
            </w:pPr>
            <w:r w:rsidRPr="00BF0F45">
              <w:rPr>
                <w:rFonts w:ascii="Arial" w:hAnsi="Arial" w:cs="Arial"/>
                <w:color w:val="000000"/>
                <w:sz w:val="18"/>
                <w:szCs w:val="18"/>
                <w:lang w:eastAsia="vi-VN"/>
              </w:rPr>
              <w:t> </w:t>
            </w:r>
          </w:p>
        </w:tc>
        <w:tc>
          <w:tcPr>
            <w:tcW w:w="3088" w:type="dxa"/>
            <w:gridSpan w:val="2"/>
            <w:tcBorders>
              <w:top w:val="single" w:sz="4" w:space="0" w:color="auto"/>
              <w:bottom w:val="single" w:sz="4" w:space="0" w:color="auto"/>
            </w:tcBorders>
            <w:shd w:val="clear" w:color="auto" w:fill="auto"/>
            <w:noWrap/>
            <w:vAlign w:val="center"/>
            <w:hideMark/>
          </w:tcPr>
          <w:p w14:paraId="7B08BD1E" w14:textId="77777777" w:rsidR="00CE02B0" w:rsidRPr="00BF0F45" w:rsidRDefault="00CE02B0" w:rsidP="008278F8">
            <w:pPr>
              <w:ind w:right="381"/>
              <w:contextualSpacing/>
              <w:jc w:val="center"/>
              <w:rPr>
                <w:rFonts w:ascii="Arial" w:hAnsi="Arial" w:cs="Arial"/>
                <w:b/>
                <w:bCs/>
                <w:sz w:val="18"/>
                <w:szCs w:val="18"/>
              </w:rPr>
            </w:pPr>
            <w:r w:rsidRPr="00BF0F45">
              <w:rPr>
                <w:rFonts w:ascii="Arial" w:hAnsi="Arial" w:cs="Arial"/>
                <w:color w:val="000000"/>
                <w:sz w:val="18"/>
                <w:szCs w:val="18"/>
                <w:lang w:eastAsia="vi-VN"/>
              </w:rPr>
              <w:t>The growth rate</w:t>
            </w:r>
            <w:r>
              <w:rPr>
                <w:rFonts w:ascii="Arial" w:hAnsi="Arial" w:cs="Arial"/>
                <w:color w:val="000000"/>
                <w:sz w:val="18"/>
                <w:szCs w:val="18"/>
                <w:lang w:val="en-US" w:eastAsia="vi-VN"/>
              </w:rPr>
              <w:t xml:space="preserve"> </w:t>
            </w:r>
            <w:r w:rsidRPr="00BF0F45">
              <w:rPr>
                <w:rFonts w:ascii="Arial" w:hAnsi="Arial" w:cs="Arial"/>
                <w:color w:val="000000"/>
                <w:sz w:val="18"/>
                <w:szCs w:val="18"/>
                <w:lang w:eastAsia="vi-VN"/>
              </w:rPr>
              <w:t>compared to the same period last year (%)</w:t>
            </w:r>
          </w:p>
        </w:tc>
      </w:tr>
      <w:tr w:rsidR="00CE02B0" w:rsidRPr="00BF0F45" w14:paraId="7AC1F0D2" w14:textId="77777777" w:rsidTr="008278F8">
        <w:trPr>
          <w:cantSplit/>
          <w:trHeight w:val="460"/>
          <w:jc w:val="center"/>
        </w:trPr>
        <w:tc>
          <w:tcPr>
            <w:tcW w:w="2387" w:type="dxa"/>
            <w:shd w:val="clear" w:color="auto" w:fill="auto"/>
            <w:noWrap/>
            <w:vAlign w:val="center"/>
            <w:hideMark/>
          </w:tcPr>
          <w:p w14:paraId="1B1E0E70" w14:textId="77777777" w:rsidR="00CE02B0" w:rsidRPr="00BF0F45" w:rsidRDefault="00CE02B0" w:rsidP="008278F8">
            <w:pPr>
              <w:contextualSpacing/>
              <w:jc w:val="center"/>
              <w:rPr>
                <w:rFonts w:ascii="Arial" w:hAnsi="Arial" w:cs="Arial"/>
                <w:b/>
                <w:bCs/>
                <w:sz w:val="18"/>
                <w:szCs w:val="18"/>
                <w:lang w:eastAsia="vi-VN"/>
              </w:rPr>
            </w:pPr>
          </w:p>
        </w:tc>
        <w:tc>
          <w:tcPr>
            <w:tcW w:w="1571" w:type="dxa"/>
            <w:tcBorders>
              <w:top w:val="single" w:sz="4" w:space="0" w:color="auto"/>
              <w:bottom w:val="single" w:sz="4" w:space="0" w:color="auto"/>
            </w:tcBorders>
            <w:shd w:val="clear" w:color="auto" w:fill="auto"/>
            <w:noWrap/>
            <w:vAlign w:val="center"/>
            <w:hideMark/>
          </w:tcPr>
          <w:p w14:paraId="6B1C972E" w14:textId="77777777" w:rsidR="00CE02B0" w:rsidRPr="00BF0F45" w:rsidRDefault="00CE02B0" w:rsidP="008278F8">
            <w:pPr>
              <w:contextualSpacing/>
              <w:jc w:val="center"/>
              <w:rPr>
                <w:rFonts w:ascii="Arial" w:hAnsi="Arial" w:cs="Arial"/>
                <w:sz w:val="18"/>
                <w:szCs w:val="18"/>
                <w:lang w:eastAsia="vi-VN"/>
              </w:rPr>
            </w:pPr>
            <w:r w:rsidRPr="00BF0F45">
              <w:rPr>
                <w:rFonts w:ascii="Arial" w:hAnsi="Arial" w:cs="Arial"/>
                <w:sz w:val="18"/>
                <w:szCs w:val="18"/>
                <w:lang w:eastAsia="vi-VN"/>
              </w:rPr>
              <w:t>Carried</w:t>
            </w:r>
            <w:r w:rsidRPr="00BF0F45">
              <w:rPr>
                <w:rFonts w:ascii="Arial" w:hAnsi="Arial" w:cs="Arial"/>
                <w:sz w:val="18"/>
                <w:szCs w:val="18"/>
                <w:lang w:eastAsia="vi-VN"/>
              </w:rPr>
              <w:br/>
              <w:t>(Mill. tons)</w:t>
            </w:r>
          </w:p>
        </w:tc>
        <w:tc>
          <w:tcPr>
            <w:tcW w:w="1406" w:type="dxa"/>
            <w:tcBorders>
              <w:top w:val="single" w:sz="4" w:space="0" w:color="auto"/>
              <w:bottom w:val="single" w:sz="4" w:space="0" w:color="auto"/>
            </w:tcBorders>
            <w:shd w:val="clear" w:color="auto" w:fill="auto"/>
            <w:noWrap/>
            <w:vAlign w:val="center"/>
            <w:hideMark/>
          </w:tcPr>
          <w:p w14:paraId="42E0BE44" w14:textId="77777777" w:rsidR="00CE02B0" w:rsidRPr="00BF0F45" w:rsidRDefault="00CE02B0" w:rsidP="008278F8">
            <w:pPr>
              <w:contextualSpacing/>
              <w:jc w:val="center"/>
              <w:rPr>
                <w:rFonts w:ascii="Arial" w:hAnsi="Arial" w:cs="Arial"/>
                <w:sz w:val="18"/>
                <w:szCs w:val="18"/>
                <w:lang w:eastAsia="vi-VN"/>
              </w:rPr>
            </w:pPr>
            <w:r w:rsidRPr="00BF0F45">
              <w:rPr>
                <w:rFonts w:ascii="Arial" w:hAnsi="Arial" w:cs="Arial"/>
                <w:sz w:val="18"/>
                <w:szCs w:val="18"/>
                <w:lang w:eastAsia="vi-VN"/>
              </w:rPr>
              <w:t>Traffic</w:t>
            </w:r>
            <w:r w:rsidRPr="00BF0F45">
              <w:rPr>
                <w:rFonts w:ascii="Arial" w:hAnsi="Arial" w:cs="Arial"/>
                <w:sz w:val="18"/>
                <w:szCs w:val="18"/>
                <w:lang w:eastAsia="vi-VN"/>
              </w:rPr>
              <w:br/>
              <w:t>(Bill. tons-km)</w:t>
            </w:r>
          </w:p>
        </w:tc>
        <w:tc>
          <w:tcPr>
            <w:tcW w:w="318" w:type="dxa"/>
            <w:tcBorders>
              <w:bottom w:val="single" w:sz="4" w:space="0" w:color="auto"/>
            </w:tcBorders>
            <w:shd w:val="clear" w:color="auto" w:fill="auto"/>
            <w:noWrap/>
            <w:vAlign w:val="center"/>
            <w:hideMark/>
          </w:tcPr>
          <w:p w14:paraId="42F0089A" w14:textId="77777777" w:rsidR="00CE02B0" w:rsidRPr="00BF0F45" w:rsidRDefault="00CE02B0" w:rsidP="008278F8">
            <w:pPr>
              <w:contextualSpacing/>
              <w:jc w:val="center"/>
              <w:rPr>
                <w:rFonts w:ascii="Arial" w:hAnsi="Arial" w:cs="Arial"/>
                <w:b/>
                <w:bCs/>
                <w:sz w:val="18"/>
                <w:szCs w:val="18"/>
              </w:rPr>
            </w:pPr>
          </w:p>
        </w:tc>
        <w:tc>
          <w:tcPr>
            <w:tcW w:w="1542" w:type="dxa"/>
            <w:tcBorders>
              <w:top w:val="single" w:sz="4" w:space="0" w:color="auto"/>
              <w:bottom w:val="single" w:sz="4" w:space="0" w:color="auto"/>
            </w:tcBorders>
            <w:shd w:val="clear" w:color="auto" w:fill="auto"/>
            <w:noWrap/>
            <w:vAlign w:val="center"/>
            <w:hideMark/>
          </w:tcPr>
          <w:p w14:paraId="0D86C3E1" w14:textId="77777777" w:rsidR="00CE02B0" w:rsidRPr="00BF0F45" w:rsidRDefault="00CE02B0" w:rsidP="008278F8">
            <w:pPr>
              <w:contextualSpacing/>
              <w:jc w:val="center"/>
              <w:rPr>
                <w:rFonts w:ascii="Arial" w:hAnsi="Arial" w:cs="Arial"/>
                <w:sz w:val="18"/>
                <w:szCs w:val="18"/>
                <w:lang w:eastAsia="vi-VN"/>
              </w:rPr>
            </w:pPr>
            <w:r w:rsidRPr="00BF0F45">
              <w:rPr>
                <w:rFonts w:ascii="Arial" w:hAnsi="Arial" w:cs="Arial"/>
                <w:sz w:val="18"/>
                <w:szCs w:val="18"/>
                <w:lang w:eastAsia="vi-VN"/>
              </w:rPr>
              <w:t>Carried</w:t>
            </w:r>
          </w:p>
        </w:tc>
        <w:tc>
          <w:tcPr>
            <w:tcW w:w="1546" w:type="dxa"/>
            <w:tcBorders>
              <w:top w:val="single" w:sz="4" w:space="0" w:color="auto"/>
              <w:bottom w:val="single" w:sz="4" w:space="0" w:color="auto"/>
            </w:tcBorders>
            <w:shd w:val="clear" w:color="auto" w:fill="auto"/>
            <w:noWrap/>
            <w:vAlign w:val="center"/>
            <w:hideMark/>
          </w:tcPr>
          <w:p w14:paraId="0615509B" w14:textId="77777777" w:rsidR="00CE02B0" w:rsidRPr="00BF0F45" w:rsidRDefault="00CE02B0" w:rsidP="008278F8">
            <w:pPr>
              <w:contextualSpacing/>
              <w:jc w:val="center"/>
              <w:rPr>
                <w:rFonts w:ascii="Arial" w:hAnsi="Arial" w:cs="Arial"/>
                <w:sz w:val="18"/>
                <w:szCs w:val="18"/>
                <w:lang w:eastAsia="vi-VN"/>
              </w:rPr>
            </w:pPr>
            <w:r w:rsidRPr="00BF0F45">
              <w:rPr>
                <w:rFonts w:ascii="Arial" w:hAnsi="Arial" w:cs="Arial"/>
                <w:sz w:val="18"/>
                <w:szCs w:val="18"/>
                <w:lang w:eastAsia="vi-VN"/>
              </w:rPr>
              <w:t>Traffic</w:t>
            </w:r>
          </w:p>
        </w:tc>
      </w:tr>
      <w:tr w:rsidR="00CE02B0" w:rsidRPr="00BF0F45" w14:paraId="741A4478" w14:textId="77777777" w:rsidTr="008278F8">
        <w:trPr>
          <w:cantSplit/>
          <w:trHeight w:val="383"/>
          <w:jc w:val="center"/>
        </w:trPr>
        <w:tc>
          <w:tcPr>
            <w:tcW w:w="2387" w:type="dxa"/>
            <w:shd w:val="clear" w:color="auto" w:fill="auto"/>
            <w:noWrap/>
            <w:vAlign w:val="center"/>
            <w:hideMark/>
          </w:tcPr>
          <w:p w14:paraId="7D409010" w14:textId="77777777" w:rsidR="00CE02B0" w:rsidRPr="00BF0F45" w:rsidRDefault="00CE02B0" w:rsidP="008278F8">
            <w:pPr>
              <w:contextualSpacing/>
              <w:rPr>
                <w:rFonts w:ascii="Arial" w:hAnsi="Arial" w:cs="Arial"/>
                <w:b/>
                <w:bCs/>
                <w:sz w:val="18"/>
                <w:szCs w:val="18"/>
                <w:lang w:eastAsia="vi-VN"/>
              </w:rPr>
            </w:pPr>
            <w:r w:rsidRPr="00BF0F45">
              <w:rPr>
                <w:rFonts w:ascii="Arial" w:hAnsi="Arial" w:cs="Arial"/>
                <w:b/>
                <w:bCs/>
                <w:sz w:val="18"/>
                <w:szCs w:val="18"/>
                <w:lang w:eastAsia="vi-VN"/>
              </w:rPr>
              <w:t>Total</w:t>
            </w:r>
          </w:p>
        </w:tc>
        <w:tc>
          <w:tcPr>
            <w:tcW w:w="1571" w:type="dxa"/>
            <w:tcBorders>
              <w:top w:val="single" w:sz="4" w:space="0" w:color="auto"/>
            </w:tcBorders>
            <w:shd w:val="clear" w:color="auto" w:fill="auto"/>
            <w:noWrap/>
            <w:vAlign w:val="bottom"/>
            <w:hideMark/>
          </w:tcPr>
          <w:p w14:paraId="30E3A5AF" w14:textId="77777777" w:rsidR="00CE02B0" w:rsidRPr="00BF0F45" w:rsidRDefault="00CE02B0" w:rsidP="008278F8">
            <w:pPr>
              <w:ind w:right="322"/>
              <w:contextualSpacing/>
              <w:jc w:val="right"/>
              <w:rPr>
                <w:rFonts w:ascii="Arial" w:hAnsi="Arial" w:cs="Arial"/>
                <w:b/>
                <w:bCs/>
                <w:color w:val="000000"/>
                <w:sz w:val="18"/>
                <w:szCs w:val="18"/>
              </w:rPr>
            </w:pPr>
            <w:r>
              <w:rPr>
                <w:rFonts w:ascii="Arial" w:hAnsi="Arial" w:cs="Arial"/>
                <w:b/>
                <w:bCs/>
                <w:sz w:val="20"/>
                <w:szCs w:val="20"/>
              </w:rPr>
              <w:t>205.0</w:t>
            </w:r>
          </w:p>
        </w:tc>
        <w:tc>
          <w:tcPr>
            <w:tcW w:w="1406" w:type="dxa"/>
            <w:tcBorders>
              <w:top w:val="single" w:sz="4" w:space="0" w:color="auto"/>
            </w:tcBorders>
            <w:shd w:val="clear" w:color="auto" w:fill="auto"/>
            <w:noWrap/>
            <w:vAlign w:val="bottom"/>
            <w:hideMark/>
          </w:tcPr>
          <w:p w14:paraId="2857E565" w14:textId="77777777" w:rsidR="00CE02B0" w:rsidRPr="00BF0F45" w:rsidRDefault="00CE02B0" w:rsidP="008278F8">
            <w:pPr>
              <w:ind w:right="292"/>
              <w:contextualSpacing/>
              <w:jc w:val="right"/>
              <w:rPr>
                <w:rFonts w:ascii="Arial" w:hAnsi="Arial" w:cs="Arial"/>
                <w:b/>
                <w:bCs/>
                <w:color w:val="000000"/>
                <w:sz w:val="18"/>
                <w:szCs w:val="18"/>
              </w:rPr>
            </w:pPr>
            <w:r>
              <w:rPr>
                <w:rFonts w:ascii="Arial" w:hAnsi="Arial" w:cs="Arial"/>
                <w:b/>
                <w:bCs/>
                <w:sz w:val="20"/>
                <w:szCs w:val="20"/>
              </w:rPr>
              <w:t>43.0</w:t>
            </w:r>
          </w:p>
        </w:tc>
        <w:tc>
          <w:tcPr>
            <w:tcW w:w="318" w:type="dxa"/>
            <w:tcBorders>
              <w:top w:val="single" w:sz="4" w:space="0" w:color="auto"/>
            </w:tcBorders>
            <w:shd w:val="clear" w:color="auto" w:fill="auto"/>
            <w:noWrap/>
            <w:vAlign w:val="center"/>
            <w:hideMark/>
          </w:tcPr>
          <w:p w14:paraId="4F081DB8" w14:textId="77777777" w:rsidR="00CE02B0" w:rsidRPr="00BF0F45" w:rsidRDefault="00CE02B0" w:rsidP="008278F8">
            <w:pPr>
              <w:contextualSpacing/>
              <w:jc w:val="right"/>
              <w:rPr>
                <w:rFonts w:ascii="Arial" w:hAnsi="Arial" w:cs="Arial"/>
                <w:b/>
                <w:bCs/>
                <w:sz w:val="18"/>
                <w:szCs w:val="18"/>
              </w:rPr>
            </w:pPr>
          </w:p>
        </w:tc>
        <w:tc>
          <w:tcPr>
            <w:tcW w:w="1542" w:type="dxa"/>
            <w:tcBorders>
              <w:top w:val="single" w:sz="4" w:space="0" w:color="auto"/>
            </w:tcBorders>
            <w:shd w:val="clear" w:color="auto" w:fill="auto"/>
            <w:noWrap/>
            <w:vAlign w:val="bottom"/>
            <w:hideMark/>
          </w:tcPr>
          <w:p w14:paraId="0569075F" w14:textId="77777777" w:rsidR="00CE02B0" w:rsidRPr="00BF0F45" w:rsidRDefault="00CE02B0" w:rsidP="008278F8">
            <w:pPr>
              <w:ind w:right="427"/>
              <w:contextualSpacing/>
              <w:jc w:val="right"/>
              <w:rPr>
                <w:rFonts w:ascii="Arial" w:hAnsi="Arial" w:cs="Arial"/>
                <w:b/>
                <w:bCs/>
                <w:color w:val="000000"/>
                <w:sz w:val="18"/>
                <w:szCs w:val="18"/>
              </w:rPr>
            </w:pPr>
            <w:r w:rsidRPr="004219AF">
              <w:rPr>
                <w:rFonts w:ascii="Arial" w:hAnsi="Arial" w:cs="Arial"/>
                <w:b/>
                <w:bCs/>
                <w:color w:val="000000"/>
                <w:sz w:val="20"/>
                <w:szCs w:val="20"/>
              </w:rPr>
              <w:t>11</w:t>
            </w:r>
            <w:r>
              <w:rPr>
                <w:rFonts w:ascii="Arial" w:hAnsi="Arial" w:cs="Arial"/>
                <w:b/>
                <w:bCs/>
                <w:color w:val="000000"/>
                <w:sz w:val="20"/>
                <w:szCs w:val="20"/>
              </w:rPr>
              <w:t>.</w:t>
            </w:r>
            <w:r w:rsidRPr="004219AF">
              <w:rPr>
                <w:rFonts w:ascii="Arial" w:hAnsi="Arial" w:cs="Arial"/>
                <w:b/>
                <w:bCs/>
                <w:color w:val="000000"/>
                <w:sz w:val="20"/>
                <w:szCs w:val="20"/>
              </w:rPr>
              <w:t>5</w:t>
            </w:r>
          </w:p>
        </w:tc>
        <w:tc>
          <w:tcPr>
            <w:tcW w:w="1546" w:type="dxa"/>
            <w:tcBorders>
              <w:top w:val="single" w:sz="4" w:space="0" w:color="auto"/>
            </w:tcBorders>
            <w:shd w:val="clear" w:color="auto" w:fill="auto"/>
            <w:noWrap/>
            <w:vAlign w:val="bottom"/>
            <w:hideMark/>
          </w:tcPr>
          <w:p w14:paraId="294C6DBA" w14:textId="77777777" w:rsidR="00CE02B0" w:rsidRPr="00BF0F45" w:rsidRDefault="00CE02B0" w:rsidP="008278F8">
            <w:pPr>
              <w:ind w:right="393"/>
              <w:contextualSpacing/>
              <w:jc w:val="right"/>
              <w:rPr>
                <w:rFonts w:ascii="Arial" w:hAnsi="Arial" w:cs="Arial"/>
                <w:b/>
                <w:bCs/>
                <w:color w:val="000000"/>
                <w:sz w:val="18"/>
                <w:szCs w:val="18"/>
              </w:rPr>
            </w:pPr>
            <w:r w:rsidRPr="004219AF">
              <w:rPr>
                <w:rFonts w:ascii="Arial" w:hAnsi="Arial" w:cs="Arial"/>
                <w:b/>
                <w:bCs/>
                <w:color w:val="000000"/>
                <w:sz w:val="20"/>
                <w:szCs w:val="20"/>
              </w:rPr>
              <w:t>13</w:t>
            </w:r>
            <w:r>
              <w:rPr>
                <w:rFonts w:ascii="Arial" w:hAnsi="Arial" w:cs="Arial"/>
                <w:b/>
                <w:bCs/>
                <w:color w:val="000000"/>
                <w:sz w:val="20"/>
                <w:szCs w:val="20"/>
              </w:rPr>
              <w:t>.</w:t>
            </w:r>
            <w:r w:rsidRPr="004219AF">
              <w:rPr>
                <w:rFonts w:ascii="Arial" w:hAnsi="Arial" w:cs="Arial"/>
                <w:b/>
                <w:bCs/>
                <w:color w:val="000000"/>
                <w:sz w:val="20"/>
                <w:szCs w:val="20"/>
              </w:rPr>
              <w:t>8</w:t>
            </w:r>
          </w:p>
        </w:tc>
      </w:tr>
      <w:tr w:rsidR="00CE02B0" w:rsidRPr="00BF0F45" w14:paraId="7BA3B352" w14:textId="77777777" w:rsidTr="008278F8">
        <w:trPr>
          <w:cantSplit/>
          <w:trHeight w:val="383"/>
          <w:jc w:val="center"/>
        </w:trPr>
        <w:tc>
          <w:tcPr>
            <w:tcW w:w="2387" w:type="dxa"/>
            <w:shd w:val="clear" w:color="auto" w:fill="auto"/>
            <w:noWrap/>
            <w:vAlign w:val="bottom"/>
            <w:hideMark/>
          </w:tcPr>
          <w:p w14:paraId="2EC1AFDF" w14:textId="77777777" w:rsidR="00CE02B0" w:rsidRPr="00BF0F45" w:rsidRDefault="00CE02B0" w:rsidP="008278F8">
            <w:pPr>
              <w:ind w:left="317"/>
              <w:contextualSpacing/>
              <w:rPr>
                <w:rFonts w:ascii="Arial" w:hAnsi="Arial" w:cs="Arial"/>
                <w:sz w:val="18"/>
                <w:szCs w:val="18"/>
                <w:lang w:eastAsia="vi-VN"/>
              </w:rPr>
            </w:pPr>
            <w:r w:rsidRPr="00BF0F45">
              <w:rPr>
                <w:rFonts w:ascii="Arial" w:hAnsi="Arial" w:cs="Arial"/>
                <w:sz w:val="18"/>
                <w:szCs w:val="18"/>
              </w:rPr>
              <w:t>Railway</w:t>
            </w:r>
          </w:p>
        </w:tc>
        <w:tc>
          <w:tcPr>
            <w:tcW w:w="1571" w:type="dxa"/>
            <w:shd w:val="clear" w:color="auto" w:fill="auto"/>
            <w:noWrap/>
            <w:vAlign w:val="bottom"/>
            <w:hideMark/>
          </w:tcPr>
          <w:p w14:paraId="5784D6A7" w14:textId="77777777" w:rsidR="00CE02B0" w:rsidRPr="00BF0F45" w:rsidRDefault="00CE02B0" w:rsidP="008278F8">
            <w:pPr>
              <w:ind w:right="322"/>
              <w:contextualSpacing/>
              <w:jc w:val="right"/>
              <w:rPr>
                <w:rFonts w:ascii="Arial" w:hAnsi="Arial" w:cs="Arial"/>
                <w:color w:val="000000"/>
                <w:sz w:val="18"/>
                <w:szCs w:val="18"/>
              </w:rPr>
            </w:pPr>
            <w:r w:rsidRPr="004219AF">
              <w:rPr>
                <w:rFonts w:ascii="Arial" w:hAnsi="Arial" w:cs="Arial"/>
                <w:sz w:val="20"/>
                <w:szCs w:val="20"/>
              </w:rPr>
              <w:t>0</w:t>
            </w:r>
            <w:r>
              <w:rPr>
                <w:rFonts w:ascii="Arial" w:hAnsi="Arial" w:cs="Arial"/>
                <w:sz w:val="20"/>
                <w:szCs w:val="20"/>
              </w:rPr>
              <w:t>.</w:t>
            </w:r>
            <w:r w:rsidRPr="004219AF">
              <w:rPr>
                <w:rFonts w:ascii="Arial" w:hAnsi="Arial" w:cs="Arial"/>
                <w:sz w:val="20"/>
                <w:szCs w:val="20"/>
              </w:rPr>
              <w:t>4</w:t>
            </w:r>
          </w:p>
        </w:tc>
        <w:tc>
          <w:tcPr>
            <w:tcW w:w="1406" w:type="dxa"/>
            <w:shd w:val="clear" w:color="auto" w:fill="auto"/>
            <w:noWrap/>
            <w:vAlign w:val="bottom"/>
            <w:hideMark/>
          </w:tcPr>
          <w:p w14:paraId="1E2B99F0" w14:textId="77777777" w:rsidR="00CE02B0" w:rsidRPr="00BF0F45" w:rsidRDefault="00CE02B0" w:rsidP="008278F8">
            <w:pPr>
              <w:ind w:right="292"/>
              <w:contextualSpacing/>
              <w:jc w:val="right"/>
              <w:rPr>
                <w:rFonts w:ascii="Arial" w:hAnsi="Arial" w:cs="Arial"/>
                <w:color w:val="000000"/>
                <w:sz w:val="18"/>
                <w:szCs w:val="18"/>
              </w:rPr>
            </w:pPr>
            <w:r w:rsidRPr="004219AF">
              <w:rPr>
                <w:rFonts w:ascii="Arial" w:hAnsi="Arial" w:cs="Arial"/>
                <w:sz w:val="20"/>
                <w:szCs w:val="20"/>
              </w:rPr>
              <w:t>0</w:t>
            </w:r>
            <w:r>
              <w:rPr>
                <w:rFonts w:ascii="Arial" w:hAnsi="Arial" w:cs="Arial"/>
                <w:sz w:val="20"/>
                <w:szCs w:val="20"/>
              </w:rPr>
              <w:t>.</w:t>
            </w:r>
            <w:r w:rsidRPr="004219AF">
              <w:rPr>
                <w:rFonts w:ascii="Arial" w:hAnsi="Arial" w:cs="Arial"/>
                <w:sz w:val="20"/>
                <w:szCs w:val="20"/>
              </w:rPr>
              <w:t>4</w:t>
            </w:r>
          </w:p>
        </w:tc>
        <w:tc>
          <w:tcPr>
            <w:tcW w:w="318" w:type="dxa"/>
            <w:shd w:val="clear" w:color="auto" w:fill="auto"/>
            <w:noWrap/>
            <w:vAlign w:val="center"/>
            <w:hideMark/>
          </w:tcPr>
          <w:p w14:paraId="09BD5ACA" w14:textId="77777777" w:rsidR="00CE02B0" w:rsidRPr="00BF0F45" w:rsidRDefault="00CE02B0" w:rsidP="008278F8">
            <w:pPr>
              <w:contextualSpacing/>
              <w:jc w:val="right"/>
              <w:rPr>
                <w:rFonts w:ascii="Arial" w:hAnsi="Arial" w:cs="Arial"/>
                <w:sz w:val="18"/>
                <w:szCs w:val="18"/>
              </w:rPr>
            </w:pPr>
          </w:p>
        </w:tc>
        <w:tc>
          <w:tcPr>
            <w:tcW w:w="1542" w:type="dxa"/>
            <w:shd w:val="clear" w:color="auto" w:fill="auto"/>
            <w:noWrap/>
            <w:vAlign w:val="bottom"/>
            <w:hideMark/>
          </w:tcPr>
          <w:p w14:paraId="4050BF9D" w14:textId="77777777" w:rsidR="00CE02B0" w:rsidRPr="00BF0F45" w:rsidRDefault="00CE02B0" w:rsidP="008278F8">
            <w:pPr>
              <w:ind w:right="427"/>
              <w:contextualSpacing/>
              <w:jc w:val="right"/>
              <w:rPr>
                <w:rFonts w:ascii="Arial" w:hAnsi="Arial" w:cs="Arial"/>
                <w:color w:val="000000"/>
                <w:sz w:val="18"/>
                <w:szCs w:val="18"/>
              </w:rPr>
            </w:pPr>
            <w:r>
              <w:rPr>
                <w:rFonts w:ascii="Arial" w:hAnsi="Arial" w:cs="Arial"/>
                <w:color w:val="000000"/>
                <w:sz w:val="20"/>
                <w:szCs w:val="20"/>
              </w:rPr>
              <w:t>65.0</w:t>
            </w:r>
          </w:p>
        </w:tc>
        <w:tc>
          <w:tcPr>
            <w:tcW w:w="1546" w:type="dxa"/>
            <w:shd w:val="clear" w:color="auto" w:fill="auto"/>
            <w:noWrap/>
            <w:vAlign w:val="bottom"/>
            <w:hideMark/>
          </w:tcPr>
          <w:p w14:paraId="74D3C7C4" w14:textId="77777777" w:rsidR="00CE02B0" w:rsidRPr="00BF0F45" w:rsidRDefault="00CE02B0" w:rsidP="008278F8">
            <w:pPr>
              <w:ind w:right="393"/>
              <w:contextualSpacing/>
              <w:jc w:val="right"/>
              <w:rPr>
                <w:rFonts w:ascii="Arial" w:hAnsi="Arial" w:cs="Arial"/>
                <w:color w:val="000000"/>
                <w:sz w:val="18"/>
                <w:szCs w:val="18"/>
              </w:rPr>
            </w:pPr>
            <w:r>
              <w:rPr>
                <w:rFonts w:ascii="Arial" w:hAnsi="Arial" w:cs="Arial"/>
                <w:color w:val="000000"/>
                <w:sz w:val="20"/>
                <w:szCs w:val="20"/>
              </w:rPr>
              <w:t>98.7</w:t>
            </w:r>
          </w:p>
        </w:tc>
      </w:tr>
      <w:tr w:rsidR="00CE02B0" w:rsidRPr="00BF0F45" w14:paraId="7ECC6513" w14:textId="77777777" w:rsidTr="008278F8">
        <w:trPr>
          <w:cantSplit/>
          <w:trHeight w:val="383"/>
          <w:jc w:val="center"/>
        </w:trPr>
        <w:tc>
          <w:tcPr>
            <w:tcW w:w="2387" w:type="dxa"/>
            <w:shd w:val="clear" w:color="auto" w:fill="auto"/>
            <w:noWrap/>
            <w:vAlign w:val="bottom"/>
            <w:hideMark/>
          </w:tcPr>
          <w:p w14:paraId="52233A36" w14:textId="77777777" w:rsidR="00CE02B0" w:rsidRPr="00BF0F45" w:rsidRDefault="00CE02B0" w:rsidP="008278F8">
            <w:pPr>
              <w:ind w:left="317"/>
              <w:contextualSpacing/>
              <w:rPr>
                <w:rFonts w:ascii="Arial" w:hAnsi="Arial" w:cs="Arial"/>
                <w:sz w:val="18"/>
                <w:szCs w:val="18"/>
                <w:lang w:eastAsia="vi-VN"/>
              </w:rPr>
            </w:pPr>
            <w:r w:rsidRPr="00BF0F45">
              <w:rPr>
                <w:rFonts w:ascii="Arial" w:hAnsi="Arial" w:cs="Arial"/>
                <w:sz w:val="18"/>
                <w:szCs w:val="18"/>
              </w:rPr>
              <w:t>Seaway</w:t>
            </w:r>
          </w:p>
        </w:tc>
        <w:tc>
          <w:tcPr>
            <w:tcW w:w="1571" w:type="dxa"/>
            <w:shd w:val="clear" w:color="auto" w:fill="auto"/>
            <w:noWrap/>
            <w:vAlign w:val="bottom"/>
            <w:hideMark/>
          </w:tcPr>
          <w:p w14:paraId="2C7D1956" w14:textId="77777777" w:rsidR="00CE02B0" w:rsidRPr="00BF0F45" w:rsidRDefault="00CE02B0" w:rsidP="008278F8">
            <w:pPr>
              <w:ind w:right="322"/>
              <w:contextualSpacing/>
              <w:jc w:val="right"/>
              <w:rPr>
                <w:rFonts w:ascii="Arial" w:hAnsi="Arial" w:cs="Arial"/>
                <w:color w:val="000000"/>
                <w:sz w:val="18"/>
                <w:szCs w:val="18"/>
              </w:rPr>
            </w:pPr>
            <w:r w:rsidRPr="004219AF">
              <w:rPr>
                <w:rFonts w:ascii="Arial" w:hAnsi="Arial" w:cs="Arial"/>
                <w:sz w:val="20"/>
                <w:szCs w:val="20"/>
              </w:rPr>
              <w:t>9</w:t>
            </w:r>
            <w:r>
              <w:rPr>
                <w:rFonts w:ascii="Arial" w:hAnsi="Arial" w:cs="Arial"/>
                <w:sz w:val="20"/>
                <w:szCs w:val="20"/>
              </w:rPr>
              <w:t>.</w:t>
            </w:r>
            <w:r w:rsidRPr="004219AF">
              <w:rPr>
                <w:rFonts w:ascii="Arial" w:hAnsi="Arial" w:cs="Arial"/>
                <w:sz w:val="20"/>
                <w:szCs w:val="20"/>
              </w:rPr>
              <w:t>4</w:t>
            </w:r>
          </w:p>
        </w:tc>
        <w:tc>
          <w:tcPr>
            <w:tcW w:w="1406" w:type="dxa"/>
            <w:shd w:val="clear" w:color="auto" w:fill="auto"/>
            <w:noWrap/>
            <w:vAlign w:val="bottom"/>
            <w:hideMark/>
          </w:tcPr>
          <w:p w14:paraId="5641CB69" w14:textId="77777777" w:rsidR="00CE02B0" w:rsidRPr="00BF0F45" w:rsidRDefault="00CE02B0" w:rsidP="008278F8">
            <w:pPr>
              <w:ind w:right="292"/>
              <w:contextualSpacing/>
              <w:jc w:val="right"/>
              <w:rPr>
                <w:rFonts w:ascii="Arial" w:hAnsi="Arial" w:cs="Arial"/>
                <w:color w:val="000000"/>
                <w:sz w:val="18"/>
                <w:szCs w:val="18"/>
              </w:rPr>
            </w:pPr>
            <w:r w:rsidRPr="004219AF">
              <w:rPr>
                <w:rFonts w:ascii="Arial" w:hAnsi="Arial" w:cs="Arial"/>
                <w:sz w:val="20"/>
                <w:szCs w:val="20"/>
              </w:rPr>
              <w:t>19</w:t>
            </w:r>
            <w:r>
              <w:rPr>
                <w:rFonts w:ascii="Arial" w:hAnsi="Arial" w:cs="Arial"/>
                <w:sz w:val="20"/>
                <w:szCs w:val="20"/>
              </w:rPr>
              <w:t>.</w:t>
            </w:r>
            <w:r w:rsidRPr="004219AF">
              <w:rPr>
                <w:rFonts w:ascii="Arial" w:hAnsi="Arial" w:cs="Arial"/>
                <w:sz w:val="20"/>
                <w:szCs w:val="20"/>
              </w:rPr>
              <w:t>1</w:t>
            </w:r>
          </w:p>
        </w:tc>
        <w:tc>
          <w:tcPr>
            <w:tcW w:w="318" w:type="dxa"/>
            <w:shd w:val="clear" w:color="auto" w:fill="auto"/>
            <w:noWrap/>
            <w:vAlign w:val="center"/>
            <w:hideMark/>
          </w:tcPr>
          <w:p w14:paraId="35256CD0" w14:textId="77777777" w:rsidR="00CE02B0" w:rsidRPr="00BF0F45" w:rsidRDefault="00CE02B0" w:rsidP="008278F8">
            <w:pPr>
              <w:contextualSpacing/>
              <w:jc w:val="right"/>
              <w:rPr>
                <w:rFonts w:ascii="Arial" w:hAnsi="Arial" w:cs="Arial"/>
                <w:sz w:val="18"/>
                <w:szCs w:val="18"/>
              </w:rPr>
            </w:pPr>
          </w:p>
        </w:tc>
        <w:tc>
          <w:tcPr>
            <w:tcW w:w="1542" w:type="dxa"/>
            <w:shd w:val="clear" w:color="auto" w:fill="auto"/>
            <w:noWrap/>
            <w:vAlign w:val="bottom"/>
            <w:hideMark/>
          </w:tcPr>
          <w:p w14:paraId="77CC3017" w14:textId="77777777" w:rsidR="00CE02B0" w:rsidRPr="00BF0F45" w:rsidRDefault="00CE02B0" w:rsidP="008278F8">
            <w:pPr>
              <w:ind w:right="427"/>
              <w:contextualSpacing/>
              <w:jc w:val="right"/>
              <w:rPr>
                <w:rFonts w:ascii="Arial" w:hAnsi="Arial" w:cs="Arial"/>
                <w:color w:val="000000"/>
                <w:sz w:val="18"/>
                <w:szCs w:val="18"/>
              </w:rPr>
            </w:pPr>
            <w:r>
              <w:rPr>
                <w:rFonts w:ascii="Arial" w:hAnsi="Arial" w:cs="Arial"/>
                <w:color w:val="000000"/>
                <w:sz w:val="20"/>
                <w:szCs w:val="20"/>
              </w:rPr>
              <w:t>4.7</w:t>
            </w:r>
          </w:p>
        </w:tc>
        <w:tc>
          <w:tcPr>
            <w:tcW w:w="1546" w:type="dxa"/>
            <w:shd w:val="clear" w:color="auto" w:fill="auto"/>
            <w:noWrap/>
            <w:vAlign w:val="bottom"/>
            <w:hideMark/>
          </w:tcPr>
          <w:p w14:paraId="6F5DDBF6" w14:textId="77777777" w:rsidR="00CE02B0" w:rsidRPr="00BF0F45" w:rsidRDefault="00CE02B0" w:rsidP="008278F8">
            <w:pPr>
              <w:ind w:right="393"/>
              <w:contextualSpacing/>
              <w:jc w:val="right"/>
              <w:rPr>
                <w:rFonts w:ascii="Arial" w:hAnsi="Arial" w:cs="Arial"/>
                <w:color w:val="000000"/>
                <w:sz w:val="18"/>
                <w:szCs w:val="18"/>
              </w:rPr>
            </w:pPr>
            <w:r>
              <w:rPr>
                <w:rFonts w:ascii="Arial" w:hAnsi="Arial" w:cs="Arial"/>
                <w:color w:val="000000"/>
                <w:sz w:val="20"/>
                <w:szCs w:val="20"/>
              </w:rPr>
              <w:t>7.4</w:t>
            </w:r>
          </w:p>
        </w:tc>
      </w:tr>
      <w:tr w:rsidR="00CE02B0" w:rsidRPr="00BF0F45" w14:paraId="6715C862" w14:textId="77777777" w:rsidTr="008278F8">
        <w:trPr>
          <w:cantSplit/>
          <w:trHeight w:val="383"/>
          <w:jc w:val="center"/>
        </w:trPr>
        <w:tc>
          <w:tcPr>
            <w:tcW w:w="2387" w:type="dxa"/>
            <w:shd w:val="clear" w:color="auto" w:fill="auto"/>
            <w:noWrap/>
            <w:vAlign w:val="bottom"/>
            <w:hideMark/>
          </w:tcPr>
          <w:p w14:paraId="024E7BB9" w14:textId="77777777" w:rsidR="00CE02B0" w:rsidRPr="00BF0F45" w:rsidRDefault="00CE02B0" w:rsidP="008278F8">
            <w:pPr>
              <w:ind w:left="317"/>
              <w:contextualSpacing/>
              <w:rPr>
                <w:rFonts w:ascii="Arial" w:hAnsi="Arial" w:cs="Arial"/>
                <w:sz w:val="18"/>
                <w:szCs w:val="18"/>
                <w:lang w:eastAsia="vi-VN"/>
              </w:rPr>
            </w:pPr>
            <w:r w:rsidRPr="00BF0F45">
              <w:rPr>
                <w:rFonts w:ascii="Arial" w:hAnsi="Arial" w:cs="Arial"/>
                <w:sz w:val="18"/>
                <w:szCs w:val="18"/>
              </w:rPr>
              <w:t>Inland waterway</w:t>
            </w:r>
          </w:p>
        </w:tc>
        <w:tc>
          <w:tcPr>
            <w:tcW w:w="1571" w:type="dxa"/>
            <w:shd w:val="clear" w:color="auto" w:fill="auto"/>
            <w:noWrap/>
            <w:vAlign w:val="bottom"/>
            <w:hideMark/>
          </w:tcPr>
          <w:p w14:paraId="17ED1864" w14:textId="77777777" w:rsidR="00CE02B0" w:rsidRPr="00BF0F45" w:rsidRDefault="00CE02B0" w:rsidP="008278F8">
            <w:pPr>
              <w:ind w:right="322"/>
              <w:contextualSpacing/>
              <w:jc w:val="right"/>
              <w:rPr>
                <w:rFonts w:ascii="Arial" w:hAnsi="Arial" w:cs="Arial"/>
                <w:color w:val="000000"/>
                <w:sz w:val="18"/>
                <w:szCs w:val="18"/>
              </w:rPr>
            </w:pPr>
            <w:r w:rsidRPr="004219AF">
              <w:rPr>
                <w:rFonts w:ascii="Arial" w:hAnsi="Arial" w:cs="Arial"/>
                <w:sz w:val="20"/>
                <w:szCs w:val="20"/>
              </w:rPr>
              <w:t>43</w:t>
            </w:r>
            <w:r>
              <w:rPr>
                <w:rFonts w:ascii="Arial" w:hAnsi="Arial" w:cs="Arial"/>
                <w:sz w:val="20"/>
                <w:szCs w:val="20"/>
              </w:rPr>
              <w:t>.</w:t>
            </w:r>
            <w:r w:rsidRPr="004219AF">
              <w:rPr>
                <w:rFonts w:ascii="Arial" w:hAnsi="Arial" w:cs="Arial"/>
                <w:sz w:val="20"/>
                <w:szCs w:val="20"/>
              </w:rPr>
              <w:t>9</w:t>
            </w:r>
          </w:p>
        </w:tc>
        <w:tc>
          <w:tcPr>
            <w:tcW w:w="1406" w:type="dxa"/>
            <w:shd w:val="clear" w:color="auto" w:fill="auto"/>
            <w:noWrap/>
            <w:vAlign w:val="bottom"/>
            <w:hideMark/>
          </w:tcPr>
          <w:p w14:paraId="7DCD5FEF" w14:textId="77777777" w:rsidR="00CE02B0" w:rsidRPr="00BF0F45" w:rsidRDefault="00CE02B0" w:rsidP="008278F8">
            <w:pPr>
              <w:ind w:right="292"/>
              <w:contextualSpacing/>
              <w:jc w:val="right"/>
              <w:rPr>
                <w:rFonts w:ascii="Arial" w:hAnsi="Arial" w:cs="Arial"/>
                <w:color w:val="000000"/>
                <w:sz w:val="18"/>
                <w:szCs w:val="18"/>
              </w:rPr>
            </w:pPr>
            <w:r w:rsidRPr="004219AF">
              <w:rPr>
                <w:rFonts w:ascii="Arial" w:hAnsi="Arial" w:cs="Arial"/>
                <w:sz w:val="20"/>
                <w:szCs w:val="20"/>
              </w:rPr>
              <w:t>11</w:t>
            </w:r>
            <w:r>
              <w:rPr>
                <w:rFonts w:ascii="Arial" w:hAnsi="Arial" w:cs="Arial"/>
                <w:sz w:val="20"/>
                <w:szCs w:val="20"/>
              </w:rPr>
              <w:t>.</w:t>
            </w:r>
            <w:r w:rsidRPr="004219AF">
              <w:rPr>
                <w:rFonts w:ascii="Arial" w:hAnsi="Arial" w:cs="Arial"/>
                <w:sz w:val="20"/>
                <w:szCs w:val="20"/>
              </w:rPr>
              <w:t>0</w:t>
            </w:r>
          </w:p>
        </w:tc>
        <w:tc>
          <w:tcPr>
            <w:tcW w:w="318" w:type="dxa"/>
            <w:shd w:val="clear" w:color="auto" w:fill="auto"/>
            <w:noWrap/>
            <w:vAlign w:val="center"/>
            <w:hideMark/>
          </w:tcPr>
          <w:p w14:paraId="4AE66017" w14:textId="77777777" w:rsidR="00CE02B0" w:rsidRPr="00BF0F45" w:rsidRDefault="00CE02B0" w:rsidP="008278F8">
            <w:pPr>
              <w:contextualSpacing/>
              <w:jc w:val="right"/>
              <w:rPr>
                <w:rFonts w:ascii="Arial" w:hAnsi="Arial" w:cs="Arial"/>
                <w:sz w:val="18"/>
                <w:szCs w:val="18"/>
              </w:rPr>
            </w:pPr>
          </w:p>
        </w:tc>
        <w:tc>
          <w:tcPr>
            <w:tcW w:w="1542" w:type="dxa"/>
            <w:shd w:val="clear" w:color="auto" w:fill="auto"/>
            <w:noWrap/>
            <w:vAlign w:val="bottom"/>
            <w:hideMark/>
          </w:tcPr>
          <w:p w14:paraId="03012D66" w14:textId="77777777" w:rsidR="00CE02B0" w:rsidRPr="00BF0F45" w:rsidRDefault="00CE02B0" w:rsidP="008278F8">
            <w:pPr>
              <w:ind w:right="427"/>
              <w:contextualSpacing/>
              <w:jc w:val="right"/>
              <w:rPr>
                <w:rFonts w:ascii="Arial" w:hAnsi="Arial" w:cs="Arial"/>
                <w:color w:val="000000"/>
                <w:sz w:val="18"/>
                <w:szCs w:val="18"/>
              </w:rPr>
            </w:pPr>
            <w:r>
              <w:rPr>
                <w:rFonts w:ascii="Arial" w:hAnsi="Arial" w:cs="Arial"/>
                <w:color w:val="000000"/>
                <w:sz w:val="20"/>
                <w:szCs w:val="20"/>
              </w:rPr>
              <w:t>15.0</w:t>
            </w:r>
          </w:p>
        </w:tc>
        <w:tc>
          <w:tcPr>
            <w:tcW w:w="1546" w:type="dxa"/>
            <w:shd w:val="clear" w:color="auto" w:fill="auto"/>
            <w:noWrap/>
            <w:vAlign w:val="bottom"/>
            <w:hideMark/>
          </w:tcPr>
          <w:p w14:paraId="5F3749C4" w14:textId="77777777" w:rsidR="00CE02B0" w:rsidRPr="00BF0F45" w:rsidRDefault="00CE02B0" w:rsidP="008278F8">
            <w:pPr>
              <w:ind w:right="393"/>
              <w:contextualSpacing/>
              <w:jc w:val="right"/>
              <w:rPr>
                <w:rFonts w:ascii="Arial" w:hAnsi="Arial" w:cs="Arial"/>
                <w:color w:val="000000"/>
                <w:sz w:val="18"/>
                <w:szCs w:val="18"/>
              </w:rPr>
            </w:pPr>
            <w:r>
              <w:rPr>
                <w:rFonts w:ascii="Arial" w:hAnsi="Arial" w:cs="Arial"/>
                <w:color w:val="000000"/>
                <w:sz w:val="20"/>
                <w:szCs w:val="20"/>
              </w:rPr>
              <w:t>17.4</w:t>
            </w:r>
          </w:p>
        </w:tc>
      </w:tr>
      <w:tr w:rsidR="00CE02B0" w:rsidRPr="00BF0F45" w14:paraId="60A64869" w14:textId="77777777" w:rsidTr="008278F8">
        <w:trPr>
          <w:cantSplit/>
          <w:trHeight w:val="383"/>
          <w:jc w:val="center"/>
        </w:trPr>
        <w:tc>
          <w:tcPr>
            <w:tcW w:w="2387" w:type="dxa"/>
            <w:shd w:val="clear" w:color="auto" w:fill="auto"/>
            <w:noWrap/>
            <w:vAlign w:val="bottom"/>
            <w:hideMark/>
          </w:tcPr>
          <w:p w14:paraId="49B542D3" w14:textId="77777777" w:rsidR="00CE02B0" w:rsidRPr="00BF0F45" w:rsidRDefault="00CE02B0" w:rsidP="008278F8">
            <w:pPr>
              <w:ind w:left="317"/>
              <w:contextualSpacing/>
              <w:rPr>
                <w:rFonts w:ascii="Arial" w:hAnsi="Arial" w:cs="Arial"/>
                <w:sz w:val="18"/>
                <w:szCs w:val="18"/>
                <w:lang w:eastAsia="vi-VN"/>
              </w:rPr>
            </w:pPr>
            <w:r w:rsidRPr="00BF0F45">
              <w:rPr>
                <w:rFonts w:ascii="Arial" w:hAnsi="Arial" w:cs="Arial"/>
                <w:sz w:val="18"/>
                <w:szCs w:val="18"/>
              </w:rPr>
              <w:t>Road</w:t>
            </w:r>
          </w:p>
        </w:tc>
        <w:tc>
          <w:tcPr>
            <w:tcW w:w="1571" w:type="dxa"/>
            <w:shd w:val="clear" w:color="auto" w:fill="auto"/>
            <w:noWrap/>
            <w:vAlign w:val="bottom"/>
            <w:hideMark/>
          </w:tcPr>
          <w:p w14:paraId="49D16FB8" w14:textId="77777777" w:rsidR="00CE02B0" w:rsidRPr="00BF0F45" w:rsidRDefault="00CE02B0" w:rsidP="008278F8">
            <w:pPr>
              <w:ind w:right="322"/>
              <w:contextualSpacing/>
              <w:jc w:val="right"/>
              <w:rPr>
                <w:rFonts w:ascii="Arial" w:hAnsi="Arial" w:cs="Arial"/>
                <w:color w:val="000000"/>
                <w:sz w:val="18"/>
                <w:szCs w:val="18"/>
              </w:rPr>
            </w:pPr>
            <w:r w:rsidRPr="004219AF">
              <w:rPr>
                <w:rFonts w:ascii="Arial" w:hAnsi="Arial" w:cs="Arial"/>
                <w:sz w:val="20"/>
                <w:szCs w:val="20"/>
              </w:rPr>
              <w:t>151</w:t>
            </w:r>
            <w:r>
              <w:rPr>
                <w:rFonts w:ascii="Arial" w:hAnsi="Arial" w:cs="Arial"/>
                <w:sz w:val="20"/>
                <w:szCs w:val="20"/>
              </w:rPr>
              <w:t>.</w:t>
            </w:r>
            <w:r w:rsidRPr="004219AF">
              <w:rPr>
                <w:rFonts w:ascii="Arial" w:hAnsi="Arial" w:cs="Arial"/>
                <w:sz w:val="20"/>
                <w:szCs w:val="20"/>
              </w:rPr>
              <w:t>2</w:t>
            </w:r>
          </w:p>
        </w:tc>
        <w:tc>
          <w:tcPr>
            <w:tcW w:w="1406" w:type="dxa"/>
            <w:shd w:val="clear" w:color="auto" w:fill="auto"/>
            <w:noWrap/>
            <w:vAlign w:val="bottom"/>
            <w:hideMark/>
          </w:tcPr>
          <w:p w14:paraId="02B7C23C" w14:textId="77777777" w:rsidR="00CE02B0" w:rsidRPr="00BF0F45" w:rsidRDefault="00CE02B0" w:rsidP="008278F8">
            <w:pPr>
              <w:ind w:right="292"/>
              <w:contextualSpacing/>
              <w:jc w:val="right"/>
              <w:rPr>
                <w:rFonts w:ascii="Arial" w:hAnsi="Arial" w:cs="Arial"/>
                <w:color w:val="000000"/>
                <w:sz w:val="18"/>
                <w:szCs w:val="18"/>
              </w:rPr>
            </w:pPr>
            <w:r w:rsidRPr="004219AF">
              <w:rPr>
                <w:rFonts w:ascii="Arial" w:hAnsi="Arial" w:cs="Arial"/>
                <w:sz w:val="20"/>
                <w:szCs w:val="20"/>
              </w:rPr>
              <w:t>11</w:t>
            </w:r>
            <w:r>
              <w:rPr>
                <w:rFonts w:ascii="Arial" w:hAnsi="Arial" w:cs="Arial"/>
                <w:sz w:val="20"/>
                <w:szCs w:val="20"/>
              </w:rPr>
              <w:t>.</w:t>
            </w:r>
            <w:r w:rsidRPr="004219AF">
              <w:rPr>
                <w:rFonts w:ascii="Arial" w:hAnsi="Arial" w:cs="Arial"/>
                <w:sz w:val="20"/>
                <w:szCs w:val="20"/>
              </w:rPr>
              <w:t>6</w:t>
            </w:r>
          </w:p>
        </w:tc>
        <w:tc>
          <w:tcPr>
            <w:tcW w:w="318" w:type="dxa"/>
            <w:shd w:val="clear" w:color="auto" w:fill="auto"/>
            <w:noWrap/>
            <w:vAlign w:val="center"/>
            <w:hideMark/>
          </w:tcPr>
          <w:p w14:paraId="5EA329D9" w14:textId="77777777" w:rsidR="00CE02B0" w:rsidRPr="00BF0F45" w:rsidRDefault="00CE02B0" w:rsidP="008278F8">
            <w:pPr>
              <w:contextualSpacing/>
              <w:jc w:val="right"/>
              <w:rPr>
                <w:rFonts w:ascii="Arial" w:hAnsi="Arial" w:cs="Arial"/>
                <w:sz w:val="18"/>
                <w:szCs w:val="18"/>
              </w:rPr>
            </w:pPr>
          </w:p>
        </w:tc>
        <w:tc>
          <w:tcPr>
            <w:tcW w:w="1542" w:type="dxa"/>
            <w:shd w:val="clear" w:color="auto" w:fill="auto"/>
            <w:noWrap/>
            <w:vAlign w:val="bottom"/>
            <w:hideMark/>
          </w:tcPr>
          <w:p w14:paraId="34895090" w14:textId="77777777" w:rsidR="00CE02B0" w:rsidRPr="00BF0F45" w:rsidRDefault="00CE02B0" w:rsidP="008278F8">
            <w:pPr>
              <w:ind w:right="427"/>
              <w:contextualSpacing/>
              <w:jc w:val="right"/>
              <w:rPr>
                <w:rFonts w:ascii="Arial" w:hAnsi="Arial" w:cs="Arial"/>
                <w:color w:val="000000"/>
                <w:sz w:val="18"/>
                <w:szCs w:val="18"/>
              </w:rPr>
            </w:pPr>
            <w:r>
              <w:rPr>
                <w:rFonts w:ascii="Arial" w:hAnsi="Arial" w:cs="Arial"/>
                <w:color w:val="000000"/>
                <w:sz w:val="20"/>
                <w:szCs w:val="20"/>
              </w:rPr>
              <w:t>10.9</w:t>
            </w:r>
          </w:p>
        </w:tc>
        <w:tc>
          <w:tcPr>
            <w:tcW w:w="1546" w:type="dxa"/>
            <w:shd w:val="clear" w:color="auto" w:fill="auto"/>
            <w:noWrap/>
            <w:vAlign w:val="bottom"/>
            <w:hideMark/>
          </w:tcPr>
          <w:p w14:paraId="12E46FEB" w14:textId="77777777" w:rsidR="00CE02B0" w:rsidRPr="00BF0F45" w:rsidRDefault="00CE02B0" w:rsidP="008278F8">
            <w:pPr>
              <w:ind w:right="393"/>
              <w:contextualSpacing/>
              <w:jc w:val="right"/>
              <w:rPr>
                <w:rFonts w:ascii="Arial" w:hAnsi="Arial" w:cs="Arial"/>
                <w:color w:val="000000"/>
                <w:sz w:val="18"/>
                <w:szCs w:val="18"/>
              </w:rPr>
            </w:pPr>
            <w:r>
              <w:rPr>
                <w:rFonts w:ascii="Arial" w:hAnsi="Arial" w:cs="Arial"/>
                <w:color w:val="000000"/>
                <w:sz w:val="20"/>
                <w:szCs w:val="20"/>
              </w:rPr>
              <w:t>18.8</w:t>
            </w:r>
          </w:p>
        </w:tc>
      </w:tr>
      <w:tr w:rsidR="00CE02B0" w:rsidRPr="00BF0F45" w14:paraId="19CB7584" w14:textId="77777777" w:rsidTr="008278F8">
        <w:trPr>
          <w:cantSplit/>
          <w:trHeight w:val="383"/>
          <w:jc w:val="center"/>
        </w:trPr>
        <w:tc>
          <w:tcPr>
            <w:tcW w:w="2387" w:type="dxa"/>
            <w:tcBorders>
              <w:bottom w:val="single" w:sz="4" w:space="0" w:color="auto"/>
            </w:tcBorders>
            <w:shd w:val="clear" w:color="auto" w:fill="auto"/>
            <w:noWrap/>
            <w:vAlign w:val="bottom"/>
            <w:hideMark/>
          </w:tcPr>
          <w:p w14:paraId="6634CD44" w14:textId="77777777" w:rsidR="00CE02B0" w:rsidRPr="00BF0F45" w:rsidRDefault="00CE02B0" w:rsidP="008278F8">
            <w:pPr>
              <w:ind w:left="317"/>
              <w:contextualSpacing/>
              <w:rPr>
                <w:rFonts w:ascii="Arial" w:hAnsi="Arial" w:cs="Arial"/>
                <w:sz w:val="18"/>
                <w:szCs w:val="18"/>
                <w:lang w:eastAsia="vi-VN"/>
              </w:rPr>
            </w:pPr>
            <w:r w:rsidRPr="00BF0F45">
              <w:rPr>
                <w:rFonts w:ascii="Arial" w:hAnsi="Arial" w:cs="Arial"/>
                <w:sz w:val="18"/>
                <w:szCs w:val="18"/>
              </w:rPr>
              <w:t>Airway</w:t>
            </w:r>
          </w:p>
        </w:tc>
        <w:tc>
          <w:tcPr>
            <w:tcW w:w="1571" w:type="dxa"/>
            <w:tcBorders>
              <w:bottom w:val="single" w:sz="4" w:space="0" w:color="auto"/>
            </w:tcBorders>
            <w:shd w:val="clear" w:color="auto" w:fill="auto"/>
            <w:noWrap/>
            <w:vAlign w:val="bottom"/>
            <w:hideMark/>
          </w:tcPr>
          <w:p w14:paraId="12B3A3D7" w14:textId="77777777" w:rsidR="00CE02B0" w:rsidRPr="00BF0F45" w:rsidRDefault="00CE02B0" w:rsidP="008278F8">
            <w:pPr>
              <w:ind w:right="322"/>
              <w:contextualSpacing/>
              <w:jc w:val="right"/>
              <w:rPr>
                <w:rFonts w:ascii="Arial" w:hAnsi="Arial" w:cs="Arial"/>
                <w:color w:val="000000"/>
                <w:sz w:val="18"/>
                <w:szCs w:val="18"/>
              </w:rPr>
            </w:pPr>
            <w:r w:rsidRPr="004219AF">
              <w:rPr>
                <w:rFonts w:ascii="Arial" w:hAnsi="Arial" w:cs="Arial"/>
                <w:sz w:val="20"/>
                <w:szCs w:val="20"/>
              </w:rPr>
              <w:t>0</w:t>
            </w:r>
            <w:r>
              <w:rPr>
                <w:rFonts w:ascii="Arial" w:hAnsi="Arial" w:cs="Arial"/>
                <w:sz w:val="20"/>
                <w:szCs w:val="20"/>
              </w:rPr>
              <w:t>.</w:t>
            </w:r>
            <w:r w:rsidRPr="004219AF">
              <w:rPr>
                <w:rFonts w:ascii="Arial" w:hAnsi="Arial" w:cs="Arial"/>
                <w:sz w:val="20"/>
                <w:szCs w:val="20"/>
              </w:rPr>
              <w:t>04</w:t>
            </w:r>
          </w:p>
        </w:tc>
        <w:tc>
          <w:tcPr>
            <w:tcW w:w="1406" w:type="dxa"/>
            <w:tcBorders>
              <w:bottom w:val="single" w:sz="4" w:space="0" w:color="auto"/>
            </w:tcBorders>
            <w:shd w:val="clear" w:color="auto" w:fill="auto"/>
            <w:noWrap/>
            <w:vAlign w:val="bottom"/>
            <w:hideMark/>
          </w:tcPr>
          <w:p w14:paraId="10A1256F" w14:textId="77777777" w:rsidR="00CE02B0" w:rsidRPr="00BF0F45" w:rsidRDefault="00CE02B0" w:rsidP="008278F8">
            <w:pPr>
              <w:ind w:right="292"/>
              <w:contextualSpacing/>
              <w:jc w:val="right"/>
              <w:rPr>
                <w:rFonts w:ascii="Arial" w:hAnsi="Arial" w:cs="Arial"/>
                <w:color w:val="000000"/>
                <w:sz w:val="18"/>
                <w:szCs w:val="18"/>
              </w:rPr>
            </w:pPr>
            <w:r w:rsidRPr="004219AF">
              <w:rPr>
                <w:rFonts w:ascii="Arial" w:hAnsi="Arial" w:cs="Arial"/>
                <w:sz w:val="20"/>
                <w:szCs w:val="20"/>
              </w:rPr>
              <w:t>0</w:t>
            </w:r>
            <w:r>
              <w:rPr>
                <w:rFonts w:ascii="Arial" w:hAnsi="Arial" w:cs="Arial"/>
                <w:sz w:val="20"/>
                <w:szCs w:val="20"/>
              </w:rPr>
              <w:t>.</w:t>
            </w:r>
            <w:r w:rsidRPr="004219AF">
              <w:rPr>
                <w:rFonts w:ascii="Arial" w:hAnsi="Arial" w:cs="Arial"/>
                <w:sz w:val="20"/>
                <w:szCs w:val="20"/>
              </w:rPr>
              <w:t>9</w:t>
            </w:r>
          </w:p>
        </w:tc>
        <w:tc>
          <w:tcPr>
            <w:tcW w:w="318" w:type="dxa"/>
            <w:tcBorders>
              <w:bottom w:val="single" w:sz="4" w:space="0" w:color="auto"/>
            </w:tcBorders>
            <w:shd w:val="clear" w:color="auto" w:fill="auto"/>
            <w:noWrap/>
            <w:vAlign w:val="center"/>
            <w:hideMark/>
          </w:tcPr>
          <w:p w14:paraId="1125BAE4" w14:textId="77777777" w:rsidR="00CE02B0" w:rsidRPr="00BF0F45" w:rsidRDefault="00CE02B0" w:rsidP="008278F8">
            <w:pPr>
              <w:contextualSpacing/>
              <w:jc w:val="right"/>
              <w:rPr>
                <w:rFonts w:ascii="Arial" w:hAnsi="Arial" w:cs="Arial"/>
                <w:sz w:val="18"/>
                <w:szCs w:val="18"/>
              </w:rPr>
            </w:pPr>
          </w:p>
        </w:tc>
        <w:tc>
          <w:tcPr>
            <w:tcW w:w="1542" w:type="dxa"/>
            <w:tcBorders>
              <w:bottom w:val="single" w:sz="4" w:space="0" w:color="auto"/>
            </w:tcBorders>
            <w:shd w:val="clear" w:color="auto" w:fill="auto"/>
            <w:noWrap/>
            <w:vAlign w:val="bottom"/>
            <w:hideMark/>
          </w:tcPr>
          <w:p w14:paraId="6F7F6CB4" w14:textId="77777777" w:rsidR="00CE02B0" w:rsidRPr="00BF0F45" w:rsidRDefault="00CE02B0" w:rsidP="008278F8">
            <w:pPr>
              <w:ind w:right="427"/>
              <w:contextualSpacing/>
              <w:jc w:val="right"/>
              <w:rPr>
                <w:rFonts w:ascii="Arial" w:hAnsi="Arial" w:cs="Arial"/>
                <w:color w:val="000000"/>
                <w:sz w:val="18"/>
                <w:szCs w:val="18"/>
              </w:rPr>
            </w:pPr>
            <w:r>
              <w:rPr>
                <w:rFonts w:ascii="Arial" w:hAnsi="Arial" w:cs="Arial"/>
                <w:color w:val="000000"/>
                <w:sz w:val="20"/>
                <w:szCs w:val="20"/>
              </w:rPr>
              <w:t>69.6</w:t>
            </w:r>
          </w:p>
        </w:tc>
        <w:tc>
          <w:tcPr>
            <w:tcW w:w="1546" w:type="dxa"/>
            <w:tcBorders>
              <w:bottom w:val="single" w:sz="4" w:space="0" w:color="auto"/>
            </w:tcBorders>
            <w:shd w:val="clear" w:color="auto" w:fill="auto"/>
            <w:noWrap/>
            <w:vAlign w:val="bottom"/>
            <w:hideMark/>
          </w:tcPr>
          <w:p w14:paraId="067A3838" w14:textId="77777777" w:rsidR="00CE02B0" w:rsidRPr="00BF0F45" w:rsidRDefault="00CE02B0" w:rsidP="008278F8">
            <w:pPr>
              <w:ind w:right="393"/>
              <w:contextualSpacing/>
              <w:jc w:val="right"/>
              <w:rPr>
                <w:rFonts w:ascii="Arial" w:hAnsi="Arial" w:cs="Arial"/>
                <w:color w:val="000000"/>
                <w:sz w:val="18"/>
                <w:szCs w:val="18"/>
              </w:rPr>
            </w:pPr>
            <w:r>
              <w:rPr>
                <w:rFonts w:ascii="Arial" w:hAnsi="Arial" w:cs="Arial"/>
                <w:color w:val="000000"/>
                <w:sz w:val="20"/>
                <w:szCs w:val="20"/>
              </w:rPr>
              <w:t>35.4</w:t>
            </w:r>
          </w:p>
        </w:tc>
      </w:tr>
    </w:tbl>
    <w:p w14:paraId="2D681322" w14:textId="77777777" w:rsidR="00CE02B0" w:rsidRPr="004268AF" w:rsidRDefault="00CE02B0" w:rsidP="00CE02B0">
      <w:pPr>
        <w:spacing w:before="120" w:after="60" w:line="276" w:lineRule="auto"/>
        <w:jc w:val="both"/>
        <w:rPr>
          <w:sz w:val="2"/>
        </w:rPr>
      </w:pPr>
    </w:p>
    <w:p w14:paraId="0CB2D273" w14:textId="77777777" w:rsidR="00CE02B0" w:rsidRPr="00EB4E94" w:rsidRDefault="00CE02B0" w:rsidP="00CE02B0">
      <w:pPr>
        <w:spacing w:after="120" w:line="276" w:lineRule="auto"/>
        <w:ind w:firstLine="567"/>
        <w:jc w:val="both"/>
        <w:rPr>
          <w:b/>
          <w:bCs/>
          <w:i/>
          <w:lang w:val="fr-FR"/>
        </w:rPr>
      </w:pPr>
      <w:r w:rsidRPr="00F4636F">
        <w:rPr>
          <w:b/>
          <w:bCs/>
          <w:i/>
          <w:iCs/>
        </w:rPr>
        <w:t>đ</w:t>
      </w:r>
      <w:r w:rsidRPr="00EB4E94">
        <w:rPr>
          <w:b/>
          <w:bCs/>
          <w:i/>
          <w:iCs/>
        </w:rPr>
        <w:t xml:space="preserve">) </w:t>
      </w:r>
      <w:r w:rsidRPr="00E34057">
        <w:rPr>
          <w:b/>
          <w:bCs/>
          <w:i/>
          <w:iCs/>
        </w:rPr>
        <w:t>International visitors to Viet Nam</w:t>
      </w:r>
      <w:r w:rsidRPr="00EB4E94">
        <w:rPr>
          <w:rStyle w:val="FootnoteReference"/>
          <w:b/>
          <w:bCs/>
          <w:i/>
          <w:iCs/>
        </w:rPr>
        <w:t xml:space="preserve"> </w:t>
      </w:r>
      <w:r w:rsidRPr="00EB4E94">
        <w:rPr>
          <w:rStyle w:val="FootnoteReference"/>
          <w:b/>
          <w:bCs/>
          <w:i/>
          <w:iCs/>
        </w:rPr>
        <w:footnoteReference w:id="24"/>
      </w:r>
    </w:p>
    <w:p w14:paraId="43404A1D" w14:textId="77777777" w:rsidR="00CE02B0" w:rsidRDefault="00CE02B0" w:rsidP="00CE02B0">
      <w:pPr>
        <w:shd w:val="clear" w:color="auto" w:fill="FFFFFF"/>
        <w:spacing w:before="40" w:after="40" w:line="276" w:lineRule="auto"/>
        <w:ind w:firstLine="567"/>
        <w:jc w:val="both"/>
        <w:rPr>
          <w:i/>
          <w:color w:val="000000" w:themeColor="text1"/>
          <w:lang w:val="fr-FR" w:eastAsia="en-GB"/>
        </w:rPr>
      </w:pPr>
      <w:r w:rsidRPr="006324C6">
        <w:rPr>
          <w:i/>
          <w:iCs/>
        </w:rPr>
        <w:t>Policies to promote Vietnamese tourism are widely implemented.</w:t>
      </w:r>
      <w:r>
        <w:rPr>
          <w:i/>
          <w:iCs/>
          <w:lang w:val="en-US"/>
        </w:rPr>
        <w:t xml:space="preserve"> </w:t>
      </w:r>
      <w:r w:rsidRPr="006324C6">
        <w:rPr>
          <w:i/>
          <w:iCs/>
        </w:rPr>
        <w:t>Vietnam being a safe destination</w:t>
      </w:r>
      <w:r>
        <w:rPr>
          <w:i/>
          <w:iCs/>
          <w:lang w:val="en-US"/>
        </w:rPr>
        <w:t xml:space="preserve"> so that </w:t>
      </w:r>
      <w:r w:rsidRPr="006324C6">
        <w:rPr>
          <w:i/>
          <w:iCs/>
        </w:rPr>
        <w:t xml:space="preserve">international visitors to our country in </w:t>
      </w:r>
      <w:r>
        <w:rPr>
          <w:i/>
          <w:iCs/>
        </w:rPr>
        <w:t>January</w:t>
      </w:r>
      <w:r>
        <w:rPr>
          <w:i/>
          <w:iCs/>
          <w:lang w:val="en-US"/>
        </w:rPr>
        <w:t xml:space="preserve"> </w:t>
      </w:r>
      <w:r>
        <w:rPr>
          <w:i/>
          <w:iCs/>
          <w:lang w:val="en-US"/>
        </w:rPr>
        <w:lastRenderedPageBreak/>
        <w:t>2024</w:t>
      </w:r>
      <w:r w:rsidRPr="00A56E3C">
        <w:rPr>
          <w:rStyle w:val="FootnoteReference"/>
          <w:bCs/>
          <w:i/>
          <w:iCs/>
        </w:rPr>
        <w:footnoteReference w:id="25"/>
      </w:r>
      <w:r>
        <w:rPr>
          <w:i/>
          <w:iCs/>
          <w:lang w:val="en-US"/>
        </w:rPr>
        <w:t xml:space="preserve"> </w:t>
      </w:r>
      <w:r w:rsidRPr="006324C6">
        <w:rPr>
          <w:i/>
          <w:iCs/>
        </w:rPr>
        <w:t>reach</w:t>
      </w:r>
      <w:r>
        <w:rPr>
          <w:i/>
          <w:iCs/>
          <w:lang w:val="en-US"/>
        </w:rPr>
        <w:t>ed</w:t>
      </w:r>
      <w:r w:rsidRPr="006324C6">
        <w:rPr>
          <w:i/>
          <w:iCs/>
        </w:rPr>
        <w:t xml:space="preserve"> more than 1.5 million people</w:t>
      </w:r>
      <w:r>
        <w:rPr>
          <w:i/>
          <w:iCs/>
          <w:lang w:val="en-US"/>
        </w:rPr>
        <w:t xml:space="preserve"> </w:t>
      </w:r>
      <w:r w:rsidRPr="006324C6">
        <w:rPr>
          <w:i/>
          <w:iCs/>
          <w:lang w:val="en-US"/>
        </w:rPr>
        <w:t>increased 10.3% over the previous month and increased 73.6% over the same period last year</w:t>
      </w:r>
      <w:r w:rsidRPr="006324C6">
        <w:rPr>
          <w:i/>
          <w:iCs/>
        </w:rPr>
        <w:t>.</w:t>
      </w:r>
      <w:r w:rsidRPr="00A747BE">
        <w:rPr>
          <w:i/>
          <w:color w:val="000000" w:themeColor="text1"/>
          <w:lang w:val="fr-FR" w:eastAsia="en-GB"/>
        </w:rPr>
        <w:t xml:space="preserve"> </w:t>
      </w:r>
    </w:p>
    <w:p w14:paraId="14680731" w14:textId="6DA43FBC" w:rsidR="00CE02B0" w:rsidRPr="00483451" w:rsidRDefault="00CE02B0" w:rsidP="00CE02B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after="60" w:line="276" w:lineRule="auto"/>
        <w:ind w:firstLine="567"/>
        <w:jc w:val="both"/>
        <w:rPr>
          <w:rFonts w:ascii="Times New Roman" w:hAnsi="Times New Roman" w:cs="Times New Roman"/>
          <w:color w:val="000000" w:themeColor="text1"/>
          <w:spacing w:val="-4"/>
          <w:sz w:val="28"/>
          <w:szCs w:val="28"/>
        </w:rPr>
      </w:pPr>
      <w:r w:rsidRPr="00483451">
        <w:rPr>
          <w:rFonts w:ascii="Times New Roman" w:hAnsi="Times New Roman" w:cs="Times New Roman"/>
          <w:color w:val="000000" w:themeColor="text1"/>
          <w:spacing w:val="-4"/>
          <w:sz w:val="28"/>
          <w:szCs w:val="28"/>
        </w:rPr>
        <w:t xml:space="preserve">Out of a total of </w:t>
      </w:r>
      <w:bookmarkStart w:id="7" w:name="_Hlk120831712"/>
      <w:r>
        <w:rPr>
          <w:rFonts w:ascii="Times New Roman" w:hAnsi="Times New Roman" w:cs="Times New Roman"/>
          <w:color w:val="000000" w:themeColor="text1"/>
          <w:spacing w:val="-4"/>
          <w:sz w:val="28"/>
          <w:szCs w:val="28"/>
        </w:rPr>
        <w:t>over 1.5</w:t>
      </w:r>
      <w:r>
        <w:t xml:space="preserve"> </w:t>
      </w:r>
      <w:r w:rsidRPr="006324C6">
        <w:rPr>
          <w:rFonts w:ascii="Times New Roman" w:hAnsi="Times New Roman" w:cs="Times New Roman"/>
          <w:color w:val="000000" w:themeColor="text1"/>
          <w:spacing w:val="-4"/>
          <w:sz w:val="28"/>
          <w:szCs w:val="28"/>
        </w:rPr>
        <w:t xml:space="preserve">million </w:t>
      </w:r>
      <w:r w:rsidRPr="00483451">
        <w:rPr>
          <w:rFonts w:ascii="Times New Roman" w:hAnsi="Times New Roman" w:cs="Times New Roman"/>
          <w:color w:val="000000" w:themeColor="text1"/>
          <w:spacing w:val="-4"/>
          <w:sz w:val="28"/>
          <w:szCs w:val="28"/>
        </w:rPr>
        <w:t xml:space="preserve">international visitors to Viet Nam in </w:t>
      </w:r>
      <w:r>
        <w:rPr>
          <w:rFonts w:ascii="Times New Roman" w:hAnsi="Times New Roman" w:cs="Times New Roman"/>
          <w:color w:val="000000" w:themeColor="text1"/>
          <w:spacing w:val="-4"/>
          <w:sz w:val="28"/>
          <w:szCs w:val="28"/>
        </w:rPr>
        <w:t>this</w:t>
      </w:r>
      <w:r w:rsidRPr="00483451">
        <w:rPr>
          <w:rFonts w:ascii="Times New Roman" w:hAnsi="Times New Roman" w:cs="Times New Roman"/>
          <w:color w:val="000000" w:themeColor="text1"/>
          <w:spacing w:val="-4"/>
          <w:sz w:val="28"/>
          <w:szCs w:val="28"/>
        </w:rPr>
        <w:t xml:space="preserve"> </w:t>
      </w:r>
      <w:r>
        <w:rPr>
          <w:rFonts w:ascii="Times New Roman" w:hAnsi="Times New Roman" w:cs="Times New Roman"/>
          <w:color w:val="000000" w:themeColor="text1"/>
          <w:spacing w:val="-4"/>
          <w:sz w:val="28"/>
          <w:szCs w:val="28"/>
        </w:rPr>
        <w:t>month,</w:t>
      </w:r>
      <w:r w:rsidRPr="00483451">
        <w:rPr>
          <w:rFonts w:ascii="Times New Roman" w:hAnsi="Times New Roman" w:cs="Times New Roman"/>
          <w:color w:val="000000" w:themeColor="text1"/>
          <w:spacing w:val="-4"/>
          <w:sz w:val="28"/>
          <w:szCs w:val="28"/>
        </w:rPr>
        <w:t xml:space="preserve"> visitors coming by airway gained </w:t>
      </w:r>
      <w:bookmarkStart w:id="8" w:name="_Hlk120831725"/>
      <w:bookmarkEnd w:id="7"/>
      <w:r w:rsidRPr="006324C6">
        <w:rPr>
          <w:rFonts w:ascii="Times New Roman" w:hAnsi="Times New Roman" w:cs="Times New Roman"/>
          <w:color w:val="000000" w:themeColor="text1"/>
          <w:spacing w:val="-4"/>
          <w:sz w:val="28"/>
          <w:szCs w:val="28"/>
        </w:rPr>
        <w:t>1</w:t>
      </w:r>
      <w:r>
        <w:rPr>
          <w:rFonts w:ascii="Times New Roman" w:hAnsi="Times New Roman" w:cs="Times New Roman"/>
          <w:color w:val="000000" w:themeColor="text1"/>
          <w:spacing w:val="-4"/>
          <w:sz w:val="28"/>
          <w:szCs w:val="28"/>
        </w:rPr>
        <w:t>.</w:t>
      </w:r>
      <w:r w:rsidRPr="006324C6">
        <w:rPr>
          <w:rFonts w:ascii="Times New Roman" w:hAnsi="Times New Roman" w:cs="Times New Roman"/>
          <w:color w:val="000000" w:themeColor="text1"/>
          <w:spacing w:val="-4"/>
          <w:sz w:val="28"/>
          <w:szCs w:val="28"/>
        </w:rPr>
        <w:t xml:space="preserve">3 </w:t>
      </w:r>
      <w:r>
        <w:rPr>
          <w:rFonts w:ascii="Times New Roman" w:hAnsi="Times New Roman" w:cs="Times New Roman"/>
          <w:color w:val="000000" w:themeColor="text1"/>
          <w:spacing w:val="-4"/>
          <w:sz w:val="28"/>
          <w:szCs w:val="28"/>
        </w:rPr>
        <w:t>million people,</w:t>
      </w:r>
      <w:r w:rsidRPr="00483451">
        <w:rPr>
          <w:rFonts w:ascii="Times New Roman" w:hAnsi="Times New Roman" w:cs="Times New Roman"/>
          <w:color w:val="000000" w:themeColor="text1"/>
          <w:spacing w:val="-4"/>
          <w:sz w:val="28"/>
          <w:szCs w:val="28"/>
        </w:rPr>
        <w:t xml:space="preserve"> accounting for</w:t>
      </w:r>
      <w:bookmarkEnd w:id="8"/>
      <w:r w:rsidRPr="00483451">
        <w:rPr>
          <w:rFonts w:ascii="Times New Roman" w:hAnsi="Times New Roman" w:cs="Times New Roman"/>
          <w:color w:val="000000" w:themeColor="text1"/>
          <w:spacing w:val="-4"/>
          <w:sz w:val="28"/>
          <w:szCs w:val="28"/>
        </w:rPr>
        <w:t xml:space="preserve"> </w:t>
      </w:r>
      <w:r w:rsidRPr="006324C6">
        <w:rPr>
          <w:rFonts w:ascii="Times New Roman" w:hAnsi="Times New Roman" w:cs="Times New Roman"/>
          <w:color w:val="000000" w:themeColor="text1"/>
          <w:spacing w:val="-4"/>
          <w:sz w:val="28"/>
          <w:szCs w:val="28"/>
        </w:rPr>
        <w:t>85</w:t>
      </w:r>
      <w:r>
        <w:rPr>
          <w:rFonts w:ascii="Times New Roman" w:hAnsi="Times New Roman" w:cs="Times New Roman"/>
          <w:color w:val="000000" w:themeColor="text1"/>
          <w:spacing w:val="-4"/>
          <w:sz w:val="28"/>
          <w:szCs w:val="28"/>
        </w:rPr>
        <w:t>.</w:t>
      </w:r>
      <w:r w:rsidRPr="006324C6">
        <w:rPr>
          <w:rFonts w:ascii="Times New Roman" w:hAnsi="Times New Roman" w:cs="Times New Roman"/>
          <w:color w:val="000000" w:themeColor="text1"/>
          <w:spacing w:val="-4"/>
          <w:sz w:val="28"/>
          <w:szCs w:val="28"/>
        </w:rPr>
        <w:t>1</w:t>
      </w:r>
      <w:r w:rsidRPr="00483451">
        <w:rPr>
          <w:rFonts w:ascii="Times New Roman" w:hAnsi="Times New Roman" w:cs="Times New Roman"/>
          <w:color w:val="000000" w:themeColor="text1"/>
          <w:spacing w:val="-4"/>
          <w:sz w:val="28"/>
          <w:szCs w:val="28"/>
        </w:rPr>
        <w:t xml:space="preserve">% </w:t>
      </w:r>
      <w:bookmarkStart w:id="9" w:name="_Hlk120831738"/>
      <w:r w:rsidRPr="00483451">
        <w:rPr>
          <w:rFonts w:ascii="Times New Roman" w:hAnsi="Times New Roman" w:cs="Times New Roman"/>
          <w:color w:val="000000" w:themeColor="text1"/>
          <w:spacing w:val="-4"/>
          <w:sz w:val="28"/>
          <w:szCs w:val="28"/>
        </w:rPr>
        <w:t>of the number of international visitors to Viet Nam</w:t>
      </w:r>
      <w:r>
        <w:rPr>
          <w:rFonts w:ascii="Times New Roman" w:hAnsi="Times New Roman" w:cs="Times New Roman"/>
          <w:color w:val="000000" w:themeColor="text1"/>
          <w:spacing w:val="-4"/>
          <w:sz w:val="28"/>
          <w:szCs w:val="28"/>
        </w:rPr>
        <w:t>,</w:t>
      </w:r>
      <w:r w:rsidRPr="00483451">
        <w:rPr>
          <w:rFonts w:ascii="Times New Roman" w:hAnsi="Times New Roman" w:cs="Times New Roman"/>
          <w:color w:val="000000" w:themeColor="text1"/>
          <w:spacing w:val="-4"/>
          <w:sz w:val="28"/>
          <w:szCs w:val="28"/>
        </w:rPr>
        <w:t xml:space="preserve"> </w:t>
      </w:r>
      <w:bookmarkStart w:id="10" w:name="_Hlk120831754"/>
      <w:bookmarkEnd w:id="9"/>
      <w:r>
        <w:rPr>
          <w:rFonts w:ascii="Times New Roman" w:hAnsi="Times New Roman" w:cs="Times New Roman"/>
          <w:color w:val="000000" w:themeColor="text1"/>
          <w:spacing w:val="-4"/>
          <w:sz w:val="28"/>
          <w:szCs w:val="28"/>
        </w:rPr>
        <w:t>up 60.9% over the same period</w:t>
      </w:r>
      <w:r w:rsidRPr="00483451">
        <w:rPr>
          <w:rFonts w:ascii="Times New Roman" w:hAnsi="Times New Roman" w:cs="Times New Roman"/>
          <w:color w:val="000000" w:themeColor="text1"/>
          <w:spacing w:val="-4"/>
          <w:sz w:val="28"/>
          <w:szCs w:val="28"/>
        </w:rPr>
        <w:t xml:space="preserve"> last year; by roadway achieved </w:t>
      </w:r>
      <w:bookmarkStart w:id="11" w:name="_Hlk120831791"/>
      <w:bookmarkEnd w:id="10"/>
      <w:r w:rsidRPr="00C2608E">
        <w:rPr>
          <w:rFonts w:ascii="Times New Roman" w:hAnsi="Times New Roman" w:cs="Times New Roman"/>
          <w:color w:val="000000" w:themeColor="text1"/>
          <w:spacing w:val="-4"/>
          <w:sz w:val="28"/>
          <w:szCs w:val="28"/>
        </w:rPr>
        <w:t>176</w:t>
      </w:r>
      <w:r>
        <w:rPr>
          <w:rFonts w:ascii="Times New Roman" w:hAnsi="Times New Roman" w:cs="Times New Roman"/>
          <w:color w:val="000000" w:themeColor="text1"/>
          <w:spacing w:val="-4"/>
          <w:sz w:val="28"/>
          <w:szCs w:val="28"/>
        </w:rPr>
        <w:t>.</w:t>
      </w:r>
      <w:r w:rsidRPr="00C2608E">
        <w:rPr>
          <w:rFonts w:ascii="Times New Roman" w:hAnsi="Times New Roman" w:cs="Times New Roman"/>
          <w:color w:val="000000" w:themeColor="text1"/>
          <w:spacing w:val="-4"/>
          <w:sz w:val="28"/>
          <w:szCs w:val="28"/>
        </w:rPr>
        <w:t xml:space="preserve">9 </w:t>
      </w:r>
      <w:r w:rsidRPr="00483451">
        <w:rPr>
          <w:rFonts w:ascii="Times New Roman" w:hAnsi="Times New Roman" w:cs="Times New Roman"/>
          <w:color w:val="000000" w:themeColor="text1"/>
          <w:spacing w:val="-4"/>
          <w:sz w:val="28"/>
          <w:szCs w:val="28"/>
        </w:rPr>
        <w:t>thousand arrivals</w:t>
      </w:r>
      <w:r>
        <w:rPr>
          <w:rFonts w:ascii="Times New Roman" w:hAnsi="Times New Roman" w:cs="Times New Roman"/>
          <w:color w:val="000000" w:themeColor="text1"/>
          <w:spacing w:val="-4"/>
          <w:sz w:val="28"/>
          <w:szCs w:val="28"/>
        </w:rPr>
        <w:t>,</w:t>
      </w:r>
      <w:r w:rsidRPr="00483451">
        <w:rPr>
          <w:rFonts w:ascii="Times New Roman" w:hAnsi="Times New Roman" w:cs="Times New Roman"/>
          <w:color w:val="000000" w:themeColor="text1"/>
          <w:spacing w:val="-4"/>
          <w:sz w:val="28"/>
          <w:szCs w:val="28"/>
        </w:rPr>
        <w:t xml:space="preserve"> accounted for </w:t>
      </w:r>
      <w:bookmarkEnd w:id="11"/>
      <w:r w:rsidRPr="00C2608E">
        <w:rPr>
          <w:rFonts w:ascii="Times New Roman" w:hAnsi="Times New Roman" w:cs="Times New Roman"/>
          <w:color w:val="000000" w:themeColor="text1"/>
          <w:spacing w:val="-4"/>
          <w:sz w:val="28"/>
          <w:szCs w:val="28"/>
        </w:rPr>
        <w:t>11</w:t>
      </w:r>
      <w:r>
        <w:rPr>
          <w:rFonts w:ascii="Times New Roman" w:hAnsi="Times New Roman" w:cs="Times New Roman"/>
          <w:color w:val="000000" w:themeColor="text1"/>
          <w:spacing w:val="-4"/>
          <w:sz w:val="28"/>
          <w:szCs w:val="28"/>
        </w:rPr>
        <w:t>.</w:t>
      </w:r>
      <w:r w:rsidRPr="00C2608E">
        <w:rPr>
          <w:rFonts w:ascii="Times New Roman" w:hAnsi="Times New Roman" w:cs="Times New Roman"/>
          <w:color w:val="000000" w:themeColor="text1"/>
          <w:spacing w:val="-4"/>
          <w:sz w:val="28"/>
          <w:szCs w:val="28"/>
        </w:rPr>
        <w:t>7</w:t>
      </w:r>
      <w:r w:rsidRPr="00483451">
        <w:rPr>
          <w:rFonts w:ascii="Times New Roman" w:hAnsi="Times New Roman" w:cs="Times New Roman"/>
          <w:color w:val="000000" w:themeColor="text1"/>
          <w:spacing w:val="-4"/>
          <w:sz w:val="28"/>
          <w:szCs w:val="28"/>
        </w:rPr>
        <w:t xml:space="preserve">% </w:t>
      </w:r>
      <w:bookmarkStart w:id="12" w:name="_Hlk120831799"/>
      <w:r w:rsidRPr="00483451">
        <w:rPr>
          <w:rFonts w:ascii="Times New Roman" w:hAnsi="Times New Roman" w:cs="Times New Roman"/>
          <w:color w:val="000000" w:themeColor="text1"/>
          <w:spacing w:val="-4"/>
          <w:sz w:val="28"/>
          <w:szCs w:val="28"/>
        </w:rPr>
        <w:t>and</w:t>
      </w:r>
      <w:bookmarkEnd w:id="12"/>
      <w:r>
        <w:rPr>
          <w:rFonts w:ascii="Times New Roman" w:hAnsi="Times New Roman" w:cs="Times New Roman"/>
          <w:color w:val="000000" w:themeColor="text1"/>
          <w:spacing w:val="-4"/>
          <w:sz w:val="28"/>
          <w:szCs w:val="28"/>
        </w:rPr>
        <w:t xml:space="preserve"> 2.7</w:t>
      </w:r>
      <w:r w:rsidRPr="00483451">
        <w:rPr>
          <w:rFonts w:ascii="Times New Roman" w:hAnsi="Times New Roman" w:cs="Times New Roman"/>
          <w:color w:val="000000" w:themeColor="text1"/>
          <w:spacing w:val="-4"/>
          <w:sz w:val="28"/>
          <w:szCs w:val="28"/>
        </w:rPr>
        <w:t xml:space="preserve"> </w:t>
      </w:r>
      <w:bookmarkStart w:id="13" w:name="_Hlk120831812"/>
      <w:r w:rsidRPr="00483451">
        <w:rPr>
          <w:rFonts w:ascii="Times New Roman" w:hAnsi="Times New Roman" w:cs="Times New Roman"/>
          <w:color w:val="000000" w:themeColor="text1"/>
          <w:spacing w:val="-4"/>
          <w:sz w:val="28"/>
          <w:szCs w:val="28"/>
        </w:rPr>
        <w:t xml:space="preserve">times higher; by seaway achieved </w:t>
      </w:r>
      <w:bookmarkStart w:id="14" w:name="_Hlk120831821"/>
      <w:bookmarkEnd w:id="13"/>
      <w:r w:rsidRPr="00C2608E">
        <w:rPr>
          <w:rFonts w:ascii="Times New Roman" w:hAnsi="Times New Roman" w:cs="Times New Roman"/>
          <w:color w:val="000000" w:themeColor="text1"/>
          <w:spacing w:val="-4"/>
          <w:sz w:val="28"/>
          <w:szCs w:val="28"/>
        </w:rPr>
        <w:t>48</w:t>
      </w:r>
      <w:r>
        <w:rPr>
          <w:rFonts w:ascii="Times New Roman" w:hAnsi="Times New Roman" w:cs="Times New Roman"/>
          <w:color w:val="000000" w:themeColor="text1"/>
          <w:spacing w:val="-4"/>
          <w:sz w:val="28"/>
          <w:szCs w:val="28"/>
        </w:rPr>
        <w:t>.</w:t>
      </w:r>
      <w:r w:rsidRPr="00C2608E">
        <w:rPr>
          <w:rFonts w:ascii="Times New Roman" w:hAnsi="Times New Roman" w:cs="Times New Roman"/>
          <w:color w:val="000000" w:themeColor="text1"/>
          <w:spacing w:val="-4"/>
          <w:sz w:val="28"/>
          <w:szCs w:val="28"/>
        </w:rPr>
        <w:t xml:space="preserve">4 </w:t>
      </w:r>
      <w:r>
        <w:rPr>
          <w:rFonts w:ascii="Times New Roman" w:hAnsi="Times New Roman" w:cs="Times New Roman"/>
          <w:color w:val="000000" w:themeColor="text1"/>
          <w:spacing w:val="-4"/>
          <w:sz w:val="28"/>
          <w:szCs w:val="28"/>
        </w:rPr>
        <w:t xml:space="preserve">thousand </w:t>
      </w:r>
      <w:r w:rsidRPr="00483451">
        <w:rPr>
          <w:rFonts w:ascii="Times New Roman" w:hAnsi="Times New Roman" w:cs="Times New Roman"/>
          <w:color w:val="000000" w:themeColor="text1"/>
          <w:spacing w:val="-4"/>
          <w:sz w:val="28"/>
          <w:szCs w:val="28"/>
        </w:rPr>
        <w:t>arrivals</w:t>
      </w:r>
      <w:r>
        <w:rPr>
          <w:rFonts w:ascii="Times New Roman" w:hAnsi="Times New Roman" w:cs="Times New Roman"/>
          <w:color w:val="000000" w:themeColor="text1"/>
          <w:spacing w:val="-4"/>
          <w:sz w:val="28"/>
          <w:szCs w:val="28"/>
        </w:rPr>
        <w:t>,</w:t>
      </w:r>
      <w:r w:rsidRPr="00483451">
        <w:rPr>
          <w:rFonts w:ascii="Times New Roman" w:hAnsi="Times New Roman" w:cs="Times New Roman"/>
          <w:color w:val="000000" w:themeColor="text1"/>
          <w:spacing w:val="-4"/>
          <w:sz w:val="28"/>
          <w:szCs w:val="28"/>
        </w:rPr>
        <w:t xml:space="preserve"> accounted for </w:t>
      </w:r>
      <w:bookmarkEnd w:id="14"/>
      <w:r w:rsidRPr="00C2608E">
        <w:rPr>
          <w:rFonts w:ascii="Times New Roman" w:hAnsi="Times New Roman" w:cs="Times New Roman"/>
          <w:color w:val="000000" w:themeColor="text1"/>
          <w:spacing w:val="-4"/>
          <w:sz w:val="28"/>
          <w:szCs w:val="28"/>
        </w:rPr>
        <w:t>3</w:t>
      </w:r>
      <w:r>
        <w:rPr>
          <w:rFonts w:ascii="Times New Roman" w:hAnsi="Times New Roman" w:cs="Times New Roman"/>
          <w:color w:val="000000" w:themeColor="text1"/>
          <w:spacing w:val="-4"/>
          <w:sz w:val="28"/>
          <w:szCs w:val="28"/>
        </w:rPr>
        <w:t>.</w:t>
      </w:r>
      <w:r w:rsidRPr="00C2608E">
        <w:rPr>
          <w:rFonts w:ascii="Times New Roman" w:hAnsi="Times New Roman" w:cs="Times New Roman"/>
          <w:color w:val="000000" w:themeColor="text1"/>
          <w:spacing w:val="-4"/>
          <w:sz w:val="28"/>
          <w:szCs w:val="28"/>
        </w:rPr>
        <w:t>2%</w:t>
      </w:r>
      <w:r w:rsidR="00016882">
        <w:rPr>
          <w:rFonts w:ascii="Times New Roman" w:hAnsi="Times New Roman" w:cs="Times New Roman"/>
          <w:color w:val="000000" w:themeColor="text1"/>
          <w:spacing w:val="-4"/>
          <w:sz w:val="28"/>
          <w:szCs w:val="28"/>
        </w:rPr>
        <w:t>%</w:t>
      </w:r>
      <w:r w:rsidRPr="00483451">
        <w:rPr>
          <w:rFonts w:ascii="Times New Roman" w:hAnsi="Times New Roman" w:cs="Times New Roman"/>
          <w:color w:val="000000" w:themeColor="text1"/>
          <w:spacing w:val="-4"/>
          <w:sz w:val="28"/>
          <w:szCs w:val="28"/>
        </w:rPr>
        <w:t xml:space="preserve"> and </w:t>
      </w:r>
      <w:r>
        <w:rPr>
          <w:rFonts w:ascii="Times New Roman" w:hAnsi="Times New Roman" w:cs="Times New Roman"/>
          <w:color w:val="000000" w:themeColor="text1"/>
          <w:spacing w:val="-4"/>
          <w:sz w:val="28"/>
          <w:szCs w:val="28"/>
        </w:rPr>
        <w:t>8.6</w:t>
      </w:r>
      <w:r w:rsidRPr="00483451">
        <w:rPr>
          <w:rFonts w:ascii="Times New Roman" w:hAnsi="Times New Roman" w:cs="Times New Roman"/>
          <w:color w:val="000000" w:themeColor="text1"/>
          <w:spacing w:val="-4"/>
          <w:sz w:val="28"/>
          <w:szCs w:val="28"/>
        </w:rPr>
        <w:t xml:space="preserve"> </w:t>
      </w:r>
      <w:bookmarkStart w:id="15" w:name="_Hlk120831831"/>
      <w:r w:rsidRPr="00483451">
        <w:rPr>
          <w:rFonts w:ascii="Times New Roman" w:hAnsi="Times New Roman" w:cs="Times New Roman"/>
          <w:color w:val="000000" w:themeColor="text1"/>
          <w:spacing w:val="-4"/>
          <w:sz w:val="28"/>
          <w:szCs w:val="28"/>
        </w:rPr>
        <w:t>times higher</w:t>
      </w:r>
      <w:r>
        <w:rPr>
          <w:rFonts w:ascii="Times New Roman" w:hAnsi="Times New Roman" w:cs="Times New Roman"/>
          <w:color w:val="000000" w:themeColor="text1"/>
          <w:spacing w:val="-4"/>
          <w:sz w:val="28"/>
          <w:szCs w:val="28"/>
        </w:rPr>
        <w:t>.</w:t>
      </w:r>
      <w:bookmarkEnd w:id="15"/>
    </w:p>
    <w:p w14:paraId="75E88F4E" w14:textId="77777777" w:rsidR="00CE02B0" w:rsidRDefault="00CE02B0" w:rsidP="00CE02B0">
      <w:pPr>
        <w:shd w:val="clear" w:color="auto" w:fill="FFFFFF"/>
        <w:spacing w:line="276" w:lineRule="auto"/>
        <w:jc w:val="center"/>
        <w:rPr>
          <w:rFonts w:ascii="Arial" w:hAnsi="Arial" w:cs="Arial"/>
          <w:b/>
          <w:sz w:val="24"/>
          <w:szCs w:val="24"/>
        </w:rPr>
      </w:pPr>
      <w:r>
        <w:rPr>
          <w:rFonts w:ascii="Arial" w:hAnsi="Arial" w:cs="Arial"/>
          <w:b/>
          <w:sz w:val="24"/>
          <w:szCs w:val="24"/>
        </w:rPr>
        <w:t>Figure</w:t>
      </w:r>
      <w:r w:rsidRPr="009F297E">
        <w:rPr>
          <w:rFonts w:ascii="Arial" w:hAnsi="Arial" w:cs="Arial"/>
          <w:b/>
          <w:sz w:val="24"/>
          <w:szCs w:val="24"/>
        </w:rPr>
        <w:t xml:space="preserve"> </w:t>
      </w:r>
      <w:r w:rsidRPr="00052095">
        <w:rPr>
          <w:rFonts w:ascii="Arial" w:hAnsi="Arial" w:cs="Arial"/>
          <w:b/>
          <w:sz w:val="24"/>
          <w:szCs w:val="24"/>
        </w:rPr>
        <w:t>1</w:t>
      </w:r>
      <w:r>
        <w:rPr>
          <w:rFonts w:ascii="Arial" w:hAnsi="Arial" w:cs="Arial"/>
          <w:b/>
          <w:sz w:val="24"/>
          <w:szCs w:val="24"/>
          <w:lang w:val="en-GB"/>
        </w:rPr>
        <w:t>7</w:t>
      </w:r>
      <w:r w:rsidRPr="009F297E">
        <w:rPr>
          <w:rFonts w:ascii="Arial" w:hAnsi="Arial" w:cs="Arial"/>
          <w:b/>
          <w:sz w:val="24"/>
          <w:szCs w:val="24"/>
        </w:rPr>
        <w:t>.</w:t>
      </w:r>
      <w:r>
        <w:rPr>
          <w:rFonts w:ascii="Arial" w:hAnsi="Arial" w:cs="Arial"/>
          <w:b/>
          <w:sz w:val="24"/>
          <w:szCs w:val="24"/>
        </w:rPr>
        <w:t xml:space="preserve"> </w:t>
      </w:r>
      <w:r w:rsidRPr="00AF6A60">
        <w:rPr>
          <w:rFonts w:ascii="Arial" w:hAnsi="Arial" w:cs="Arial"/>
          <w:b/>
          <w:sz w:val="24"/>
          <w:szCs w:val="24"/>
        </w:rPr>
        <w:t xml:space="preserve">International visitors to Vietnam </w:t>
      </w:r>
    </w:p>
    <w:p w14:paraId="75CE9F7D" w14:textId="77777777" w:rsidR="00CE02B0" w:rsidRDefault="00CE02B0" w:rsidP="00CE02B0">
      <w:pPr>
        <w:shd w:val="clear" w:color="auto" w:fill="FFFFFF"/>
        <w:spacing w:line="276" w:lineRule="auto"/>
        <w:jc w:val="center"/>
        <w:rPr>
          <w:rFonts w:ascii="Arial" w:hAnsi="Arial" w:cs="Arial"/>
          <w:b/>
          <w:sz w:val="24"/>
          <w:szCs w:val="24"/>
        </w:rPr>
      </w:pPr>
      <w:r w:rsidRPr="00AF6A60">
        <w:rPr>
          <w:rFonts w:ascii="Arial" w:hAnsi="Arial" w:cs="Arial"/>
          <w:b/>
          <w:sz w:val="24"/>
          <w:szCs w:val="24"/>
        </w:rPr>
        <w:t>in January 202</w:t>
      </w:r>
      <w:r>
        <w:rPr>
          <w:rFonts w:ascii="Arial" w:hAnsi="Arial" w:cs="Arial"/>
          <w:b/>
          <w:sz w:val="24"/>
          <w:szCs w:val="24"/>
          <w:lang w:val="en-US"/>
        </w:rPr>
        <w:t>4</w:t>
      </w:r>
      <w:r>
        <w:rPr>
          <w:rFonts w:ascii="Arial" w:hAnsi="Arial" w:cs="Arial"/>
          <w:b/>
          <w:sz w:val="24"/>
          <w:szCs w:val="24"/>
        </w:rPr>
        <w:t xml:space="preserve"> </w:t>
      </w:r>
      <w:r w:rsidRPr="00AF6A60">
        <w:rPr>
          <w:rFonts w:ascii="Arial" w:hAnsi="Arial" w:cs="Arial"/>
          <w:b/>
          <w:sz w:val="24"/>
          <w:szCs w:val="24"/>
        </w:rPr>
        <w:t>by territory</w:t>
      </w:r>
    </w:p>
    <w:p w14:paraId="12C97DDE" w14:textId="77777777" w:rsidR="00CE02B0" w:rsidRDefault="00CE02B0" w:rsidP="00CE02B0">
      <w:pPr>
        <w:shd w:val="clear" w:color="auto" w:fill="FFFFFF"/>
        <w:spacing w:line="276" w:lineRule="auto"/>
        <w:jc w:val="center"/>
        <w:rPr>
          <w:rFonts w:ascii="Arial" w:hAnsi="Arial" w:cs="Arial"/>
          <w:b/>
          <w:sz w:val="24"/>
          <w:szCs w:val="24"/>
        </w:rPr>
      </w:pPr>
    </w:p>
    <w:p w14:paraId="56EE6013" w14:textId="77777777" w:rsidR="00CE02B0" w:rsidRDefault="00CE02B0" w:rsidP="00CE02B0">
      <w:pPr>
        <w:spacing w:line="276" w:lineRule="auto"/>
        <w:jc w:val="center"/>
      </w:pPr>
      <w:r>
        <w:rPr>
          <w:noProof/>
          <w:lang w:val="en-US"/>
          <w14:ligatures w14:val="standardContextual"/>
        </w:rPr>
        <w:drawing>
          <wp:inline distT="0" distB="0" distL="0" distR="0" wp14:anchorId="23B9A488" wp14:editId="23E9BE63">
            <wp:extent cx="5505450" cy="2670618"/>
            <wp:effectExtent l="0" t="0" r="0" b="0"/>
            <wp:docPr id="833450155" name="Picture 1" descr="A graph showing the different countries/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50155" name="Picture 1" descr="A graph showing the different countries/regions&#10;&#10;Description automatically generated with medium confidence"/>
                    <pic:cNvPicPr/>
                  </pic:nvPicPr>
                  <pic:blipFill rotWithShape="1">
                    <a:blip r:embed="rId27">
                      <a:extLst>
                        <a:ext uri="{28A0092B-C50C-407E-A947-70E740481C1C}">
                          <a14:useLocalDpi xmlns:a14="http://schemas.microsoft.com/office/drawing/2010/main" val="0"/>
                        </a:ext>
                      </a:extLst>
                    </a:blip>
                    <a:srcRect t="2446" r="1394" b="3058"/>
                    <a:stretch/>
                  </pic:blipFill>
                  <pic:spPr bwMode="auto">
                    <a:xfrm>
                      <a:off x="0" y="0"/>
                      <a:ext cx="5537227" cy="2686033"/>
                    </a:xfrm>
                    <a:prstGeom prst="rect">
                      <a:avLst/>
                    </a:prstGeom>
                    <a:ln>
                      <a:noFill/>
                    </a:ln>
                    <a:extLst>
                      <a:ext uri="{53640926-AAD7-44D8-BBD7-CCE9431645EC}">
                        <a14:shadowObscured xmlns:a14="http://schemas.microsoft.com/office/drawing/2010/main"/>
                      </a:ext>
                    </a:extLst>
                  </pic:spPr>
                </pic:pic>
              </a:graphicData>
            </a:graphic>
          </wp:inline>
        </w:drawing>
      </w:r>
    </w:p>
    <w:p w14:paraId="11E89C1C" w14:textId="77777777" w:rsidR="00CE02B0" w:rsidRDefault="00CE02B0" w:rsidP="00CE02B0"/>
    <w:p w14:paraId="7970A7C4" w14:textId="77777777" w:rsidR="00335C5E" w:rsidRPr="00D878F9" w:rsidRDefault="00335C5E" w:rsidP="00335C5E">
      <w:pPr>
        <w:spacing w:before="120" w:after="120"/>
        <w:ind w:firstLine="720"/>
        <w:jc w:val="both"/>
        <w:rPr>
          <w:b/>
        </w:rPr>
      </w:pPr>
      <w:r w:rsidRPr="00D878F9">
        <w:rPr>
          <w:b/>
        </w:rPr>
        <w:t>7. Some social situations</w:t>
      </w:r>
    </w:p>
    <w:p w14:paraId="71E0F08D" w14:textId="77777777" w:rsidR="00335C5E" w:rsidRPr="00D878F9" w:rsidRDefault="00335C5E" w:rsidP="00335C5E">
      <w:pPr>
        <w:spacing w:before="120" w:after="120"/>
        <w:ind w:firstLine="720"/>
        <w:jc w:val="both"/>
        <w:rPr>
          <w:b/>
          <w:i/>
        </w:rPr>
      </w:pPr>
      <w:r w:rsidRPr="00D878F9">
        <w:rPr>
          <w:b/>
          <w:i/>
        </w:rPr>
        <w:t>a) Residential life and social security work</w:t>
      </w:r>
    </w:p>
    <w:p w14:paraId="5D795638" w14:textId="77777777" w:rsidR="00335C5E" w:rsidRPr="00D878F9" w:rsidRDefault="00335C5E" w:rsidP="00335C5E">
      <w:pPr>
        <w:spacing w:before="120" w:after="120"/>
        <w:ind w:firstLine="720"/>
        <w:jc w:val="both"/>
      </w:pPr>
      <w:r w:rsidRPr="00D878F9">
        <w:t>According to the household life survey in January 2024, the proportion of households assessed to have income during the month remained unchanged and increased compared to the same period last year was 92.4%; The rate of households with reduced income is 7.6%.</w:t>
      </w:r>
    </w:p>
    <w:p w14:paraId="12ED8C12" w14:textId="77777777" w:rsidR="00335C5E" w:rsidRPr="00D878F9" w:rsidRDefault="00335C5E" w:rsidP="00335C5E">
      <w:pPr>
        <w:spacing w:before="120" w:after="120"/>
        <w:ind w:firstLine="720"/>
        <w:jc w:val="both"/>
      </w:pPr>
      <w:r w:rsidRPr="00D878F9">
        <w:t>Households assessed as having reduced income said that the main reasons for the decrease in income were: 37% of households had members who lost their jobs/temporarily quit their jobs; 25.5% of households assessed that the scale of their production and business activities had decreased; 24.5% of households rated input costs for their production and business activities to increase and 20.9% of households rated the selling price of products from their production and business activities to decrease.</w:t>
      </w:r>
    </w:p>
    <w:p w14:paraId="3E234D54" w14:textId="77777777" w:rsidR="00335C5E" w:rsidRPr="00D878F9" w:rsidRDefault="00335C5E" w:rsidP="00335C5E">
      <w:pPr>
        <w:spacing w:before="120" w:after="120"/>
        <w:ind w:firstLine="720"/>
        <w:jc w:val="both"/>
      </w:pPr>
      <w:r w:rsidRPr="00D878F9">
        <w:lastRenderedPageBreak/>
        <w:t>Regarding the impact of negative events on life in the first month of 2024, households assessed: 32.1% of households are being affected by rising prices of goods and services; 2.9% of households are negatively affected by human diseases.</w:t>
      </w:r>
    </w:p>
    <w:p w14:paraId="6B5A7198" w14:textId="77777777" w:rsidR="00335C5E" w:rsidRPr="00D878F9" w:rsidRDefault="00335C5E" w:rsidP="00335C5E">
      <w:pPr>
        <w:spacing w:before="120" w:after="120"/>
        <w:ind w:firstLine="720"/>
        <w:jc w:val="both"/>
      </w:pPr>
      <w:r w:rsidRPr="00D878F9">
        <w:t>In the first month of 2024, more than 12.6% of interviewed households received help from various support sources. Specifically, the proportion of households receiving assistance from general national programs and policies is 4.2%; from relatives and relatives is 8.6%; from local programs and policies is 4.3%; from charitable activities of other organizations and individuals is 1.5% and from other sources is 0.02%.</w:t>
      </w:r>
    </w:p>
    <w:p w14:paraId="07C4CB82" w14:textId="77777777" w:rsidR="00335C5E" w:rsidRPr="00D878F9" w:rsidRDefault="00335C5E" w:rsidP="00335C5E">
      <w:pPr>
        <w:spacing w:before="120" w:after="120"/>
        <w:ind w:firstLine="720"/>
        <w:jc w:val="both"/>
      </w:pPr>
      <w:r w:rsidRPr="00D878F9">
        <w:t>The work of ensuring social security during the Lunar New Year of Giap Thin for people with meritorious services to the revolution, social protection subjects, people in difficult circumstances and workers is approved by the Secretariat and the Prime Minister. The Government is interested in directing ministries, branches and localities to implement solutions to care for people's lives, ensure social security, celebrate Tet joyfully, healthily and economically, leaving no one behind. after .</w:t>
      </w:r>
    </w:p>
    <w:p w14:paraId="23BFF44C" w14:textId="77777777" w:rsidR="00335C5E" w:rsidRPr="00D878F9" w:rsidRDefault="00335C5E" w:rsidP="00335C5E">
      <w:pPr>
        <w:spacing w:before="120" w:after="120"/>
        <w:ind w:firstLine="720"/>
        <w:jc w:val="both"/>
      </w:pPr>
      <w:r w:rsidRPr="00D878F9">
        <w:t>In addition, to ensure that people do not suffer from hunger during the Lunar New Year of Giap Thin, the Prime Minister issued Decision No. 02/QD-TTg dated January 4, 2024, granting rice export from reserve warehouses to support rice production. subsidized 3,545 tons of rice for more than 59 thousand households with more than 236.3 thousand people in Soc Trang province.</w:t>
      </w:r>
    </w:p>
    <w:p w14:paraId="160BD8AF" w14:textId="77777777" w:rsidR="00335C5E" w:rsidRPr="00D878F9" w:rsidRDefault="00335C5E" w:rsidP="00335C5E">
      <w:pPr>
        <w:spacing w:before="120" w:after="120"/>
        <w:ind w:firstLine="720"/>
        <w:jc w:val="both"/>
        <w:rPr>
          <w:b/>
          <w:i/>
        </w:rPr>
      </w:pPr>
      <w:r w:rsidRPr="00D878F9">
        <w:rPr>
          <w:b/>
          <w:i/>
        </w:rPr>
        <w:t>b) Disease situation and food poisoning</w:t>
      </w:r>
    </w:p>
    <w:p w14:paraId="5F847994" w14:textId="77777777" w:rsidR="00335C5E" w:rsidRPr="00D878F9" w:rsidRDefault="00335C5E" w:rsidP="00335C5E">
      <w:pPr>
        <w:spacing w:before="120" w:after="120"/>
        <w:ind w:firstLine="720"/>
        <w:jc w:val="both"/>
      </w:pPr>
      <w:r w:rsidRPr="00D878F9">
        <w:t>According to a report from the Ministry of Health, in the month (December 19, 2023 - January 18, 2024), the whole country had 1,938 cases of dengue fever; 1,376 cases of hand, foot and mouth disease; 07 cases of viral encephalitis; 09 cases of rash fever suspected of measles.</w:t>
      </w:r>
    </w:p>
    <w:p w14:paraId="783911F5" w14:textId="77777777" w:rsidR="00335C5E" w:rsidRPr="00D878F9" w:rsidRDefault="00335C5E" w:rsidP="00335C5E">
      <w:pPr>
        <w:spacing w:before="120" w:after="120"/>
        <w:ind w:firstLine="720"/>
        <w:jc w:val="both"/>
      </w:pPr>
      <w:r w:rsidRPr="00D878F9">
        <w:t>The total number of people living with HIV in the country as of January 18, 2024 is 234.6 thousand people and the number of people dying from HIV/AIDS in the country as of the above time is 114.2 thousand people.</w:t>
      </w:r>
    </w:p>
    <w:p w14:paraId="4072D31F" w14:textId="77777777" w:rsidR="00335C5E" w:rsidRPr="00D878F9" w:rsidRDefault="00335C5E" w:rsidP="00335C5E">
      <w:pPr>
        <w:spacing w:before="120" w:after="120"/>
        <w:ind w:firstLine="720"/>
        <w:jc w:val="both"/>
      </w:pPr>
      <w:r w:rsidRPr="00D878F9">
        <w:t>Regarding food poisoning, in January 2023, there were 05 cases with 102 people poisoned (03 deaths).</w:t>
      </w:r>
    </w:p>
    <w:p w14:paraId="101A347D" w14:textId="77777777" w:rsidR="00335C5E" w:rsidRPr="00D878F9" w:rsidRDefault="00335C5E" w:rsidP="00335C5E">
      <w:pPr>
        <w:spacing w:before="120" w:after="120"/>
        <w:ind w:firstLine="720"/>
        <w:jc w:val="both"/>
        <w:rPr>
          <w:b/>
          <w:i/>
        </w:rPr>
      </w:pPr>
      <w:r w:rsidRPr="00D878F9">
        <w:rPr>
          <w:b/>
          <w:i/>
        </w:rPr>
        <w:t>c) Cultural and sports activities</w:t>
      </w:r>
    </w:p>
    <w:p w14:paraId="585C6C49" w14:textId="77777777" w:rsidR="00335C5E" w:rsidRPr="00D878F9" w:rsidRDefault="00335C5E" w:rsidP="00335C5E">
      <w:pPr>
        <w:spacing w:before="120" w:after="120"/>
        <w:ind w:firstLine="720"/>
        <w:jc w:val="both"/>
      </w:pPr>
      <w:r w:rsidRPr="00D878F9">
        <w:t xml:space="preserve">Many cultural activities and art programs to welcome the New Year 2024 are held in localities across the country to preserve the nation's traditional cultural identity and promote the history, culture and tourism of the regions. local to domestic and international tourists. Some outstanding cultural activities include: The series of activities "Market - Welcome New Year 2024" takes place from December 30, 2023 to January 1, 2024 at the Culture - Tourism Village of Vietnamese Ethnic Groups; The Countdown program "Welcome New Year 2024" takes place in Hanoi and Ho Chi Minh City; Artistic fireworks program to </w:t>
      </w:r>
      <w:r w:rsidRPr="00D878F9">
        <w:lastRenderedPageBreak/>
        <w:t>welcome the new year 2024 takes place in Ho Chi Minh City... and many cultural programs take place in provinces and cities across the country.</w:t>
      </w:r>
    </w:p>
    <w:p w14:paraId="6CB3144B" w14:textId="77777777" w:rsidR="00335C5E" w:rsidRPr="00D878F9" w:rsidRDefault="00335C5E" w:rsidP="00335C5E">
      <w:pPr>
        <w:spacing w:before="120" w:after="120"/>
        <w:ind w:firstLine="720"/>
        <w:jc w:val="both"/>
      </w:pPr>
      <w:r w:rsidRPr="00D878F9">
        <w:t>Implementing the Campaign "All people exercise according to the example of the great Uncle Ho", many movements of training and sports competitions among the people were organized, such as the opening of national sports competitions. Celebrate the Party and celebrate Spring in Son La province from January 17-20, 2024 with 159 athletes participating, opening the Tennis championship to celebrate the Party and celebrate Spring in Giap Thin on January 18, 2024 in Tra Vinh. attracts over 50 athletes.</w:t>
      </w:r>
    </w:p>
    <w:p w14:paraId="2D1E710A" w14:textId="77777777" w:rsidR="00335C5E" w:rsidRPr="00D878F9" w:rsidRDefault="00335C5E" w:rsidP="00335C5E">
      <w:pPr>
        <w:spacing w:before="120" w:after="120"/>
        <w:ind w:firstLine="720"/>
        <w:jc w:val="both"/>
      </w:pPr>
      <w:r w:rsidRPr="00D878F9">
        <w:t>Regarding high-performance sports, in January 2024, the Vietnamese sports delegation won a number of outstanding achievements such as: Gold medal at the Asian Shooting Championship held on January 9, 2024 in Indonesia -nexia; won a ticket to the Olympic 10m air rifle event, at the 2023 Asian Cup held from January 12 to February 10, 2024 in Qatar.</w:t>
      </w:r>
    </w:p>
    <w:p w14:paraId="03E366C7" w14:textId="77777777" w:rsidR="00335C5E" w:rsidRPr="00D878F9" w:rsidRDefault="00335C5E" w:rsidP="00335C5E">
      <w:pPr>
        <w:tabs>
          <w:tab w:val="left" w:pos="567"/>
        </w:tabs>
        <w:spacing w:after="120"/>
        <w:ind w:firstLine="567"/>
        <w:jc w:val="both"/>
        <w:rPr>
          <w:b/>
          <w:i/>
          <w:lang w:val="nl-NL"/>
        </w:rPr>
      </w:pPr>
      <w:r w:rsidRPr="00D878F9">
        <w:rPr>
          <w:b/>
          <w:i/>
        </w:rPr>
        <w:t>d) Traffic accident</w:t>
      </w:r>
      <w:r w:rsidRPr="00C73CF1">
        <w:rPr>
          <w:rStyle w:val="FootnoteReference"/>
          <w:rFonts w:eastAsia="Calibri"/>
        </w:rPr>
        <w:footnoteReference w:id="26"/>
      </w:r>
    </w:p>
    <w:p w14:paraId="45EA811D" w14:textId="77777777" w:rsidR="00335C5E" w:rsidRPr="00D878F9" w:rsidRDefault="00335C5E" w:rsidP="00335C5E">
      <w:pPr>
        <w:spacing w:before="120" w:after="120"/>
        <w:ind w:firstLine="720"/>
        <w:jc w:val="both"/>
      </w:pPr>
      <w:r w:rsidRPr="00D878F9">
        <w:t>In January (December 15, 2023 - January 14, 2024), there were 2,434 traffic accidents nationwide, including 1,609 traffic accidents from less serious or more and 825 collisions. traffic, killing 967 people; 1,076 people were injured and 961 people suffered minor injuries. Compared to the previous month, the number of traffic accidents increased by 6.8% (The number of traffic accidents from less serious or more increased by 9.3%; the number of traffic collisions increased by 2.1%); number of deaths increased by 4%; The number of injured people increased by 16.3% and the number of people with minor injuries increased by 10.1%. Compared to the same period last year, the number of traffic accidents increased 3.1 times (The number of traffic accidents from less serious or more increased 2.7 times; the number of traffic collisions increased 4.3 times); The number of deaths is 1.9 times higher; The number of injured people is 3.5 times higher and the number of people with minor injuries is 4.8 times higher. On average, one day in a month, there are 79 traffic accidents nationwide, including 52 less serious traffic accidents and 27 traffic collisions, killing 31 people and 35 others. injured and 31 people suffered minor injuries.</w:t>
      </w:r>
    </w:p>
    <w:p w14:paraId="5067FE71" w14:textId="77777777" w:rsidR="00335C5E" w:rsidRPr="00D878F9" w:rsidRDefault="00335C5E" w:rsidP="00335C5E">
      <w:pPr>
        <w:spacing w:before="120" w:after="120"/>
        <w:ind w:firstLine="720"/>
        <w:jc w:val="both"/>
        <w:rPr>
          <w:b/>
          <w:i/>
        </w:rPr>
      </w:pPr>
      <w:r>
        <w:rPr>
          <w:b/>
          <w:i/>
        </w:rPr>
        <w:t>e</w:t>
      </w:r>
      <w:r w:rsidRPr="00D878F9">
        <w:rPr>
          <w:b/>
          <w:i/>
        </w:rPr>
        <w:t>) Natural disaster damage</w:t>
      </w:r>
      <w:r w:rsidRPr="00C73CF1">
        <w:rPr>
          <w:rStyle w:val="FootnoteReference"/>
          <w:rFonts w:eastAsia="Calibri"/>
          <w:b/>
          <w:i/>
          <w:lang w:val="pl-PL"/>
        </w:rPr>
        <w:footnoteReference w:id="27"/>
      </w:r>
      <w:r w:rsidRPr="00D878F9">
        <w:rPr>
          <w:b/>
          <w:i/>
        </w:rPr>
        <w:t>, environmental protection and fire and explosion prevention</w:t>
      </w:r>
    </w:p>
    <w:p w14:paraId="409904C6" w14:textId="77777777" w:rsidR="00335C5E" w:rsidRPr="00D878F9" w:rsidRDefault="00335C5E" w:rsidP="00335C5E">
      <w:pPr>
        <w:spacing w:before="120" w:after="120"/>
        <w:ind w:firstLine="720"/>
        <w:jc w:val="both"/>
      </w:pPr>
      <w:r w:rsidRPr="00D878F9">
        <w:t>Natural disasters that occurred during the month were mainly heavy rain; Landslide left 9 people missing and 1 person injured; 969.4 hectares of rice and crops were damaged; 72 houses were flooded and damaged, the estimated damage value was 62.2 billion VND, 3.9 times higher than the same period in 2023.</w:t>
      </w:r>
    </w:p>
    <w:p w14:paraId="495903F5" w14:textId="6D692697" w:rsidR="00335C5E" w:rsidRDefault="00335C5E" w:rsidP="00335C5E">
      <w:pPr>
        <w:spacing w:before="120" w:after="120"/>
        <w:ind w:firstLine="720"/>
        <w:jc w:val="both"/>
      </w:pPr>
      <w:r w:rsidRPr="00D878F9">
        <w:lastRenderedPageBreak/>
        <w:t xml:space="preserve"> In January 2024 (from December 17, 2023 to January 16, 2024), according to reports from the Department of Natural Resources and Environment, Police of provinces and centrally run cities, compiled by the Statistics Departments. In particular, the authorities discovered 3,443 cases of environmental violations, of which 2,952 cases were handled with a total fine of 26.1 billion VND, an increase of 49.5% compared to December 2023 and a decrease of 6.8%.</w:t>
      </w:r>
      <w:r w:rsidR="00016882">
        <w:t>%</w:t>
      </w:r>
      <w:r w:rsidRPr="00D878F9">
        <w:t xml:space="preserve"> compared to the same period last year. During the month, there were 376 fires and explosions nationwide</w:t>
      </w:r>
      <w:r w:rsidRPr="00C73CF1">
        <w:rPr>
          <w:rStyle w:val="FootnoteReference"/>
          <w:rFonts w:eastAsia="Calibri"/>
          <w:lang w:val="de-DE"/>
        </w:rPr>
        <w:footnoteReference w:id="28"/>
      </w:r>
      <w:r w:rsidRPr="00D878F9">
        <w:t>, killing 5 people and injuring 1 person, with an estimated damage value of 19.5 billion VND, 4.6 times higher than last month and 2.7 times same period last year./.</w:t>
      </w:r>
    </w:p>
    <w:p w14:paraId="26AC87CA" w14:textId="77777777" w:rsidR="006C66A6" w:rsidRPr="007439B9" w:rsidRDefault="006C66A6" w:rsidP="006C66A6">
      <w:pPr>
        <w:spacing w:before="40" w:after="40" w:line="262" w:lineRule="auto"/>
        <w:ind w:firstLine="567"/>
        <w:jc w:val="center"/>
        <w:rPr>
          <w:b/>
          <w:bCs/>
          <w:lang w:val="de-DE"/>
        </w:rPr>
      </w:pPr>
      <w:r w:rsidRPr="007439B9">
        <w:rPr>
          <w:b/>
          <w:bCs/>
          <w:lang w:val="de-DE"/>
        </w:rPr>
        <w:t>GENERAL STATISTICS OFFICE</w:t>
      </w:r>
    </w:p>
    <w:p w14:paraId="2BB3AACF" w14:textId="77777777" w:rsidR="006C66A6" w:rsidRPr="00D878F9" w:rsidRDefault="006C66A6" w:rsidP="00335C5E">
      <w:pPr>
        <w:spacing w:before="120" w:after="120"/>
        <w:ind w:firstLine="720"/>
        <w:jc w:val="both"/>
      </w:pPr>
    </w:p>
    <w:p w14:paraId="09BB77F2" w14:textId="77777777" w:rsidR="00591556" w:rsidRPr="002F276E" w:rsidRDefault="00591556" w:rsidP="00BE279B">
      <w:pPr>
        <w:pStyle w:val="Normal10"/>
        <w:spacing w:before="40" w:beforeAutospacing="0" w:after="40" w:afterAutospacing="0" w:line="264" w:lineRule="auto"/>
        <w:jc w:val="both"/>
        <w:rPr>
          <w:b/>
          <w:bCs/>
          <w:color w:val="FF0000"/>
          <w:sz w:val="8"/>
          <w:lang w:val="en-GB"/>
        </w:rPr>
      </w:pPr>
    </w:p>
    <w:sectPr w:rsidR="00591556" w:rsidRPr="002F276E" w:rsidSect="00D605F2">
      <w:headerReference w:type="default" r:id="rId28"/>
      <w:pgSz w:w="11907" w:h="16840" w:code="9"/>
      <w:pgMar w:top="1134" w:right="1134" w:bottom="1134" w:left="1701" w:header="505"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C742A" w14:textId="77777777" w:rsidR="00761FD8" w:rsidRDefault="00761FD8" w:rsidP="001A07A9">
      <w:r>
        <w:separator/>
      </w:r>
    </w:p>
  </w:endnote>
  <w:endnote w:type="continuationSeparator" w:id="0">
    <w:p w14:paraId="575D3E1A" w14:textId="77777777" w:rsidR="00761FD8" w:rsidRDefault="00761FD8" w:rsidP="001A0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H">
    <w:altName w:val="Courier New"/>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nArialH">
    <w:altName w:val="Courier New"/>
    <w:charset w:val="00"/>
    <w:family w:val="swiss"/>
    <w:pitch w:val="variable"/>
    <w:sig w:usb0="00000003" w:usb1="00000000" w:usb2="00000000" w:usb3="00000000" w:csb0="00000001" w:csb1="00000000"/>
  </w:font>
  <w:font w:name="Times New Roman Italic">
    <w:panose1 w:val="02020503050405090304"/>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CD8D4" w14:textId="77777777" w:rsidR="00761FD8" w:rsidRDefault="00761FD8" w:rsidP="001A07A9">
      <w:r>
        <w:separator/>
      </w:r>
    </w:p>
  </w:footnote>
  <w:footnote w:type="continuationSeparator" w:id="0">
    <w:p w14:paraId="4FF9C9A3" w14:textId="77777777" w:rsidR="00761FD8" w:rsidRDefault="00761FD8" w:rsidP="001A07A9">
      <w:r>
        <w:continuationSeparator/>
      </w:r>
    </w:p>
  </w:footnote>
  <w:footnote w:id="1">
    <w:p w14:paraId="5359AD00" w14:textId="77777777" w:rsidR="004A2A23" w:rsidRPr="00AE442F" w:rsidRDefault="004A2A23" w:rsidP="004A2A23">
      <w:pPr>
        <w:pStyle w:val="FootnoteText"/>
        <w:jc w:val="both"/>
        <w:rPr>
          <w:lang w:val="en-US"/>
        </w:rPr>
      </w:pPr>
      <w:r w:rsidRPr="00AE442F">
        <w:rPr>
          <w:rStyle w:val="FootnoteReference"/>
        </w:rPr>
        <w:footnoteRef/>
      </w:r>
      <w:r w:rsidRPr="00AE442F">
        <w:t xml:space="preserve"> </w:t>
      </w:r>
      <w:r w:rsidRPr="001C3901">
        <w:t xml:space="preserve">According to the Report of the Ministry of Agriculture and Rural Development </w:t>
      </w:r>
      <w:r>
        <w:rPr>
          <w:lang w:val="en-US"/>
        </w:rPr>
        <w:t xml:space="preserve">from </w:t>
      </w:r>
      <w:r w:rsidRPr="00AE442F">
        <w:rPr>
          <w:lang w:val="en-US"/>
        </w:rPr>
        <w:t>1</w:t>
      </w:r>
      <w:r>
        <w:rPr>
          <w:lang w:val="en-US"/>
        </w:rPr>
        <w:t>6</w:t>
      </w:r>
      <w:r w:rsidRPr="00AE442F">
        <w:rPr>
          <w:lang w:val="en-US"/>
        </w:rPr>
        <w:t>/</w:t>
      </w:r>
      <w:r>
        <w:rPr>
          <w:lang w:val="en-US"/>
        </w:rPr>
        <w:t>12</w:t>
      </w:r>
      <w:r w:rsidRPr="00AE442F">
        <w:rPr>
          <w:lang w:val="en-US"/>
        </w:rPr>
        <w:t>/202</w:t>
      </w:r>
      <w:r>
        <w:rPr>
          <w:lang w:val="en-US"/>
        </w:rPr>
        <w:t>3 to 15/01/2024</w:t>
      </w:r>
      <w:r w:rsidRPr="00AE442F">
        <w:rPr>
          <w:lang w:val="en-US"/>
        </w:rPr>
        <w:t>.</w:t>
      </w:r>
    </w:p>
  </w:footnote>
  <w:footnote w:id="2">
    <w:p w14:paraId="324EBCA8" w14:textId="77777777" w:rsidR="004A2A23" w:rsidRPr="00C50BF9" w:rsidRDefault="004A2A23" w:rsidP="004A2A23">
      <w:pPr>
        <w:pStyle w:val="FootnoteText"/>
        <w:spacing w:after="40"/>
        <w:ind w:left="142" w:hanging="142"/>
        <w:jc w:val="both"/>
        <w:rPr>
          <w:lang w:val="en-US"/>
        </w:rPr>
      </w:pPr>
      <w:r w:rsidRPr="00C50BF9">
        <w:rPr>
          <w:rStyle w:val="FootnoteReference"/>
        </w:rPr>
        <w:footnoteRef/>
      </w:r>
      <w:r w:rsidRPr="00C50BF9">
        <w:t xml:space="preserve"> </w:t>
      </w:r>
      <w:hyperlink r:id="rId1" w:history="1">
        <w:r w:rsidRPr="00C50BF9">
          <w:rPr>
            <w:rStyle w:val="Hyperlink"/>
          </w:rPr>
          <w:t>https://agromonitor.vn/category/48/ca-tra</w:t>
        </w:r>
      </w:hyperlink>
      <w:r w:rsidRPr="00C50BF9">
        <w:rPr>
          <w:lang w:val="en-US"/>
        </w:rPr>
        <w:t xml:space="preserve">: </w:t>
      </w:r>
      <w:r>
        <w:rPr>
          <w:lang w:val="en-US"/>
        </w:rPr>
        <w:t>The r</w:t>
      </w:r>
      <w:r w:rsidRPr="00E33BBC">
        <w:rPr>
          <w:lang w:val="en-US"/>
        </w:rPr>
        <w:t>aw pangasius prices in the first 3 weeks of January 2024 ranged from 27,000-28,500 VND/kg, an increase of about 2,000 VND/kg compared to the previous month.</w:t>
      </w:r>
    </w:p>
  </w:footnote>
  <w:footnote w:id="3">
    <w:p w14:paraId="11A842D7" w14:textId="77777777" w:rsidR="004A2A23" w:rsidRPr="00C50BF9" w:rsidRDefault="004A2A23" w:rsidP="004A2A23">
      <w:pPr>
        <w:pStyle w:val="FootnoteText"/>
        <w:spacing w:after="40"/>
        <w:ind w:left="142" w:hanging="142"/>
        <w:jc w:val="both"/>
        <w:rPr>
          <w:lang w:val="en-US"/>
        </w:rPr>
      </w:pPr>
      <w:r w:rsidRPr="00C50BF9">
        <w:rPr>
          <w:rStyle w:val="FootnoteReference"/>
        </w:rPr>
        <w:footnoteRef/>
      </w:r>
      <w:r w:rsidRPr="00C50BF9">
        <w:t xml:space="preserve"> </w:t>
      </w:r>
      <w:hyperlink r:id="rId2" w:history="1">
        <w:r w:rsidRPr="00C50BF9">
          <w:rPr>
            <w:rStyle w:val="Hyperlink"/>
          </w:rPr>
          <w:t>https://agromonitor.vn/category/47/tom</w:t>
        </w:r>
      </w:hyperlink>
      <w:r w:rsidRPr="00C50BF9">
        <w:rPr>
          <w:lang w:val="en-US"/>
        </w:rPr>
        <w:t xml:space="preserve">: </w:t>
      </w:r>
      <w:r w:rsidRPr="00166937">
        <w:rPr>
          <w:lang w:val="de-DE"/>
        </w:rPr>
        <w:t xml:space="preserve">As of mid-January 2024, the price of 100 whiteleg shrimp/kg fluctuated at 90,000-95,000 VND/kg, 80 shrimp/kg fluctuated at 100,000-105,000 VND/kg, an </w:t>
      </w:r>
      <w:r>
        <w:rPr>
          <w:lang w:val="de-DE"/>
        </w:rPr>
        <w:t xml:space="preserve">increase of about 5,000 VND/kg </w:t>
      </w:r>
      <w:r w:rsidRPr="00166937">
        <w:rPr>
          <w:lang w:val="de-DE"/>
        </w:rPr>
        <w:t>compared with the previous month.</w:t>
      </w:r>
    </w:p>
  </w:footnote>
  <w:footnote w:id="4">
    <w:p w14:paraId="38058ABD" w14:textId="77777777" w:rsidR="0082493A" w:rsidRPr="00EB7FB1" w:rsidRDefault="0082493A" w:rsidP="0082493A">
      <w:pPr>
        <w:shd w:val="clear" w:color="auto" w:fill="FFFFFF"/>
        <w:ind w:left="142" w:hanging="142"/>
        <w:jc w:val="both"/>
        <w:rPr>
          <w:lang w:val="en-IN"/>
        </w:rPr>
      </w:pPr>
      <w:r w:rsidRPr="00EB7FB1">
        <w:rPr>
          <w:rStyle w:val="FootnoteReference"/>
          <w:sz w:val="20"/>
          <w:szCs w:val="20"/>
          <w:lang w:val="en-US"/>
        </w:rPr>
        <w:footnoteRef/>
      </w:r>
      <w:r w:rsidRPr="00EB7FB1">
        <w:rPr>
          <w:sz w:val="20"/>
          <w:szCs w:val="20"/>
          <w:lang w:val="en-US"/>
        </w:rPr>
        <w:t xml:space="preserve"> </w:t>
      </w:r>
      <w:r>
        <w:rPr>
          <w:sz w:val="20"/>
          <w:szCs w:val="20"/>
          <w:lang w:val="pl-PL"/>
        </w:rPr>
        <w:t>Because this year's Tet Giap Thin holiday is concentrated in February, while last year's Tet holiday was in January, the production time in January this year is full, while the same period last year had less production time.</w:t>
      </w:r>
    </w:p>
  </w:footnote>
  <w:footnote w:id="5">
    <w:p w14:paraId="47A852FF" w14:textId="77777777" w:rsidR="0082493A" w:rsidRPr="00BB6DE8" w:rsidRDefault="0082493A" w:rsidP="0082493A">
      <w:pPr>
        <w:pStyle w:val="FootnoteText"/>
        <w:spacing w:after="40"/>
        <w:ind w:left="142" w:hanging="142"/>
        <w:jc w:val="both"/>
        <w:rPr>
          <w:lang w:val="en-GB"/>
        </w:rPr>
      </w:pPr>
      <w:r w:rsidRPr="00C50BF9">
        <w:rPr>
          <w:rStyle w:val="FootnoteReference"/>
        </w:rPr>
        <w:footnoteRef/>
      </w:r>
      <w:r w:rsidRPr="00C50BF9">
        <w:t xml:space="preserve"> </w:t>
      </w:r>
      <w:r w:rsidRPr="00C50BF9">
        <w:rPr>
          <w:lang w:val="en-US"/>
        </w:rPr>
        <w:t>The rate of increase/decrease in the IIP index in January 2024 compared to the previous month of some localities with large industrial scale: Ba Ria - Vung Tau increased by 3.3%; Thai Nguyen increased by 3.2%; Dong Nai increased by 2.4%; Quang Ninh increased by 2.1%; Bac Ninh decreased by 14.7%; Hai Phong decreased by 13.8%; Long An decreased by 8.3%; Ho Chi Minh City decreased by 4.5%; Hanoi decreased by 3.7%; Binh Duong decreased by 0.7%.</w:t>
      </w:r>
    </w:p>
  </w:footnote>
  <w:footnote w:id="6">
    <w:p w14:paraId="1F84CE6A" w14:textId="77777777" w:rsidR="0082493A" w:rsidRPr="00737C1B" w:rsidRDefault="0082493A" w:rsidP="0082493A">
      <w:pPr>
        <w:pStyle w:val="FootnoteText"/>
        <w:ind w:left="198" w:hanging="198"/>
        <w:jc w:val="both"/>
        <w:rPr>
          <w:color w:val="FF0000"/>
          <w:spacing w:val="-2"/>
          <w:lang w:val="de-DE"/>
        </w:rPr>
      </w:pPr>
      <w:r w:rsidRPr="0089699E">
        <w:rPr>
          <w:rStyle w:val="FootnoteReference"/>
          <w:spacing w:val="-2"/>
        </w:rPr>
        <w:footnoteRef/>
      </w:r>
      <w:r w:rsidRPr="0089699E">
        <w:rPr>
          <w:spacing w:val="-2"/>
          <w:lang w:val="de-DE"/>
        </w:rPr>
        <w:t xml:space="preserve">  </w:t>
      </w:r>
      <w:r w:rsidRPr="0089699E">
        <w:rPr>
          <w:spacing w:val="-6"/>
          <w:lang w:val="de-DE"/>
        </w:rPr>
        <w:t>The locality has a high increase in the production index of manufacturing industry in January 2024 compared to the same period last year: Quang Ninh increased by 157.9%; Bac Giang increased by 57.7%; Nam Dinh increased by 56.9%; Vinh Long increased by 51.2%; Kien Giang increased by 47.7%; Phu Tho increased by 39.4%. Localities with high indexes of the electricity production and distribution industry: Tra Vinh increased by 151.4%; Hai Phong increased by 105.7%; Thanh Hoa increased by 68.3%; Thai Binh increased by 66.0%; Phu Tho increased by 37.5%.</w:t>
      </w:r>
    </w:p>
  </w:footnote>
  <w:footnote w:id="7">
    <w:p w14:paraId="44EF80D0" w14:textId="77777777" w:rsidR="0082493A" w:rsidRPr="00D00DEF" w:rsidRDefault="0082493A" w:rsidP="0082493A">
      <w:pPr>
        <w:pStyle w:val="FootnoteText"/>
        <w:ind w:left="198" w:hanging="198"/>
        <w:jc w:val="both"/>
        <w:rPr>
          <w:lang w:val="de-DE"/>
        </w:rPr>
      </w:pPr>
      <w:r w:rsidRPr="00737C1B">
        <w:rPr>
          <w:rStyle w:val="FootnoteReference"/>
        </w:rPr>
        <w:footnoteRef/>
      </w:r>
      <w:r>
        <w:rPr>
          <w:lang w:val="de-DE"/>
        </w:rPr>
        <w:t xml:space="preserve">  </w:t>
      </w:r>
      <w:r w:rsidRPr="00737C1B">
        <w:rPr>
          <w:lang w:val="de-DE"/>
        </w:rPr>
        <w:t>Localities with a low increase or decrease in the production index of the manufacturing industry in January 2024 compared to the same period last year are: Quang Tri increased by 8.5%; Thua Thien - Hue increased by 7.9%; Tuyen Quang increased by 6.2%; Thai Nguyen increased by 4.7%; Bac Ninh decreased by 12.6%; Ca Mau decreased by 9.2%; Lao Cai decreased by 2.3%. Localities with indexes of the electricity production and distribution industry in January 2024 compared to the same period last year increased slightly or decreased: Thai Nguyen increased by 3.9%; Thua Thien - Hue increased by 2.1%; Son La decreased by 31.5%; Lao Cai decreased by 8.4%. Localities whose mining industry in January 2024 increased slightly or decreased compared to the previous year: Ba Ria - Vung Tau increased by 0.3%; Thai Nguyen decreased by 15.4%; Ca Mau decreased by 9.3%.</w:t>
      </w:r>
    </w:p>
  </w:footnote>
  <w:footnote w:id="8">
    <w:p w14:paraId="7575E2ED" w14:textId="77777777" w:rsidR="007E3EAD" w:rsidRPr="009F297E" w:rsidRDefault="007E3EAD" w:rsidP="007E3EAD">
      <w:pPr>
        <w:pStyle w:val="FootnoteText"/>
        <w:ind w:left="198" w:hanging="198"/>
        <w:jc w:val="both"/>
        <w:rPr>
          <w:spacing w:val="-4"/>
        </w:rPr>
      </w:pPr>
      <w:r w:rsidRPr="00F531EB">
        <w:rPr>
          <w:rStyle w:val="FootnoteReference"/>
        </w:rPr>
        <w:footnoteRef/>
      </w:r>
      <w:r w:rsidRPr="009F297E">
        <w:t xml:space="preserve"> </w:t>
      </w:r>
      <w:r w:rsidRPr="006D7720">
        <w:rPr>
          <w:lang w:val="en-IN"/>
        </w:rPr>
        <w:t xml:space="preserve">Source: </w:t>
      </w:r>
      <w:bookmarkStart w:id="1" w:name="_Hlk126074890"/>
      <w:r w:rsidRPr="006D7720">
        <w:rPr>
          <w:lang w:val="en-IN"/>
        </w:rPr>
        <w:t xml:space="preserve">National Enterprise Registration Information System, Business Registration Management Agency, Ministry of Planning and Investment </w:t>
      </w:r>
      <w:bookmarkEnd w:id="1"/>
      <w:r w:rsidRPr="006D7720">
        <w:rPr>
          <w:lang w:val="en-IN"/>
        </w:rPr>
        <w:t xml:space="preserve">(Received the report on </w:t>
      </w:r>
      <w:r>
        <w:rPr>
          <w:lang w:val="en-IN"/>
        </w:rPr>
        <w:t>January 23,</w:t>
      </w:r>
      <w:r w:rsidRPr="006D7720">
        <w:t xml:space="preserve"> </w:t>
      </w:r>
      <w:r w:rsidRPr="006D7720">
        <w:rPr>
          <w:lang w:val="en-IN"/>
        </w:rPr>
        <w:t>202</w:t>
      </w:r>
      <w:r>
        <w:rPr>
          <w:lang w:val="en-IN"/>
        </w:rPr>
        <w:t>4</w:t>
      </w:r>
      <w:r w:rsidRPr="006D7720">
        <w:rPr>
          <w:lang w:val="en-IN"/>
        </w:rPr>
        <w:t>)</w:t>
      </w:r>
      <w:r w:rsidRPr="009F297E">
        <w:t>.</w:t>
      </w:r>
    </w:p>
  </w:footnote>
  <w:footnote w:id="9">
    <w:p w14:paraId="3131CC67" w14:textId="77777777" w:rsidR="00E62310" w:rsidRPr="009720D3" w:rsidRDefault="00E62310" w:rsidP="00E62310">
      <w:pPr>
        <w:pStyle w:val="FootnoteText"/>
      </w:pPr>
      <w:r w:rsidRPr="00426245">
        <w:rPr>
          <w:rStyle w:val="FootnoteReference"/>
        </w:rPr>
        <w:footnoteRef/>
      </w:r>
      <w:r w:rsidRPr="009720D3">
        <w:t>According to the report of the Foreign Investment Department, Ministry of Planning and Investment, received on January 22, 2024.</w:t>
      </w:r>
    </w:p>
  </w:footnote>
  <w:footnote w:id="10">
    <w:p w14:paraId="5E7B5AC4" w14:textId="77777777" w:rsidR="00E62310" w:rsidRDefault="00E62310" w:rsidP="00E62310">
      <w:pPr>
        <w:pStyle w:val="FootnoteText"/>
      </w:pPr>
      <w:r>
        <w:rPr>
          <w:rStyle w:val="FootnoteReference"/>
        </w:rPr>
        <w:footnoteRef/>
      </w:r>
      <w:r>
        <w:t xml:space="preserve">In </w:t>
      </w:r>
      <w:r>
        <w:rPr>
          <w:lang w:val="en-IN"/>
        </w:rPr>
        <w:t xml:space="preserve">January </w:t>
      </w:r>
      <w:r>
        <w:t>2024, there is no capital adjustment project.</w:t>
      </w:r>
    </w:p>
  </w:footnote>
  <w:footnote w:id="11">
    <w:p w14:paraId="4A640989" w14:textId="77777777" w:rsidR="004510A8" w:rsidRPr="007B7B2E" w:rsidRDefault="004510A8" w:rsidP="004510A8">
      <w:pPr>
        <w:spacing w:before="40" w:after="40" w:line="288" w:lineRule="auto"/>
        <w:ind w:hanging="142"/>
        <w:jc w:val="both"/>
        <w:rPr>
          <w:sz w:val="20"/>
          <w:szCs w:val="20"/>
          <w:lang w:val="nl-NL"/>
        </w:rPr>
      </w:pPr>
      <w:r w:rsidRPr="00371F5F">
        <w:rPr>
          <w:rStyle w:val="FootnoteReference"/>
          <w:sz w:val="20"/>
          <w:szCs w:val="20"/>
        </w:rPr>
        <w:footnoteRef/>
      </w:r>
      <w:r w:rsidRPr="00371F5F">
        <w:rPr>
          <w:sz w:val="20"/>
          <w:szCs w:val="20"/>
        </w:rPr>
        <w:t xml:space="preserve"> </w:t>
      </w:r>
      <w:r>
        <w:rPr>
          <w:sz w:val="20"/>
          <w:szCs w:val="20"/>
        </w:rPr>
        <w:t xml:space="preserve"> </w:t>
      </w:r>
      <w:r w:rsidRPr="00AF2C03">
        <w:rPr>
          <w:sz w:val="20"/>
          <w:szCs w:val="20"/>
          <w:lang w:val="nl-NL"/>
        </w:rPr>
        <w:t>According to the Report on State Budget Balance as of January 29, 2024 of the Ministry of Finance.</w:t>
      </w:r>
    </w:p>
    <w:p w14:paraId="7ACEA82E" w14:textId="77777777" w:rsidR="004510A8" w:rsidRPr="007B7B2E" w:rsidRDefault="004510A8" w:rsidP="004510A8">
      <w:pPr>
        <w:pStyle w:val="FootnoteText"/>
        <w:ind w:left="142"/>
        <w:jc w:val="both"/>
        <w:rPr>
          <w:lang w:val="it-IT"/>
        </w:rPr>
      </w:pPr>
    </w:p>
  </w:footnote>
  <w:footnote w:id="12">
    <w:p w14:paraId="763A2077" w14:textId="77777777" w:rsidR="00F05F4E" w:rsidRPr="00505EA6" w:rsidRDefault="00F05F4E" w:rsidP="00F05F4E">
      <w:pPr>
        <w:pStyle w:val="FootnoteText"/>
        <w:rPr>
          <w:lang w:val="en-US"/>
        </w:rPr>
      </w:pPr>
      <w:r>
        <w:rPr>
          <w:rStyle w:val="FootnoteReference"/>
        </w:rPr>
        <w:footnoteRef/>
      </w:r>
      <w:r>
        <w:t xml:space="preserve"> </w:t>
      </w:r>
      <w:r w:rsidRPr="00505EA6">
        <w:t>January 2023 coincides with Lunar New Year</w:t>
      </w:r>
      <w:r>
        <w:rPr>
          <w:lang w:val="en-US"/>
        </w:rPr>
        <w:t>.</w:t>
      </w:r>
    </w:p>
  </w:footnote>
  <w:footnote w:id="13">
    <w:p w14:paraId="67FAA6CC" w14:textId="77777777" w:rsidR="0090698A" w:rsidRPr="00CA48B0" w:rsidRDefault="0090698A" w:rsidP="0090698A">
      <w:pPr>
        <w:pStyle w:val="FootnoteText"/>
        <w:ind w:left="198" w:hanging="198"/>
        <w:jc w:val="both"/>
      </w:pPr>
      <w:r w:rsidRPr="00760FF5">
        <w:rPr>
          <w:rStyle w:val="FootnoteReference"/>
        </w:rPr>
        <w:footnoteRef/>
      </w:r>
      <w:r w:rsidRPr="00CA48B0">
        <w:t xml:space="preserve"> </w:t>
      </w:r>
      <w:r w:rsidRPr="00032304">
        <w:t>The value of export turnover calculated at F.O.B price and the value of import turnover calculated at C.I.F price (including transportation and insurance costs of imported goods).</w:t>
      </w:r>
    </w:p>
  </w:footnote>
  <w:footnote w:id="14">
    <w:p w14:paraId="15DDCF61" w14:textId="77777777" w:rsidR="0090698A" w:rsidRPr="00ED7B15" w:rsidRDefault="0090698A" w:rsidP="0090698A">
      <w:pPr>
        <w:pStyle w:val="FootnoteText"/>
        <w:ind w:left="142" w:hanging="142"/>
        <w:jc w:val="both"/>
        <w:rPr>
          <w:lang w:val="en-US"/>
        </w:rPr>
      </w:pPr>
      <w:r w:rsidRPr="00ED7B15">
        <w:rPr>
          <w:rStyle w:val="FootnoteReference"/>
        </w:rPr>
        <w:footnoteRef/>
      </w:r>
      <w:r w:rsidRPr="00ED7B15">
        <w:t xml:space="preserve"> </w:t>
      </w:r>
      <w:r w:rsidRPr="00327F5C">
        <w:rPr>
          <w:spacing w:val="-4"/>
        </w:rPr>
        <w:t xml:space="preserve">Estimated total export and import value in </w:t>
      </w:r>
      <w:r>
        <w:rPr>
          <w:spacing w:val="-4"/>
        </w:rPr>
        <w:t>January</w:t>
      </w:r>
      <w:r w:rsidRPr="00327F5C">
        <w:rPr>
          <w:spacing w:val="-4"/>
        </w:rPr>
        <w:t xml:space="preserve"> 202</w:t>
      </w:r>
      <w:r>
        <w:rPr>
          <w:spacing w:val="-4"/>
        </w:rPr>
        <w:t>4</w:t>
      </w:r>
      <w:r w:rsidRPr="00327F5C">
        <w:rPr>
          <w:spacing w:val="-4"/>
        </w:rPr>
        <w:t xml:space="preserve"> provided by the General Department of Customs on </w:t>
      </w:r>
      <w:r>
        <w:rPr>
          <w:spacing w:val="-4"/>
        </w:rPr>
        <w:t>January</w:t>
      </w:r>
      <w:r w:rsidRPr="00327F5C">
        <w:rPr>
          <w:spacing w:val="-4"/>
        </w:rPr>
        <w:t xml:space="preserve"> 2</w:t>
      </w:r>
      <w:r>
        <w:rPr>
          <w:spacing w:val="-4"/>
        </w:rPr>
        <w:t>9</w:t>
      </w:r>
      <w:r w:rsidRPr="00327F5C">
        <w:rPr>
          <w:spacing w:val="-4"/>
        </w:rPr>
        <w:t>, 202</w:t>
      </w:r>
      <w:r>
        <w:rPr>
          <w:spacing w:val="-4"/>
        </w:rPr>
        <w:t>4</w:t>
      </w:r>
      <w:r w:rsidRPr="00327F5C">
        <w:rPr>
          <w:spacing w:val="-4"/>
        </w:rPr>
        <w:t xml:space="preserve">. The General Statistics Office estimated the import and export value of key commodities in </w:t>
      </w:r>
      <w:r>
        <w:rPr>
          <w:spacing w:val="-4"/>
        </w:rPr>
        <w:t>January</w:t>
      </w:r>
      <w:r w:rsidRPr="00327F5C">
        <w:rPr>
          <w:spacing w:val="-4"/>
        </w:rPr>
        <w:t xml:space="preserve"> 202</w:t>
      </w:r>
      <w:r>
        <w:rPr>
          <w:spacing w:val="-4"/>
        </w:rPr>
        <w:t>4</w:t>
      </w:r>
      <w:r w:rsidRPr="00327F5C">
        <w:rPr>
          <w:spacing w:val="-4"/>
        </w:rPr>
        <w:t xml:space="preserve"> based on preliminary data provided by the General Department of Customs by </w:t>
      </w:r>
      <w:r>
        <w:rPr>
          <w:spacing w:val="-4"/>
        </w:rPr>
        <w:t>January</w:t>
      </w:r>
      <w:r w:rsidRPr="00327F5C">
        <w:rPr>
          <w:spacing w:val="-4"/>
        </w:rPr>
        <w:t xml:space="preserve"> 2</w:t>
      </w:r>
      <w:r>
        <w:rPr>
          <w:spacing w:val="-4"/>
        </w:rPr>
        <w:t>5</w:t>
      </w:r>
      <w:r w:rsidRPr="00327F5C">
        <w:rPr>
          <w:spacing w:val="-4"/>
        </w:rPr>
        <w:t>, 202</w:t>
      </w:r>
      <w:r>
        <w:rPr>
          <w:spacing w:val="-4"/>
        </w:rPr>
        <w:t>4</w:t>
      </w:r>
      <w:r w:rsidRPr="00327F5C">
        <w:rPr>
          <w:spacing w:val="-4"/>
        </w:rPr>
        <w:t>.</w:t>
      </w:r>
    </w:p>
  </w:footnote>
  <w:footnote w:id="15">
    <w:p w14:paraId="79698BF5" w14:textId="77777777" w:rsidR="0090698A" w:rsidRPr="009F297E" w:rsidRDefault="0090698A" w:rsidP="0090698A">
      <w:pPr>
        <w:pStyle w:val="FootnoteText"/>
        <w:spacing w:before="40" w:after="40"/>
        <w:ind w:left="198" w:right="119" w:hanging="198"/>
        <w:jc w:val="both"/>
      </w:pPr>
      <w:r w:rsidRPr="00760FF5">
        <w:rPr>
          <w:rStyle w:val="FootnoteReference"/>
        </w:rPr>
        <w:footnoteRef/>
      </w:r>
      <w:r w:rsidRPr="00760FF5">
        <w:t xml:space="preserve"> </w:t>
      </w:r>
      <w:r w:rsidRPr="003D0818">
        <w:t xml:space="preserve">Total export and import turnover in </w:t>
      </w:r>
      <w:r>
        <w:t>January 2023</w:t>
      </w:r>
      <w:r w:rsidRPr="003D0818">
        <w:t xml:space="preserve"> reached </w:t>
      </w:r>
      <w:r>
        <w:t>46.6</w:t>
      </w:r>
      <w:r w:rsidRPr="003D0818">
        <w:t xml:space="preserve"> billion USD, </w:t>
      </w:r>
      <w:r>
        <w:t>went down</w:t>
      </w:r>
      <w:r w:rsidRPr="003D0818">
        <w:t xml:space="preserve"> </w:t>
      </w:r>
      <w:r>
        <w:t>25</w:t>
      </w:r>
      <w:r w:rsidRPr="003D0818">
        <w:t xml:space="preserve">% over </w:t>
      </w:r>
      <w:r>
        <w:t>the same period last year</w:t>
      </w:r>
      <w:r w:rsidRPr="003D0818">
        <w:t xml:space="preserve">, of which exports reached </w:t>
      </w:r>
      <w:r>
        <w:t>23.6</w:t>
      </w:r>
      <w:r w:rsidRPr="003D0818">
        <w:t xml:space="preserve"> billion USD, </w:t>
      </w:r>
      <w:r>
        <w:t>decreased</w:t>
      </w:r>
      <w:r w:rsidRPr="003D0818">
        <w:t xml:space="preserve"> </w:t>
      </w:r>
      <w:r>
        <w:t>by</w:t>
      </w:r>
      <w:r w:rsidRPr="003D0818">
        <w:t xml:space="preserve"> </w:t>
      </w:r>
      <w:r>
        <w:t>25.8%</w:t>
      </w:r>
      <w:r w:rsidRPr="003D0818">
        <w:t xml:space="preserve">; import reached </w:t>
      </w:r>
      <w:r>
        <w:t>23</w:t>
      </w:r>
      <w:r w:rsidRPr="003D0818">
        <w:t xml:space="preserve"> billion USD, went </w:t>
      </w:r>
      <w:r>
        <w:t>down</w:t>
      </w:r>
      <w:r w:rsidRPr="003D0818">
        <w:t xml:space="preserve"> </w:t>
      </w:r>
      <w:r>
        <w:t>24.1</w:t>
      </w:r>
      <w:r w:rsidRPr="003D0818">
        <w:t>%.</w:t>
      </w:r>
    </w:p>
  </w:footnote>
  <w:footnote w:id="16">
    <w:p w14:paraId="612B4065" w14:textId="77777777" w:rsidR="0090698A" w:rsidRPr="00890E53" w:rsidRDefault="0090698A" w:rsidP="0090698A">
      <w:pPr>
        <w:pStyle w:val="FootnoteText"/>
        <w:spacing w:before="40" w:after="40" w:line="250" w:lineRule="auto"/>
        <w:ind w:left="198" w:hanging="198"/>
        <w:jc w:val="both"/>
      </w:pPr>
      <w:r w:rsidRPr="006D1316">
        <w:rPr>
          <w:rStyle w:val="FootnoteReference"/>
        </w:rPr>
        <w:footnoteRef/>
      </w:r>
      <w:r w:rsidRPr="00890E53">
        <w:t xml:space="preserve"> </w:t>
      </w:r>
      <w:r>
        <w:rPr>
          <w:spacing w:val="-4"/>
        </w:rPr>
        <w:t>The t</w:t>
      </w:r>
      <w:r w:rsidRPr="003D0818">
        <w:rPr>
          <w:spacing w:val="-4"/>
        </w:rPr>
        <w:t xml:space="preserve">rade </w:t>
      </w:r>
      <w:r>
        <w:rPr>
          <w:spacing w:val="-4"/>
        </w:rPr>
        <w:t>surplus</w:t>
      </w:r>
      <w:r w:rsidRPr="003D0818">
        <w:rPr>
          <w:spacing w:val="-4"/>
        </w:rPr>
        <w:t xml:space="preserve"> in </w:t>
      </w:r>
      <w:r>
        <w:rPr>
          <w:spacing w:val="-4"/>
        </w:rPr>
        <w:t>December</w:t>
      </w:r>
      <w:r w:rsidRPr="003D0818">
        <w:rPr>
          <w:spacing w:val="-4"/>
        </w:rPr>
        <w:t xml:space="preserve"> </w:t>
      </w:r>
      <w:r>
        <w:rPr>
          <w:spacing w:val="-4"/>
        </w:rPr>
        <w:t>2023</w:t>
      </w:r>
      <w:r w:rsidRPr="003D0818">
        <w:rPr>
          <w:spacing w:val="-4"/>
        </w:rPr>
        <w:t xml:space="preserve"> was estimated at</w:t>
      </w:r>
      <w:r>
        <w:rPr>
          <w:spacing w:val="-4"/>
        </w:rPr>
        <w:t xml:space="preserve"> 2.28</w:t>
      </w:r>
      <w:r w:rsidRPr="003D0818">
        <w:rPr>
          <w:spacing w:val="-4"/>
        </w:rPr>
        <w:t xml:space="preserve"> </w:t>
      </w:r>
      <w:r>
        <w:rPr>
          <w:spacing w:val="-4"/>
        </w:rPr>
        <w:t>b</w:t>
      </w:r>
      <w:r w:rsidRPr="003D0818">
        <w:rPr>
          <w:spacing w:val="-4"/>
        </w:rPr>
        <w:t>illion USD.</w:t>
      </w:r>
    </w:p>
  </w:footnote>
  <w:footnote w:id="17">
    <w:p w14:paraId="3BAB7235" w14:textId="77777777" w:rsidR="00466CA3" w:rsidRPr="002B4E01" w:rsidRDefault="00466CA3" w:rsidP="00466CA3">
      <w:pPr>
        <w:pStyle w:val="FootnoteText"/>
        <w:spacing w:before="40" w:after="40"/>
        <w:ind w:left="142" w:hanging="142"/>
        <w:jc w:val="both"/>
      </w:pPr>
      <w:r>
        <w:rPr>
          <w:rStyle w:val="FootnoteReference"/>
        </w:rPr>
        <w:footnoteRef/>
      </w:r>
      <w:r>
        <w:t xml:space="preserve"> </w:t>
      </w:r>
      <w:r w:rsidRPr="002B4E01">
        <w:t>The domestic electricity price index in January 2024 reflects fluctuations one month later than other items because it is calculated based on revenue and consumption output of December 2023. In addition, Vietnam Electricity Group (EVN) has issued Decision No. 1416/QD-EVN dated November 8, 2023 on adjusting the average retail electricity price from November 9, 2023.</w:t>
      </w:r>
    </w:p>
  </w:footnote>
  <w:footnote w:id="18">
    <w:p w14:paraId="3B4929B4" w14:textId="77777777" w:rsidR="00466CA3" w:rsidRPr="00187768" w:rsidRDefault="00466CA3" w:rsidP="00466CA3">
      <w:pPr>
        <w:pStyle w:val="FootnoteText"/>
        <w:spacing w:before="40" w:after="40"/>
        <w:ind w:left="198" w:hanging="198"/>
        <w:jc w:val="both"/>
        <w:rPr>
          <w:lang w:val="en-US"/>
        </w:rPr>
      </w:pPr>
      <w:r>
        <w:rPr>
          <w:rStyle w:val="FootnoteReference"/>
        </w:rPr>
        <w:footnoteRef/>
      </w:r>
      <w:r>
        <w:t xml:space="preserve"> </w:t>
      </w:r>
      <w:r w:rsidRPr="002B4E01">
        <w:rPr>
          <w:lang w:val="en-US"/>
        </w:rPr>
        <w:t>From January 1, 2024, domestic gas prices are adjusted to increase by 6,000 VND/12 kg tank after world gas prices increased by 10 USD/ton (from 615 USD/ton to 625 USD/ton).</w:t>
      </w:r>
    </w:p>
  </w:footnote>
  <w:footnote w:id="19">
    <w:p w14:paraId="00D1BF0D" w14:textId="77777777" w:rsidR="00466CA3" w:rsidRPr="002C19D3" w:rsidRDefault="00466CA3" w:rsidP="00466CA3">
      <w:pPr>
        <w:pStyle w:val="FootnoteText"/>
        <w:spacing w:before="40" w:after="40"/>
        <w:ind w:left="198" w:hanging="198"/>
        <w:jc w:val="both"/>
        <w:rPr>
          <w:lang w:val="en-US"/>
        </w:rPr>
      </w:pPr>
      <w:r w:rsidRPr="009044DD">
        <w:rPr>
          <w:rStyle w:val="FootnoteReference"/>
        </w:rPr>
        <w:footnoteRef/>
      </w:r>
      <w:r>
        <w:rPr>
          <w:lang w:val="en-US"/>
        </w:rPr>
        <w:t xml:space="preserve"> </w:t>
      </w:r>
      <w:r w:rsidRPr="002B4E01">
        <w:t>Domestic rice prices increased along with export rice prices due to a sharp increase in import demand in many countries around the world. The price index of the rice group increased by 2.36% (Regular rice increased by 2.49%; Delicious ordinary rice increased by 2% and sticky rice increased by 1.66%). Rising rice prices and high demand to prepare for the Lunar New Year have impacted the price index of other food items such as the price of vermicelli, pho, and rice paper in January, increasing by 1.44% compared to the previous month; vermicelli increased by 0.8%; instant cereals increased by 0.53%; Wheat flour increased by 0.4%; Instant noodles, noodles, pho, and porridge increased by 0.35%.</w:t>
      </w:r>
    </w:p>
  </w:footnote>
  <w:footnote w:id="20">
    <w:p w14:paraId="099B1557" w14:textId="77777777" w:rsidR="00466CA3" w:rsidRPr="002C19D3" w:rsidRDefault="00466CA3" w:rsidP="00466CA3">
      <w:pPr>
        <w:pStyle w:val="FootnoteText"/>
        <w:spacing w:before="40" w:after="40"/>
        <w:ind w:left="198" w:hanging="198"/>
        <w:jc w:val="both"/>
        <w:rPr>
          <w:lang w:val="en-US"/>
        </w:rPr>
      </w:pPr>
      <w:r w:rsidRPr="009044DD">
        <w:rPr>
          <w:rStyle w:val="FootnoteReference"/>
        </w:rPr>
        <w:footnoteRef/>
      </w:r>
      <w:r w:rsidRPr="009044DD">
        <w:t xml:space="preserve"> </w:t>
      </w:r>
      <w:r w:rsidRPr="002B4E01">
        <w:t>The price index of fresh, dried and processed vegetables decreased by 2.25%</w:t>
      </w:r>
      <w:r>
        <w:t>; t</w:t>
      </w:r>
      <w:r w:rsidRPr="002B4E01">
        <w:t>he price index of edible oils and other fats decreased by 0.09%.</w:t>
      </w:r>
    </w:p>
  </w:footnote>
  <w:footnote w:id="21">
    <w:p w14:paraId="1D8E6641" w14:textId="77777777" w:rsidR="00466CA3" w:rsidRPr="002C19D3" w:rsidRDefault="00466CA3" w:rsidP="00466CA3">
      <w:pPr>
        <w:pStyle w:val="FootnoteText"/>
        <w:spacing w:before="40" w:after="40"/>
        <w:ind w:left="198" w:hanging="198"/>
        <w:jc w:val="both"/>
        <w:rPr>
          <w:lang w:val="en-US"/>
        </w:rPr>
      </w:pPr>
      <w:r>
        <w:rPr>
          <w:rStyle w:val="FootnoteReference"/>
        </w:rPr>
        <w:footnoteRef/>
      </w:r>
      <w:r>
        <w:t xml:space="preserve"> </w:t>
      </w:r>
      <w:r w:rsidRPr="002B4E01">
        <w:rPr>
          <w:lang w:val="en-US"/>
        </w:rPr>
        <w:t>Due to high prices for processed ingredients, electricity and labor costs increased, of which the price of eating out at home increased by 0.28%; drinking outside the home increased by 0.45%; takeaway fast food increased by 0.31%.</w:t>
      </w:r>
    </w:p>
  </w:footnote>
  <w:footnote w:id="22">
    <w:p w14:paraId="7AF57AB4" w14:textId="77777777" w:rsidR="00466CA3" w:rsidRPr="007C0549" w:rsidRDefault="00466CA3" w:rsidP="00466CA3">
      <w:pPr>
        <w:pStyle w:val="FootnoteText"/>
        <w:spacing w:before="40" w:after="40"/>
        <w:ind w:left="142" w:hanging="142"/>
        <w:jc w:val="both"/>
        <w:rPr>
          <w:lang w:val="en-GB"/>
        </w:rPr>
      </w:pPr>
      <w:r w:rsidRPr="005F642F">
        <w:rPr>
          <w:rStyle w:val="FootnoteReference"/>
        </w:rPr>
        <w:footnoteRef/>
      </w:r>
      <w:r w:rsidRPr="005F642F">
        <w:t xml:space="preserve"> </w:t>
      </w:r>
      <w:r w:rsidRPr="002B4E01">
        <w:rPr>
          <w:lang w:val="en-GB"/>
        </w:rPr>
        <w:t>Some localities had a decrease in the educational service price index in January 2024 compared to the previous month: Yen Bai decreased by 40.21%; Lai Chau decreased by 35.95%; Lao Cai decreased by 9.37%; Bac Ninh decreased by 0.13%.</w:t>
      </w:r>
    </w:p>
  </w:footnote>
  <w:footnote w:id="23">
    <w:p w14:paraId="36713E98" w14:textId="77777777" w:rsidR="00466CA3" w:rsidRPr="008868D9" w:rsidRDefault="00466CA3" w:rsidP="00466CA3">
      <w:pPr>
        <w:pStyle w:val="FootnoteText"/>
        <w:ind w:left="198" w:hanging="198"/>
        <w:jc w:val="both"/>
      </w:pPr>
      <w:r w:rsidRPr="008868D9">
        <w:rPr>
          <w:rStyle w:val="FootnoteReference"/>
        </w:rPr>
        <w:footnoteRef/>
      </w:r>
      <w:r w:rsidRPr="008868D9">
        <w:t xml:space="preserve"> </w:t>
      </w:r>
      <w:r w:rsidRPr="00152824">
        <w:t>CPI after excluding fresh food, foodstuff, energy and goods managed by the State including health services and education services.</w:t>
      </w:r>
    </w:p>
  </w:footnote>
  <w:footnote w:id="24">
    <w:p w14:paraId="5939B2A8" w14:textId="77777777" w:rsidR="00CE02B0" w:rsidRPr="00F4430E" w:rsidRDefault="00CE02B0" w:rsidP="00CE02B0">
      <w:pPr>
        <w:pStyle w:val="FootnoteText"/>
        <w:ind w:left="198" w:hanging="198"/>
        <w:jc w:val="both"/>
      </w:pPr>
      <w:r w:rsidRPr="00F4430E">
        <w:rPr>
          <w:rStyle w:val="FootnoteReference"/>
        </w:rPr>
        <w:footnoteRef/>
      </w:r>
      <w:r w:rsidRPr="00F4430E">
        <w:rPr>
          <w:spacing w:val="2"/>
        </w:rPr>
        <w:t xml:space="preserve"> </w:t>
      </w:r>
      <w:r>
        <w:rPr>
          <w:lang w:val="nl-NL"/>
        </w:rPr>
        <w:t>According to the report of the Border Gate Department, the Border Guard Command, the Ministry of National Defense and the Immigration Department, the Ministry of Public Security.</w:t>
      </w:r>
    </w:p>
  </w:footnote>
  <w:footnote w:id="25">
    <w:p w14:paraId="1587B6F1" w14:textId="77777777" w:rsidR="00CE02B0" w:rsidRPr="00191D5D" w:rsidRDefault="00CE02B0" w:rsidP="00CE02B0">
      <w:pPr>
        <w:pStyle w:val="FootnoteText"/>
        <w:ind w:left="198" w:hanging="198"/>
        <w:jc w:val="both"/>
      </w:pPr>
      <w:r w:rsidRPr="00F4430E">
        <w:rPr>
          <w:rStyle w:val="FootnoteReference"/>
        </w:rPr>
        <w:footnoteRef/>
      </w:r>
      <w:r w:rsidRPr="00F4430E">
        <w:t xml:space="preserve"> </w:t>
      </w:r>
      <w:r>
        <w:rPr>
          <w:lang w:val="en-US"/>
        </w:rPr>
        <w:t>T</w:t>
      </w:r>
      <w:r>
        <w:rPr>
          <w:lang w:val="nl-NL"/>
        </w:rPr>
        <w:t>he reporting period was from December 21, 2023 to January 20, 2024.</w:t>
      </w:r>
    </w:p>
  </w:footnote>
  <w:footnote w:id="26">
    <w:p w14:paraId="76F9BAA6" w14:textId="77777777" w:rsidR="00335C5E" w:rsidRPr="00232635" w:rsidRDefault="00335C5E" w:rsidP="00335C5E">
      <w:pPr>
        <w:pStyle w:val="FootnoteText"/>
        <w:ind w:left="198" w:hanging="198"/>
        <w:jc w:val="both"/>
      </w:pPr>
      <w:r w:rsidRPr="00507105">
        <w:rPr>
          <w:rStyle w:val="FootnoteReference"/>
        </w:rPr>
        <w:footnoteRef/>
      </w:r>
      <w:r w:rsidRPr="001256F8">
        <w:t xml:space="preserve"> </w:t>
      </w:r>
      <w:r w:rsidRPr="00D878F9">
        <w:t>According to a quick report from the Office of the Ministry of Public Security and the Vietnam Maritime Administration (Ministry of Transport) on January 23, 2024.</w:t>
      </w:r>
    </w:p>
  </w:footnote>
  <w:footnote w:id="27">
    <w:p w14:paraId="657A5AAE" w14:textId="77777777" w:rsidR="00335C5E" w:rsidRPr="0042366A" w:rsidRDefault="00335C5E" w:rsidP="00335C5E">
      <w:pPr>
        <w:pStyle w:val="FootnoteText"/>
        <w:ind w:left="198" w:hanging="198"/>
        <w:jc w:val="both"/>
        <w:rPr>
          <w:spacing w:val="-2"/>
        </w:rPr>
      </w:pPr>
      <w:r w:rsidRPr="0042366A">
        <w:rPr>
          <w:rStyle w:val="FootnoteReference"/>
          <w:spacing w:val="-2"/>
        </w:rPr>
        <w:footnoteRef/>
      </w:r>
      <w:r w:rsidRPr="0042366A">
        <w:rPr>
          <w:spacing w:val="-2"/>
        </w:rPr>
        <w:t xml:space="preserve"> </w:t>
      </w:r>
      <w:r w:rsidRPr="00D878F9">
        <w:rPr>
          <w:spacing w:val="-2"/>
        </w:rPr>
        <w:t>Summary of reports from 63 Departments of Agriculture and Rural Development, reporting period from December 19, 2023 to January 18, 2024.</w:t>
      </w:r>
    </w:p>
  </w:footnote>
  <w:footnote w:id="28">
    <w:p w14:paraId="21F5A01A" w14:textId="77777777" w:rsidR="00335C5E" w:rsidRPr="00232635" w:rsidRDefault="00335C5E" w:rsidP="00335C5E">
      <w:pPr>
        <w:pStyle w:val="FootnoteText"/>
        <w:ind w:left="198" w:hanging="198"/>
        <w:jc w:val="both"/>
      </w:pPr>
      <w:r w:rsidRPr="004808B0">
        <w:rPr>
          <w:rStyle w:val="FootnoteReference"/>
        </w:rPr>
        <w:footnoteRef/>
      </w:r>
      <w:r w:rsidRPr="001256F8">
        <w:t xml:space="preserve"> </w:t>
      </w:r>
      <w:r w:rsidRPr="00D878F9">
        <w:t>According to a quick report from the Ministry of Public Security dated January 23,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11A8" w14:textId="48051DFB" w:rsidR="00761FD8" w:rsidRPr="00800C1E" w:rsidRDefault="00761FD8">
    <w:pPr>
      <w:pStyle w:val="Header"/>
      <w:jc w:val="center"/>
      <w:rPr>
        <w:sz w:val="26"/>
        <w:szCs w:val="26"/>
      </w:rPr>
    </w:pPr>
    <w:r w:rsidRPr="00800C1E">
      <w:rPr>
        <w:sz w:val="26"/>
        <w:szCs w:val="26"/>
      </w:rPr>
      <w:fldChar w:fldCharType="begin"/>
    </w:r>
    <w:r w:rsidRPr="00800C1E">
      <w:rPr>
        <w:sz w:val="26"/>
        <w:szCs w:val="26"/>
      </w:rPr>
      <w:instrText xml:space="preserve"> PAGE   \* MERGEFORMAT </w:instrText>
    </w:r>
    <w:r w:rsidRPr="00800C1E">
      <w:rPr>
        <w:sz w:val="26"/>
        <w:szCs w:val="26"/>
      </w:rPr>
      <w:fldChar w:fldCharType="separate"/>
    </w:r>
    <w:r w:rsidR="00953B7C">
      <w:rPr>
        <w:noProof/>
        <w:sz w:val="26"/>
        <w:szCs w:val="26"/>
      </w:rPr>
      <w:t>22</w:t>
    </w:r>
    <w:r w:rsidRPr="00800C1E">
      <w:rPr>
        <w:sz w:val="26"/>
        <w:szCs w:val="26"/>
      </w:rPr>
      <w:fldChar w:fldCharType="end"/>
    </w:r>
  </w:p>
  <w:p w14:paraId="631711C7" w14:textId="77777777" w:rsidR="00761FD8" w:rsidRDefault="00761F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C3DF2"/>
    <w:multiLevelType w:val="hybridMultilevel"/>
    <w:tmpl w:val="57B2C124"/>
    <w:lvl w:ilvl="0" w:tplc="97D2DCAC">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427E2210"/>
    <w:multiLevelType w:val="hybridMultilevel"/>
    <w:tmpl w:val="5B5A25EE"/>
    <w:lvl w:ilvl="0" w:tplc="B7665A3E">
      <w:start w:val="1"/>
      <w:numFmt w:val="decimal"/>
      <w:lvlText w:val="(%1)"/>
      <w:lvlJc w:val="left"/>
      <w:pPr>
        <w:ind w:left="927" w:hanging="360"/>
      </w:pPr>
      <w:rPr>
        <w:rFonts w:hint="default"/>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4F2B5A09"/>
    <w:multiLevelType w:val="hybridMultilevel"/>
    <w:tmpl w:val="E242A0A0"/>
    <w:lvl w:ilvl="0" w:tplc="DEFAB6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565E2B91"/>
    <w:multiLevelType w:val="hybridMultilevel"/>
    <w:tmpl w:val="3EBC3802"/>
    <w:lvl w:ilvl="0" w:tplc="F3A6B9F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5D7D4D4C"/>
    <w:multiLevelType w:val="hybridMultilevel"/>
    <w:tmpl w:val="D5D4C2F0"/>
    <w:lvl w:ilvl="0" w:tplc="E9866360">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614325A7"/>
    <w:multiLevelType w:val="hybridMultilevel"/>
    <w:tmpl w:val="46A6E0A4"/>
    <w:lvl w:ilvl="0" w:tplc="F3A6B9F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6A190281"/>
    <w:multiLevelType w:val="hybridMultilevel"/>
    <w:tmpl w:val="29E6A5A4"/>
    <w:lvl w:ilvl="0" w:tplc="F4002D4C">
      <w:start w:val="3"/>
      <w:numFmt w:val="lowerLetter"/>
      <w:lvlText w:val="%1."/>
      <w:lvlJc w:val="left"/>
      <w:pPr>
        <w:ind w:left="1170" w:hanging="360"/>
      </w:pPr>
      <w:rPr>
        <w:rFonts w:cs="Times New Roman" w:hint="default"/>
      </w:rPr>
    </w:lvl>
    <w:lvl w:ilvl="1" w:tplc="04090019">
      <w:start w:val="1"/>
      <w:numFmt w:val="lowerLetter"/>
      <w:lvlText w:val="%2."/>
      <w:lvlJc w:val="left"/>
      <w:pPr>
        <w:ind w:left="1890" w:hanging="360"/>
      </w:pPr>
      <w:rPr>
        <w:rFonts w:cs="Times New Roman"/>
      </w:rPr>
    </w:lvl>
    <w:lvl w:ilvl="2" w:tplc="0409001B">
      <w:start w:val="1"/>
      <w:numFmt w:val="lowerRoman"/>
      <w:lvlText w:val="%3."/>
      <w:lvlJc w:val="right"/>
      <w:pPr>
        <w:ind w:left="2610" w:hanging="180"/>
      </w:pPr>
      <w:rPr>
        <w:rFonts w:cs="Times New Roman"/>
      </w:rPr>
    </w:lvl>
    <w:lvl w:ilvl="3" w:tplc="0409000F">
      <w:start w:val="1"/>
      <w:numFmt w:val="decimal"/>
      <w:lvlText w:val="%4."/>
      <w:lvlJc w:val="left"/>
      <w:pPr>
        <w:ind w:left="3330" w:hanging="360"/>
      </w:pPr>
      <w:rPr>
        <w:rFonts w:cs="Times New Roman"/>
      </w:rPr>
    </w:lvl>
    <w:lvl w:ilvl="4" w:tplc="04090019">
      <w:start w:val="1"/>
      <w:numFmt w:val="lowerLetter"/>
      <w:lvlText w:val="%5."/>
      <w:lvlJc w:val="left"/>
      <w:pPr>
        <w:ind w:left="4050" w:hanging="360"/>
      </w:pPr>
      <w:rPr>
        <w:rFonts w:cs="Times New Roman"/>
      </w:rPr>
    </w:lvl>
    <w:lvl w:ilvl="5" w:tplc="0409001B">
      <w:start w:val="1"/>
      <w:numFmt w:val="lowerRoman"/>
      <w:lvlText w:val="%6."/>
      <w:lvlJc w:val="right"/>
      <w:pPr>
        <w:ind w:left="4770" w:hanging="180"/>
      </w:pPr>
      <w:rPr>
        <w:rFonts w:cs="Times New Roman"/>
      </w:rPr>
    </w:lvl>
    <w:lvl w:ilvl="6" w:tplc="0409000F">
      <w:start w:val="1"/>
      <w:numFmt w:val="decimal"/>
      <w:lvlText w:val="%7."/>
      <w:lvlJc w:val="left"/>
      <w:pPr>
        <w:ind w:left="5490" w:hanging="360"/>
      </w:pPr>
      <w:rPr>
        <w:rFonts w:cs="Times New Roman"/>
      </w:rPr>
    </w:lvl>
    <w:lvl w:ilvl="7" w:tplc="04090019">
      <w:start w:val="1"/>
      <w:numFmt w:val="lowerLetter"/>
      <w:lvlText w:val="%8."/>
      <w:lvlJc w:val="left"/>
      <w:pPr>
        <w:ind w:left="6210" w:hanging="360"/>
      </w:pPr>
      <w:rPr>
        <w:rFonts w:cs="Times New Roman"/>
      </w:rPr>
    </w:lvl>
    <w:lvl w:ilvl="8" w:tplc="0409001B">
      <w:start w:val="1"/>
      <w:numFmt w:val="lowerRoman"/>
      <w:lvlText w:val="%9."/>
      <w:lvlJc w:val="right"/>
      <w:pPr>
        <w:ind w:left="6930" w:hanging="180"/>
      </w:pPr>
      <w:rPr>
        <w:rFonts w:cs="Times New Roman"/>
      </w:rPr>
    </w:lvl>
  </w:abstractNum>
  <w:abstractNum w:abstractNumId="8" w15:restartNumberingAfterBreak="0">
    <w:nsid w:val="6C15253D"/>
    <w:multiLevelType w:val="hybridMultilevel"/>
    <w:tmpl w:val="31AC050A"/>
    <w:lvl w:ilvl="0" w:tplc="CBAAC4F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7EDF1437"/>
    <w:multiLevelType w:val="hybridMultilevel"/>
    <w:tmpl w:val="5D982C46"/>
    <w:lvl w:ilvl="0" w:tplc="F3A6B9F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372703594">
    <w:abstractNumId w:val="3"/>
  </w:num>
  <w:num w:numId="2" w16cid:durableId="244800019">
    <w:abstractNumId w:val="7"/>
  </w:num>
  <w:num w:numId="3" w16cid:durableId="168982865">
    <w:abstractNumId w:val="8"/>
  </w:num>
  <w:num w:numId="4" w16cid:durableId="1140536604">
    <w:abstractNumId w:val="6"/>
  </w:num>
  <w:num w:numId="5" w16cid:durableId="132916120">
    <w:abstractNumId w:val="4"/>
  </w:num>
  <w:num w:numId="6" w16cid:durableId="1717000435">
    <w:abstractNumId w:val="5"/>
  </w:num>
  <w:num w:numId="7" w16cid:durableId="1840004104">
    <w:abstractNumId w:val="0"/>
  </w:num>
  <w:num w:numId="8" w16cid:durableId="1709603987">
    <w:abstractNumId w:val="9"/>
  </w:num>
  <w:num w:numId="9" w16cid:durableId="1654412275">
    <w:abstractNumId w:val="1"/>
  </w:num>
  <w:num w:numId="10" w16cid:durableId="11086953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activeWritingStyle w:appName="MSWord" w:lang="en-US" w:vendorID="64" w:dllVersion="6" w:nlCheck="1" w:checkStyle="1"/>
  <w:activeWritingStyle w:appName="MSWord" w:lang="es-NI" w:vendorID="64" w:dllVersion="6" w:nlCheck="1" w:checkStyle="1"/>
  <w:activeWritingStyle w:appName="MSWord" w:lang="fr-FR" w:vendorID="64" w:dllVersion="6" w:nlCheck="1" w:checkStyle="0"/>
  <w:activeWritingStyle w:appName="MSWord" w:lang="es-BO" w:vendorID="64" w:dllVersion="6" w:nlCheck="1" w:checkStyle="0"/>
  <w:activeWritingStyle w:appName="MSWord" w:lang="es-AR" w:vendorID="64" w:dllVersion="6" w:nlCheck="1" w:checkStyle="1"/>
  <w:activeWritingStyle w:appName="MSWord" w:lang="en-GB" w:vendorID="64" w:dllVersion="6" w:nlCheck="1" w:checkStyle="1"/>
  <w:activeWritingStyle w:appName="MSWord" w:lang="en-IN" w:vendorID="64" w:dllVersion="6" w:nlCheck="1" w:checkStyle="1"/>
  <w:activeWritingStyle w:appName="MSWord" w:lang="en-US" w:vendorID="64" w:dllVersion="0" w:nlCheck="1" w:checkStyle="0"/>
  <w:activeWritingStyle w:appName="MSWord" w:lang="en-IN" w:vendorID="64" w:dllVersion="0" w:nlCheck="1" w:checkStyle="0"/>
  <w:activeWritingStyle w:appName="MSWord" w:lang="es-NI" w:vendorID="64" w:dllVersion="0" w:nlCheck="1" w:checkStyle="0"/>
  <w:defaultTabStop w:val="720"/>
  <w:doNotHyphenateCaps/>
  <w:drawingGridHorizontalSpacing w:val="14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468"/>
    <w:rsid w:val="0000060A"/>
    <w:rsid w:val="00000A13"/>
    <w:rsid w:val="0000106D"/>
    <w:rsid w:val="00001C22"/>
    <w:rsid w:val="00001D5F"/>
    <w:rsid w:val="00002B3F"/>
    <w:rsid w:val="000036C2"/>
    <w:rsid w:val="0000461D"/>
    <w:rsid w:val="0000480E"/>
    <w:rsid w:val="0000524B"/>
    <w:rsid w:val="00005622"/>
    <w:rsid w:val="0000631B"/>
    <w:rsid w:val="000071F9"/>
    <w:rsid w:val="000077D5"/>
    <w:rsid w:val="00007C4C"/>
    <w:rsid w:val="000111B7"/>
    <w:rsid w:val="00011FBD"/>
    <w:rsid w:val="00012187"/>
    <w:rsid w:val="00012976"/>
    <w:rsid w:val="00012C2C"/>
    <w:rsid w:val="00013D33"/>
    <w:rsid w:val="000143C8"/>
    <w:rsid w:val="00014846"/>
    <w:rsid w:val="00014A30"/>
    <w:rsid w:val="00014AB2"/>
    <w:rsid w:val="000154AA"/>
    <w:rsid w:val="00015CFE"/>
    <w:rsid w:val="00016203"/>
    <w:rsid w:val="00016882"/>
    <w:rsid w:val="0001752D"/>
    <w:rsid w:val="00020671"/>
    <w:rsid w:val="000217C7"/>
    <w:rsid w:val="00022151"/>
    <w:rsid w:val="000227FE"/>
    <w:rsid w:val="00022B6E"/>
    <w:rsid w:val="00023FC2"/>
    <w:rsid w:val="00024AC9"/>
    <w:rsid w:val="00024ACD"/>
    <w:rsid w:val="00025359"/>
    <w:rsid w:val="0002579C"/>
    <w:rsid w:val="00026379"/>
    <w:rsid w:val="000277B8"/>
    <w:rsid w:val="00030096"/>
    <w:rsid w:val="00030AF3"/>
    <w:rsid w:val="00030B8D"/>
    <w:rsid w:val="00030D8A"/>
    <w:rsid w:val="00031001"/>
    <w:rsid w:val="00031327"/>
    <w:rsid w:val="000315D0"/>
    <w:rsid w:val="000319D7"/>
    <w:rsid w:val="0003230D"/>
    <w:rsid w:val="00032396"/>
    <w:rsid w:val="0003264C"/>
    <w:rsid w:val="00032B7F"/>
    <w:rsid w:val="00033079"/>
    <w:rsid w:val="000343AC"/>
    <w:rsid w:val="00034406"/>
    <w:rsid w:val="0003481E"/>
    <w:rsid w:val="000361A7"/>
    <w:rsid w:val="000363F6"/>
    <w:rsid w:val="00036452"/>
    <w:rsid w:val="00040137"/>
    <w:rsid w:val="00041B98"/>
    <w:rsid w:val="000420D5"/>
    <w:rsid w:val="00042223"/>
    <w:rsid w:val="00042EB9"/>
    <w:rsid w:val="00044A7D"/>
    <w:rsid w:val="00044E15"/>
    <w:rsid w:val="00045745"/>
    <w:rsid w:val="00045C3C"/>
    <w:rsid w:val="000461E1"/>
    <w:rsid w:val="000463F1"/>
    <w:rsid w:val="00046995"/>
    <w:rsid w:val="00046EB2"/>
    <w:rsid w:val="000500C6"/>
    <w:rsid w:val="000506B5"/>
    <w:rsid w:val="00050839"/>
    <w:rsid w:val="00050A08"/>
    <w:rsid w:val="00050B6D"/>
    <w:rsid w:val="00051916"/>
    <w:rsid w:val="00053C08"/>
    <w:rsid w:val="00054126"/>
    <w:rsid w:val="00054562"/>
    <w:rsid w:val="00055398"/>
    <w:rsid w:val="0005565B"/>
    <w:rsid w:val="00055C58"/>
    <w:rsid w:val="00056734"/>
    <w:rsid w:val="00057126"/>
    <w:rsid w:val="000601AD"/>
    <w:rsid w:val="00060433"/>
    <w:rsid w:val="000604D5"/>
    <w:rsid w:val="00060A18"/>
    <w:rsid w:val="00060EF3"/>
    <w:rsid w:val="00061C45"/>
    <w:rsid w:val="00062AED"/>
    <w:rsid w:val="00062BEB"/>
    <w:rsid w:val="00062D3D"/>
    <w:rsid w:val="00062EB5"/>
    <w:rsid w:val="00062FE7"/>
    <w:rsid w:val="00063032"/>
    <w:rsid w:val="00063509"/>
    <w:rsid w:val="000637D9"/>
    <w:rsid w:val="0006483F"/>
    <w:rsid w:val="0006495B"/>
    <w:rsid w:val="0006555A"/>
    <w:rsid w:val="000658A7"/>
    <w:rsid w:val="00065CCF"/>
    <w:rsid w:val="0006703E"/>
    <w:rsid w:val="00071050"/>
    <w:rsid w:val="000712EE"/>
    <w:rsid w:val="00071312"/>
    <w:rsid w:val="00072295"/>
    <w:rsid w:val="00072810"/>
    <w:rsid w:val="00072939"/>
    <w:rsid w:val="00072A12"/>
    <w:rsid w:val="0007467D"/>
    <w:rsid w:val="00074861"/>
    <w:rsid w:val="0007509B"/>
    <w:rsid w:val="0007626A"/>
    <w:rsid w:val="00076466"/>
    <w:rsid w:val="00076F40"/>
    <w:rsid w:val="0007721A"/>
    <w:rsid w:val="0007787D"/>
    <w:rsid w:val="00077957"/>
    <w:rsid w:val="000809AB"/>
    <w:rsid w:val="00082A5E"/>
    <w:rsid w:val="00082EDE"/>
    <w:rsid w:val="000831C8"/>
    <w:rsid w:val="00083379"/>
    <w:rsid w:val="00083536"/>
    <w:rsid w:val="00083FA5"/>
    <w:rsid w:val="000851C7"/>
    <w:rsid w:val="00085E39"/>
    <w:rsid w:val="00086EEA"/>
    <w:rsid w:val="000906F5"/>
    <w:rsid w:val="000909CE"/>
    <w:rsid w:val="0009196E"/>
    <w:rsid w:val="00091E96"/>
    <w:rsid w:val="00092690"/>
    <w:rsid w:val="00092A06"/>
    <w:rsid w:val="00092C77"/>
    <w:rsid w:val="00092E0E"/>
    <w:rsid w:val="000930DA"/>
    <w:rsid w:val="0009345E"/>
    <w:rsid w:val="000937B1"/>
    <w:rsid w:val="00093A8F"/>
    <w:rsid w:val="00093D99"/>
    <w:rsid w:val="0009449A"/>
    <w:rsid w:val="00095257"/>
    <w:rsid w:val="00095F89"/>
    <w:rsid w:val="00096C40"/>
    <w:rsid w:val="00097457"/>
    <w:rsid w:val="00097770"/>
    <w:rsid w:val="000A0827"/>
    <w:rsid w:val="000A0849"/>
    <w:rsid w:val="000A0F2C"/>
    <w:rsid w:val="000A1186"/>
    <w:rsid w:val="000A173F"/>
    <w:rsid w:val="000A192B"/>
    <w:rsid w:val="000A1CCE"/>
    <w:rsid w:val="000A21CF"/>
    <w:rsid w:val="000A2C95"/>
    <w:rsid w:val="000A3467"/>
    <w:rsid w:val="000A39E0"/>
    <w:rsid w:val="000A4A08"/>
    <w:rsid w:val="000A6278"/>
    <w:rsid w:val="000A7BD3"/>
    <w:rsid w:val="000B1DBB"/>
    <w:rsid w:val="000B2181"/>
    <w:rsid w:val="000B2507"/>
    <w:rsid w:val="000B3A76"/>
    <w:rsid w:val="000B3B84"/>
    <w:rsid w:val="000B4674"/>
    <w:rsid w:val="000B46CF"/>
    <w:rsid w:val="000B481F"/>
    <w:rsid w:val="000B49D3"/>
    <w:rsid w:val="000B56FF"/>
    <w:rsid w:val="000B79A2"/>
    <w:rsid w:val="000C006C"/>
    <w:rsid w:val="000C0548"/>
    <w:rsid w:val="000C0B99"/>
    <w:rsid w:val="000C1215"/>
    <w:rsid w:val="000C1A58"/>
    <w:rsid w:val="000C1AEE"/>
    <w:rsid w:val="000C1F7D"/>
    <w:rsid w:val="000C3957"/>
    <w:rsid w:val="000C452E"/>
    <w:rsid w:val="000C4535"/>
    <w:rsid w:val="000C4883"/>
    <w:rsid w:val="000C5209"/>
    <w:rsid w:val="000C53E9"/>
    <w:rsid w:val="000C5818"/>
    <w:rsid w:val="000C5829"/>
    <w:rsid w:val="000C5F2B"/>
    <w:rsid w:val="000C6226"/>
    <w:rsid w:val="000C6AB4"/>
    <w:rsid w:val="000C6F18"/>
    <w:rsid w:val="000C75FC"/>
    <w:rsid w:val="000C7688"/>
    <w:rsid w:val="000C78CD"/>
    <w:rsid w:val="000C7F9F"/>
    <w:rsid w:val="000D0051"/>
    <w:rsid w:val="000D3A06"/>
    <w:rsid w:val="000D4CC8"/>
    <w:rsid w:val="000D53AB"/>
    <w:rsid w:val="000D573D"/>
    <w:rsid w:val="000D5891"/>
    <w:rsid w:val="000D58AA"/>
    <w:rsid w:val="000D713B"/>
    <w:rsid w:val="000D71B7"/>
    <w:rsid w:val="000D76D0"/>
    <w:rsid w:val="000E0006"/>
    <w:rsid w:val="000E08E4"/>
    <w:rsid w:val="000E0C6F"/>
    <w:rsid w:val="000E0E7B"/>
    <w:rsid w:val="000E236D"/>
    <w:rsid w:val="000E388B"/>
    <w:rsid w:val="000E3A29"/>
    <w:rsid w:val="000E4E3C"/>
    <w:rsid w:val="000E535D"/>
    <w:rsid w:val="000E6165"/>
    <w:rsid w:val="000E689F"/>
    <w:rsid w:val="000E6961"/>
    <w:rsid w:val="000E6C74"/>
    <w:rsid w:val="000E72B3"/>
    <w:rsid w:val="000E780A"/>
    <w:rsid w:val="000F0084"/>
    <w:rsid w:val="000F0A9B"/>
    <w:rsid w:val="000F1F80"/>
    <w:rsid w:val="000F2026"/>
    <w:rsid w:val="000F22AE"/>
    <w:rsid w:val="000F394F"/>
    <w:rsid w:val="000F3CA3"/>
    <w:rsid w:val="000F423F"/>
    <w:rsid w:val="000F4742"/>
    <w:rsid w:val="000F4AC9"/>
    <w:rsid w:val="000F4DEC"/>
    <w:rsid w:val="000F54B1"/>
    <w:rsid w:val="000F6092"/>
    <w:rsid w:val="000F74AD"/>
    <w:rsid w:val="000F7AB5"/>
    <w:rsid w:val="000F7BC2"/>
    <w:rsid w:val="000F7E82"/>
    <w:rsid w:val="00100DF0"/>
    <w:rsid w:val="00100E80"/>
    <w:rsid w:val="00100EB4"/>
    <w:rsid w:val="00101235"/>
    <w:rsid w:val="00101826"/>
    <w:rsid w:val="0010267B"/>
    <w:rsid w:val="00102967"/>
    <w:rsid w:val="00103A80"/>
    <w:rsid w:val="00103B7E"/>
    <w:rsid w:val="00103D41"/>
    <w:rsid w:val="001053C0"/>
    <w:rsid w:val="001067DB"/>
    <w:rsid w:val="00106E40"/>
    <w:rsid w:val="00107927"/>
    <w:rsid w:val="00110D60"/>
    <w:rsid w:val="001111A4"/>
    <w:rsid w:val="00111673"/>
    <w:rsid w:val="00112582"/>
    <w:rsid w:val="00112F57"/>
    <w:rsid w:val="001131C5"/>
    <w:rsid w:val="0011328C"/>
    <w:rsid w:val="00113542"/>
    <w:rsid w:val="00113C4F"/>
    <w:rsid w:val="001141BD"/>
    <w:rsid w:val="00114287"/>
    <w:rsid w:val="0011450B"/>
    <w:rsid w:val="001145F4"/>
    <w:rsid w:val="0011581B"/>
    <w:rsid w:val="0011627C"/>
    <w:rsid w:val="001163E2"/>
    <w:rsid w:val="001163FC"/>
    <w:rsid w:val="0011680F"/>
    <w:rsid w:val="0011728C"/>
    <w:rsid w:val="00117732"/>
    <w:rsid w:val="00117781"/>
    <w:rsid w:val="00120614"/>
    <w:rsid w:val="00120AA1"/>
    <w:rsid w:val="00120DCB"/>
    <w:rsid w:val="001219F9"/>
    <w:rsid w:val="00122D61"/>
    <w:rsid w:val="00124496"/>
    <w:rsid w:val="00124520"/>
    <w:rsid w:val="00124AE1"/>
    <w:rsid w:val="00124D0A"/>
    <w:rsid w:val="00124F5E"/>
    <w:rsid w:val="001268F2"/>
    <w:rsid w:val="00126B64"/>
    <w:rsid w:val="00126BCD"/>
    <w:rsid w:val="00127476"/>
    <w:rsid w:val="00127893"/>
    <w:rsid w:val="001311D0"/>
    <w:rsid w:val="00131897"/>
    <w:rsid w:val="00132327"/>
    <w:rsid w:val="00132A25"/>
    <w:rsid w:val="00132AB4"/>
    <w:rsid w:val="00132C6D"/>
    <w:rsid w:val="00132F80"/>
    <w:rsid w:val="001335C1"/>
    <w:rsid w:val="0013362F"/>
    <w:rsid w:val="00134829"/>
    <w:rsid w:val="0013560B"/>
    <w:rsid w:val="00135708"/>
    <w:rsid w:val="0013616D"/>
    <w:rsid w:val="00136657"/>
    <w:rsid w:val="00137243"/>
    <w:rsid w:val="001372A3"/>
    <w:rsid w:val="00137F3E"/>
    <w:rsid w:val="00140121"/>
    <w:rsid w:val="0014056F"/>
    <w:rsid w:val="001409C2"/>
    <w:rsid w:val="00141006"/>
    <w:rsid w:val="00141224"/>
    <w:rsid w:val="001413DD"/>
    <w:rsid w:val="00141744"/>
    <w:rsid w:val="00141BCE"/>
    <w:rsid w:val="00142010"/>
    <w:rsid w:val="00142019"/>
    <w:rsid w:val="001426FE"/>
    <w:rsid w:val="00142D28"/>
    <w:rsid w:val="00143773"/>
    <w:rsid w:val="00143A0F"/>
    <w:rsid w:val="001444E6"/>
    <w:rsid w:val="0014472B"/>
    <w:rsid w:val="00144921"/>
    <w:rsid w:val="00147218"/>
    <w:rsid w:val="00150717"/>
    <w:rsid w:val="001507DD"/>
    <w:rsid w:val="00150E8C"/>
    <w:rsid w:val="00150FBF"/>
    <w:rsid w:val="00151028"/>
    <w:rsid w:val="0015190E"/>
    <w:rsid w:val="00151AF6"/>
    <w:rsid w:val="0015299C"/>
    <w:rsid w:val="00152CFB"/>
    <w:rsid w:val="0015336C"/>
    <w:rsid w:val="00154EB4"/>
    <w:rsid w:val="00155547"/>
    <w:rsid w:val="00156312"/>
    <w:rsid w:val="00156BA8"/>
    <w:rsid w:val="001573FD"/>
    <w:rsid w:val="0016093E"/>
    <w:rsid w:val="0016098B"/>
    <w:rsid w:val="001609D3"/>
    <w:rsid w:val="00161BCD"/>
    <w:rsid w:val="0016207C"/>
    <w:rsid w:val="00162689"/>
    <w:rsid w:val="00162BB1"/>
    <w:rsid w:val="001631CA"/>
    <w:rsid w:val="001639D0"/>
    <w:rsid w:val="00164709"/>
    <w:rsid w:val="00164CDE"/>
    <w:rsid w:val="0016658F"/>
    <w:rsid w:val="001665C1"/>
    <w:rsid w:val="00166711"/>
    <w:rsid w:val="00166F19"/>
    <w:rsid w:val="00170272"/>
    <w:rsid w:val="00170E86"/>
    <w:rsid w:val="00171A4B"/>
    <w:rsid w:val="00174088"/>
    <w:rsid w:val="00174CD4"/>
    <w:rsid w:val="00175126"/>
    <w:rsid w:val="0017608F"/>
    <w:rsid w:val="00176E13"/>
    <w:rsid w:val="0017716A"/>
    <w:rsid w:val="00177248"/>
    <w:rsid w:val="001802FE"/>
    <w:rsid w:val="00180A37"/>
    <w:rsid w:val="00180D47"/>
    <w:rsid w:val="0018214D"/>
    <w:rsid w:val="00182AE3"/>
    <w:rsid w:val="00183076"/>
    <w:rsid w:val="00183269"/>
    <w:rsid w:val="001842C2"/>
    <w:rsid w:val="00184CDD"/>
    <w:rsid w:val="00184D21"/>
    <w:rsid w:val="00185B08"/>
    <w:rsid w:val="00185C7C"/>
    <w:rsid w:val="00185CEB"/>
    <w:rsid w:val="001867C2"/>
    <w:rsid w:val="00186D19"/>
    <w:rsid w:val="0018771F"/>
    <w:rsid w:val="001907B3"/>
    <w:rsid w:val="001909BC"/>
    <w:rsid w:val="00190AEB"/>
    <w:rsid w:val="00190D72"/>
    <w:rsid w:val="00190DC7"/>
    <w:rsid w:val="00191B9D"/>
    <w:rsid w:val="001932BB"/>
    <w:rsid w:val="00193B56"/>
    <w:rsid w:val="001940EF"/>
    <w:rsid w:val="0019426B"/>
    <w:rsid w:val="00194ABE"/>
    <w:rsid w:val="00195284"/>
    <w:rsid w:val="0019559C"/>
    <w:rsid w:val="0019657C"/>
    <w:rsid w:val="0019666F"/>
    <w:rsid w:val="001967B1"/>
    <w:rsid w:val="001A02E3"/>
    <w:rsid w:val="001A07A9"/>
    <w:rsid w:val="001A1D48"/>
    <w:rsid w:val="001A1DE3"/>
    <w:rsid w:val="001A1F71"/>
    <w:rsid w:val="001A2056"/>
    <w:rsid w:val="001A24A0"/>
    <w:rsid w:val="001A29A8"/>
    <w:rsid w:val="001A307B"/>
    <w:rsid w:val="001A5466"/>
    <w:rsid w:val="001A547A"/>
    <w:rsid w:val="001A6265"/>
    <w:rsid w:val="001A632D"/>
    <w:rsid w:val="001A6566"/>
    <w:rsid w:val="001A7B87"/>
    <w:rsid w:val="001A7D38"/>
    <w:rsid w:val="001B0212"/>
    <w:rsid w:val="001B0377"/>
    <w:rsid w:val="001B05F7"/>
    <w:rsid w:val="001B1245"/>
    <w:rsid w:val="001B17CD"/>
    <w:rsid w:val="001B1F8B"/>
    <w:rsid w:val="001B2DC9"/>
    <w:rsid w:val="001B31A8"/>
    <w:rsid w:val="001B34BB"/>
    <w:rsid w:val="001B3974"/>
    <w:rsid w:val="001B46A1"/>
    <w:rsid w:val="001B471E"/>
    <w:rsid w:val="001B47EE"/>
    <w:rsid w:val="001B5F6C"/>
    <w:rsid w:val="001B62F7"/>
    <w:rsid w:val="001B70E3"/>
    <w:rsid w:val="001B733C"/>
    <w:rsid w:val="001B7A79"/>
    <w:rsid w:val="001B7CA1"/>
    <w:rsid w:val="001B7CA9"/>
    <w:rsid w:val="001B7D2D"/>
    <w:rsid w:val="001C04DA"/>
    <w:rsid w:val="001C07D6"/>
    <w:rsid w:val="001C0EAD"/>
    <w:rsid w:val="001C1B98"/>
    <w:rsid w:val="001C26B0"/>
    <w:rsid w:val="001C2B53"/>
    <w:rsid w:val="001C2CC3"/>
    <w:rsid w:val="001C2E28"/>
    <w:rsid w:val="001C3319"/>
    <w:rsid w:val="001C37BF"/>
    <w:rsid w:val="001C41D3"/>
    <w:rsid w:val="001C43F7"/>
    <w:rsid w:val="001C4575"/>
    <w:rsid w:val="001C4E1B"/>
    <w:rsid w:val="001C6113"/>
    <w:rsid w:val="001C76B1"/>
    <w:rsid w:val="001D01E3"/>
    <w:rsid w:val="001D0DCE"/>
    <w:rsid w:val="001D13CD"/>
    <w:rsid w:val="001D2BBA"/>
    <w:rsid w:val="001D3772"/>
    <w:rsid w:val="001D40B8"/>
    <w:rsid w:val="001D49F4"/>
    <w:rsid w:val="001D4B0E"/>
    <w:rsid w:val="001D5CA2"/>
    <w:rsid w:val="001D6579"/>
    <w:rsid w:val="001D6E05"/>
    <w:rsid w:val="001D7967"/>
    <w:rsid w:val="001D7D63"/>
    <w:rsid w:val="001E014E"/>
    <w:rsid w:val="001E07EA"/>
    <w:rsid w:val="001E0E49"/>
    <w:rsid w:val="001E0EF9"/>
    <w:rsid w:val="001E2941"/>
    <w:rsid w:val="001E3544"/>
    <w:rsid w:val="001E39D0"/>
    <w:rsid w:val="001E4475"/>
    <w:rsid w:val="001E4A2C"/>
    <w:rsid w:val="001E4ACD"/>
    <w:rsid w:val="001E541B"/>
    <w:rsid w:val="001E5C74"/>
    <w:rsid w:val="001E6570"/>
    <w:rsid w:val="001E6760"/>
    <w:rsid w:val="001E678D"/>
    <w:rsid w:val="001E6957"/>
    <w:rsid w:val="001E6C19"/>
    <w:rsid w:val="001E6D2D"/>
    <w:rsid w:val="001E76A4"/>
    <w:rsid w:val="001E7B07"/>
    <w:rsid w:val="001F016A"/>
    <w:rsid w:val="001F1CBC"/>
    <w:rsid w:val="001F39ED"/>
    <w:rsid w:val="001F3C7C"/>
    <w:rsid w:val="001F402B"/>
    <w:rsid w:val="001F4845"/>
    <w:rsid w:val="001F4A1C"/>
    <w:rsid w:val="001F508E"/>
    <w:rsid w:val="001F55D6"/>
    <w:rsid w:val="001F5713"/>
    <w:rsid w:val="001F588B"/>
    <w:rsid w:val="001F66C2"/>
    <w:rsid w:val="001F672A"/>
    <w:rsid w:val="001F6C7A"/>
    <w:rsid w:val="001F716C"/>
    <w:rsid w:val="001F73A1"/>
    <w:rsid w:val="001F76F2"/>
    <w:rsid w:val="002001DC"/>
    <w:rsid w:val="00200B66"/>
    <w:rsid w:val="0020207F"/>
    <w:rsid w:val="00203D62"/>
    <w:rsid w:val="00204E46"/>
    <w:rsid w:val="00205B07"/>
    <w:rsid w:val="00205E9D"/>
    <w:rsid w:val="002065EA"/>
    <w:rsid w:val="00206E2F"/>
    <w:rsid w:val="002073D6"/>
    <w:rsid w:val="00207B86"/>
    <w:rsid w:val="00210C01"/>
    <w:rsid w:val="00210EA7"/>
    <w:rsid w:val="00211595"/>
    <w:rsid w:val="002119D4"/>
    <w:rsid w:val="00211AEB"/>
    <w:rsid w:val="00213126"/>
    <w:rsid w:val="00213504"/>
    <w:rsid w:val="00213741"/>
    <w:rsid w:val="002147F9"/>
    <w:rsid w:val="00215A08"/>
    <w:rsid w:val="00215C85"/>
    <w:rsid w:val="00216288"/>
    <w:rsid w:val="002163FC"/>
    <w:rsid w:val="00216F88"/>
    <w:rsid w:val="00217A98"/>
    <w:rsid w:val="0022109E"/>
    <w:rsid w:val="0022158C"/>
    <w:rsid w:val="0022317F"/>
    <w:rsid w:val="002232D9"/>
    <w:rsid w:val="0022390D"/>
    <w:rsid w:val="00224B8D"/>
    <w:rsid w:val="002254DC"/>
    <w:rsid w:val="002255B4"/>
    <w:rsid w:val="002260F3"/>
    <w:rsid w:val="0022663B"/>
    <w:rsid w:val="0022689D"/>
    <w:rsid w:val="00227769"/>
    <w:rsid w:val="00227FAD"/>
    <w:rsid w:val="00230997"/>
    <w:rsid w:val="00230D3B"/>
    <w:rsid w:val="0023108B"/>
    <w:rsid w:val="00232350"/>
    <w:rsid w:val="00232402"/>
    <w:rsid w:val="0023258A"/>
    <w:rsid w:val="00232811"/>
    <w:rsid w:val="002331DD"/>
    <w:rsid w:val="00233480"/>
    <w:rsid w:val="00233CFF"/>
    <w:rsid w:val="00234AEA"/>
    <w:rsid w:val="00234E05"/>
    <w:rsid w:val="00234FB7"/>
    <w:rsid w:val="0023513E"/>
    <w:rsid w:val="00235BAD"/>
    <w:rsid w:val="00235F70"/>
    <w:rsid w:val="00235F8C"/>
    <w:rsid w:val="002360BA"/>
    <w:rsid w:val="002362A4"/>
    <w:rsid w:val="002365E8"/>
    <w:rsid w:val="00237434"/>
    <w:rsid w:val="002374E8"/>
    <w:rsid w:val="00237CFC"/>
    <w:rsid w:val="00240415"/>
    <w:rsid w:val="002410E5"/>
    <w:rsid w:val="002411CF"/>
    <w:rsid w:val="00241982"/>
    <w:rsid w:val="00241FA7"/>
    <w:rsid w:val="002424B1"/>
    <w:rsid w:val="002428EB"/>
    <w:rsid w:val="002430F5"/>
    <w:rsid w:val="00244001"/>
    <w:rsid w:val="002441BC"/>
    <w:rsid w:val="002443F6"/>
    <w:rsid w:val="002447BD"/>
    <w:rsid w:val="00245678"/>
    <w:rsid w:val="0024587A"/>
    <w:rsid w:val="00245B4B"/>
    <w:rsid w:val="002460EF"/>
    <w:rsid w:val="002462D2"/>
    <w:rsid w:val="00246DB4"/>
    <w:rsid w:val="002472AA"/>
    <w:rsid w:val="00247313"/>
    <w:rsid w:val="002473DA"/>
    <w:rsid w:val="002517FD"/>
    <w:rsid w:val="002527C3"/>
    <w:rsid w:val="0025330A"/>
    <w:rsid w:val="0025432E"/>
    <w:rsid w:val="00255261"/>
    <w:rsid w:val="002558D1"/>
    <w:rsid w:val="00256661"/>
    <w:rsid w:val="0026046F"/>
    <w:rsid w:val="002606E1"/>
    <w:rsid w:val="00260DDA"/>
    <w:rsid w:val="00260F60"/>
    <w:rsid w:val="0026129F"/>
    <w:rsid w:val="002613FE"/>
    <w:rsid w:val="00261703"/>
    <w:rsid w:val="002618D5"/>
    <w:rsid w:val="00261A90"/>
    <w:rsid w:val="00261AAE"/>
    <w:rsid w:val="00264213"/>
    <w:rsid w:val="002646C7"/>
    <w:rsid w:val="00265DB4"/>
    <w:rsid w:val="002678A7"/>
    <w:rsid w:val="00267DEF"/>
    <w:rsid w:val="00267FE6"/>
    <w:rsid w:val="002700EC"/>
    <w:rsid w:val="002703C0"/>
    <w:rsid w:val="002703FD"/>
    <w:rsid w:val="00270CB2"/>
    <w:rsid w:val="00270F84"/>
    <w:rsid w:val="00271552"/>
    <w:rsid w:val="00271B3A"/>
    <w:rsid w:val="00271D3A"/>
    <w:rsid w:val="00271EC2"/>
    <w:rsid w:val="00272C69"/>
    <w:rsid w:val="00272DD0"/>
    <w:rsid w:val="00272FD8"/>
    <w:rsid w:val="00273B0E"/>
    <w:rsid w:val="00274077"/>
    <w:rsid w:val="002746F6"/>
    <w:rsid w:val="00275947"/>
    <w:rsid w:val="00276597"/>
    <w:rsid w:val="00276AEF"/>
    <w:rsid w:val="00276BBB"/>
    <w:rsid w:val="00280560"/>
    <w:rsid w:val="00280A50"/>
    <w:rsid w:val="00281200"/>
    <w:rsid w:val="00281B8E"/>
    <w:rsid w:val="00281CE7"/>
    <w:rsid w:val="00282303"/>
    <w:rsid w:val="00282EF0"/>
    <w:rsid w:val="00283199"/>
    <w:rsid w:val="002833E3"/>
    <w:rsid w:val="00283490"/>
    <w:rsid w:val="002845AF"/>
    <w:rsid w:val="00284E13"/>
    <w:rsid w:val="00285772"/>
    <w:rsid w:val="0028627E"/>
    <w:rsid w:val="00286623"/>
    <w:rsid w:val="00286CBE"/>
    <w:rsid w:val="00287B47"/>
    <w:rsid w:val="00287F87"/>
    <w:rsid w:val="00290648"/>
    <w:rsid w:val="0029123C"/>
    <w:rsid w:val="002923F1"/>
    <w:rsid w:val="0029276C"/>
    <w:rsid w:val="00292F96"/>
    <w:rsid w:val="002931B4"/>
    <w:rsid w:val="00294043"/>
    <w:rsid w:val="0029416B"/>
    <w:rsid w:val="00294BF0"/>
    <w:rsid w:val="00294F67"/>
    <w:rsid w:val="00294F82"/>
    <w:rsid w:val="0029538F"/>
    <w:rsid w:val="002978A7"/>
    <w:rsid w:val="002A06B7"/>
    <w:rsid w:val="002A1098"/>
    <w:rsid w:val="002A1D7F"/>
    <w:rsid w:val="002A20F4"/>
    <w:rsid w:val="002A2190"/>
    <w:rsid w:val="002A2303"/>
    <w:rsid w:val="002A2344"/>
    <w:rsid w:val="002A2D5D"/>
    <w:rsid w:val="002A4AB1"/>
    <w:rsid w:val="002A4FCA"/>
    <w:rsid w:val="002A5269"/>
    <w:rsid w:val="002A564D"/>
    <w:rsid w:val="002A5F08"/>
    <w:rsid w:val="002A693B"/>
    <w:rsid w:val="002A7813"/>
    <w:rsid w:val="002B0104"/>
    <w:rsid w:val="002B20B1"/>
    <w:rsid w:val="002B2B49"/>
    <w:rsid w:val="002B49CD"/>
    <w:rsid w:val="002B4DB3"/>
    <w:rsid w:val="002B56C3"/>
    <w:rsid w:val="002B651E"/>
    <w:rsid w:val="002B705E"/>
    <w:rsid w:val="002B79F2"/>
    <w:rsid w:val="002C0B39"/>
    <w:rsid w:val="002C0DFE"/>
    <w:rsid w:val="002C0EC1"/>
    <w:rsid w:val="002C1136"/>
    <w:rsid w:val="002C18EC"/>
    <w:rsid w:val="002C2838"/>
    <w:rsid w:val="002C2AB0"/>
    <w:rsid w:val="002C324A"/>
    <w:rsid w:val="002C4F8A"/>
    <w:rsid w:val="002C593B"/>
    <w:rsid w:val="002C5CAB"/>
    <w:rsid w:val="002C5FC9"/>
    <w:rsid w:val="002C642A"/>
    <w:rsid w:val="002C7ABA"/>
    <w:rsid w:val="002D1706"/>
    <w:rsid w:val="002D1C87"/>
    <w:rsid w:val="002D1EFF"/>
    <w:rsid w:val="002D329A"/>
    <w:rsid w:val="002D3707"/>
    <w:rsid w:val="002D4AFE"/>
    <w:rsid w:val="002D591D"/>
    <w:rsid w:val="002D5980"/>
    <w:rsid w:val="002D5AA3"/>
    <w:rsid w:val="002D6001"/>
    <w:rsid w:val="002D6E24"/>
    <w:rsid w:val="002D764F"/>
    <w:rsid w:val="002D7B78"/>
    <w:rsid w:val="002D7E9A"/>
    <w:rsid w:val="002E01CF"/>
    <w:rsid w:val="002E172E"/>
    <w:rsid w:val="002E21D6"/>
    <w:rsid w:val="002E2E79"/>
    <w:rsid w:val="002E32F5"/>
    <w:rsid w:val="002E34C4"/>
    <w:rsid w:val="002E3DCA"/>
    <w:rsid w:val="002E5077"/>
    <w:rsid w:val="002E52FC"/>
    <w:rsid w:val="002E5AA0"/>
    <w:rsid w:val="002E746D"/>
    <w:rsid w:val="002E76FF"/>
    <w:rsid w:val="002E7AC4"/>
    <w:rsid w:val="002F0878"/>
    <w:rsid w:val="002F165C"/>
    <w:rsid w:val="002F217A"/>
    <w:rsid w:val="002F276E"/>
    <w:rsid w:val="002F2CE1"/>
    <w:rsid w:val="002F35DF"/>
    <w:rsid w:val="002F39FD"/>
    <w:rsid w:val="002F3DF2"/>
    <w:rsid w:val="002F455A"/>
    <w:rsid w:val="002F5491"/>
    <w:rsid w:val="002F59DA"/>
    <w:rsid w:val="002F6257"/>
    <w:rsid w:val="002F6316"/>
    <w:rsid w:val="002F6F8F"/>
    <w:rsid w:val="002F7B74"/>
    <w:rsid w:val="002F7C5C"/>
    <w:rsid w:val="002F7EFD"/>
    <w:rsid w:val="002F7F0F"/>
    <w:rsid w:val="00300597"/>
    <w:rsid w:val="003005FF"/>
    <w:rsid w:val="00301C19"/>
    <w:rsid w:val="0030244C"/>
    <w:rsid w:val="00302CEC"/>
    <w:rsid w:val="00303057"/>
    <w:rsid w:val="003030A7"/>
    <w:rsid w:val="003031B7"/>
    <w:rsid w:val="0030372C"/>
    <w:rsid w:val="00304BCC"/>
    <w:rsid w:val="003050B9"/>
    <w:rsid w:val="003053FB"/>
    <w:rsid w:val="00305768"/>
    <w:rsid w:val="00305A47"/>
    <w:rsid w:val="00305DFC"/>
    <w:rsid w:val="00306ECA"/>
    <w:rsid w:val="0030747B"/>
    <w:rsid w:val="00307751"/>
    <w:rsid w:val="00310425"/>
    <w:rsid w:val="0031106B"/>
    <w:rsid w:val="003115FD"/>
    <w:rsid w:val="00311735"/>
    <w:rsid w:val="003121AE"/>
    <w:rsid w:val="00313295"/>
    <w:rsid w:val="00313398"/>
    <w:rsid w:val="0031572E"/>
    <w:rsid w:val="00315CC4"/>
    <w:rsid w:val="0031609F"/>
    <w:rsid w:val="003164EB"/>
    <w:rsid w:val="00317259"/>
    <w:rsid w:val="003172F0"/>
    <w:rsid w:val="00325783"/>
    <w:rsid w:val="003259F5"/>
    <w:rsid w:val="003270FC"/>
    <w:rsid w:val="00327199"/>
    <w:rsid w:val="003300AC"/>
    <w:rsid w:val="003303B3"/>
    <w:rsid w:val="00330865"/>
    <w:rsid w:val="00330EDD"/>
    <w:rsid w:val="00331023"/>
    <w:rsid w:val="00333314"/>
    <w:rsid w:val="00333A1D"/>
    <w:rsid w:val="00333B83"/>
    <w:rsid w:val="00333CC2"/>
    <w:rsid w:val="00333D9D"/>
    <w:rsid w:val="00333E05"/>
    <w:rsid w:val="00333E6A"/>
    <w:rsid w:val="00333FCB"/>
    <w:rsid w:val="00334154"/>
    <w:rsid w:val="00334421"/>
    <w:rsid w:val="00335BEB"/>
    <w:rsid w:val="00335C3A"/>
    <w:rsid w:val="00335C5E"/>
    <w:rsid w:val="00335D3E"/>
    <w:rsid w:val="00336285"/>
    <w:rsid w:val="003369FF"/>
    <w:rsid w:val="00337239"/>
    <w:rsid w:val="0033792B"/>
    <w:rsid w:val="00337C63"/>
    <w:rsid w:val="00337EF8"/>
    <w:rsid w:val="00340518"/>
    <w:rsid w:val="00340870"/>
    <w:rsid w:val="00342138"/>
    <w:rsid w:val="00343FEC"/>
    <w:rsid w:val="00344A45"/>
    <w:rsid w:val="0034570B"/>
    <w:rsid w:val="00347553"/>
    <w:rsid w:val="003476BA"/>
    <w:rsid w:val="0034791B"/>
    <w:rsid w:val="003503F9"/>
    <w:rsid w:val="0035061B"/>
    <w:rsid w:val="00350F5B"/>
    <w:rsid w:val="00351A00"/>
    <w:rsid w:val="00351AB3"/>
    <w:rsid w:val="00351ACE"/>
    <w:rsid w:val="00351BCA"/>
    <w:rsid w:val="003529A3"/>
    <w:rsid w:val="00353826"/>
    <w:rsid w:val="00353AD8"/>
    <w:rsid w:val="00353EA3"/>
    <w:rsid w:val="00354AC6"/>
    <w:rsid w:val="00355C91"/>
    <w:rsid w:val="00355F6E"/>
    <w:rsid w:val="00356186"/>
    <w:rsid w:val="00356BC8"/>
    <w:rsid w:val="0035708D"/>
    <w:rsid w:val="0036078D"/>
    <w:rsid w:val="003609F8"/>
    <w:rsid w:val="0036113B"/>
    <w:rsid w:val="003616D1"/>
    <w:rsid w:val="0036195D"/>
    <w:rsid w:val="00362475"/>
    <w:rsid w:val="00362576"/>
    <w:rsid w:val="00362821"/>
    <w:rsid w:val="00363026"/>
    <w:rsid w:val="003630BA"/>
    <w:rsid w:val="00365B3D"/>
    <w:rsid w:val="00365F85"/>
    <w:rsid w:val="00366A55"/>
    <w:rsid w:val="00367639"/>
    <w:rsid w:val="003707C8"/>
    <w:rsid w:val="003708B8"/>
    <w:rsid w:val="00370984"/>
    <w:rsid w:val="00370BAA"/>
    <w:rsid w:val="00371200"/>
    <w:rsid w:val="003720CF"/>
    <w:rsid w:val="00372772"/>
    <w:rsid w:val="003730D0"/>
    <w:rsid w:val="0037340B"/>
    <w:rsid w:val="00373E5D"/>
    <w:rsid w:val="00374525"/>
    <w:rsid w:val="00374579"/>
    <w:rsid w:val="00374EC0"/>
    <w:rsid w:val="00374EE1"/>
    <w:rsid w:val="00375519"/>
    <w:rsid w:val="00375819"/>
    <w:rsid w:val="00376242"/>
    <w:rsid w:val="0037639A"/>
    <w:rsid w:val="003765FA"/>
    <w:rsid w:val="00377414"/>
    <w:rsid w:val="00380345"/>
    <w:rsid w:val="003806F1"/>
    <w:rsid w:val="00380C91"/>
    <w:rsid w:val="00381426"/>
    <w:rsid w:val="00381CF0"/>
    <w:rsid w:val="00382A2F"/>
    <w:rsid w:val="00382C10"/>
    <w:rsid w:val="0038331F"/>
    <w:rsid w:val="003846E8"/>
    <w:rsid w:val="00384978"/>
    <w:rsid w:val="00384C8B"/>
    <w:rsid w:val="00385852"/>
    <w:rsid w:val="00385F3F"/>
    <w:rsid w:val="003860A9"/>
    <w:rsid w:val="00386775"/>
    <w:rsid w:val="0038699B"/>
    <w:rsid w:val="00386D7F"/>
    <w:rsid w:val="00387749"/>
    <w:rsid w:val="00387AC8"/>
    <w:rsid w:val="00390782"/>
    <w:rsid w:val="00390A08"/>
    <w:rsid w:val="00390D55"/>
    <w:rsid w:val="00392166"/>
    <w:rsid w:val="003921AB"/>
    <w:rsid w:val="00393310"/>
    <w:rsid w:val="00394017"/>
    <w:rsid w:val="00394184"/>
    <w:rsid w:val="00394497"/>
    <w:rsid w:val="003948C3"/>
    <w:rsid w:val="003951EE"/>
    <w:rsid w:val="0039524D"/>
    <w:rsid w:val="00395AE7"/>
    <w:rsid w:val="00396456"/>
    <w:rsid w:val="00396735"/>
    <w:rsid w:val="00396B3C"/>
    <w:rsid w:val="00396D19"/>
    <w:rsid w:val="0039734B"/>
    <w:rsid w:val="003A0F38"/>
    <w:rsid w:val="003A1C2C"/>
    <w:rsid w:val="003A1D75"/>
    <w:rsid w:val="003A20D9"/>
    <w:rsid w:val="003A35EA"/>
    <w:rsid w:val="003A414B"/>
    <w:rsid w:val="003A43B6"/>
    <w:rsid w:val="003A557C"/>
    <w:rsid w:val="003A5AB4"/>
    <w:rsid w:val="003A60C9"/>
    <w:rsid w:val="003A6648"/>
    <w:rsid w:val="003A71BE"/>
    <w:rsid w:val="003A7DD3"/>
    <w:rsid w:val="003B0DB4"/>
    <w:rsid w:val="003B0FBF"/>
    <w:rsid w:val="003B13C6"/>
    <w:rsid w:val="003B19AB"/>
    <w:rsid w:val="003B1BEE"/>
    <w:rsid w:val="003B2006"/>
    <w:rsid w:val="003B220C"/>
    <w:rsid w:val="003B2373"/>
    <w:rsid w:val="003B3508"/>
    <w:rsid w:val="003B3AF1"/>
    <w:rsid w:val="003B4A16"/>
    <w:rsid w:val="003B4BF9"/>
    <w:rsid w:val="003B4F22"/>
    <w:rsid w:val="003B506E"/>
    <w:rsid w:val="003B59BD"/>
    <w:rsid w:val="003B59E4"/>
    <w:rsid w:val="003B5A6F"/>
    <w:rsid w:val="003B5F91"/>
    <w:rsid w:val="003B6797"/>
    <w:rsid w:val="003C1DD3"/>
    <w:rsid w:val="003C2153"/>
    <w:rsid w:val="003C2361"/>
    <w:rsid w:val="003C240F"/>
    <w:rsid w:val="003C2625"/>
    <w:rsid w:val="003C364E"/>
    <w:rsid w:val="003C38A5"/>
    <w:rsid w:val="003C3A4E"/>
    <w:rsid w:val="003C3B1A"/>
    <w:rsid w:val="003C4AD1"/>
    <w:rsid w:val="003C5032"/>
    <w:rsid w:val="003C573B"/>
    <w:rsid w:val="003C57CE"/>
    <w:rsid w:val="003C62B6"/>
    <w:rsid w:val="003C6B83"/>
    <w:rsid w:val="003C6FB9"/>
    <w:rsid w:val="003C74EA"/>
    <w:rsid w:val="003D1C6F"/>
    <w:rsid w:val="003D362A"/>
    <w:rsid w:val="003D3666"/>
    <w:rsid w:val="003D3A33"/>
    <w:rsid w:val="003D3A69"/>
    <w:rsid w:val="003D46E1"/>
    <w:rsid w:val="003D528E"/>
    <w:rsid w:val="003D56F2"/>
    <w:rsid w:val="003D5902"/>
    <w:rsid w:val="003E02F4"/>
    <w:rsid w:val="003E038D"/>
    <w:rsid w:val="003E04D7"/>
    <w:rsid w:val="003E12E4"/>
    <w:rsid w:val="003E1FF6"/>
    <w:rsid w:val="003E20B1"/>
    <w:rsid w:val="003E2930"/>
    <w:rsid w:val="003E2BC6"/>
    <w:rsid w:val="003E4B8B"/>
    <w:rsid w:val="003E5310"/>
    <w:rsid w:val="003E7967"/>
    <w:rsid w:val="003F0288"/>
    <w:rsid w:val="003F0B2F"/>
    <w:rsid w:val="003F1828"/>
    <w:rsid w:val="003F1C0F"/>
    <w:rsid w:val="003F374A"/>
    <w:rsid w:val="003F4705"/>
    <w:rsid w:val="003F55B3"/>
    <w:rsid w:val="003F613E"/>
    <w:rsid w:val="003F6605"/>
    <w:rsid w:val="003F6B51"/>
    <w:rsid w:val="003F6C2A"/>
    <w:rsid w:val="003F75DC"/>
    <w:rsid w:val="003F7BE8"/>
    <w:rsid w:val="00401734"/>
    <w:rsid w:val="00401746"/>
    <w:rsid w:val="00401A24"/>
    <w:rsid w:val="00401B5D"/>
    <w:rsid w:val="00402123"/>
    <w:rsid w:val="004021C5"/>
    <w:rsid w:val="0040245A"/>
    <w:rsid w:val="00403340"/>
    <w:rsid w:val="0040343C"/>
    <w:rsid w:val="004035AC"/>
    <w:rsid w:val="00403790"/>
    <w:rsid w:val="004049DE"/>
    <w:rsid w:val="004061A5"/>
    <w:rsid w:val="0040664D"/>
    <w:rsid w:val="004073AE"/>
    <w:rsid w:val="00407DC9"/>
    <w:rsid w:val="004101A7"/>
    <w:rsid w:val="00410F17"/>
    <w:rsid w:val="00411DFA"/>
    <w:rsid w:val="004127B5"/>
    <w:rsid w:val="00412CB5"/>
    <w:rsid w:val="00413335"/>
    <w:rsid w:val="00413672"/>
    <w:rsid w:val="004157EB"/>
    <w:rsid w:val="00415915"/>
    <w:rsid w:val="00416AA5"/>
    <w:rsid w:val="00416BAE"/>
    <w:rsid w:val="0041742B"/>
    <w:rsid w:val="004201C3"/>
    <w:rsid w:val="00420BA5"/>
    <w:rsid w:val="00420ED8"/>
    <w:rsid w:val="00421023"/>
    <w:rsid w:val="00421AA1"/>
    <w:rsid w:val="00421DA1"/>
    <w:rsid w:val="00422253"/>
    <w:rsid w:val="0042245B"/>
    <w:rsid w:val="00422B12"/>
    <w:rsid w:val="00422B6A"/>
    <w:rsid w:val="00422E8F"/>
    <w:rsid w:val="00422E90"/>
    <w:rsid w:val="0042400D"/>
    <w:rsid w:val="004243E2"/>
    <w:rsid w:val="00424496"/>
    <w:rsid w:val="00424772"/>
    <w:rsid w:val="0042538E"/>
    <w:rsid w:val="00425F37"/>
    <w:rsid w:val="004266CF"/>
    <w:rsid w:val="00426894"/>
    <w:rsid w:val="00427015"/>
    <w:rsid w:val="00430B5F"/>
    <w:rsid w:val="00431E9E"/>
    <w:rsid w:val="00431ECB"/>
    <w:rsid w:val="00434658"/>
    <w:rsid w:val="00434668"/>
    <w:rsid w:val="004347CF"/>
    <w:rsid w:val="00434946"/>
    <w:rsid w:val="00435A2C"/>
    <w:rsid w:val="00435E67"/>
    <w:rsid w:val="00437559"/>
    <w:rsid w:val="0044006F"/>
    <w:rsid w:val="004419D3"/>
    <w:rsid w:val="00442443"/>
    <w:rsid w:val="00442876"/>
    <w:rsid w:val="00443644"/>
    <w:rsid w:val="00443A0C"/>
    <w:rsid w:val="00443BE8"/>
    <w:rsid w:val="00443F6F"/>
    <w:rsid w:val="00444D4C"/>
    <w:rsid w:val="00445039"/>
    <w:rsid w:val="004453F0"/>
    <w:rsid w:val="004453FE"/>
    <w:rsid w:val="00445670"/>
    <w:rsid w:val="00445766"/>
    <w:rsid w:val="00445783"/>
    <w:rsid w:val="00445A08"/>
    <w:rsid w:val="00446B19"/>
    <w:rsid w:val="00446E10"/>
    <w:rsid w:val="00446E13"/>
    <w:rsid w:val="00447723"/>
    <w:rsid w:val="00447B8B"/>
    <w:rsid w:val="00447C5F"/>
    <w:rsid w:val="004510A8"/>
    <w:rsid w:val="0045127B"/>
    <w:rsid w:val="004518BD"/>
    <w:rsid w:val="004521E2"/>
    <w:rsid w:val="00452434"/>
    <w:rsid w:val="00452C21"/>
    <w:rsid w:val="00452EDA"/>
    <w:rsid w:val="0045308E"/>
    <w:rsid w:val="004535EF"/>
    <w:rsid w:val="004535F6"/>
    <w:rsid w:val="0045657A"/>
    <w:rsid w:val="00457074"/>
    <w:rsid w:val="00457B96"/>
    <w:rsid w:val="00457EB6"/>
    <w:rsid w:val="00457FA3"/>
    <w:rsid w:val="0046080A"/>
    <w:rsid w:val="00461375"/>
    <w:rsid w:val="00462AE3"/>
    <w:rsid w:val="00462AF7"/>
    <w:rsid w:val="00462C66"/>
    <w:rsid w:val="00462DBB"/>
    <w:rsid w:val="00462EAE"/>
    <w:rsid w:val="004630BD"/>
    <w:rsid w:val="00463FD1"/>
    <w:rsid w:val="00464105"/>
    <w:rsid w:val="0046414A"/>
    <w:rsid w:val="00464B71"/>
    <w:rsid w:val="004662EB"/>
    <w:rsid w:val="00466CA3"/>
    <w:rsid w:val="0046723B"/>
    <w:rsid w:val="00467556"/>
    <w:rsid w:val="00467716"/>
    <w:rsid w:val="00467FDC"/>
    <w:rsid w:val="00471354"/>
    <w:rsid w:val="004717A5"/>
    <w:rsid w:val="00471A25"/>
    <w:rsid w:val="00471BBB"/>
    <w:rsid w:val="00471D6D"/>
    <w:rsid w:val="00471EFD"/>
    <w:rsid w:val="004720F0"/>
    <w:rsid w:val="004722F7"/>
    <w:rsid w:val="00473280"/>
    <w:rsid w:val="00473639"/>
    <w:rsid w:val="00474E3C"/>
    <w:rsid w:val="0047502D"/>
    <w:rsid w:val="00475AEF"/>
    <w:rsid w:val="00475BE3"/>
    <w:rsid w:val="00475D80"/>
    <w:rsid w:val="00476E50"/>
    <w:rsid w:val="004811C2"/>
    <w:rsid w:val="004820F1"/>
    <w:rsid w:val="0048210B"/>
    <w:rsid w:val="00482AD6"/>
    <w:rsid w:val="004834B6"/>
    <w:rsid w:val="00483677"/>
    <w:rsid w:val="00484583"/>
    <w:rsid w:val="00484623"/>
    <w:rsid w:val="00484754"/>
    <w:rsid w:val="00484F26"/>
    <w:rsid w:val="00485881"/>
    <w:rsid w:val="00485E3A"/>
    <w:rsid w:val="00485F2B"/>
    <w:rsid w:val="00486A1C"/>
    <w:rsid w:val="004872D8"/>
    <w:rsid w:val="00487872"/>
    <w:rsid w:val="00487E32"/>
    <w:rsid w:val="00487EEF"/>
    <w:rsid w:val="004908F8"/>
    <w:rsid w:val="004911CB"/>
    <w:rsid w:val="004923BA"/>
    <w:rsid w:val="00492E95"/>
    <w:rsid w:val="00492F48"/>
    <w:rsid w:val="00493200"/>
    <w:rsid w:val="00493CB0"/>
    <w:rsid w:val="00494124"/>
    <w:rsid w:val="00495364"/>
    <w:rsid w:val="0049579E"/>
    <w:rsid w:val="00495B24"/>
    <w:rsid w:val="00495C1C"/>
    <w:rsid w:val="0049648C"/>
    <w:rsid w:val="00496963"/>
    <w:rsid w:val="004972B7"/>
    <w:rsid w:val="0049756D"/>
    <w:rsid w:val="004A08A3"/>
    <w:rsid w:val="004A0CBC"/>
    <w:rsid w:val="004A0CFB"/>
    <w:rsid w:val="004A107C"/>
    <w:rsid w:val="004A1889"/>
    <w:rsid w:val="004A1C4A"/>
    <w:rsid w:val="004A1DC5"/>
    <w:rsid w:val="004A23B8"/>
    <w:rsid w:val="004A247F"/>
    <w:rsid w:val="004A24A9"/>
    <w:rsid w:val="004A285C"/>
    <w:rsid w:val="004A28D5"/>
    <w:rsid w:val="004A2A23"/>
    <w:rsid w:val="004A2B69"/>
    <w:rsid w:val="004A2B72"/>
    <w:rsid w:val="004A2C67"/>
    <w:rsid w:val="004A37E8"/>
    <w:rsid w:val="004A4924"/>
    <w:rsid w:val="004A4A01"/>
    <w:rsid w:val="004A4C06"/>
    <w:rsid w:val="004A572E"/>
    <w:rsid w:val="004A5C2F"/>
    <w:rsid w:val="004A6E79"/>
    <w:rsid w:val="004A6EE4"/>
    <w:rsid w:val="004A724D"/>
    <w:rsid w:val="004B0889"/>
    <w:rsid w:val="004B1981"/>
    <w:rsid w:val="004B3275"/>
    <w:rsid w:val="004B3451"/>
    <w:rsid w:val="004B3698"/>
    <w:rsid w:val="004B3C45"/>
    <w:rsid w:val="004B5A26"/>
    <w:rsid w:val="004B5DCF"/>
    <w:rsid w:val="004B7E7F"/>
    <w:rsid w:val="004C075B"/>
    <w:rsid w:val="004C0D70"/>
    <w:rsid w:val="004C2737"/>
    <w:rsid w:val="004C2A87"/>
    <w:rsid w:val="004C3D22"/>
    <w:rsid w:val="004C4EB5"/>
    <w:rsid w:val="004C6435"/>
    <w:rsid w:val="004C6C0F"/>
    <w:rsid w:val="004C6E9C"/>
    <w:rsid w:val="004C7323"/>
    <w:rsid w:val="004C7696"/>
    <w:rsid w:val="004D0148"/>
    <w:rsid w:val="004D02E5"/>
    <w:rsid w:val="004D04CF"/>
    <w:rsid w:val="004D1571"/>
    <w:rsid w:val="004D1996"/>
    <w:rsid w:val="004D1BEF"/>
    <w:rsid w:val="004D1DFA"/>
    <w:rsid w:val="004D2772"/>
    <w:rsid w:val="004D3AF3"/>
    <w:rsid w:val="004D4509"/>
    <w:rsid w:val="004D4553"/>
    <w:rsid w:val="004D4976"/>
    <w:rsid w:val="004D508D"/>
    <w:rsid w:val="004D68DC"/>
    <w:rsid w:val="004D6F79"/>
    <w:rsid w:val="004D76BC"/>
    <w:rsid w:val="004D7860"/>
    <w:rsid w:val="004D7D08"/>
    <w:rsid w:val="004E1177"/>
    <w:rsid w:val="004E1566"/>
    <w:rsid w:val="004E1A41"/>
    <w:rsid w:val="004E1BF1"/>
    <w:rsid w:val="004E2443"/>
    <w:rsid w:val="004E2E80"/>
    <w:rsid w:val="004E4906"/>
    <w:rsid w:val="004E58F1"/>
    <w:rsid w:val="004E59E6"/>
    <w:rsid w:val="004E6050"/>
    <w:rsid w:val="004E60C1"/>
    <w:rsid w:val="004E688F"/>
    <w:rsid w:val="004E693F"/>
    <w:rsid w:val="004E7A71"/>
    <w:rsid w:val="004E7F32"/>
    <w:rsid w:val="004F02BE"/>
    <w:rsid w:val="004F067A"/>
    <w:rsid w:val="004F0C36"/>
    <w:rsid w:val="004F24F7"/>
    <w:rsid w:val="004F2569"/>
    <w:rsid w:val="004F342F"/>
    <w:rsid w:val="004F414F"/>
    <w:rsid w:val="004F4886"/>
    <w:rsid w:val="004F4E31"/>
    <w:rsid w:val="004F530D"/>
    <w:rsid w:val="004F5B5C"/>
    <w:rsid w:val="004F60D2"/>
    <w:rsid w:val="004F6540"/>
    <w:rsid w:val="004F6A6B"/>
    <w:rsid w:val="004F721B"/>
    <w:rsid w:val="004F7320"/>
    <w:rsid w:val="004F75CE"/>
    <w:rsid w:val="00500D7A"/>
    <w:rsid w:val="0050115F"/>
    <w:rsid w:val="00501259"/>
    <w:rsid w:val="00502C6D"/>
    <w:rsid w:val="0050315D"/>
    <w:rsid w:val="0050318D"/>
    <w:rsid w:val="005037C5"/>
    <w:rsid w:val="005048DD"/>
    <w:rsid w:val="005048E9"/>
    <w:rsid w:val="005049BA"/>
    <w:rsid w:val="00505976"/>
    <w:rsid w:val="00505ACA"/>
    <w:rsid w:val="00506501"/>
    <w:rsid w:val="00506888"/>
    <w:rsid w:val="00507D89"/>
    <w:rsid w:val="00510318"/>
    <w:rsid w:val="005103CA"/>
    <w:rsid w:val="00510750"/>
    <w:rsid w:val="0051116C"/>
    <w:rsid w:val="005116CF"/>
    <w:rsid w:val="005119B9"/>
    <w:rsid w:val="00512510"/>
    <w:rsid w:val="00512F85"/>
    <w:rsid w:val="00513C6B"/>
    <w:rsid w:val="00513E50"/>
    <w:rsid w:val="005153C3"/>
    <w:rsid w:val="0051543A"/>
    <w:rsid w:val="005155A0"/>
    <w:rsid w:val="00515C56"/>
    <w:rsid w:val="00515FFC"/>
    <w:rsid w:val="005160B7"/>
    <w:rsid w:val="005201F3"/>
    <w:rsid w:val="00520C9C"/>
    <w:rsid w:val="00520D37"/>
    <w:rsid w:val="005218DD"/>
    <w:rsid w:val="005219E8"/>
    <w:rsid w:val="00521B67"/>
    <w:rsid w:val="00521ECD"/>
    <w:rsid w:val="00522FB2"/>
    <w:rsid w:val="0052363D"/>
    <w:rsid w:val="0052399A"/>
    <w:rsid w:val="00523AE7"/>
    <w:rsid w:val="00523CD6"/>
    <w:rsid w:val="00525131"/>
    <w:rsid w:val="00525B7D"/>
    <w:rsid w:val="005260D5"/>
    <w:rsid w:val="00526C09"/>
    <w:rsid w:val="00526C84"/>
    <w:rsid w:val="00527C77"/>
    <w:rsid w:val="00527F1D"/>
    <w:rsid w:val="005307E2"/>
    <w:rsid w:val="005311D0"/>
    <w:rsid w:val="00531764"/>
    <w:rsid w:val="00531C5F"/>
    <w:rsid w:val="00531CC2"/>
    <w:rsid w:val="00531FBA"/>
    <w:rsid w:val="00532036"/>
    <w:rsid w:val="0053213A"/>
    <w:rsid w:val="00533B03"/>
    <w:rsid w:val="00534241"/>
    <w:rsid w:val="00534AD9"/>
    <w:rsid w:val="00534F89"/>
    <w:rsid w:val="00535297"/>
    <w:rsid w:val="0053549F"/>
    <w:rsid w:val="005363A9"/>
    <w:rsid w:val="00536D67"/>
    <w:rsid w:val="00536DC1"/>
    <w:rsid w:val="00536F62"/>
    <w:rsid w:val="0053702E"/>
    <w:rsid w:val="0053717E"/>
    <w:rsid w:val="00537EF3"/>
    <w:rsid w:val="0054023E"/>
    <w:rsid w:val="00540E90"/>
    <w:rsid w:val="005410D2"/>
    <w:rsid w:val="0054138F"/>
    <w:rsid w:val="005413B5"/>
    <w:rsid w:val="005417C8"/>
    <w:rsid w:val="0054210B"/>
    <w:rsid w:val="005422F7"/>
    <w:rsid w:val="00542E5C"/>
    <w:rsid w:val="005430CA"/>
    <w:rsid w:val="00543730"/>
    <w:rsid w:val="00543D37"/>
    <w:rsid w:val="005447CC"/>
    <w:rsid w:val="005449D6"/>
    <w:rsid w:val="00544B44"/>
    <w:rsid w:val="00545366"/>
    <w:rsid w:val="005458EE"/>
    <w:rsid w:val="00545B73"/>
    <w:rsid w:val="005462CF"/>
    <w:rsid w:val="00547007"/>
    <w:rsid w:val="00547082"/>
    <w:rsid w:val="0054773E"/>
    <w:rsid w:val="00547D56"/>
    <w:rsid w:val="00550A4C"/>
    <w:rsid w:val="00551275"/>
    <w:rsid w:val="00551592"/>
    <w:rsid w:val="0055283E"/>
    <w:rsid w:val="00552A61"/>
    <w:rsid w:val="00553379"/>
    <w:rsid w:val="005540B3"/>
    <w:rsid w:val="00554346"/>
    <w:rsid w:val="00554896"/>
    <w:rsid w:val="0055518C"/>
    <w:rsid w:val="005559BF"/>
    <w:rsid w:val="0055664D"/>
    <w:rsid w:val="00556A4B"/>
    <w:rsid w:val="0055731C"/>
    <w:rsid w:val="00557377"/>
    <w:rsid w:val="0056059D"/>
    <w:rsid w:val="00562AF4"/>
    <w:rsid w:val="00564A36"/>
    <w:rsid w:val="005654CF"/>
    <w:rsid w:val="00565EE6"/>
    <w:rsid w:val="0056605B"/>
    <w:rsid w:val="0056647E"/>
    <w:rsid w:val="00566BB4"/>
    <w:rsid w:val="00566C77"/>
    <w:rsid w:val="00567985"/>
    <w:rsid w:val="005719DF"/>
    <w:rsid w:val="005724F5"/>
    <w:rsid w:val="00573547"/>
    <w:rsid w:val="00573D4F"/>
    <w:rsid w:val="005749EA"/>
    <w:rsid w:val="00575674"/>
    <w:rsid w:val="00575969"/>
    <w:rsid w:val="00576263"/>
    <w:rsid w:val="005767A5"/>
    <w:rsid w:val="0057792E"/>
    <w:rsid w:val="00577AEC"/>
    <w:rsid w:val="00580219"/>
    <w:rsid w:val="005811F0"/>
    <w:rsid w:val="00581863"/>
    <w:rsid w:val="005820C6"/>
    <w:rsid w:val="00582601"/>
    <w:rsid w:val="005827A9"/>
    <w:rsid w:val="00582D4B"/>
    <w:rsid w:val="005842FB"/>
    <w:rsid w:val="005845FF"/>
    <w:rsid w:val="00584B5A"/>
    <w:rsid w:val="00584D09"/>
    <w:rsid w:val="005851DE"/>
    <w:rsid w:val="00585C21"/>
    <w:rsid w:val="005861DD"/>
    <w:rsid w:val="00587538"/>
    <w:rsid w:val="005879A5"/>
    <w:rsid w:val="00587CC5"/>
    <w:rsid w:val="00587FA0"/>
    <w:rsid w:val="00590379"/>
    <w:rsid w:val="00590980"/>
    <w:rsid w:val="00591015"/>
    <w:rsid w:val="00591556"/>
    <w:rsid w:val="00592381"/>
    <w:rsid w:val="00593524"/>
    <w:rsid w:val="005944D5"/>
    <w:rsid w:val="005944FE"/>
    <w:rsid w:val="00594D82"/>
    <w:rsid w:val="005957C6"/>
    <w:rsid w:val="005961B9"/>
    <w:rsid w:val="005962C7"/>
    <w:rsid w:val="00596527"/>
    <w:rsid w:val="0059662F"/>
    <w:rsid w:val="005975DA"/>
    <w:rsid w:val="00597A54"/>
    <w:rsid w:val="005A0A82"/>
    <w:rsid w:val="005A0B2B"/>
    <w:rsid w:val="005A205C"/>
    <w:rsid w:val="005A2243"/>
    <w:rsid w:val="005A2D13"/>
    <w:rsid w:val="005A44D5"/>
    <w:rsid w:val="005A506E"/>
    <w:rsid w:val="005A53DA"/>
    <w:rsid w:val="005A614A"/>
    <w:rsid w:val="005A6770"/>
    <w:rsid w:val="005A6831"/>
    <w:rsid w:val="005B0242"/>
    <w:rsid w:val="005B027B"/>
    <w:rsid w:val="005B03DF"/>
    <w:rsid w:val="005B04E2"/>
    <w:rsid w:val="005B0DFE"/>
    <w:rsid w:val="005B1317"/>
    <w:rsid w:val="005B15FC"/>
    <w:rsid w:val="005B1763"/>
    <w:rsid w:val="005B2474"/>
    <w:rsid w:val="005B318F"/>
    <w:rsid w:val="005B3950"/>
    <w:rsid w:val="005B3D0F"/>
    <w:rsid w:val="005B4192"/>
    <w:rsid w:val="005B43D0"/>
    <w:rsid w:val="005B44A2"/>
    <w:rsid w:val="005B4A75"/>
    <w:rsid w:val="005B64DA"/>
    <w:rsid w:val="005B69DC"/>
    <w:rsid w:val="005B711B"/>
    <w:rsid w:val="005B748E"/>
    <w:rsid w:val="005C0C96"/>
    <w:rsid w:val="005C1133"/>
    <w:rsid w:val="005C14A0"/>
    <w:rsid w:val="005C14E4"/>
    <w:rsid w:val="005C41C1"/>
    <w:rsid w:val="005C4A2D"/>
    <w:rsid w:val="005C6AC9"/>
    <w:rsid w:val="005C78CB"/>
    <w:rsid w:val="005D0080"/>
    <w:rsid w:val="005D029B"/>
    <w:rsid w:val="005D0720"/>
    <w:rsid w:val="005D08AD"/>
    <w:rsid w:val="005D0CBC"/>
    <w:rsid w:val="005D0F1B"/>
    <w:rsid w:val="005D15EB"/>
    <w:rsid w:val="005D16E2"/>
    <w:rsid w:val="005D217B"/>
    <w:rsid w:val="005D234A"/>
    <w:rsid w:val="005D292E"/>
    <w:rsid w:val="005D2DF7"/>
    <w:rsid w:val="005D473B"/>
    <w:rsid w:val="005D5236"/>
    <w:rsid w:val="005D597F"/>
    <w:rsid w:val="005D5AC7"/>
    <w:rsid w:val="005D5E3F"/>
    <w:rsid w:val="005D658A"/>
    <w:rsid w:val="005D67ED"/>
    <w:rsid w:val="005D6DB3"/>
    <w:rsid w:val="005D6EEE"/>
    <w:rsid w:val="005D7D78"/>
    <w:rsid w:val="005E07B3"/>
    <w:rsid w:val="005E0AF1"/>
    <w:rsid w:val="005E0E5D"/>
    <w:rsid w:val="005E0F7E"/>
    <w:rsid w:val="005E111A"/>
    <w:rsid w:val="005E1CA7"/>
    <w:rsid w:val="005E21FC"/>
    <w:rsid w:val="005E2339"/>
    <w:rsid w:val="005E2793"/>
    <w:rsid w:val="005E27AC"/>
    <w:rsid w:val="005E33B2"/>
    <w:rsid w:val="005E3871"/>
    <w:rsid w:val="005E3C96"/>
    <w:rsid w:val="005E40D7"/>
    <w:rsid w:val="005E47CC"/>
    <w:rsid w:val="005E4DF1"/>
    <w:rsid w:val="005E52F9"/>
    <w:rsid w:val="005E55BC"/>
    <w:rsid w:val="005E7DE9"/>
    <w:rsid w:val="005E7EF6"/>
    <w:rsid w:val="005F021A"/>
    <w:rsid w:val="005F087A"/>
    <w:rsid w:val="005F0A29"/>
    <w:rsid w:val="005F144E"/>
    <w:rsid w:val="005F1F9E"/>
    <w:rsid w:val="005F2199"/>
    <w:rsid w:val="005F231B"/>
    <w:rsid w:val="005F3A63"/>
    <w:rsid w:val="005F3C1B"/>
    <w:rsid w:val="005F3D50"/>
    <w:rsid w:val="005F3E59"/>
    <w:rsid w:val="005F4387"/>
    <w:rsid w:val="005F4438"/>
    <w:rsid w:val="005F5833"/>
    <w:rsid w:val="005F5A83"/>
    <w:rsid w:val="005F6692"/>
    <w:rsid w:val="005F7316"/>
    <w:rsid w:val="00600233"/>
    <w:rsid w:val="00600FA2"/>
    <w:rsid w:val="00601D8E"/>
    <w:rsid w:val="00602EF9"/>
    <w:rsid w:val="00603E59"/>
    <w:rsid w:val="0060421C"/>
    <w:rsid w:val="006050D9"/>
    <w:rsid w:val="0060651F"/>
    <w:rsid w:val="00606B3E"/>
    <w:rsid w:val="006107E7"/>
    <w:rsid w:val="00610C77"/>
    <w:rsid w:val="006115E9"/>
    <w:rsid w:val="00611D27"/>
    <w:rsid w:val="00611F07"/>
    <w:rsid w:val="00611FB3"/>
    <w:rsid w:val="00612744"/>
    <w:rsid w:val="0061286E"/>
    <w:rsid w:val="00612F02"/>
    <w:rsid w:val="00613079"/>
    <w:rsid w:val="00613868"/>
    <w:rsid w:val="00613A3C"/>
    <w:rsid w:val="00613D91"/>
    <w:rsid w:val="006143FA"/>
    <w:rsid w:val="00615CC5"/>
    <w:rsid w:val="006168F8"/>
    <w:rsid w:val="0061778E"/>
    <w:rsid w:val="006178A2"/>
    <w:rsid w:val="00617DFD"/>
    <w:rsid w:val="00621C23"/>
    <w:rsid w:val="00621F52"/>
    <w:rsid w:val="00621FD6"/>
    <w:rsid w:val="006232DC"/>
    <w:rsid w:val="006233C2"/>
    <w:rsid w:val="0062390B"/>
    <w:rsid w:val="006243B3"/>
    <w:rsid w:val="00624660"/>
    <w:rsid w:val="00624C04"/>
    <w:rsid w:val="00624FD7"/>
    <w:rsid w:val="006252A2"/>
    <w:rsid w:val="006253B3"/>
    <w:rsid w:val="006254D3"/>
    <w:rsid w:val="00626407"/>
    <w:rsid w:val="00626816"/>
    <w:rsid w:val="00626A94"/>
    <w:rsid w:val="00626AA7"/>
    <w:rsid w:val="00630E22"/>
    <w:rsid w:val="00631415"/>
    <w:rsid w:val="006314F1"/>
    <w:rsid w:val="00631C06"/>
    <w:rsid w:val="00632116"/>
    <w:rsid w:val="006327B4"/>
    <w:rsid w:val="00634AFE"/>
    <w:rsid w:val="006359BC"/>
    <w:rsid w:val="00635BB1"/>
    <w:rsid w:val="00635D72"/>
    <w:rsid w:val="00635E7A"/>
    <w:rsid w:val="0063786F"/>
    <w:rsid w:val="006379FB"/>
    <w:rsid w:val="00637E9B"/>
    <w:rsid w:val="006405D5"/>
    <w:rsid w:val="00640B70"/>
    <w:rsid w:val="00641802"/>
    <w:rsid w:val="00641880"/>
    <w:rsid w:val="00641FF4"/>
    <w:rsid w:val="0064367A"/>
    <w:rsid w:val="00643F71"/>
    <w:rsid w:val="00644250"/>
    <w:rsid w:val="00644900"/>
    <w:rsid w:val="00645B5B"/>
    <w:rsid w:val="00645CEA"/>
    <w:rsid w:val="00647678"/>
    <w:rsid w:val="006476C9"/>
    <w:rsid w:val="00647C00"/>
    <w:rsid w:val="0065059E"/>
    <w:rsid w:val="0065072E"/>
    <w:rsid w:val="00651940"/>
    <w:rsid w:val="00651CA2"/>
    <w:rsid w:val="00653653"/>
    <w:rsid w:val="0065379C"/>
    <w:rsid w:val="00654009"/>
    <w:rsid w:val="00655C8A"/>
    <w:rsid w:val="0065628F"/>
    <w:rsid w:val="00662AE7"/>
    <w:rsid w:val="00663097"/>
    <w:rsid w:val="00663280"/>
    <w:rsid w:val="00663890"/>
    <w:rsid w:val="006648A4"/>
    <w:rsid w:val="00664CDE"/>
    <w:rsid w:val="00664F00"/>
    <w:rsid w:val="00665070"/>
    <w:rsid w:val="00665110"/>
    <w:rsid w:val="00665133"/>
    <w:rsid w:val="00665140"/>
    <w:rsid w:val="00665C7E"/>
    <w:rsid w:val="006662B3"/>
    <w:rsid w:val="006665E3"/>
    <w:rsid w:val="00666959"/>
    <w:rsid w:val="006671E6"/>
    <w:rsid w:val="00667394"/>
    <w:rsid w:val="00670D53"/>
    <w:rsid w:val="0067114E"/>
    <w:rsid w:val="00671511"/>
    <w:rsid w:val="00672242"/>
    <w:rsid w:val="00672380"/>
    <w:rsid w:val="0067242E"/>
    <w:rsid w:val="0067355D"/>
    <w:rsid w:val="00674261"/>
    <w:rsid w:val="006742E3"/>
    <w:rsid w:val="0067483E"/>
    <w:rsid w:val="00675797"/>
    <w:rsid w:val="0067586F"/>
    <w:rsid w:val="00675FB9"/>
    <w:rsid w:val="00676219"/>
    <w:rsid w:val="00676968"/>
    <w:rsid w:val="00677041"/>
    <w:rsid w:val="006778C4"/>
    <w:rsid w:val="006779C4"/>
    <w:rsid w:val="0068033A"/>
    <w:rsid w:val="00680ED9"/>
    <w:rsid w:val="00682749"/>
    <w:rsid w:val="0068376A"/>
    <w:rsid w:val="00683C58"/>
    <w:rsid w:val="00683DD8"/>
    <w:rsid w:val="006857AF"/>
    <w:rsid w:val="00685EEC"/>
    <w:rsid w:val="00686051"/>
    <w:rsid w:val="0068606E"/>
    <w:rsid w:val="00686D1D"/>
    <w:rsid w:val="00686FB1"/>
    <w:rsid w:val="006902C7"/>
    <w:rsid w:val="00691566"/>
    <w:rsid w:val="006916F3"/>
    <w:rsid w:val="0069209E"/>
    <w:rsid w:val="0069243E"/>
    <w:rsid w:val="006925C1"/>
    <w:rsid w:val="006926E1"/>
    <w:rsid w:val="00692BAC"/>
    <w:rsid w:val="00693983"/>
    <w:rsid w:val="006939CC"/>
    <w:rsid w:val="00693A41"/>
    <w:rsid w:val="00693B1B"/>
    <w:rsid w:val="00694188"/>
    <w:rsid w:val="00695E4A"/>
    <w:rsid w:val="006966D6"/>
    <w:rsid w:val="0069726E"/>
    <w:rsid w:val="006973ED"/>
    <w:rsid w:val="00697423"/>
    <w:rsid w:val="006A0136"/>
    <w:rsid w:val="006A3732"/>
    <w:rsid w:val="006A39A7"/>
    <w:rsid w:val="006A45D3"/>
    <w:rsid w:val="006A4B7A"/>
    <w:rsid w:val="006A4BE4"/>
    <w:rsid w:val="006A57DF"/>
    <w:rsid w:val="006A628D"/>
    <w:rsid w:val="006A64FE"/>
    <w:rsid w:val="006A6538"/>
    <w:rsid w:val="006A6619"/>
    <w:rsid w:val="006A6FF3"/>
    <w:rsid w:val="006A70CD"/>
    <w:rsid w:val="006A7236"/>
    <w:rsid w:val="006A7249"/>
    <w:rsid w:val="006A75C8"/>
    <w:rsid w:val="006B07E4"/>
    <w:rsid w:val="006B0854"/>
    <w:rsid w:val="006B0EDC"/>
    <w:rsid w:val="006B10DD"/>
    <w:rsid w:val="006B11BC"/>
    <w:rsid w:val="006B1BE4"/>
    <w:rsid w:val="006B1D19"/>
    <w:rsid w:val="006B1EB1"/>
    <w:rsid w:val="006B2BBF"/>
    <w:rsid w:val="006B2F16"/>
    <w:rsid w:val="006B2F89"/>
    <w:rsid w:val="006B3797"/>
    <w:rsid w:val="006B392D"/>
    <w:rsid w:val="006B3E32"/>
    <w:rsid w:val="006B4B24"/>
    <w:rsid w:val="006B4BF2"/>
    <w:rsid w:val="006B4DCE"/>
    <w:rsid w:val="006B5400"/>
    <w:rsid w:val="006B5B6D"/>
    <w:rsid w:val="006B676A"/>
    <w:rsid w:val="006B7524"/>
    <w:rsid w:val="006B78B8"/>
    <w:rsid w:val="006B7C8E"/>
    <w:rsid w:val="006B7F2E"/>
    <w:rsid w:val="006C01CB"/>
    <w:rsid w:val="006C0B92"/>
    <w:rsid w:val="006C0D2E"/>
    <w:rsid w:val="006C12B9"/>
    <w:rsid w:val="006C158C"/>
    <w:rsid w:val="006C2691"/>
    <w:rsid w:val="006C2A70"/>
    <w:rsid w:val="006C2FDE"/>
    <w:rsid w:val="006C3076"/>
    <w:rsid w:val="006C3892"/>
    <w:rsid w:val="006C3D64"/>
    <w:rsid w:val="006C4C00"/>
    <w:rsid w:val="006C5855"/>
    <w:rsid w:val="006C58CE"/>
    <w:rsid w:val="006C65FE"/>
    <w:rsid w:val="006C66A6"/>
    <w:rsid w:val="006C67B0"/>
    <w:rsid w:val="006C6EB0"/>
    <w:rsid w:val="006C7364"/>
    <w:rsid w:val="006C7FF8"/>
    <w:rsid w:val="006D02A0"/>
    <w:rsid w:val="006D0341"/>
    <w:rsid w:val="006D03DA"/>
    <w:rsid w:val="006D267C"/>
    <w:rsid w:val="006D4066"/>
    <w:rsid w:val="006D479A"/>
    <w:rsid w:val="006D5B6E"/>
    <w:rsid w:val="006D5C2E"/>
    <w:rsid w:val="006D5DD4"/>
    <w:rsid w:val="006D63EA"/>
    <w:rsid w:val="006D6791"/>
    <w:rsid w:val="006D7146"/>
    <w:rsid w:val="006D759B"/>
    <w:rsid w:val="006D7812"/>
    <w:rsid w:val="006D7E35"/>
    <w:rsid w:val="006E0C56"/>
    <w:rsid w:val="006E2097"/>
    <w:rsid w:val="006E2671"/>
    <w:rsid w:val="006E2C2D"/>
    <w:rsid w:val="006E31A9"/>
    <w:rsid w:val="006E3394"/>
    <w:rsid w:val="006E4A0D"/>
    <w:rsid w:val="006E6A29"/>
    <w:rsid w:val="006E6B99"/>
    <w:rsid w:val="006E7295"/>
    <w:rsid w:val="006E77E9"/>
    <w:rsid w:val="006E798C"/>
    <w:rsid w:val="006F0149"/>
    <w:rsid w:val="006F02AC"/>
    <w:rsid w:val="006F06F6"/>
    <w:rsid w:val="006F0C32"/>
    <w:rsid w:val="006F1CDE"/>
    <w:rsid w:val="006F2CC0"/>
    <w:rsid w:val="006F2EE5"/>
    <w:rsid w:val="006F36C8"/>
    <w:rsid w:val="006F3E32"/>
    <w:rsid w:val="006F405B"/>
    <w:rsid w:val="006F5DAE"/>
    <w:rsid w:val="006F6890"/>
    <w:rsid w:val="006F765E"/>
    <w:rsid w:val="00700F0C"/>
    <w:rsid w:val="0070102C"/>
    <w:rsid w:val="007018F4"/>
    <w:rsid w:val="007033FA"/>
    <w:rsid w:val="007034D5"/>
    <w:rsid w:val="0070388E"/>
    <w:rsid w:val="00704A55"/>
    <w:rsid w:val="007057CB"/>
    <w:rsid w:val="007060ED"/>
    <w:rsid w:val="0070642D"/>
    <w:rsid w:val="00706A5E"/>
    <w:rsid w:val="007073D9"/>
    <w:rsid w:val="00710239"/>
    <w:rsid w:val="00710A24"/>
    <w:rsid w:val="00711849"/>
    <w:rsid w:val="00712AFF"/>
    <w:rsid w:val="00712FDC"/>
    <w:rsid w:val="0071307C"/>
    <w:rsid w:val="00713D96"/>
    <w:rsid w:val="00714381"/>
    <w:rsid w:val="00714A1C"/>
    <w:rsid w:val="00716EF8"/>
    <w:rsid w:val="00717C12"/>
    <w:rsid w:val="007212B6"/>
    <w:rsid w:val="007222F7"/>
    <w:rsid w:val="007226EF"/>
    <w:rsid w:val="007228EF"/>
    <w:rsid w:val="0072454A"/>
    <w:rsid w:val="00724576"/>
    <w:rsid w:val="007246BB"/>
    <w:rsid w:val="00726732"/>
    <w:rsid w:val="0072676D"/>
    <w:rsid w:val="00726E0A"/>
    <w:rsid w:val="00726E9E"/>
    <w:rsid w:val="0072754F"/>
    <w:rsid w:val="00727D9C"/>
    <w:rsid w:val="007301AD"/>
    <w:rsid w:val="007319EB"/>
    <w:rsid w:val="007326F3"/>
    <w:rsid w:val="007329A2"/>
    <w:rsid w:val="00732AD6"/>
    <w:rsid w:val="00732BCC"/>
    <w:rsid w:val="00733631"/>
    <w:rsid w:val="007336A9"/>
    <w:rsid w:val="00733A41"/>
    <w:rsid w:val="00733BF3"/>
    <w:rsid w:val="007340AC"/>
    <w:rsid w:val="0073439F"/>
    <w:rsid w:val="00734BF6"/>
    <w:rsid w:val="00735017"/>
    <w:rsid w:val="00736030"/>
    <w:rsid w:val="00736430"/>
    <w:rsid w:val="0073668C"/>
    <w:rsid w:val="007372E4"/>
    <w:rsid w:val="007407C1"/>
    <w:rsid w:val="00740DF5"/>
    <w:rsid w:val="0074198A"/>
    <w:rsid w:val="00742C11"/>
    <w:rsid w:val="0074341B"/>
    <w:rsid w:val="00743426"/>
    <w:rsid w:val="0074452B"/>
    <w:rsid w:val="007448C4"/>
    <w:rsid w:val="0074553E"/>
    <w:rsid w:val="00745974"/>
    <w:rsid w:val="00745A63"/>
    <w:rsid w:val="00745F67"/>
    <w:rsid w:val="007464B9"/>
    <w:rsid w:val="0074700D"/>
    <w:rsid w:val="0074741D"/>
    <w:rsid w:val="007474C5"/>
    <w:rsid w:val="00747A86"/>
    <w:rsid w:val="007504B9"/>
    <w:rsid w:val="00751148"/>
    <w:rsid w:val="0075162B"/>
    <w:rsid w:val="00751B39"/>
    <w:rsid w:val="00752FED"/>
    <w:rsid w:val="0075389D"/>
    <w:rsid w:val="00753C2F"/>
    <w:rsid w:val="0075436E"/>
    <w:rsid w:val="00755981"/>
    <w:rsid w:val="00755C7F"/>
    <w:rsid w:val="00755F1C"/>
    <w:rsid w:val="007568FE"/>
    <w:rsid w:val="00756A4D"/>
    <w:rsid w:val="00757226"/>
    <w:rsid w:val="0076113B"/>
    <w:rsid w:val="007616EE"/>
    <w:rsid w:val="007617D9"/>
    <w:rsid w:val="00761B6E"/>
    <w:rsid w:val="00761FD8"/>
    <w:rsid w:val="00762FA9"/>
    <w:rsid w:val="0076337C"/>
    <w:rsid w:val="00763744"/>
    <w:rsid w:val="007645A8"/>
    <w:rsid w:val="007654B8"/>
    <w:rsid w:val="007654EA"/>
    <w:rsid w:val="00765BF5"/>
    <w:rsid w:val="00766099"/>
    <w:rsid w:val="007664A2"/>
    <w:rsid w:val="00767678"/>
    <w:rsid w:val="007678A6"/>
    <w:rsid w:val="007678D8"/>
    <w:rsid w:val="00767FEC"/>
    <w:rsid w:val="00770891"/>
    <w:rsid w:val="0077102C"/>
    <w:rsid w:val="007714DE"/>
    <w:rsid w:val="00771EAD"/>
    <w:rsid w:val="00772217"/>
    <w:rsid w:val="007725AD"/>
    <w:rsid w:val="00772D5C"/>
    <w:rsid w:val="00773927"/>
    <w:rsid w:val="00774CCF"/>
    <w:rsid w:val="007762C6"/>
    <w:rsid w:val="0077767B"/>
    <w:rsid w:val="007777B8"/>
    <w:rsid w:val="00777D3D"/>
    <w:rsid w:val="007800A6"/>
    <w:rsid w:val="00780F86"/>
    <w:rsid w:val="007816E1"/>
    <w:rsid w:val="00781781"/>
    <w:rsid w:val="0078357C"/>
    <w:rsid w:val="00783AFE"/>
    <w:rsid w:val="00783EA5"/>
    <w:rsid w:val="00783EF8"/>
    <w:rsid w:val="0078484C"/>
    <w:rsid w:val="007848EF"/>
    <w:rsid w:val="00784A05"/>
    <w:rsid w:val="00785ECC"/>
    <w:rsid w:val="00787E50"/>
    <w:rsid w:val="00787F31"/>
    <w:rsid w:val="00790614"/>
    <w:rsid w:val="00791935"/>
    <w:rsid w:val="007945D5"/>
    <w:rsid w:val="00795AA3"/>
    <w:rsid w:val="007979E8"/>
    <w:rsid w:val="00797E21"/>
    <w:rsid w:val="007A0B41"/>
    <w:rsid w:val="007A1671"/>
    <w:rsid w:val="007A2649"/>
    <w:rsid w:val="007A32F9"/>
    <w:rsid w:val="007A3468"/>
    <w:rsid w:val="007A3646"/>
    <w:rsid w:val="007A4389"/>
    <w:rsid w:val="007A4661"/>
    <w:rsid w:val="007A5672"/>
    <w:rsid w:val="007A6F48"/>
    <w:rsid w:val="007B1378"/>
    <w:rsid w:val="007B2402"/>
    <w:rsid w:val="007B276E"/>
    <w:rsid w:val="007B2931"/>
    <w:rsid w:val="007B2FA7"/>
    <w:rsid w:val="007B3DD0"/>
    <w:rsid w:val="007B4E70"/>
    <w:rsid w:val="007B5901"/>
    <w:rsid w:val="007B5C25"/>
    <w:rsid w:val="007B6548"/>
    <w:rsid w:val="007B7662"/>
    <w:rsid w:val="007B7FA2"/>
    <w:rsid w:val="007C08F7"/>
    <w:rsid w:val="007C1128"/>
    <w:rsid w:val="007C1675"/>
    <w:rsid w:val="007C1810"/>
    <w:rsid w:val="007C25AE"/>
    <w:rsid w:val="007C2867"/>
    <w:rsid w:val="007C2EBF"/>
    <w:rsid w:val="007C3CC8"/>
    <w:rsid w:val="007C4023"/>
    <w:rsid w:val="007C4C99"/>
    <w:rsid w:val="007C4DE8"/>
    <w:rsid w:val="007C5402"/>
    <w:rsid w:val="007C5E3D"/>
    <w:rsid w:val="007C6684"/>
    <w:rsid w:val="007C69B9"/>
    <w:rsid w:val="007C6A81"/>
    <w:rsid w:val="007C7D1D"/>
    <w:rsid w:val="007C7F4B"/>
    <w:rsid w:val="007D03EE"/>
    <w:rsid w:val="007D0AD7"/>
    <w:rsid w:val="007D0E02"/>
    <w:rsid w:val="007D1D1E"/>
    <w:rsid w:val="007D23CC"/>
    <w:rsid w:val="007D3058"/>
    <w:rsid w:val="007D3B10"/>
    <w:rsid w:val="007D3C7D"/>
    <w:rsid w:val="007D462D"/>
    <w:rsid w:val="007D46FC"/>
    <w:rsid w:val="007D4903"/>
    <w:rsid w:val="007D54BD"/>
    <w:rsid w:val="007D5963"/>
    <w:rsid w:val="007D5C66"/>
    <w:rsid w:val="007D5FE7"/>
    <w:rsid w:val="007D7772"/>
    <w:rsid w:val="007D7FD1"/>
    <w:rsid w:val="007E05CA"/>
    <w:rsid w:val="007E0BDA"/>
    <w:rsid w:val="007E22E4"/>
    <w:rsid w:val="007E25AD"/>
    <w:rsid w:val="007E25EB"/>
    <w:rsid w:val="007E312D"/>
    <w:rsid w:val="007E3AF4"/>
    <w:rsid w:val="007E3EAD"/>
    <w:rsid w:val="007E42E9"/>
    <w:rsid w:val="007E4880"/>
    <w:rsid w:val="007E4D6E"/>
    <w:rsid w:val="007E4EFC"/>
    <w:rsid w:val="007E52F9"/>
    <w:rsid w:val="007E5594"/>
    <w:rsid w:val="007E5858"/>
    <w:rsid w:val="007E5BA9"/>
    <w:rsid w:val="007E637C"/>
    <w:rsid w:val="007E6A18"/>
    <w:rsid w:val="007E6DD6"/>
    <w:rsid w:val="007E72DE"/>
    <w:rsid w:val="007F09F4"/>
    <w:rsid w:val="007F1364"/>
    <w:rsid w:val="007F3BAA"/>
    <w:rsid w:val="007F47C9"/>
    <w:rsid w:val="007F4838"/>
    <w:rsid w:val="007F4A04"/>
    <w:rsid w:val="007F5BDF"/>
    <w:rsid w:val="007F647C"/>
    <w:rsid w:val="007F693F"/>
    <w:rsid w:val="007F6F6D"/>
    <w:rsid w:val="007F74C1"/>
    <w:rsid w:val="008002E4"/>
    <w:rsid w:val="0080041B"/>
    <w:rsid w:val="008009C7"/>
    <w:rsid w:val="00800A0B"/>
    <w:rsid w:val="00800C1E"/>
    <w:rsid w:val="00800FFC"/>
    <w:rsid w:val="00802101"/>
    <w:rsid w:val="008025AC"/>
    <w:rsid w:val="0080275B"/>
    <w:rsid w:val="00802BD8"/>
    <w:rsid w:val="00802F81"/>
    <w:rsid w:val="00803FAC"/>
    <w:rsid w:val="00804E3D"/>
    <w:rsid w:val="00804F0A"/>
    <w:rsid w:val="00804F0F"/>
    <w:rsid w:val="00805079"/>
    <w:rsid w:val="008053A7"/>
    <w:rsid w:val="008062BE"/>
    <w:rsid w:val="00806EFB"/>
    <w:rsid w:val="00806F39"/>
    <w:rsid w:val="00807C6E"/>
    <w:rsid w:val="00810F42"/>
    <w:rsid w:val="00810FD1"/>
    <w:rsid w:val="00811E81"/>
    <w:rsid w:val="008120F6"/>
    <w:rsid w:val="00812759"/>
    <w:rsid w:val="00813446"/>
    <w:rsid w:val="008138A9"/>
    <w:rsid w:val="00813CA8"/>
    <w:rsid w:val="00813E8E"/>
    <w:rsid w:val="008141D7"/>
    <w:rsid w:val="00814574"/>
    <w:rsid w:val="0081496C"/>
    <w:rsid w:val="00816211"/>
    <w:rsid w:val="00817089"/>
    <w:rsid w:val="008218CD"/>
    <w:rsid w:val="00821E00"/>
    <w:rsid w:val="008228B8"/>
    <w:rsid w:val="008230C5"/>
    <w:rsid w:val="0082493A"/>
    <w:rsid w:val="00824C09"/>
    <w:rsid w:val="00824EE3"/>
    <w:rsid w:val="00825299"/>
    <w:rsid w:val="00825328"/>
    <w:rsid w:val="0082535F"/>
    <w:rsid w:val="00826219"/>
    <w:rsid w:val="00827233"/>
    <w:rsid w:val="0082768B"/>
    <w:rsid w:val="008310E9"/>
    <w:rsid w:val="008312AD"/>
    <w:rsid w:val="0083222F"/>
    <w:rsid w:val="008334C2"/>
    <w:rsid w:val="00834C65"/>
    <w:rsid w:val="00834DAA"/>
    <w:rsid w:val="00834F0D"/>
    <w:rsid w:val="00835237"/>
    <w:rsid w:val="0083541D"/>
    <w:rsid w:val="0083595C"/>
    <w:rsid w:val="00835F09"/>
    <w:rsid w:val="0083634B"/>
    <w:rsid w:val="0083708A"/>
    <w:rsid w:val="00840116"/>
    <w:rsid w:val="00840D3F"/>
    <w:rsid w:val="00840DBE"/>
    <w:rsid w:val="008414F8"/>
    <w:rsid w:val="00841D42"/>
    <w:rsid w:val="008420D4"/>
    <w:rsid w:val="00842635"/>
    <w:rsid w:val="00843211"/>
    <w:rsid w:val="00844186"/>
    <w:rsid w:val="00844E7E"/>
    <w:rsid w:val="00844ECF"/>
    <w:rsid w:val="00845A92"/>
    <w:rsid w:val="00845CF6"/>
    <w:rsid w:val="00846541"/>
    <w:rsid w:val="00846D08"/>
    <w:rsid w:val="00846DE6"/>
    <w:rsid w:val="00847523"/>
    <w:rsid w:val="008501CC"/>
    <w:rsid w:val="00850D45"/>
    <w:rsid w:val="008516A6"/>
    <w:rsid w:val="0085217C"/>
    <w:rsid w:val="00852352"/>
    <w:rsid w:val="008523C2"/>
    <w:rsid w:val="0085269A"/>
    <w:rsid w:val="00852BA0"/>
    <w:rsid w:val="008539A7"/>
    <w:rsid w:val="00853A56"/>
    <w:rsid w:val="00855077"/>
    <w:rsid w:val="008553BC"/>
    <w:rsid w:val="0085560B"/>
    <w:rsid w:val="00856069"/>
    <w:rsid w:val="008562F1"/>
    <w:rsid w:val="00856C17"/>
    <w:rsid w:val="00857249"/>
    <w:rsid w:val="00857B0A"/>
    <w:rsid w:val="00857B3D"/>
    <w:rsid w:val="008603AC"/>
    <w:rsid w:val="00860E32"/>
    <w:rsid w:val="00862276"/>
    <w:rsid w:val="008623F8"/>
    <w:rsid w:val="00862BEF"/>
    <w:rsid w:val="00863576"/>
    <w:rsid w:val="00863FC5"/>
    <w:rsid w:val="00863FF7"/>
    <w:rsid w:val="00864BAC"/>
    <w:rsid w:val="00864E69"/>
    <w:rsid w:val="008658AA"/>
    <w:rsid w:val="00865932"/>
    <w:rsid w:val="00866174"/>
    <w:rsid w:val="0086662D"/>
    <w:rsid w:val="008669C1"/>
    <w:rsid w:val="00866B10"/>
    <w:rsid w:val="0086787C"/>
    <w:rsid w:val="0087033F"/>
    <w:rsid w:val="008703C4"/>
    <w:rsid w:val="008708C1"/>
    <w:rsid w:val="00872CFA"/>
    <w:rsid w:val="0087302C"/>
    <w:rsid w:val="0087367C"/>
    <w:rsid w:val="00874271"/>
    <w:rsid w:val="008742E2"/>
    <w:rsid w:val="0087527D"/>
    <w:rsid w:val="00875774"/>
    <w:rsid w:val="00875858"/>
    <w:rsid w:val="00875CF2"/>
    <w:rsid w:val="00876BC7"/>
    <w:rsid w:val="008771D2"/>
    <w:rsid w:val="008775A6"/>
    <w:rsid w:val="008776DA"/>
    <w:rsid w:val="00877A72"/>
    <w:rsid w:val="00877BBA"/>
    <w:rsid w:val="00877C31"/>
    <w:rsid w:val="0088057C"/>
    <w:rsid w:val="0088070C"/>
    <w:rsid w:val="00880D9A"/>
    <w:rsid w:val="00880FD6"/>
    <w:rsid w:val="0088115D"/>
    <w:rsid w:val="00881284"/>
    <w:rsid w:val="008814CC"/>
    <w:rsid w:val="00882EB5"/>
    <w:rsid w:val="00883A35"/>
    <w:rsid w:val="00885A90"/>
    <w:rsid w:val="00885D68"/>
    <w:rsid w:val="00886773"/>
    <w:rsid w:val="00887103"/>
    <w:rsid w:val="00887165"/>
    <w:rsid w:val="00887597"/>
    <w:rsid w:val="00887959"/>
    <w:rsid w:val="0089070A"/>
    <w:rsid w:val="0089090A"/>
    <w:rsid w:val="00890D28"/>
    <w:rsid w:val="008923B8"/>
    <w:rsid w:val="0089337C"/>
    <w:rsid w:val="00893528"/>
    <w:rsid w:val="008945F4"/>
    <w:rsid w:val="008966BC"/>
    <w:rsid w:val="008969AF"/>
    <w:rsid w:val="008A0E83"/>
    <w:rsid w:val="008A1575"/>
    <w:rsid w:val="008A175C"/>
    <w:rsid w:val="008A1A4E"/>
    <w:rsid w:val="008A259A"/>
    <w:rsid w:val="008A3328"/>
    <w:rsid w:val="008A3AF4"/>
    <w:rsid w:val="008A3C68"/>
    <w:rsid w:val="008A3F11"/>
    <w:rsid w:val="008A4131"/>
    <w:rsid w:val="008A4280"/>
    <w:rsid w:val="008A44A2"/>
    <w:rsid w:val="008A4838"/>
    <w:rsid w:val="008A4F3E"/>
    <w:rsid w:val="008A6421"/>
    <w:rsid w:val="008A67BC"/>
    <w:rsid w:val="008A7D7F"/>
    <w:rsid w:val="008B0138"/>
    <w:rsid w:val="008B048D"/>
    <w:rsid w:val="008B2631"/>
    <w:rsid w:val="008B3D24"/>
    <w:rsid w:val="008B4E45"/>
    <w:rsid w:val="008B5BAF"/>
    <w:rsid w:val="008B6477"/>
    <w:rsid w:val="008B753C"/>
    <w:rsid w:val="008B7F46"/>
    <w:rsid w:val="008C06BD"/>
    <w:rsid w:val="008C111A"/>
    <w:rsid w:val="008C11AE"/>
    <w:rsid w:val="008C134B"/>
    <w:rsid w:val="008C1ECD"/>
    <w:rsid w:val="008C28E6"/>
    <w:rsid w:val="008C2FAF"/>
    <w:rsid w:val="008C366B"/>
    <w:rsid w:val="008C48A8"/>
    <w:rsid w:val="008C5B46"/>
    <w:rsid w:val="008C62A9"/>
    <w:rsid w:val="008C63D6"/>
    <w:rsid w:val="008C63DB"/>
    <w:rsid w:val="008C70A1"/>
    <w:rsid w:val="008D0705"/>
    <w:rsid w:val="008D0CE5"/>
    <w:rsid w:val="008D0FA8"/>
    <w:rsid w:val="008D143A"/>
    <w:rsid w:val="008D1ADD"/>
    <w:rsid w:val="008D230C"/>
    <w:rsid w:val="008D2DF1"/>
    <w:rsid w:val="008D36DB"/>
    <w:rsid w:val="008D4094"/>
    <w:rsid w:val="008D4166"/>
    <w:rsid w:val="008D4174"/>
    <w:rsid w:val="008D46D2"/>
    <w:rsid w:val="008D4B4F"/>
    <w:rsid w:val="008D6A9E"/>
    <w:rsid w:val="008D7304"/>
    <w:rsid w:val="008D78F0"/>
    <w:rsid w:val="008D7F41"/>
    <w:rsid w:val="008D7FAF"/>
    <w:rsid w:val="008E05B0"/>
    <w:rsid w:val="008E0C3D"/>
    <w:rsid w:val="008E0D8D"/>
    <w:rsid w:val="008E2295"/>
    <w:rsid w:val="008E24E4"/>
    <w:rsid w:val="008E2B2E"/>
    <w:rsid w:val="008E2D1D"/>
    <w:rsid w:val="008E33D2"/>
    <w:rsid w:val="008E463A"/>
    <w:rsid w:val="008E5A0E"/>
    <w:rsid w:val="008E6109"/>
    <w:rsid w:val="008E610E"/>
    <w:rsid w:val="008E667F"/>
    <w:rsid w:val="008E6D4B"/>
    <w:rsid w:val="008E771A"/>
    <w:rsid w:val="008E77E3"/>
    <w:rsid w:val="008F0535"/>
    <w:rsid w:val="008F0E80"/>
    <w:rsid w:val="008F151F"/>
    <w:rsid w:val="008F18CE"/>
    <w:rsid w:val="008F1AA4"/>
    <w:rsid w:val="008F28BF"/>
    <w:rsid w:val="008F2AB7"/>
    <w:rsid w:val="008F2C43"/>
    <w:rsid w:val="008F2D02"/>
    <w:rsid w:val="008F2FD6"/>
    <w:rsid w:val="008F31DC"/>
    <w:rsid w:val="008F435A"/>
    <w:rsid w:val="008F50E4"/>
    <w:rsid w:val="008F5353"/>
    <w:rsid w:val="008F5413"/>
    <w:rsid w:val="008F5B01"/>
    <w:rsid w:val="008F5BDE"/>
    <w:rsid w:val="008F6291"/>
    <w:rsid w:val="008F63B2"/>
    <w:rsid w:val="008F6D39"/>
    <w:rsid w:val="008F7BF9"/>
    <w:rsid w:val="008F7E93"/>
    <w:rsid w:val="009006D0"/>
    <w:rsid w:val="0090084D"/>
    <w:rsid w:val="00900CDB"/>
    <w:rsid w:val="009023F1"/>
    <w:rsid w:val="009023F5"/>
    <w:rsid w:val="00902DDB"/>
    <w:rsid w:val="009035A4"/>
    <w:rsid w:val="00903B85"/>
    <w:rsid w:val="0090415B"/>
    <w:rsid w:val="00906159"/>
    <w:rsid w:val="0090631E"/>
    <w:rsid w:val="0090646F"/>
    <w:rsid w:val="0090698A"/>
    <w:rsid w:val="0090769B"/>
    <w:rsid w:val="00907B98"/>
    <w:rsid w:val="00907C6B"/>
    <w:rsid w:val="00910195"/>
    <w:rsid w:val="00910335"/>
    <w:rsid w:val="009106A5"/>
    <w:rsid w:val="00912514"/>
    <w:rsid w:val="00912910"/>
    <w:rsid w:val="0091302A"/>
    <w:rsid w:val="00913134"/>
    <w:rsid w:val="00913879"/>
    <w:rsid w:val="009140A9"/>
    <w:rsid w:val="009158EE"/>
    <w:rsid w:val="00915B8D"/>
    <w:rsid w:val="00915BEF"/>
    <w:rsid w:val="009164A3"/>
    <w:rsid w:val="00916646"/>
    <w:rsid w:val="009167DC"/>
    <w:rsid w:val="00916F80"/>
    <w:rsid w:val="0092008F"/>
    <w:rsid w:val="00920C39"/>
    <w:rsid w:val="009212F1"/>
    <w:rsid w:val="009217A2"/>
    <w:rsid w:val="0092215E"/>
    <w:rsid w:val="009226DE"/>
    <w:rsid w:val="009233BF"/>
    <w:rsid w:val="009234A3"/>
    <w:rsid w:val="00923626"/>
    <w:rsid w:val="00923B2C"/>
    <w:rsid w:val="0092403D"/>
    <w:rsid w:val="009241D2"/>
    <w:rsid w:val="00925BD0"/>
    <w:rsid w:val="00927325"/>
    <w:rsid w:val="00927C53"/>
    <w:rsid w:val="0093153E"/>
    <w:rsid w:val="00931A53"/>
    <w:rsid w:val="009333AF"/>
    <w:rsid w:val="00933E07"/>
    <w:rsid w:val="00934204"/>
    <w:rsid w:val="009344AD"/>
    <w:rsid w:val="00934DDC"/>
    <w:rsid w:val="00935551"/>
    <w:rsid w:val="00936D98"/>
    <w:rsid w:val="0093739E"/>
    <w:rsid w:val="0094088B"/>
    <w:rsid w:val="00940A41"/>
    <w:rsid w:val="00940AF2"/>
    <w:rsid w:val="00941B7D"/>
    <w:rsid w:val="00941C8F"/>
    <w:rsid w:val="0094380E"/>
    <w:rsid w:val="0094454B"/>
    <w:rsid w:val="00944B45"/>
    <w:rsid w:val="00944FE1"/>
    <w:rsid w:val="0094509E"/>
    <w:rsid w:val="0094524E"/>
    <w:rsid w:val="0094537A"/>
    <w:rsid w:val="009459BB"/>
    <w:rsid w:val="009464A1"/>
    <w:rsid w:val="00947374"/>
    <w:rsid w:val="00947717"/>
    <w:rsid w:val="00947C70"/>
    <w:rsid w:val="00947D64"/>
    <w:rsid w:val="009502F8"/>
    <w:rsid w:val="00950743"/>
    <w:rsid w:val="00952AE4"/>
    <w:rsid w:val="00953157"/>
    <w:rsid w:val="00953B7C"/>
    <w:rsid w:val="00953EE8"/>
    <w:rsid w:val="009542AD"/>
    <w:rsid w:val="00954A7B"/>
    <w:rsid w:val="009550E9"/>
    <w:rsid w:val="00955E47"/>
    <w:rsid w:val="0095647F"/>
    <w:rsid w:val="009565A4"/>
    <w:rsid w:val="0095677C"/>
    <w:rsid w:val="00956A94"/>
    <w:rsid w:val="009572FF"/>
    <w:rsid w:val="009604D1"/>
    <w:rsid w:val="00960550"/>
    <w:rsid w:val="009609E0"/>
    <w:rsid w:val="00961197"/>
    <w:rsid w:val="0096179E"/>
    <w:rsid w:val="00962A97"/>
    <w:rsid w:val="00962D26"/>
    <w:rsid w:val="00963125"/>
    <w:rsid w:val="009637BF"/>
    <w:rsid w:val="009640B4"/>
    <w:rsid w:val="009640EF"/>
    <w:rsid w:val="00970E82"/>
    <w:rsid w:val="0097190B"/>
    <w:rsid w:val="00971AB5"/>
    <w:rsid w:val="00971ABA"/>
    <w:rsid w:val="00971E05"/>
    <w:rsid w:val="00972103"/>
    <w:rsid w:val="00973244"/>
    <w:rsid w:val="00973A8C"/>
    <w:rsid w:val="009743BF"/>
    <w:rsid w:val="009749D5"/>
    <w:rsid w:val="00975937"/>
    <w:rsid w:val="00975A61"/>
    <w:rsid w:val="00976333"/>
    <w:rsid w:val="0097656D"/>
    <w:rsid w:val="00976846"/>
    <w:rsid w:val="00977670"/>
    <w:rsid w:val="009777FF"/>
    <w:rsid w:val="00977EAE"/>
    <w:rsid w:val="00980880"/>
    <w:rsid w:val="009822F2"/>
    <w:rsid w:val="0098315B"/>
    <w:rsid w:val="00983602"/>
    <w:rsid w:val="00983924"/>
    <w:rsid w:val="00984145"/>
    <w:rsid w:val="009844F1"/>
    <w:rsid w:val="00985175"/>
    <w:rsid w:val="0098569B"/>
    <w:rsid w:val="009858CC"/>
    <w:rsid w:val="00985B0D"/>
    <w:rsid w:val="00985EAF"/>
    <w:rsid w:val="0098755F"/>
    <w:rsid w:val="0099088E"/>
    <w:rsid w:val="00990B97"/>
    <w:rsid w:val="00990C0A"/>
    <w:rsid w:val="00990C1A"/>
    <w:rsid w:val="00992196"/>
    <w:rsid w:val="0099243F"/>
    <w:rsid w:val="00992468"/>
    <w:rsid w:val="009931D8"/>
    <w:rsid w:val="00993215"/>
    <w:rsid w:val="00993470"/>
    <w:rsid w:val="00993807"/>
    <w:rsid w:val="00993A28"/>
    <w:rsid w:val="0099434E"/>
    <w:rsid w:val="00994392"/>
    <w:rsid w:val="009950CF"/>
    <w:rsid w:val="0099582C"/>
    <w:rsid w:val="009A0F10"/>
    <w:rsid w:val="009A22A9"/>
    <w:rsid w:val="009A28D0"/>
    <w:rsid w:val="009A3EAE"/>
    <w:rsid w:val="009A418E"/>
    <w:rsid w:val="009A43A0"/>
    <w:rsid w:val="009A498B"/>
    <w:rsid w:val="009A4BF3"/>
    <w:rsid w:val="009A50E4"/>
    <w:rsid w:val="009A523A"/>
    <w:rsid w:val="009A536A"/>
    <w:rsid w:val="009A5801"/>
    <w:rsid w:val="009A6714"/>
    <w:rsid w:val="009A6FCF"/>
    <w:rsid w:val="009A7778"/>
    <w:rsid w:val="009B0356"/>
    <w:rsid w:val="009B117F"/>
    <w:rsid w:val="009B2F77"/>
    <w:rsid w:val="009B36D1"/>
    <w:rsid w:val="009B3A15"/>
    <w:rsid w:val="009B5B49"/>
    <w:rsid w:val="009B5F95"/>
    <w:rsid w:val="009B6842"/>
    <w:rsid w:val="009B6ABE"/>
    <w:rsid w:val="009B6CC1"/>
    <w:rsid w:val="009B6F24"/>
    <w:rsid w:val="009B712C"/>
    <w:rsid w:val="009C09FF"/>
    <w:rsid w:val="009C0FEB"/>
    <w:rsid w:val="009C16F7"/>
    <w:rsid w:val="009C1FEB"/>
    <w:rsid w:val="009C208D"/>
    <w:rsid w:val="009C25D6"/>
    <w:rsid w:val="009C3F89"/>
    <w:rsid w:val="009C489E"/>
    <w:rsid w:val="009C4BC7"/>
    <w:rsid w:val="009C6439"/>
    <w:rsid w:val="009C6AF8"/>
    <w:rsid w:val="009C7BDE"/>
    <w:rsid w:val="009C7EAE"/>
    <w:rsid w:val="009D0C54"/>
    <w:rsid w:val="009D132C"/>
    <w:rsid w:val="009D1745"/>
    <w:rsid w:val="009D1A29"/>
    <w:rsid w:val="009D281B"/>
    <w:rsid w:val="009D2B9C"/>
    <w:rsid w:val="009D2D8A"/>
    <w:rsid w:val="009D2EFB"/>
    <w:rsid w:val="009D307E"/>
    <w:rsid w:val="009D42CF"/>
    <w:rsid w:val="009D48F9"/>
    <w:rsid w:val="009D4986"/>
    <w:rsid w:val="009D5360"/>
    <w:rsid w:val="009D5B3F"/>
    <w:rsid w:val="009D66C7"/>
    <w:rsid w:val="009D6AA7"/>
    <w:rsid w:val="009E037F"/>
    <w:rsid w:val="009E0718"/>
    <w:rsid w:val="009E0731"/>
    <w:rsid w:val="009E1007"/>
    <w:rsid w:val="009E11DA"/>
    <w:rsid w:val="009E187C"/>
    <w:rsid w:val="009E18AD"/>
    <w:rsid w:val="009E1EBE"/>
    <w:rsid w:val="009E2156"/>
    <w:rsid w:val="009E25CE"/>
    <w:rsid w:val="009E25F0"/>
    <w:rsid w:val="009E2B03"/>
    <w:rsid w:val="009E2DFB"/>
    <w:rsid w:val="009E31AF"/>
    <w:rsid w:val="009E4120"/>
    <w:rsid w:val="009E41DB"/>
    <w:rsid w:val="009E4271"/>
    <w:rsid w:val="009E4425"/>
    <w:rsid w:val="009E44EE"/>
    <w:rsid w:val="009E488E"/>
    <w:rsid w:val="009E48B7"/>
    <w:rsid w:val="009E49E3"/>
    <w:rsid w:val="009E5914"/>
    <w:rsid w:val="009E5AAA"/>
    <w:rsid w:val="009E5CA4"/>
    <w:rsid w:val="009E5DA0"/>
    <w:rsid w:val="009E5ED1"/>
    <w:rsid w:val="009E6E7E"/>
    <w:rsid w:val="009F0294"/>
    <w:rsid w:val="009F0D9B"/>
    <w:rsid w:val="009F2CA0"/>
    <w:rsid w:val="009F3348"/>
    <w:rsid w:val="009F366F"/>
    <w:rsid w:val="009F4693"/>
    <w:rsid w:val="009F5287"/>
    <w:rsid w:val="009F5D5F"/>
    <w:rsid w:val="009F64F9"/>
    <w:rsid w:val="009F6C1F"/>
    <w:rsid w:val="009F6E24"/>
    <w:rsid w:val="009F7401"/>
    <w:rsid w:val="009F79E6"/>
    <w:rsid w:val="009F7A26"/>
    <w:rsid w:val="00A000DE"/>
    <w:rsid w:val="00A01109"/>
    <w:rsid w:val="00A021F9"/>
    <w:rsid w:val="00A032BE"/>
    <w:rsid w:val="00A03334"/>
    <w:rsid w:val="00A03AAE"/>
    <w:rsid w:val="00A03FB6"/>
    <w:rsid w:val="00A04265"/>
    <w:rsid w:val="00A04C7A"/>
    <w:rsid w:val="00A0793B"/>
    <w:rsid w:val="00A11891"/>
    <w:rsid w:val="00A119D5"/>
    <w:rsid w:val="00A11B1D"/>
    <w:rsid w:val="00A12AF1"/>
    <w:rsid w:val="00A13F42"/>
    <w:rsid w:val="00A14625"/>
    <w:rsid w:val="00A14EFB"/>
    <w:rsid w:val="00A1528B"/>
    <w:rsid w:val="00A16520"/>
    <w:rsid w:val="00A17999"/>
    <w:rsid w:val="00A17AA6"/>
    <w:rsid w:val="00A17BA4"/>
    <w:rsid w:val="00A17C84"/>
    <w:rsid w:val="00A20738"/>
    <w:rsid w:val="00A219D8"/>
    <w:rsid w:val="00A22DD2"/>
    <w:rsid w:val="00A22F99"/>
    <w:rsid w:val="00A2373F"/>
    <w:rsid w:val="00A25E39"/>
    <w:rsid w:val="00A26D12"/>
    <w:rsid w:val="00A26EF2"/>
    <w:rsid w:val="00A27640"/>
    <w:rsid w:val="00A27906"/>
    <w:rsid w:val="00A30001"/>
    <w:rsid w:val="00A309DB"/>
    <w:rsid w:val="00A31139"/>
    <w:rsid w:val="00A31568"/>
    <w:rsid w:val="00A32F48"/>
    <w:rsid w:val="00A3353B"/>
    <w:rsid w:val="00A33B93"/>
    <w:rsid w:val="00A340DA"/>
    <w:rsid w:val="00A358CC"/>
    <w:rsid w:val="00A35E6B"/>
    <w:rsid w:val="00A35EE8"/>
    <w:rsid w:val="00A360C3"/>
    <w:rsid w:val="00A365DA"/>
    <w:rsid w:val="00A36810"/>
    <w:rsid w:val="00A36A9D"/>
    <w:rsid w:val="00A36CA5"/>
    <w:rsid w:val="00A36D19"/>
    <w:rsid w:val="00A37D87"/>
    <w:rsid w:val="00A37E71"/>
    <w:rsid w:val="00A37FCB"/>
    <w:rsid w:val="00A40060"/>
    <w:rsid w:val="00A40285"/>
    <w:rsid w:val="00A4095E"/>
    <w:rsid w:val="00A40D51"/>
    <w:rsid w:val="00A40F9F"/>
    <w:rsid w:val="00A40FC6"/>
    <w:rsid w:val="00A41BBA"/>
    <w:rsid w:val="00A41C17"/>
    <w:rsid w:val="00A4212D"/>
    <w:rsid w:val="00A429F9"/>
    <w:rsid w:val="00A43442"/>
    <w:rsid w:val="00A43BF1"/>
    <w:rsid w:val="00A44689"/>
    <w:rsid w:val="00A449F0"/>
    <w:rsid w:val="00A44A41"/>
    <w:rsid w:val="00A456A8"/>
    <w:rsid w:val="00A45F71"/>
    <w:rsid w:val="00A45F7D"/>
    <w:rsid w:val="00A46722"/>
    <w:rsid w:val="00A46A0F"/>
    <w:rsid w:val="00A46FF9"/>
    <w:rsid w:val="00A5003F"/>
    <w:rsid w:val="00A5054F"/>
    <w:rsid w:val="00A50E1E"/>
    <w:rsid w:val="00A510D2"/>
    <w:rsid w:val="00A51141"/>
    <w:rsid w:val="00A51C69"/>
    <w:rsid w:val="00A51EA3"/>
    <w:rsid w:val="00A52D4B"/>
    <w:rsid w:val="00A5349B"/>
    <w:rsid w:val="00A54090"/>
    <w:rsid w:val="00A540E6"/>
    <w:rsid w:val="00A54567"/>
    <w:rsid w:val="00A54D2B"/>
    <w:rsid w:val="00A553A7"/>
    <w:rsid w:val="00A556E5"/>
    <w:rsid w:val="00A5653F"/>
    <w:rsid w:val="00A56A03"/>
    <w:rsid w:val="00A56B3D"/>
    <w:rsid w:val="00A600C3"/>
    <w:rsid w:val="00A604A5"/>
    <w:rsid w:val="00A612FC"/>
    <w:rsid w:val="00A61F9A"/>
    <w:rsid w:val="00A624D3"/>
    <w:rsid w:val="00A62C08"/>
    <w:rsid w:val="00A62CC7"/>
    <w:rsid w:val="00A62E42"/>
    <w:rsid w:val="00A6347E"/>
    <w:rsid w:val="00A63E37"/>
    <w:rsid w:val="00A64797"/>
    <w:rsid w:val="00A64AE7"/>
    <w:rsid w:val="00A650C4"/>
    <w:rsid w:val="00A651C2"/>
    <w:rsid w:val="00A651D4"/>
    <w:rsid w:val="00A65D6C"/>
    <w:rsid w:val="00A65FE6"/>
    <w:rsid w:val="00A66AF2"/>
    <w:rsid w:val="00A66D92"/>
    <w:rsid w:val="00A67352"/>
    <w:rsid w:val="00A6767D"/>
    <w:rsid w:val="00A67A1E"/>
    <w:rsid w:val="00A702F7"/>
    <w:rsid w:val="00A70353"/>
    <w:rsid w:val="00A70B24"/>
    <w:rsid w:val="00A71933"/>
    <w:rsid w:val="00A71C97"/>
    <w:rsid w:val="00A71F52"/>
    <w:rsid w:val="00A72123"/>
    <w:rsid w:val="00A72D9A"/>
    <w:rsid w:val="00A73AAD"/>
    <w:rsid w:val="00A73D6B"/>
    <w:rsid w:val="00A73F37"/>
    <w:rsid w:val="00A74450"/>
    <w:rsid w:val="00A76468"/>
    <w:rsid w:val="00A77FBA"/>
    <w:rsid w:val="00A80335"/>
    <w:rsid w:val="00A80373"/>
    <w:rsid w:val="00A810AB"/>
    <w:rsid w:val="00A81FB7"/>
    <w:rsid w:val="00A82B9F"/>
    <w:rsid w:val="00A82E1A"/>
    <w:rsid w:val="00A83B49"/>
    <w:rsid w:val="00A83BAF"/>
    <w:rsid w:val="00A83D18"/>
    <w:rsid w:val="00A849AB"/>
    <w:rsid w:val="00A85021"/>
    <w:rsid w:val="00A856E8"/>
    <w:rsid w:val="00A85BCE"/>
    <w:rsid w:val="00A868DE"/>
    <w:rsid w:val="00A86E31"/>
    <w:rsid w:val="00A87808"/>
    <w:rsid w:val="00A908D0"/>
    <w:rsid w:val="00A90AD1"/>
    <w:rsid w:val="00A91406"/>
    <w:rsid w:val="00A92223"/>
    <w:rsid w:val="00A939C1"/>
    <w:rsid w:val="00A939EF"/>
    <w:rsid w:val="00A9424E"/>
    <w:rsid w:val="00A94F63"/>
    <w:rsid w:val="00A95AF7"/>
    <w:rsid w:val="00A95BC4"/>
    <w:rsid w:val="00A96133"/>
    <w:rsid w:val="00A9683D"/>
    <w:rsid w:val="00A96F4F"/>
    <w:rsid w:val="00A97A04"/>
    <w:rsid w:val="00A97A97"/>
    <w:rsid w:val="00A97FD7"/>
    <w:rsid w:val="00AA004F"/>
    <w:rsid w:val="00AA135C"/>
    <w:rsid w:val="00AA1EF9"/>
    <w:rsid w:val="00AA3442"/>
    <w:rsid w:val="00AA34D3"/>
    <w:rsid w:val="00AA459C"/>
    <w:rsid w:val="00AA464B"/>
    <w:rsid w:val="00AA5D42"/>
    <w:rsid w:val="00AA5F1E"/>
    <w:rsid w:val="00AA658F"/>
    <w:rsid w:val="00AA679A"/>
    <w:rsid w:val="00AA6973"/>
    <w:rsid w:val="00AA6B04"/>
    <w:rsid w:val="00AA6B7F"/>
    <w:rsid w:val="00AB1140"/>
    <w:rsid w:val="00AB1506"/>
    <w:rsid w:val="00AB1640"/>
    <w:rsid w:val="00AB272A"/>
    <w:rsid w:val="00AB2819"/>
    <w:rsid w:val="00AB2B43"/>
    <w:rsid w:val="00AB367D"/>
    <w:rsid w:val="00AB3B15"/>
    <w:rsid w:val="00AB4540"/>
    <w:rsid w:val="00AB4719"/>
    <w:rsid w:val="00AB4B6A"/>
    <w:rsid w:val="00AB52F4"/>
    <w:rsid w:val="00AB6260"/>
    <w:rsid w:val="00AB6AD0"/>
    <w:rsid w:val="00AB75F2"/>
    <w:rsid w:val="00AB7A1E"/>
    <w:rsid w:val="00AC050E"/>
    <w:rsid w:val="00AC06E8"/>
    <w:rsid w:val="00AC0C74"/>
    <w:rsid w:val="00AC0FAE"/>
    <w:rsid w:val="00AC1820"/>
    <w:rsid w:val="00AC194B"/>
    <w:rsid w:val="00AC21C3"/>
    <w:rsid w:val="00AC21DD"/>
    <w:rsid w:val="00AC2EC1"/>
    <w:rsid w:val="00AC3D25"/>
    <w:rsid w:val="00AC40A3"/>
    <w:rsid w:val="00AC4C61"/>
    <w:rsid w:val="00AC5807"/>
    <w:rsid w:val="00AC5833"/>
    <w:rsid w:val="00AC595C"/>
    <w:rsid w:val="00AC65AD"/>
    <w:rsid w:val="00AC6D83"/>
    <w:rsid w:val="00AC7A50"/>
    <w:rsid w:val="00AD0135"/>
    <w:rsid w:val="00AD14FC"/>
    <w:rsid w:val="00AD1C06"/>
    <w:rsid w:val="00AD1D64"/>
    <w:rsid w:val="00AD1FFC"/>
    <w:rsid w:val="00AD2601"/>
    <w:rsid w:val="00AD27B7"/>
    <w:rsid w:val="00AD3617"/>
    <w:rsid w:val="00AD4374"/>
    <w:rsid w:val="00AD4502"/>
    <w:rsid w:val="00AD4873"/>
    <w:rsid w:val="00AD7CC0"/>
    <w:rsid w:val="00AE1618"/>
    <w:rsid w:val="00AE19DB"/>
    <w:rsid w:val="00AE1A05"/>
    <w:rsid w:val="00AE1F6F"/>
    <w:rsid w:val="00AE346E"/>
    <w:rsid w:val="00AE410D"/>
    <w:rsid w:val="00AE45F6"/>
    <w:rsid w:val="00AE4604"/>
    <w:rsid w:val="00AE4968"/>
    <w:rsid w:val="00AE5B71"/>
    <w:rsid w:val="00AE6695"/>
    <w:rsid w:val="00AE6A2F"/>
    <w:rsid w:val="00AF098D"/>
    <w:rsid w:val="00AF11A9"/>
    <w:rsid w:val="00AF138F"/>
    <w:rsid w:val="00AF1FDC"/>
    <w:rsid w:val="00AF2148"/>
    <w:rsid w:val="00AF23A3"/>
    <w:rsid w:val="00AF44FD"/>
    <w:rsid w:val="00AF4B41"/>
    <w:rsid w:val="00AF52A3"/>
    <w:rsid w:val="00AF6993"/>
    <w:rsid w:val="00AF69BC"/>
    <w:rsid w:val="00AF7386"/>
    <w:rsid w:val="00AF7786"/>
    <w:rsid w:val="00AF7881"/>
    <w:rsid w:val="00B00CF7"/>
    <w:rsid w:val="00B00DC2"/>
    <w:rsid w:val="00B01C1C"/>
    <w:rsid w:val="00B027CA"/>
    <w:rsid w:val="00B028D8"/>
    <w:rsid w:val="00B02B42"/>
    <w:rsid w:val="00B041CF"/>
    <w:rsid w:val="00B041FF"/>
    <w:rsid w:val="00B04339"/>
    <w:rsid w:val="00B04C0F"/>
    <w:rsid w:val="00B05544"/>
    <w:rsid w:val="00B05C7C"/>
    <w:rsid w:val="00B05CC4"/>
    <w:rsid w:val="00B0628E"/>
    <w:rsid w:val="00B0724D"/>
    <w:rsid w:val="00B07ADD"/>
    <w:rsid w:val="00B10489"/>
    <w:rsid w:val="00B1130E"/>
    <w:rsid w:val="00B11336"/>
    <w:rsid w:val="00B113EF"/>
    <w:rsid w:val="00B114F2"/>
    <w:rsid w:val="00B11706"/>
    <w:rsid w:val="00B11BB2"/>
    <w:rsid w:val="00B12792"/>
    <w:rsid w:val="00B12B40"/>
    <w:rsid w:val="00B13AC9"/>
    <w:rsid w:val="00B1412B"/>
    <w:rsid w:val="00B153C4"/>
    <w:rsid w:val="00B1568A"/>
    <w:rsid w:val="00B161AB"/>
    <w:rsid w:val="00B163B9"/>
    <w:rsid w:val="00B16881"/>
    <w:rsid w:val="00B16BB7"/>
    <w:rsid w:val="00B17238"/>
    <w:rsid w:val="00B2003B"/>
    <w:rsid w:val="00B214E4"/>
    <w:rsid w:val="00B2156F"/>
    <w:rsid w:val="00B217B7"/>
    <w:rsid w:val="00B2192D"/>
    <w:rsid w:val="00B2196D"/>
    <w:rsid w:val="00B22057"/>
    <w:rsid w:val="00B223A3"/>
    <w:rsid w:val="00B225AF"/>
    <w:rsid w:val="00B23136"/>
    <w:rsid w:val="00B257B5"/>
    <w:rsid w:val="00B261C1"/>
    <w:rsid w:val="00B26434"/>
    <w:rsid w:val="00B268BF"/>
    <w:rsid w:val="00B26CA2"/>
    <w:rsid w:val="00B270C4"/>
    <w:rsid w:val="00B2765E"/>
    <w:rsid w:val="00B27EE6"/>
    <w:rsid w:val="00B30500"/>
    <w:rsid w:val="00B30592"/>
    <w:rsid w:val="00B3061B"/>
    <w:rsid w:val="00B30905"/>
    <w:rsid w:val="00B310F8"/>
    <w:rsid w:val="00B3119D"/>
    <w:rsid w:val="00B31697"/>
    <w:rsid w:val="00B32435"/>
    <w:rsid w:val="00B32A2F"/>
    <w:rsid w:val="00B32B1B"/>
    <w:rsid w:val="00B33750"/>
    <w:rsid w:val="00B33D58"/>
    <w:rsid w:val="00B3419C"/>
    <w:rsid w:val="00B34B94"/>
    <w:rsid w:val="00B362BA"/>
    <w:rsid w:val="00B36F4E"/>
    <w:rsid w:val="00B37F10"/>
    <w:rsid w:val="00B401BC"/>
    <w:rsid w:val="00B4030F"/>
    <w:rsid w:val="00B404CC"/>
    <w:rsid w:val="00B4063E"/>
    <w:rsid w:val="00B40E0E"/>
    <w:rsid w:val="00B41669"/>
    <w:rsid w:val="00B41AB2"/>
    <w:rsid w:val="00B41D02"/>
    <w:rsid w:val="00B4232A"/>
    <w:rsid w:val="00B43442"/>
    <w:rsid w:val="00B442D5"/>
    <w:rsid w:val="00B44BC7"/>
    <w:rsid w:val="00B44F6C"/>
    <w:rsid w:val="00B45484"/>
    <w:rsid w:val="00B4594E"/>
    <w:rsid w:val="00B45E71"/>
    <w:rsid w:val="00B47F5D"/>
    <w:rsid w:val="00B5114D"/>
    <w:rsid w:val="00B516C7"/>
    <w:rsid w:val="00B5170E"/>
    <w:rsid w:val="00B51CF6"/>
    <w:rsid w:val="00B51DB9"/>
    <w:rsid w:val="00B52C06"/>
    <w:rsid w:val="00B541A0"/>
    <w:rsid w:val="00B56438"/>
    <w:rsid w:val="00B569D7"/>
    <w:rsid w:val="00B56A44"/>
    <w:rsid w:val="00B575CD"/>
    <w:rsid w:val="00B57704"/>
    <w:rsid w:val="00B61D56"/>
    <w:rsid w:val="00B61EBD"/>
    <w:rsid w:val="00B62479"/>
    <w:rsid w:val="00B62FB4"/>
    <w:rsid w:val="00B6349B"/>
    <w:rsid w:val="00B63B5C"/>
    <w:rsid w:val="00B63F04"/>
    <w:rsid w:val="00B649BA"/>
    <w:rsid w:val="00B64CB6"/>
    <w:rsid w:val="00B64DF8"/>
    <w:rsid w:val="00B66332"/>
    <w:rsid w:val="00B66E8B"/>
    <w:rsid w:val="00B67BAF"/>
    <w:rsid w:val="00B71012"/>
    <w:rsid w:val="00B710B7"/>
    <w:rsid w:val="00B711CC"/>
    <w:rsid w:val="00B714E2"/>
    <w:rsid w:val="00B7190C"/>
    <w:rsid w:val="00B71B55"/>
    <w:rsid w:val="00B71EB6"/>
    <w:rsid w:val="00B7238E"/>
    <w:rsid w:val="00B72458"/>
    <w:rsid w:val="00B732C1"/>
    <w:rsid w:val="00B736EA"/>
    <w:rsid w:val="00B73C17"/>
    <w:rsid w:val="00B740F5"/>
    <w:rsid w:val="00B74328"/>
    <w:rsid w:val="00B744F1"/>
    <w:rsid w:val="00B75242"/>
    <w:rsid w:val="00B75F07"/>
    <w:rsid w:val="00B75F5D"/>
    <w:rsid w:val="00B779C4"/>
    <w:rsid w:val="00B77D16"/>
    <w:rsid w:val="00B8035D"/>
    <w:rsid w:val="00B8088D"/>
    <w:rsid w:val="00B80B92"/>
    <w:rsid w:val="00B8120B"/>
    <w:rsid w:val="00B8124B"/>
    <w:rsid w:val="00B81C03"/>
    <w:rsid w:val="00B81C2E"/>
    <w:rsid w:val="00B81E14"/>
    <w:rsid w:val="00B822A1"/>
    <w:rsid w:val="00B82745"/>
    <w:rsid w:val="00B82CCB"/>
    <w:rsid w:val="00B848F9"/>
    <w:rsid w:val="00B853E6"/>
    <w:rsid w:val="00B854AD"/>
    <w:rsid w:val="00B854E5"/>
    <w:rsid w:val="00B8551D"/>
    <w:rsid w:val="00B85BEE"/>
    <w:rsid w:val="00B86346"/>
    <w:rsid w:val="00B86AD3"/>
    <w:rsid w:val="00B86BA3"/>
    <w:rsid w:val="00B86D15"/>
    <w:rsid w:val="00B86E3B"/>
    <w:rsid w:val="00B87263"/>
    <w:rsid w:val="00B87451"/>
    <w:rsid w:val="00B8750D"/>
    <w:rsid w:val="00B87A5F"/>
    <w:rsid w:val="00B87D0B"/>
    <w:rsid w:val="00B909C2"/>
    <w:rsid w:val="00B90BF6"/>
    <w:rsid w:val="00B91C95"/>
    <w:rsid w:val="00B922FB"/>
    <w:rsid w:val="00B928D4"/>
    <w:rsid w:val="00B93249"/>
    <w:rsid w:val="00B935F7"/>
    <w:rsid w:val="00B94447"/>
    <w:rsid w:val="00B948AA"/>
    <w:rsid w:val="00B950EB"/>
    <w:rsid w:val="00B951ED"/>
    <w:rsid w:val="00B953F0"/>
    <w:rsid w:val="00B95948"/>
    <w:rsid w:val="00B96122"/>
    <w:rsid w:val="00B96DF9"/>
    <w:rsid w:val="00B97A5E"/>
    <w:rsid w:val="00BA28EF"/>
    <w:rsid w:val="00BA3216"/>
    <w:rsid w:val="00BA32FA"/>
    <w:rsid w:val="00BA356D"/>
    <w:rsid w:val="00BA3B6D"/>
    <w:rsid w:val="00BA3BAD"/>
    <w:rsid w:val="00BA425B"/>
    <w:rsid w:val="00BA4A7B"/>
    <w:rsid w:val="00BA6358"/>
    <w:rsid w:val="00BA67B0"/>
    <w:rsid w:val="00BA6CF3"/>
    <w:rsid w:val="00BA6D32"/>
    <w:rsid w:val="00BA6FE7"/>
    <w:rsid w:val="00BA7510"/>
    <w:rsid w:val="00BA79D9"/>
    <w:rsid w:val="00BA7CD1"/>
    <w:rsid w:val="00BB08D8"/>
    <w:rsid w:val="00BB0BAC"/>
    <w:rsid w:val="00BB0FD7"/>
    <w:rsid w:val="00BB2BDC"/>
    <w:rsid w:val="00BB3E58"/>
    <w:rsid w:val="00BB407A"/>
    <w:rsid w:val="00BB4A9E"/>
    <w:rsid w:val="00BB58AF"/>
    <w:rsid w:val="00BB600E"/>
    <w:rsid w:val="00BB6625"/>
    <w:rsid w:val="00BB6A31"/>
    <w:rsid w:val="00BB6B6F"/>
    <w:rsid w:val="00BB7CA6"/>
    <w:rsid w:val="00BC062B"/>
    <w:rsid w:val="00BC06CE"/>
    <w:rsid w:val="00BC0C3D"/>
    <w:rsid w:val="00BC0C9C"/>
    <w:rsid w:val="00BC0E73"/>
    <w:rsid w:val="00BC137D"/>
    <w:rsid w:val="00BC179C"/>
    <w:rsid w:val="00BC187D"/>
    <w:rsid w:val="00BC1C44"/>
    <w:rsid w:val="00BC1CEC"/>
    <w:rsid w:val="00BC34E2"/>
    <w:rsid w:val="00BC3C18"/>
    <w:rsid w:val="00BC3C52"/>
    <w:rsid w:val="00BC57BD"/>
    <w:rsid w:val="00BC6377"/>
    <w:rsid w:val="00BC6F2D"/>
    <w:rsid w:val="00BD034A"/>
    <w:rsid w:val="00BD074D"/>
    <w:rsid w:val="00BD0C21"/>
    <w:rsid w:val="00BD2379"/>
    <w:rsid w:val="00BD2969"/>
    <w:rsid w:val="00BD2EBC"/>
    <w:rsid w:val="00BD3305"/>
    <w:rsid w:val="00BD34BD"/>
    <w:rsid w:val="00BD43F9"/>
    <w:rsid w:val="00BD4835"/>
    <w:rsid w:val="00BD52DD"/>
    <w:rsid w:val="00BD6953"/>
    <w:rsid w:val="00BD6AB7"/>
    <w:rsid w:val="00BD759C"/>
    <w:rsid w:val="00BD75F1"/>
    <w:rsid w:val="00BD77B2"/>
    <w:rsid w:val="00BD786B"/>
    <w:rsid w:val="00BD7BA9"/>
    <w:rsid w:val="00BD7C09"/>
    <w:rsid w:val="00BE05AE"/>
    <w:rsid w:val="00BE0F2E"/>
    <w:rsid w:val="00BE1D14"/>
    <w:rsid w:val="00BE220D"/>
    <w:rsid w:val="00BE25FE"/>
    <w:rsid w:val="00BE279B"/>
    <w:rsid w:val="00BE345F"/>
    <w:rsid w:val="00BE3DE9"/>
    <w:rsid w:val="00BE4A83"/>
    <w:rsid w:val="00BE4E3E"/>
    <w:rsid w:val="00BE4FEB"/>
    <w:rsid w:val="00BE5491"/>
    <w:rsid w:val="00BE561B"/>
    <w:rsid w:val="00BE596D"/>
    <w:rsid w:val="00BE5D64"/>
    <w:rsid w:val="00BE5EBB"/>
    <w:rsid w:val="00BF102A"/>
    <w:rsid w:val="00BF164F"/>
    <w:rsid w:val="00BF17F8"/>
    <w:rsid w:val="00BF1A84"/>
    <w:rsid w:val="00BF1F7C"/>
    <w:rsid w:val="00BF2494"/>
    <w:rsid w:val="00BF30F0"/>
    <w:rsid w:val="00BF37F3"/>
    <w:rsid w:val="00BF3F7D"/>
    <w:rsid w:val="00BF3FBD"/>
    <w:rsid w:val="00BF4517"/>
    <w:rsid w:val="00BF4C93"/>
    <w:rsid w:val="00BF53F4"/>
    <w:rsid w:val="00BF60C1"/>
    <w:rsid w:val="00BF69D3"/>
    <w:rsid w:val="00BF6A0F"/>
    <w:rsid w:val="00BF7B07"/>
    <w:rsid w:val="00C002ED"/>
    <w:rsid w:val="00C005F7"/>
    <w:rsid w:val="00C00CF7"/>
    <w:rsid w:val="00C010DE"/>
    <w:rsid w:val="00C018BB"/>
    <w:rsid w:val="00C0234F"/>
    <w:rsid w:val="00C02C4A"/>
    <w:rsid w:val="00C03069"/>
    <w:rsid w:val="00C031A9"/>
    <w:rsid w:val="00C03581"/>
    <w:rsid w:val="00C03AD0"/>
    <w:rsid w:val="00C03EC5"/>
    <w:rsid w:val="00C04DCB"/>
    <w:rsid w:val="00C0560B"/>
    <w:rsid w:val="00C058C3"/>
    <w:rsid w:val="00C05C40"/>
    <w:rsid w:val="00C05C5A"/>
    <w:rsid w:val="00C05D09"/>
    <w:rsid w:val="00C05D6C"/>
    <w:rsid w:val="00C075CA"/>
    <w:rsid w:val="00C077A9"/>
    <w:rsid w:val="00C07D49"/>
    <w:rsid w:val="00C104FE"/>
    <w:rsid w:val="00C10660"/>
    <w:rsid w:val="00C1084D"/>
    <w:rsid w:val="00C10A0A"/>
    <w:rsid w:val="00C10DF0"/>
    <w:rsid w:val="00C12B0E"/>
    <w:rsid w:val="00C1358B"/>
    <w:rsid w:val="00C136B2"/>
    <w:rsid w:val="00C144DC"/>
    <w:rsid w:val="00C1451D"/>
    <w:rsid w:val="00C14780"/>
    <w:rsid w:val="00C14C8F"/>
    <w:rsid w:val="00C14DA5"/>
    <w:rsid w:val="00C15679"/>
    <w:rsid w:val="00C16175"/>
    <w:rsid w:val="00C174C9"/>
    <w:rsid w:val="00C177EF"/>
    <w:rsid w:val="00C17C7C"/>
    <w:rsid w:val="00C201C3"/>
    <w:rsid w:val="00C2081A"/>
    <w:rsid w:val="00C208AD"/>
    <w:rsid w:val="00C20F7C"/>
    <w:rsid w:val="00C21056"/>
    <w:rsid w:val="00C21383"/>
    <w:rsid w:val="00C21786"/>
    <w:rsid w:val="00C230C3"/>
    <w:rsid w:val="00C23E95"/>
    <w:rsid w:val="00C260ED"/>
    <w:rsid w:val="00C2656A"/>
    <w:rsid w:val="00C26920"/>
    <w:rsid w:val="00C26F53"/>
    <w:rsid w:val="00C270EA"/>
    <w:rsid w:val="00C27B69"/>
    <w:rsid w:val="00C30551"/>
    <w:rsid w:val="00C3098B"/>
    <w:rsid w:val="00C312CF"/>
    <w:rsid w:val="00C3215C"/>
    <w:rsid w:val="00C328C1"/>
    <w:rsid w:val="00C32938"/>
    <w:rsid w:val="00C33352"/>
    <w:rsid w:val="00C33610"/>
    <w:rsid w:val="00C33BE6"/>
    <w:rsid w:val="00C33E8C"/>
    <w:rsid w:val="00C34525"/>
    <w:rsid w:val="00C34552"/>
    <w:rsid w:val="00C357C9"/>
    <w:rsid w:val="00C35ED8"/>
    <w:rsid w:val="00C3620B"/>
    <w:rsid w:val="00C36AE4"/>
    <w:rsid w:val="00C372B5"/>
    <w:rsid w:val="00C379C2"/>
    <w:rsid w:val="00C37BF0"/>
    <w:rsid w:val="00C40BB2"/>
    <w:rsid w:val="00C40C43"/>
    <w:rsid w:val="00C40F6F"/>
    <w:rsid w:val="00C413F3"/>
    <w:rsid w:val="00C429D1"/>
    <w:rsid w:val="00C44497"/>
    <w:rsid w:val="00C44580"/>
    <w:rsid w:val="00C45690"/>
    <w:rsid w:val="00C45F27"/>
    <w:rsid w:val="00C46ECF"/>
    <w:rsid w:val="00C47B08"/>
    <w:rsid w:val="00C47EA5"/>
    <w:rsid w:val="00C50BF9"/>
    <w:rsid w:val="00C5170D"/>
    <w:rsid w:val="00C51DAA"/>
    <w:rsid w:val="00C52658"/>
    <w:rsid w:val="00C528E3"/>
    <w:rsid w:val="00C52D45"/>
    <w:rsid w:val="00C53A1D"/>
    <w:rsid w:val="00C53E6A"/>
    <w:rsid w:val="00C54850"/>
    <w:rsid w:val="00C54B8E"/>
    <w:rsid w:val="00C5512A"/>
    <w:rsid w:val="00C55570"/>
    <w:rsid w:val="00C55C7C"/>
    <w:rsid w:val="00C55D37"/>
    <w:rsid w:val="00C561D9"/>
    <w:rsid w:val="00C5733B"/>
    <w:rsid w:val="00C57798"/>
    <w:rsid w:val="00C600E3"/>
    <w:rsid w:val="00C60FA3"/>
    <w:rsid w:val="00C61283"/>
    <w:rsid w:val="00C61AF3"/>
    <w:rsid w:val="00C61DA6"/>
    <w:rsid w:val="00C6262C"/>
    <w:rsid w:val="00C62643"/>
    <w:rsid w:val="00C645F2"/>
    <w:rsid w:val="00C6525C"/>
    <w:rsid w:val="00C6575B"/>
    <w:rsid w:val="00C66682"/>
    <w:rsid w:val="00C669A2"/>
    <w:rsid w:val="00C66A06"/>
    <w:rsid w:val="00C66D6A"/>
    <w:rsid w:val="00C66DD5"/>
    <w:rsid w:val="00C671F2"/>
    <w:rsid w:val="00C6723F"/>
    <w:rsid w:val="00C67B3B"/>
    <w:rsid w:val="00C71215"/>
    <w:rsid w:val="00C7151E"/>
    <w:rsid w:val="00C718A1"/>
    <w:rsid w:val="00C72295"/>
    <w:rsid w:val="00C735EB"/>
    <w:rsid w:val="00C73CF1"/>
    <w:rsid w:val="00C74651"/>
    <w:rsid w:val="00C7534E"/>
    <w:rsid w:val="00C755C9"/>
    <w:rsid w:val="00C756F4"/>
    <w:rsid w:val="00C75848"/>
    <w:rsid w:val="00C771AB"/>
    <w:rsid w:val="00C7737F"/>
    <w:rsid w:val="00C77776"/>
    <w:rsid w:val="00C77792"/>
    <w:rsid w:val="00C77A60"/>
    <w:rsid w:val="00C80638"/>
    <w:rsid w:val="00C809F0"/>
    <w:rsid w:val="00C80C1D"/>
    <w:rsid w:val="00C81769"/>
    <w:rsid w:val="00C824B0"/>
    <w:rsid w:val="00C82791"/>
    <w:rsid w:val="00C83F81"/>
    <w:rsid w:val="00C85027"/>
    <w:rsid w:val="00C8612B"/>
    <w:rsid w:val="00C911A3"/>
    <w:rsid w:val="00C91C52"/>
    <w:rsid w:val="00C923B6"/>
    <w:rsid w:val="00C932AB"/>
    <w:rsid w:val="00C93A69"/>
    <w:rsid w:val="00C94753"/>
    <w:rsid w:val="00C9546A"/>
    <w:rsid w:val="00C954E7"/>
    <w:rsid w:val="00C95840"/>
    <w:rsid w:val="00C97109"/>
    <w:rsid w:val="00C9790E"/>
    <w:rsid w:val="00CA003F"/>
    <w:rsid w:val="00CA1B04"/>
    <w:rsid w:val="00CA2733"/>
    <w:rsid w:val="00CA3B30"/>
    <w:rsid w:val="00CA3DC1"/>
    <w:rsid w:val="00CA4EF2"/>
    <w:rsid w:val="00CA699C"/>
    <w:rsid w:val="00CA6A31"/>
    <w:rsid w:val="00CA7142"/>
    <w:rsid w:val="00CA7278"/>
    <w:rsid w:val="00CA72AB"/>
    <w:rsid w:val="00CA7532"/>
    <w:rsid w:val="00CA76F4"/>
    <w:rsid w:val="00CB0EAA"/>
    <w:rsid w:val="00CB2DE3"/>
    <w:rsid w:val="00CB3909"/>
    <w:rsid w:val="00CB441B"/>
    <w:rsid w:val="00CB471C"/>
    <w:rsid w:val="00CB4B08"/>
    <w:rsid w:val="00CB510E"/>
    <w:rsid w:val="00CB6202"/>
    <w:rsid w:val="00CB73F4"/>
    <w:rsid w:val="00CB7E28"/>
    <w:rsid w:val="00CB7FF8"/>
    <w:rsid w:val="00CC0004"/>
    <w:rsid w:val="00CC0EB2"/>
    <w:rsid w:val="00CC2879"/>
    <w:rsid w:val="00CC311D"/>
    <w:rsid w:val="00CC3647"/>
    <w:rsid w:val="00CC3CD2"/>
    <w:rsid w:val="00CC43DE"/>
    <w:rsid w:val="00CC50BF"/>
    <w:rsid w:val="00CC5C00"/>
    <w:rsid w:val="00CC7316"/>
    <w:rsid w:val="00CC760E"/>
    <w:rsid w:val="00CC7A2C"/>
    <w:rsid w:val="00CC7B47"/>
    <w:rsid w:val="00CC7E85"/>
    <w:rsid w:val="00CD2079"/>
    <w:rsid w:val="00CD2605"/>
    <w:rsid w:val="00CD3BFB"/>
    <w:rsid w:val="00CD477B"/>
    <w:rsid w:val="00CD4EC7"/>
    <w:rsid w:val="00CD687F"/>
    <w:rsid w:val="00CD7CBD"/>
    <w:rsid w:val="00CD7D6B"/>
    <w:rsid w:val="00CE02B0"/>
    <w:rsid w:val="00CE08BA"/>
    <w:rsid w:val="00CE1232"/>
    <w:rsid w:val="00CE15F1"/>
    <w:rsid w:val="00CE1B4E"/>
    <w:rsid w:val="00CE1B72"/>
    <w:rsid w:val="00CE1EDD"/>
    <w:rsid w:val="00CE228A"/>
    <w:rsid w:val="00CE2D82"/>
    <w:rsid w:val="00CE3C55"/>
    <w:rsid w:val="00CE5880"/>
    <w:rsid w:val="00CE5D50"/>
    <w:rsid w:val="00CE654A"/>
    <w:rsid w:val="00CE7433"/>
    <w:rsid w:val="00CE7B7A"/>
    <w:rsid w:val="00CF0983"/>
    <w:rsid w:val="00CF158E"/>
    <w:rsid w:val="00CF19DF"/>
    <w:rsid w:val="00CF1A7F"/>
    <w:rsid w:val="00CF1B54"/>
    <w:rsid w:val="00CF1C8B"/>
    <w:rsid w:val="00CF338D"/>
    <w:rsid w:val="00CF457B"/>
    <w:rsid w:val="00CF49C0"/>
    <w:rsid w:val="00CF4A7D"/>
    <w:rsid w:val="00CF4BA0"/>
    <w:rsid w:val="00CF51B3"/>
    <w:rsid w:val="00CF52F3"/>
    <w:rsid w:val="00CF550C"/>
    <w:rsid w:val="00CF582C"/>
    <w:rsid w:val="00CF5CA7"/>
    <w:rsid w:val="00CF5F97"/>
    <w:rsid w:val="00CF6256"/>
    <w:rsid w:val="00CF78D3"/>
    <w:rsid w:val="00CF7C76"/>
    <w:rsid w:val="00CF7E95"/>
    <w:rsid w:val="00CF7F2F"/>
    <w:rsid w:val="00CF7F4C"/>
    <w:rsid w:val="00CF7F7A"/>
    <w:rsid w:val="00D00674"/>
    <w:rsid w:val="00D00B28"/>
    <w:rsid w:val="00D00F9C"/>
    <w:rsid w:val="00D012F1"/>
    <w:rsid w:val="00D018E0"/>
    <w:rsid w:val="00D01A43"/>
    <w:rsid w:val="00D01B57"/>
    <w:rsid w:val="00D01C00"/>
    <w:rsid w:val="00D01F6C"/>
    <w:rsid w:val="00D029DA"/>
    <w:rsid w:val="00D02F88"/>
    <w:rsid w:val="00D033F4"/>
    <w:rsid w:val="00D038F7"/>
    <w:rsid w:val="00D03C60"/>
    <w:rsid w:val="00D042CF"/>
    <w:rsid w:val="00D0460F"/>
    <w:rsid w:val="00D05CE4"/>
    <w:rsid w:val="00D062AF"/>
    <w:rsid w:val="00D06490"/>
    <w:rsid w:val="00D06744"/>
    <w:rsid w:val="00D06FF7"/>
    <w:rsid w:val="00D07C6B"/>
    <w:rsid w:val="00D106C0"/>
    <w:rsid w:val="00D11296"/>
    <w:rsid w:val="00D12488"/>
    <w:rsid w:val="00D13FDE"/>
    <w:rsid w:val="00D140D9"/>
    <w:rsid w:val="00D14950"/>
    <w:rsid w:val="00D14A57"/>
    <w:rsid w:val="00D1530E"/>
    <w:rsid w:val="00D15F99"/>
    <w:rsid w:val="00D175C6"/>
    <w:rsid w:val="00D17776"/>
    <w:rsid w:val="00D1781D"/>
    <w:rsid w:val="00D17A5D"/>
    <w:rsid w:val="00D20594"/>
    <w:rsid w:val="00D21319"/>
    <w:rsid w:val="00D21322"/>
    <w:rsid w:val="00D2186E"/>
    <w:rsid w:val="00D226F8"/>
    <w:rsid w:val="00D22DA6"/>
    <w:rsid w:val="00D230DF"/>
    <w:rsid w:val="00D23945"/>
    <w:rsid w:val="00D23C55"/>
    <w:rsid w:val="00D245A1"/>
    <w:rsid w:val="00D25957"/>
    <w:rsid w:val="00D25F0E"/>
    <w:rsid w:val="00D25F14"/>
    <w:rsid w:val="00D2611D"/>
    <w:rsid w:val="00D26EFC"/>
    <w:rsid w:val="00D27A83"/>
    <w:rsid w:val="00D300E6"/>
    <w:rsid w:val="00D30E1F"/>
    <w:rsid w:val="00D30EA9"/>
    <w:rsid w:val="00D312DD"/>
    <w:rsid w:val="00D31500"/>
    <w:rsid w:val="00D3154D"/>
    <w:rsid w:val="00D31980"/>
    <w:rsid w:val="00D31DED"/>
    <w:rsid w:val="00D31EA4"/>
    <w:rsid w:val="00D323E7"/>
    <w:rsid w:val="00D3287C"/>
    <w:rsid w:val="00D328AD"/>
    <w:rsid w:val="00D32CF5"/>
    <w:rsid w:val="00D32DC6"/>
    <w:rsid w:val="00D3308E"/>
    <w:rsid w:val="00D33A58"/>
    <w:rsid w:val="00D3477A"/>
    <w:rsid w:val="00D3487D"/>
    <w:rsid w:val="00D34DB2"/>
    <w:rsid w:val="00D34EF6"/>
    <w:rsid w:val="00D359D2"/>
    <w:rsid w:val="00D3676F"/>
    <w:rsid w:val="00D36E3E"/>
    <w:rsid w:val="00D3739F"/>
    <w:rsid w:val="00D37E87"/>
    <w:rsid w:val="00D4183D"/>
    <w:rsid w:val="00D41C3A"/>
    <w:rsid w:val="00D42065"/>
    <w:rsid w:val="00D42730"/>
    <w:rsid w:val="00D43095"/>
    <w:rsid w:val="00D4313D"/>
    <w:rsid w:val="00D43803"/>
    <w:rsid w:val="00D43BE8"/>
    <w:rsid w:val="00D44ADA"/>
    <w:rsid w:val="00D44E2E"/>
    <w:rsid w:val="00D4532D"/>
    <w:rsid w:val="00D45518"/>
    <w:rsid w:val="00D458BF"/>
    <w:rsid w:val="00D45C86"/>
    <w:rsid w:val="00D46C2D"/>
    <w:rsid w:val="00D47509"/>
    <w:rsid w:val="00D47840"/>
    <w:rsid w:val="00D5106F"/>
    <w:rsid w:val="00D51BEA"/>
    <w:rsid w:val="00D51D4A"/>
    <w:rsid w:val="00D52515"/>
    <w:rsid w:val="00D52705"/>
    <w:rsid w:val="00D53B4F"/>
    <w:rsid w:val="00D53FCD"/>
    <w:rsid w:val="00D54688"/>
    <w:rsid w:val="00D54D51"/>
    <w:rsid w:val="00D5503C"/>
    <w:rsid w:val="00D550F3"/>
    <w:rsid w:val="00D55221"/>
    <w:rsid w:val="00D55548"/>
    <w:rsid w:val="00D55DD7"/>
    <w:rsid w:val="00D5622B"/>
    <w:rsid w:val="00D56736"/>
    <w:rsid w:val="00D56E7F"/>
    <w:rsid w:val="00D56FF7"/>
    <w:rsid w:val="00D605F2"/>
    <w:rsid w:val="00D60C5A"/>
    <w:rsid w:val="00D60EC2"/>
    <w:rsid w:val="00D614EC"/>
    <w:rsid w:val="00D61892"/>
    <w:rsid w:val="00D62199"/>
    <w:rsid w:val="00D6227C"/>
    <w:rsid w:val="00D635F3"/>
    <w:rsid w:val="00D639EA"/>
    <w:rsid w:val="00D63AAD"/>
    <w:rsid w:val="00D64E40"/>
    <w:rsid w:val="00D64F1E"/>
    <w:rsid w:val="00D655EA"/>
    <w:rsid w:val="00D659B1"/>
    <w:rsid w:val="00D66284"/>
    <w:rsid w:val="00D66767"/>
    <w:rsid w:val="00D66893"/>
    <w:rsid w:val="00D66ACF"/>
    <w:rsid w:val="00D66AEB"/>
    <w:rsid w:val="00D675FE"/>
    <w:rsid w:val="00D676E2"/>
    <w:rsid w:val="00D678D0"/>
    <w:rsid w:val="00D67C70"/>
    <w:rsid w:val="00D70080"/>
    <w:rsid w:val="00D700D5"/>
    <w:rsid w:val="00D70279"/>
    <w:rsid w:val="00D709F7"/>
    <w:rsid w:val="00D70DA7"/>
    <w:rsid w:val="00D714A5"/>
    <w:rsid w:val="00D7279E"/>
    <w:rsid w:val="00D72E8F"/>
    <w:rsid w:val="00D73548"/>
    <w:rsid w:val="00D739F2"/>
    <w:rsid w:val="00D73EA7"/>
    <w:rsid w:val="00D7410E"/>
    <w:rsid w:val="00D7468D"/>
    <w:rsid w:val="00D75387"/>
    <w:rsid w:val="00D762DF"/>
    <w:rsid w:val="00D77364"/>
    <w:rsid w:val="00D77774"/>
    <w:rsid w:val="00D77941"/>
    <w:rsid w:val="00D77B62"/>
    <w:rsid w:val="00D77B8F"/>
    <w:rsid w:val="00D77D81"/>
    <w:rsid w:val="00D80551"/>
    <w:rsid w:val="00D80AC9"/>
    <w:rsid w:val="00D81343"/>
    <w:rsid w:val="00D8135D"/>
    <w:rsid w:val="00D81612"/>
    <w:rsid w:val="00D81634"/>
    <w:rsid w:val="00D818D4"/>
    <w:rsid w:val="00D81D51"/>
    <w:rsid w:val="00D82F31"/>
    <w:rsid w:val="00D8323F"/>
    <w:rsid w:val="00D83C2C"/>
    <w:rsid w:val="00D849F4"/>
    <w:rsid w:val="00D85B0F"/>
    <w:rsid w:val="00D8654D"/>
    <w:rsid w:val="00D86666"/>
    <w:rsid w:val="00D86B6B"/>
    <w:rsid w:val="00D86FE9"/>
    <w:rsid w:val="00D876D5"/>
    <w:rsid w:val="00D87AAD"/>
    <w:rsid w:val="00D90B98"/>
    <w:rsid w:val="00D90F52"/>
    <w:rsid w:val="00D91777"/>
    <w:rsid w:val="00D91AE0"/>
    <w:rsid w:val="00D92402"/>
    <w:rsid w:val="00D9244F"/>
    <w:rsid w:val="00D92984"/>
    <w:rsid w:val="00D9363C"/>
    <w:rsid w:val="00D93948"/>
    <w:rsid w:val="00D93AA7"/>
    <w:rsid w:val="00D93CA8"/>
    <w:rsid w:val="00D943D6"/>
    <w:rsid w:val="00D9479B"/>
    <w:rsid w:val="00D9529F"/>
    <w:rsid w:val="00D9549C"/>
    <w:rsid w:val="00D956F0"/>
    <w:rsid w:val="00D963BF"/>
    <w:rsid w:val="00D963FF"/>
    <w:rsid w:val="00DA0EC0"/>
    <w:rsid w:val="00DA1A54"/>
    <w:rsid w:val="00DA2122"/>
    <w:rsid w:val="00DA2589"/>
    <w:rsid w:val="00DA2FB9"/>
    <w:rsid w:val="00DA319B"/>
    <w:rsid w:val="00DA34E3"/>
    <w:rsid w:val="00DA3EC8"/>
    <w:rsid w:val="00DA65FD"/>
    <w:rsid w:val="00DA72A3"/>
    <w:rsid w:val="00DA79E5"/>
    <w:rsid w:val="00DB04AC"/>
    <w:rsid w:val="00DB0DE8"/>
    <w:rsid w:val="00DB13E1"/>
    <w:rsid w:val="00DB199D"/>
    <w:rsid w:val="00DB5D3D"/>
    <w:rsid w:val="00DB5E62"/>
    <w:rsid w:val="00DB5F85"/>
    <w:rsid w:val="00DB791F"/>
    <w:rsid w:val="00DC06EA"/>
    <w:rsid w:val="00DC1202"/>
    <w:rsid w:val="00DC23B1"/>
    <w:rsid w:val="00DC290A"/>
    <w:rsid w:val="00DC2A6C"/>
    <w:rsid w:val="00DC3F3B"/>
    <w:rsid w:val="00DC6E6F"/>
    <w:rsid w:val="00DD007C"/>
    <w:rsid w:val="00DD1A12"/>
    <w:rsid w:val="00DD1A4A"/>
    <w:rsid w:val="00DD1C46"/>
    <w:rsid w:val="00DD1F8F"/>
    <w:rsid w:val="00DD3001"/>
    <w:rsid w:val="00DD52B1"/>
    <w:rsid w:val="00DD6602"/>
    <w:rsid w:val="00DD6724"/>
    <w:rsid w:val="00DE212A"/>
    <w:rsid w:val="00DE267B"/>
    <w:rsid w:val="00DE2818"/>
    <w:rsid w:val="00DE32B4"/>
    <w:rsid w:val="00DE361B"/>
    <w:rsid w:val="00DE376A"/>
    <w:rsid w:val="00DE3D1D"/>
    <w:rsid w:val="00DE5146"/>
    <w:rsid w:val="00DE64C4"/>
    <w:rsid w:val="00DE6E3A"/>
    <w:rsid w:val="00DE703B"/>
    <w:rsid w:val="00DF02F2"/>
    <w:rsid w:val="00DF03F0"/>
    <w:rsid w:val="00DF2612"/>
    <w:rsid w:val="00DF2EB7"/>
    <w:rsid w:val="00DF32FA"/>
    <w:rsid w:val="00DF3355"/>
    <w:rsid w:val="00DF3544"/>
    <w:rsid w:val="00DF385E"/>
    <w:rsid w:val="00DF39FB"/>
    <w:rsid w:val="00DF4AC5"/>
    <w:rsid w:val="00DF50CC"/>
    <w:rsid w:val="00DF681C"/>
    <w:rsid w:val="00DF70EF"/>
    <w:rsid w:val="00DF7787"/>
    <w:rsid w:val="00E00297"/>
    <w:rsid w:val="00E008B3"/>
    <w:rsid w:val="00E00A4C"/>
    <w:rsid w:val="00E00A73"/>
    <w:rsid w:val="00E012E6"/>
    <w:rsid w:val="00E01736"/>
    <w:rsid w:val="00E02769"/>
    <w:rsid w:val="00E02C94"/>
    <w:rsid w:val="00E0337F"/>
    <w:rsid w:val="00E0406B"/>
    <w:rsid w:val="00E048BC"/>
    <w:rsid w:val="00E049E7"/>
    <w:rsid w:val="00E05038"/>
    <w:rsid w:val="00E052A6"/>
    <w:rsid w:val="00E06119"/>
    <w:rsid w:val="00E0679E"/>
    <w:rsid w:val="00E068CD"/>
    <w:rsid w:val="00E06A32"/>
    <w:rsid w:val="00E07D5A"/>
    <w:rsid w:val="00E07D7E"/>
    <w:rsid w:val="00E107ED"/>
    <w:rsid w:val="00E1150D"/>
    <w:rsid w:val="00E11596"/>
    <w:rsid w:val="00E11CB6"/>
    <w:rsid w:val="00E11DA4"/>
    <w:rsid w:val="00E12456"/>
    <w:rsid w:val="00E126CF"/>
    <w:rsid w:val="00E12DE3"/>
    <w:rsid w:val="00E13D1C"/>
    <w:rsid w:val="00E1461F"/>
    <w:rsid w:val="00E147FC"/>
    <w:rsid w:val="00E15863"/>
    <w:rsid w:val="00E159FC"/>
    <w:rsid w:val="00E164FE"/>
    <w:rsid w:val="00E17B74"/>
    <w:rsid w:val="00E20C12"/>
    <w:rsid w:val="00E20CC0"/>
    <w:rsid w:val="00E227DB"/>
    <w:rsid w:val="00E22AEF"/>
    <w:rsid w:val="00E24520"/>
    <w:rsid w:val="00E2690F"/>
    <w:rsid w:val="00E26CC4"/>
    <w:rsid w:val="00E2740F"/>
    <w:rsid w:val="00E277CC"/>
    <w:rsid w:val="00E277F9"/>
    <w:rsid w:val="00E304D8"/>
    <w:rsid w:val="00E3063E"/>
    <w:rsid w:val="00E3075A"/>
    <w:rsid w:val="00E3194F"/>
    <w:rsid w:val="00E3207B"/>
    <w:rsid w:val="00E32717"/>
    <w:rsid w:val="00E32BA5"/>
    <w:rsid w:val="00E33832"/>
    <w:rsid w:val="00E3521D"/>
    <w:rsid w:val="00E35D59"/>
    <w:rsid w:val="00E374B2"/>
    <w:rsid w:val="00E40895"/>
    <w:rsid w:val="00E40D49"/>
    <w:rsid w:val="00E41A08"/>
    <w:rsid w:val="00E42F89"/>
    <w:rsid w:val="00E4320F"/>
    <w:rsid w:val="00E433F5"/>
    <w:rsid w:val="00E4380A"/>
    <w:rsid w:val="00E43D6E"/>
    <w:rsid w:val="00E43E51"/>
    <w:rsid w:val="00E442D9"/>
    <w:rsid w:val="00E4559F"/>
    <w:rsid w:val="00E456F5"/>
    <w:rsid w:val="00E460DA"/>
    <w:rsid w:val="00E46295"/>
    <w:rsid w:val="00E46BDD"/>
    <w:rsid w:val="00E47EED"/>
    <w:rsid w:val="00E5049E"/>
    <w:rsid w:val="00E515C7"/>
    <w:rsid w:val="00E5190A"/>
    <w:rsid w:val="00E527B5"/>
    <w:rsid w:val="00E53BA7"/>
    <w:rsid w:val="00E53CF4"/>
    <w:rsid w:val="00E53EF8"/>
    <w:rsid w:val="00E54779"/>
    <w:rsid w:val="00E54FB7"/>
    <w:rsid w:val="00E56312"/>
    <w:rsid w:val="00E56B92"/>
    <w:rsid w:val="00E56E28"/>
    <w:rsid w:val="00E57FED"/>
    <w:rsid w:val="00E60391"/>
    <w:rsid w:val="00E60806"/>
    <w:rsid w:val="00E619C2"/>
    <w:rsid w:val="00E62310"/>
    <w:rsid w:val="00E62F25"/>
    <w:rsid w:val="00E6323B"/>
    <w:rsid w:val="00E64C4E"/>
    <w:rsid w:val="00E64CA9"/>
    <w:rsid w:val="00E64DEC"/>
    <w:rsid w:val="00E65288"/>
    <w:rsid w:val="00E652C2"/>
    <w:rsid w:val="00E66BD9"/>
    <w:rsid w:val="00E67593"/>
    <w:rsid w:val="00E6793A"/>
    <w:rsid w:val="00E67CA3"/>
    <w:rsid w:val="00E70549"/>
    <w:rsid w:val="00E71187"/>
    <w:rsid w:val="00E7159F"/>
    <w:rsid w:val="00E716DD"/>
    <w:rsid w:val="00E71D2C"/>
    <w:rsid w:val="00E72AD1"/>
    <w:rsid w:val="00E735E6"/>
    <w:rsid w:val="00E73ED8"/>
    <w:rsid w:val="00E744C7"/>
    <w:rsid w:val="00E74613"/>
    <w:rsid w:val="00E74B8A"/>
    <w:rsid w:val="00E75836"/>
    <w:rsid w:val="00E75E74"/>
    <w:rsid w:val="00E76815"/>
    <w:rsid w:val="00E76DD8"/>
    <w:rsid w:val="00E77B26"/>
    <w:rsid w:val="00E80379"/>
    <w:rsid w:val="00E80E34"/>
    <w:rsid w:val="00E81A95"/>
    <w:rsid w:val="00E81AC8"/>
    <w:rsid w:val="00E81BE8"/>
    <w:rsid w:val="00E83A34"/>
    <w:rsid w:val="00E83D63"/>
    <w:rsid w:val="00E84CBC"/>
    <w:rsid w:val="00E8529A"/>
    <w:rsid w:val="00E856ED"/>
    <w:rsid w:val="00E85CCA"/>
    <w:rsid w:val="00E866D2"/>
    <w:rsid w:val="00E8686C"/>
    <w:rsid w:val="00E86C14"/>
    <w:rsid w:val="00E90836"/>
    <w:rsid w:val="00E90C17"/>
    <w:rsid w:val="00E910E1"/>
    <w:rsid w:val="00E91787"/>
    <w:rsid w:val="00E91994"/>
    <w:rsid w:val="00E91B53"/>
    <w:rsid w:val="00E91E0E"/>
    <w:rsid w:val="00E92B40"/>
    <w:rsid w:val="00E949C1"/>
    <w:rsid w:val="00E94A80"/>
    <w:rsid w:val="00E95BB4"/>
    <w:rsid w:val="00E95C55"/>
    <w:rsid w:val="00E95D8A"/>
    <w:rsid w:val="00E97B4F"/>
    <w:rsid w:val="00E97FF4"/>
    <w:rsid w:val="00EA0268"/>
    <w:rsid w:val="00EA03BA"/>
    <w:rsid w:val="00EA18A1"/>
    <w:rsid w:val="00EA2283"/>
    <w:rsid w:val="00EA2709"/>
    <w:rsid w:val="00EA2E1A"/>
    <w:rsid w:val="00EA3157"/>
    <w:rsid w:val="00EA48C6"/>
    <w:rsid w:val="00EA4AC1"/>
    <w:rsid w:val="00EA5CEC"/>
    <w:rsid w:val="00EA608D"/>
    <w:rsid w:val="00EA6146"/>
    <w:rsid w:val="00EA7AD2"/>
    <w:rsid w:val="00EA7F0C"/>
    <w:rsid w:val="00EB030A"/>
    <w:rsid w:val="00EB0424"/>
    <w:rsid w:val="00EB070C"/>
    <w:rsid w:val="00EB164A"/>
    <w:rsid w:val="00EB1B16"/>
    <w:rsid w:val="00EB229B"/>
    <w:rsid w:val="00EB2FF4"/>
    <w:rsid w:val="00EB31E9"/>
    <w:rsid w:val="00EB3F3E"/>
    <w:rsid w:val="00EB4DED"/>
    <w:rsid w:val="00EB5A5E"/>
    <w:rsid w:val="00EB5ED1"/>
    <w:rsid w:val="00EB6051"/>
    <w:rsid w:val="00EB6186"/>
    <w:rsid w:val="00EB634C"/>
    <w:rsid w:val="00EB65B6"/>
    <w:rsid w:val="00EB69CD"/>
    <w:rsid w:val="00EB76AD"/>
    <w:rsid w:val="00EC06C1"/>
    <w:rsid w:val="00EC07A9"/>
    <w:rsid w:val="00EC0A0E"/>
    <w:rsid w:val="00EC0D4B"/>
    <w:rsid w:val="00EC2A4E"/>
    <w:rsid w:val="00EC31D1"/>
    <w:rsid w:val="00EC3F0D"/>
    <w:rsid w:val="00EC42CC"/>
    <w:rsid w:val="00EC42E9"/>
    <w:rsid w:val="00EC46CB"/>
    <w:rsid w:val="00EC5145"/>
    <w:rsid w:val="00EC5A3D"/>
    <w:rsid w:val="00EC6166"/>
    <w:rsid w:val="00EC66FE"/>
    <w:rsid w:val="00EC6AAE"/>
    <w:rsid w:val="00EC706B"/>
    <w:rsid w:val="00EC78D4"/>
    <w:rsid w:val="00ED0031"/>
    <w:rsid w:val="00ED1011"/>
    <w:rsid w:val="00ED1418"/>
    <w:rsid w:val="00ED19DB"/>
    <w:rsid w:val="00ED25F4"/>
    <w:rsid w:val="00ED29E1"/>
    <w:rsid w:val="00ED507A"/>
    <w:rsid w:val="00ED52C3"/>
    <w:rsid w:val="00ED5502"/>
    <w:rsid w:val="00ED6676"/>
    <w:rsid w:val="00ED6747"/>
    <w:rsid w:val="00ED702E"/>
    <w:rsid w:val="00ED7A58"/>
    <w:rsid w:val="00EE00F4"/>
    <w:rsid w:val="00EE10DF"/>
    <w:rsid w:val="00EE11BE"/>
    <w:rsid w:val="00EE13BE"/>
    <w:rsid w:val="00EE1C4D"/>
    <w:rsid w:val="00EE2103"/>
    <w:rsid w:val="00EE2A58"/>
    <w:rsid w:val="00EE3ADF"/>
    <w:rsid w:val="00EE3EB3"/>
    <w:rsid w:val="00EE44A2"/>
    <w:rsid w:val="00EE4558"/>
    <w:rsid w:val="00EE458C"/>
    <w:rsid w:val="00EE490B"/>
    <w:rsid w:val="00EE534F"/>
    <w:rsid w:val="00EE57CB"/>
    <w:rsid w:val="00EE5A6B"/>
    <w:rsid w:val="00EE62DC"/>
    <w:rsid w:val="00EE70FF"/>
    <w:rsid w:val="00EF040C"/>
    <w:rsid w:val="00EF0779"/>
    <w:rsid w:val="00EF0AA3"/>
    <w:rsid w:val="00EF1114"/>
    <w:rsid w:val="00EF2957"/>
    <w:rsid w:val="00EF2E06"/>
    <w:rsid w:val="00EF3B40"/>
    <w:rsid w:val="00EF4597"/>
    <w:rsid w:val="00EF5501"/>
    <w:rsid w:val="00EF56E7"/>
    <w:rsid w:val="00EF5D27"/>
    <w:rsid w:val="00EF5EAD"/>
    <w:rsid w:val="00EF64DB"/>
    <w:rsid w:val="00EF650A"/>
    <w:rsid w:val="00EF6567"/>
    <w:rsid w:val="00F000F0"/>
    <w:rsid w:val="00F0053F"/>
    <w:rsid w:val="00F011CB"/>
    <w:rsid w:val="00F0248A"/>
    <w:rsid w:val="00F028DC"/>
    <w:rsid w:val="00F03236"/>
    <w:rsid w:val="00F03AB0"/>
    <w:rsid w:val="00F042C9"/>
    <w:rsid w:val="00F04A4A"/>
    <w:rsid w:val="00F04E4D"/>
    <w:rsid w:val="00F05192"/>
    <w:rsid w:val="00F05A60"/>
    <w:rsid w:val="00F05F4E"/>
    <w:rsid w:val="00F069A7"/>
    <w:rsid w:val="00F06AF7"/>
    <w:rsid w:val="00F07733"/>
    <w:rsid w:val="00F101A8"/>
    <w:rsid w:val="00F103BC"/>
    <w:rsid w:val="00F1068B"/>
    <w:rsid w:val="00F110DB"/>
    <w:rsid w:val="00F12065"/>
    <w:rsid w:val="00F120ED"/>
    <w:rsid w:val="00F1463A"/>
    <w:rsid w:val="00F15BAC"/>
    <w:rsid w:val="00F16A72"/>
    <w:rsid w:val="00F16BDA"/>
    <w:rsid w:val="00F16C7A"/>
    <w:rsid w:val="00F16E73"/>
    <w:rsid w:val="00F20B33"/>
    <w:rsid w:val="00F211A2"/>
    <w:rsid w:val="00F213F7"/>
    <w:rsid w:val="00F2173E"/>
    <w:rsid w:val="00F22224"/>
    <w:rsid w:val="00F22398"/>
    <w:rsid w:val="00F223C1"/>
    <w:rsid w:val="00F22460"/>
    <w:rsid w:val="00F2270B"/>
    <w:rsid w:val="00F22961"/>
    <w:rsid w:val="00F22D55"/>
    <w:rsid w:val="00F23B8E"/>
    <w:rsid w:val="00F23C93"/>
    <w:rsid w:val="00F246A5"/>
    <w:rsid w:val="00F259F0"/>
    <w:rsid w:val="00F2744C"/>
    <w:rsid w:val="00F27C69"/>
    <w:rsid w:val="00F3013B"/>
    <w:rsid w:val="00F301D2"/>
    <w:rsid w:val="00F30395"/>
    <w:rsid w:val="00F303B9"/>
    <w:rsid w:val="00F31574"/>
    <w:rsid w:val="00F319CA"/>
    <w:rsid w:val="00F320FC"/>
    <w:rsid w:val="00F32700"/>
    <w:rsid w:val="00F32AC2"/>
    <w:rsid w:val="00F33021"/>
    <w:rsid w:val="00F33045"/>
    <w:rsid w:val="00F34219"/>
    <w:rsid w:val="00F344E2"/>
    <w:rsid w:val="00F3474A"/>
    <w:rsid w:val="00F3499B"/>
    <w:rsid w:val="00F34EA8"/>
    <w:rsid w:val="00F34F28"/>
    <w:rsid w:val="00F359E0"/>
    <w:rsid w:val="00F40DA7"/>
    <w:rsid w:val="00F40E10"/>
    <w:rsid w:val="00F41304"/>
    <w:rsid w:val="00F4137D"/>
    <w:rsid w:val="00F41416"/>
    <w:rsid w:val="00F42848"/>
    <w:rsid w:val="00F42E45"/>
    <w:rsid w:val="00F4472A"/>
    <w:rsid w:val="00F44BF8"/>
    <w:rsid w:val="00F44F64"/>
    <w:rsid w:val="00F453BB"/>
    <w:rsid w:val="00F4636F"/>
    <w:rsid w:val="00F47060"/>
    <w:rsid w:val="00F4759B"/>
    <w:rsid w:val="00F4796B"/>
    <w:rsid w:val="00F50892"/>
    <w:rsid w:val="00F50DBF"/>
    <w:rsid w:val="00F50EFF"/>
    <w:rsid w:val="00F516B9"/>
    <w:rsid w:val="00F5190C"/>
    <w:rsid w:val="00F51EAF"/>
    <w:rsid w:val="00F5214D"/>
    <w:rsid w:val="00F5215C"/>
    <w:rsid w:val="00F5373E"/>
    <w:rsid w:val="00F5427A"/>
    <w:rsid w:val="00F54BB3"/>
    <w:rsid w:val="00F56874"/>
    <w:rsid w:val="00F569C6"/>
    <w:rsid w:val="00F57F74"/>
    <w:rsid w:val="00F612CA"/>
    <w:rsid w:val="00F61469"/>
    <w:rsid w:val="00F6165C"/>
    <w:rsid w:val="00F61B21"/>
    <w:rsid w:val="00F62963"/>
    <w:rsid w:val="00F636ED"/>
    <w:rsid w:val="00F63D80"/>
    <w:rsid w:val="00F643EB"/>
    <w:rsid w:val="00F64885"/>
    <w:rsid w:val="00F652B2"/>
    <w:rsid w:val="00F653C2"/>
    <w:rsid w:val="00F65584"/>
    <w:rsid w:val="00F655BE"/>
    <w:rsid w:val="00F66F1C"/>
    <w:rsid w:val="00F673B1"/>
    <w:rsid w:val="00F67526"/>
    <w:rsid w:val="00F713C0"/>
    <w:rsid w:val="00F713D6"/>
    <w:rsid w:val="00F71447"/>
    <w:rsid w:val="00F73A23"/>
    <w:rsid w:val="00F73F1B"/>
    <w:rsid w:val="00F74820"/>
    <w:rsid w:val="00F759B2"/>
    <w:rsid w:val="00F761CC"/>
    <w:rsid w:val="00F76AC5"/>
    <w:rsid w:val="00F76E04"/>
    <w:rsid w:val="00F76E3C"/>
    <w:rsid w:val="00F770ED"/>
    <w:rsid w:val="00F80261"/>
    <w:rsid w:val="00F80DCF"/>
    <w:rsid w:val="00F80EA3"/>
    <w:rsid w:val="00F80EC4"/>
    <w:rsid w:val="00F824C9"/>
    <w:rsid w:val="00F826E5"/>
    <w:rsid w:val="00F83730"/>
    <w:rsid w:val="00F83D3B"/>
    <w:rsid w:val="00F84478"/>
    <w:rsid w:val="00F8461D"/>
    <w:rsid w:val="00F84CA2"/>
    <w:rsid w:val="00F8573D"/>
    <w:rsid w:val="00F8580A"/>
    <w:rsid w:val="00F85B3B"/>
    <w:rsid w:val="00F86382"/>
    <w:rsid w:val="00F864A0"/>
    <w:rsid w:val="00F86F11"/>
    <w:rsid w:val="00F87A92"/>
    <w:rsid w:val="00F9065D"/>
    <w:rsid w:val="00F90B1B"/>
    <w:rsid w:val="00F93FC8"/>
    <w:rsid w:val="00F95340"/>
    <w:rsid w:val="00F96330"/>
    <w:rsid w:val="00F96578"/>
    <w:rsid w:val="00F96696"/>
    <w:rsid w:val="00F96841"/>
    <w:rsid w:val="00F96FD0"/>
    <w:rsid w:val="00FA0706"/>
    <w:rsid w:val="00FA1C54"/>
    <w:rsid w:val="00FA1D55"/>
    <w:rsid w:val="00FA26DF"/>
    <w:rsid w:val="00FA2D97"/>
    <w:rsid w:val="00FA2DFE"/>
    <w:rsid w:val="00FA37C8"/>
    <w:rsid w:val="00FA37E2"/>
    <w:rsid w:val="00FA481A"/>
    <w:rsid w:val="00FA5E13"/>
    <w:rsid w:val="00FB0264"/>
    <w:rsid w:val="00FB040F"/>
    <w:rsid w:val="00FB050B"/>
    <w:rsid w:val="00FB12B5"/>
    <w:rsid w:val="00FB15D4"/>
    <w:rsid w:val="00FB17FE"/>
    <w:rsid w:val="00FB19AD"/>
    <w:rsid w:val="00FB1B5C"/>
    <w:rsid w:val="00FB219C"/>
    <w:rsid w:val="00FB4C98"/>
    <w:rsid w:val="00FB4FA0"/>
    <w:rsid w:val="00FB50EF"/>
    <w:rsid w:val="00FB70DD"/>
    <w:rsid w:val="00FB7D06"/>
    <w:rsid w:val="00FC064D"/>
    <w:rsid w:val="00FC2C86"/>
    <w:rsid w:val="00FC32BD"/>
    <w:rsid w:val="00FC36BC"/>
    <w:rsid w:val="00FC3A8F"/>
    <w:rsid w:val="00FC402E"/>
    <w:rsid w:val="00FC4AD5"/>
    <w:rsid w:val="00FC4BF0"/>
    <w:rsid w:val="00FC5078"/>
    <w:rsid w:val="00FC5C7F"/>
    <w:rsid w:val="00FC65D0"/>
    <w:rsid w:val="00FC6EAF"/>
    <w:rsid w:val="00FC707A"/>
    <w:rsid w:val="00FC7396"/>
    <w:rsid w:val="00FC76B9"/>
    <w:rsid w:val="00FD090D"/>
    <w:rsid w:val="00FD1435"/>
    <w:rsid w:val="00FD1A63"/>
    <w:rsid w:val="00FD1C5D"/>
    <w:rsid w:val="00FD278E"/>
    <w:rsid w:val="00FD3097"/>
    <w:rsid w:val="00FD412B"/>
    <w:rsid w:val="00FD5FDF"/>
    <w:rsid w:val="00FD77CE"/>
    <w:rsid w:val="00FD7D16"/>
    <w:rsid w:val="00FE03C8"/>
    <w:rsid w:val="00FE07CB"/>
    <w:rsid w:val="00FE08E3"/>
    <w:rsid w:val="00FE09FD"/>
    <w:rsid w:val="00FE0EDA"/>
    <w:rsid w:val="00FE25C7"/>
    <w:rsid w:val="00FE271C"/>
    <w:rsid w:val="00FE286E"/>
    <w:rsid w:val="00FE2A5C"/>
    <w:rsid w:val="00FE4FB5"/>
    <w:rsid w:val="00FE5A02"/>
    <w:rsid w:val="00FE5C76"/>
    <w:rsid w:val="00FE6B12"/>
    <w:rsid w:val="00FE6C83"/>
    <w:rsid w:val="00FE71B2"/>
    <w:rsid w:val="00FF1F90"/>
    <w:rsid w:val="00FF215B"/>
    <w:rsid w:val="00FF2C47"/>
    <w:rsid w:val="00FF3117"/>
    <w:rsid w:val="00FF3759"/>
    <w:rsid w:val="00FF46C4"/>
    <w:rsid w:val="00FF4A50"/>
    <w:rsid w:val="00FF59EB"/>
    <w:rsid w:val="00FF5EE6"/>
    <w:rsid w:val="00FF5F01"/>
    <w:rsid w:val="00FF734C"/>
    <w:rsid w:val="00FF7F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038921"/>
  <w15:docId w15:val="{D506D891-0929-4334-AD3A-F1C905B9A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468"/>
    <w:rPr>
      <w:rFonts w:ascii="Times New Roman" w:eastAsia="Times New Roman" w:hAnsi="Times New Roman"/>
      <w:sz w:val="28"/>
      <w:szCs w:val="28"/>
      <w:lang w:val="vi-VN"/>
    </w:rPr>
  </w:style>
  <w:style w:type="paragraph" w:styleId="Heading1">
    <w:name w:val="heading 1"/>
    <w:basedOn w:val="Normal"/>
    <w:next w:val="Normal"/>
    <w:link w:val="Heading1Char"/>
    <w:qFormat/>
    <w:locked/>
    <w:rsid w:val="00D5622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locked/>
    <w:rsid w:val="009E073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76468"/>
    <w:pPr>
      <w:autoSpaceDE w:val="0"/>
      <w:autoSpaceDN w:val="0"/>
      <w:adjustRightInd w:val="0"/>
    </w:pPr>
    <w:rPr>
      <w:rFonts w:ascii="Times New Roman" w:eastAsia="Times New Roman" w:hAnsi="Times New Roman"/>
      <w:color w:val="000000"/>
      <w:sz w:val="24"/>
      <w:szCs w:val="24"/>
    </w:rPr>
  </w:style>
  <w:style w:type="paragraph" w:customStyle="1" w:styleId="Normal1">
    <w:name w:val="Normal1"/>
    <w:basedOn w:val="Normal"/>
    <w:rsid w:val="0067242E"/>
    <w:pPr>
      <w:spacing w:before="100" w:beforeAutospacing="1" w:after="100" w:afterAutospacing="1"/>
    </w:pPr>
    <w:rPr>
      <w:sz w:val="24"/>
      <w:szCs w:val="24"/>
    </w:rPr>
  </w:style>
  <w:style w:type="character" w:customStyle="1" w:styleId="BodyTextChar1">
    <w:name w:val="Body Text Char1"/>
    <w:basedOn w:val="DefaultParagraphFont"/>
    <w:link w:val="BodyText"/>
    <w:uiPriority w:val="99"/>
    <w:locked/>
    <w:rsid w:val="008D4094"/>
    <w:rPr>
      <w:sz w:val="24"/>
      <w:szCs w:val="24"/>
    </w:rPr>
  </w:style>
  <w:style w:type="paragraph" w:styleId="BodyText">
    <w:name w:val="Body Text"/>
    <w:basedOn w:val="Normal"/>
    <w:link w:val="BodyTextChar1"/>
    <w:uiPriority w:val="99"/>
    <w:rsid w:val="008D4094"/>
    <w:pPr>
      <w:spacing w:after="120"/>
    </w:pPr>
    <w:rPr>
      <w:rFonts w:ascii="Calibri" w:eastAsia="Calibri" w:hAnsi="Calibri" w:cs="Calibri"/>
      <w:sz w:val="24"/>
      <w:szCs w:val="24"/>
    </w:rPr>
  </w:style>
  <w:style w:type="character" w:customStyle="1" w:styleId="BodyTextChar">
    <w:name w:val="Body Text Char"/>
    <w:basedOn w:val="DefaultParagraphFont"/>
    <w:uiPriority w:val="99"/>
    <w:semiHidden/>
    <w:locked/>
    <w:rsid w:val="008D4094"/>
    <w:rPr>
      <w:rFonts w:ascii="Times New Roman" w:hAnsi="Times New Roman" w:cs="Times New Roman"/>
      <w:sz w:val="28"/>
      <w:szCs w:val="28"/>
    </w:rPr>
  </w:style>
  <w:style w:type="character" w:styleId="Strong">
    <w:name w:val="Strong"/>
    <w:basedOn w:val="DefaultParagraphFont"/>
    <w:qFormat/>
    <w:rsid w:val="00A021F9"/>
    <w:rPr>
      <w:b/>
      <w:bCs/>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A07A9"/>
    <w:rPr>
      <w:rFonts w:eastAsia="Calibri"/>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A07A9"/>
    <w:rPr>
      <w:rFonts w:ascii="Times New Roman" w:hAnsi="Times New Roman"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A07A9"/>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B90BF6"/>
    <w:pPr>
      <w:spacing w:before="100" w:beforeAutospacing="1" w:after="100" w:afterAutospacing="1"/>
    </w:pPr>
    <w:rPr>
      <w:rFonts w:eastAsia="Calibri"/>
      <w:sz w:val="24"/>
      <w:szCs w:val="24"/>
    </w:rPr>
  </w:style>
  <w:style w:type="character" w:customStyle="1" w:styleId="normalchar">
    <w:name w:val="normal__char"/>
    <w:basedOn w:val="DefaultParagraphFont"/>
    <w:rsid w:val="00B90BF6"/>
  </w:style>
  <w:style w:type="paragraph" w:styleId="Header">
    <w:name w:val="header"/>
    <w:basedOn w:val="Normal"/>
    <w:link w:val="HeaderChar"/>
    <w:uiPriority w:val="99"/>
    <w:rsid w:val="0016207C"/>
    <w:pPr>
      <w:tabs>
        <w:tab w:val="center" w:pos="4680"/>
        <w:tab w:val="right" w:pos="9360"/>
      </w:tabs>
    </w:pPr>
  </w:style>
  <w:style w:type="character" w:customStyle="1" w:styleId="HeaderChar">
    <w:name w:val="Header Char"/>
    <w:basedOn w:val="DefaultParagraphFont"/>
    <w:link w:val="Header"/>
    <w:uiPriority w:val="99"/>
    <w:locked/>
    <w:rsid w:val="0016207C"/>
    <w:rPr>
      <w:rFonts w:ascii="Times New Roman" w:hAnsi="Times New Roman" w:cs="Times New Roman"/>
      <w:sz w:val="28"/>
      <w:szCs w:val="28"/>
    </w:rPr>
  </w:style>
  <w:style w:type="paragraph" w:styleId="Footer">
    <w:name w:val="footer"/>
    <w:basedOn w:val="Normal"/>
    <w:link w:val="FooterChar"/>
    <w:uiPriority w:val="99"/>
    <w:semiHidden/>
    <w:rsid w:val="0016207C"/>
    <w:pPr>
      <w:tabs>
        <w:tab w:val="center" w:pos="4680"/>
        <w:tab w:val="right" w:pos="9360"/>
      </w:tabs>
    </w:pPr>
  </w:style>
  <w:style w:type="character" w:customStyle="1" w:styleId="FooterChar">
    <w:name w:val="Footer Char"/>
    <w:basedOn w:val="DefaultParagraphFont"/>
    <w:link w:val="Footer"/>
    <w:uiPriority w:val="99"/>
    <w:semiHidden/>
    <w:locked/>
    <w:rsid w:val="0016207C"/>
    <w:rPr>
      <w:rFonts w:ascii="Times New Roman" w:hAnsi="Times New Roman" w:cs="Times New Roman"/>
      <w:sz w:val="28"/>
      <w:szCs w:val="28"/>
    </w:rPr>
  </w:style>
  <w:style w:type="paragraph" w:customStyle="1" w:styleId="BodyTextTimesNewRoman">
    <w:name w:val="Body Text + Times New Roman"/>
    <w:aliases w:val="14 pt,Bold,First line:  1,27 cm,Before:  4,5 ...,5 ... ...,Normal + Justified,First line:  0,99 cm,Right:  0,2 cm,Before:  2 pt,Afte...,Normal + Times New Roman,Justified,First line:  1 cm,..."/>
    <w:basedOn w:val="Normal"/>
    <w:link w:val="BodyTextTimesNewRomanChar"/>
    <w:uiPriority w:val="99"/>
    <w:rsid w:val="00CA6A31"/>
    <w:pPr>
      <w:spacing w:before="90" w:after="90" w:line="300" w:lineRule="exact"/>
      <w:ind w:firstLine="720"/>
      <w:jc w:val="both"/>
    </w:pPr>
    <w:rPr>
      <w:b/>
      <w:bCs/>
      <w:lang w:val="nl-NL"/>
    </w:rPr>
  </w:style>
  <w:style w:type="character" w:customStyle="1" w:styleId="BodyTextTimesNewRomanChar">
    <w:name w:val="Body Text + Times New Roman Char"/>
    <w:aliases w:val="14 pt Char,Bold Char,First line:  1 Char,27 cm Char,Before:  4 Char,5 ... Char,5 ... ... Char"/>
    <w:basedOn w:val="BodyTextChar"/>
    <w:link w:val="BodyTextTimesNewRoman"/>
    <w:uiPriority w:val="99"/>
    <w:locked/>
    <w:rsid w:val="00CA6A31"/>
    <w:rPr>
      <w:rFonts w:ascii="Times New Roman" w:hAnsi="Times New Roman" w:cs="Times New Roman"/>
      <w:b/>
      <w:bCs/>
      <w:sz w:val="28"/>
      <w:szCs w:val="28"/>
      <w:lang w:val="nl-NL"/>
    </w:rPr>
  </w:style>
  <w:style w:type="paragraph" w:styleId="BalloonText">
    <w:name w:val="Balloon Text"/>
    <w:basedOn w:val="Normal"/>
    <w:link w:val="BalloonTextChar"/>
    <w:uiPriority w:val="99"/>
    <w:semiHidden/>
    <w:rsid w:val="006A70C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4F6C"/>
    <w:rPr>
      <w:rFonts w:ascii="Times New Roman" w:hAnsi="Times New Roman" w:cs="Times New Roman"/>
      <w:sz w:val="2"/>
      <w:szCs w:val="2"/>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0F6092"/>
    <w:pPr>
      <w:spacing w:after="200" w:line="276" w:lineRule="auto"/>
      <w:ind w:left="720"/>
      <w:contextualSpacing/>
    </w:pPr>
    <w:rPr>
      <w:rFonts w:eastAsia="Calibri"/>
    </w:rPr>
  </w:style>
  <w:style w:type="character" w:customStyle="1" w:styleId="normalchar0">
    <w:name w:val="normalchar"/>
    <w:basedOn w:val="DefaultParagraphFont"/>
    <w:rsid w:val="00B223A3"/>
  </w:style>
  <w:style w:type="character" w:customStyle="1" w:styleId="apple-converted-space">
    <w:name w:val="apple-converted-space"/>
    <w:basedOn w:val="DefaultParagraphFont"/>
    <w:rsid w:val="00C771AB"/>
  </w:style>
  <w:style w:type="paragraph" w:styleId="Title">
    <w:name w:val="Title"/>
    <w:basedOn w:val="Normal"/>
    <w:link w:val="TitleChar"/>
    <w:qFormat/>
    <w:locked/>
    <w:rsid w:val="0085217C"/>
    <w:pPr>
      <w:jc w:val="center"/>
    </w:pPr>
    <w:rPr>
      <w:rFonts w:ascii=".VnTimeH" w:hAnsi=".VnTimeH"/>
      <w:b/>
      <w:bCs/>
      <w:szCs w:val="24"/>
    </w:rPr>
  </w:style>
  <w:style w:type="character" w:customStyle="1" w:styleId="TitleChar">
    <w:name w:val="Title Char"/>
    <w:basedOn w:val="DefaultParagraphFont"/>
    <w:link w:val="Title"/>
    <w:rsid w:val="0085217C"/>
    <w:rPr>
      <w:rFonts w:ascii=".VnTimeH" w:eastAsia="Times New Roman" w:hAnsi=".VnTimeH"/>
      <w:b/>
      <w:bCs/>
      <w:sz w:val="28"/>
      <w:szCs w:val="24"/>
    </w:rPr>
  </w:style>
  <w:style w:type="paragraph" w:customStyle="1" w:styleId="msotitlecxspmiddle">
    <w:name w:val="msotitlecxspmiddle"/>
    <w:basedOn w:val="Normal"/>
    <w:rsid w:val="0085217C"/>
    <w:pPr>
      <w:spacing w:before="100" w:beforeAutospacing="1" w:after="100" w:afterAutospacing="1"/>
    </w:pPr>
    <w:rPr>
      <w:sz w:val="24"/>
      <w:szCs w:val="24"/>
    </w:rPr>
  </w:style>
  <w:style w:type="paragraph" w:customStyle="1" w:styleId="Normal10">
    <w:name w:val="Normal1"/>
    <w:basedOn w:val="Normal"/>
    <w:uiPriority w:val="99"/>
    <w:rsid w:val="000E6961"/>
    <w:pPr>
      <w:spacing w:before="100" w:beforeAutospacing="1" w:after="100" w:afterAutospacing="1"/>
    </w:pPr>
    <w:rPr>
      <w:rFonts w:ascii="Calibri" w:hAnsi="Calibri" w:cs="Calibri"/>
      <w:sz w:val="24"/>
      <w:szCs w:val="24"/>
    </w:rPr>
  </w:style>
  <w:style w:type="paragraph" w:styleId="List3">
    <w:name w:val="List 3"/>
    <w:basedOn w:val="Normal"/>
    <w:rsid w:val="00EC42CC"/>
    <w:pPr>
      <w:spacing w:before="100" w:beforeAutospacing="1" w:after="100" w:afterAutospacing="1"/>
    </w:pPr>
    <w:rPr>
      <w:rFonts w:eastAsia="MS Mincho"/>
      <w:sz w:val="24"/>
      <w:szCs w:val="24"/>
    </w:rPr>
  </w:style>
  <w:style w:type="paragraph" w:styleId="BodyTextIndent">
    <w:name w:val="Body Text Indent"/>
    <w:basedOn w:val="Normal"/>
    <w:link w:val="BodyTextIndentChar"/>
    <w:uiPriority w:val="99"/>
    <w:semiHidden/>
    <w:unhideWhenUsed/>
    <w:rsid w:val="005B43D0"/>
    <w:pPr>
      <w:spacing w:after="120"/>
      <w:ind w:left="360"/>
    </w:pPr>
  </w:style>
  <w:style w:type="character" w:customStyle="1" w:styleId="BodyTextIndentChar">
    <w:name w:val="Body Text Indent Char"/>
    <w:basedOn w:val="DefaultParagraphFont"/>
    <w:link w:val="BodyTextIndent"/>
    <w:uiPriority w:val="99"/>
    <w:semiHidden/>
    <w:rsid w:val="005B43D0"/>
    <w:rPr>
      <w:rFonts w:ascii="Times New Roman" w:eastAsia="Times New Roman" w:hAnsi="Times New Roman"/>
      <w:sz w:val="28"/>
      <w:szCs w:val="28"/>
    </w:rPr>
  </w:style>
  <w:style w:type="paragraph" w:styleId="BodyTextIndent2">
    <w:name w:val="Body Text Indent 2"/>
    <w:basedOn w:val="Normal"/>
    <w:link w:val="BodyTextIndent2Char"/>
    <w:uiPriority w:val="99"/>
    <w:semiHidden/>
    <w:unhideWhenUsed/>
    <w:rsid w:val="00BB4A9E"/>
    <w:pPr>
      <w:spacing w:after="120" w:line="480" w:lineRule="auto"/>
      <w:ind w:left="360"/>
    </w:pPr>
  </w:style>
  <w:style w:type="character" w:customStyle="1" w:styleId="BodyTextIndent2Char">
    <w:name w:val="Body Text Indent 2 Char"/>
    <w:basedOn w:val="DefaultParagraphFont"/>
    <w:link w:val="BodyTextIndent2"/>
    <w:uiPriority w:val="99"/>
    <w:semiHidden/>
    <w:rsid w:val="00BB4A9E"/>
    <w:rPr>
      <w:rFonts w:ascii="Times New Roman" w:eastAsia="Times New Roman" w:hAnsi="Times New Roman"/>
      <w:sz w:val="28"/>
      <w:szCs w:val="28"/>
    </w:rPr>
  </w:style>
  <w:style w:type="character" w:styleId="Emphasis">
    <w:name w:val="Emphasis"/>
    <w:basedOn w:val="DefaultParagraphFont"/>
    <w:uiPriority w:val="20"/>
    <w:qFormat/>
    <w:locked/>
    <w:rsid w:val="00C372B5"/>
    <w:rPr>
      <w:i/>
      <w:iCs/>
    </w:rPr>
  </w:style>
  <w:style w:type="character" w:customStyle="1" w:styleId="body0020textchar">
    <w:name w:val="body_0020text__char"/>
    <w:basedOn w:val="DefaultParagraphFont"/>
    <w:rsid w:val="006379FB"/>
    <w:rPr>
      <w:rFonts w:cs="Times New Roman"/>
    </w:rPr>
  </w:style>
  <w:style w:type="paragraph" w:styleId="EndnoteText">
    <w:name w:val="endnote text"/>
    <w:basedOn w:val="Normal"/>
    <w:link w:val="EndnoteTextChar"/>
    <w:uiPriority w:val="99"/>
    <w:semiHidden/>
    <w:unhideWhenUsed/>
    <w:rsid w:val="00416BAE"/>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416BAE"/>
    <w:rPr>
      <w:rFonts w:ascii="Calibri" w:eastAsia="Calibri" w:hAnsi="Calibri" w:cs="Times New Roman"/>
    </w:rPr>
  </w:style>
  <w:style w:type="character" w:styleId="EndnoteReference">
    <w:name w:val="endnote reference"/>
    <w:basedOn w:val="DefaultParagraphFont"/>
    <w:uiPriority w:val="99"/>
    <w:semiHidden/>
    <w:unhideWhenUsed/>
    <w:rsid w:val="00416BAE"/>
    <w:rPr>
      <w:vertAlign w:val="superscript"/>
    </w:rPr>
  </w:style>
  <w:style w:type="character" w:customStyle="1" w:styleId="Heading1Char">
    <w:name w:val="Heading 1 Char"/>
    <w:basedOn w:val="DefaultParagraphFont"/>
    <w:link w:val="Heading1"/>
    <w:rsid w:val="00D5622B"/>
    <w:rPr>
      <w:rFonts w:ascii="Cambria" w:eastAsia="Times New Roman" w:hAnsi="Cambria" w:cs="Times New Roman"/>
      <w:b/>
      <w:bCs/>
      <w:kern w:val="32"/>
      <w:sz w:val="32"/>
      <w:szCs w:val="32"/>
    </w:rPr>
  </w:style>
  <w:style w:type="character" w:customStyle="1" w:styleId="apple-style-span">
    <w:name w:val="apple-style-span"/>
    <w:basedOn w:val="DefaultParagraphFont"/>
    <w:rsid w:val="001B34BB"/>
  </w:style>
  <w:style w:type="paragraph" w:styleId="BodyTextIndent3">
    <w:name w:val="Body Text Indent 3"/>
    <w:basedOn w:val="Normal"/>
    <w:link w:val="BodyTextIndent3Char"/>
    <w:uiPriority w:val="99"/>
    <w:semiHidden/>
    <w:unhideWhenUsed/>
    <w:rsid w:val="000B250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B2507"/>
    <w:rPr>
      <w:rFonts w:ascii="Times New Roman" w:eastAsia="Times New Roman" w:hAnsi="Times New Roman"/>
      <w:sz w:val="16"/>
      <w:szCs w:val="16"/>
      <w:lang w:val="en-US" w:eastAsia="en-US"/>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72454A"/>
    <w:rPr>
      <w:rFonts w:ascii="Times New Roman" w:hAnsi="Times New Roman"/>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977670"/>
    <w:pPr>
      <w:spacing w:after="160" w:line="240" w:lineRule="exact"/>
    </w:pPr>
    <w:rPr>
      <w:rFonts w:ascii="Calibri" w:eastAsia="Calibri" w:hAnsi="Calibri"/>
      <w:sz w:val="20"/>
      <w:szCs w:val="20"/>
      <w:vertAlign w:val="superscript"/>
    </w:rPr>
  </w:style>
  <w:style w:type="character" w:customStyle="1" w:styleId="a21">
    <w:name w:val="a21"/>
    <w:basedOn w:val="DefaultParagraphFont"/>
    <w:uiPriority w:val="99"/>
    <w:rsid w:val="00F12065"/>
    <w:rPr>
      <w:rFonts w:ascii="Arial" w:hAnsi="Arial" w:cs="Arial"/>
      <w:sz w:val="20"/>
      <w:szCs w:val="20"/>
      <w:u w:val="none"/>
      <w:effect w:val="none"/>
    </w:rPr>
  </w:style>
  <w:style w:type="paragraph" w:customStyle="1" w:styleId="Normal2">
    <w:name w:val="Normal2"/>
    <w:basedOn w:val="Normal"/>
    <w:rsid w:val="00C144DC"/>
    <w:pPr>
      <w:spacing w:before="100" w:beforeAutospacing="1" w:after="100" w:afterAutospacing="1"/>
    </w:pPr>
    <w:rPr>
      <w:rFonts w:ascii="Calibri" w:hAnsi="Calibri" w:cs="Calibri"/>
      <w:sz w:val="24"/>
      <w:szCs w:val="24"/>
      <w:lang w:val="en-US"/>
    </w:rPr>
  </w:style>
  <w:style w:type="paragraph" w:customStyle="1" w:styleId="list00203">
    <w:name w:val="list_00203"/>
    <w:basedOn w:val="Normal"/>
    <w:rsid w:val="00A939C1"/>
    <w:pPr>
      <w:spacing w:before="100" w:beforeAutospacing="1" w:after="100" w:afterAutospacing="1"/>
    </w:pPr>
    <w:rPr>
      <w:sz w:val="24"/>
      <w:szCs w:val="24"/>
      <w:lang w:val="en-US"/>
    </w:rPr>
  </w:style>
  <w:style w:type="paragraph" w:styleId="BodyText2">
    <w:name w:val="Body Text 2"/>
    <w:basedOn w:val="Normal"/>
    <w:link w:val="BodyText2Char"/>
    <w:uiPriority w:val="99"/>
    <w:unhideWhenUsed/>
    <w:rsid w:val="00AA004F"/>
    <w:pPr>
      <w:spacing w:after="120" w:line="480" w:lineRule="auto"/>
    </w:pPr>
    <w:rPr>
      <w:rFonts w:ascii="Calibri" w:eastAsia="Calibri" w:hAnsi="Calibri"/>
      <w:sz w:val="22"/>
      <w:szCs w:val="22"/>
      <w:lang w:val="en-US"/>
    </w:rPr>
  </w:style>
  <w:style w:type="character" w:customStyle="1" w:styleId="BodyText2Char">
    <w:name w:val="Body Text 2 Char"/>
    <w:basedOn w:val="DefaultParagraphFont"/>
    <w:link w:val="BodyText2"/>
    <w:uiPriority w:val="99"/>
    <w:rsid w:val="00AA004F"/>
    <w:rPr>
      <w:sz w:val="22"/>
      <w:szCs w:val="22"/>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0E0E7B"/>
    <w:rPr>
      <w:rFonts w:ascii="Times New Roman" w:hAnsi="Times New Roman"/>
      <w:sz w:val="28"/>
      <w:szCs w:val="28"/>
      <w:lang w:val="vi-VN"/>
    </w:rPr>
  </w:style>
  <w:style w:type="character" w:customStyle="1" w:styleId="fontstyle01">
    <w:name w:val="fontstyle01"/>
    <w:rsid w:val="00390D55"/>
    <w:rPr>
      <w:rFonts w:ascii="Times New Roman" w:hAnsi="Times New Roman"/>
      <w:color w:val="000000"/>
      <w:sz w:val="28"/>
    </w:rPr>
  </w:style>
  <w:style w:type="table" w:styleId="TableGrid">
    <w:name w:val="Table Grid"/>
    <w:basedOn w:val="TableNormal"/>
    <w:uiPriority w:val="39"/>
    <w:locked/>
    <w:rsid w:val="00B40E0E"/>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3121AE"/>
    <w:rPr>
      <w:color w:val="0000FF" w:themeColor="hyperlink"/>
      <w:u w:val="single"/>
    </w:rPr>
  </w:style>
  <w:style w:type="character" w:styleId="CommentReference">
    <w:name w:val="annotation reference"/>
    <w:basedOn w:val="DefaultParagraphFont"/>
    <w:uiPriority w:val="99"/>
    <w:semiHidden/>
    <w:unhideWhenUsed/>
    <w:rsid w:val="003121AE"/>
    <w:rPr>
      <w:sz w:val="16"/>
      <w:szCs w:val="16"/>
    </w:rPr>
  </w:style>
  <w:style w:type="paragraph" w:styleId="CommentText">
    <w:name w:val="annotation text"/>
    <w:basedOn w:val="Normal"/>
    <w:link w:val="CommentTextChar"/>
    <w:uiPriority w:val="99"/>
    <w:unhideWhenUsed/>
    <w:rsid w:val="003121AE"/>
    <w:rPr>
      <w:sz w:val="20"/>
      <w:szCs w:val="20"/>
    </w:rPr>
  </w:style>
  <w:style w:type="character" w:customStyle="1" w:styleId="CommentTextChar">
    <w:name w:val="Comment Text Char"/>
    <w:basedOn w:val="DefaultParagraphFont"/>
    <w:link w:val="CommentText"/>
    <w:uiPriority w:val="99"/>
    <w:rsid w:val="003121AE"/>
    <w:rPr>
      <w:rFonts w:ascii="Times New Roman" w:eastAsia="Times New Roman" w:hAnsi="Times New Roman"/>
      <w:lang w:val="vi-VN"/>
    </w:rPr>
  </w:style>
  <w:style w:type="paragraph" w:customStyle="1" w:styleId="Normal11">
    <w:name w:val="Normal11"/>
    <w:basedOn w:val="Normal"/>
    <w:rsid w:val="00736430"/>
    <w:pPr>
      <w:spacing w:before="100" w:beforeAutospacing="1" w:after="100" w:afterAutospacing="1"/>
    </w:pPr>
    <w:rPr>
      <w:rFonts w:ascii="Calibri" w:hAnsi="Calibri" w:cs="Calibri"/>
      <w:sz w:val="24"/>
      <w:szCs w:val="24"/>
      <w:lang w:val="en-US"/>
    </w:rPr>
  </w:style>
  <w:style w:type="character" w:customStyle="1" w:styleId="text">
    <w:name w:val="text"/>
    <w:basedOn w:val="DefaultParagraphFont"/>
    <w:rsid w:val="008708C1"/>
  </w:style>
  <w:style w:type="paragraph" w:styleId="CommentSubject">
    <w:name w:val="annotation subject"/>
    <w:basedOn w:val="CommentText"/>
    <w:next w:val="CommentText"/>
    <w:link w:val="CommentSubjectChar"/>
    <w:uiPriority w:val="99"/>
    <w:semiHidden/>
    <w:unhideWhenUsed/>
    <w:rsid w:val="008A6421"/>
    <w:rPr>
      <w:b/>
      <w:bCs/>
    </w:rPr>
  </w:style>
  <w:style w:type="character" w:customStyle="1" w:styleId="CommentSubjectChar">
    <w:name w:val="Comment Subject Char"/>
    <w:basedOn w:val="CommentTextChar"/>
    <w:link w:val="CommentSubject"/>
    <w:uiPriority w:val="99"/>
    <w:semiHidden/>
    <w:rsid w:val="008A6421"/>
    <w:rPr>
      <w:rFonts w:ascii="Times New Roman" w:eastAsia="Times New Roman" w:hAnsi="Times New Roman"/>
      <w:b/>
      <w:bCs/>
      <w:lang w:val="vi-VN"/>
    </w:rPr>
  </w:style>
  <w:style w:type="character" w:customStyle="1" w:styleId="Heading2Char">
    <w:name w:val="Heading 2 Char"/>
    <w:basedOn w:val="DefaultParagraphFont"/>
    <w:link w:val="Heading2"/>
    <w:semiHidden/>
    <w:rsid w:val="009E0731"/>
    <w:rPr>
      <w:rFonts w:asciiTheme="majorHAnsi" w:eastAsiaTheme="majorEastAsia" w:hAnsiTheme="majorHAnsi" w:cstheme="majorBidi"/>
      <w:color w:val="365F91" w:themeColor="accent1" w:themeShade="BF"/>
      <w:sz w:val="26"/>
      <w:szCs w:val="26"/>
      <w:lang w:val="vi-VN"/>
    </w:rPr>
  </w:style>
  <w:style w:type="character" w:customStyle="1" w:styleId="y2iqfc">
    <w:name w:val="y2iqfc"/>
    <w:basedOn w:val="DefaultParagraphFont"/>
    <w:rsid w:val="00CE02B0"/>
  </w:style>
  <w:style w:type="paragraph" w:styleId="HTMLPreformatted">
    <w:name w:val="HTML Preformatted"/>
    <w:basedOn w:val="Normal"/>
    <w:link w:val="HTMLPreformattedChar"/>
    <w:uiPriority w:val="99"/>
    <w:unhideWhenUsed/>
    <w:rsid w:val="00CE0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CE02B0"/>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507503">
      <w:bodyDiv w:val="1"/>
      <w:marLeft w:val="0"/>
      <w:marRight w:val="0"/>
      <w:marTop w:val="0"/>
      <w:marBottom w:val="0"/>
      <w:divBdr>
        <w:top w:val="none" w:sz="0" w:space="0" w:color="auto"/>
        <w:left w:val="none" w:sz="0" w:space="0" w:color="auto"/>
        <w:bottom w:val="none" w:sz="0" w:space="0" w:color="auto"/>
        <w:right w:val="none" w:sz="0" w:space="0" w:color="auto"/>
      </w:divBdr>
    </w:div>
    <w:div w:id="953942521">
      <w:bodyDiv w:val="1"/>
      <w:marLeft w:val="0"/>
      <w:marRight w:val="0"/>
      <w:marTop w:val="0"/>
      <w:marBottom w:val="0"/>
      <w:divBdr>
        <w:top w:val="none" w:sz="0" w:space="0" w:color="auto"/>
        <w:left w:val="none" w:sz="0" w:space="0" w:color="auto"/>
        <w:bottom w:val="none" w:sz="0" w:space="0" w:color="auto"/>
        <w:right w:val="none" w:sz="0" w:space="0" w:color="auto"/>
      </w:divBdr>
    </w:div>
    <w:div w:id="1223909073">
      <w:bodyDiv w:val="1"/>
      <w:marLeft w:val="0"/>
      <w:marRight w:val="0"/>
      <w:marTop w:val="0"/>
      <w:marBottom w:val="0"/>
      <w:divBdr>
        <w:top w:val="none" w:sz="0" w:space="0" w:color="auto"/>
        <w:left w:val="none" w:sz="0" w:space="0" w:color="auto"/>
        <w:bottom w:val="none" w:sz="0" w:space="0" w:color="auto"/>
        <w:right w:val="none" w:sz="0" w:space="0" w:color="auto"/>
      </w:divBdr>
    </w:div>
    <w:div w:id="1259561667">
      <w:bodyDiv w:val="1"/>
      <w:marLeft w:val="0"/>
      <w:marRight w:val="0"/>
      <w:marTop w:val="0"/>
      <w:marBottom w:val="0"/>
      <w:divBdr>
        <w:top w:val="none" w:sz="0" w:space="0" w:color="auto"/>
        <w:left w:val="none" w:sz="0" w:space="0" w:color="auto"/>
        <w:bottom w:val="none" w:sz="0" w:space="0" w:color="auto"/>
        <w:right w:val="none" w:sz="0" w:space="0" w:color="auto"/>
      </w:divBdr>
      <w:divsChild>
        <w:div w:id="1187064768">
          <w:marLeft w:val="0"/>
          <w:marRight w:val="0"/>
          <w:marTop w:val="0"/>
          <w:marBottom w:val="0"/>
          <w:divBdr>
            <w:top w:val="none" w:sz="0" w:space="0" w:color="auto"/>
            <w:left w:val="none" w:sz="0" w:space="0" w:color="auto"/>
            <w:bottom w:val="none" w:sz="0" w:space="0" w:color="auto"/>
            <w:right w:val="none" w:sz="0" w:space="0" w:color="auto"/>
          </w:divBdr>
          <w:divsChild>
            <w:div w:id="224029912">
              <w:marLeft w:val="0"/>
              <w:marRight w:val="0"/>
              <w:marTop w:val="0"/>
              <w:marBottom w:val="0"/>
              <w:divBdr>
                <w:top w:val="none" w:sz="0" w:space="0" w:color="auto"/>
                <w:left w:val="none" w:sz="0" w:space="0" w:color="auto"/>
                <w:bottom w:val="none" w:sz="0" w:space="0" w:color="auto"/>
                <w:right w:val="none" w:sz="0" w:space="0" w:color="auto"/>
              </w:divBdr>
              <w:divsChild>
                <w:div w:id="469172538">
                  <w:marLeft w:val="0"/>
                  <w:marRight w:val="-90"/>
                  <w:marTop w:val="0"/>
                  <w:marBottom w:val="0"/>
                  <w:divBdr>
                    <w:top w:val="none" w:sz="0" w:space="0" w:color="auto"/>
                    <w:left w:val="none" w:sz="0" w:space="0" w:color="auto"/>
                    <w:bottom w:val="none" w:sz="0" w:space="0" w:color="auto"/>
                    <w:right w:val="none" w:sz="0" w:space="0" w:color="auto"/>
                  </w:divBdr>
                  <w:divsChild>
                    <w:div w:id="598755424">
                      <w:marLeft w:val="0"/>
                      <w:marRight w:val="0"/>
                      <w:marTop w:val="0"/>
                      <w:marBottom w:val="420"/>
                      <w:divBdr>
                        <w:top w:val="none" w:sz="0" w:space="0" w:color="auto"/>
                        <w:left w:val="none" w:sz="0" w:space="0" w:color="auto"/>
                        <w:bottom w:val="none" w:sz="0" w:space="0" w:color="auto"/>
                        <w:right w:val="none" w:sz="0" w:space="0" w:color="auto"/>
                      </w:divBdr>
                      <w:divsChild>
                        <w:div w:id="2085684072">
                          <w:marLeft w:val="240"/>
                          <w:marRight w:val="240"/>
                          <w:marTop w:val="0"/>
                          <w:marBottom w:val="165"/>
                          <w:divBdr>
                            <w:top w:val="none" w:sz="0" w:space="0" w:color="auto"/>
                            <w:left w:val="none" w:sz="0" w:space="0" w:color="auto"/>
                            <w:bottom w:val="none" w:sz="0" w:space="0" w:color="auto"/>
                            <w:right w:val="none" w:sz="0" w:space="0" w:color="auto"/>
                          </w:divBdr>
                          <w:divsChild>
                            <w:div w:id="2051833401">
                              <w:marLeft w:val="150"/>
                              <w:marRight w:val="0"/>
                              <w:marTop w:val="0"/>
                              <w:marBottom w:val="0"/>
                              <w:divBdr>
                                <w:top w:val="none" w:sz="0" w:space="0" w:color="auto"/>
                                <w:left w:val="none" w:sz="0" w:space="0" w:color="auto"/>
                                <w:bottom w:val="none" w:sz="0" w:space="0" w:color="auto"/>
                                <w:right w:val="none" w:sz="0" w:space="0" w:color="auto"/>
                              </w:divBdr>
                              <w:divsChild>
                                <w:div w:id="1353453976">
                                  <w:marLeft w:val="0"/>
                                  <w:marRight w:val="0"/>
                                  <w:marTop w:val="0"/>
                                  <w:marBottom w:val="0"/>
                                  <w:divBdr>
                                    <w:top w:val="none" w:sz="0" w:space="0" w:color="auto"/>
                                    <w:left w:val="none" w:sz="0" w:space="0" w:color="auto"/>
                                    <w:bottom w:val="none" w:sz="0" w:space="0" w:color="auto"/>
                                    <w:right w:val="none" w:sz="0" w:space="0" w:color="auto"/>
                                  </w:divBdr>
                                  <w:divsChild>
                                    <w:div w:id="296575041">
                                      <w:marLeft w:val="0"/>
                                      <w:marRight w:val="0"/>
                                      <w:marTop w:val="0"/>
                                      <w:marBottom w:val="0"/>
                                      <w:divBdr>
                                        <w:top w:val="none" w:sz="0" w:space="0" w:color="auto"/>
                                        <w:left w:val="none" w:sz="0" w:space="0" w:color="auto"/>
                                        <w:bottom w:val="none" w:sz="0" w:space="0" w:color="auto"/>
                                        <w:right w:val="none" w:sz="0" w:space="0" w:color="auto"/>
                                      </w:divBdr>
                                      <w:divsChild>
                                        <w:div w:id="1872911367">
                                          <w:marLeft w:val="0"/>
                                          <w:marRight w:val="0"/>
                                          <w:marTop w:val="0"/>
                                          <w:marBottom w:val="60"/>
                                          <w:divBdr>
                                            <w:top w:val="none" w:sz="0" w:space="0" w:color="auto"/>
                                            <w:left w:val="none" w:sz="0" w:space="0" w:color="auto"/>
                                            <w:bottom w:val="none" w:sz="0" w:space="0" w:color="auto"/>
                                            <w:right w:val="none" w:sz="0" w:space="0" w:color="auto"/>
                                          </w:divBdr>
                                          <w:divsChild>
                                            <w:div w:id="750004299">
                                              <w:marLeft w:val="0"/>
                                              <w:marRight w:val="0"/>
                                              <w:marTop w:val="0"/>
                                              <w:marBottom w:val="0"/>
                                              <w:divBdr>
                                                <w:top w:val="none" w:sz="0" w:space="0" w:color="auto"/>
                                                <w:left w:val="none" w:sz="0" w:space="0" w:color="auto"/>
                                                <w:bottom w:val="none" w:sz="0" w:space="0" w:color="auto"/>
                                                <w:right w:val="none" w:sz="0" w:space="0" w:color="auto"/>
                                              </w:divBdr>
                                            </w:div>
                                            <w:div w:id="17867344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8071516">
      <w:bodyDiv w:val="1"/>
      <w:marLeft w:val="0"/>
      <w:marRight w:val="0"/>
      <w:marTop w:val="0"/>
      <w:marBottom w:val="0"/>
      <w:divBdr>
        <w:top w:val="none" w:sz="0" w:space="0" w:color="auto"/>
        <w:left w:val="none" w:sz="0" w:space="0" w:color="auto"/>
        <w:bottom w:val="none" w:sz="0" w:space="0" w:color="auto"/>
        <w:right w:val="none" w:sz="0" w:space="0" w:color="auto"/>
      </w:divBdr>
    </w:div>
    <w:div w:id="1858348671">
      <w:bodyDiv w:val="1"/>
      <w:marLeft w:val="0"/>
      <w:marRight w:val="0"/>
      <w:marTop w:val="0"/>
      <w:marBottom w:val="0"/>
      <w:divBdr>
        <w:top w:val="none" w:sz="0" w:space="0" w:color="auto"/>
        <w:left w:val="none" w:sz="0" w:space="0" w:color="auto"/>
        <w:bottom w:val="none" w:sz="0" w:space="0" w:color="auto"/>
        <w:right w:val="none" w:sz="0" w:space="0" w:color="auto"/>
      </w:divBdr>
    </w:div>
    <w:div w:id="1940481420">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image" Target="media/image9.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1.wmf"/><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0.wmf"/><Relationship Id="rId27" Type="http://schemas.openxmlformats.org/officeDocument/2006/relationships/image" Target="media/image12.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agromonitor.vn/category/47/tom" TargetMode="External"/><Relationship Id="rId1" Type="http://schemas.openxmlformats.org/officeDocument/2006/relationships/hyperlink" Target="https://agromonitor.vn/category/48/ca-tr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tphuong\Desktop\B&#225;o%20c&#225;o%20th&#225;ng\T1%202024\Bi&#7875;u%20&#273;&#7891;%20th&#225;ng%20ti&#7871;ng%20Vi&#7879;t%20-%20T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tphuong\Desktop\B&#225;o%20c&#225;o%20th&#225;ng\T1%202024\Bi&#7875;u%20&#273;&#7891;%20th&#225;ng%20ti&#7871;ng%20Vi&#7879;t%20-%20TA.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btphuong\Desktop\B&#225;o%20c&#225;o%20th&#225;ng\T1%202024\bi&#7875;u%20&#273;&#7891;%20FDI%20T1%202024%20-%20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tphuong\Desktop\B&#225;o%20c&#225;o%20th&#225;ng\T1%202024\Copy%20of%20Book1.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gsofs05\tkth02\01%20Bao%20cao%20thang\2024\Th&#225;ng%2001\Chuy&#234;n%20vi&#234;n\&#272;&#244;&#768;%20thi&#803;%20t&#244;&#777;ng%20m&#432;&#769;c%20T1.2024.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D:\02%20BAO%20CAO\NAM2024\Th&#225;ng%2001.2024\V&#7909;%20TH\Bi&#7875;u%20&#273;&#7891;%20XNK%20T01.2024.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D:\02%20BAO%20CAO\NAM2024\Th&#225;ng%2001.2024\V&#7909;%20TH\Bi&#7875;u%20&#273;&#7891;%20XNK%20T01.2024.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D:\BAO%20CAO%20THANG\Loi%20van\2023\Th&#225;ng%2012\Gi&#225;\&#273;&#7891;%20th&#7883;%20gi&#225;%20CPI.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13011555994114E-2"/>
          <c:y val="0.12987605945159025"/>
          <c:w val="0.86339625186096713"/>
          <c:h val="0.59800859230927683"/>
        </c:manualLayout>
      </c:layout>
      <c:barChart>
        <c:barDir val="col"/>
        <c:grouping val="clustered"/>
        <c:varyColors val="0"/>
        <c:ser>
          <c:idx val="0"/>
          <c:order val="0"/>
          <c:tx>
            <c:strRef>
              <c:f>'Hình 6. Bộ ngành'!$C$4</c:f>
              <c:strCache>
                <c:ptCount val="1"/>
                <c:pt idx="0">
                  <c:v>Realized investment capital from the State budget in January 2023</c:v>
                </c:pt>
              </c:strCache>
            </c:strRef>
          </c:tx>
          <c:spPr>
            <a:solidFill>
              <a:srgbClr val="CFB09D"/>
            </a:solidFill>
            <a:ln>
              <a:noFill/>
            </a:ln>
            <a:effectLst/>
          </c:spPr>
          <c:invertIfNegative val="0"/>
          <c:cat>
            <c:strRef>
              <c:f>'Hình 6. Bộ ngành'!$B$5:$B$14</c:f>
              <c:strCache>
                <c:ptCount val="10"/>
                <c:pt idx="0">
                  <c:v>Ministry of Transport</c:v>
                </c:pt>
                <c:pt idx="1">
                  <c:v>Ministry of Agriculture &amp; Rural Development</c:v>
                </c:pt>
                <c:pt idx="2">
                  <c:v>Ministry of Education &amp; Training</c:v>
                </c:pt>
                <c:pt idx="3">
                  <c:v>Ministry of Culture, Sports &amp; Tourism</c:v>
                </c:pt>
                <c:pt idx="4">
                  <c:v>Ministry of Industry &amp; Trade</c:v>
                </c:pt>
                <c:pt idx="5">
                  <c:v>Ministry of Health</c:v>
                </c:pt>
                <c:pt idx="6">
                  <c:v>Ministry of Natural Resources &amp; Environment</c:v>
                </c:pt>
                <c:pt idx="7">
                  <c:v>Ministry of Construction</c:v>
                </c:pt>
                <c:pt idx="8">
                  <c:v>Ministry of Information &amp; Communications</c:v>
                </c:pt>
                <c:pt idx="9">
                  <c:v>Ministry of Science &amp; Technology</c:v>
                </c:pt>
              </c:strCache>
            </c:strRef>
          </c:cat>
          <c:val>
            <c:numRef>
              <c:f>'Hình 6. Bộ ngành'!$C$5:$C$14</c:f>
              <c:numCache>
                <c:formatCode>0.0</c:formatCode>
                <c:ptCount val="10"/>
                <c:pt idx="0">
                  <c:v>3206.41</c:v>
                </c:pt>
                <c:pt idx="1">
                  <c:v>270.32</c:v>
                </c:pt>
                <c:pt idx="2">
                  <c:v>44.62</c:v>
                </c:pt>
                <c:pt idx="3">
                  <c:v>53.019999999999996</c:v>
                </c:pt>
                <c:pt idx="4">
                  <c:v>29.75</c:v>
                </c:pt>
                <c:pt idx="5">
                  <c:v>37.82</c:v>
                </c:pt>
                <c:pt idx="6">
                  <c:v>30.520000000000003</c:v>
                </c:pt>
                <c:pt idx="7">
                  <c:v>21.61</c:v>
                </c:pt>
                <c:pt idx="8">
                  <c:v>12.760000000000002</c:v>
                </c:pt>
                <c:pt idx="9">
                  <c:v>9.129999999999999</c:v>
                </c:pt>
              </c:numCache>
            </c:numRef>
          </c:val>
          <c:extLst>
            <c:ext xmlns:c16="http://schemas.microsoft.com/office/drawing/2014/chart" uri="{C3380CC4-5D6E-409C-BE32-E72D297353CC}">
              <c16:uniqueId val="{00000000-1396-4C4D-94B4-B9EEA273B8F3}"/>
            </c:ext>
          </c:extLst>
        </c:ser>
        <c:ser>
          <c:idx val="1"/>
          <c:order val="1"/>
          <c:tx>
            <c:strRef>
              <c:f>'Hình 6. Bộ ngành'!$D$4</c:f>
              <c:strCache>
                <c:ptCount val="1"/>
                <c:pt idx="0">
                  <c:v>Realized investment capital from the State budget in January 2024</c:v>
                </c:pt>
              </c:strCache>
            </c:strRef>
          </c:tx>
          <c:spPr>
            <a:solidFill>
              <a:srgbClr val="C84863"/>
            </a:solidFill>
            <a:ln>
              <a:noFill/>
            </a:ln>
            <a:effectLst/>
          </c:spPr>
          <c:invertIfNegative val="0"/>
          <c:dLbls>
            <c:dLbl>
              <c:idx val="4"/>
              <c:layout>
                <c:manualLayout>
                  <c:x val="4.5714280229257713E-3"/>
                  <c:y val="2.46229585240795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96-4C4D-94B4-B9EEA273B8F3}"/>
                </c:ext>
              </c:extLst>
            </c:dLbl>
            <c:dLbl>
              <c:idx val="5"/>
              <c:layout>
                <c:manualLayout>
                  <c:x val="6.095237363901029E-3"/>
                  <c:y val="2.4622958524080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96-4C4D-94B4-B9EEA273B8F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6. Bộ ngành'!$B$5:$B$14</c:f>
              <c:strCache>
                <c:ptCount val="10"/>
                <c:pt idx="0">
                  <c:v>Ministry of Transport</c:v>
                </c:pt>
                <c:pt idx="1">
                  <c:v>Ministry of Agriculture &amp; Rural Development</c:v>
                </c:pt>
                <c:pt idx="2">
                  <c:v>Ministry of Education &amp; Training</c:v>
                </c:pt>
                <c:pt idx="3">
                  <c:v>Ministry of Culture, Sports &amp; Tourism</c:v>
                </c:pt>
                <c:pt idx="4">
                  <c:v>Ministry of Industry &amp; Trade</c:v>
                </c:pt>
                <c:pt idx="5">
                  <c:v>Ministry of Health</c:v>
                </c:pt>
                <c:pt idx="6">
                  <c:v>Ministry of Natural Resources &amp; Environment</c:v>
                </c:pt>
                <c:pt idx="7">
                  <c:v>Ministry of Construction</c:v>
                </c:pt>
                <c:pt idx="8">
                  <c:v>Ministry of Information &amp; Communications</c:v>
                </c:pt>
                <c:pt idx="9">
                  <c:v>Ministry of Science &amp; Technology</c:v>
                </c:pt>
              </c:strCache>
            </c:strRef>
          </c:cat>
          <c:val>
            <c:numRef>
              <c:f>'Hình 6. Bộ ngành'!$D$5:$D$14</c:f>
              <c:numCache>
                <c:formatCode>0.0</c:formatCode>
                <c:ptCount val="10"/>
                <c:pt idx="0">
                  <c:v>3040.41</c:v>
                </c:pt>
                <c:pt idx="1">
                  <c:v>305.62</c:v>
                </c:pt>
                <c:pt idx="2">
                  <c:v>42.72</c:v>
                </c:pt>
                <c:pt idx="3">
                  <c:v>37.22</c:v>
                </c:pt>
                <c:pt idx="4">
                  <c:v>35.319999999999993</c:v>
                </c:pt>
                <c:pt idx="5">
                  <c:v>33.119999999999997</c:v>
                </c:pt>
                <c:pt idx="6">
                  <c:v>27.919999999999998</c:v>
                </c:pt>
                <c:pt idx="7">
                  <c:v>15.94</c:v>
                </c:pt>
                <c:pt idx="8">
                  <c:v>13.84</c:v>
                </c:pt>
                <c:pt idx="9">
                  <c:v>9.67</c:v>
                </c:pt>
              </c:numCache>
            </c:numRef>
          </c:val>
          <c:extLst>
            <c:ext xmlns:c16="http://schemas.microsoft.com/office/drawing/2014/chart" uri="{C3380CC4-5D6E-409C-BE32-E72D297353CC}">
              <c16:uniqueId val="{00000003-1396-4C4D-94B4-B9EEA273B8F3}"/>
            </c:ext>
          </c:extLst>
        </c:ser>
        <c:dLbls>
          <c:showLegendKey val="0"/>
          <c:showVal val="0"/>
          <c:showCatName val="0"/>
          <c:showSerName val="0"/>
          <c:showPercent val="0"/>
          <c:showBubbleSize val="0"/>
        </c:dLbls>
        <c:gapWidth val="36"/>
        <c:axId val="715437168"/>
        <c:axId val="715442608"/>
      </c:barChart>
      <c:catAx>
        <c:axId val="715437168"/>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4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5442608"/>
        <c:crosses val="autoZero"/>
        <c:auto val="1"/>
        <c:lblAlgn val="ctr"/>
        <c:lblOffset val="100"/>
        <c:noMultiLvlLbl val="0"/>
      </c:catAx>
      <c:valAx>
        <c:axId val="71544260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715437168"/>
        <c:crosses val="autoZero"/>
        <c:crossBetween val="between"/>
      </c:valAx>
      <c:spPr>
        <a:noFill/>
        <a:ln>
          <a:noFill/>
        </a:ln>
        <a:effectLst/>
      </c:spPr>
    </c:plotArea>
    <c:legend>
      <c:legendPos val="b"/>
      <c:layout>
        <c:manualLayout>
          <c:xMode val="edge"/>
          <c:yMode val="edge"/>
          <c:x val="9.7450726965042131E-2"/>
          <c:y val="0.81680201265164432"/>
          <c:w val="0.79532792856957735"/>
          <c:h val="0.1103308054235156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01543582866915E-2"/>
          <c:y val="0.12987603202472423"/>
          <c:w val="0.89996767604437333"/>
          <c:h val="0.66574137320055682"/>
        </c:manualLayout>
      </c:layout>
      <c:barChart>
        <c:barDir val="col"/>
        <c:grouping val="clustered"/>
        <c:varyColors val="0"/>
        <c:ser>
          <c:idx val="0"/>
          <c:order val="0"/>
          <c:tx>
            <c:strRef>
              <c:f>'Hình 7. Địa phương'!$D$4</c:f>
              <c:strCache>
                <c:ptCount val="1"/>
                <c:pt idx="0">
                  <c:v>Realized investment capital from the State budget in January 2023</c:v>
                </c:pt>
              </c:strCache>
            </c:strRef>
          </c:tx>
          <c:spPr>
            <a:solidFill>
              <a:srgbClr val="CFB09D"/>
            </a:solidFill>
            <a:ln>
              <a:noFill/>
            </a:ln>
            <a:effectLst/>
          </c:spPr>
          <c:invertIfNegative val="0"/>
          <c:cat>
            <c:strRef>
              <c:f>'Hình 7. Địa phương'!$C$5:$C$13</c:f>
              <c:strCache>
                <c:ptCount val="9"/>
                <c:pt idx="0">
                  <c:v>Ha Noi</c:v>
                </c:pt>
                <c:pt idx="1">
                  <c:v>Ba Ria - Vung Tau</c:v>
                </c:pt>
                <c:pt idx="2">
                  <c:v>Hai Phong</c:v>
                </c:pt>
                <c:pt idx="3">
                  <c:v>Dong Nai</c:v>
                </c:pt>
                <c:pt idx="4">
                  <c:v>Hung Yen</c:v>
                </c:pt>
                <c:pt idx="5">
                  <c:v>Bac Ninh</c:v>
                </c:pt>
                <c:pt idx="6">
                  <c:v>Bac Giang</c:v>
                </c:pt>
                <c:pt idx="7">
                  <c:v>Thai Binh</c:v>
                </c:pt>
                <c:pt idx="8">
                  <c:v>Binh Duong</c:v>
                </c:pt>
              </c:strCache>
            </c:strRef>
          </c:cat>
          <c:val>
            <c:numRef>
              <c:f>'Hình 7. Địa phương'!$D$5:$D$13</c:f>
              <c:numCache>
                <c:formatCode>0.0</c:formatCode>
                <c:ptCount val="9"/>
                <c:pt idx="0">
                  <c:v>2471.4360000000001</c:v>
                </c:pt>
                <c:pt idx="1">
                  <c:v>1271.52</c:v>
                </c:pt>
                <c:pt idx="2">
                  <c:v>801.28700000000003</c:v>
                </c:pt>
                <c:pt idx="3">
                  <c:v>1017.677</c:v>
                </c:pt>
                <c:pt idx="4">
                  <c:v>680.38599999999997</c:v>
                </c:pt>
                <c:pt idx="5">
                  <c:v>756.28599999999994</c:v>
                </c:pt>
                <c:pt idx="6">
                  <c:v>770.154</c:v>
                </c:pt>
                <c:pt idx="7">
                  <c:v>537.56799999999998</c:v>
                </c:pt>
                <c:pt idx="8">
                  <c:v>527.28200000000004</c:v>
                </c:pt>
              </c:numCache>
            </c:numRef>
          </c:val>
          <c:extLst>
            <c:ext xmlns:c16="http://schemas.microsoft.com/office/drawing/2014/chart" uri="{C3380CC4-5D6E-409C-BE32-E72D297353CC}">
              <c16:uniqueId val="{00000000-6AFC-42D6-BB5C-51CABA7DB248}"/>
            </c:ext>
          </c:extLst>
        </c:ser>
        <c:ser>
          <c:idx val="1"/>
          <c:order val="1"/>
          <c:tx>
            <c:strRef>
              <c:f>'Hình 7. Địa phương'!$E$4</c:f>
              <c:strCache>
                <c:ptCount val="1"/>
                <c:pt idx="0">
                  <c:v>Realized investment capital from the State budget in January 2024</c:v>
                </c:pt>
              </c:strCache>
            </c:strRef>
          </c:tx>
          <c:spPr>
            <a:solidFill>
              <a:srgbClr val="C84863"/>
            </a:solidFill>
            <a:ln>
              <a:noFill/>
            </a:ln>
            <a:effectLst/>
          </c:spPr>
          <c:invertIfNegative val="0"/>
          <c:dLbls>
            <c:dLbl>
              <c:idx val="2"/>
              <c:layout>
                <c:manualLayout>
                  <c:x val="1.3714284068777314E-2"/>
                  <c:y val="-2.5606552696673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FC-42D6-BB5C-51CABA7DB248}"/>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Ha Noi</c:v>
                </c:pt>
                <c:pt idx="1">
                  <c:v>Ba Ria - Vung Tau</c:v>
                </c:pt>
                <c:pt idx="2">
                  <c:v>Hai Phong</c:v>
                </c:pt>
                <c:pt idx="3">
                  <c:v>Dong Nai</c:v>
                </c:pt>
                <c:pt idx="4">
                  <c:v>Hung Yen</c:v>
                </c:pt>
                <c:pt idx="5">
                  <c:v>Bac Ninh</c:v>
                </c:pt>
                <c:pt idx="6">
                  <c:v>Bac Giang</c:v>
                </c:pt>
                <c:pt idx="7">
                  <c:v>Thai Binh</c:v>
                </c:pt>
                <c:pt idx="8">
                  <c:v>Binh Duong</c:v>
                </c:pt>
              </c:strCache>
            </c:strRef>
          </c:cat>
          <c:val>
            <c:numRef>
              <c:f>'Hình 7. Địa phương'!$E$5:$E$13</c:f>
              <c:numCache>
                <c:formatCode>0.0</c:formatCode>
                <c:ptCount val="9"/>
                <c:pt idx="0">
                  <c:v>3856.8910000000001</c:v>
                </c:pt>
                <c:pt idx="1">
                  <c:v>1530.69</c:v>
                </c:pt>
                <c:pt idx="2">
                  <c:v>1139.268</c:v>
                </c:pt>
                <c:pt idx="3">
                  <c:v>1053.163</c:v>
                </c:pt>
                <c:pt idx="4">
                  <c:v>1009.364</c:v>
                </c:pt>
                <c:pt idx="5">
                  <c:v>854.06299999999999</c:v>
                </c:pt>
                <c:pt idx="6">
                  <c:v>823.58100000000002</c:v>
                </c:pt>
                <c:pt idx="7">
                  <c:v>669.25699999999995</c:v>
                </c:pt>
                <c:pt idx="8">
                  <c:v>589.43200000000002</c:v>
                </c:pt>
              </c:numCache>
            </c:numRef>
          </c:val>
          <c:extLst>
            <c:ext xmlns:c16="http://schemas.microsoft.com/office/drawing/2014/chart" uri="{C3380CC4-5D6E-409C-BE32-E72D297353CC}">
              <c16:uniqueId val="{00000002-6AFC-42D6-BB5C-51CABA7DB248}"/>
            </c:ext>
          </c:extLst>
        </c:ser>
        <c:dLbls>
          <c:showLegendKey val="0"/>
          <c:showVal val="0"/>
          <c:showCatName val="0"/>
          <c:showSerName val="0"/>
          <c:showPercent val="0"/>
          <c:showBubbleSize val="0"/>
        </c:dLbls>
        <c:gapWidth val="36"/>
        <c:axId val="715437712"/>
        <c:axId val="715448592"/>
      </c:barChart>
      <c:catAx>
        <c:axId val="715437712"/>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5448592"/>
        <c:crosses val="autoZero"/>
        <c:auto val="1"/>
        <c:lblAlgn val="ctr"/>
        <c:lblOffset val="100"/>
        <c:noMultiLvlLbl val="0"/>
      </c:catAx>
      <c:valAx>
        <c:axId val="71544859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715437712"/>
        <c:crosses val="autoZero"/>
        <c:crossBetween val="between"/>
      </c:valAx>
      <c:spPr>
        <a:noFill/>
        <a:ln>
          <a:noFill/>
        </a:ln>
        <a:effectLst/>
      </c:spPr>
    </c:plotArea>
    <c:legend>
      <c:legendPos val="b"/>
      <c:layout>
        <c:manualLayout>
          <c:xMode val="edge"/>
          <c:yMode val="edge"/>
          <c:x val="9.8974536306017394E-2"/>
          <c:y val="0.8907966715509098"/>
          <c:w val="0.79532792856957735"/>
          <c:h val="7.7026653995836733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Newly register cpital</c:v>
                </c:pt>
              </c:strCache>
            </c:strRef>
          </c:tx>
          <c:invertIfNegative val="0"/>
          <c:dLbls>
            <c:dLbl>
              <c:idx val="2"/>
              <c:tx>
                <c:rich>
                  <a:bodyPr/>
                  <a:lstStyle/>
                  <a:p>
                    <a:r>
                      <a:rPr lang="en-US"/>
                      <a:t>0.39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862-4BD1-A2B8-9435E1BA9CF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'!$B$16:$F$16</c:f>
              <c:numCache>
                <c:formatCode>0.00</c:formatCode>
                <c:ptCount val="5"/>
                <c:pt idx="0">
                  <c:v>4.4608699640000014</c:v>
                </c:pt>
                <c:pt idx="1">
                  <c:v>1.3235359219999998</c:v>
                </c:pt>
                <c:pt idx="2">
                  <c:v>0.38795639920000002</c:v>
                </c:pt>
                <c:pt idx="3">
                  <c:v>1.2049149756799999</c:v>
                </c:pt>
                <c:pt idx="4">
                  <c:v>2.0111155299600005</c:v>
                </c:pt>
              </c:numCache>
            </c:numRef>
          </c:val>
          <c:extLst>
            <c:ext xmlns:c16="http://schemas.microsoft.com/office/drawing/2014/chart" uri="{C3380CC4-5D6E-409C-BE32-E72D297353CC}">
              <c16:uniqueId val="{00000001-9862-4BD1-A2B8-9435E1BA9CFC}"/>
            </c:ext>
          </c:extLst>
        </c:ser>
        <c:ser>
          <c:idx val="1"/>
          <c:order val="1"/>
          <c:tx>
            <c:strRef>
              <c:f>'04. FDI SO SANH '!$A$17</c:f>
              <c:strCache>
                <c:ptCount val="1"/>
                <c:pt idx="0">
                  <c:v>Adjust register cpital</c:v>
                </c:pt>
              </c:strCache>
            </c:strRef>
          </c:tx>
          <c:invertIfNegative val="0"/>
          <c:dLbls>
            <c:dLbl>
              <c:idx val="0"/>
              <c:tx>
                <c:rich>
                  <a:bodyPr/>
                  <a:lstStyle/>
                  <a:p>
                    <a:r>
                      <a:rPr lang="en-US"/>
                      <a:t>0.33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862-4BD1-A2B8-9435E1BA9CFC}"/>
                </c:ext>
              </c:extLst>
            </c:dLbl>
            <c:dLbl>
              <c:idx val="1"/>
              <c:tx>
                <c:rich>
                  <a:bodyPr/>
                  <a:lstStyle/>
                  <a:p>
                    <a:r>
                      <a:rPr lang="en-US"/>
                      <a:t>0.47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862-4BD1-A2B8-9435E1BA9CFC}"/>
                </c:ext>
              </c:extLst>
            </c:dLbl>
            <c:dLbl>
              <c:idx val="2"/>
              <c:tx>
                <c:rich>
                  <a:bodyPr/>
                  <a:lstStyle/>
                  <a:p>
                    <a:r>
                      <a:rPr lang="en-US"/>
                      <a:t>1.27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862-4BD1-A2B8-9435E1BA9CFC}"/>
                </c:ext>
              </c:extLst>
            </c:dLbl>
            <c:dLbl>
              <c:idx val="3"/>
              <c:layout>
                <c:manualLayout>
                  <c:x val="7.207205843852202E-3"/>
                  <c:y val="0"/>
                </c:manualLayout>
              </c:layout>
              <c:tx>
                <c:rich>
                  <a:bodyPr/>
                  <a:lstStyle/>
                  <a:p>
                    <a:r>
                      <a:rPr lang="en-US"/>
                      <a:t>0.31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862-4BD1-A2B8-9435E1BA9CFC}"/>
                </c:ext>
              </c:extLst>
            </c:dLbl>
            <c:dLbl>
              <c:idx val="4"/>
              <c:tx>
                <c:rich>
                  <a:bodyPr/>
                  <a:lstStyle/>
                  <a:p>
                    <a:r>
                      <a:rPr lang="en-US"/>
                      <a:t>0.24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862-4BD1-A2B8-9435E1BA9CF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'!$B$17:$F$17</c:f>
              <c:numCache>
                <c:formatCode>0.00</c:formatCode>
                <c:ptCount val="5"/>
                <c:pt idx="0">
                  <c:v>0.333956794</c:v>
                </c:pt>
                <c:pt idx="1">
                  <c:v>0.47223227128125006</c:v>
                </c:pt>
                <c:pt idx="2">
                  <c:v>1.2702599019062502</c:v>
                </c:pt>
                <c:pt idx="3">
                  <c:v>0.30629323181249996</c:v>
                </c:pt>
                <c:pt idx="4">
                  <c:v>0.23540943411181642</c:v>
                </c:pt>
              </c:numCache>
            </c:numRef>
          </c:val>
          <c:extLst>
            <c:ext xmlns:c16="http://schemas.microsoft.com/office/drawing/2014/chart" uri="{C3380CC4-5D6E-409C-BE32-E72D297353CC}">
              <c16:uniqueId val="{00000007-9862-4BD1-A2B8-9435E1BA9CFC}"/>
            </c:ext>
          </c:extLst>
        </c:ser>
        <c:ser>
          <c:idx val="2"/>
          <c:order val="2"/>
          <c:tx>
            <c:strRef>
              <c:f>'04. FDI SO SANH '!$A$18</c:f>
              <c:strCache>
                <c:ptCount val="1"/>
                <c:pt idx="0">
                  <c:v>Total value of capital contribution and share purchases of foreign investor</c:v>
                </c:pt>
              </c:strCache>
            </c:strRef>
          </c:tx>
          <c:invertIfNegative val="0"/>
          <c:dLbls>
            <c:dLbl>
              <c:idx val="0"/>
              <c:tx>
                <c:rich>
                  <a:bodyPr/>
                  <a:lstStyle/>
                  <a:p>
                    <a:r>
                      <a:rPr lang="en-US"/>
                      <a:t>0.53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862-4BD1-A2B8-9435E1BA9CFC}"/>
                </c:ext>
              </c:extLst>
            </c:dLbl>
            <c:dLbl>
              <c:idx val="1"/>
              <c:tx>
                <c:rich>
                  <a:bodyPr/>
                  <a:lstStyle/>
                  <a:p>
                    <a:r>
                      <a:rPr lang="en-US" baseline="0"/>
                      <a:t> 0</a:t>
                    </a:r>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862-4BD1-A2B8-9435E1BA9CFC}"/>
                </c:ext>
              </c:extLst>
            </c:dLbl>
            <c:dLbl>
              <c:idx val="2"/>
              <c:tx>
                <c:rich>
                  <a:bodyPr/>
                  <a:lstStyle/>
                  <a:p>
                    <a:r>
                      <a:rPr lang="en-US"/>
                      <a:t>0.44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9862-4BD1-A2B8-9435E1BA9CFC}"/>
                </c:ext>
              </c:extLst>
            </c:dLbl>
            <c:dLbl>
              <c:idx val="3"/>
              <c:tx>
                <c:rich>
                  <a:bodyPr wrap="square" lIns="38100" tIns="19050" rIns="38100" bIns="19050" anchor="ctr">
                    <a:noAutofit/>
                  </a:bodyPr>
                  <a:lstStyle/>
                  <a:p>
                    <a:pPr>
                      <a:defRPr/>
                    </a:pPr>
                    <a:r>
                      <a:rPr lang="en-US" baseline="0"/>
                      <a:t>         0.1</a:t>
                    </a:r>
                    <a:r>
                      <a:rPr lang="en-US"/>
                      <a:t>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B-9862-4BD1-A2B8-9435E1BA9CFC}"/>
                </c:ext>
              </c:extLst>
            </c:dLbl>
            <c:dLbl>
              <c:idx val="4"/>
              <c:layout>
                <c:manualLayout>
                  <c:x val="3.1231225323359518E-2"/>
                  <c:y val="0"/>
                </c:manualLayout>
              </c:layout>
              <c:tx>
                <c:rich>
                  <a:bodyPr/>
                  <a:lstStyle/>
                  <a:p>
                    <a:r>
                      <a:rPr lang="en-US"/>
                      <a:t> 0.12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9862-4BD1-A2B8-9435E1BA9CF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'!$B$18:$F$18</c:f>
              <c:numCache>
                <c:formatCode>0.00</c:formatCode>
                <c:ptCount val="5"/>
                <c:pt idx="0">
                  <c:v>0.53474807048149942</c:v>
                </c:pt>
                <c:pt idx="1">
                  <c:v>0.2208036407407277</c:v>
                </c:pt>
                <c:pt idx="2">
                  <c:v>0.44349827085500004</c:v>
                </c:pt>
                <c:pt idx="3">
                  <c:v>0.17414084215999998</c:v>
                </c:pt>
                <c:pt idx="4">
                  <c:v>0.11647994929999998</c:v>
                </c:pt>
              </c:numCache>
            </c:numRef>
          </c:val>
          <c:extLst>
            <c:ext xmlns:c16="http://schemas.microsoft.com/office/drawing/2014/chart" uri="{C3380CC4-5D6E-409C-BE32-E72D297353CC}">
              <c16:uniqueId val="{0000000D-9862-4BD1-A2B8-9435E1BA9CFC}"/>
            </c:ext>
          </c:extLst>
        </c:ser>
        <c:dLbls>
          <c:showLegendKey val="0"/>
          <c:showVal val="0"/>
          <c:showCatName val="0"/>
          <c:showSerName val="0"/>
          <c:showPercent val="0"/>
          <c:showBubbleSize val="0"/>
        </c:dLbls>
        <c:gapWidth val="150"/>
        <c:overlap val="100"/>
        <c:axId val="715438256"/>
        <c:axId val="715444240"/>
      </c:barChart>
      <c:catAx>
        <c:axId val="715438256"/>
        <c:scaling>
          <c:orientation val="minMax"/>
        </c:scaling>
        <c:delete val="0"/>
        <c:axPos val="l"/>
        <c:numFmt formatCode="General" sourceLinked="1"/>
        <c:majorTickMark val="out"/>
        <c:minorTickMark val="none"/>
        <c:tickLblPos val="nextTo"/>
        <c:crossAx val="715444240"/>
        <c:crosses val="autoZero"/>
        <c:auto val="1"/>
        <c:lblAlgn val="ctr"/>
        <c:lblOffset val="100"/>
        <c:noMultiLvlLbl val="0"/>
      </c:catAx>
      <c:valAx>
        <c:axId val="715444240"/>
        <c:scaling>
          <c:orientation val="minMax"/>
        </c:scaling>
        <c:delete val="0"/>
        <c:axPos val="b"/>
        <c:majorGridlines/>
        <c:numFmt formatCode="0.00" sourceLinked="1"/>
        <c:majorTickMark val="out"/>
        <c:minorTickMark val="none"/>
        <c:tickLblPos val="nextTo"/>
        <c:crossAx val="715438256"/>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a:t>Billion </a:t>
            </a:r>
            <a:r>
              <a:rPr lang="en" baseline="0"/>
              <a:t>USD</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Sheet2!$B$4:$F$4</c:f>
              <c:numCache>
                <c:formatCode>General</c:formatCode>
                <c:ptCount val="5"/>
                <c:pt idx="0">
                  <c:v>2020</c:v>
                </c:pt>
                <c:pt idx="1">
                  <c:v>2021</c:v>
                </c:pt>
                <c:pt idx="2">
                  <c:v>2022</c:v>
                </c:pt>
                <c:pt idx="3">
                  <c:v>2023</c:v>
                </c:pt>
                <c:pt idx="4">
                  <c:v>2024</c:v>
                </c:pt>
              </c:numCache>
            </c:numRef>
          </c:cat>
          <c:val>
            <c:numRef>
              <c:f>Sheet2!$B$5:$F$5</c:f>
              <c:numCache>
                <c:formatCode>0.00</c:formatCode>
                <c:ptCount val="5"/>
                <c:pt idx="0">
                  <c:v>1.45</c:v>
                </c:pt>
                <c:pt idx="1">
                  <c:v>1.51</c:v>
                </c:pt>
                <c:pt idx="2">
                  <c:v>1.6120000000000001</c:v>
                </c:pt>
                <c:pt idx="3">
                  <c:v>1.35</c:v>
                </c:pt>
                <c:pt idx="4">
                  <c:v>1.48</c:v>
                </c:pt>
              </c:numCache>
            </c:numRef>
          </c:val>
          <c:extLst>
            <c:ext xmlns:c16="http://schemas.microsoft.com/office/drawing/2014/chart" uri="{C3380CC4-5D6E-409C-BE32-E72D297353CC}">
              <c16:uniqueId val="{00000000-BF29-4AC3-A0F8-75F435807F39}"/>
            </c:ext>
          </c:extLst>
        </c:ser>
        <c:dLbls>
          <c:showLegendKey val="0"/>
          <c:showVal val="0"/>
          <c:showCatName val="0"/>
          <c:showSerName val="0"/>
          <c:showPercent val="0"/>
          <c:showBubbleSize val="0"/>
        </c:dLbls>
        <c:gapWidth val="219"/>
        <c:overlap val="-27"/>
        <c:axId val="683718384"/>
        <c:axId val="683709136"/>
      </c:barChart>
      <c:catAx>
        <c:axId val="68371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709136"/>
        <c:crosses val="autoZero"/>
        <c:auto val="1"/>
        <c:lblAlgn val="ctr"/>
        <c:lblOffset val="100"/>
        <c:noMultiLvlLbl val="0"/>
      </c:catAx>
      <c:valAx>
        <c:axId val="683709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718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99759405074367"/>
          <c:y val="7.179487179487179E-2"/>
          <c:w val="0.81622703412073494"/>
          <c:h val="0.67215626892792246"/>
        </c:manualLayout>
      </c:layout>
      <c:barChart>
        <c:barDir val="col"/>
        <c:grouping val="clustered"/>
        <c:varyColors val="0"/>
        <c:ser>
          <c:idx val="0"/>
          <c:order val="0"/>
          <c:tx>
            <c:strRef>
              <c:f>EN!$A$4</c:f>
              <c:strCache>
                <c:ptCount val="1"/>
                <c:pt idx="0">
                  <c:v>Total (Trillion dongs)</c:v>
                </c:pt>
              </c:strCache>
            </c:strRef>
          </c:tx>
          <c:spPr>
            <a:solidFill>
              <a:schemeClr val="accent2">
                <a:lumMod val="75000"/>
              </a:schemeClr>
            </a:solidFill>
            <a:ln>
              <a:noFill/>
            </a:ln>
            <a:effectLst/>
          </c:spPr>
          <c:invertIfNegative val="0"/>
          <c:dLbls>
            <c:dLbl>
              <c:idx val="3"/>
              <c:layout>
                <c:manualLayout>
                  <c:x val="2.777777777777676E-3"/>
                  <c:y val="-6.0185185185185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E7-4936-9541-8291DCDD4B8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EN!$B$3:$F$3</c:f>
              <c:numCache>
                <c:formatCode>General</c:formatCode>
                <c:ptCount val="5"/>
                <c:pt idx="0">
                  <c:v>2020</c:v>
                </c:pt>
                <c:pt idx="1">
                  <c:v>2021</c:v>
                </c:pt>
                <c:pt idx="2">
                  <c:v>2022</c:v>
                </c:pt>
                <c:pt idx="3">
                  <c:v>2023</c:v>
                </c:pt>
                <c:pt idx="4">
                  <c:v>2024</c:v>
                </c:pt>
              </c:numCache>
            </c:numRef>
          </c:cat>
          <c:val>
            <c:numRef>
              <c:f>EN!$B$4:$F$4</c:f>
              <c:numCache>
                <c:formatCode>0.0</c:formatCode>
                <c:ptCount val="5"/>
                <c:pt idx="0">
                  <c:v>440.80697288183609</c:v>
                </c:pt>
                <c:pt idx="1">
                  <c:v>420.22723135100114</c:v>
                </c:pt>
                <c:pt idx="2">
                  <c:v>427.75205630610407</c:v>
                </c:pt>
                <c:pt idx="3">
                  <c:v>484.79681723414507</c:v>
                </c:pt>
                <c:pt idx="4">
                  <c:v>524.11564626917391</c:v>
                </c:pt>
              </c:numCache>
            </c:numRef>
          </c:val>
          <c:extLst>
            <c:ext xmlns:c16="http://schemas.microsoft.com/office/drawing/2014/chart" uri="{C3380CC4-5D6E-409C-BE32-E72D297353CC}">
              <c16:uniqueId val="{00000001-63E7-4936-9541-8291DCDD4B89}"/>
            </c:ext>
          </c:extLst>
        </c:ser>
        <c:dLbls>
          <c:showLegendKey val="0"/>
          <c:showVal val="0"/>
          <c:showCatName val="0"/>
          <c:showSerName val="0"/>
          <c:showPercent val="0"/>
          <c:showBubbleSize val="0"/>
        </c:dLbls>
        <c:gapWidth val="122"/>
        <c:overlap val="-27"/>
        <c:axId val="-1501264128"/>
        <c:axId val="-1501257600"/>
      </c:barChart>
      <c:lineChart>
        <c:grouping val="stacked"/>
        <c:varyColors val="0"/>
        <c:ser>
          <c:idx val="1"/>
          <c:order val="1"/>
          <c:tx>
            <c:strRef>
              <c:f>EN!$A$5</c:f>
              <c:strCache>
                <c:ptCount val="1"/>
                <c:pt idx="0">
                  <c:v>Growth rate over the same period last year (%)</c:v>
                </c:pt>
              </c:strCache>
            </c:strRef>
          </c:tx>
          <c:spPr>
            <a:ln w="28575" cap="rnd">
              <a:solidFill>
                <a:srgbClr val="002060"/>
              </a:solidFill>
              <a:round/>
            </a:ln>
            <a:effectLst/>
          </c:spPr>
          <c:marker>
            <c:symbol val="circle"/>
            <c:size val="5"/>
            <c:spPr>
              <a:solidFill>
                <a:srgbClr val="002060"/>
              </a:solidFill>
              <a:ln w="9525">
                <a:solidFill>
                  <a:srgbClr val="002060"/>
                </a:solidFill>
              </a:ln>
              <a:effectLst/>
            </c:spPr>
          </c:marker>
          <c:dLbls>
            <c:dLbl>
              <c:idx val="0"/>
              <c:layout>
                <c:manualLayout>
                  <c:x val="-0.05"/>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E7-4936-9541-8291DCDD4B89}"/>
                </c:ext>
              </c:extLst>
            </c:dLbl>
            <c:dLbl>
              <c:idx val="1"/>
              <c:layout>
                <c:manualLayout>
                  <c:x val="-4.1666666666666664E-2"/>
                  <c:y val="-8.33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E7-4936-9541-8291DCDD4B89}"/>
                </c:ext>
              </c:extLst>
            </c:dLbl>
            <c:dLbl>
              <c:idx val="2"/>
              <c:layout>
                <c:manualLayout>
                  <c:x val="-4.1666666666666664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E7-4936-9541-8291DCDD4B89}"/>
                </c:ext>
              </c:extLst>
            </c:dLbl>
            <c:dLbl>
              <c:idx val="3"/>
              <c:layout>
                <c:manualLayout>
                  <c:x val="-4.7222222222222221E-2"/>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E7-4936-9541-8291DCDD4B89}"/>
                </c:ext>
              </c:extLst>
            </c:dLbl>
            <c:dLbl>
              <c:idx val="4"/>
              <c:layout>
                <c:manualLayout>
                  <c:x val="-4.1666666666666664E-2"/>
                  <c:y val="5.09259259259258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E7-4936-9541-8291DCDD4B8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EN!$B$3:$F$3</c:f>
              <c:numCache>
                <c:formatCode>General</c:formatCode>
                <c:ptCount val="5"/>
                <c:pt idx="0">
                  <c:v>2020</c:v>
                </c:pt>
                <c:pt idx="1">
                  <c:v>2021</c:v>
                </c:pt>
                <c:pt idx="2">
                  <c:v>2022</c:v>
                </c:pt>
                <c:pt idx="3">
                  <c:v>2023</c:v>
                </c:pt>
                <c:pt idx="4">
                  <c:v>2024</c:v>
                </c:pt>
              </c:numCache>
            </c:numRef>
          </c:cat>
          <c:val>
            <c:numRef>
              <c:f>EN!$B$5:$F$5</c:f>
              <c:numCache>
                <c:formatCode>0.0</c:formatCode>
                <c:ptCount val="5"/>
                <c:pt idx="0">
                  <c:v>8.6023157999472346</c:v>
                </c:pt>
                <c:pt idx="1">
                  <c:v>-4.6686515406714477</c:v>
                </c:pt>
                <c:pt idx="2">
                  <c:v>1.7906561959136127</c:v>
                </c:pt>
                <c:pt idx="3">
                  <c:v>13.335940783232417</c:v>
                </c:pt>
                <c:pt idx="4">
                  <c:v>8.1103727659249216</c:v>
                </c:pt>
              </c:numCache>
            </c:numRef>
          </c:val>
          <c:smooth val="0"/>
          <c:extLst>
            <c:ext xmlns:c16="http://schemas.microsoft.com/office/drawing/2014/chart" uri="{C3380CC4-5D6E-409C-BE32-E72D297353CC}">
              <c16:uniqueId val="{00000007-63E7-4936-9541-8291DCDD4B89}"/>
            </c:ext>
          </c:extLst>
        </c:ser>
        <c:dLbls>
          <c:showLegendKey val="0"/>
          <c:showVal val="0"/>
          <c:showCatName val="0"/>
          <c:showSerName val="0"/>
          <c:showPercent val="0"/>
          <c:showBubbleSize val="0"/>
        </c:dLbls>
        <c:marker val="1"/>
        <c:smooth val="0"/>
        <c:axId val="-1501262496"/>
        <c:axId val="-1501263040"/>
      </c:lineChart>
      <c:catAx>
        <c:axId val="-150126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01257600"/>
        <c:crosses val="autoZero"/>
        <c:auto val="1"/>
        <c:lblAlgn val="ctr"/>
        <c:lblOffset val="100"/>
        <c:noMultiLvlLbl val="0"/>
      </c:catAx>
      <c:valAx>
        <c:axId val="-15012576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1264128"/>
        <c:crosses val="autoZero"/>
        <c:crossBetween val="between"/>
      </c:valAx>
      <c:valAx>
        <c:axId val="-150126304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1262496"/>
        <c:crosses val="max"/>
        <c:crossBetween val="between"/>
      </c:valAx>
      <c:catAx>
        <c:axId val="-1501262496"/>
        <c:scaling>
          <c:orientation val="minMax"/>
        </c:scaling>
        <c:delete val="1"/>
        <c:axPos val="b"/>
        <c:numFmt formatCode="General" sourceLinked="1"/>
        <c:majorTickMark val="out"/>
        <c:minorTickMark val="none"/>
        <c:tickLblPos val="nextTo"/>
        <c:crossAx val="-15012630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800" b="1" i="0" baseline="0">
                <a:solidFill>
                  <a:sysClr val="windowText" lastClr="000000"/>
                </a:solidFill>
                <a:effectLst/>
                <a:latin typeface="Arial" panose="020B0604020202020204" pitchFamily="34" charset="0"/>
                <a:cs typeface="Arial" panose="020B0604020202020204" pitchFamily="34" charset="0"/>
              </a:rPr>
              <a:t>Export and import turnover of goods</a:t>
            </a:r>
          </a:p>
          <a:p>
            <a:pPr>
              <a:defRPr sz="800">
                <a:solidFill>
                  <a:sysClr val="windowText" lastClr="000000"/>
                </a:solidFill>
                <a:latin typeface="Arial" panose="020B0604020202020204" pitchFamily="34" charset="0"/>
                <a:cs typeface="Arial" panose="020B0604020202020204" pitchFamily="34" charset="0"/>
              </a:defRPr>
            </a:pPr>
            <a:r>
              <a:rPr lang="en-US" sz="800" b="1" i="1" baseline="0">
                <a:solidFill>
                  <a:sysClr val="windowText" lastClr="000000"/>
                </a:solidFill>
                <a:effectLst/>
                <a:latin typeface="Arial" panose="020B0604020202020204" pitchFamily="34" charset="0"/>
                <a:cs typeface="Arial" panose="020B0604020202020204" pitchFamily="34" charset="0"/>
              </a:rPr>
              <a:t>(Billion USD)</a:t>
            </a:r>
          </a:p>
        </c:rich>
      </c:tx>
      <c:overlay val="0"/>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Korea, Rep.</c:v>
                </c:pt>
                <c:pt idx="3">
                  <c:v>ASEAN</c:v>
                </c:pt>
                <c:pt idx="4">
                  <c:v>EU</c:v>
                </c:pt>
                <c:pt idx="5">
                  <c:v>Japan</c:v>
                </c:pt>
              </c:strCache>
            </c:strRef>
          </c:cat>
          <c:val>
            <c:numRef>
              <c:f>'XNK nước EN'!$B$3:$B$8</c:f>
              <c:numCache>
                <c:formatCode>0.0</c:formatCode>
                <c:ptCount val="6"/>
                <c:pt idx="0">
                  <c:v>6.13</c:v>
                </c:pt>
                <c:pt idx="1">
                  <c:v>9.58</c:v>
                </c:pt>
                <c:pt idx="2">
                  <c:v>2.08</c:v>
                </c:pt>
                <c:pt idx="3">
                  <c:v>3.0409999999999999</c:v>
                </c:pt>
                <c:pt idx="4">
                  <c:v>3.89</c:v>
                </c:pt>
                <c:pt idx="5">
                  <c:v>2.15</c:v>
                </c:pt>
              </c:numCache>
            </c:numRef>
          </c:val>
          <c:extLst>
            <c:ext xmlns:c16="http://schemas.microsoft.com/office/drawing/2014/chart" uri="{C3380CC4-5D6E-409C-BE32-E72D297353CC}">
              <c16:uniqueId val="{00000000-2106-4E17-B98E-2CCC4FE81417}"/>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4.8966670800076898E-17"/>
                  <c:y val="9.27213722763096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06-4E17-B98E-2CCC4FE8141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Korea, Rep.</c:v>
                </c:pt>
                <c:pt idx="3">
                  <c:v>ASEAN</c:v>
                </c:pt>
                <c:pt idx="4">
                  <c:v>EU</c:v>
                </c:pt>
                <c:pt idx="5">
                  <c:v>Japan</c:v>
                </c:pt>
              </c:strCache>
            </c:strRef>
          </c:cat>
          <c:val>
            <c:numRef>
              <c:f>'XNK nước EN'!$D$3:$D$8</c:f>
              <c:numCache>
                <c:formatCode>0.0</c:formatCode>
                <c:ptCount val="6"/>
                <c:pt idx="0">
                  <c:v>10.85</c:v>
                </c:pt>
                <c:pt idx="1">
                  <c:v>1.35</c:v>
                </c:pt>
                <c:pt idx="2">
                  <c:v>4.8499999999999996</c:v>
                </c:pt>
                <c:pt idx="3">
                  <c:v>3.7450000000000001</c:v>
                </c:pt>
                <c:pt idx="4">
                  <c:v>1.3680000000000001</c:v>
                </c:pt>
                <c:pt idx="5">
                  <c:v>1.95</c:v>
                </c:pt>
              </c:numCache>
            </c:numRef>
          </c:val>
          <c:extLst>
            <c:ext xmlns:c16="http://schemas.microsoft.com/office/drawing/2014/chart" uri="{C3380CC4-5D6E-409C-BE32-E72D297353CC}">
              <c16:uniqueId val="{00000002-2106-4E17-B98E-2CCC4FE81417}"/>
            </c:ext>
          </c:extLst>
        </c:ser>
        <c:dLbls>
          <c:showLegendKey val="0"/>
          <c:showVal val="0"/>
          <c:showCatName val="0"/>
          <c:showSerName val="0"/>
          <c:showPercent val="0"/>
          <c:showBubbleSize val="0"/>
        </c:dLbls>
        <c:gapWidth val="50"/>
        <c:overlap val="100"/>
        <c:axId val="319683056"/>
        <c:axId val="319688048"/>
      </c:barChart>
      <c:catAx>
        <c:axId val="3196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9688048"/>
        <c:crosses val="autoZero"/>
        <c:auto val="1"/>
        <c:lblAlgn val="ctr"/>
        <c:lblOffset val="100"/>
        <c:noMultiLvlLbl val="0"/>
      </c:catAx>
      <c:valAx>
        <c:axId val="3196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Arial "/>
                <a:ea typeface="+mn-ea"/>
                <a:cs typeface="+mn-cs"/>
              </a:defRPr>
            </a:pPr>
            <a:endParaRPr lang="en-US"/>
          </a:p>
        </c:txPr>
        <c:crossAx val="319683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800" b="1" i="0" baseline="0">
                <a:solidFill>
                  <a:sysClr val="windowText" lastClr="000000"/>
                </a:solidFill>
                <a:effectLst/>
                <a:latin typeface="Arial" panose="020B0604020202020204" pitchFamily="34" charset="0"/>
                <a:cs typeface="Arial" panose="020B0604020202020204" pitchFamily="34" charset="0"/>
              </a:rPr>
              <a:t>Growth rate of exports and imports of goods over the same period last year </a:t>
            </a:r>
            <a:r>
              <a:rPr lang="en-US" sz="800" b="1" i="1" baseline="0">
                <a:solidFill>
                  <a:sysClr val="windowText" lastClr="000000"/>
                </a:solidFill>
                <a:effectLst/>
                <a:latin typeface="Arial" panose="020B0604020202020204" pitchFamily="34" charset="0"/>
                <a:cs typeface="Arial" panose="020B0604020202020204" pitchFamily="34" charset="0"/>
              </a:rPr>
              <a:t>(%)</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2"/>
              <c:layout>
                <c:manualLayout>
                  <c:x val="-2.6075619295958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68-4359-893D-6E3453809457}"/>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Korea, Rep.</c:v>
                </c:pt>
                <c:pt idx="3">
                  <c:v>ASEAN</c:v>
                </c:pt>
                <c:pt idx="4">
                  <c:v>EU</c:v>
                </c:pt>
                <c:pt idx="5">
                  <c:v>Japan</c:v>
                </c:pt>
              </c:strCache>
            </c:strRef>
          </c:cat>
          <c:val>
            <c:numRef>
              <c:f>'XNK nước EN'!$C$3:$C$8</c:f>
              <c:numCache>
                <c:formatCode>General</c:formatCode>
                <c:ptCount val="6"/>
                <c:pt idx="0">
                  <c:v>57.8</c:v>
                </c:pt>
                <c:pt idx="1">
                  <c:v>55.8</c:v>
                </c:pt>
                <c:pt idx="2">
                  <c:v>22.4</c:v>
                </c:pt>
                <c:pt idx="3">
                  <c:v>38.5</c:v>
                </c:pt>
                <c:pt idx="4">
                  <c:v>17.899999999999999</c:v>
                </c:pt>
                <c:pt idx="5">
                  <c:v>39.6</c:v>
                </c:pt>
              </c:numCache>
            </c:numRef>
          </c:val>
          <c:extLst>
            <c:ext xmlns:c16="http://schemas.microsoft.com/office/drawing/2014/chart" uri="{C3380CC4-5D6E-409C-BE32-E72D297353CC}">
              <c16:uniqueId val="{00000001-2968-4359-893D-6E3453809457}"/>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7.6045627376425855E-3"/>
                  <c:y val="1.894028871391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68-4359-893D-6E3453809457}"/>
                </c:ext>
              </c:extLst>
            </c:dLbl>
            <c:dLbl>
              <c:idx val="2"/>
              <c:layout>
                <c:manualLayout>
                  <c:x val="1.303780964797914E-2"/>
                  <c:y val="-5.37345513164965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68-4359-893D-6E3453809457}"/>
                </c:ext>
              </c:extLst>
            </c:dLbl>
            <c:dLbl>
              <c:idx val="4"/>
              <c:layout>
                <c:manualLayout>
                  <c:x val="7.6045627376424927E-3"/>
                  <c:y val="1.1364829396325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68-4359-893D-6E3453809457}"/>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Korea, Rep.</c:v>
                </c:pt>
                <c:pt idx="3">
                  <c:v>ASEAN</c:v>
                </c:pt>
                <c:pt idx="4">
                  <c:v>EU</c:v>
                </c:pt>
                <c:pt idx="5">
                  <c:v>Japan</c:v>
                </c:pt>
              </c:strCache>
            </c:strRef>
          </c:cat>
          <c:val>
            <c:numRef>
              <c:f>'XNK nước EN'!$E$3:$E$8</c:f>
              <c:numCache>
                <c:formatCode>General</c:formatCode>
                <c:ptCount val="6"/>
                <c:pt idx="0">
                  <c:v>49.4</c:v>
                </c:pt>
                <c:pt idx="1">
                  <c:v>45.8</c:v>
                </c:pt>
                <c:pt idx="2">
                  <c:v>23.8</c:v>
                </c:pt>
                <c:pt idx="3">
                  <c:v>24.2</c:v>
                </c:pt>
                <c:pt idx="4">
                  <c:v>34.1</c:v>
                </c:pt>
                <c:pt idx="5">
                  <c:v>16.2</c:v>
                </c:pt>
              </c:numCache>
            </c:numRef>
          </c:val>
          <c:extLst>
            <c:ext xmlns:c16="http://schemas.microsoft.com/office/drawing/2014/chart" uri="{C3380CC4-5D6E-409C-BE32-E72D297353CC}">
              <c16:uniqueId val="{00000005-2968-4359-893D-6E3453809457}"/>
            </c:ext>
          </c:extLst>
        </c:ser>
        <c:dLbls>
          <c:showLegendKey val="0"/>
          <c:showVal val="0"/>
          <c:showCatName val="0"/>
          <c:showSerName val="0"/>
          <c:showPercent val="0"/>
          <c:showBubbleSize val="0"/>
        </c:dLbls>
        <c:gapWidth val="100"/>
        <c:overlap val="-27"/>
        <c:axId val="464358304"/>
        <c:axId val="464351232"/>
      </c:barChart>
      <c:catAx>
        <c:axId val="464358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64351232"/>
        <c:crosses val="autoZero"/>
        <c:auto val="1"/>
        <c:lblAlgn val="ctr"/>
        <c:lblOffset val="100"/>
        <c:noMultiLvlLbl val="0"/>
      </c:catAx>
      <c:valAx>
        <c:axId val="46435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46435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68F5-42CE-B208-81BBEE849575}"/>
              </c:ext>
            </c:extLst>
          </c:dPt>
          <c:dPt>
            <c:idx val="10"/>
            <c:invertIfNegative val="0"/>
            <c:bubble3D val="0"/>
            <c:spPr>
              <a:solidFill>
                <a:srgbClr val="00B050"/>
              </a:solidFill>
              <a:ln>
                <a:noFill/>
              </a:ln>
              <a:effectLst/>
            </c:spPr>
            <c:extLst>
              <c:ext xmlns:c16="http://schemas.microsoft.com/office/drawing/2014/chart" uri="{C3380CC4-5D6E-409C-BE32-E72D297353CC}">
                <c16:uniqueId val="{00000003-68F5-42CE-B208-81BBEE849575}"/>
              </c:ext>
            </c:extLst>
          </c:dPt>
          <c:dPt>
            <c:idx val="11"/>
            <c:invertIfNegative val="0"/>
            <c:bubble3D val="0"/>
            <c:spPr>
              <a:solidFill>
                <a:srgbClr val="00B050"/>
              </a:solidFill>
              <a:ln>
                <a:noFill/>
              </a:ln>
              <a:effectLst/>
            </c:spPr>
            <c:extLst>
              <c:ext xmlns:c16="http://schemas.microsoft.com/office/drawing/2014/chart" uri="{C3380CC4-5D6E-409C-BE32-E72D297353CC}">
                <c16:uniqueId val="{00000005-68F5-42CE-B208-81BBEE849575}"/>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Sheet2!$B$2:$B$13</c:f>
              <c:strCache>
                <c:ptCount val="12"/>
                <c:pt idx="0">
                  <c:v>Consumer price index</c:v>
                </c:pt>
                <c:pt idx="1">
                  <c:v>VI. Medicine and health care services</c:v>
                </c:pt>
                <c:pt idx="2">
                  <c:v>IV. Housing and construction materials</c:v>
                </c:pt>
                <c:pt idx="3">
                  <c:v>VII. Transport</c:v>
                </c:pt>
                <c:pt idx="4">
                  <c:v>XI. Other consumer goods and services</c:v>
                </c:pt>
                <c:pt idx="5">
                  <c:v>II. Beverage and cigarette</c:v>
                </c:pt>
                <c:pt idx="6">
                  <c:v>III. Garment, hat, footwear</c:v>
                </c:pt>
                <c:pt idx="7">
                  <c:v>I. Food and foodstuff</c:v>
                </c:pt>
                <c:pt idx="8">
                  <c:v>V. Household equipment and goods</c:v>
                </c:pt>
                <c:pt idx="9">
                  <c:v>X. Culture, entertainments and tourism</c:v>
                </c:pt>
                <c:pt idx="10">
                  <c:v>VIII. Household equipment and goods</c:v>
                </c:pt>
                <c:pt idx="11">
                  <c:v>IX. Education </c:v>
                </c:pt>
              </c:strCache>
            </c:strRef>
          </c:cat>
          <c:val>
            <c:numRef>
              <c:f>Sheet2!$C$2:$C$13</c:f>
              <c:numCache>
                <c:formatCode>0.00%</c:formatCode>
                <c:ptCount val="12"/>
                <c:pt idx="0">
                  <c:v>3.1119999999999898E-3</c:v>
                </c:pt>
                <c:pt idx="1">
                  <c:v>1.0167000000000002E-2</c:v>
                </c:pt>
                <c:pt idx="2">
                  <c:v>5.6010000000000556E-3</c:v>
                </c:pt>
                <c:pt idx="3">
                  <c:v>4.1060000000000228E-3</c:v>
                </c:pt>
                <c:pt idx="4">
                  <c:v>4.0059999999999714E-3</c:v>
                </c:pt>
                <c:pt idx="5">
                  <c:v>3.7659999999999625E-3</c:v>
                </c:pt>
                <c:pt idx="6">
                  <c:v>2.2150000000000602E-3</c:v>
                </c:pt>
                <c:pt idx="7">
                  <c:v>2.0690000000000452E-3</c:v>
                </c:pt>
                <c:pt idx="8">
                  <c:v>1.3729999999999619E-3</c:v>
                </c:pt>
                <c:pt idx="9">
                  <c:v>1.0750000000000171E-3</c:v>
                </c:pt>
                <c:pt idx="10">
                  <c:v>-4.8400000000000889E-4</c:v>
                </c:pt>
                <c:pt idx="11">
                  <c:v>-1.2099999999999511E-3</c:v>
                </c:pt>
              </c:numCache>
            </c:numRef>
          </c:val>
          <c:extLst>
            <c:ext xmlns:c16="http://schemas.microsoft.com/office/drawing/2014/chart" uri="{C3380CC4-5D6E-409C-BE32-E72D297353CC}">
              <c16:uniqueId val="{00000006-68F5-42CE-B208-81BBEE849575}"/>
            </c:ext>
          </c:extLst>
        </c:ser>
        <c:dLbls>
          <c:showLegendKey val="0"/>
          <c:showVal val="0"/>
          <c:showCatName val="0"/>
          <c:showSerName val="0"/>
          <c:showPercent val="0"/>
          <c:showBubbleSize val="0"/>
        </c:dLbls>
        <c:gapWidth val="150"/>
        <c:overlap val="-27"/>
        <c:axId val="124467008"/>
        <c:axId val="120957152"/>
      </c:barChart>
      <c:catAx>
        <c:axId val="1244670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0957152"/>
        <c:crosses val="autoZero"/>
        <c:auto val="1"/>
        <c:lblAlgn val="ctr"/>
        <c:lblOffset val="100"/>
        <c:noMultiLvlLbl val="0"/>
      </c:catAx>
      <c:valAx>
        <c:axId val="12095715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24467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0.88776</cdr:x>
      <cdr:y>0.6307</cdr:y>
    </cdr:from>
    <cdr:to>
      <cdr:x>0.90694</cdr:x>
      <cdr:y>0.66611</cdr:y>
    </cdr:to>
    <cdr:sp macro="" textlink="">
      <cdr:nvSpPr>
        <cdr:cNvPr id="2" name="Arrow: Right 1">
          <a:extLst xmlns:a="http://schemas.openxmlformats.org/drawingml/2006/main">
            <a:ext uri="{FF2B5EF4-FFF2-40B4-BE49-F238E27FC236}">
              <a16:creationId xmlns:a16="http://schemas.microsoft.com/office/drawing/2014/main" id="{EF60AD2D-674B-8E42-749E-2D852FE4A05B}"/>
            </a:ext>
          </a:extLst>
        </cdr:cNvPr>
        <cdr:cNvSpPr/>
      </cdr:nvSpPr>
      <cdr:spPr>
        <a:xfrm xmlns:a="http://schemas.openxmlformats.org/drawingml/2006/main" rot="16200000">
          <a:off x="7299882" y="2279944"/>
          <a:ext cx="128807" cy="157405"/>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0.54715</cdr:x>
      <cdr:y>0.62268</cdr:y>
    </cdr:from>
    <cdr:to>
      <cdr:x>0.56632</cdr:x>
      <cdr:y>0.65809</cdr:y>
    </cdr:to>
    <cdr:sp macro="" textlink="">
      <cdr:nvSpPr>
        <cdr:cNvPr id="3" name="Arrow: Right 2">
          <a:extLst xmlns:a="http://schemas.openxmlformats.org/drawingml/2006/main">
            <a:ext uri="{FF2B5EF4-FFF2-40B4-BE49-F238E27FC236}">
              <a16:creationId xmlns:a16="http://schemas.microsoft.com/office/drawing/2014/main" id="{4DD5F4FA-B159-FC5A-8EF7-C7FDB7D8FE56}"/>
            </a:ext>
          </a:extLst>
        </cdr:cNvPr>
        <cdr:cNvSpPr/>
      </cdr:nvSpPr>
      <cdr:spPr>
        <a:xfrm xmlns:a="http://schemas.openxmlformats.org/drawingml/2006/main" rot="5400000" flipV="1">
          <a:off x="4504589" y="2250815"/>
          <a:ext cx="128808" cy="15732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0.15424</cdr:x>
      <cdr:y>0.09139</cdr:y>
    </cdr:from>
    <cdr:to>
      <cdr:x>0.33778</cdr:x>
      <cdr:y>0.21969</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1265808" y="332422"/>
          <a:ext cx="1506265" cy="4667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0.47193</cdr:x>
      <cdr:y>0.61294</cdr:y>
    </cdr:from>
    <cdr:to>
      <cdr:x>0.55288</cdr:x>
      <cdr:y>0.67742</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2804963" y="2533802"/>
          <a:ext cx="481162" cy="26654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18,7%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baseline="0">
              <a:latin typeface="Arial" panose="020B0604020202020204" pitchFamily="34" charset="0"/>
              <a:cs typeface="Arial" panose="020B0604020202020204" pitchFamily="34" charset="0"/>
            </a:rPr>
            <a:t>Billions dong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0.18987</cdr:x>
      <cdr:y>0.57273</cdr:y>
    </cdr:from>
    <cdr:to>
      <cdr:x>0.20905</cdr:x>
      <cdr:y>0.60814</cdr:y>
    </cdr:to>
    <cdr:sp macro="" textlink="">
      <cdr:nvSpPr>
        <cdr:cNvPr id="7" name="Arrow: Right 6">
          <a:extLst xmlns:a="http://schemas.openxmlformats.org/drawingml/2006/main">
            <a:ext uri="{FF2B5EF4-FFF2-40B4-BE49-F238E27FC236}">
              <a16:creationId xmlns:a16="http://schemas.microsoft.com/office/drawing/2014/main" id="{367BF09B-FA22-C7D2-C66A-E0670D00DC70}"/>
            </a:ext>
          </a:extLst>
        </cdr:cNvPr>
        <cdr:cNvSpPr/>
      </cdr:nvSpPr>
      <cdr:spPr>
        <a:xfrm xmlns:a="http://schemas.openxmlformats.org/drawingml/2006/main" rot="16200000">
          <a:off x="1571030" y="2965412"/>
          <a:ext cx="182638" cy="15985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0.20084</cdr:x>
      <cdr:y>0.57568</cdr:y>
    </cdr:from>
    <cdr:to>
      <cdr:x>0.29487</cdr:x>
      <cdr:y>0.62212</cdr:y>
    </cdr:to>
    <cdr:sp macro="" textlink="">
      <cdr:nvSpPr>
        <cdr:cNvPr id="8" name="Rectangle 7">
          <a:extLst xmlns:a="http://schemas.openxmlformats.org/drawingml/2006/main">
            <a:ext uri="{FF2B5EF4-FFF2-40B4-BE49-F238E27FC236}">
              <a16:creationId xmlns:a16="http://schemas.microsoft.com/office/drawing/2014/main" id="{9423C7A8-0C71-D90F-762A-360C030A0411}"/>
            </a:ext>
          </a:extLst>
        </cdr:cNvPr>
        <cdr:cNvSpPr/>
      </cdr:nvSpPr>
      <cdr:spPr>
        <a:xfrm xmlns:a="http://schemas.openxmlformats.org/drawingml/2006/main">
          <a:off x="1193712" y="2379774"/>
          <a:ext cx="558887" cy="19197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13,1%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0.29227</cdr:x>
      <cdr:y>0.60671</cdr:y>
    </cdr:from>
    <cdr:to>
      <cdr:x>0.36859</cdr:x>
      <cdr:y>0.64747</cdr:y>
    </cdr:to>
    <cdr:sp macro="" textlink="">
      <cdr:nvSpPr>
        <cdr:cNvPr id="10" name="Rectangle 9">
          <a:extLst xmlns:a="http://schemas.openxmlformats.org/drawingml/2006/main">
            <a:ext uri="{FF2B5EF4-FFF2-40B4-BE49-F238E27FC236}">
              <a16:creationId xmlns:a16="http://schemas.microsoft.com/office/drawing/2014/main" id="{76095232-3DD7-2AB3-7E76-C524D4752094}"/>
            </a:ext>
          </a:extLst>
        </cdr:cNvPr>
        <cdr:cNvSpPr/>
      </cdr:nvSpPr>
      <cdr:spPr>
        <a:xfrm xmlns:a="http://schemas.openxmlformats.org/drawingml/2006/main">
          <a:off x="1737136" y="2508047"/>
          <a:ext cx="453614" cy="1684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0.37821</cdr:x>
      <cdr:y>0.58525</cdr:y>
    </cdr:from>
    <cdr:to>
      <cdr:x>0.45994</cdr:x>
      <cdr:y>0.65668</cdr:y>
    </cdr:to>
    <cdr:sp macro="" textlink="">
      <cdr:nvSpPr>
        <cdr:cNvPr id="12" name="Rectangle 11">
          <a:extLst xmlns:a="http://schemas.openxmlformats.org/drawingml/2006/main">
            <a:ext uri="{FF2B5EF4-FFF2-40B4-BE49-F238E27FC236}">
              <a16:creationId xmlns:a16="http://schemas.microsoft.com/office/drawing/2014/main" id="{FB76A0D4-F91A-A18B-636E-D7CCD3077604}"/>
            </a:ext>
          </a:extLst>
        </cdr:cNvPr>
        <cdr:cNvSpPr/>
      </cdr:nvSpPr>
      <cdr:spPr>
        <a:xfrm xmlns:a="http://schemas.openxmlformats.org/drawingml/2006/main">
          <a:off x="2247929" y="2419351"/>
          <a:ext cx="485746" cy="29527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29</a:t>
          </a:r>
          <a:r>
            <a:rPr lang="en-US" sz="800">
              <a:solidFill>
                <a:sysClr val="windowText" lastClr="000000"/>
              </a:solidFill>
              <a:latin typeface="Arial" panose="020B0604020202020204" pitchFamily="34" charset="0"/>
              <a:cs typeface="Arial" panose="020B0604020202020204" pitchFamily="34" charset="0"/>
            </a:rPr>
            <a:t>,8%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0.55375</cdr:x>
      <cdr:y>0.61521</cdr:y>
    </cdr:from>
    <cdr:to>
      <cdr:x>0.63942</cdr:x>
      <cdr:y>0.6682</cdr:y>
    </cdr:to>
    <cdr:sp macro="" textlink="">
      <cdr:nvSpPr>
        <cdr:cNvPr id="14" name="Rectangle 13">
          <a:extLst xmlns:a="http://schemas.openxmlformats.org/drawingml/2006/main">
            <a:ext uri="{FF2B5EF4-FFF2-40B4-BE49-F238E27FC236}">
              <a16:creationId xmlns:a16="http://schemas.microsoft.com/office/drawing/2014/main" id="{FD283BBE-D359-67BE-0E3F-715C10FA54E1}"/>
            </a:ext>
          </a:extLst>
        </cdr:cNvPr>
        <cdr:cNvSpPr/>
      </cdr:nvSpPr>
      <cdr:spPr>
        <a:xfrm xmlns:a="http://schemas.openxmlformats.org/drawingml/2006/main">
          <a:off x="3291269" y="2543175"/>
          <a:ext cx="509206" cy="21907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12</a:t>
          </a:r>
          <a:r>
            <a:rPr lang="en-US" sz="800">
              <a:solidFill>
                <a:sysClr val="windowText" lastClr="000000"/>
              </a:solidFill>
              <a:latin typeface="Arial" panose="020B0604020202020204" pitchFamily="34" charset="0"/>
              <a:cs typeface="Arial" panose="020B0604020202020204" pitchFamily="34" charset="0"/>
            </a:rPr>
            <a:t>,4%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0.70406</cdr:x>
      <cdr:y>0.62739</cdr:y>
    </cdr:from>
    <cdr:to>
      <cdr:x>0.72323</cdr:x>
      <cdr:y>0.6628</cdr:y>
    </cdr:to>
    <cdr:sp macro="" textlink="">
      <cdr:nvSpPr>
        <cdr:cNvPr id="15"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5400000" flipV="1">
          <a:off x="5754622" y="2775181"/>
          <a:ext cx="156633" cy="156684"/>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0.71467</cdr:x>
      <cdr:y>0.62592</cdr:y>
    </cdr:from>
    <cdr:to>
      <cdr:x>0.79647</cdr:x>
      <cdr:y>0.66359</cdr:y>
    </cdr:to>
    <cdr:sp macro="" textlink="">
      <cdr:nvSpPr>
        <cdr:cNvPr id="16" name="Rectangle 15">
          <a:extLst xmlns:a="http://schemas.openxmlformats.org/drawingml/2006/main">
            <a:ext uri="{FF2B5EF4-FFF2-40B4-BE49-F238E27FC236}">
              <a16:creationId xmlns:a16="http://schemas.microsoft.com/office/drawing/2014/main" id="{7CCCF479-1A1D-C0D0-FD7B-6D17E7CDBE67}"/>
            </a:ext>
          </a:extLst>
        </cdr:cNvPr>
        <cdr:cNvSpPr/>
      </cdr:nvSpPr>
      <cdr:spPr>
        <a:xfrm xmlns:a="http://schemas.openxmlformats.org/drawingml/2006/main">
          <a:off x="4247713" y="2587459"/>
          <a:ext cx="486212" cy="15574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26,2%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0.46172</cdr:x>
      <cdr:y>0.61124</cdr:y>
    </cdr:from>
    <cdr:to>
      <cdr:x>0.4809</cdr:x>
      <cdr:y>0.64665</cdr:y>
    </cdr:to>
    <cdr:sp macro="" textlink="">
      <cdr:nvSpPr>
        <cdr:cNvPr id="17" name="Arrow: Right 16">
          <a:extLst xmlns:a="http://schemas.openxmlformats.org/drawingml/2006/main">
            <a:ext uri="{FF2B5EF4-FFF2-40B4-BE49-F238E27FC236}">
              <a16:creationId xmlns:a16="http://schemas.microsoft.com/office/drawing/2014/main" id="{4F6842AD-DAB2-C736-4D28-6BC3E3E4305F}"/>
            </a:ext>
          </a:extLst>
        </cdr:cNvPr>
        <cdr:cNvSpPr/>
      </cdr:nvSpPr>
      <cdr:spPr>
        <a:xfrm xmlns:a="http://schemas.openxmlformats.org/drawingml/2006/main" rot="16200000">
          <a:off x="3773873" y="2703701"/>
          <a:ext cx="156633" cy="15676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0.63238</cdr:x>
      <cdr:y>0.58756</cdr:y>
    </cdr:from>
    <cdr:to>
      <cdr:x>0.70673</cdr:x>
      <cdr:y>0.67512</cdr:y>
    </cdr:to>
    <cdr:sp macro="" textlink="">
      <cdr:nvSpPr>
        <cdr:cNvPr id="18" name="Rectangle 17">
          <a:extLst xmlns:a="http://schemas.openxmlformats.org/drawingml/2006/main">
            <a:ext uri="{FF2B5EF4-FFF2-40B4-BE49-F238E27FC236}">
              <a16:creationId xmlns:a16="http://schemas.microsoft.com/office/drawing/2014/main" id="{A2463DCC-BB00-A5A6-A5F7-CA69151CEA3C}"/>
            </a:ext>
          </a:extLst>
        </cdr:cNvPr>
        <cdr:cNvSpPr/>
      </cdr:nvSpPr>
      <cdr:spPr>
        <a:xfrm xmlns:a="http://schemas.openxmlformats.org/drawingml/2006/main">
          <a:off x="3758613" y="2428875"/>
          <a:ext cx="441911" cy="3619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8,5%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0.80427</cdr:x>
      <cdr:y>0.62739</cdr:y>
    </cdr:from>
    <cdr:to>
      <cdr:x>0.87822</cdr:x>
      <cdr:y>0.67323</cdr:y>
    </cdr:to>
    <cdr:sp macro="" textlink="">
      <cdr:nvSpPr>
        <cdr:cNvPr id="20" name="Rectangle 19">
          <a:extLst xmlns:a="http://schemas.openxmlformats.org/drawingml/2006/main">
            <a:ext uri="{FF2B5EF4-FFF2-40B4-BE49-F238E27FC236}">
              <a16:creationId xmlns:a16="http://schemas.microsoft.com/office/drawing/2014/main" id="{66E072A7-B7DF-E870-23DB-0FBF2A849E00}"/>
            </a:ext>
          </a:extLst>
        </cdr:cNvPr>
        <cdr:cNvSpPr/>
      </cdr:nvSpPr>
      <cdr:spPr>
        <a:xfrm xmlns:a="http://schemas.openxmlformats.org/drawingml/2006/main">
          <a:off x="6573624" y="2775204"/>
          <a:ext cx="604417" cy="2027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8,5%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0.89661</cdr:x>
      <cdr:y>0.62592</cdr:y>
    </cdr:from>
    <cdr:to>
      <cdr:x>0.97756</cdr:x>
      <cdr:y>0.6659</cdr:y>
    </cdr:to>
    <cdr:sp macro="" textlink="">
      <cdr:nvSpPr>
        <cdr:cNvPr id="22" name="Rectangle 21">
          <a:extLst xmlns:a="http://schemas.openxmlformats.org/drawingml/2006/main">
            <a:ext uri="{FF2B5EF4-FFF2-40B4-BE49-F238E27FC236}">
              <a16:creationId xmlns:a16="http://schemas.microsoft.com/office/drawing/2014/main" id="{27CB9D63-3B4F-1042-BFE6-943F4851B2B3}"/>
            </a:ext>
          </a:extLst>
        </cdr:cNvPr>
        <cdr:cNvSpPr/>
      </cdr:nvSpPr>
      <cdr:spPr>
        <a:xfrm xmlns:a="http://schemas.openxmlformats.org/drawingml/2006/main">
          <a:off x="5329091" y="2587459"/>
          <a:ext cx="481159" cy="16526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0.79284</cdr:x>
      <cdr:y>0.62518</cdr:y>
    </cdr:from>
    <cdr:to>
      <cdr:x>0.81202</cdr:x>
      <cdr:y>0.66059</cdr:y>
    </cdr:to>
    <cdr:sp macro="" textlink="">
      <cdr:nvSpPr>
        <cdr:cNvPr id="23" name="Arrow: Right 8">
          <a:extLst xmlns:a="http://schemas.openxmlformats.org/drawingml/2006/main">
            <a:ext uri="{FF2B5EF4-FFF2-40B4-BE49-F238E27FC236}">
              <a16:creationId xmlns:a16="http://schemas.microsoft.com/office/drawing/2014/main" id="{AD4EF260-A097-65E5-8A96-97FA45A9D19C}"/>
            </a:ext>
          </a:extLst>
        </cdr:cNvPr>
        <cdr:cNvSpPr/>
      </cdr:nvSpPr>
      <cdr:spPr>
        <a:xfrm xmlns:a="http://schemas.openxmlformats.org/drawingml/2006/main" rot="16200000">
          <a:off x="6480242" y="2765361"/>
          <a:ext cx="156633" cy="15676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0.62713</cdr:x>
      <cdr:y>0.63455</cdr:y>
    </cdr:from>
    <cdr:to>
      <cdr:x>0.6463</cdr:x>
      <cdr:y>0.66996</cdr:y>
    </cdr:to>
    <cdr:sp macro="" textlink="">
      <cdr:nvSpPr>
        <cdr:cNvPr id="25"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5400000" flipV="1">
          <a:off x="5160934" y="2293967"/>
          <a:ext cx="128808" cy="15732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0.14314</cdr:x>
      <cdr:y>0.10038</cdr:y>
    </cdr:from>
    <cdr:to>
      <cdr:x>0.16231</cdr:x>
      <cdr:y>0.13579</cdr:y>
    </cdr:to>
    <cdr:sp macro="" textlink="">
      <cdr:nvSpPr>
        <cdr:cNvPr id="24"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5400000" flipV="1">
          <a:off x="1189009" y="350868"/>
          <a:ext cx="128808" cy="15732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0.28242</cdr:x>
      <cdr:y>0.61622</cdr:y>
    </cdr:from>
    <cdr:to>
      <cdr:x>0.30159</cdr:x>
      <cdr:y>0.65163</cdr:y>
    </cdr:to>
    <cdr:sp macro="" textlink="">
      <cdr:nvSpPr>
        <cdr:cNvPr id="26" name="Arrow: Right 2">
          <a:extLst xmlns:a="http://schemas.openxmlformats.org/drawingml/2006/main">
            <a:ext uri="{FF2B5EF4-FFF2-40B4-BE49-F238E27FC236}">
              <a16:creationId xmlns:a16="http://schemas.microsoft.com/office/drawing/2014/main" id="{4DD5F4FA-B159-FC5A-8EF7-C7FDB7D8FE56}"/>
            </a:ext>
          </a:extLst>
        </cdr:cNvPr>
        <cdr:cNvSpPr/>
      </cdr:nvSpPr>
      <cdr:spPr>
        <a:xfrm xmlns:a="http://schemas.openxmlformats.org/drawingml/2006/main" rot="5400000" flipV="1">
          <a:off x="2332009" y="2227293"/>
          <a:ext cx="128808" cy="15732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0.37411</cdr:x>
      <cdr:y>0.62407</cdr:y>
    </cdr:from>
    <cdr:to>
      <cdr:x>0.39328</cdr:x>
      <cdr:y>0.65948</cdr:y>
    </cdr:to>
    <cdr:sp macro="" textlink="">
      <cdr:nvSpPr>
        <cdr:cNvPr id="27"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5400000" flipV="1">
          <a:off x="3084484" y="2255868"/>
          <a:ext cx="128808" cy="15732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0.13585</cdr:x>
      <cdr:y>0.13645</cdr:y>
    </cdr:from>
    <cdr:to>
      <cdr:x>0.2723</cdr:x>
      <cdr:y>0.18709</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1264728" y="641508"/>
          <a:ext cx="1270313" cy="2381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56</a:t>
          </a:r>
          <a:r>
            <a:rPr lang="en-US" sz="800">
              <a:solidFill>
                <a:sysClr val="windowText" lastClr="000000"/>
              </a:solidFill>
              <a:latin typeface="Arial" panose="020B0604020202020204" pitchFamily="34" charset="0"/>
              <a:cs typeface="Arial" panose="020B0604020202020204" pitchFamily="34" charset="0"/>
            </a:rPr>
            <a:t>,1%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0.72405</cdr:x>
      <cdr:y>0.56949</cdr:y>
    </cdr:from>
    <cdr:to>
      <cdr:x>0.79909</cdr:x>
      <cdr:y>0.63027</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6740715" y="2677478"/>
          <a:ext cx="698603" cy="28574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6,9%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baseline="0">
              <a:latin typeface="Arial" panose="020B0604020202020204" pitchFamily="34" charset="0"/>
              <a:cs typeface="Arial" panose="020B0604020202020204" pitchFamily="34" charset="0"/>
            </a:rPr>
            <a:t>Billions dong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0.12687</cdr:x>
      <cdr:y>0.14129</cdr:y>
    </cdr:from>
    <cdr:to>
      <cdr:x>0.14605</cdr:x>
      <cdr:y>0.1767</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201360" y="577247"/>
          <a:ext cx="148522" cy="17929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0.61867</cdr:x>
      <cdr:y>0.56642</cdr:y>
    </cdr:from>
    <cdr:to>
      <cdr:x>0.63785</cdr:x>
      <cdr:y>0.60183</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5148317" y="2817125"/>
          <a:ext cx="175622" cy="15985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0.82141</cdr:x>
      <cdr:y>0.59187</cdr:y>
    </cdr:from>
    <cdr:to>
      <cdr:x>0.84059</cdr:x>
      <cdr:y>0.62728</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5265777" y="2318993"/>
          <a:ext cx="138284" cy="12313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0.24725</cdr:x>
      <cdr:y>0.46633</cdr:y>
    </cdr:from>
    <cdr:to>
      <cdr:x>0.32344</cdr:x>
      <cdr:y>0.49756</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1587308" y="1821135"/>
          <a:ext cx="489142" cy="12196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20,4%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0.34347</cdr:x>
      <cdr:y>0.50953</cdr:y>
    </cdr:from>
    <cdr:to>
      <cdr:x>0.44104</cdr:x>
      <cdr:y>0.57327</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197615" y="2189321"/>
          <a:ext cx="908351" cy="27384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42,2%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0.43398</cdr:x>
      <cdr:y>0.52311</cdr:y>
    </cdr:from>
    <cdr:to>
      <cdr:x>0.53155</cdr:x>
      <cdr:y>0.60098</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056774" y="2194084"/>
          <a:ext cx="912069" cy="32662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0.54095</cdr:x>
      <cdr:y>0.54183</cdr:y>
    </cdr:from>
    <cdr:to>
      <cdr:x>0.63852</cdr:x>
      <cdr:y>0.60168</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508500" y="2687320"/>
          <a:ext cx="813185" cy="2968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48,4%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0.63038</cdr:x>
      <cdr:y>0.56642</cdr:y>
    </cdr:from>
    <cdr:to>
      <cdr:x>0.70772</cdr:x>
      <cdr:y>0.62683</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046945" y="2212012"/>
          <a:ext cx="496480" cy="2359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0.83213</cdr:x>
      <cdr:y>0.58537</cdr:y>
    </cdr:from>
    <cdr:to>
      <cdr:x>0.94014</cdr:x>
      <cdr:y>0.63395</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342150" y="2286000"/>
          <a:ext cx="693408" cy="18973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24,5%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0.92285</cdr:x>
      <cdr:y>0.60488</cdr:y>
    </cdr:from>
    <cdr:to>
      <cdr:x>1</cdr:x>
      <cdr:y>0.65366</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924551" y="2362200"/>
          <a:ext cx="495299" cy="190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11,8%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0.52981</cdr:x>
      <cdr:y>0.54768</cdr:y>
    </cdr:from>
    <cdr:to>
      <cdr:x>0.54899</cdr:x>
      <cdr:y>0.58309</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4938404" y="2568884"/>
          <a:ext cx="166481" cy="17856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0.71269</cdr:x>
      <cdr:y>0.57047</cdr:y>
    </cdr:from>
    <cdr:to>
      <cdr:x>0.73187</cdr:x>
      <cdr:y>0.60588</cdr:y>
    </cdr:to>
    <cdr:sp macro="" textlink="">
      <cdr:nvSpPr>
        <cdr:cNvPr id="25"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6640997" y="2676043"/>
          <a:ext cx="166481" cy="17856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0.33456</cdr:x>
      <cdr:y>0.50717</cdr:y>
    </cdr:from>
    <cdr:to>
      <cdr:x>0.35374</cdr:x>
      <cdr:y>0.54258</cdr:y>
    </cdr:to>
    <cdr:sp macro="" textlink="">
      <cdr:nvSpPr>
        <cdr:cNvPr id="21"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3142760" y="2111865"/>
          <a:ext cx="148521" cy="17929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0.23062</cdr:x>
      <cdr:y>0.4663</cdr:y>
    </cdr:from>
    <cdr:to>
      <cdr:x>0.2498</cdr:x>
      <cdr:y>0.50171</cdr:y>
    </cdr:to>
    <cdr:sp macro="" textlink="">
      <cdr:nvSpPr>
        <cdr:cNvPr id="22"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2171210" y="1940415"/>
          <a:ext cx="148522" cy="17929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0.42422</cdr:x>
      <cdr:y>0.52307</cdr:y>
    </cdr:from>
    <cdr:to>
      <cdr:x>0.4434</cdr:x>
      <cdr:y>0.55848</cdr:y>
    </cdr:to>
    <cdr:sp macro="" textlink="">
      <cdr:nvSpPr>
        <cdr:cNvPr id="26"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3980960" y="2178540"/>
          <a:ext cx="148522" cy="17929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0.91108</cdr:x>
      <cdr:y>0.59901</cdr:y>
    </cdr:from>
    <cdr:to>
      <cdr:x>0.93026</cdr:x>
      <cdr:y>0.63442</cdr:y>
    </cdr:to>
    <cdr:sp macro="" textlink="">
      <cdr:nvSpPr>
        <cdr:cNvPr id="2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5841448" y="2346876"/>
          <a:ext cx="138285" cy="12313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3.xml><?xml version="1.0" encoding="utf-8"?>
<c:userShapes xmlns:c="http://schemas.openxmlformats.org/drawingml/2006/chart">
  <cdr:relSizeAnchor xmlns:cdr="http://schemas.openxmlformats.org/drawingml/2006/chartDrawing">
    <cdr:from>
      <cdr:x>0.5027</cdr:x>
      <cdr:y>0.05278</cdr:y>
    </cdr:from>
    <cdr:to>
      <cdr:x>0.63423</cdr:x>
      <cdr:y>0.13872</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2657476" y="160874"/>
          <a:ext cx="695325"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2</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36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0.39099</cdr:x>
      <cdr:y>0.19444</cdr:y>
    </cdr:from>
    <cdr:to>
      <cdr:x>0.50811</cdr:x>
      <cdr:y>0.28038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2066926" y="592653"/>
          <a:ext cx="619125"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1</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69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0.42162</cdr:x>
      <cdr:y>0.33333</cdr:y>
    </cdr:from>
    <cdr:to>
      <cdr:x>0.4991</cdr:x>
      <cdr:y>0.41927</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2228850" y="1015990"/>
          <a:ext cx="409575"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2.</a:t>
          </a:r>
          <a:r>
            <a:rPr lang="en-GB" sz="1000" b="1">
              <a:effectLst/>
              <a:latin typeface="Arial" panose="020B0604020202020204" pitchFamily="34" charset="0"/>
              <a:ea typeface="Times New Roman" panose="02020603050405020304" pitchFamily="18" charset="0"/>
              <a:cs typeface="Arial" panose="020B0604020202020204" pitchFamily="34" charset="0"/>
            </a:rPr>
            <a:t>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0.42342</cdr:x>
      <cdr:y>0.46367</cdr:y>
    </cdr:from>
    <cdr:to>
      <cdr:x>0.53514</cdr:x>
      <cdr:y>0.54961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2238376" y="1413266"/>
          <a:ext cx="59055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a:t>
          </a:r>
          <a:r>
            <a:rPr lang="vi-VN" sz="1000" b="1">
              <a:effectLst/>
              <a:latin typeface="Arial" panose="020B0604020202020204" pitchFamily="34" charset="0"/>
              <a:ea typeface="Times New Roman" panose="02020603050405020304" pitchFamily="18" charset="0"/>
              <a:cs typeface="Arial" panose="020B0604020202020204" pitchFamily="34" charset="0"/>
            </a:rPr>
            <a:t>0</a:t>
          </a:r>
          <a:r>
            <a:rPr lang="en-GB" sz="1000" b="1">
              <a:effectLst/>
              <a:latin typeface="Arial" panose="020B0604020202020204" pitchFamily="34" charset="0"/>
              <a:ea typeface="Times New Roman" panose="02020603050405020304" pitchFamily="18" charset="0"/>
              <a:cs typeface="Arial" panose="020B0604020202020204" pitchFamily="34" charset="0"/>
            </a:rPr>
            <a:t>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0.84144</cdr:x>
      <cdr:y>0.60625</cdr:y>
    </cdr:from>
    <cdr:to>
      <cdr:x>0.93874</cdr:x>
      <cdr:y>0.69219</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448176" y="1847850"/>
          <a:ext cx="51435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5</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33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ACAF7-53A6-4E1C-82DC-24FD331A1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28</Pages>
  <Words>7678</Words>
  <Characters>40657</Characters>
  <Application>Microsoft Office Word</Application>
  <DocSecurity>0</DocSecurity>
  <Lines>338</Lines>
  <Paragraphs>96</Paragraphs>
  <ScaleCrop>false</ScaleCrop>
  <HeadingPairs>
    <vt:vector size="2" baseType="variant">
      <vt:variant>
        <vt:lpstr>Title</vt:lpstr>
      </vt:variant>
      <vt:variant>
        <vt:i4>1</vt:i4>
      </vt:variant>
    </vt:vector>
  </HeadingPairs>
  <TitlesOfParts>
    <vt:vector size="1" baseType="lpstr">
      <vt:lpstr/>
    </vt:vector>
  </TitlesOfParts>
  <Company>TKTH-TCTK</Company>
  <LinksUpToDate>false</LinksUpToDate>
  <CharactersWithSpaces>48239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ltanh</dc:creator>
  <cp:lastModifiedBy>Dương Thùy</cp:lastModifiedBy>
  <cp:revision>54</cp:revision>
  <cp:lastPrinted>2024-01-29T07:55:00Z</cp:lastPrinted>
  <dcterms:created xsi:type="dcterms:W3CDTF">2024-01-25T03:10:00Z</dcterms:created>
  <dcterms:modified xsi:type="dcterms:W3CDTF">2024-02-01T01:18:00Z</dcterms:modified>
</cp:coreProperties>
</file>