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ayout w:type="fixed"/>
        <w:tblLook w:val="0000" w:firstRow="0" w:lastRow="0" w:firstColumn="0" w:lastColumn="0" w:noHBand="0" w:noVBand="0"/>
      </w:tblPr>
      <w:tblGrid>
        <w:gridCol w:w="3438"/>
        <w:gridCol w:w="5776"/>
      </w:tblGrid>
      <w:tr w:rsidR="00791FF1" w:rsidRPr="00FE2F2E" w:rsidTr="00495A40">
        <w:trPr>
          <w:jc w:val="center"/>
        </w:trPr>
        <w:tc>
          <w:tcPr>
            <w:tcW w:w="3438" w:type="dxa"/>
          </w:tcPr>
          <w:p w:rsidR="00791FF1" w:rsidRPr="00FE2F2E" w:rsidRDefault="00791FF1" w:rsidP="00495A40">
            <w:pPr>
              <w:spacing w:after="0" w:line="240" w:lineRule="auto"/>
              <w:ind w:left="-558" w:right="-115" w:firstLine="360"/>
              <w:jc w:val="center"/>
              <w:rPr>
                <w:rFonts w:ascii="Times New Roman" w:hAnsi="Times New Roman" w:cs="Times New Roman"/>
                <w:sz w:val="26"/>
                <w:szCs w:val="26"/>
              </w:rPr>
            </w:pPr>
            <w:bookmarkStart w:id="0" w:name="_GoBack"/>
            <w:bookmarkEnd w:id="0"/>
            <w:r w:rsidRPr="00FE2F2E">
              <w:rPr>
                <w:rFonts w:ascii="Times New Roman" w:hAnsi="Times New Roman" w:cs="Times New Roman"/>
                <w:sz w:val="26"/>
                <w:szCs w:val="26"/>
              </w:rPr>
              <w:t>BỘ KẾ HOẠCH VÀ ĐẦU TƯ</w:t>
            </w:r>
          </w:p>
          <w:p w:rsidR="00791FF1" w:rsidRPr="00FE2F2E" w:rsidRDefault="00791FF1" w:rsidP="00495A40">
            <w:pPr>
              <w:spacing w:after="0" w:line="240" w:lineRule="auto"/>
              <w:ind w:right="-115"/>
              <w:rPr>
                <w:rFonts w:ascii="Times New Roman" w:hAnsi="Times New Roman" w:cs="Times New Roman"/>
                <w:b/>
                <w:bCs/>
                <w:sz w:val="28"/>
                <w:szCs w:val="28"/>
              </w:rPr>
            </w:pPr>
            <w:r w:rsidRPr="00FE2F2E">
              <w:rPr>
                <w:rFonts w:ascii="Times New Roman" w:hAnsi="Times New Roman" w:cs="Times New Roman"/>
                <w:b/>
                <w:bCs/>
                <w:sz w:val="26"/>
                <w:szCs w:val="26"/>
              </w:rPr>
              <w:t xml:space="preserve">  TỔNG CỤC THỐNG KÊ</w:t>
            </w:r>
          </w:p>
          <w:p w:rsidR="00791FF1" w:rsidRPr="00FE2F2E" w:rsidRDefault="00005AF6" w:rsidP="00495A40">
            <w:pPr>
              <w:spacing w:before="360" w:after="0" w:line="252" w:lineRule="auto"/>
              <w:ind w:hanging="272"/>
              <w:jc w:val="center"/>
              <w:rPr>
                <w:rFonts w:ascii="Times New Roman" w:hAnsi="Times New Roman" w:cs="Times New Roman"/>
                <w:sz w:val="28"/>
                <w:szCs w:val="28"/>
              </w:rPr>
            </w:pPr>
            <w:r w:rsidRPr="00FE2F2E">
              <w:rPr>
                <w:rFonts w:ascii="Times New Roman" w:hAnsi="Times New Roman" w:cs="Times New Roman"/>
                <w:noProof/>
                <w:lang w:eastAsia="en-GB"/>
              </w:rPr>
              <mc:AlternateContent>
                <mc:Choice Requires="wps">
                  <w:drawing>
                    <wp:anchor distT="4294967294" distB="4294967294" distL="114300" distR="114300" simplePos="0" relativeHeight="251662336" behindDoc="0" locked="0" layoutInCell="1" allowOverlap="1">
                      <wp:simplePos x="0" y="0"/>
                      <wp:positionH relativeFrom="column">
                        <wp:posOffset>463550</wp:posOffset>
                      </wp:positionH>
                      <wp:positionV relativeFrom="paragraph">
                        <wp:posOffset>19049</wp:posOffset>
                      </wp:positionV>
                      <wp:extent cx="9715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E993C" id="Line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5pt,1.5pt" to="1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" strokeweight="1pt"/>
                  </w:pict>
                </mc:Fallback>
              </mc:AlternateContent>
            </w:r>
          </w:p>
        </w:tc>
        <w:tc>
          <w:tcPr>
            <w:tcW w:w="5776" w:type="dxa"/>
          </w:tcPr>
          <w:p w:rsidR="00791FF1" w:rsidRPr="00FE2F2E" w:rsidRDefault="00791FF1" w:rsidP="00495A40">
            <w:pPr>
              <w:spacing w:after="0" w:line="240" w:lineRule="auto"/>
              <w:jc w:val="center"/>
              <w:rPr>
                <w:rFonts w:ascii="Times New Roman" w:hAnsi="Times New Roman" w:cs="Times New Roman"/>
                <w:b/>
                <w:bCs/>
                <w:sz w:val="26"/>
                <w:szCs w:val="26"/>
              </w:rPr>
            </w:pPr>
            <w:r w:rsidRPr="00FE2F2E">
              <w:rPr>
                <w:rFonts w:ascii="Times New Roman" w:hAnsi="Times New Roman" w:cs="Times New Roman"/>
                <w:b/>
                <w:bCs/>
                <w:sz w:val="26"/>
                <w:szCs w:val="26"/>
              </w:rPr>
              <w:t xml:space="preserve">CỘNG </w:t>
            </w:r>
            <w:r w:rsidR="00CC22FC" w:rsidRPr="00FE2F2E">
              <w:rPr>
                <w:rFonts w:ascii="Times New Roman" w:hAnsi="Times New Roman" w:cs="Times New Roman"/>
                <w:b/>
                <w:bCs/>
                <w:sz w:val="26"/>
                <w:szCs w:val="26"/>
              </w:rPr>
              <w:t>HÒA</w:t>
            </w:r>
            <w:r w:rsidRPr="00FE2F2E">
              <w:rPr>
                <w:rFonts w:ascii="Times New Roman" w:hAnsi="Times New Roman" w:cs="Times New Roman"/>
                <w:b/>
                <w:bCs/>
                <w:sz w:val="26"/>
                <w:szCs w:val="26"/>
              </w:rPr>
              <w:t xml:space="preserve"> XÃ HỘI CHỦ NGHĨA VIỆT NAM</w:t>
            </w:r>
          </w:p>
          <w:p w:rsidR="00791FF1" w:rsidRPr="00FE2F2E" w:rsidRDefault="00791FF1" w:rsidP="00495A40">
            <w:pPr>
              <w:spacing w:after="0" w:line="240" w:lineRule="auto"/>
              <w:jc w:val="center"/>
              <w:rPr>
                <w:rFonts w:ascii="Times New Roman" w:hAnsi="Times New Roman" w:cs="Times New Roman"/>
                <w:b/>
                <w:bCs/>
                <w:sz w:val="26"/>
                <w:szCs w:val="26"/>
              </w:rPr>
            </w:pPr>
            <w:r w:rsidRPr="00FE2F2E">
              <w:rPr>
                <w:rFonts w:ascii="Times New Roman" w:hAnsi="Times New Roman" w:cs="Times New Roman"/>
                <w:b/>
                <w:bCs/>
                <w:sz w:val="26"/>
                <w:szCs w:val="26"/>
              </w:rPr>
              <w:t>Độc lập - Tự do - Hạnh phúc</w:t>
            </w:r>
          </w:p>
          <w:p w:rsidR="00791FF1" w:rsidRPr="00FE2F2E" w:rsidRDefault="00005AF6" w:rsidP="00005AF6">
            <w:pPr>
              <w:spacing w:before="240" w:after="0" w:line="252" w:lineRule="auto"/>
              <w:ind w:firstLine="391"/>
              <w:rPr>
                <w:rFonts w:ascii="Times New Roman" w:hAnsi="Times New Roman" w:cs="Times New Roman"/>
                <w:b/>
                <w:bCs/>
                <w:i/>
                <w:iCs/>
                <w:sz w:val="28"/>
                <w:szCs w:val="28"/>
              </w:rPr>
            </w:pPr>
            <w:r w:rsidRPr="00FE2F2E">
              <w:rPr>
                <w:rFonts w:ascii="Times New Roman" w:hAnsi="Times New Roman" w:cs="Times New Roman"/>
                <w:noProof/>
                <w:lang w:eastAsia="en-GB"/>
              </w:rPr>
              <mc:AlternateContent>
                <mc:Choice Requires="wps">
                  <w:drawing>
                    <wp:anchor distT="4294967294" distB="4294967294" distL="114300" distR="114300" simplePos="0" relativeHeight="251663360" behindDoc="0" locked="0" layoutInCell="1" allowOverlap="1">
                      <wp:simplePos x="0" y="0"/>
                      <wp:positionH relativeFrom="column">
                        <wp:posOffset>796925</wp:posOffset>
                      </wp:positionH>
                      <wp:positionV relativeFrom="paragraph">
                        <wp:posOffset>21589</wp:posOffset>
                      </wp:positionV>
                      <wp:extent cx="1941195"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6CB3" id="Line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75pt,1.7pt" to="21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r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" strokeweight="1pt"/>
                  </w:pict>
                </mc:Fallback>
              </mc:AlternateContent>
            </w:r>
            <w:r w:rsidR="00791FF1" w:rsidRPr="00FE2F2E">
              <w:rPr>
                <w:rFonts w:ascii="Times New Roman" w:hAnsi="Times New Roman" w:cs="Times New Roman"/>
                <w:i/>
                <w:iCs/>
                <w:sz w:val="28"/>
                <w:szCs w:val="28"/>
              </w:rPr>
              <w:t xml:space="preserve">      Hà Nội, ngày 2</w:t>
            </w:r>
            <w:r w:rsidR="001C147A" w:rsidRPr="00FE2F2E">
              <w:rPr>
                <w:rFonts w:ascii="Times New Roman" w:hAnsi="Times New Roman" w:cs="Times New Roman"/>
                <w:i/>
                <w:iCs/>
                <w:sz w:val="28"/>
                <w:szCs w:val="28"/>
              </w:rPr>
              <w:t>9</w:t>
            </w:r>
            <w:r w:rsidR="00791FF1" w:rsidRPr="00FE2F2E">
              <w:rPr>
                <w:rFonts w:ascii="Times New Roman" w:hAnsi="Times New Roman" w:cs="Times New Roman"/>
                <w:i/>
                <w:iCs/>
                <w:sz w:val="28"/>
                <w:szCs w:val="28"/>
              </w:rPr>
              <w:t xml:space="preserve"> tháng </w:t>
            </w:r>
            <w:r w:rsidR="000F7DF2" w:rsidRPr="00FE2F2E">
              <w:rPr>
                <w:rFonts w:ascii="Times New Roman" w:hAnsi="Times New Roman" w:cs="Times New Roman"/>
                <w:i/>
                <w:iCs/>
                <w:sz w:val="28"/>
                <w:szCs w:val="28"/>
              </w:rPr>
              <w:t>6</w:t>
            </w:r>
            <w:r w:rsidR="00791FF1" w:rsidRPr="00FE2F2E">
              <w:rPr>
                <w:rFonts w:ascii="Times New Roman" w:hAnsi="Times New Roman" w:cs="Times New Roman"/>
                <w:i/>
                <w:iCs/>
                <w:sz w:val="28"/>
                <w:szCs w:val="28"/>
              </w:rPr>
              <w:t xml:space="preserve"> năm 20</w:t>
            </w:r>
            <w:r w:rsidR="00CC22FC" w:rsidRPr="00FE2F2E">
              <w:rPr>
                <w:rFonts w:ascii="Times New Roman" w:hAnsi="Times New Roman" w:cs="Times New Roman"/>
                <w:i/>
                <w:iCs/>
                <w:sz w:val="28"/>
                <w:szCs w:val="28"/>
              </w:rPr>
              <w:t>2</w:t>
            </w:r>
            <w:r>
              <w:rPr>
                <w:rFonts w:ascii="Times New Roman" w:hAnsi="Times New Roman" w:cs="Times New Roman"/>
                <w:i/>
                <w:iCs/>
                <w:sz w:val="28"/>
                <w:szCs w:val="28"/>
              </w:rPr>
              <w:t>2</w:t>
            </w:r>
          </w:p>
        </w:tc>
      </w:tr>
    </w:tbl>
    <w:p w:rsidR="00791FF1" w:rsidRPr="00FE2F2E" w:rsidRDefault="00791FF1" w:rsidP="00F76179">
      <w:pPr>
        <w:spacing w:after="0" w:line="245" w:lineRule="auto"/>
        <w:jc w:val="center"/>
        <w:rPr>
          <w:rFonts w:ascii="Times New Roman" w:hAnsi="Times New Roman" w:cs="Times New Roman"/>
          <w:b/>
          <w:bCs/>
          <w:sz w:val="34"/>
          <w:szCs w:val="30"/>
          <w:lang w:val="pt-BR"/>
        </w:rPr>
      </w:pPr>
    </w:p>
    <w:p w:rsidR="00B54309" w:rsidRPr="00FE2F2E" w:rsidRDefault="00F676B6" w:rsidP="00F76179">
      <w:pPr>
        <w:spacing w:after="0" w:line="245" w:lineRule="auto"/>
        <w:jc w:val="center"/>
        <w:rPr>
          <w:rFonts w:ascii="Times New Roman" w:hAnsi="Times New Roman" w:cs="Times New Roman"/>
          <w:b/>
          <w:bCs/>
          <w:sz w:val="30"/>
          <w:szCs w:val="30"/>
          <w:lang w:val="pt-BR"/>
        </w:rPr>
      </w:pPr>
      <w:r w:rsidRPr="00FE2F2E">
        <w:rPr>
          <w:rFonts w:ascii="Times New Roman" w:hAnsi="Times New Roman" w:cs="Times New Roman"/>
          <w:b/>
          <w:bCs/>
          <w:sz w:val="30"/>
          <w:szCs w:val="30"/>
          <w:lang w:val="pt-BR"/>
        </w:rPr>
        <w:t>THÔNG CÁO BÁO CHÍ</w:t>
      </w:r>
    </w:p>
    <w:p w:rsidR="004D1EA5" w:rsidRPr="00FE2F2E" w:rsidRDefault="000F7DF2" w:rsidP="004D1EA5">
      <w:pPr>
        <w:spacing w:after="0" w:line="245" w:lineRule="auto"/>
        <w:jc w:val="center"/>
        <w:rPr>
          <w:rFonts w:ascii="Times New Roman" w:hAnsi="Times New Roman" w:cs="Times New Roman"/>
          <w:b/>
          <w:bCs/>
          <w:sz w:val="30"/>
          <w:szCs w:val="30"/>
          <w:lang w:val="pt-BR"/>
        </w:rPr>
      </w:pPr>
      <w:r w:rsidRPr="00FE2F2E">
        <w:rPr>
          <w:rFonts w:ascii="Times New Roman" w:hAnsi="Times New Roman" w:cs="Times New Roman"/>
          <w:b/>
          <w:bCs/>
          <w:sz w:val="30"/>
          <w:szCs w:val="30"/>
          <w:lang w:val="pt-BR"/>
        </w:rPr>
        <w:t>Về tình hình kinh tế - xã hội quý II và 6 tháng đầu năm 202</w:t>
      </w:r>
      <w:r w:rsidR="00005AF6">
        <w:rPr>
          <w:rFonts w:ascii="Times New Roman" w:hAnsi="Times New Roman" w:cs="Times New Roman"/>
          <w:b/>
          <w:bCs/>
          <w:sz w:val="30"/>
          <w:szCs w:val="30"/>
          <w:lang w:val="pt-BR"/>
        </w:rPr>
        <w:t>2</w:t>
      </w:r>
      <w:r w:rsidRPr="00FE2F2E">
        <w:rPr>
          <w:rStyle w:val="FootnoteReference"/>
          <w:rFonts w:ascii="Times New Roman" w:hAnsi="Times New Roman"/>
          <w:b/>
          <w:bCs/>
          <w:sz w:val="30"/>
          <w:szCs w:val="30"/>
          <w:lang w:val="pt-BR"/>
        </w:rPr>
        <w:footnoteReference w:id="1"/>
      </w:r>
    </w:p>
    <w:p w:rsidR="004D1EA5" w:rsidRPr="00FE2F2E" w:rsidRDefault="00005AF6" w:rsidP="004D1EA5">
      <w:pPr>
        <w:spacing w:after="0" w:line="245" w:lineRule="auto"/>
        <w:jc w:val="center"/>
        <w:rPr>
          <w:rFonts w:ascii="Times New Roman" w:hAnsi="Times New Roman" w:cs="Times New Roman"/>
          <w:b/>
          <w:bCs/>
          <w:sz w:val="18"/>
          <w:szCs w:val="34"/>
          <w:lang w:val="pt-BR"/>
        </w:rPr>
      </w:pPr>
      <w:r w:rsidRPr="00FE2F2E">
        <w:rPr>
          <w:rFonts w:ascii="Times New Roman" w:hAnsi="Times New Roman" w:cs="Times New Roman"/>
          <w:b/>
          <w:bCs/>
          <w:noProof/>
          <w:sz w:val="12"/>
          <w:szCs w:val="28"/>
          <w:lang w:eastAsia="en-GB"/>
        </w:rPr>
        <mc:AlternateContent>
          <mc:Choice Requires="wps">
            <w:drawing>
              <wp:anchor distT="4294967294" distB="4294967294" distL="114300" distR="114300" simplePos="0" relativeHeight="251660288" behindDoc="0" locked="0" layoutInCell="1" allowOverlap="1">
                <wp:simplePos x="0" y="0"/>
                <wp:positionH relativeFrom="column">
                  <wp:posOffset>2120265</wp:posOffset>
                </wp:positionH>
                <wp:positionV relativeFrom="paragraph">
                  <wp:posOffset>62864</wp:posOffset>
                </wp:positionV>
                <wp:extent cx="155257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9E44F" id="_x0000_t32" coordsize="21600,21600" o:spt="32" o:oned="t" path="m,l21600,21600e" filled="f">
                <v:path arrowok="t" fillok="f" o:connecttype="none"/>
                <o:lock v:ext="edit" shapetype="t"/>
              </v:shapetype>
              <v:shape id="AutoShape 4" o:spid="_x0000_s1026" type="#_x0000_t32" style="position:absolute;margin-left:166.95pt;margin-top:4.95pt;width:122.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G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"/>
            </w:pict>
          </mc:Fallback>
        </mc:AlternateContent>
      </w:r>
    </w:p>
    <w:p w:rsidR="00B67503" w:rsidRPr="00FE2F2E" w:rsidRDefault="00B67503" w:rsidP="00B67503">
      <w:pPr>
        <w:keepNext/>
        <w:spacing w:after="40" w:line="240" w:lineRule="auto"/>
        <w:ind w:firstLine="567"/>
        <w:jc w:val="both"/>
        <w:outlineLvl w:val="1"/>
        <w:rPr>
          <w:rFonts w:ascii="Times New Roman" w:hAnsi="Times New Roman" w:cs="Times New Roman"/>
          <w:b/>
          <w:bCs/>
          <w:sz w:val="44"/>
          <w:szCs w:val="28"/>
          <w:lang w:val="de-DE"/>
        </w:rPr>
      </w:pPr>
    </w:p>
    <w:p w:rsidR="001C147A" w:rsidRPr="00913143" w:rsidRDefault="001C147A" w:rsidP="00913143">
      <w:pPr>
        <w:keepNext/>
        <w:spacing w:before="40" w:after="40" w:line="271" w:lineRule="auto"/>
        <w:ind w:firstLine="567"/>
        <w:jc w:val="both"/>
        <w:outlineLvl w:val="1"/>
        <w:rPr>
          <w:rFonts w:ascii="Times New Roman" w:hAnsi="Times New Roman" w:cs="Times New Roman"/>
          <w:b/>
          <w:bCs/>
          <w:sz w:val="28"/>
          <w:szCs w:val="28"/>
          <w:lang w:val="de-DE"/>
        </w:rPr>
      </w:pPr>
      <w:r w:rsidRPr="00913143">
        <w:rPr>
          <w:rFonts w:ascii="Times New Roman" w:hAnsi="Times New Roman" w:cs="Times New Roman"/>
          <w:b/>
          <w:bCs/>
          <w:sz w:val="28"/>
          <w:szCs w:val="28"/>
          <w:lang w:val="de-DE"/>
        </w:rPr>
        <w:t>BỐI CẢNH KINH TẾ THẾ GIỚI VÀ TRONG NƯỚC</w:t>
      </w:r>
    </w:p>
    <w:p w:rsidR="00005AF6" w:rsidRPr="00913143" w:rsidRDefault="00005AF6" w:rsidP="00913143">
      <w:pPr>
        <w:widowControl w:val="0"/>
        <w:spacing w:before="40" w:after="40" w:line="271" w:lineRule="auto"/>
        <w:ind w:firstLine="567"/>
        <w:jc w:val="both"/>
        <w:rPr>
          <w:rFonts w:ascii="Times New Roman" w:hAnsi="Times New Roman" w:cs="Times New Roman"/>
          <w:spacing w:val="-2"/>
          <w:sz w:val="28"/>
          <w:szCs w:val="28"/>
        </w:rPr>
      </w:pPr>
      <w:r w:rsidRPr="00913143">
        <w:rPr>
          <w:rFonts w:ascii="Times New Roman" w:hAnsi="Times New Roman" w:cs="Times New Roman"/>
          <w:spacing w:val="-2"/>
          <w:sz w:val="28"/>
          <w:szCs w:val="28"/>
          <w:lang w:val="en-US"/>
        </w:rPr>
        <w:t>Kinh tế - xã hội nước ta 6 tháng đầu năm 2022 diễn ra trong bối cảnh</w:t>
      </w:r>
      <w:r w:rsidRPr="00913143">
        <w:rPr>
          <w:rFonts w:ascii="Times New Roman" w:hAnsi="Times New Roman" w:cs="Times New Roman"/>
          <w:spacing w:val="-2"/>
          <w:sz w:val="28"/>
          <w:szCs w:val="28"/>
          <w:lang w:val="vi-VN"/>
        </w:rPr>
        <w:t xml:space="preserve"> tăng trưởng</w:t>
      </w:r>
      <w:r w:rsidRPr="00913143">
        <w:rPr>
          <w:rFonts w:ascii="Times New Roman" w:hAnsi="Times New Roman" w:cs="Times New Roman"/>
          <w:spacing w:val="-2"/>
          <w:sz w:val="28"/>
          <w:szCs w:val="28"/>
          <w:lang w:val="en-US"/>
        </w:rPr>
        <w:t xml:space="preserve"> k</w:t>
      </w:r>
      <w:r w:rsidRPr="00913143">
        <w:rPr>
          <w:rFonts w:ascii="Times New Roman" w:hAnsi="Times New Roman" w:cs="Times New Roman"/>
          <w:spacing w:val="-2"/>
          <w:sz w:val="28"/>
          <w:szCs w:val="28"/>
        </w:rPr>
        <w:t xml:space="preserve">inh tế thế </w:t>
      </w:r>
      <w:r w:rsidRPr="00913143">
        <w:rPr>
          <w:rFonts w:ascii="Times New Roman" w:hAnsi="Times New Roman" w:cs="Times New Roman"/>
          <w:spacing w:val="-2"/>
          <w:sz w:val="28"/>
          <w:szCs w:val="28"/>
          <w:lang w:val="en-US"/>
        </w:rPr>
        <w:t>giới được dự báo giảm</w:t>
      </w:r>
      <w:r w:rsidRPr="00913143">
        <w:rPr>
          <w:rStyle w:val="FootnoteReference"/>
          <w:rFonts w:ascii="Times New Roman" w:hAnsi="Times New Roman"/>
          <w:spacing w:val="-2"/>
          <w:sz w:val="28"/>
          <w:szCs w:val="28"/>
        </w:rPr>
        <w:footnoteReference w:id="2"/>
      </w:r>
      <w:r w:rsidRPr="00913143">
        <w:rPr>
          <w:rFonts w:ascii="Times New Roman" w:hAnsi="Times New Roman" w:cs="Times New Roman"/>
          <w:spacing w:val="-2"/>
          <w:sz w:val="28"/>
          <w:szCs w:val="28"/>
          <w:lang w:val="en-US"/>
        </w:rPr>
        <w:t xml:space="preserve"> sau hai năm bị ảnh hưởng bởi dịch Covid-19 và tác động từ cuộc xung đột giữa Nga và U-crai-na. Giá các loại hàng hóa thiết yếu trên thị trường thế giới tăng cao, đặc biệt là giá dầu thô</w:t>
      </w:r>
      <w:r w:rsidRPr="00913143">
        <w:rPr>
          <w:rFonts w:ascii="Times New Roman" w:hAnsi="Times New Roman" w:cs="Times New Roman"/>
          <w:spacing w:val="-2"/>
          <w:sz w:val="28"/>
          <w:szCs w:val="28"/>
        </w:rPr>
        <w:t xml:space="preserve">, khí đốt tự nhiên và khí tự nhiên hóa lỏng tăng mạnh nhất kể từ năm 2011, gây nguy cơ khủng hoảng an ninh năng lượng, lương thực, tạo áp lực lớn đến lạm phát toàn cầu. </w:t>
      </w:r>
    </w:p>
    <w:p w:rsidR="00005AF6" w:rsidRPr="00913143" w:rsidRDefault="00005AF6" w:rsidP="00913143">
      <w:pPr>
        <w:widowControl w:val="0"/>
        <w:spacing w:before="40" w:after="40" w:line="271" w:lineRule="auto"/>
        <w:ind w:firstLine="567"/>
        <w:jc w:val="both"/>
        <w:rPr>
          <w:rFonts w:ascii="Times New Roman" w:hAnsi="Times New Roman" w:cs="Times New Roman"/>
          <w:spacing w:val="-2"/>
          <w:sz w:val="28"/>
          <w:szCs w:val="28"/>
          <w:lang w:val="de-DE"/>
        </w:rPr>
      </w:pPr>
      <w:r w:rsidRPr="00913143">
        <w:rPr>
          <w:rFonts w:ascii="Times New Roman" w:hAnsi="Times New Roman" w:cs="Times New Roman"/>
          <w:spacing w:val="-2"/>
          <w:sz w:val="28"/>
          <w:szCs w:val="28"/>
          <w:lang w:val="en-US"/>
        </w:rPr>
        <w:t xml:space="preserve">Trong nước, với quyết tâm phục hồi và phát triển kinh tế, tạo đà để hoàn thành các mục tiêu phát triển kinh tế - xã hội giai đoạn 2021-2025, ngày 08/01/2022  Chính phủ đã ban hành Nghị quyết số 01/NQ-CP về nhiệm vụ, giải pháp chủ yếu thực hiện kế hoạch phát triển kinh tế - xã hội </w:t>
      </w:r>
      <w:r w:rsidR="003E0412">
        <w:rPr>
          <w:rFonts w:ascii="Times New Roman" w:hAnsi="Times New Roman" w:cs="Times New Roman"/>
          <w:spacing w:val="-2"/>
          <w:sz w:val="28"/>
          <w:szCs w:val="28"/>
          <w:lang w:val="en-US"/>
        </w:rPr>
        <w:t xml:space="preserve">và </w:t>
      </w:r>
      <w:r w:rsidRPr="00913143">
        <w:rPr>
          <w:rFonts w:ascii="Times New Roman" w:hAnsi="Times New Roman" w:cs="Times New Roman"/>
          <w:spacing w:val="-2"/>
          <w:sz w:val="28"/>
          <w:szCs w:val="28"/>
          <w:lang w:val="en-US"/>
        </w:rPr>
        <w:t xml:space="preserve">dự toán ngân sách </w:t>
      </w:r>
      <w:r w:rsidR="003E0412">
        <w:rPr>
          <w:rFonts w:ascii="Times New Roman" w:hAnsi="Times New Roman" w:cs="Times New Roman"/>
          <w:spacing w:val="-2"/>
          <w:sz w:val="28"/>
          <w:szCs w:val="28"/>
          <w:lang w:val="en-US"/>
        </w:rPr>
        <w:t>N</w:t>
      </w:r>
      <w:r w:rsidRPr="00913143">
        <w:rPr>
          <w:rFonts w:ascii="Times New Roman" w:hAnsi="Times New Roman" w:cs="Times New Roman"/>
          <w:spacing w:val="-2"/>
          <w:sz w:val="28"/>
          <w:szCs w:val="28"/>
          <w:lang w:val="en-US"/>
        </w:rPr>
        <w:t xml:space="preserve">hà nước năm 2022; </w:t>
      </w:r>
      <w:r w:rsidRPr="00913143">
        <w:rPr>
          <w:rFonts w:ascii="Times New Roman" w:hAnsi="Times New Roman" w:cs="Times New Roman"/>
          <w:spacing w:val="-2"/>
          <w:sz w:val="28"/>
          <w:szCs w:val="28"/>
          <w:lang w:val="pl-PL"/>
        </w:rPr>
        <w:t xml:space="preserve">Nghị quyết 11/NQ-CP </w:t>
      </w:r>
      <w:r w:rsidR="003E0412" w:rsidRPr="00913143">
        <w:rPr>
          <w:rFonts w:ascii="Times New Roman" w:hAnsi="Times New Roman" w:cs="Times New Roman"/>
          <w:spacing w:val="-2"/>
          <w:sz w:val="28"/>
          <w:szCs w:val="28"/>
          <w:lang w:val="pl-PL"/>
        </w:rPr>
        <w:t xml:space="preserve">ngày 30/01/2022 </w:t>
      </w:r>
      <w:r w:rsidRPr="00913143">
        <w:rPr>
          <w:rFonts w:ascii="Times New Roman" w:hAnsi="Times New Roman" w:cs="Times New Roman"/>
          <w:spacing w:val="-2"/>
          <w:sz w:val="28"/>
          <w:szCs w:val="28"/>
          <w:lang w:val="pl-PL"/>
        </w:rPr>
        <w:t xml:space="preserve">về Chương trình phục hồi và phát triển kinh tế - xã hội </w:t>
      </w:r>
      <w:r w:rsidRPr="00913143">
        <w:rPr>
          <w:rFonts w:ascii="Times New Roman" w:hAnsi="Times New Roman" w:cs="Times New Roman"/>
          <w:spacing w:val="-2"/>
          <w:sz w:val="28"/>
          <w:szCs w:val="28"/>
          <w:lang w:val="en-US"/>
        </w:rPr>
        <w:t xml:space="preserve">và triển khai </w:t>
      </w:r>
      <w:r w:rsidRPr="00913143">
        <w:rPr>
          <w:rFonts w:ascii="Times New Roman" w:hAnsi="Times New Roman" w:cs="Times New Roman"/>
          <w:spacing w:val="-2"/>
          <w:sz w:val="28"/>
          <w:szCs w:val="28"/>
          <w:lang w:val="vi-VN"/>
        </w:rPr>
        <w:t>N</w:t>
      </w:r>
      <w:r w:rsidRPr="00913143">
        <w:rPr>
          <w:rFonts w:ascii="Times New Roman" w:hAnsi="Times New Roman" w:cs="Times New Roman"/>
          <w:spacing w:val="-2"/>
          <w:sz w:val="28"/>
          <w:szCs w:val="28"/>
          <w:lang w:val="pl-PL"/>
        </w:rPr>
        <w:t>ghị quyết số 43/2022/QH15 của Quốc hội về chính sách tài khóa, tiền tệ hỗ trợ chương trình. Triển khai các Nghị quyết trên, Chính phủ, Thủ tướng Chính phủ và các Bộ, ngành, địa phương đã nỗ lực, q</w:t>
      </w:r>
      <w:r w:rsidRPr="00913143">
        <w:rPr>
          <w:rFonts w:ascii="Times New Roman" w:hAnsi="Times New Roman" w:cs="Times New Roman"/>
          <w:spacing w:val="-2"/>
          <w:sz w:val="28"/>
          <w:szCs w:val="28"/>
          <w:lang w:val="vi-VN"/>
        </w:rPr>
        <w:t>uyết liệt</w:t>
      </w:r>
      <w:r w:rsidRPr="00913143">
        <w:rPr>
          <w:rFonts w:ascii="Times New Roman" w:hAnsi="Times New Roman" w:cs="Times New Roman"/>
          <w:spacing w:val="-2"/>
          <w:sz w:val="28"/>
          <w:szCs w:val="28"/>
          <w:lang w:val="pl-PL"/>
        </w:rPr>
        <w:t xml:space="preserve"> </w:t>
      </w:r>
      <w:r w:rsidR="003E0412">
        <w:rPr>
          <w:rFonts w:ascii="Times New Roman" w:hAnsi="Times New Roman" w:cs="Times New Roman"/>
          <w:spacing w:val="-2"/>
          <w:sz w:val="28"/>
          <w:szCs w:val="28"/>
          <w:lang w:val="pl-PL"/>
        </w:rPr>
        <w:t>thực hiện</w:t>
      </w:r>
      <w:r w:rsidRPr="00913143">
        <w:rPr>
          <w:rFonts w:ascii="Times New Roman" w:hAnsi="Times New Roman" w:cs="Times New Roman"/>
          <w:spacing w:val="-2"/>
          <w:sz w:val="28"/>
          <w:szCs w:val="28"/>
          <w:lang w:val="pl-PL"/>
        </w:rPr>
        <w:t xml:space="preserve"> các nhiệm vụ, giải pháp trong Nghị quyết, từ đó tạo được sự </w:t>
      </w:r>
      <w:r w:rsidRPr="00913143">
        <w:rPr>
          <w:rFonts w:ascii="Times New Roman" w:hAnsi="Times New Roman" w:cs="Times New Roman"/>
          <w:spacing w:val="-2"/>
          <w:sz w:val="28"/>
          <w:szCs w:val="28"/>
          <w:lang w:val="vi-VN"/>
        </w:rPr>
        <w:t xml:space="preserve">tin tưởng, </w:t>
      </w:r>
      <w:r w:rsidRPr="00913143">
        <w:rPr>
          <w:rFonts w:ascii="Times New Roman" w:hAnsi="Times New Roman" w:cs="Times New Roman"/>
          <w:spacing w:val="-2"/>
          <w:sz w:val="28"/>
          <w:szCs w:val="28"/>
          <w:lang w:val="pl-PL"/>
        </w:rPr>
        <w:t>ủng hộ</w:t>
      </w:r>
      <w:r w:rsidRPr="00913143">
        <w:rPr>
          <w:rFonts w:ascii="Times New Roman" w:hAnsi="Times New Roman" w:cs="Times New Roman"/>
          <w:spacing w:val="-2"/>
          <w:sz w:val="28"/>
          <w:szCs w:val="28"/>
          <w:lang w:val="vi-VN"/>
        </w:rPr>
        <w:t xml:space="preserve"> </w:t>
      </w:r>
      <w:r w:rsidRPr="00913143">
        <w:rPr>
          <w:rFonts w:ascii="Times New Roman" w:hAnsi="Times New Roman" w:cs="Times New Roman"/>
          <w:spacing w:val="-2"/>
          <w:sz w:val="28"/>
          <w:szCs w:val="28"/>
          <w:lang w:val="pl-PL"/>
        </w:rPr>
        <w:t>của Nhân dân và cộng đồng doanh nghiệp.</w:t>
      </w:r>
      <w:r w:rsidRPr="00913143">
        <w:rPr>
          <w:rFonts w:ascii="Times New Roman" w:hAnsi="Times New Roman" w:cs="Times New Roman"/>
          <w:spacing w:val="-2"/>
          <w:sz w:val="28"/>
          <w:szCs w:val="28"/>
          <w:lang w:val="vi-VN"/>
        </w:rPr>
        <w:t xml:space="preserve"> </w:t>
      </w:r>
      <w:r w:rsidRPr="00913143">
        <w:rPr>
          <w:rFonts w:ascii="Times New Roman" w:hAnsi="Times New Roman" w:cs="Times New Roman"/>
          <w:spacing w:val="-2"/>
          <w:sz w:val="28"/>
          <w:szCs w:val="28"/>
          <w:lang w:val="pl-PL"/>
        </w:rPr>
        <w:t>Bên cạnh đó, dịch Covid-19 được kiểm soát, hoạt động sản xuất kinh doanh đã trở lại trạng thái bình thường như trước khi</w:t>
      </w:r>
      <w:r w:rsidRPr="00913143">
        <w:rPr>
          <w:rFonts w:ascii="Times New Roman" w:hAnsi="Times New Roman" w:cs="Times New Roman"/>
          <w:spacing w:val="-2"/>
          <w:sz w:val="28"/>
          <w:szCs w:val="28"/>
          <w:lang w:val="vi-VN"/>
        </w:rPr>
        <w:t xml:space="preserve"> xảy ra</w:t>
      </w:r>
      <w:r w:rsidRPr="00913143">
        <w:rPr>
          <w:rFonts w:ascii="Times New Roman" w:hAnsi="Times New Roman" w:cs="Times New Roman"/>
          <w:spacing w:val="-2"/>
          <w:sz w:val="28"/>
          <w:szCs w:val="28"/>
          <w:lang w:val="pl-PL"/>
        </w:rPr>
        <w:t xml:space="preserve"> dịch Covid-19. Sự kiện SEA Games 31 được tổ chức thành công tại Việt Nam đã góp phần thúc đẩy hoạt động thương mại, du lịch</w:t>
      </w:r>
      <w:r w:rsidRPr="00913143">
        <w:rPr>
          <w:rFonts w:ascii="Times New Roman" w:hAnsi="Times New Roman" w:cs="Times New Roman"/>
          <w:spacing w:val="-2"/>
          <w:sz w:val="28"/>
          <w:szCs w:val="28"/>
          <w:lang w:val="vi-VN"/>
        </w:rPr>
        <w:t>, văn hoá</w:t>
      </w:r>
      <w:r w:rsidRPr="00913143">
        <w:rPr>
          <w:rFonts w:ascii="Times New Roman" w:hAnsi="Times New Roman" w:cs="Times New Roman"/>
          <w:spacing w:val="-2"/>
          <w:sz w:val="28"/>
          <w:szCs w:val="28"/>
          <w:lang w:val="pl-PL"/>
        </w:rPr>
        <w:t xml:space="preserve"> sôi động hơn, tạo cú hích cho phục hồi kinh tế</w:t>
      </w:r>
      <w:r w:rsidRPr="00913143">
        <w:rPr>
          <w:rFonts w:ascii="Times New Roman" w:hAnsi="Times New Roman" w:cs="Times New Roman"/>
          <w:spacing w:val="-2"/>
          <w:sz w:val="28"/>
          <w:szCs w:val="28"/>
          <w:lang w:val="de-DE"/>
        </w:rPr>
        <w:t xml:space="preserve">. </w:t>
      </w:r>
    </w:p>
    <w:p w:rsidR="00005AF6" w:rsidRPr="00913143" w:rsidRDefault="00005AF6" w:rsidP="00913143">
      <w:pPr>
        <w:widowControl w:val="0"/>
        <w:spacing w:before="40" w:after="40" w:line="271" w:lineRule="auto"/>
        <w:ind w:firstLine="567"/>
        <w:jc w:val="both"/>
        <w:rPr>
          <w:rFonts w:ascii="Times New Roman" w:hAnsi="Times New Roman" w:cs="Times New Roman"/>
          <w:sz w:val="28"/>
          <w:szCs w:val="28"/>
          <w:shd w:val="clear" w:color="auto" w:fill="FFFFFF" w:themeFill="background1"/>
        </w:rPr>
      </w:pPr>
      <w:r w:rsidRPr="00913143">
        <w:rPr>
          <w:rFonts w:ascii="Times New Roman" w:hAnsi="Times New Roman" w:cs="Times New Roman"/>
          <w:sz w:val="28"/>
          <w:szCs w:val="28"/>
          <w:lang w:val="vi-VN"/>
        </w:rPr>
        <w:t>Trên cơ sở đó,</w:t>
      </w:r>
      <w:r w:rsidRPr="00913143">
        <w:rPr>
          <w:rFonts w:ascii="Times New Roman" w:hAnsi="Times New Roman" w:cs="Times New Roman"/>
          <w:sz w:val="28"/>
          <w:szCs w:val="28"/>
          <w:lang w:val="de-DE"/>
        </w:rPr>
        <w:t xml:space="preserve"> </w:t>
      </w:r>
      <w:r w:rsidRPr="00913143">
        <w:rPr>
          <w:rFonts w:ascii="Times New Roman" w:hAnsi="Times New Roman" w:cs="Times New Roman"/>
          <w:sz w:val="28"/>
          <w:szCs w:val="28"/>
          <w:lang w:val="vi-VN"/>
        </w:rPr>
        <w:t>k</w:t>
      </w:r>
      <w:r w:rsidRPr="00913143">
        <w:rPr>
          <w:rFonts w:ascii="Times New Roman" w:hAnsi="Times New Roman" w:cs="Times New Roman"/>
          <w:sz w:val="28"/>
          <w:szCs w:val="28"/>
          <w:lang w:val="de-DE"/>
        </w:rPr>
        <w:t>i</w:t>
      </w:r>
      <w:r w:rsidRPr="00913143">
        <w:rPr>
          <w:rFonts w:ascii="Times New Roman" w:hAnsi="Times New Roman" w:cs="Times New Roman"/>
          <w:sz w:val="28"/>
          <w:szCs w:val="28"/>
          <w:lang w:val="en-US"/>
        </w:rPr>
        <w:t>nh tế - xã hội 6 tháng đầu năm 2022</w:t>
      </w:r>
      <w:r w:rsidRPr="00913143">
        <w:rPr>
          <w:rFonts w:ascii="Times New Roman" w:hAnsi="Times New Roman" w:cs="Times New Roman"/>
          <w:sz w:val="28"/>
          <w:szCs w:val="28"/>
          <w:lang w:val="vi-VN"/>
        </w:rPr>
        <w:t xml:space="preserve"> của nước ta</w:t>
      </w:r>
      <w:r w:rsidRPr="00913143">
        <w:rPr>
          <w:rFonts w:ascii="Times New Roman" w:hAnsi="Times New Roman" w:cs="Times New Roman"/>
          <w:sz w:val="28"/>
          <w:szCs w:val="28"/>
          <w:lang w:val="en-US"/>
        </w:rPr>
        <w:t xml:space="preserve"> </w:t>
      </w:r>
      <w:r w:rsidRPr="00913143">
        <w:rPr>
          <w:rFonts w:ascii="Times New Roman" w:hAnsi="Times New Roman" w:cs="Times New Roman"/>
          <w:sz w:val="28"/>
          <w:szCs w:val="28"/>
          <w:lang w:val="pl-PL"/>
        </w:rPr>
        <w:t xml:space="preserve">đã khởi sắc </w:t>
      </w:r>
      <w:r w:rsidRPr="00913143">
        <w:rPr>
          <w:rFonts w:ascii="Times New Roman" w:hAnsi="Times New Roman" w:cs="Times New Roman"/>
          <w:sz w:val="28"/>
          <w:szCs w:val="28"/>
          <w:lang w:val="vi-VN"/>
        </w:rPr>
        <w:t>ở hầu hết các</w:t>
      </w:r>
      <w:r w:rsidRPr="00913143">
        <w:rPr>
          <w:rFonts w:ascii="Times New Roman" w:hAnsi="Times New Roman" w:cs="Times New Roman"/>
          <w:sz w:val="28"/>
          <w:szCs w:val="28"/>
          <w:lang w:val="pl-PL"/>
        </w:rPr>
        <w:t xml:space="preserve"> </w:t>
      </w:r>
      <w:r w:rsidRPr="00913143">
        <w:rPr>
          <w:rFonts w:ascii="Times New Roman" w:hAnsi="Times New Roman" w:cs="Times New Roman"/>
          <w:sz w:val="28"/>
          <w:szCs w:val="28"/>
          <w:lang w:val="vi-VN"/>
        </w:rPr>
        <w:t xml:space="preserve">ngành, </w:t>
      </w:r>
      <w:r w:rsidRPr="00913143">
        <w:rPr>
          <w:rFonts w:ascii="Times New Roman" w:hAnsi="Times New Roman" w:cs="Times New Roman"/>
          <w:sz w:val="28"/>
          <w:szCs w:val="28"/>
          <w:lang w:val="pl-PL"/>
        </w:rPr>
        <w:t>lĩnh vực. Một số ngành đã có mức tăng cao hơn trước khi dịch Covid-19 xuất hiện như: Công nghiệp chế biến, chế tạo; tổng mức bán lẻ hàng hóa và doanh thu dịch vụ tiêu dùng; xuất khẩu hàng hóa...</w:t>
      </w:r>
      <w:r w:rsidRPr="00913143">
        <w:rPr>
          <w:rFonts w:ascii="Times New Roman" w:hAnsi="Times New Roman" w:cs="Times New Roman"/>
          <w:sz w:val="28"/>
          <w:szCs w:val="28"/>
          <w:lang w:val="vi-VN"/>
        </w:rPr>
        <w:t xml:space="preserve"> </w:t>
      </w:r>
      <w:r w:rsidRPr="00913143">
        <w:rPr>
          <w:rFonts w:ascii="Times New Roman" w:hAnsi="Times New Roman" w:cs="Times New Roman"/>
          <w:sz w:val="28"/>
          <w:szCs w:val="28"/>
          <w:lang w:val="it-IT"/>
        </w:rPr>
        <w:t>Kết</w:t>
      </w:r>
      <w:r w:rsidRPr="00913143">
        <w:rPr>
          <w:rFonts w:ascii="Times New Roman" w:hAnsi="Times New Roman" w:cs="Times New Roman"/>
          <w:sz w:val="28"/>
          <w:szCs w:val="28"/>
          <w:lang w:val="pl-PL"/>
        </w:rPr>
        <w:t xml:space="preserve"> quả đạt được của </w:t>
      </w:r>
      <w:r w:rsidRPr="00913143">
        <w:rPr>
          <w:rFonts w:ascii="Times New Roman" w:hAnsi="Times New Roman" w:cs="Times New Roman"/>
          <w:sz w:val="28"/>
          <w:szCs w:val="28"/>
          <w:shd w:val="clear" w:color="auto" w:fill="FFFFFF" w:themeFill="background1"/>
        </w:rPr>
        <w:t>các ngành, lĩnh vực trong quý II và 6 tháng đầu năm 2022 như sau:</w:t>
      </w:r>
    </w:p>
    <w:p w:rsidR="004D1EA5" w:rsidRPr="00913143" w:rsidRDefault="00571CD4" w:rsidP="00913143">
      <w:pPr>
        <w:spacing w:before="40" w:after="40" w:line="264" w:lineRule="auto"/>
        <w:ind w:firstLine="567"/>
        <w:jc w:val="both"/>
        <w:rPr>
          <w:rFonts w:ascii="Times New Roman" w:hAnsi="Times New Roman" w:cs="Times New Roman"/>
          <w:b/>
          <w:sz w:val="28"/>
          <w:szCs w:val="28"/>
        </w:rPr>
      </w:pPr>
      <w:r w:rsidRPr="00913143">
        <w:rPr>
          <w:rFonts w:ascii="Times New Roman" w:hAnsi="Times New Roman" w:cs="Times New Roman"/>
          <w:b/>
          <w:sz w:val="28"/>
          <w:szCs w:val="28"/>
          <w:lang w:val="de-DE"/>
        </w:rPr>
        <w:lastRenderedPageBreak/>
        <w:t xml:space="preserve">I. </w:t>
      </w:r>
      <w:r w:rsidR="006670FB" w:rsidRPr="00913143">
        <w:rPr>
          <w:rFonts w:ascii="Times New Roman" w:hAnsi="Times New Roman" w:cs="Times New Roman"/>
          <w:b/>
          <w:sz w:val="28"/>
          <w:szCs w:val="28"/>
          <w:lang w:val="de-DE"/>
        </w:rPr>
        <w:t xml:space="preserve">TÌNH HÌNH </w:t>
      </w:r>
      <w:r w:rsidR="005B4899" w:rsidRPr="00913143">
        <w:rPr>
          <w:rFonts w:ascii="Times New Roman" w:hAnsi="Times New Roman" w:cs="Times New Roman"/>
          <w:b/>
          <w:sz w:val="28"/>
          <w:szCs w:val="28"/>
        </w:rPr>
        <w:t>KINH T</w:t>
      </w:r>
      <w:r w:rsidR="00C50119" w:rsidRPr="00913143">
        <w:rPr>
          <w:rFonts w:ascii="Times New Roman" w:hAnsi="Times New Roman" w:cs="Times New Roman"/>
          <w:b/>
          <w:sz w:val="28"/>
          <w:szCs w:val="28"/>
        </w:rPr>
        <w:t>Ế</w:t>
      </w:r>
    </w:p>
    <w:p w:rsidR="00CC6C0E" w:rsidRPr="00913143" w:rsidRDefault="000F7DF2" w:rsidP="00913143">
      <w:pPr>
        <w:keepNext/>
        <w:spacing w:before="40" w:after="40" w:line="250" w:lineRule="auto"/>
        <w:ind w:firstLine="567"/>
        <w:jc w:val="both"/>
        <w:outlineLvl w:val="1"/>
        <w:rPr>
          <w:rFonts w:ascii="Times New Roman" w:hAnsi="Times New Roman" w:cs="Times New Roman"/>
          <w:b/>
          <w:i/>
          <w:spacing w:val="-6"/>
          <w:sz w:val="28"/>
          <w:szCs w:val="28"/>
          <w:lang w:val="de-DE"/>
        </w:rPr>
      </w:pPr>
      <w:bookmarkStart w:id="1" w:name="_Hlk67685084"/>
      <w:r w:rsidRPr="00913143">
        <w:rPr>
          <w:rFonts w:ascii="Times New Roman" w:hAnsi="Times New Roman" w:cs="Times New Roman"/>
          <w:b/>
          <w:i/>
          <w:spacing w:val="-6"/>
          <w:sz w:val="28"/>
          <w:szCs w:val="28"/>
          <w:lang w:val="de-DE"/>
        </w:rPr>
        <w:t xml:space="preserve">1. </w:t>
      </w:r>
      <w:r w:rsidR="00CC6C0E" w:rsidRPr="00913143">
        <w:rPr>
          <w:rFonts w:ascii="Times New Roman" w:hAnsi="Times New Roman" w:cs="Times New Roman"/>
          <w:b/>
          <w:i/>
          <w:iCs/>
          <w:spacing w:val="-6"/>
          <w:sz w:val="28"/>
          <w:szCs w:val="28"/>
          <w:lang w:val="de-DE"/>
        </w:rPr>
        <w:t>Tổng sản phẩm trong nước (GDP) quý II năm 2022</w:t>
      </w:r>
      <w:r w:rsidR="00CC6C0E" w:rsidRPr="00913143">
        <w:rPr>
          <w:rFonts w:ascii="Times New Roman" w:hAnsi="Times New Roman" w:cs="Times New Roman"/>
          <w:b/>
          <w:i/>
          <w:spacing w:val="-6"/>
          <w:sz w:val="28"/>
          <w:szCs w:val="28"/>
          <w:lang w:val="de-DE"/>
        </w:rPr>
        <w:t xml:space="preserve"> ước tính tăng 7,</w:t>
      </w:r>
      <w:r w:rsidR="00B94AFB">
        <w:rPr>
          <w:rFonts w:ascii="Times New Roman" w:hAnsi="Times New Roman" w:cs="Times New Roman"/>
          <w:b/>
          <w:i/>
          <w:spacing w:val="-6"/>
          <w:sz w:val="28"/>
          <w:szCs w:val="28"/>
          <w:lang w:val="de-DE"/>
        </w:rPr>
        <w:t>72</w:t>
      </w:r>
      <w:r w:rsidR="00CC6C0E" w:rsidRPr="00913143">
        <w:rPr>
          <w:rFonts w:ascii="Times New Roman" w:hAnsi="Times New Roman" w:cs="Times New Roman"/>
          <w:b/>
          <w:i/>
          <w:spacing w:val="-6"/>
          <w:sz w:val="28"/>
          <w:szCs w:val="28"/>
          <w:lang w:val="de-DE"/>
        </w:rPr>
        <w:t>% so với cùng kỳ năm trước,</w:t>
      </w:r>
      <w:r w:rsidR="00CC6C0E" w:rsidRPr="00913143">
        <w:rPr>
          <w:rFonts w:ascii="Times New Roman" w:hAnsi="Times New Roman" w:cs="Times New Roman"/>
          <w:b/>
          <w:i/>
          <w:spacing w:val="-6"/>
          <w:sz w:val="28"/>
          <w:szCs w:val="28"/>
          <w:lang w:val="vi-VN"/>
        </w:rPr>
        <w:t xml:space="preserve"> </w:t>
      </w:r>
      <w:r w:rsidR="00CC6C0E" w:rsidRPr="00913143">
        <w:rPr>
          <w:rFonts w:ascii="Times New Roman" w:hAnsi="Times New Roman" w:cs="Times New Roman"/>
          <w:b/>
          <w:i/>
          <w:spacing w:val="-6"/>
          <w:sz w:val="28"/>
          <w:szCs w:val="28"/>
          <w:lang w:val="de-DE"/>
        </w:rPr>
        <w:t>cao hơn tốc độ tăng của quý II các năm trong giai đoạn 2011-2021</w:t>
      </w:r>
      <w:r w:rsidR="00CC6C0E" w:rsidRPr="00913143">
        <w:rPr>
          <w:rStyle w:val="FootnoteReference"/>
          <w:rFonts w:ascii="Times New Roman" w:hAnsi="Times New Roman"/>
          <w:b/>
          <w:i/>
          <w:spacing w:val="-6"/>
          <w:sz w:val="28"/>
          <w:szCs w:val="28"/>
          <w:lang w:val="de-DE"/>
        </w:rPr>
        <w:footnoteReference w:id="3"/>
      </w:r>
      <w:r w:rsidR="00CC6C0E" w:rsidRPr="00913143">
        <w:rPr>
          <w:rFonts w:ascii="Times New Roman" w:hAnsi="Times New Roman" w:cs="Times New Roman"/>
          <w:b/>
          <w:i/>
          <w:spacing w:val="-6"/>
          <w:sz w:val="28"/>
          <w:szCs w:val="28"/>
          <w:lang w:val="de-DE"/>
        </w:rPr>
        <w:t xml:space="preserve">. Tính chung </w:t>
      </w:r>
      <w:r w:rsidR="00CC6C0E" w:rsidRPr="00913143">
        <w:rPr>
          <w:rFonts w:ascii="Times New Roman" w:hAnsi="Times New Roman" w:cs="Times New Roman"/>
          <w:b/>
          <w:i/>
          <w:iCs/>
          <w:spacing w:val="-6"/>
          <w:sz w:val="28"/>
          <w:szCs w:val="28"/>
          <w:lang w:val="de-DE"/>
        </w:rPr>
        <w:t xml:space="preserve">6 tháng, GDP </w:t>
      </w:r>
      <w:r w:rsidR="00CC6C0E" w:rsidRPr="00913143">
        <w:rPr>
          <w:rFonts w:ascii="Times New Roman" w:hAnsi="Times New Roman" w:cs="Times New Roman"/>
          <w:b/>
          <w:i/>
          <w:spacing w:val="-6"/>
          <w:sz w:val="28"/>
          <w:szCs w:val="28"/>
          <w:lang w:val="de-DE"/>
        </w:rPr>
        <w:t>tăng 6,</w:t>
      </w:r>
      <w:r w:rsidR="00B94AFB">
        <w:rPr>
          <w:rFonts w:ascii="Times New Roman" w:hAnsi="Times New Roman" w:cs="Times New Roman"/>
          <w:b/>
          <w:i/>
          <w:spacing w:val="-6"/>
          <w:sz w:val="28"/>
          <w:szCs w:val="28"/>
          <w:lang w:val="de-DE"/>
        </w:rPr>
        <w:t>42</w:t>
      </w:r>
      <w:r w:rsidR="00CC6C0E" w:rsidRPr="00913143">
        <w:rPr>
          <w:rFonts w:ascii="Times New Roman" w:hAnsi="Times New Roman" w:cs="Times New Roman"/>
          <w:b/>
          <w:i/>
          <w:spacing w:val="-6"/>
          <w:sz w:val="28"/>
          <w:szCs w:val="28"/>
          <w:lang w:val="de-DE"/>
        </w:rPr>
        <w:t>%, cao hơn tốc độ tăng 2,04% của 6 tháng đầu năm 2020 và tốc độ tăng 5,74% của 6 tháng đầu năm 2021 nhưng thấp hơn tốc độ tăng 7,28% và 6,98% của cùng kỳ năm 2018 và 2019.</w:t>
      </w:r>
    </w:p>
    <w:p w:rsidR="00447659" w:rsidRPr="00913143" w:rsidRDefault="00CC6C0E" w:rsidP="00913143">
      <w:pPr>
        <w:spacing w:before="40" w:after="40" w:line="250" w:lineRule="auto"/>
        <w:ind w:firstLine="567"/>
        <w:jc w:val="both"/>
        <w:rPr>
          <w:rFonts w:ascii="Times New Roman" w:hAnsi="Times New Roman" w:cs="Times New Roman"/>
          <w:sz w:val="28"/>
          <w:szCs w:val="28"/>
          <w:lang w:val="de-DE"/>
        </w:rPr>
      </w:pPr>
      <w:r w:rsidRPr="00913143">
        <w:rPr>
          <w:rFonts w:ascii="Times New Roman" w:hAnsi="Times New Roman" w:cs="Times New Roman"/>
          <w:sz w:val="28"/>
          <w:szCs w:val="28"/>
          <w:lang w:val="de-DE"/>
        </w:rPr>
        <w:t>Trong mức tăng chung của toàn nền kinh tế</w:t>
      </w:r>
      <w:r w:rsidR="00447659" w:rsidRPr="00913143">
        <w:rPr>
          <w:rFonts w:ascii="Times New Roman" w:hAnsi="Times New Roman" w:cs="Times New Roman"/>
          <w:sz w:val="28"/>
          <w:szCs w:val="28"/>
          <w:lang w:val="de-DE"/>
        </w:rPr>
        <w:t xml:space="preserve"> 6 tháng đầu năm</w:t>
      </w:r>
      <w:r w:rsidRPr="00913143">
        <w:rPr>
          <w:rFonts w:ascii="Times New Roman" w:hAnsi="Times New Roman" w:cs="Times New Roman"/>
          <w:sz w:val="28"/>
          <w:szCs w:val="28"/>
          <w:lang w:val="de-DE"/>
        </w:rPr>
        <w:t>, khu vực nông, lâm nghiệp và thủy sản tăng 2,78%</w:t>
      </w:r>
      <w:r w:rsidR="00447659" w:rsidRPr="00913143">
        <w:rPr>
          <w:rFonts w:ascii="Times New Roman" w:hAnsi="Times New Roman" w:cs="Times New Roman"/>
          <w:sz w:val="28"/>
          <w:szCs w:val="28"/>
          <w:lang w:val="de-DE"/>
        </w:rPr>
        <w:t xml:space="preserve"> (</w:t>
      </w:r>
      <w:r w:rsidRPr="00913143">
        <w:rPr>
          <w:rFonts w:ascii="Times New Roman" w:hAnsi="Times New Roman" w:cs="Times New Roman"/>
          <w:sz w:val="28"/>
          <w:szCs w:val="28"/>
          <w:lang w:val="de-DE"/>
        </w:rPr>
        <w:t>đóng góp 5,0</w:t>
      </w:r>
      <w:r w:rsidR="00B94AFB">
        <w:rPr>
          <w:rFonts w:ascii="Times New Roman" w:hAnsi="Times New Roman" w:cs="Times New Roman"/>
          <w:sz w:val="28"/>
          <w:szCs w:val="28"/>
          <w:lang w:val="de-DE"/>
        </w:rPr>
        <w:t>7</w:t>
      </w:r>
      <w:r w:rsidRPr="00913143">
        <w:rPr>
          <w:rFonts w:ascii="Times New Roman" w:hAnsi="Times New Roman" w:cs="Times New Roman"/>
          <w:sz w:val="28"/>
          <w:szCs w:val="28"/>
          <w:lang w:val="de-DE"/>
        </w:rPr>
        <w:t>%</w:t>
      </w:r>
      <w:r w:rsidR="00447659" w:rsidRPr="00913143">
        <w:rPr>
          <w:rFonts w:ascii="Times New Roman" w:hAnsi="Times New Roman" w:cs="Times New Roman"/>
          <w:sz w:val="28"/>
          <w:szCs w:val="28"/>
          <w:lang w:val="de-DE"/>
        </w:rPr>
        <w:t>)</w:t>
      </w:r>
      <w:r w:rsidRPr="00913143">
        <w:rPr>
          <w:rFonts w:ascii="Times New Roman" w:hAnsi="Times New Roman" w:cs="Times New Roman"/>
          <w:sz w:val="28"/>
          <w:szCs w:val="28"/>
          <w:lang w:val="de-DE"/>
        </w:rPr>
        <w:t>; khu vực công nghiệp và xây dựng tăng 7,</w:t>
      </w:r>
      <w:r w:rsidR="00B94AFB">
        <w:rPr>
          <w:rFonts w:ascii="Times New Roman" w:hAnsi="Times New Roman" w:cs="Times New Roman"/>
          <w:sz w:val="28"/>
          <w:szCs w:val="28"/>
          <w:lang w:val="de-DE"/>
        </w:rPr>
        <w:t>70</w:t>
      </w:r>
      <w:r w:rsidRPr="00913143">
        <w:rPr>
          <w:rFonts w:ascii="Times New Roman" w:hAnsi="Times New Roman" w:cs="Times New Roman"/>
          <w:sz w:val="28"/>
          <w:szCs w:val="28"/>
          <w:lang w:val="de-DE"/>
        </w:rPr>
        <w:t>%</w:t>
      </w:r>
      <w:r w:rsidR="00447659" w:rsidRPr="00913143">
        <w:rPr>
          <w:rFonts w:ascii="Times New Roman" w:hAnsi="Times New Roman" w:cs="Times New Roman"/>
          <w:sz w:val="28"/>
          <w:szCs w:val="28"/>
          <w:lang w:val="de-DE"/>
        </w:rPr>
        <w:t xml:space="preserve"> (</w:t>
      </w:r>
      <w:r w:rsidRPr="00913143">
        <w:rPr>
          <w:rFonts w:ascii="Times New Roman" w:hAnsi="Times New Roman" w:cs="Times New Roman"/>
          <w:sz w:val="28"/>
          <w:szCs w:val="28"/>
          <w:lang w:val="de-DE"/>
        </w:rPr>
        <w:t>đóng góp 48,</w:t>
      </w:r>
      <w:r w:rsidR="00B94AFB">
        <w:rPr>
          <w:rFonts w:ascii="Times New Roman" w:hAnsi="Times New Roman" w:cs="Times New Roman"/>
          <w:sz w:val="28"/>
          <w:szCs w:val="28"/>
          <w:lang w:val="de-DE"/>
        </w:rPr>
        <w:t>33</w:t>
      </w:r>
      <w:r w:rsidRPr="00913143">
        <w:rPr>
          <w:rFonts w:ascii="Times New Roman" w:hAnsi="Times New Roman" w:cs="Times New Roman"/>
          <w:sz w:val="28"/>
          <w:szCs w:val="28"/>
          <w:lang w:val="de-DE"/>
        </w:rPr>
        <w:t>%</w:t>
      </w:r>
      <w:r w:rsidR="00447659" w:rsidRPr="00913143">
        <w:rPr>
          <w:rFonts w:ascii="Times New Roman" w:hAnsi="Times New Roman" w:cs="Times New Roman"/>
          <w:sz w:val="28"/>
          <w:szCs w:val="28"/>
          <w:lang w:val="de-DE"/>
        </w:rPr>
        <w:t>), trong đó n</w:t>
      </w:r>
      <w:r w:rsidR="00447659" w:rsidRPr="00913143">
        <w:rPr>
          <w:rFonts w:ascii="Times New Roman" w:hAnsi="Times New Roman" w:cs="Times New Roman"/>
          <w:sz w:val="28"/>
          <w:szCs w:val="28"/>
          <w:shd w:val="clear" w:color="auto" w:fill="FFFFFF"/>
          <w:lang w:val="de-DE"/>
        </w:rPr>
        <w:t>gành công nghiệp chế biến, chế tạo tiếp tục là động lực tăng trưởng của toàn nền kinh tế với mức tăng 9,6</w:t>
      </w:r>
      <w:r w:rsidR="00B94AFB">
        <w:rPr>
          <w:rFonts w:ascii="Times New Roman" w:hAnsi="Times New Roman" w:cs="Times New Roman"/>
          <w:sz w:val="28"/>
          <w:szCs w:val="28"/>
          <w:shd w:val="clear" w:color="auto" w:fill="FFFFFF"/>
          <w:lang w:val="de-DE"/>
        </w:rPr>
        <w:t>6</w:t>
      </w:r>
      <w:r w:rsidR="00447659" w:rsidRPr="00913143">
        <w:rPr>
          <w:rFonts w:ascii="Times New Roman" w:hAnsi="Times New Roman" w:cs="Times New Roman"/>
          <w:sz w:val="28"/>
          <w:szCs w:val="28"/>
          <w:shd w:val="clear" w:color="auto" w:fill="FFFFFF"/>
          <w:lang w:val="de-DE"/>
        </w:rPr>
        <w:t xml:space="preserve">%; </w:t>
      </w:r>
      <w:r w:rsidRPr="00913143">
        <w:rPr>
          <w:rFonts w:ascii="Times New Roman" w:hAnsi="Times New Roman" w:cs="Times New Roman"/>
          <w:sz w:val="28"/>
          <w:szCs w:val="28"/>
          <w:lang w:val="de-DE"/>
        </w:rPr>
        <w:t>khu vực dịch vụ tăng 6,</w:t>
      </w:r>
      <w:r w:rsidR="00B94AFB">
        <w:rPr>
          <w:rFonts w:ascii="Times New Roman" w:hAnsi="Times New Roman" w:cs="Times New Roman"/>
          <w:sz w:val="28"/>
          <w:szCs w:val="28"/>
          <w:lang w:val="de-DE"/>
        </w:rPr>
        <w:t>60</w:t>
      </w:r>
      <w:r w:rsidRPr="00913143">
        <w:rPr>
          <w:rFonts w:ascii="Times New Roman" w:hAnsi="Times New Roman" w:cs="Times New Roman"/>
          <w:sz w:val="28"/>
          <w:szCs w:val="28"/>
          <w:lang w:val="de-DE"/>
        </w:rPr>
        <w:t>%</w:t>
      </w:r>
      <w:r w:rsidR="00447659" w:rsidRPr="00913143">
        <w:rPr>
          <w:rFonts w:ascii="Times New Roman" w:hAnsi="Times New Roman" w:cs="Times New Roman"/>
          <w:sz w:val="28"/>
          <w:szCs w:val="28"/>
          <w:lang w:val="de-DE"/>
        </w:rPr>
        <w:t xml:space="preserve"> (</w:t>
      </w:r>
      <w:r w:rsidRPr="00913143">
        <w:rPr>
          <w:rFonts w:ascii="Times New Roman" w:hAnsi="Times New Roman" w:cs="Times New Roman"/>
          <w:sz w:val="28"/>
          <w:szCs w:val="28"/>
          <w:lang w:val="de-DE"/>
        </w:rPr>
        <w:t>đóng góp 46,6</w:t>
      </w:r>
      <w:r w:rsidR="00B94AFB">
        <w:rPr>
          <w:rFonts w:ascii="Times New Roman" w:hAnsi="Times New Roman" w:cs="Times New Roman"/>
          <w:sz w:val="28"/>
          <w:szCs w:val="28"/>
          <w:lang w:val="de-DE"/>
        </w:rPr>
        <w:t>0</w:t>
      </w:r>
      <w:r w:rsidRPr="00913143">
        <w:rPr>
          <w:rFonts w:ascii="Times New Roman" w:hAnsi="Times New Roman" w:cs="Times New Roman"/>
          <w:sz w:val="28"/>
          <w:szCs w:val="28"/>
          <w:lang w:val="de-DE"/>
        </w:rPr>
        <w:t>%</w:t>
      </w:r>
      <w:r w:rsidR="00447659" w:rsidRPr="00913143">
        <w:rPr>
          <w:rFonts w:ascii="Times New Roman" w:hAnsi="Times New Roman" w:cs="Times New Roman"/>
          <w:sz w:val="28"/>
          <w:szCs w:val="28"/>
          <w:lang w:val="de-DE"/>
        </w:rPr>
        <w:t xml:space="preserve">), trong đó </w:t>
      </w:r>
      <w:r w:rsidR="00447659" w:rsidRPr="00913143">
        <w:rPr>
          <w:rFonts w:ascii="Times New Roman" w:hAnsi="Times New Roman" w:cs="Times New Roman"/>
          <w:sz w:val="28"/>
          <w:szCs w:val="28"/>
        </w:rPr>
        <w:t xml:space="preserve">các ngành dịch vụ thị trường như: </w:t>
      </w:r>
      <w:r w:rsidR="00447659" w:rsidRPr="00913143">
        <w:rPr>
          <w:rFonts w:ascii="Times New Roman" w:hAnsi="Times New Roman" w:cs="Times New Roman"/>
          <w:sz w:val="28"/>
          <w:szCs w:val="28"/>
          <w:lang w:val="de-DE"/>
        </w:rPr>
        <w:t>Bán buôn và bán lẻ tăng 5,8</w:t>
      </w:r>
      <w:r w:rsidR="00B94AFB">
        <w:rPr>
          <w:rFonts w:ascii="Times New Roman" w:hAnsi="Times New Roman" w:cs="Times New Roman"/>
          <w:sz w:val="28"/>
          <w:szCs w:val="28"/>
          <w:lang w:val="de-DE"/>
        </w:rPr>
        <w:t>2</w:t>
      </w:r>
      <w:r w:rsidR="00447659" w:rsidRPr="00913143">
        <w:rPr>
          <w:rFonts w:ascii="Times New Roman" w:hAnsi="Times New Roman" w:cs="Times New Roman"/>
          <w:sz w:val="28"/>
          <w:szCs w:val="28"/>
          <w:lang w:val="de-DE"/>
        </w:rPr>
        <w:t>%; hoạt động tài chính, ngân hàng và bảo hiểm tăng 9,5%; dịch vụ lưu trú và ăn uống tăng 11,19%; ngành vận tải, kho bãi tăng 8,13%.</w:t>
      </w:r>
    </w:p>
    <w:bookmarkEnd w:id="1"/>
    <w:p w:rsidR="00005AF6" w:rsidRPr="00913143" w:rsidRDefault="00005AF6" w:rsidP="00913143">
      <w:pPr>
        <w:pStyle w:val="BodyTextIndent"/>
        <w:spacing w:before="40" w:after="40" w:line="250" w:lineRule="auto"/>
        <w:ind w:firstLine="567"/>
        <w:rPr>
          <w:rFonts w:ascii="Times New Roman" w:hAnsi="Times New Roman" w:cs="Times New Roman"/>
          <w:lang w:val="de-DE"/>
        </w:rPr>
      </w:pPr>
      <w:r w:rsidRPr="00913143">
        <w:rPr>
          <w:rFonts w:ascii="Times New Roman" w:hAnsi="Times New Roman" w:cs="Times New Roman"/>
          <w:lang w:val="de-DE"/>
        </w:rPr>
        <w:t>Về cơ cấu nền kinh tế 6 tháng đầu năm 2022, khu vực nông, lâm nghiệp và thủy sản chiếm tỷ trọng 11,0</w:t>
      </w:r>
      <w:r w:rsidR="00B94AFB">
        <w:rPr>
          <w:rFonts w:ascii="Times New Roman" w:hAnsi="Times New Roman" w:cs="Times New Roman"/>
          <w:lang w:val="de-DE"/>
        </w:rPr>
        <w:t>5</w:t>
      </w:r>
      <w:r w:rsidRPr="00913143">
        <w:rPr>
          <w:rFonts w:ascii="Times New Roman" w:hAnsi="Times New Roman" w:cs="Times New Roman"/>
          <w:lang w:val="de-DE"/>
        </w:rPr>
        <w:t>%; khu vực công nghiệp và xây dựng chiếm 39,30%; khu vực dịch vụ chiếm 40,6</w:t>
      </w:r>
      <w:r w:rsidR="00B94AFB">
        <w:rPr>
          <w:rFonts w:ascii="Times New Roman" w:hAnsi="Times New Roman" w:cs="Times New Roman"/>
          <w:lang w:val="de-DE"/>
        </w:rPr>
        <w:t>3</w:t>
      </w:r>
      <w:r w:rsidRPr="00913143">
        <w:rPr>
          <w:rFonts w:ascii="Times New Roman" w:hAnsi="Times New Roman" w:cs="Times New Roman"/>
          <w:lang w:val="de-DE"/>
        </w:rPr>
        <w:t>%; thuế sản phẩm trừ trợ cấp sản phẩm chiếm 9,02%.</w:t>
      </w:r>
    </w:p>
    <w:p w:rsidR="00005AF6" w:rsidRPr="00913143" w:rsidRDefault="00005AF6" w:rsidP="00913143">
      <w:pPr>
        <w:spacing w:before="40" w:after="40" w:line="250" w:lineRule="auto"/>
        <w:ind w:firstLine="567"/>
        <w:jc w:val="both"/>
        <w:rPr>
          <w:rFonts w:ascii="Times New Roman" w:hAnsi="Times New Roman" w:cs="Times New Roman"/>
          <w:sz w:val="28"/>
          <w:szCs w:val="28"/>
        </w:rPr>
      </w:pPr>
      <w:r w:rsidRPr="00913143">
        <w:rPr>
          <w:rFonts w:ascii="Times New Roman" w:hAnsi="Times New Roman" w:cs="Times New Roman"/>
          <w:sz w:val="28"/>
          <w:szCs w:val="28"/>
          <w:lang w:val="de-DE"/>
        </w:rPr>
        <w:t xml:space="preserve">Về sử dụng GDP 6 tháng đầu năm 2022, tiêu dùng cuối cùng tăng 6,06% so với cùng kỳ năm 2021; tích lũy tài sản tăng 3,92%; xuất khẩu hàng hóa và dịch vụ tăng </w:t>
      </w:r>
      <w:r w:rsidR="00B94AFB">
        <w:rPr>
          <w:rFonts w:ascii="Times New Roman" w:hAnsi="Times New Roman" w:cs="Times New Roman"/>
          <w:sz w:val="28"/>
          <w:szCs w:val="28"/>
          <w:lang w:val="de-DE"/>
        </w:rPr>
        <w:t>9,10</w:t>
      </w:r>
      <w:r w:rsidRPr="00913143">
        <w:rPr>
          <w:rFonts w:ascii="Times New Roman" w:hAnsi="Times New Roman" w:cs="Times New Roman"/>
          <w:sz w:val="28"/>
          <w:szCs w:val="28"/>
          <w:lang w:val="de-DE"/>
        </w:rPr>
        <w:t>%; nhập khẩu hàng hóa và dịch vụ tăng 4,</w:t>
      </w:r>
      <w:r w:rsidR="00B94AFB">
        <w:rPr>
          <w:rFonts w:ascii="Times New Roman" w:hAnsi="Times New Roman" w:cs="Times New Roman"/>
          <w:sz w:val="28"/>
          <w:szCs w:val="28"/>
          <w:lang w:val="de-DE"/>
        </w:rPr>
        <w:t>41</w:t>
      </w:r>
      <w:r w:rsidRPr="00913143">
        <w:rPr>
          <w:rFonts w:ascii="Times New Roman" w:hAnsi="Times New Roman" w:cs="Times New Roman"/>
          <w:sz w:val="28"/>
          <w:szCs w:val="28"/>
          <w:lang w:val="de-DE"/>
        </w:rPr>
        <w:t>%.</w:t>
      </w:r>
    </w:p>
    <w:p w:rsidR="003E5B85" w:rsidRPr="00913143" w:rsidRDefault="00622D4A" w:rsidP="00913143">
      <w:pPr>
        <w:spacing w:before="40" w:after="40" w:line="250" w:lineRule="auto"/>
        <w:ind w:firstLine="567"/>
        <w:jc w:val="both"/>
        <w:rPr>
          <w:rFonts w:ascii="Times New Roman" w:hAnsi="Times New Roman" w:cs="Times New Roman"/>
          <w:b/>
          <w:bCs/>
          <w:sz w:val="28"/>
          <w:szCs w:val="28"/>
          <w:lang w:val="fr-FR"/>
        </w:rPr>
      </w:pPr>
      <w:r w:rsidRPr="00913143">
        <w:rPr>
          <w:rFonts w:ascii="Times New Roman" w:hAnsi="Times New Roman" w:cs="Times New Roman"/>
          <w:b/>
          <w:i/>
          <w:iCs/>
          <w:sz w:val="28"/>
          <w:szCs w:val="28"/>
          <w:lang w:val="fr-FR"/>
        </w:rPr>
        <w:t xml:space="preserve">2. </w:t>
      </w:r>
      <w:r w:rsidR="00F752E1" w:rsidRPr="00913143">
        <w:rPr>
          <w:rFonts w:ascii="Times New Roman" w:hAnsi="Times New Roman" w:cs="Times New Roman"/>
          <w:b/>
          <w:i/>
          <w:sz w:val="28"/>
          <w:szCs w:val="28"/>
          <w:shd w:val="clear" w:color="auto" w:fill="FFFFFF"/>
        </w:rPr>
        <w:t xml:space="preserve">Sản xuất nông, lâm nghiệp và thủy sản 6 tháng đầu năm </w:t>
      </w:r>
      <w:r w:rsidR="003E5B85" w:rsidRPr="00913143">
        <w:rPr>
          <w:rFonts w:ascii="Times New Roman" w:hAnsi="Times New Roman" w:cs="Times New Roman"/>
          <w:b/>
          <w:i/>
          <w:sz w:val="28"/>
          <w:szCs w:val="28"/>
          <w:shd w:val="clear" w:color="auto" w:fill="FFFFFF"/>
        </w:rPr>
        <w:t>2022</w:t>
      </w:r>
      <w:r w:rsidR="003E5B85" w:rsidRPr="00913143">
        <w:rPr>
          <w:rFonts w:ascii="Times New Roman" w:hAnsi="Times New Roman" w:cs="Times New Roman"/>
          <w:b/>
          <w:i/>
          <w:sz w:val="28"/>
          <w:szCs w:val="28"/>
          <w:lang w:val="pt-BR"/>
        </w:rPr>
        <w:t xml:space="preserve"> vẫn</w:t>
      </w:r>
      <w:r w:rsidR="003E5B85" w:rsidRPr="00913143">
        <w:rPr>
          <w:rFonts w:ascii="Times New Roman" w:hAnsi="Times New Roman" w:cs="Times New Roman"/>
          <w:b/>
          <w:i/>
          <w:sz w:val="28"/>
          <w:szCs w:val="28"/>
          <w:lang w:val="vi-VN"/>
        </w:rPr>
        <w:t xml:space="preserve"> giữ mức tăng</w:t>
      </w:r>
      <w:r w:rsidR="003E5B85" w:rsidRPr="00913143">
        <w:rPr>
          <w:rFonts w:ascii="Times New Roman" w:hAnsi="Times New Roman" w:cs="Times New Roman"/>
          <w:b/>
          <w:i/>
          <w:sz w:val="28"/>
          <w:szCs w:val="28"/>
          <w:lang w:val="pt-BR"/>
        </w:rPr>
        <w:t xml:space="preserve"> khá</w:t>
      </w:r>
      <w:r w:rsidR="003E5B85" w:rsidRPr="00913143">
        <w:rPr>
          <w:rFonts w:ascii="Times New Roman" w:hAnsi="Times New Roman" w:cs="Times New Roman"/>
          <w:b/>
          <w:i/>
          <w:sz w:val="28"/>
          <w:szCs w:val="28"/>
          <w:shd w:val="clear" w:color="auto" w:fill="FFFFFF"/>
        </w:rPr>
        <w:t xml:space="preserve"> trong bối cảnh ảnh hưởng bởi thời tiết diễn biến thất thường từ đầu quý II/2022 và giá vật tư đầu vào tăng cao. </w:t>
      </w:r>
      <w:r w:rsidR="003E5B85" w:rsidRPr="00913143">
        <w:rPr>
          <w:rFonts w:ascii="Times New Roman" w:hAnsi="Times New Roman" w:cs="Times New Roman"/>
          <w:b/>
          <w:bCs/>
          <w:i/>
          <w:sz w:val="28"/>
          <w:szCs w:val="28"/>
          <w:lang w:val="pt-BR"/>
        </w:rPr>
        <w:t>Sản lượng một số cây lâu năm chủ yếu tăng so với cùng kỳ</w:t>
      </w:r>
      <w:r w:rsidR="003E5B85" w:rsidRPr="00913143">
        <w:rPr>
          <w:rFonts w:ascii="Times New Roman" w:hAnsi="Times New Roman" w:cs="Times New Roman"/>
          <w:b/>
          <w:bCs/>
          <w:i/>
          <w:sz w:val="28"/>
          <w:szCs w:val="28"/>
          <w:lang w:val="vi-VN"/>
        </w:rPr>
        <w:t>;</w:t>
      </w:r>
      <w:r w:rsidR="003E5B85" w:rsidRPr="00913143">
        <w:rPr>
          <w:rFonts w:ascii="Times New Roman" w:hAnsi="Times New Roman" w:cs="Times New Roman"/>
          <w:b/>
          <w:bCs/>
          <w:i/>
          <w:sz w:val="28"/>
          <w:szCs w:val="28"/>
          <w:lang w:val="pt-BR"/>
        </w:rPr>
        <w:t xml:space="preserve"> chăn nuôi lợn và gia cầm phát triển ổn định; hoạt động khai thác và tiêu thụ gỗ có nhiều khởi sắc; nuôi trồng thủy sản tăng trưởng tốt do nhu cầu tiêu dùng và giá xuất khẩu tăng</w:t>
      </w:r>
      <w:r w:rsidR="003E5B85" w:rsidRPr="00913143">
        <w:rPr>
          <w:rFonts w:ascii="Times New Roman" w:hAnsi="Times New Roman" w:cs="Times New Roman"/>
          <w:b/>
          <w:bCs/>
          <w:i/>
          <w:sz w:val="28"/>
          <w:szCs w:val="28"/>
          <w:lang w:val="vi-VN"/>
        </w:rPr>
        <w:t>.</w:t>
      </w:r>
      <w:r w:rsidR="003E5B85" w:rsidRPr="00913143">
        <w:rPr>
          <w:rFonts w:ascii="Times New Roman" w:hAnsi="Times New Roman" w:cs="Times New Roman"/>
          <w:b/>
          <w:bCs/>
          <w:i/>
          <w:sz w:val="28"/>
          <w:szCs w:val="28"/>
          <w:lang w:val="pt-BR"/>
        </w:rPr>
        <w:t xml:space="preserve"> </w:t>
      </w:r>
      <w:r w:rsidR="003E5B85" w:rsidRPr="00913143">
        <w:rPr>
          <w:rFonts w:ascii="Times New Roman" w:hAnsi="Times New Roman" w:cs="Times New Roman"/>
          <w:b/>
          <w:i/>
          <w:sz w:val="28"/>
          <w:szCs w:val="28"/>
          <w:shd w:val="clear" w:color="auto" w:fill="FFFFFF"/>
          <w:lang w:val="vi-VN"/>
        </w:rPr>
        <w:t>T</w:t>
      </w:r>
      <w:r w:rsidR="003E5B85" w:rsidRPr="00913143">
        <w:rPr>
          <w:rFonts w:ascii="Times New Roman" w:hAnsi="Times New Roman" w:cs="Times New Roman"/>
          <w:b/>
          <w:i/>
          <w:sz w:val="28"/>
          <w:szCs w:val="28"/>
          <w:shd w:val="clear" w:color="auto" w:fill="FFFFFF"/>
        </w:rPr>
        <w:t xml:space="preserve">uy nhiên sản lượng thủy sản khai thác biển giảm do giá xăng dầu tăng cao, nhiều tàu cá nằm bờ. </w:t>
      </w:r>
      <w:r w:rsidR="003E5B85" w:rsidRPr="00913143">
        <w:rPr>
          <w:rFonts w:ascii="Times New Roman" w:hAnsi="Times New Roman" w:cs="Times New Roman"/>
          <w:b/>
          <w:bCs/>
          <w:i/>
          <w:sz w:val="28"/>
          <w:szCs w:val="28"/>
          <w:lang w:val="pt-BR"/>
        </w:rPr>
        <w:t>Sản lượng lúa đông xuân giảm do chuyển đổi diện tích đất trồng lúa và thời tiết không thuận lợi.</w:t>
      </w:r>
    </w:p>
    <w:p w:rsidR="00F752E1" w:rsidRPr="00913143" w:rsidRDefault="00F752E1" w:rsidP="00913143">
      <w:pPr>
        <w:spacing w:before="40" w:after="40" w:line="250" w:lineRule="auto"/>
        <w:ind w:firstLine="567"/>
        <w:jc w:val="both"/>
        <w:rPr>
          <w:rFonts w:ascii="Times New Roman" w:hAnsi="Times New Roman" w:cs="Times New Roman"/>
          <w:sz w:val="28"/>
          <w:szCs w:val="28"/>
        </w:rPr>
      </w:pPr>
      <w:r w:rsidRPr="00913143">
        <w:rPr>
          <w:rFonts w:ascii="Times New Roman" w:hAnsi="Times New Roman" w:cs="Times New Roman"/>
          <w:b/>
          <w:i/>
          <w:sz w:val="28"/>
          <w:szCs w:val="28"/>
        </w:rPr>
        <w:t>a) Nông nghiệp</w:t>
      </w:r>
    </w:p>
    <w:p w:rsidR="003E5B85" w:rsidRPr="00913143" w:rsidRDefault="003E5B85" w:rsidP="00913143">
      <w:pPr>
        <w:shd w:val="clear" w:color="auto" w:fill="FFFFFF"/>
        <w:spacing w:before="40" w:after="40" w:line="250" w:lineRule="auto"/>
        <w:ind w:firstLine="567"/>
        <w:jc w:val="both"/>
        <w:rPr>
          <w:rFonts w:ascii="Times New Roman" w:hAnsi="Times New Roman" w:cs="Times New Roman"/>
          <w:sz w:val="28"/>
          <w:szCs w:val="28"/>
        </w:rPr>
      </w:pPr>
      <w:r w:rsidRPr="00913143">
        <w:rPr>
          <w:rFonts w:ascii="Times New Roman" w:hAnsi="Times New Roman" w:cs="Times New Roman"/>
          <w:sz w:val="28"/>
          <w:szCs w:val="28"/>
        </w:rPr>
        <w:t xml:space="preserve">Diện tích gieo cấy lúa đông xuân cả nước năm nay đạt 2.992 nghìn ha, </w:t>
      </w:r>
      <w:r w:rsidRPr="00913143">
        <w:rPr>
          <w:rFonts w:ascii="Times New Roman" w:hAnsi="Times New Roman" w:cs="Times New Roman"/>
          <w:sz w:val="28"/>
          <w:szCs w:val="28"/>
          <w:shd w:val="clear" w:color="auto" w:fill="FFFFFF"/>
        </w:rPr>
        <w:t>bằng 99,5% vụ đông xuân năm trước</w:t>
      </w:r>
      <w:r w:rsidRPr="00913143">
        <w:rPr>
          <w:rFonts w:ascii="Times New Roman" w:hAnsi="Times New Roman" w:cs="Times New Roman"/>
          <w:sz w:val="28"/>
          <w:szCs w:val="28"/>
        </w:rPr>
        <w:t>, trong đó: C</w:t>
      </w:r>
      <w:r w:rsidRPr="00913143">
        <w:rPr>
          <w:rStyle w:val="normalchar"/>
          <w:rFonts w:ascii="Times New Roman" w:hAnsi="Times New Roman"/>
          <w:sz w:val="28"/>
          <w:szCs w:val="28"/>
        </w:rPr>
        <w:t xml:space="preserve">ác địa phương phía Bắc đạt 1.077,8 nghìn ha, bằng 99,2%; các địa phương phía Nam đạt </w:t>
      </w:r>
      <w:r w:rsidRPr="00913143">
        <w:rPr>
          <w:rFonts w:ascii="Times New Roman" w:hAnsi="Times New Roman" w:cs="Times New Roman"/>
          <w:sz w:val="28"/>
          <w:szCs w:val="28"/>
        </w:rPr>
        <w:t xml:space="preserve">1.914,2 nghìn ha, bằng 99,7%. </w:t>
      </w:r>
      <w:r w:rsidRPr="00913143">
        <w:rPr>
          <w:rStyle w:val="normalchar"/>
          <w:rFonts w:ascii="Times New Roman" w:hAnsi="Times New Roman"/>
          <w:sz w:val="28"/>
          <w:szCs w:val="28"/>
        </w:rPr>
        <w:t>Theo báo cáo sơ bộ, n</w:t>
      </w:r>
      <w:r w:rsidRPr="00913143">
        <w:rPr>
          <w:rFonts w:ascii="Times New Roman" w:hAnsi="Times New Roman" w:cs="Times New Roman"/>
          <w:sz w:val="28"/>
          <w:szCs w:val="28"/>
        </w:rPr>
        <w:t>ăng suất lúa đông xuân của cả nước ước đạt 66,7 tạ/ha, giảm 1,9 tạ/ha so với vụ đông xuân năm trước.</w:t>
      </w:r>
    </w:p>
    <w:p w:rsidR="003E5B85" w:rsidRPr="00913143" w:rsidRDefault="003E5B85" w:rsidP="00913143">
      <w:pPr>
        <w:pStyle w:val="Normal10"/>
        <w:spacing w:before="40" w:beforeAutospacing="0" w:after="40" w:afterAutospacing="0" w:line="250" w:lineRule="auto"/>
        <w:ind w:firstLine="567"/>
        <w:jc w:val="both"/>
        <w:rPr>
          <w:rFonts w:ascii="Times New Roman" w:hAnsi="Times New Roman" w:cs="Times New Roman"/>
          <w:sz w:val="28"/>
          <w:szCs w:val="28"/>
        </w:rPr>
      </w:pPr>
      <w:r w:rsidRPr="00913143">
        <w:rPr>
          <w:rStyle w:val="normalchar"/>
          <w:rFonts w:ascii="Times New Roman" w:hAnsi="Times New Roman"/>
          <w:sz w:val="28"/>
          <w:szCs w:val="28"/>
        </w:rPr>
        <w:t>Tính đến trung tuần tháng 6, các địa phương trên cả nước đã xuống giống được 1.829,5 nghìn ha lúa hè thu, bằng 99,5% cùng kỳ năm trước, trong đó vùng Đồng bằng sông Cửu Long đạt 1.442,9 nghìn ha, bằng 99,8%. Đến nay</w:t>
      </w:r>
      <w:r w:rsidRPr="00913143">
        <w:rPr>
          <w:rFonts w:ascii="Times New Roman" w:hAnsi="Times New Roman" w:cs="Times New Roman"/>
          <w:sz w:val="28"/>
          <w:szCs w:val="28"/>
        </w:rPr>
        <w:t xml:space="preserve"> có 174,4 nghìn ha diện tích lúa hè thu sớm tại vùng Đồng bằng sông Cửu Long đã cho thu hoạch, chiếm 12,1% diện tích xuống giống. </w:t>
      </w:r>
    </w:p>
    <w:p w:rsidR="003E5B85" w:rsidRPr="00913143" w:rsidRDefault="003E5B85" w:rsidP="00913143">
      <w:pPr>
        <w:pStyle w:val="Normal10"/>
        <w:spacing w:before="40" w:beforeAutospacing="0" w:after="40" w:afterAutospacing="0" w:line="264" w:lineRule="auto"/>
        <w:ind w:firstLine="567"/>
        <w:jc w:val="both"/>
        <w:rPr>
          <w:rFonts w:ascii="Times New Roman" w:hAnsi="Times New Roman" w:cs="Times New Roman"/>
          <w:sz w:val="28"/>
          <w:szCs w:val="28"/>
        </w:rPr>
      </w:pPr>
      <w:r w:rsidRPr="00913143">
        <w:rPr>
          <w:rStyle w:val="normalchar"/>
          <w:rFonts w:ascii="Times New Roman" w:hAnsi="Times New Roman"/>
          <w:sz w:val="28"/>
          <w:szCs w:val="28"/>
        </w:rPr>
        <w:lastRenderedPageBreak/>
        <w:t>Đến giữa tháng Sáu, các địa phương trên cả n</w:t>
      </w:r>
      <w:r w:rsidRPr="00913143">
        <w:rPr>
          <w:rFonts w:ascii="Times New Roman" w:hAnsi="Times New Roman" w:cs="Times New Roman"/>
          <w:sz w:val="28"/>
          <w:szCs w:val="28"/>
          <w:lang w:val="de-DE"/>
        </w:rPr>
        <w:t>ước đã gieo trồng được 55</w:t>
      </w:r>
      <w:r w:rsidR="003E0412">
        <w:rPr>
          <w:rFonts w:ascii="Times New Roman" w:hAnsi="Times New Roman" w:cs="Times New Roman"/>
          <w:sz w:val="28"/>
          <w:szCs w:val="28"/>
          <w:lang w:val="de-DE"/>
        </w:rPr>
        <w:t>1</w:t>
      </w:r>
      <w:r w:rsidRPr="00913143">
        <w:rPr>
          <w:rFonts w:ascii="Times New Roman" w:hAnsi="Times New Roman" w:cs="Times New Roman"/>
          <w:sz w:val="28"/>
          <w:szCs w:val="28"/>
          <w:lang w:val="de-DE"/>
        </w:rPr>
        <w:t xml:space="preserve"> nghìn ha ngô, bằng 97,5% cùng kỳ năm trước; 60,7 nghìn ha khoai lang, bằng 88,6%; 16,8 nghìn ha đậu tương, bằng 87,6%; </w:t>
      </w:r>
      <w:r w:rsidRPr="00913143">
        <w:rPr>
          <w:rFonts w:ascii="Times New Roman" w:hAnsi="Times New Roman" w:cs="Times New Roman"/>
          <w:sz w:val="28"/>
          <w:szCs w:val="28"/>
          <w:lang w:val="pl-PL"/>
        </w:rPr>
        <w:t>129,8 nghìn ha lạc, bằng 98,4%; 740,7</w:t>
      </w:r>
      <w:r w:rsidRPr="00913143">
        <w:rPr>
          <w:rFonts w:ascii="Times New Roman" w:hAnsi="Times New Roman" w:cs="Times New Roman"/>
          <w:sz w:val="28"/>
          <w:szCs w:val="28"/>
          <w:lang w:val="de-DE"/>
        </w:rPr>
        <w:t xml:space="preserve"> nghìn ha rau, đậu, bằng 100,4%. </w:t>
      </w:r>
    </w:p>
    <w:p w:rsidR="003E5B85" w:rsidRPr="00913143" w:rsidRDefault="003E5B85" w:rsidP="00913143">
      <w:pPr>
        <w:tabs>
          <w:tab w:val="center" w:pos="5062"/>
        </w:tabs>
        <w:spacing w:before="40" w:after="40" w:line="264" w:lineRule="auto"/>
        <w:ind w:firstLine="567"/>
        <w:jc w:val="both"/>
        <w:rPr>
          <w:rStyle w:val="normalchar"/>
          <w:rFonts w:ascii="Times New Roman" w:hAnsi="Times New Roman"/>
          <w:sz w:val="28"/>
          <w:szCs w:val="28"/>
        </w:rPr>
      </w:pPr>
      <w:r w:rsidRPr="00913143">
        <w:rPr>
          <w:rStyle w:val="normalchar"/>
          <w:rFonts w:ascii="Times New Roman" w:hAnsi="Times New Roman"/>
          <w:sz w:val="28"/>
          <w:szCs w:val="28"/>
        </w:rPr>
        <w:t>Sản lượng một số cây công nghiệp lâu năm 6 tháng đầu năm 2022 tăng so với cùng kỳ năm trước: Chè búp đạt 514,2 nghìn tấn, tăng 2,8%; cao su đạt 404,2 nghìn tấn, tăng 3,5%; hồ tiêu đạt 280,5 nghìn tấn, tăng 3,4%. Sản lượng một số cây ăn quả: Xoài đạt 590,6 nghìn tấn, tăng 1,3% so với cùng kỳ năm trước; cam đạt 490,8 nghìn tấn, tăng 15,1%; bưởi đạt 282,8 nghìn tấn, tăng 6,2%; nhãn đạt 183,9 nghìn tấn, tăng 1,5%; vải đạt 170 nghìn tấn, tăng 7,4%. Riêng sản lượng điều</w:t>
      </w:r>
      <w:r w:rsidR="003E0412">
        <w:rPr>
          <w:rStyle w:val="normalchar"/>
          <w:rFonts w:ascii="Times New Roman" w:hAnsi="Times New Roman"/>
          <w:sz w:val="28"/>
          <w:szCs w:val="28"/>
        </w:rPr>
        <w:t xml:space="preserve"> và thanh long</w:t>
      </w:r>
      <w:r w:rsidRPr="00913143">
        <w:rPr>
          <w:rStyle w:val="normalchar"/>
          <w:rFonts w:ascii="Times New Roman" w:hAnsi="Times New Roman"/>
          <w:sz w:val="28"/>
          <w:szCs w:val="28"/>
        </w:rPr>
        <w:t xml:space="preserve"> giảm so với cùng kỳ năm trước, </w:t>
      </w:r>
      <w:r w:rsidR="003E0412">
        <w:rPr>
          <w:rStyle w:val="normalchar"/>
          <w:rFonts w:ascii="Times New Roman" w:hAnsi="Times New Roman"/>
          <w:sz w:val="28"/>
          <w:szCs w:val="28"/>
        </w:rPr>
        <w:t xml:space="preserve">điều </w:t>
      </w:r>
      <w:r w:rsidRPr="00913143">
        <w:rPr>
          <w:rStyle w:val="normalchar"/>
          <w:rFonts w:ascii="Times New Roman" w:hAnsi="Times New Roman"/>
          <w:sz w:val="28"/>
          <w:szCs w:val="28"/>
        </w:rPr>
        <w:t xml:space="preserve">đạt 321,9 nghìn tấn, giảm 16,5% </w:t>
      </w:r>
      <w:r w:rsidRPr="00913143">
        <w:rPr>
          <w:rFonts w:ascii="Times New Roman" w:hAnsi="Times New Roman" w:cs="Times New Roman"/>
          <w:sz w:val="28"/>
          <w:szCs w:val="28"/>
        </w:rPr>
        <w:t xml:space="preserve">do ảnh hưởng của mưa trái mùa trong thời gian ra hoa làm bông điều bị hỏng không kết trái; </w:t>
      </w:r>
      <w:r w:rsidRPr="00913143">
        <w:rPr>
          <w:rStyle w:val="normalchar"/>
          <w:rFonts w:ascii="Times New Roman" w:hAnsi="Times New Roman"/>
          <w:sz w:val="28"/>
          <w:szCs w:val="28"/>
        </w:rPr>
        <w:t xml:space="preserve">thanh long đạt 606,8 nghìn tấn, giảm 7,4% do </w:t>
      </w:r>
      <w:r w:rsidRPr="00913143">
        <w:rPr>
          <w:rFonts w:ascii="Times New Roman" w:hAnsi="Times New Roman" w:cs="Times New Roman"/>
          <w:sz w:val="28"/>
          <w:szCs w:val="28"/>
        </w:rPr>
        <w:t xml:space="preserve">giá bán thanh long giảm nên nông dân giảm diện tích trồng. </w:t>
      </w:r>
    </w:p>
    <w:p w:rsidR="003E5B85" w:rsidRPr="00913143" w:rsidRDefault="003E5B85" w:rsidP="00913143">
      <w:pPr>
        <w:spacing w:before="40" w:after="40" w:line="264" w:lineRule="auto"/>
        <w:ind w:firstLine="567"/>
        <w:jc w:val="both"/>
        <w:rPr>
          <w:rFonts w:ascii="Times New Roman" w:hAnsi="Times New Roman" w:cs="Times New Roman"/>
          <w:bCs/>
          <w:sz w:val="28"/>
          <w:szCs w:val="28"/>
        </w:rPr>
      </w:pPr>
      <w:r w:rsidRPr="00913143">
        <w:rPr>
          <w:rFonts w:ascii="Times New Roman" w:hAnsi="Times New Roman" w:cs="Times New Roman"/>
          <w:sz w:val="28"/>
          <w:szCs w:val="28"/>
        </w:rPr>
        <w:t>Chăn nuôi trâu, bò trong 6 tháng đầu năm 2022 bị ảnh hưởng bởi rét đậm, rét hại trong hai tháng đầu năm. Chăn nuôi lợn và gia cầm hồi phục do dịch bệnh kiểm soát tốt, người chăn nuôi chủ động được nguồn giống và nhu cầu thị trường tăng cao</w:t>
      </w:r>
      <w:r w:rsidRPr="00913143">
        <w:rPr>
          <w:rFonts w:ascii="Times New Roman" w:hAnsi="Times New Roman" w:cs="Times New Roman"/>
          <w:bCs/>
          <w:sz w:val="28"/>
          <w:szCs w:val="28"/>
        </w:rPr>
        <w:t>. Tuy nhiên, n</w:t>
      </w:r>
      <w:r w:rsidRPr="00913143">
        <w:rPr>
          <w:rFonts w:ascii="Times New Roman" w:hAnsi="Times New Roman" w:cs="Times New Roman"/>
          <w:sz w:val="28"/>
          <w:szCs w:val="28"/>
        </w:rPr>
        <w:t>gành chăn nuôi vẫn gặp khó khăn do giá thức ăn ở mức cao, đặc biệt đối với hộ chăn nuôi quy mô nhỏ.</w:t>
      </w:r>
    </w:p>
    <w:p w:rsidR="003E5B85" w:rsidRPr="00913143" w:rsidRDefault="00DB34B7" w:rsidP="00913143">
      <w:pPr>
        <w:spacing w:before="40" w:after="40" w:line="264" w:lineRule="auto"/>
        <w:jc w:val="center"/>
        <w:rPr>
          <w:rFonts w:ascii="Arial" w:hAnsi="Arial" w:cs="Arial"/>
          <w:b/>
          <w:bCs/>
          <w:sz w:val="24"/>
          <w:szCs w:val="28"/>
          <w:lang w:val="en-US"/>
        </w:rPr>
      </w:pPr>
      <w:r w:rsidRPr="00913143">
        <w:rPr>
          <w:rFonts w:ascii="Arial" w:hAnsi="Arial" w:cs="Arial"/>
          <w:b/>
          <w:bCs/>
          <w:sz w:val="24"/>
          <w:szCs w:val="28"/>
          <w:lang w:val="en-US"/>
        </w:rPr>
        <w:t>Sản lượng m</w:t>
      </w:r>
      <w:r w:rsidR="003E5B85" w:rsidRPr="00913143">
        <w:rPr>
          <w:rFonts w:ascii="Arial" w:hAnsi="Arial" w:cs="Arial"/>
          <w:b/>
          <w:bCs/>
          <w:sz w:val="24"/>
          <w:szCs w:val="28"/>
          <w:lang w:val="en-US"/>
        </w:rPr>
        <w:t>ột số sản phẩm chăn nuôi chủ yếu</w:t>
      </w:r>
    </w:p>
    <w:p w:rsidR="003E5B85" w:rsidRPr="00913143" w:rsidRDefault="003E5B85" w:rsidP="00913143">
      <w:pPr>
        <w:spacing w:before="40" w:after="40" w:line="264" w:lineRule="auto"/>
        <w:jc w:val="center"/>
        <w:rPr>
          <w:rFonts w:ascii="Times New Roman" w:hAnsi="Times New Roman" w:cs="Times New Roman"/>
          <w:sz w:val="28"/>
          <w:szCs w:val="28"/>
        </w:rPr>
      </w:pPr>
    </w:p>
    <w:tbl>
      <w:tblPr>
        <w:tblW w:w="8820" w:type="dxa"/>
        <w:jc w:val="center"/>
        <w:tblLook w:val="04A0" w:firstRow="1" w:lastRow="0" w:firstColumn="1" w:lastColumn="0" w:noHBand="0" w:noVBand="1"/>
      </w:tblPr>
      <w:tblGrid>
        <w:gridCol w:w="2835"/>
        <w:gridCol w:w="1417"/>
        <w:gridCol w:w="1702"/>
        <w:gridCol w:w="1307"/>
        <w:gridCol w:w="1559"/>
      </w:tblGrid>
      <w:tr w:rsidR="007B725E" w:rsidRPr="00913143" w:rsidTr="007B725E">
        <w:trPr>
          <w:trHeight w:val="360"/>
          <w:jc w:val="center"/>
        </w:trPr>
        <w:tc>
          <w:tcPr>
            <w:tcW w:w="2835" w:type="dxa"/>
            <w:tcBorders>
              <w:top w:val="single" w:sz="4" w:space="0" w:color="auto"/>
            </w:tcBorders>
            <w:shd w:val="clear" w:color="auto" w:fill="auto"/>
            <w:noWrap/>
            <w:vAlign w:val="bottom"/>
            <w:hideMark/>
          </w:tcPr>
          <w:p w:rsidR="003E5B85" w:rsidRPr="00913143" w:rsidRDefault="003E5B85" w:rsidP="00913143">
            <w:pPr>
              <w:spacing w:before="40" w:after="40" w:line="264" w:lineRule="auto"/>
              <w:jc w:val="center"/>
              <w:rPr>
                <w:rFonts w:ascii="Arial" w:hAnsi="Arial" w:cs="Arial"/>
                <w:b/>
                <w:bCs/>
                <w:sz w:val="20"/>
                <w:szCs w:val="20"/>
                <w:lang w:val="en-US"/>
              </w:rPr>
            </w:pPr>
            <w:r w:rsidRPr="00913143">
              <w:rPr>
                <w:rFonts w:ascii="Arial" w:hAnsi="Arial" w:cs="Arial"/>
                <w:b/>
                <w:bCs/>
                <w:sz w:val="20"/>
                <w:szCs w:val="20"/>
                <w:lang w:val="en-US"/>
              </w:rPr>
              <w:t> </w:t>
            </w:r>
          </w:p>
        </w:tc>
        <w:tc>
          <w:tcPr>
            <w:tcW w:w="1417" w:type="dxa"/>
            <w:vMerge w:val="restart"/>
            <w:tcBorders>
              <w:top w:val="single" w:sz="4" w:space="0" w:color="auto"/>
            </w:tcBorders>
            <w:shd w:val="clear" w:color="auto" w:fill="auto"/>
            <w:vAlign w:val="center"/>
            <w:hideMark/>
          </w:tcPr>
          <w:p w:rsidR="003E5B85" w:rsidRPr="00913143" w:rsidRDefault="003E5B85" w:rsidP="00913143">
            <w:pPr>
              <w:spacing w:before="40" w:after="40" w:line="264" w:lineRule="auto"/>
              <w:jc w:val="center"/>
              <w:rPr>
                <w:rFonts w:ascii="Arial" w:hAnsi="Arial" w:cs="Arial"/>
                <w:sz w:val="20"/>
                <w:szCs w:val="20"/>
                <w:lang w:val="en-US"/>
              </w:rPr>
            </w:pPr>
            <w:r w:rsidRPr="00913143">
              <w:rPr>
                <w:rFonts w:ascii="Arial" w:hAnsi="Arial" w:cs="Arial"/>
                <w:sz w:val="20"/>
                <w:szCs w:val="20"/>
                <w:lang w:val="en-US"/>
              </w:rPr>
              <w:t>Ước tính</w:t>
            </w:r>
          </w:p>
          <w:p w:rsidR="003E5B85" w:rsidRPr="00913143" w:rsidRDefault="003E5B85" w:rsidP="00913143">
            <w:pPr>
              <w:spacing w:before="40" w:after="40" w:line="264" w:lineRule="auto"/>
              <w:jc w:val="center"/>
              <w:rPr>
                <w:rFonts w:ascii="Arial" w:hAnsi="Arial" w:cs="Arial"/>
                <w:sz w:val="20"/>
                <w:szCs w:val="20"/>
                <w:lang w:val="en-US"/>
              </w:rPr>
            </w:pPr>
            <w:r w:rsidRPr="00913143">
              <w:rPr>
                <w:rFonts w:ascii="Arial" w:hAnsi="Arial" w:cs="Arial"/>
                <w:sz w:val="20"/>
                <w:szCs w:val="20"/>
                <w:lang w:val="en-US"/>
              </w:rPr>
              <w:t>quý II/2022</w:t>
            </w:r>
          </w:p>
        </w:tc>
        <w:tc>
          <w:tcPr>
            <w:tcW w:w="1702" w:type="dxa"/>
            <w:vMerge w:val="restart"/>
            <w:tcBorders>
              <w:top w:val="single" w:sz="4" w:space="0" w:color="auto"/>
            </w:tcBorders>
            <w:shd w:val="clear" w:color="auto" w:fill="auto"/>
            <w:vAlign w:val="center"/>
            <w:hideMark/>
          </w:tcPr>
          <w:p w:rsidR="003E5B85" w:rsidRPr="00913143" w:rsidRDefault="003E5B85" w:rsidP="00913143">
            <w:pPr>
              <w:spacing w:before="40" w:after="40" w:line="264" w:lineRule="auto"/>
              <w:jc w:val="center"/>
              <w:rPr>
                <w:rFonts w:ascii="Arial" w:hAnsi="Arial" w:cs="Arial"/>
                <w:sz w:val="20"/>
                <w:szCs w:val="20"/>
                <w:lang w:val="en-US"/>
              </w:rPr>
            </w:pPr>
            <w:r w:rsidRPr="00913143">
              <w:rPr>
                <w:rFonts w:ascii="Arial" w:hAnsi="Arial" w:cs="Arial"/>
                <w:sz w:val="20"/>
                <w:szCs w:val="20"/>
                <w:lang w:val="en-US"/>
              </w:rPr>
              <w:t>Cộng dồn</w:t>
            </w:r>
          </w:p>
          <w:p w:rsidR="003E5B85" w:rsidRPr="00913143" w:rsidRDefault="003E5B85" w:rsidP="00913143">
            <w:pPr>
              <w:spacing w:before="40" w:after="40" w:line="264" w:lineRule="auto"/>
              <w:jc w:val="center"/>
              <w:rPr>
                <w:rFonts w:ascii="Arial" w:hAnsi="Arial" w:cs="Arial"/>
                <w:sz w:val="20"/>
                <w:szCs w:val="20"/>
                <w:lang w:val="en-US"/>
              </w:rPr>
            </w:pPr>
            <w:r w:rsidRPr="00913143">
              <w:rPr>
                <w:rFonts w:ascii="Arial" w:hAnsi="Arial" w:cs="Arial"/>
                <w:sz w:val="20"/>
                <w:szCs w:val="20"/>
                <w:lang w:val="en-US"/>
              </w:rPr>
              <w:t xml:space="preserve">6 tháng/2022 </w:t>
            </w:r>
          </w:p>
        </w:tc>
        <w:tc>
          <w:tcPr>
            <w:tcW w:w="2866" w:type="dxa"/>
            <w:gridSpan w:val="2"/>
            <w:tcBorders>
              <w:top w:val="single" w:sz="4" w:space="0" w:color="auto"/>
              <w:bottom w:val="single" w:sz="4" w:space="0" w:color="auto"/>
            </w:tcBorders>
            <w:shd w:val="clear" w:color="auto" w:fill="auto"/>
            <w:noWrap/>
            <w:vAlign w:val="center"/>
            <w:hideMark/>
          </w:tcPr>
          <w:p w:rsidR="003E5B85" w:rsidRPr="00913143" w:rsidRDefault="00DB34B7" w:rsidP="00913143">
            <w:pPr>
              <w:spacing w:before="40" w:after="40" w:line="264" w:lineRule="auto"/>
              <w:jc w:val="center"/>
              <w:rPr>
                <w:rFonts w:ascii="Arial" w:hAnsi="Arial" w:cs="Arial"/>
                <w:sz w:val="20"/>
                <w:szCs w:val="20"/>
                <w:lang w:val="en-US"/>
              </w:rPr>
            </w:pPr>
            <w:r w:rsidRPr="00913143">
              <w:rPr>
                <w:rFonts w:ascii="Arial" w:hAnsi="Arial" w:cs="Arial"/>
                <w:sz w:val="20"/>
                <w:szCs w:val="20"/>
                <w:lang w:val="en-US"/>
              </w:rPr>
              <w:t>Tốc độ tăng s</w:t>
            </w:r>
            <w:r w:rsidR="003E5B85" w:rsidRPr="00913143">
              <w:rPr>
                <w:rFonts w:ascii="Arial" w:hAnsi="Arial" w:cs="Arial"/>
                <w:sz w:val="20"/>
                <w:szCs w:val="20"/>
                <w:lang w:val="en-US"/>
              </w:rPr>
              <w:t>o với</w:t>
            </w:r>
            <w:r w:rsidR="007B725E" w:rsidRPr="00913143">
              <w:rPr>
                <w:rFonts w:ascii="Arial" w:hAnsi="Arial" w:cs="Arial"/>
                <w:sz w:val="20"/>
                <w:szCs w:val="20"/>
                <w:lang w:val="en-US"/>
              </w:rPr>
              <w:br/>
            </w:r>
            <w:r w:rsidR="003E5B85" w:rsidRPr="00913143">
              <w:rPr>
                <w:rFonts w:ascii="Arial" w:hAnsi="Arial" w:cs="Arial"/>
                <w:sz w:val="20"/>
                <w:szCs w:val="20"/>
                <w:lang w:val="en-US"/>
              </w:rPr>
              <w:t>cùng kỳ</w:t>
            </w:r>
            <w:r w:rsidR="007B725E" w:rsidRPr="00913143">
              <w:rPr>
                <w:rFonts w:ascii="Arial" w:hAnsi="Arial" w:cs="Arial"/>
                <w:sz w:val="20"/>
                <w:szCs w:val="20"/>
                <w:lang w:val="en-US"/>
              </w:rPr>
              <w:t xml:space="preserve"> </w:t>
            </w:r>
            <w:r w:rsidR="003E5B85" w:rsidRPr="00913143">
              <w:rPr>
                <w:rFonts w:ascii="Arial" w:hAnsi="Arial" w:cs="Arial"/>
                <w:sz w:val="20"/>
                <w:szCs w:val="20"/>
                <w:lang w:val="en-US"/>
              </w:rPr>
              <w:t>năm trước (%)</w:t>
            </w:r>
          </w:p>
        </w:tc>
      </w:tr>
      <w:tr w:rsidR="007B725E" w:rsidRPr="00913143" w:rsidTr="007B725E">
        <w:trPr>
          <w:trHeight w:val="360"/>
          <w:jc w:val="center"/>
        </w:trPr>
        <w:tc>
          <w:tcPr>
            <w:tcW w:w="2835" w:type="dxa"/>
            <w:shd w:val="clear" w:color="auto" w:fill="auto"/>
            <w:noWrap/>
            <w:vAlign w:val="center"/>
            <w:hideMark/>
          </w:tcPr>
          <w:p w:rsidR="003E5B85" w:rsidRPr="00913143" w:rsidRDefault="003E5B85" w:rsidP="00913143">
            <w:pPr>
              <w:spacing w:before="40" w:after="40" w:line="264" w:lineRule="auto"/>
              <w:jc w:val="center"/>
              <w:rPr>
                <w:rFonts w:ascii="Arial" w:hAnsi="Arial" w:cs="Arial"/>
                <w:sz w:val="20"/>
                <w:szCs w:val="20"/>
                <w:lang w:val="en-US"/>
              </w:rPr>
            </w:pPr>
          </w:p>
        </w:tc>
        <w:tc>
          <w:tcPr>
            <w:tcW w:w="1417" w:type="dxa"/>
            <w:vMerge/>
            <w:tcBorders>
              <w:bottom w:val="single" w:sz="4" w:space="0" w:color="auto"/>
            </w:tcBorders>
            <w:shd w:val="clear" w:color="auto" w:fill="auto"/>
            <w:vAlign w:val="center"/>
            <w:hideMark/>
          </w:tcPr>
          <w:p w:rsidR="003E5B85" w:rsidRPr="00913143" w:rsidRDefault="003E5B85" w:rsidP="00913143">
            <w:pPr>
              <w:spacing w:before="40" w:after="40" w:line="264" w:lineRule="auto"/>
              <w:jc w:val="center"/>
              <w:rPr>
                <w:rFonts w:ascii="Arial" w:hAnsi="Arial" w:cs="Arial"/>
                <w:sz w:val="20"/>
                <w:szCs w:val="20"/>
                <w:lang w:val="en-US"/>
              </w:rPr>
            </w:pPr>
          </w:p>
        </w:tc>
        <w:tc>
          <w:tcPr>
            <w:tcW w:w="1702" w:type="dxa"/>
            <w:vMerge/>
            <w:tcBorders>
              <w:bottom w:val="single" w:sz="4" w:space="0" w:color="auto"/>
            </w:tcBorders>
            <w:shd w:val="clear" w:color="auto" w:fill="auto"/>
            <w:vAlign w:val="center"/>
            <w:hideMark/>
          </w:tcPr>
          <w:p w:rsidR="003E5B85" w:rsidRPr="00913143" w:rsidRDefault="003E5B85" w:rsidP="00913143">
            <w:pPr>
              <w:spacing w:before="40" w:after="40" w:line="264" w:lineRule="auto"/>
              <w:jc w:val="center"/>
              <w:rPr>
                <w:rFonts w:ascii="Arial" w:hAnsi="Arial" w:cs="Arial"/>
                <w:sz w:val="20"/>
                <w:szCs w:val="20"/>
                <w:lang w:val="en-US"/>
              </w:rPr>
            </w:pPr>
          </w:p>
        </w:tc>
        <w:tc>
          <w:tcPr>
            <w:tcW w:w="1307" w:type="dxa"/>
            <w:tcBorders>
              <w:top w:val="single" w:sz="4" w:space="0" w:color="auto"/>
              <w:bottom w:val="single" w:sz="4" w:space="0" w:color="auto"/>
            </w:tcBorders>
            <w:shd w:val="clear" w:color="auto" w:fill="auto"/>
            <w:vAlign w:val="center"/>
            <w:hideMark/>
          </w:tcPr>
          <w:p w:rsidR="003E5B85" w:rsidRPr="00913143" w:rsidRDefault="003E5B85" w:rsidP="00913143">
            <w:pPr>
              <w:spacing w:before="40" w:after="40" w:line="264" w:lineRule="auto"/>
              <w:jc w:val="center"/>
              <w:rPr>
                <w:rFonts w:ascii="Arial" w:hAnsi="Arial" w:cs="Arial"/>
                <w:sz w:val="20"/>
                <w:szCs w:val="20"/>
                <w:lang w:val="en-US"/>
              </w:rPr>
            </w:pPr>
            <w:r w:rsidRPr="00913143">
              <w:rPr>
                <w:rFonts w:ascii="Arial" w:hAnsi="Arial" w:cs="Arial"/>
                <w:sz w:val="20"/>
                <w:szCs w:val="20"/>
                <w:lang w:val="en-US"/>
              </w:rPr>
              <w:t>Quý II/2022</w:t>
            </w:r>
          </w:p>
        </w:tc>
        <w:tc>
          <w:tcPr>
            <w:tcW w:w="1559" w:type="dxa"/>
            <w:tcBorders>
              <w:top w:val="single" w:sz="4" w:space="0" w:color="auto"/>
              <w:bottom w:val="single" w:sz="4" w:space="0" w:color="auto"/>
            </w:tcBorders>
            <w:shd w:val="clear" w:color="auto" w:fill="auto"/>
            <w:vAlign w:val="center"/>
            <w:hideMark/>
          </w:tcPr>
          <w:p w:rsidR="003E5B85" w:rsidRPr="00913143" w:rsidRDefault="003E5B85" w:rsidP="00913143">
            <w:pPr>
              <w:spacing w:before="40" w:after="40" w:line="264" w:lineRule="auto"/>
              <w:jc w:val="center"/>
              <w:rPr>
                <w:rFonts w:ascii="Arial" w:hAnsi="Arial" w:cs="Arial"/>
                <w:sz w:val="20"/>
                <w:szCs w:val="20"/>
                <w:lang w:val="en-US"/>
              </w:rPr>
            </w:pPr>
            <w:r w:rsidRPr="00913143">
              <w:rPr>
                <w:rFonts w:ascii="Arial" w:hAnsi="Arial" w:cs="Arial"/>
                <w:sz w:val="20"/>
                <w:szCs w:val="20"/>
                <w:lang w:val="en-US"/>
              </w:rPr>
              <w:t>6 tháng/2022</w:t>
            </w:r>
          </w:p>
        </w:tc>
      </w:tr>
      <w:tr w:rsidR="007B725E" w:rsidRPr="00913143" w:rsidTr="007B725E">
        <w:trPr>
          <w:trHeight w:val="360"/>
          <w:jc w:val="center"/>
        </w:trPr>
        <w:tc>
          <w:tcPr>
            <w:tcW w:w="4252" w:type="dxa"/>
            <w:gridSpan w:val="2"/>
            <w:shd w:val="clear" w:color="auto" w:fill="auto"/>
            <w:noWrap/>
            <w:vAlign w:val="bottom"/>
            <w:hideMark/>
          </w:tcPr>
          <w:p w:rsidR="003E5B85" w:rsidRPr="00913143" w:rsidRDefault="003E5B85" w:rsidP="00913143">
            <w:pPr>
              <w:spacing w:before="40" w:after="40" w:line="264" w:lineRule="auto"/>
              <w:rPr>
                <w:rFonts w:ascii="Arial" w:hAnsi="Arial" w:cs="Arial"/>
                <w:bCs/>
                <w:sz w:val="20"/>
                <w:szCs w:val="20"/>
                <w:lang w:val="en-US"/>
              </w:rPr>
            </w:pPr>
            <w:r w:rsidRPr="00913143">
              <w:rPr>
                <w:rFonts w:ascii="Arial" w:hAnsi="Arial" w:cs="Arial"/>
                <w:bCs/>
                <w:sz w:val="20"/>
                <w:szCs w:val="20"/>
                <w:lang w:val="en-US"/>
              </w:rPr>
              <w:t>Sản lượng thịt hơi xuất chuồng (Nghìn tấn)</w:t>
            </w:r>
          </w:p>
        </w:tc>
        <w:tc>
          <w:tcPr>
            <w:tcW w:w="1702" w:type="dxa"/>
            <w:shd w:val="clear" w:color="auto" w:fill="auto"/>
            <w:vAlign w:val="center"/>
            <w:hideMark/>
          </w:tcPr>
          <w:p w:rsidR="003E5B85" w:rsidRPr="00913143" w:rsidRDefault="003E5B85" w:rsidP="00913143">
            <w:pPr>
              <w:spacing w:before="40" w:after="40" w:line="264" w:lineRule="auto"/>
              <w:rPr>
                <w:rFonts w:ascii="Arial" w:hAnsi="Arial" w:cs="Arial"/>
                <w:b/>
                <w:bCs/>
                <w:sz w:val="20"/>
                <w:szCs w:val="20"/>
                <w:lang w:val="en-US"/>
              </w:rPr>
            </w:pPr>
          </w:p>
        </w:tc>
        <w:tc>
          <w:tcPr>
            <w:tcW w:w="1307" w:type="dxa"/>
            <w:shd w:val="clear" w:color="auto" w:fill="auto"/>
            <w:vAlign w:val="center"/>
            <w:hideMark/>
          </w:tcPr>
          <w:p w:rsidR="003E5B85" w:rsidRPr="00913143" w:rsidRDefault="003E5B85" w:rsidP="00913143">
            <w:pPr>
              <w:spacing w:before="40" w:after="40" w:line="264" w:lineRule="auto"/>
              <w:jc w:val="center"/>
              <w:rPr>
                <w:rFonts w:ascii="Arial" w:hAnsi="Arial" w:cs="Arial"/>
                <w:sz w:val="20"/>
                <w:szCs w:val="20"/>
                <w:lang w:val="en-US"/>
              </w:rPr>
            </w:pPr>
          </w:p>
        </w:tc>
        <w:tc>
          <w:tcPr>
            <w:tcW w:w="1559" w:type="dxa"/>
            <w:shd w:val="clear" w:color="auto" w:fill="auto"/>
            <w:vAlign w:val="center"/>
            <w:hideMark/>
          </w:tcPr>
          <w:p w:rsidR="003E5B85" w:rsidRPr="00913143" w:rsidRDefault="003E5B85" w:rsidP="00913143">
            <w:pPr>
              <w:spacing w:before="40" w:after="40" w:line="264" w:lineRule="auto"/>
              <w:jc w:val="center"/>
              <w:rPr>
                <w:rFonts w:ascii="Arial" w:hAnsi="Arial" w:cs="Arial"/>
                <w:sz w:val="20"/>
                <w:szCs w:val="20"/>
                <w:lang w:val="en-US"/>
              </w:rPr>
            </w:pPr>
          </w:p>
        </w:tc>
      </w:tr>
      <w:tr w:rsidR="007B725E" w:rsidRPr="00913143" w:rsidTr="007B725E">
        <w:trPr>
          <w:trHeight w:val="360"/>
          <w:jc w:val="center"/>
        </w:trPr>
        <w:tc>
          <w:tcPr>
            <w:tcW w:w="2835" w:type="dxa"/>
            <w:shd w:val="clear" w:color="auto" w:fill="auto"/>
            <w:vAlign w:val="bottom"/>
            <w:hideMark/>
          </w:tcPr>
          <w:p w:rsidR="003E5B85" w:rsidRPr="00913143" w:rsidRDefault="003E5B85" w:rsidP="00913143">
            <w:pPr>
              <w:spacing w:before="40" w:after="40" w:line="264" w:lineRule="auto"/>
              <w:ind w:firstLineChars="100" w:firstLine="200"/>
              <w:rPr>
                <w:rFonts w:ascii="Arial" w:hAnsi="Arial" w:cs="Arial"/>
                <w:sz w:val="20"/>
                <w:szCs w:val="20"/>
                <w:lang w:val="en-US"/>
              </w:rPr>
            </w:pPr>
            <w:r w:rsidRPr="00913143">
              <w:rPr>
                <w:rFonts w:ascii="Arial" w:hAnsi="Arial" w:cs="Arial"/>
                <w:sz w:val="20"/>
                <w:szCs w:val="20"/>
                <w:lang w:val="en-US"/>
              </w:rPr>
              <w:t>Thịt lợn</w:t>
            </w:r>
          </w:p>
        </w:tc>
        <w:tc>
          <w:tcPr>
            <w:tcW w:w="1417"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1.075,3</w:t>
            </w:r>
          </w:p>
        </w:tc>
        <w:tc>
          <w:tcPr>
            <w:tcW w:w="1702"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2.116,3</w:t>
            </w:r>
          </w:p>
        </w:tc>
        <w:tc>
          <w:tcPr>
            <w:tcW w:w="1307"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7,1</w:t>
            </w:r>
          </w:p>
        </w:tc>
        <w:tc>
          <w:tcPr>
            <w:tcW w:w="1559" w:type="dxa"/>
            <w:shd w:val="clear" w:color="auto" w:fill="auto"/>
            <w:noWrap/>
            <w:vAlign w:val="center"/>
            <w:hideMark/>
          </w:tcPr>
          <w:p w:rsidR="003E5B85" w:rsidRPr="00913143" w:rsidRDefault="003E5B85" w:rsidP="00913143">
            <w:pPr>
              <w:spacing w:before="40" w:after="40" w:line="264" w:lineRule="auto"/>
              <w:ind w:firstLineChars="17" w:firstLine="34"/>
              <w:jc w:val="right"/>
              <w:rPr>
                <w:rFonts w:ascii="Arial" w:hAnsi="Arial" w:cs="Arial"/>
                <w:sz w:val="20"/>
                <w:szCs w:val="20"/>
                <w:lang w:val="en-US"/>
              </w:rPr>
            </w:pPr>
            <w:r w:rsidRPr="00913143">
              <w:rPr>
                <w:rFonts w:ascii="Arial" w:hAnsi="Arial" w:cs="Arial"/>
                <w:sz w:val="20"/>
                <w:szCs w:val="20"/>
                <w:lang w:val="en-US"/>
              </w:rPr>
              <w:t>5,7</w:t>
            </w:r>
          </w:p>
        </w:tc>
      </w:tr>
      <w:tr w:rsidR="007B725E" w:rsidRPr="00913143" w:rsidTr="007B725E">
        <w:trPr>
          <w:trHeight w:val="360"/>
          <w:jc w:val="center"/>
        </w:trPr>
        <w:tc>
          <w:tcPr>
            <w:tcW w:w="2835" w:type="dxa"/>
            <w:shd w:val="clear" w:color="auto" w:fill="auto"/>
            <w:vAlign w:val="bottom"/>
            <w:hideMark/>
          </w:tcPr>
          <w:p w:rsidR="003E5B85" w:rsidRPr="00913143" w:rsidRDefault="003E5B85" w:rsidP="00913143">
            <w:pPr>
              <w:spacing w:before="40" w:after="40" w:line="264" w:lineRule="auto"/>
              <w:ind w:firstLineChars="100" w:firstLine="200"/>
              <w:rPr>
                <w:rFonts w:ascii="Arial" w:hAnsi="Arial" w:cs="Arial"/>
                <w:sz w:val="20"/>
                <w:szCs w:val="20"/>
                <w:lang w:val="en-US"/>
              </w:rPr>
            </w:pPr>
            <w:r w:rsidRPr="00913143">
              <w:rPr>
                <w:rFonts w:ascii="Arial" w:hAnsi="Arial" w:cs="Arial"/>
                <w:sz w:val="20"/>
                <w:szCs w:val="20"/>
                <w:lang w:val="en-US"/>
              </w:rPr>
              <w:t>Thịt gia cầm</w:t>
            </w:r>
          </w:p>
        </w:tc>
        <w:tc>
          <w:tcPr>
            <w:tcW w:w="1417"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473,4</w:t>
            </w:r>
          </w:p>
        </w:tc>
        <w:tc>
          <w:tcPr>
            <w:tcW w:w="1702"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980,7</w:t>
            </w:r>
          </w:p>
        </w:tc>
        <w:tc>
          <w:tcPr>
            <w:tcW w:w="1307"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5,1</w:t>
            </w:r>
          </w:p>
        </w:tc>
        <w:tc>
          <w:tcPr>
            <w:tcW w:w="1559" w:type="dxa"/>
            <w:shd w:val="clear" w:color="auto" w:fill="auto"/>
            <w:noWrap/>
            <w:vAlign w:val="center"/>
            <w:hideMark/>
          </w:tcPr>
          <w:p w:rsidR="003E5B85" w:rsidRPr="00913143" w:rsidRDefault="003E5B85" w:rsidP="00913143">
            <w:pPr>
              <w:spacing w:before="40" w:after="40" w:line="264" w:lineRule="auto"/>
              <w:ind w:firstLineChars="17" w:firstLine="34"/>
              <w:jc w:val="right"/>
              <w:rPr>
                <w:rFonts w:ascii="Arial" w:hAnsi="Arial" w:cs="Arial"/>
                <w:sz w:val="20"/>
                <w:szCs w:val="20"/>
                <w:lang w:val="en-US"/>
              </w:rPr>
            </w:pPr>
            <w:r w:rsidRPr="00913143">
              <w:rPr>
                <w:rFonts w:ascii="Arial" w:hAnsi="Arial" w:cs="Arial"/>
                <w:sz w:val="20"/>
                <w:szCs w:val="20"/>
                <w:lang w:val="en-US"/>
              </w:rPr>
              <w:t>5,2</w:t>
            </w:r>
          </w:p>
        </w:tc>
      </w:tr>
      <w:tr w:rsidR="007B725E" w:rsidRPr="00913143" w:rsidTr="007B725E">
        <w:trPr>
          <w:trHeight w:val="360"/>
          <w:jc w:val="center"/>
        </w:trPr>
        <w:tc>
          <w:tcPr>
            <w:tcW w:w="2835" w:type="dxa"/>
            <w:shd w:val="clear" w:color="auto" w:fill="auto"/>
            <w:vAlign w:val="bottom"/>
            <w:hideMark/>
          </w:tcPr>
          <w:p w:rsidR="003E5B85" w:rsidRPr="00913143" w:rsidRDefault="003E5B85" w:rsidP="00913143">
            <w:pPr>
              <w:spacing w:before="40" w:after="40" w:line="264" w:lineRule="auto"/>
              <w:ind w:firstLineChars="100" w:firstLine="200"/>
              <w:rPr>
                <w:rFonts w:ascii="Arial" w:hAnsi="Arial" w:cs="Arial"/>
                <w:sz w:val="20"/>
                <w:szCs w:val="20"/>
                <w:lang w:val="en-US"/>
              </w:rPr>
            </w:pPr>
            <w:r w:rsidRPr="00913143">
              <w:rPr>
                <w:rFonts w:ascii="Arial" w:hAnsi="Arial" w:cs="Arial"/>
                <w:sz w:val="20"/>
                <w:szCs w:val="20"/>
                <w:lang w:val="en-US"/>
              </w:rPr>
              <w:t>Thịt trâu</w:t>
            </w:r>
          </w:p>
        </w:tc>
        <w:tc>
          <w:tcPr>
            <w:tcW w:w="1417"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28,2</w:t>
            </w:r>
          </w:p>
        </w:tc>
        <w:tc>
          <w:tcPr>
            <w:tcW w:w="1702"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62,0</w:t>
            </w:r>
          </w:p>
        </w:tc>
        <w:tc>
          <w:tcPr>
            <w:tcW w:w="1307"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2,7</w:t>
            </w:r>
          </w:p>
        </w:tc>
        <w:tc>
          <w:tcPr>
            <w:tcW w:w="1559" w:type="dxa"/>
            <w:shd w:val="clear" w:color="auto" w:fill="auto"/>
            <w:noWrap/>
            <w:vAlign w:val="center"/>
            <w:hideMark/>
          </w:tcPr>
          <w:p w:rsidR="003E5B85" w:rsidRPr="00913143" w:rsidRDefault="003E5B85" w:rsidP="00913143">
            <w:pPr>
              <w:spacing w:before="40" w:after="40" w:line="264" w:lineRule="auto"/>
              <w:ind w:firstLineChars="17" w:firstLine="34"/>
              <w:jc w:val="right"/>
              <w:rPr>
                <w:rFonts w:ascii="Arial" w:hAnsi="Arial" w:cs="Arial"/>
                <w:sz w:val="20"/>
                <w:szCs w:val="20"/>
                <w:lang w:val="en-US"/>
              </w:rPr>
            </w:pPr>
            <w:r w:rsidRPr="00913143">
              <w:rPr>
                <w:rFonts w:ascii="Arial" w:hAnsi="Arial" w:cs="Arial"/>
                <w:sz w:val="20"/>
                <w:szCs w:val="20"/>
                <w:lang w:val="en-US"/>
              </w:rPr>
              <w:t>1,8</w:t>
            </w:r>
          </w:p>
        </w:tc>
      </w:tr>
      <w:tr w:rsidR="007B725E" w:rsidRPr="00913143" w:rsidTr="007B725E">
        <w:trPr>
          <w:trHeight w:val="360"/>
          <w:jc w:val="center"/>
        </w:trPr>
        <w:tc>
          <w:tcPr>
            <w:tcW w:w="2835" w:type="dxa"/>
            <w:shd w:val="clear" w:color="auto" w:fill="auto"/>
            <w:vAlign w:val="bottom"/>
            <w:hideMark/>
          </w:tcPr>
          <w:p w:rsidR="003E5B85" w:rsidRPr="00913143" w:rsidRDefault="003E5B85" w:rsidP="00913143">
            <w:pPr>
              <w:spacing w:before="40" w:after="40" w:line="264" w:lineRule="auto"/>
              <w:ind w:firstLineChars="100" w:firstLine="200"/>
              <w:rPr>
                <w:rFonts w:ascii="Arial" w:hAnsi="Arial" w:cs="Arial"/>
                <w:sz w:val="20"/>
                <w:szCs w:val="20"/>
                <w:lang w:val="en-US"/>
              </w:rPr>
            </w:pPr>
            <w:r w:rsidRPr="00913143">
              <w:rPr>
                <w:rFonts w:ascii="Arial" w:hAnsi="Arial" w:cs="Arial"/>
                <w:sz w:val="20"/>
                <w:szCs w:val="20"/>
                <w:lang w:val="en-US"/>
              </w:rPr>
              <w:t>Thịt bò</w:t>
            </w:r>
          </w:p>
        </w:tc>
        <w:tc>
          <w:tcPr>
            <w:tcW w:w="1417"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112,3</w:t>
            </w:r>
          </w:p>
        </w:tc>
        <w:tc>
          <w:tcPr>
            <w:tcW w:w="1702"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241,2</w:t>
            </w:r>
          </w:p>
        </w:tc>
        <w:tc>
          <w:tcPr>
            <w:tcW w:w="1307"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5,6</w:t>
            </w:r>
          </w:p>
        </w:tc>
        <w:tc>
          <w:tcPr>
            <w:tcW w:w="1559" w:type="dxa"/>
            <w:shd w:val="clear" w:color="auto" w:fill="auto"/>
            <w:noWrap/>
            <w:vAlign w:val="center"/>
            <w:hideMark/>
          </w:tcPr>
          <w:p w:rsidR="003E5B85" w:rsidRPr="00913143" w:rsidRDefault="003E5B85" w:rsidP="00913143">
            <w:pPr>
              <w:spacing w:before="40" w:after="40" w:line="264" w:lineRule="auto"/>
              <w:ind w:firstLineChars="17" w:firstLine="34"/>
              <w:jc w:val="right"/>
              <w:rPr>
                <w:rFonts w:ascii="Arial" w:hAnsi="Arial" w:cs="Arial"/>
                <w:sz w:val="20"/>
                <w:szCs w:val="20"/>
                <w:lang w:val="en-US"/>
              </w:rPr>
            </w:pPr>
            <w:r w:rsidRPr="00913143">
              <w:rPr>
                <w:rFonts w:ascii="Arial" w:hAnsi="Arial" w:cs="Arial"/>
                <w:sz w:val="20"/>
                <w:szCs w:val="20"/>
                <w:lang w:val="en-US"/>
              </w:rPr>
              <w:t>4,4</w:t>
            </w:r>
          </w:p>
        </w:tc>
      </w:tr>
      <w:tr w:rsidR="007B725E" w:rsidRPr="00913143" w:rsidTr="007B725E">
        <w:trPr>
          <w:trHeight w:val="360"/>
          <w:jc w:val="center"/>
        </w:trPr>
        <w:tc>
          <w:tcPr>
            <w:tcW w:w="2835" w:type="dxa"/>
            <w:shd w:val="clear" w:color="auto" w:fill="auto"/>
            <w:noWrap/>
            <w:vAlign w:val="bottom"/>
            <w:hideMark/>
          </w:tcPr>
          <w:p w:rsidR="003E5B85" w:rsidRPr="00913143" w:rsidRDefault="003E5B85" w:rsidP="00913143">
            <w:pPr>
              <w:spacing w:before="40" w:after="40" w:line="264" w:lineRule="auto"/>
              <w:rPr>
                <w:rFonts w:ascii="Arial" w:hAnsi="Arial" w:cs="Arial"/>
                <w:sz w:val="20"/>
                <w:szCs w:val="20"/>
                <w:lang w:val="en-US"/>
              </w:rPr>
            </w:pPr>
            <w:r w:rsidRPr="00913143">
              <w:rPr>
                <w:rFonts w:ascii="Arial" w:hAnsi="Arial" w:cs="Arial"/>
                <w:sz w:val="20"/>
                <w:szCs w:val="20"/>
                <w:lang w:val="en-US"/>
              </w:rPr>
              <w:t>Trứng (Triệu quả)</w:t>
            </w:r>
          </w:p>
        </w:tc>
        <w:tc>
          <w:tcPr>
            <w:tcW w:w="1417"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4.225,6</w:t>
            </w:r>
          </w:p>
        </w:tc>
        <w:tc>
          <w:tcPr>
            <w:tcW w:w="1702" w:type="dxa"/>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8.827,1</w:t>
            </w:r>
          </w:p>
        </w:tc>
        <w:tc>
          <w:tcPr>
            <w:tcW w:w="1307" w:type="dxa"/>
            <w:shd w:val="clear" w:color="auto" w:fill="auto"/>
            <w:noWrap/>
            <w:vAlign w:val="bottom"/>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5,1</w:t>
            </w:r>
          </w:p>
        </w:tc>
        <w:tc>
          <w:tcPr>
            <w:tcW w:w="1559" w:type="dxa"/>
            <w:shd w:val="clear" w:color="auto" w:fill="auto"/>
            <w:noWrap/>
            <w:vAlign w:val="bottom"/>
            <w:hideMark/>
          </w:tcPr>
          <w:p w:rsidR="003E5B85" w:rsidRPr="00913143" w:rsidRDefault="003E5B85" w:rsidP="00913143">
            <w:pPr>
              <w:spacing w:before="40" w:after="40" w:line="264" w:lineRule="auto"/>
              <w:ind w:firstLineChars="17" w:firstLine="34"/>
              <w:jc w:val="right"/>
              <w:rPr>
                <w:rFonts w:ascii="Arial" w:hAnsi="Arial" w:cs="Arial"/>
                <w:sz w:val="20"/>
                <w:szCs w:val="20"/>
                <w:lang w:val="en-US"/>
              </w:rPr>
            </w:pPr>
            <w:r w:rsidRPr="00913143">
              <w:rPr>
                <w:rFonts w:ascii="Arial" w:hAnsi="Arial" w:cs="Arial"/>
                <w:sz w:val="20"/>
                <w:szCs w:val="20"/>
                <w:lang w:val="en-US"/>
              </w:rPr>
              <w:t>4,8</w:t>
            </w:r>
          </w:p>
        </w:tc>
      </w:tr>
      <w:tr w:rsidR="007B725E" w:rsidRPr="00913143" w:rsidTr="007B725E">
        <w:trPr>
          <w:trHeight w:val="360"/>
          <w:jc w:val="center"/>
        </w:trPr>
        <w:tc>
          <w:tcPr>
            <w:tcW w:w="2835" w:type="dxa"/>
            <w:tcBorders>
              <w:bottom w:val="single" w:sz="4" w:space="0" w:color="auto"/>
            </w:tcBorders>
            <w:shd w:val="clear" w:color="auto" w:fill="auto"/>
            <w:noWrap/>
            <w:vAlign w:val="bottom"/>
            <w:hideMark/>
          </w:tcPr>
          <w:p w:rsidR="003E5B85" w:rsidRPr="00913143" w:rsidRDefault="003E5B85" w:rsidP="00913143">
            <w:pPr>
              <w:spacing w:before="40" w:after="40" w:line="264" w:lineRule="auto"/>
              <w:rPr>
                <w:rFonts w:ascii="Arial" w:hAnsi="Arial" w:cs="Arial"/>
                <w:sz w:val="20"/>
                <w:szCs w:val="20"/>
                <w:lang w:val="en-US"/>
              </w:rPr>
            </w:pPr>
            <w:r w:rsidRPr="00913143">
              <w:rPr>
                <w:rFonts w:ascii="Arial" w:hAnsi="Arial" w:cs="Arial"/>
                <w:sz w:val="20"/>
                <w:szCs w:val="20"/>
                <w:lang w:val="en-US"/>
              </w:rPr>
              <w:t>Sữa (Triệu lít)</w:t>
            </w:r>
          </w:p>
        </w:tc>
        <w:tc>
          <w:tcPr>
            <w:tcW w:w="1417" w:type="dxa"/>
            <w:tcBorders>
              <w:bottom w:val="single" w:sz="4" w:space="0" w:color="auto"/>
            </w:tcBorders>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313,3</w:t>
            </w:r>
          </w:p>
        </w:tc>
        <w:tc>
          <w:tcPr>
            <w:tcW w:w="1702" w:type="dxa"/>
            <w:tcBorders>
              <w:bottom w:val="single" w:sz="4" w:space="0" w:color="auto"/>
            </w:tcBorders>
            <w:shd w:val="clear" w:color="auto" w:fill="auto"/>
            <w:noWrap/>
            <w:vAlign w:val="center"/>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617,8</w:t>
            </w:r>
          </w:p>
        </w:tc>
        <w:tc>
          <w:tcPr>
            <w:tcW w:w="1307" w:type="dxa"/>
            <w:tcBorders>
              <w:bottom w:val="single" w:sz="4" w:space="0" w:color="auto"/>
            </w:tcBorders>
            <w:shd w:val="clear" w:color="auto" w:fill="auto"/>
            <w:noWrap/>
            <w:vAlign w:val="bottom"/>
            <w:hideMark/>
          </w:tcPr>
          <w:p w:rsidR="003E5B85" w:rsidRPr="00913143" w:rsidRDefault="003E5B85" w:rsidP="00913143">
            <w:pPr>
              <w:spacing w:before="40" w:after="40" w:line="264" w:lineRule="auto"/>
              <w:ind w:firstLineChars="100" w:firstLine="200"/>
              <w:jc w:val="right"/>
              <w:rPr>
                <w:rFonts w:ascii="Arial" w:hAnsi="Arial" w:cs="Arial"/>
                <w:sz w:val="20"/>
                <w:szCs w:val="20"/>
                <w:lang w:val="en-US"/>
              </w:rPr>
            </w:pPr>
            <w:r w:rsidRPr="00913143">
              <w:rPr>
                <w:rFonts w:ascii="Arial" w:hAnsi="Arial" w:cs="Arial"/>
                <w:sz w:val="20"/>
                <w:szCs w:val="20"/>
                <w:lang w:val="en-US"/>
              </w:rPr>
              <w:t>9,7</w:t>
            </w:r>
          </w:p>
        </w:tc>
        <w:tc>
          <w:tcPr>
            <w:tcW w:w="1559" w:type="dxa"/>
            <w:tcBorders>
              <w:bottom w:val="single" w:sz="4" w:space="0" w:color="auto"/>
            </w:tcBorders>
            <w:shd w:val="clear" w:color="auto" w:fill="auto"/>
            <w:noWrap/>
            <w:vAlign w:val="bottom"/>
            <w:hideMark/>
          </w:tcPr>
          <w:p w:rsidR="003E5B85" w:rsidRPr="00913143" w:rsidRDefault="003E5B85" w:rsidP="00913143">
            <w:pPr>
              <w:spacing w:before="40" w:after="40" w:line="264" w:lineRule="auto"/>
              <w:ind w:firstLineChars="17" w:firstLine="34"/>
              <w:jc w:val="right"/>
              <w:rPr>
                <w:rFonts w:ascii="Arial" w:hAnsi="Arial" w:cs="Arial"/>
                <w:sz w:val="20"/>
                <w:szCs w:val="20"/>
                <w:lang w:val="en-US"/>
              </w:rPr>
            </w:pPr>
            <w:r w:rsidRPr="00913143">
              <w:rPr>
                <w:rFonts w:ascii="Arial" w:hAnsi="Arial" w:cs="Arial"/>
                <w:sz w:val="20"/>
                <w:szCs w:val="20"/>
                <w:lang w:val="en-US"/>
              </w:rPr>
              <w:t>10,1</w:t>
            </w:r>
          </w:p>
        </w:tc>
      </w:tr>
    </w:tbl>
    <w:p w:rsidR="00DB34B7" w:rsidRPr="00913143" w:rsidRDefault="00DB34B7" w:rsidP="00913143">
      <w:pPr>
        <w:spacing w:before="40" w:after="40" w:line="264" w:lineRule="auto"/>
        <w:ind w:firstLine="567"/>
        <w:jc w:val="both"/>
        <w:rPr>
          <w:rFonts w:ascii="Times New Roman" w:hAnsi="Times New Roman" w:cs="Times New Roman"/>
          <w:b/>
          <w:i/>
          <w:sz w:val="14"/>
          <w:szCs w:val="28"/>
          <w:lang w:val="de-DE"/>
        </w:rPr>
      </w:pPr>
    </w:p>
    <w:p w:rsidR="00F752E1" w:rsidRPr="00913143" w:rsidRDefault="00F752E1" w:rsidP="00913143">
      <w:pPr>
        <w:spacing w:before="40" w:after="40" w:line="264" w:lineRule="auto"/>
        <w:ind w:firstLine="567"/>
        <w:jc w:val="both"/>
        <w:rPr>
          <w:rFonts w:ascii="Times New Roman" w:hAnsi="Times New Roman" w:cs="Times New Roman"/>
          <w:b/>
          <w:i/>
          <w:sz w:val="28"/>
          <w:szCs w:val="28"/>
          <w:lang w:val="de-DE"/>
        </w:rPr>
      </w:pPr>
      <w:r w:rsidRPr="00913143">
        <w:rPr>
          <w:rFonts w:ascii="Times New Roman" w:hAnsi="Times New Roman" w:cs="Times New Roman"/>
          <w:b/>
          <w:i/>
          <w:sz w:val="28"/>
          <w:szCs w:val="28"/>
          <w:lang w:val="de-DE"/>
        </w:rPr>
        <w:t>b) Lâm nghiệp</w:t>
      </w:r>
    </w:p>
    <w:p w:rsidR="00DB34B7" w:rsidRPr="00913143" w:rsidRDefault="00DB34B7" w:rsidP="00913143">
      <w:pPr>
        <w:spacing w:before="40" w:after="40" w:line="264" w:lineRule="auto"/>
        <w:ind w:firstLine="567"/>
        <w:jc w:val="both"/>
        <w:rPr>
          <w:rFonts w:ascii="Times New Roman" w:hAnsi="Times New Roman" w:cs="Times New Roman"/>
          <w:sz w:val="28"/>
          <w:szCs w:val="28"/>
          <w:lang w:val="sv-SE"/>
        </w:rPr>
      </w:pPr>
      <w:r w:rsidRPr="00913143">
        <w:rPr>
          <w:rFonts w:ascii="Times New Roman" w:hAnsi="Times New Roman" w:cs="Times New Roman"/>
          <w:sz w:val="28"/>
          <w:szCs w:val="28"/>
          <w:lang w:val="sv-SE"/>
        </w:rPr>
        <w:t>Diện tích rừng trồng mới tập trung 6 tháng ước đạt 119,4 nghìn ha, tăng 3,1% so với cùng kỳ năm trước; số cây lâm nghiệp trồng phân tán đạt 47 triệu cây, tăng 6%; sản lượng củi khai thác đạt 9,5 triệu ste, tăng 0,6%; sản lượng gỗ khai thác đạt 8.488,2 nghìn m</w:t>
      </w:r>
      <w:r w:rsidRPr="00913143">
        <w:rPr>
          <w:rFonts w:ascii="Times New Roman" w:hAnsi="Times New Roman" w:cs="Times New Roman"/>
          <w:sz w:val="28"/>
          <w:szCs w:val="28"/>
          <w:vertAlign w:val="superscript"/>
          <w:lang w:val="sv-SE"/>
        </w:rPr>
        <w:t>3</w:t>
      </w:r>
      <w:r w:rsidRPr="00913143">
        <w:rPr>
          <w:rFonts w:ascii="Times New Roman" w:hAnsi="Times New Roman" w:cs="Times New Roman"/>
          <w:sz w:val="28"/>
          <w:szCs w:val="28"/>
          <w:lang w:val="sv-SE"/>
        </w:rPr>
        <w:t xml:space="preserve">, tăng 5,9%. Hoạt động khai thác gỗ 6 tháng đầu năm 2022 tăng chủ yếu do nhu cầu sản xuất, chế biến và xuất khẩu gỗ tăng cao. Bên cạnh đó giá xăng dầu leo cao, chi phí vận chuyển lớn nên các doanh nghiệp chế biến gỗ đã chủ động tìm kiếm nguồn nguyên liệu trong nước từ đó thúc đẩy hoạt động khai thác gỗ phát triển. </w:t>
      </w:r>
    </w:p>
    <w:p w:rsidR="00DB34B7" w:rsidRPr="00913143" w:rsidRDefault="00DB34B7" w:rsidP="00913143">
      <w:pPr>
        <w:spacing w:before="40" w:after="40" w:line="259" w:lineRule="auto"/>
        <w:ind w:firstLine="567"/>
        <w:jc w:val="both"/>
        <w:rPr>
          <w:rFonts w:ascii="Times New Roman" w:hAnsi="Times New Roman" w:cs="Times New Roman"/>
          <w:sz w:val="28"/>
          <w:szCs w:val="28"/>
          <w:lang w:val="sv-SE"/>
        </w:rPr>
      </w:pPr>
      <w:r w:rsidRPr="00913143">
        <w:rPr>
          <w:rFonts w:ascii="Times New Roman" w:hAnsi="Times New Roman" w:cs="Times New Roman"/>
          <w:sz w:val="28"/>
          <w:szCs w:val="28"/>
          <w:lang w:val="sv-SE"/>
        </w:rPr>
        <w:lastRenderedPageBreak/>
        <w:t xml:space="preserve">Diện tích rừng bị thiệt hại của cả nước 6 tháng đầu năm là 588 ha, giảm 24,9% so với cùng kỳ năm trước, bao gồm: Diện tích rừng bị cháy 27,7 ha, giảm 88,1%; diện tích rừng bị phá 560,3 ha, tăng 2%. </w:t>
      </w:r>
    </w:p>
    <w:p w:rsidR="00F752E1" w:rsidRPr="00913143" w:rsidRDefault="00F752E1" w:rsidP="00913143">
      <w:pPr>
        <w:spacing w:before="40" w:after="40" w:line="259" w:lineRule="auto"/>
        <w:ind w:firstLine="567"/>
        <w:jc w:val="both"/>
        <w:rPr>
          <w:rFonts w:ascii="Times New Roman" w:hAnsi="Times New Roman" w:cs="Times New Roman"/>
          <w:sz w:val="28"/>
          <w:szCs w:val="28"/>
          <w:lang w:val="de-DE"/>
        </w:rPr>
      </w:pPr>
      <w:r w:rsidRPr="00913143">
        <w:rPr>
          <w:rFonts w:ascii="Times New Roman" w:hAnsi="Times New Roman" w:cs="Times New Roman"/>
          <w:b/>
          <w:bCs/>
          <w:i/>
          <w:iCs/>
          <w:sz w:val="28"/>
          <w:szCs w:val="28"/>
          <w:lang w:val="de-DE"/>
        </w:rPr>
        <w:t>c) Thủy sản</w:t>
      </w:r>
    </w:p>
    <w:p w:rsidR="00DB34B7" w:rsidRPr="00913143" w:rsidRDefault="00DB34B7" w:rsidP="00913143">
      <w:pPr>
        <w:spacing w:before="40" w:after="40" w:line="259" w:lineRule="auto"/>
        <w:ind w:firstLine="567"/>
        <w:jc w:val="both"/>
        <w:rPr>
          <w:rFonts w:ascii="Times New Roman" w:hAnsi="Times New Roman" w:cs="Times New Roman"/>
          <w:sz w:val="28"/>
          <w:szCs w:val="28"/>
          <w:lang w:val="de-DE"/>
        </w:rPr>
      </w:pPr>
      <w:r w:rsidRPr="00913143">
        <w:rPr>
          <w:rFonts w:ascii="Times New Roman" w:hAnsi="Times New Roman" w:cs="Times New Roman"/>
          <w:sz w:val="28"/>
          <w:szCs w:val="28"/>
          <w:lang w:val="de-DE"/>
        </w:rPr>
        <w:t xml:space="preserve">Tổng sản lượng thủy sản 6 tháng đầu năm ước đạt 4.196,8 nghìn tấn, tăng 2,5% so với cùng kỳ năm trước (quý II/2022 đạt 2.333,3 nghìn tấn, tăng 2,9%), bao gồm: Cá đạt 3.044,4 nghìn tấn, tăng 1,7%; tôm đạt 520 nghìn tấn, tăng 9,4%; thủy sản khác đạt 632,4 nghìn tấn, tăng 1,2%. </w:t>
      </w:r>
    </w:p>
    <w:p w:rsidR="00DB34B7" w:rsidRPr="00913143" w:rsidRDefault="00DB34B7" w:rsidP="00913143">
      <w:pPr>
        <w:spacing w:before="40" w:after="40" w:line="259" w:lineRule="auto"/>
        <w:ind w:firstLine="567"/>
        <w:jc w:val="both"/>
        <w:rPr>
          <w:rFonts w:ascii="Times New Roman" w:hAnsi="Times New Roman" w:cs="Times New Roman"/>
          <w:spacing w:val="-2"/>
          <w:sz w:val="28"/>
          <w:szCs w:val="28"/>
          <w:shd w:val="clear" w:color="auto" w:fill="FFFFFF"/>
          <w:lang w:val="de-DE"/>
        </w:rPr>
      </w:pPr>
      <w:r w:rsidRPr="00913143">
        <w:rPr>
          <w:rFonts w:ascii="Times New Roman" w:hAnsi="Times New Roman" w:cs="Times New Roman"/>
          <w:spacing w:val="-2"/>
          <w:sz w:val="28"/>
          <w:szCs w:val="28"/>
          <w:lang w:val="de-DE"/>
        </w:rPr>
        <w:t xml:space="preserve">Sản lượng thủy sản nuôi trồng 6 tháng đầu năm ước đạt 2.267,7 nghìn tấn, tăng 7,4% so với cùng kỳ năm trước (quý II/2022 đạt 1.279,7 nghìn tấn, tăng 9,2%), bao gồm: Cá đạt 1.552,8 nghìn tấn, tăng 6,5%; tôm đạt 448,4 nghìn tấn, tăng 11,3%; thủy sản khác đạt 266,5 nghìn tấn, tăng 5,8%. Sản lượng cá tra đạt 772,5 nghìn tấn, tăng 11,2% so với cùng kỳ năm trước; sản lượng tôm thẻ chân trắng đạt </w:t>
      </w:r>
      <w:r w:rsidRPr="00913143">
        <w:rPr>
          <w:rFonts w:ascii="Times New Roman" w:hAnsi="Times New Roman" w:cs="Times New Roman"/>
          <w:spacing w:val="-2"/>
          <w:sz w:val="28"/>
          <w:szCs w:val="28"/>
          <w:shd w:val="clear" w:color="auto" w:fill="FFFFFF"/>
          <w:lang w:val="de-DE"/>
        </w:rPr>
        <w:t>299,7 nghìn tấn, tăng 16,3%</w:t>
      </w:r>
      <w:r w:rsidRPr="00913143">
        <w:rPr>
          <w:rFonts w:ascii="Times New Roman" w:hAnsi="Times New Roman" w:cs="Times New Roman"/>
          <w:spacing w:val="-2"/>
          <w:sz w:val="28"/>
          <w:szCs w:val="28"/>
          <w:lang w:val="de-DE"/>
        </w:rPr>
        <w:t xml:space="preserve">; sản lượng tôm sú đạt </w:t>
      </w:r>
      <w:r w:rsidRPr="00913143">
        <w:rPr>
          <w:rFonts w:ascii="Times New Roman" w:hAnsi="Times New Roman" w:cs="Times New Roman"/>
          <w:spacing w:val="-2"/>
          <w:sz w:val="28"/>
          <w:szCs w:val="28"/>
          <w:shd w:val="clear" w:color="auto" w:fill="FFFFFF"/>
          <w:lang w:val="de-DE"/>
        </w:rPr>
        <w:t>117,9 nghìn tấn, tăng 2,5%.</w:t>
      </w:r>
    </w:p>
    <w:p w:rsidR="00DB34B7" w:rsidRPr="00913143" w:rsidRDefault="00DB34B7" w:rsidP="00913143">
      <w:pPr>
        <w:spacing w:before="40" w:after="40" w:line="259" w:lineRule="auto"/>
        <w:ind w:firstLine="567"/>
        <w:jc w:val="both"/>
        <w:rPr>
          <w:rFonts w:ascii="Times New Roman" w:hAnsi="Times New Roman" w:cs="Times New Roman"/>
          <w:spacing w:val="-2"/>
          <w:sz w:val="28"/>
          <w:szCs w:val="28"/>
          <w:lang w:val="de-DE"/>
        </w:rPr>
      </w:pPr>
      <w:r w:rsidRPr="00913143">
        <w:rPr>
          <w:rFonts w:ascii="Times New Roman" w:hAnsi="Times New Roman" w:cs="Times New Roman"/>
          <w:spacing w:val="-2"/>
          <w:sz w:val="28"/>
          <w:szCs w:val="28"/>
          <w:lang w:val="de-DE"/>
        </w:rPr>
        <w:t>Sản lượng thủy sản khai thác 6 tháng đầu năm ước đạt 1.929,1 nghìn tấn, giảm 2,6% so với cùng kỳ năm trước, bao gồm: Cá đạt 1.491,6 nghìn tấn, giảm 2,9%; tôm đạt 71,6 nghìn tấn, giảm 1,2%; thủy sản khác đạt 365,9 nghìn tấn, giảm 1,8%.</w:t>
      </w:r>
    </w:p>
    <w:p w:rsidR="00DB34B7" w:rsidRPr="00913143" w:rsidRDefault="00DB34B7" w:rsidP="00913143">
      <w:pPr>
        <w:shd w:val="clear" w:color="auto" w:fill="FFFFFF"/>
        <w:spacing w:before="40" w:after="40" w:line="259" w:lineRule="auto"/>
        <w:ind w:firstLine="567"/>
        <w:jc w:val="both"/>
        <w:rPr>
          <w:rFonts w:ascii="Times New Roman" w:hAnsi="Times New Roman" w:cs="Times New Roman"/>
          <w:b/>
          <w:i/>
          <w:sz w:val="28"/>
          <w:szCs w:val="28"/>
        </w:rPr>
      </w:pPr>
      <w:r w:rsidRPr="00913143">
        <w:rPr>
          <w:rFonts w:ascii="Times New Roman" w:hAnsi="Times New Roman" w:cs="Times New Roman"/>
          <w:b/>
          <w:i/>
          <w:sz w:val="28"/>
          <w:szCs w:val="28"/>
        </w:rPr>
        <w:t>3. Sản xuất công nghiệp trong quý II/2022 tăng trưởng khá do hoạt động sản xuất kinh doanh của doanh nghiệp được duy trì và đang dần phục hồi, tốc độ tăng giá trị tăng thêm ước đạt 9,</w:t>
      </w:r>
      <w:r w:rsidR="00D53E00">
        <w:rPr>
          <w:rFonts w:ascii="Times New Roman" w:hAnsi="Times New Roman" w:cs="Times New Roman"/>
          <w:b/>
          <w:i/>
          <w:sz w:val="28"/>
          <w:szCs w:val="28"/>
        </w:rPr>
        <w:t>8</w:t>
      </w:r>
      <w:r w:rsidRPr="00913143">
        <w:rPr>
          <w:rFonts w:ascii="Times New Roman" w:hAnsi="Times New Roman" w:cs="Times New Roman"/>
          <w:b/>
          <w:i/>
          <w:sz w:val="28"/>
          <w:szCs w:val="28"/>
        </w:rPr>
        <w:t>7% so với cùng kỳ năm trước</w:t>
      </w:r>
      <w:r w:rsidRPr="00913143">
        <w:rPr>
          <w:rFonts w:ascii="Times New Roman" w:hAnsi="Times New Roman" w:cs="Times New Roman"/>
          <w:b/>
          <w:i/>
          <w:sz w:val="28"/>
          <w:szCs w:val="28"/>
          <w:vertAlign w:val="superscript"/>
        </w:rPr>
        <w:footnoteReference w:id="4"/>
      </w:r>
      <w:r w:rsidRPr="00913143">
        <w:rPr>
          <w:rFonts w:ascii="Times New Roman" w:hAnsi="Times New Roman" w:cs="Times New Roman"/>
          <w:b/>
          <w:i/>
          <w:sz w:val="28"/>
          <w:szCs w:val="28"/>
        </w:rPr>
        <w:t>. Tính chung 6 tháng đầu năm 2022, giá trị tăng thêm ngành công nghiệp tăng 8,4</w:t>
      </w:r>
      <w:r w:rsidR="00D53E00">
        <w:rPr>
          <w:rFonts w:ascii="Times New Roman" w:hAnsi="Times New Roman" w:cs="Times New Roman"/>
          <w:b/>
          <w:i/>
          <w:sz w:val="28"/>
          <w:szCs w:val="28"/>
        </w:rPr>
        <w:t>8</w:t>
      </w:r>
      <w:r w:rsidRPr="00913143">
        <w:rPr>
          <w:rFonts w:ascii="Times New Roman" w:hAnsi="Times New Roman" w:cs="Times New Roman"/>
          <w:b/>
          <w:i/>
          <w:sz w:val="28"/>
          <w:szCs w:val="28"/>
        </w:rPr>
        <w:t>% so với cùng kỳ năm trước, trong đó công nghiệp chế biến, chế tạo tăng 9,6</w:t>
      </w:r>
      <w:r w:rsidR="00D53E00">
        <w:rPr>
          <w:rFonts w:ascii="Times New Roman" w:hAnsi="Times New Roman" w:cs="Times New Roman"/>
          <w:b/>
          <w:i/>
          <w:sz w:val="28"/>
          <w:szCs w:val="28"/>
        </w:rPr>
        <w:t>6</w:t>
      </w:r>
      <w:r w:rsidRPr="00913143">
        <w:rPr>
          <w:rFonts w:ascii="Times New Roman" w:hAnsi="Times New Roman" w:cs="Times New Roman"/>
          <w:b/>
          <w:i/>
          <w:sz w:val="28"/>
          <w:szCs w:val="28"/>
        </w:rPr>
        <w:t>%.</w:t>
      </w:r>
    </w:p>
    <w:p w:rsidR="003E4144" w:rsidRPr="00913143" w:rsidRDefault="00DB34B7" w:rsidP="00913143">
      <w:pPr>
        <w:shd w:val="clear" w:color="auto" w:fill="FFFFFF"/>
        <w:spacing w:before="40" w:after="40" w:line="259" w:lineRule="auto"/>
        <w:ind w:firstLine="567"/>
        <w:jc w:val="both"/>
        <w:rPr>
          <w:rFonts w:ascii="Times New Roman" w:hAnsi="Times New Roman" w:cs="Times New Roman"/>
          <w:sz w:val="28"/>
          <w:szCs w:val="28"/>
        </w:rPr>
      </w:pPr>
      <w:r w:rsidRPr="00913143">
        <w:rPr>
          <w:rFonts w:ascii="Times New Roman" w:hAnsi="Times New Roman" w:cs="Times New Roman"/>
          <w:sz w:val="28"/>
          <w:szCs w:val="28"/>
        </w:rPr>
        <w:t>Giá trị tăng thêm toàn ngành công nghiệp 6 tháng đầu năm 2022 ước tính tăng 8,4</w:t>
      </w:r>
      <w:r w:rsidR="00D53E00">
        <w:rPr>
          <w:rFonts w:ascii="Times New Roman" w:hAnsi="Times New Roman" w:cs="Times New Roman"/>
          <w:sz w:val="28"/>
          <w:szCs w:val="28"/>
        </w:rPr>
        <w:t>8</w:t>
      </w:r>
      <w:r w:rsidRPr="00913143">
        <w:rPr>
          <w:rFonts w:ascii="Times New Roman" w:hAnsi="Times New Roman" w:cs="Times New Roman"/>
          <w:sz w:val="28"/>
          <w:szCs w:val="28"/>
        </w:rPr>
        <w:t>% so với cùng kỳ năm trước (quý II tăng 9,</w:t>
      </w:r>
      <w:r w:rsidR="00D53E00">
        <w:rPr>
          <w:rFonts w:ascii="Times New Roman" w:hAnsi="Times New Roman" w:cs="Times New Roman"/>
          <w:sz w:val="28"/>
          <w:szCs w:val="28"/>
        </w:rPr>
        <w:t>8</w:t>
      </w:r>
      <w:r w:rsidRPr="00913143">
        <w:rPr>
          <w:rFonts w:ascii="Times New Roman" w:hAnsi="Times New Roman" w:cs="Times New Roman"/>
          <w:sz w:val="28"/>
          <w:szCs w:val="28"/>
        </w:rPr>
        <w:t>7%). Trong đó, ngành công nghiệp chế biến, chế tạo tăng 9,6</w:t>
      </w:r>
      <w:r w:rsidR="00D53E00">
        <w:rPr>
          <w:rFonts w:ascii="Times New Roman" w:hAnsi="Times New Roman" w:cs="Times New Roman"/>
          <w:sz w:val="28"/>
          <w:szCs w:val="28"/>
        </w:rPr>
        <w:t>6</w:t>
      </w:r>
      <w:r w:rsidRPr="00913143">
        <w:rPr>
          <w:rFonts w:ascii="Times New Roman" w:hAnsi="Times New Roman" w:cs="Times New Roman"/>
          <w:sz w:val="28"/>
          <w:szCs w:val="28"/>
        </w:rPr>
        <w:t>%; ngành sản xuất và phân phối điện tăng 6,1%</w:t>
      </w:r>
      <w:r w:rsidR="003E4144" w:rsidRPr="00913143">
        <w:rPr>
          <w:rFonts w:ascii="Times New Roman" w:hAnsi="Times New Roman" w:cs="Times New Roman"/>
          <w:sz w:val="28"/>
          <w:szCs w:val="28"/>
        </w:rPr>
        <w:t xml:space="preserve">; </w:t>
      </w:r>
      <w:r w:rsidRPr="00913143">
        <w:rPr>
          <w:rFonts w:ascii="Times New Roman" w:hAnsi="Times New Roman" w:cs="Times New Roman"/>
          <w:sz w:val="28"/>
          <w:szCs w:val="28"/>
        </w:rPr>
        <w:t>ngành </w:t>
      </w:r>
      <w:r w:rsidRPr="00913143">
        <w:rPr>
          <w:rFonts w:ascii="Times New Roman" w:hAnsi="Times New Roman" w:cs="Times New Roman"/>
          <w:sz w:val="28"/>
          <w:szCs w:val="28"/>
          <w:lang w:val="pl-PL"/>
        </w:rPr>
        <w:t>cung cấp nước và xử lý rác thải, nước thải</w:t>
      </w:r>
      <w:r w:rsidRPr="00913143">
        <w:rPr>
          <w:rFonts w:ascii="Times New Roman" w:hAnsi="Times New Roman" w:cs="Times New Roman"/>
          <w:sz w:val="28"/>
          <w:szCs w:val="28"/>
        </w:rPr>
        <w:t> tăng 6,51%</w:t>
      </w:r>
      <w:r w:rsidR="003E4144" w:rsidRPr="00913143">
        <w:rPr>
          <w:rFonts w:ascii="Times New Roman" w:hAnsi="Times New Roman" w:cs="Times New Roman"/>
          <w:sz w:val="28"/>
          <w:szCs w:val="28"/>
        </w:rPr>
        <w:t xml:space="preserve">; </w:t>
      </w:r>
      <w:r w:rsidRPr="00913143">
        <w:rPr>
          <w:rFonts w:ascii="Times New Roman" w:hAnsi="Times New Roman" w:cs="Times New Roman"/>
          <w:sz w:val="28"/>
          <w:szCs w:val="28"/>
        </w:rPr>
        <w:t>ngành khai khoáng tăng 2,28%</w:t>
      </w:r>
      <w:r w:rsidR="003E4144" w:rsidRPr="00913143">
        <w:rPr>
          <w:rFonts w:ascii="Times New Roman" w:hAnsi="Times New Roman" w:cs="Times New Roman"/>
          <w:sz w:val="28"/>
          <w:szCs w:val="28"/>
        </w:rPr>
        <w:t>.</w:t>
      </w:r>
    </w:p>
    <w:p w:rsidR="00DB34B7" w:rsidRPr="00913143" w:rsidRDefault="00DB34B7" w:rsidP="00913143">
      <w:pPr>
        <w:shd w:val="clear" w:color="auto" w:fill="FFFFFF"/>
        <w:spacing w:before="40" w:after="40" w:line="259" w:lineRule="auto"/>
        <w:ind w:firstLine="567"/>
        <w:jc w:val="both"/>
        <w:rPr>
          <w:rFonts w:ascii="Times New Roman" w:hAnsi="Times New Roman" w:cs="Times New Roman"/>
          <w:sz w:val="28"/>
          <w:szCs w:val="28"/>
          <w:lang w:val="pl-PL"/>
        </w:rPr>
      </w:pPr>
      <w:r w:rsidRPr="00913143">
        <w:rPr>
          <w:rFonts w:ascii="Times New Roman" w:hAnsi="Times New Roman" w:cs="Times New Roman"/>
          <w:sz w:val="28"/>
          <w:szCs w:val="28"/>
          <w:lang w:val="pl-PL"/>
        </w:rPr>
        <w:t xml:space="preserve">Chỉ số tiêu thụ toàn ngành công nghiệp chế biến, chế tạo 6 tháng đầu năm 2022 tăng 9,4% so với cùng kỳ năm </w:t>
      </w:r>
      <w:r w:rsidR="003E4144" w:rsidRPr="00913143">
        <w:rPr>
          <w:rFonts w:ascii="Times New Roman" w:hAnsi="Times New Roman" w:cs="Times New Roman"/>
          <w:sz w:val="28"/>
          <w:szCs w:val="28"/>
          <w:lang w:val="pl-PL"/>
        </w:rPr>
        <w:t>trước</w:t>
      </w:r>
      <w:r w:rsidRPr="00913143">
        <w:rPr>
          <w:rFonts w:ascii="Times New Roman" w:hAnsi="Times New Roman" w:cs="Times New Roman"/>
          <w:sz w:val="28"/>
          <w:szCs w:val="28"/>
          <w:lang w:val="pl-PL"/>
        </w:rPr>
        <w:t xml:space="preserve"> (cùng kỳ năm 2021 tăng 9,2%).</w:t>
      </w:r>
      <w:r w:rsidR="003E4144" w:rsidRPr="00913143">
        <w:rPr>
          <w:rFonts w:ascii="Times New Roman" w:hAnsi="Times New Roman" w:cs="Times New Roman"/>
          <w:sz w:val="28"/>
          <w:szCs w:val="28"/>
          <w:lang w:val="pl-PL"/>
        </w:rPr>
        <w:t xml:space="preserve"> </w:t>
      </w:r>
      <w:r w:rsidRPr="00913143">
        <w:rPr>
          <w:rFonts w:ascii="Times New Roman" w:hAnsi="Times New Roman" w:cs="Times New Roman"/>
          <w:sz w:val="28"/>
          <w:szCs w:val="28"/>
          <w:lang w:val="pl-PL"/>
        </w:rPr>
        <w:t>Chỉ số tồn kho toàn ngành công nghiệp chế biến, chế tạo ước tính tại thời điểm 30/6/2022 tăng 6,1% so với cùng thời điểm tháng trước và tăng 14,1% so với cùng thời điểm năm trước (cùng thời điểm năm trước tăng 29,5%). Tỷ lệ tồn kho toàn ngành chế biến, chế tạo bình quân 6 tháng đầu năm 2022 là 78% (</w:t>
      </w:r>
      <w:r w:rsidR="003E4144" w:rsidRPr="00913143">
        <w:rPr>
          <w:rFonts w:ascii="Times New Roman" w:hAnsi="Times New Roman" w:cs="Times New Roman"/>
          <w:sz w:val="28"/>
          <w:szCs w:val="28"/>
          <w:lang w:val="pl-PL"/>
        </w:rPr>
        <w:t xml:space="preserve">cùng kỳ năm trước </w:t>
      </w:r>
      <w:r w:rsidRPr="00913143">
        <w:rPr>
          <w:rFonts w:ascii="Times New Roman" w:hAnsi="Times New Roman" w:cs="Times New Roman"/>
          <w:sz w:val="28"/>
          <w:szCs w:val="28"/>
          <w:lang w:val="pl-PL"/>
        </w:rPr>
        <w:t xml:space="preserve">là 92%). </w:t>
      </w:r>
    </w:p>
    <w:p w:rsidR="003E4144" w:rsidRPr="00913143" w:rsidRDefault="006339BB" w:rsidP="00913143">
      <w:pPr>
        <w:spacing w:before="40" w:after="40" w:line="264" w:lineRule="auto"/>
        <w:ind w:firstLine="567"/>
        <w:jc w:val="both"/>
        <w:rPr>
          <w:rFonts w:ascii="Times New Roman" w:hAnsi="Times New Roman" w:cs="Times New Roman"/>
          <w:b/>
          <w:i/>
          <w:sz w:val="28"/>
          <w:szCs w:val="28"/>
          <w:lang w:val="it-IT"/>
        </w:rPr>
      </w:pPr>
      <w:r w:rsidRPr="00913143">
        <w:rPr>
          <w:rFonts w:ascii="Times New Roman" w:hAnsi="Times New Roman" w:cs="Times New Roman"/>
          <w:b/>
          <w:bCs/>
          <w:i/>
          <w:sz w:val="28"/>
          <w:szCs w:val="28"/>
        </w:rPr>
        <w:t xml:space="preserve">4. </w:t>
      </w:r>
      <w:r w:rsidR="003E4144" w:rsidRPr="00913143">
        <w:rPr>
          <w:rFonts w:ascii="Times New Roman" w:hAnsi="Times New Roman" w:cs="Times New Roman"/>
          <w:b/>
          <w:i/>
          <w:sz w:val="28"/>
          <w:szCs w:val="28"/>
          <w:lang w:val="it-IT"/>
        </w:rPr>
        <w:t>Cùng với sự phục hồi của nền kinh tế, tình hình đăng ký doanh nghiệp trong 6 tháng đầu năm 2022 ghi nhận nhiều tín hiệu khởi sắc.</w:t>
      </w:r>
      <w:r w:rsidR="003E4144" w:rsidRPr="00913143">
        <w:rPr>
          <w:rFonts w:ascii="Times New Roman" w:hAnsi="Times New Roman" w:cs="Times New Roman"/>
          <w:b/>
          <w:i/>
          <w:iCs/>
          <w:sz w:val="28"/>
          <w:szCs w:val="28"/>
          <w:shd w:val="clear" w:color="auto" w:fill="FFFFFF"/>
          <w:lang w:val="it-IT"/>
        </w:rPr>
        <w:t xml:space="preserve"> </w:t>
      </w:r>
      <w:r w:rsidR="003E4144" w:rsidRPr="00913143">
        <w:rPr>
          <w:rFonts w:ascii="Times New Roman" w:hAnsi="Times New Roman" w:cs="Times New Roman"/>
          <w:b/>
          <w:i/>
          <w:sz w:val="28"/>
          <w:szCs w:val="28"/>
          <w:lang w:val="it-IT"/>
        </w:rPr>
        <w:t>Số doanh nghiệp gia nhập và quay trở lại hoạt động trong 6 tháng đầu năm đạt 116,9 nghìn doanh nghiệp (lần đầu tiên vượt mốc 100 nghìn doanh nghiệp). Theo kết quả điều tra xu hướng kinh doanh của các doanh nghiệp ngành công nghiệp chế biến, chế tạo cho thấy doanh nghiệp lạc quan về tình hình sản xuất kinh doanh trong quý III năm 2022 với 85,0% doanh nghiệp đánh giá sẽ ổn định và tốt hơn so với quý II năm 2022.</w:t>
      </w:r>
    </w:p>
    <w:p w:rsidR="003E4144" w:rsidRPr="00913143" w:rsidRDefault="003E4144" w:rsidP="00913143">
      <w:pPr>
        <w:spacing w:before="40" w:after="40" w:line="264" w:lineRule="auto"/>
        <w:ind w:firstLine="567"/>
        <w:jc w:val="both"/>
        <w:rPr>
          <w:rFonts w:ascii="Times New Roman" w:hAnsi="Times New Roman" w:cs="Times New Roman"/>
          <w:i/>
          <w:sz w:val="28"/>
          <w:szCs w:val="28"/>
          <w:lang w:val="it-IT"/>
        </w:rPr>
      </w:pPr>
      <w:r w:rsidRPr="00913143">
        <w:rPr>
          <w:rFonts w:ascii="Times New Roman" w:hAnsi="Times New Roman" w:cs="Times New Roman"/>
          <w:b/>
          <w:bCs/>
          <w:i/>
          <w:sz w:val="28"/>
          <w:szCs w:val="28"/>
          <w:lang w:val="pl-PL"/>
        </w:rPr>
        <w:t>a)</w:t>
      </w:r>
      <w:r w:rsidRPr="00913143">
        <w:rPr>
          <w:rFonts w:ascii="Times New Roman" w:hAnsi="Times New Roman" w:cs="Times New Roman"/>
          <w:b/>
          <w:bCs/>
          <w:i/>
          <w:sz w:val="28"/>
          <w:szCs w:val="28"/>
          <w:lang w:val="it-IT"/>
        </w:rPr>
        <w:t xml:space="preserve"> </w:t>
      </w:r>
      <w:r w:rsidRPr="00913143">
        <w:rPr>
          <w:rFonts w:ascii="Times New Roman" w:hAnsi="Times New Roman" w:cs="Times New Roman"/>
          <w:b/>
          <w:i/>
          <w:sz w:val="28"/>
          <w:szCs w:val="28"/>
          <w:lang w:val="it-IT"/>
        </w:rPr>
        <w:t>Tình hình đăng ký doanh nghiệp</w:t>
      </w:r>
      <w:r w:rsidRPr="00913143">
        <w:rPr>
          <w:rFonts w:ascii="Times New Roman" w:hAnsi="Times New Roman" w:cs="Times New Roman"/>
          <w:bCs/>
          <w:i/>
          <w:sz w:val="28"/>
          <w:szCs w:val="28"/>
          <w:vertAlign w:val="superscript"/>
        </w:rPr>
        <w:footnoteReference w:id="5"/>
      </w:r>
    </w:p>
    <w:p w:rsidR="003E4144" w:rsidRPr="00913143" w:rsidRDefault="003E4144" w:rsidP="00913143">
      <w:pPr>
        <w:spacing w:before="40" w:after="40" w:line="259" w:lineRule="auto"/>
        <w:ind w:firstLine="567"/>
        <w:jc w:val="both"/>
        <w:rPr>
          <w:rFonts w:ascii="Times New Roman" w:hAnsi="Times New Roman" w:cs="Times New Roman"/>
          <w:sz w:val="28"/>
          <w:szCs w:val="28"/>
          <w:lang w:val="it-IT"/>
        </w:rPr>
      </w:pPr>
      <w:r w:rsidRPr="00913143">
        <w:rPr>
          <w:rFonts w:ascii="Times New Roman" w:hAnsi="Times New Roman" w:cs="Times New Roman"/>
          <w:sz w:val="28"/>
          <w:szCs w:val="28"/>
          <w:lang w:val="it-IT"/>
        </w:rPr>
        <w:t>Trong tháng Sáu, cả nước có gần 13,3 nghìn doanh nghiệp thành lập mới với số vốn đăng ký là 121,1 nghìn tỷ đồng và số lao động đăng ký 77,1 nghìn lao động, giảm 0,7% về số doanh nghiệp, giảm 3,7% về vốn đăng ký và giảm 13,8% về số lao động so với tháng 5/2022. Tính chung 6 tháng đầu năm 2022, cả nước có 76,2 nghìn doanh nghiệp đăng ký thành lập mới với tổng số vốn đăng ký là 882,1 nghìn tỷ đồng và tổng số lao động đăng ký 514,8 nghìn lao động, tăng 13,6% về số doanh nghiệp, giảm 6,4% về vốn đăng ký và tăng 6,3% về số lao động so với cùng kỳ năm trước. Vốn đăng ký bình quân một doanh nghiệp thành lập mới trong 6 tháng đầu năm 2022 đạt 11,6 tỷ đồng, giảm 17,7% so với cùng kỳ năm 2021. Nếu tính cả 1.847,9 nghìn tỷ đồng vốn đăng ký tăng thêm của gần 27 nghìn lượt doanh nghiệp tăng vốn, tổng số vốn đăng ký bổ sung vào nền kinh tế trong 6 tháng đầu năm 2022 là 2.730 nghìn tỷ đồng, tăng 30,3% so với cùng kỳ năm trước. Bên cạnh đó, còn có gần 40,7 nghìn doanh nghiệp quay trở lại hoạt động (tăng 55,6% so với cùng kỳ năm 2021), nâng tổng số doanh nghiệp thành lập mới và doanh nghiệp quay trở lại hoạt động trong 6 tháng đầu năm 2022 lên 116,9 nghìn doanh nghiệp, tăng 25,4% so với cùng kỳ năm trước. Bình quân một tháng có 19,5 nghìn doanh nghiệp thành lập mới và quay trở lại hoạt động.</w:t>
      </w:r>
    </w:p>
    <w:p w:rsidR="003E4144" w:rsidRPr="00913143" w:rsidRDefault="003E4144" w:rsidP="00913143">
      <w:pPr>
        <w:spacing w:before="40" w:after="40" w:line="259" w:lineRule="auto"/>
        <w:ind w:firstLine="567"/>
        <w:jc w:val="both"/>
        <w:rPr>
          <w:rFonts w:ascii="Times New Roman" w:hAnsi="Times New Roman" w:cs="Times New Roman"/>
          <w:sz w:val="28"/>
          <w:szCs w:val="28"/>
          <w:lang w:val="it-IT"/>
        </w:rPr>
      </w:pPr>
      <w:r w:rsidRPr="00913143">
        <w:rPr>
          <w:rFonts w:ascii="Times New Roman" w:hAnsi="Times New Roman" w:cs="Times New Roman"/>
          <w:sz w:val="28"/>
          <w:szCs w:val="28"/>
          <w:lang w:val="it-IT"/>
        </w:rPr>
        <w:t>Cũng trong 6 tháng đầu năm nay, có 50,9 nghìn doanh nghiệp tạm ngừng kinh doanh có thời hạn, tăng 43,0% so với cùng kỳ năm trước; gần 24,1 nghìn doanh nghiệp ngừng hoạt động chờ làm thủ tục giải thể, giảm 2,4%; 8,6 nghìn doanh nghiệp hoàn tất thủ tục giải thể, giảm 13,6%. Bình quân một tháng có 13,9 nghìn doanh nghiệp rút lui khỏi thị trường.</w:t>
      </w:r>
    </w:p>
    <w:p w:rsidR="003E4144" w:rsidRPr="00913143" w:rsidRDefault="003E4144" w:rsidP="00913143">
      <w:pPr>
        <w:spacing w:before="40" w:after="40" w:line="259" w:lineRule="auto"/>
        <w:ind w:firstLine="567"/>
        <w:jc w:val="both"/>
        <w:rPr>
          <w:rFonts w:ascii="Times New Roman" w:hAnsi="Times New Roman" w:cs="Times New Roman"/>
          <w:b/>
          <w:i/>
          <w:sz w:val="28"/>
          <w:szCs w:val="28"/>
          <w:lang w:val="it-IT"/>
        </w:rPr>
      </w:pPr>
      <w:r w:rsidRPr="00913143">
        <w:rPr>
          <w:rFonts w:ascii="Times New Roman" w:hAnsi="Times New Roman" w:cs="Times New Roman"/>
          <w:b/>
          <w:i/>
          <w:sz w:val="28"/>
          <w:szCs w:val="28"/>
          <w:lang w:val="it-IT"/>
        </w:rPr>
        <w:t xml:space="preserve">b) Xu hướng kinh doanh của doanh nghiệp </w:t>
      </w:r>
    </w:p>
    <w:p w:rsidR="003E4144" w:rsidRPr="00913143" w:rsidRDefault="003E4144" w:rsidP="00913143">
      <w:pPr>
        <w:spacing w:before="40" w:after="40" w:line="259" w:lineRule="auto"/>
        <w:ind w:firstLine="567"/>
        <w:jc w:val="both"/>
        <w:rPr>
          <w:rFonts w:ascii="Times New Roman" w:hAnsi="Times New Roman" w:cs="Times New Roman"/>
          <w:spacing w:val="-2"/>
          <w:sz w:val="28"/>
          <w:szCs w:val="28"/>
          <w:lang w:val="it-IT"/>
        </w:rPr>
      </w:pPr>
      <w:r w:rsidRPr="00913143">
        <w:rPr>
          <w:rFonts w:ascii="Times New Roman" w:hAnsi="Times New Roman" w:cs="Times New Roman"/>
          <w:spacing w:val="-2"/>
          <w:sz w:val="28"/>
          <w:szCs w:val="28"/>
          <w:lang w:val="it-IT"/>
        </w:rPr>
        <w:t xml:space="preserve">Kết quả điều tra xu hướng kinh doanh của các doanh nghiệp ngành công nghiệp chế biến, chế tạo trong quý II/2022 cho thấy: Có 42,1% số doanh nghiệp đánh giá </w:t>
      </w:r>
      <w:r w:rsidRPr="00913143">
        <w:rPr>
          <w:rFonts w:ascii="Times New Roman" w:hAnsi="Times New Roman" w:cs="Times New Roman"/>
          <w:spacing w:val="-2"/>
          <w:sz w:val="28"/>
          <w:szCs w:val="28"/>
          <w:lang w:val="vi-VN"/>
        </w:rPr>
        <w:t>tình hình sản xuất kinh doanh</w:t>
      </w:r>
      <w:r w:rsidRPr="00913143">
        <w:rPr>
          <w:rFonts w:ascii="Times New Roman" w:hAnsi="Times New Roman" w:cs="Times New Roman"/>
          <w:spacing w:val="-2"/>
          <w:sz w:val="28"/>
          <w:szCs w:val="28"/>
          <w:lang w:val="it-IT"/>
        </w:rPr>
        <w:t xml:space="preserve"> tốt hơn so với quý I/2022; 36,3% số doanh nghiệp cho rằng tình hình sản xuất kinh doanh ổn định và 21,6% số doanh nghiệp đánh giá gặp khó khăn</w:t>
      </w:r>
      <w:r w:rsidRPr="00913143">
        <w:rPr>
          <w:rFonts w:ascii="Times New Roman" w:hAnsi="Times New Roman" w:cs="Times New Roman"/>
          <w:spacing w:val="-2"/>
          <w:sz w:val="28"/>
          <w:szCs w:val="28"/>
          <w:vertAlign w:val="superscript"/>
        </w:rPr>
        <w:footnoteReference w:id="6"/>
      </w:r>
      <w:r w:rsidRPr="00913143">
        <w:rPr>
          <w:rFonts w:ascii="Times New Roman" w:hAnsi="Times New Roman" w:cs="Times New Roman"/>
          <w:spacing w:val="-2"/>
          <w:sz w:val="28"/>
          <w:szCs w:val="28"/>
          <w:lang w:val="it-IT"/>
        </w:rPr>
        <w:t>. Dự kiến quý III/2022, có 49,2% số doanh nghiệp đánh giá xu hướng sẽ tốt lên so với quý II/2022; 35,8% số doanh nghiệp cho rằng tình hình sản xuất kinh doanh sẽ ổn định và 15,0% số doanh nghiệp dự báo khó khăn hơn.</w:t>
      </w:r>
    </w:p>
    <w:p w:rsidR="00157091" w:rsidRPr="00913143" w:rsidRDefault="008E40C4" w:rsidP="00913143">
      <w:pPr>
        <w:pStyle w:val="ListParagraph"/>
        <w:tabs>
          <w:tab w:val="left" w:pos="567"/>
        </w:tabs>
        <w:spacing w:before="40" w:after="40" w:line="264" w:lineRule="auto"/>
        <w:ind w:left="0" w:firstLine="567"/>
        <w:jc w:val="both"/>
        <w:rPr>
          <w:rFonts w:ascii="Times New Roman" w:hAnsi="Times New Roman" w:cs="Times New Roman"/>
          <w:b/>
          <w:i/>
          <w:sz w:val="28"/>
          <w:szCs w:val="28"/>
          <w:lang w:val="fr-FR" w:eastAsia="en-GB"/>
        </w:rPr>
      </w:pPr>
      <w:r w:rsidRPr="00913143">
        <w:rPr>
          <w:rFonts w:ascii="Times New Roman" w:hAnsi="Times New Roman" w:cs="Times New Roman"/>
          <w:b/>
          <w:i/>
          <w:sz w:val="28"/>
          <w:szCs w:val="28"/>
        </w:rPr>
        <w:t xml:space="preserve">5. Hoạt động thương mại, vận tải, du lịch </w:t>
      </w:r>
      <w:r w:rsidR="00C53348" w:rsidRPr="00913143">
        <w:rPr>
          <w:rFonts w:ascii="Times New Roman" w:hAnsi="Times New Roman" w:cs="Times New Roman"/>
          <w:b/>
          <w:i/>
          <w:sz w:val="28"/>
          <w:szCs w:val="28"/>
        </w:rPr>
        <w:t xml:space="preserve">tiếp tục phục hồi tích cực. </w:t>
      </w:r>
      <w:r w:rsidR="00C53348" w:rsidRPr="00913143">
        <w:rPr>
          <w:rFonts w:ascii="Times New Roman" w:hAnsi="Times New Roman" w:cs="Times New Roman"/>
          <w:b/>
          <w:i/>
          <w:sz w:val="28"/>
          <w:szCs w:val="28"/>
          <w:lang w:val="it-IT"/>
        </w:rPr>
        <w:t>Tổng mức bán lẻ hàng hóa và doanh thu dịch vụ tiêu dùng tháng Sáu tăng 1,4% so với tháng trước và tăng 27,3% so cùng kỳ năm trước; s</w:t>
      </w:r>
      <w:r w:rsidR="00C53348" w:rsidRPr="00913143">
        <w:rPr>
          <w:rFonts w:ascii="Times New Roman" w:hAnsi="Times New Roman" w:cs="Times New Roman"/>
          <w:b/>
          <w:i/>
          <w:sz w:val="28"/>
          <w:szCs w:val="28"/>
          <w:lang w:val="vi-VN"/>
        </w:rPr>
        <w:t>ố</w:t>
      </w:r>
      <w:r w:rsidR="00C53348" w:rsidRPr="00913143">
        <w:rPr>
          <w:rFonts w:ascii="Times New Roman" w:hAnsi="Times New Roman" w:cs="Times New Roman"/>
          <w:b/>
          <w:i/>
          <w:sz w:val="28"/>
          <w:szCs w:val="28"/>
          <w:lang w:val="fr-FR"/>
        </w:rPr>
        <w:t xml:space="preserve"> lượt </w:t>
      </w:r>
      <w:r w:rsidR="00C53348" w:rsidRPr="00913143">
        <w:rPr>
          <w:rFonts w:ascii="Times New Roman" w:hAnsi="Times New Roman" w:cs="Times New Roman"/>
          <w:b/>
          <w:i/>
          <w:sz w:val="28"/>
          <w:szCs w:val="28"/>
          <w:lang w:val="vi-VN"/>
        </w:rPr>
        <w:t xml:space="preserve">hành khách vận chuyển </w:t>
      </w:r>
      <w:r w:rsidR="00C53348" w:rsidRPr="00913143">
        <w:rPr>
          <w:rFonts w:ascii="Times New Roman" w:hAnsi="Times New Roman" w:cs="Times New Roman"/>
          <w:b/>
          <w:i/>
          <w:sz w:val="28"/>
          <w:szCs w:val="28"/>
          <w:lang w:val="fr-FR"/>
        </w:rPr>
        <w:t>tăng 80,1</w:t>
      </w:r>
      <w:r w:rsidR="00C53348" w:rsidRPr="00913143">
        <w:rPr>
          <w:rFonts w:ascii="Times New Roman" w:hAnsi="Times New Roman" w:cs="Times New Roman"/>
          <w:b/>
          <w:i/>
          <w:sz w:val="28"/>
          <w:szCs w:val="28"/>
          <w:lang w:val="vi-VN"/>
        </w:rPr>
        <w:t>% và luân chuyển tăng</w:t>
      </w:r>
      <w:r w:rsidR="00C53348" w:rsidRPr="00913143">
        <w:rPr>
          <w:rFonts w:ascii="Times New Roman" w:hAnsi="Times New Roman" w:cs="Times New Roman"/>
          <w:b/>
          <w:i/>
          <w:sz w:val="28"/>
          <w:szCs w:val="28"/>
          <w:lang w:val="fr-FR"/>
        </w:rPr>
        <w:t xml:space="preserve"> 125,8</w:t>
      </w:r>
      <w:r w:rsidR="00C53348" w:rsidRPr="00913143">
        <w:rPr>
          <w:rFonts w:ascii="Times New Roman" w:hAnsi="Times New Roman" w:cs="Times New Roman"/>
          <w:b/>
          <w:i/>
          <w:sz w:val="28"/>
          <w:szCs w:val="28"/>
          <w:lang w:val="vi-VN"/>
        </w:rPr>
        <w:t>%</w:t>
      </w:r>
      <w:r w:rsidR="00C53348" w:rsidRPr="00913143">
        <w:rPr>
          <w:rFonts w:ascii="Times New Roman" w:hAnsi="Times New Roman" w:cs="Times New Roman"/>
          <w:b/>
          <w:i/>
          <w:sz w:val="28"/>
          <w:szCs w:val="28"/>
          <w:lang w:val="en-IN"/>
        </w:rPr>
        <w:t>; v</w:t>
      </w:r>
      <w:r w:rsidR="00C53348" w:rsidRPr="00913143">
        <w:rPr>
          <w:rFonts w:ascii="Times New Roman" w:hAnsi="Times New Roman" w:cs="Times New Roman"/>
          <w:b/>
          <w:i/>
          <w:sz w:val="28"/>
          <w:szCs w:val="28"/>
          <w:lang w:val="fr-FR"/>
        </w:rPr>
        <w:t xml:space="preserve">ận tải hàng hóa tăng 29% về vận chuyển và tăng 36,3% về luân chuyển </w:t>
      </w:r>
      <w:r w:rsidR="00C53348" w:rsidRPr="00913143">
        <w:rPr>
          <w:rFonts w:ascii="Times New Roman" w:hAnsi="Times New Roman" w:cs="Times New Roman"/>
          <w:b/>
          <w:i/>
          <w:sz w:val="28"/>
          <w:szCs w:val="28"/>
          <w:lang w:val="vi-VN"/>
        </w:rPr>
        <w:t>so với cùng kỳ năm trước</w:t>
      </w:r>
      <w:r w:rsidR="00C53348" w:rsidRPr="00913143">
        <w:rPr>
          <w:rFonts w:ascii="Times New Roman" w:hAnsi="Times New Roman" w:cs="Times New Roman"/>
          <w:b/>
          <w:i/>
          <w:sz w:val="28"/>
          <w:szCs w:val="28"/>
          <w:lang w:val="en-IN"/>
        </w:rPr>
        <w:t>; kh</w:t>
      </w:r>
      <w:r w:rsidR="00C53348" w:rsidRPr="00913143">
        <w:rPr>
          <w:rFonts w:ascii="Times New Roman" w:hAnsi="Times New Roman" w:cs="Times New Roman"/>
          <w:b/>
          <w:i/>
          <w:sz w:val="28"/>
          <w:szCs w:val="28"/>
          <w:lang w:val="fr-FR" w:eastAsia="en-GB"/>
        </w:rPr>
        <w:t>ách quốc tế đến Việt Nam tháng Sáu</w:t>
      </w:r>
      <w:r w:rsidR="00C53348" w:rsidRPr="00913143">
        <w:rPr>
          <w:rStyle w:val="FootnoteReference"/>
          <w:rFonts w:ascii="Times New Roman" w:hAnsi="Times New Roman"/>
          <w:b/>
          <w:sz w:val="28"/>
          <w:szCs w:val="28"/>
        </w:rPr>
        <w:footnoteReference w:id="7"/>
      </w:r>
      <w:r w:rsidR="00C53348" w:rsidRPr="00913143">
        <w:rPr>
          <w:rFonts w:ascii="Times New Roman" w:hAnsi="Times New Roman" w:cs="Times New Roman"/>
          <w:b/>
          <w:i/>
          <w:sz w:val="28"/>
          <w:szCs w:val="28"/>
          <w:lang w:val="fr-FR" w:eastAsia="en-GB"/>
        </w:rPr>
        <w:t xml:space="preserve"> đạt 236,7 nghìn lượt người, tăng 36,8% so với tháng trước và gấp 32,9 lần so với cùng kỳ năm trước.</w:t>
      </w:r>
    </w:p>
    <w:p w:rsidR="00157091" w:rsidRPr="00913143" w:rsidRDefault="00C53348" w:rsidP="00913143">
      <w:pPr>
        <w:pStyle w:val="ListParagraph"/>
        <w:tabs>
          <w:tab w:val="left" w:pos="567"/>
        </w:tabs>
        <w:spacing w:before="40" w:after="40" w:line="264" w:lineRule="auto"/>
        <w:ind w:left="0" w:firstLine="567"/>
        <w:jc w:val="both"/>
        <w:rPr>
          <w:rFonts w:ascii="Times New Roman" w:hAnsi="Times New Roman" w:cs="Times New Roman"/>
          <w:bCs/>
          <w:sz w:val="28"/>
          <w:szCs w:val="28"/>
          <w:lang w:val="nl-NL"/>
        </w:rPr>
      </w:pPr>
      <w:r w:rsidRPr="00913143">
        <w:rPr>
          <w:rFonts w:ascii="Times New Roman" w:hAnsi="Times New Roman" w:cs="Times New Roman"/>
          <w:bCs/>
          <w:sz w:val="28"/>
          <w:szCs w:val="28"/>
          <w:lang w:val="it-IT"/>
        </w:rPr>
        <w:t>Tổng mức bán lẻ hàng hóa và doanh thu dịch vụ tiêu dùng 6 tháng đầu năm ước đạt 2.717 nghìn tỷ đồng, tăng 11,7% so với cùng kỳ năm trước, nếu loại trừ yếu tố giá tăng 7,9</w:t>
      </w:r>
      <w:r w:rsidRPr="00913143">
        <w:rPr>
          <w:rFonts w:ascii="Times New Roman" w:hAnsi="Times New Roman" w:cs="Times New Roman"/>
          <w:sz w:val="28"/>
          <w:szCs w:val="28"/>
          <w:lang w:val="nl-NL"/>
        </w:rPr>
        <w:t xml:space="preserve">% (cùng kỳ năm 2021 tăng 1,9%), trong đó </w:t>
      </w:r>
      <w:r w:rsidRPr="00913143">
        <w:rPr>
          <w:rFonts w:ascii="Times New Roman" w:hAnsi="Times New Roman" w:cs="Times New Roman"/>
          <w:bCs/>
          <w:sz w:val="28"/>
          <w:szCs w:val="28"/>
          <w:lang w:val="it-IT"/>
        </w:rPr>
        <w:t xml:space="preserve">quý II/2022 đạt 1.395,1 nghìn tỷ đồng, tăng 5,5% so với quý trước và tăng 19,5% so với cùng kỳ năm trước. </w:t>
      </w:r>
      <w:r w:rsidR="00157091" w:rsidRPr="00913143">
        <w:rPr>
          <w:rFonts w:ascii="Times New Roman" w:hAnsi="Times New Roman" w:cs="Times New Roman"/>
          <w:bCs/>
          <w:sz w:val="28"/>
          <w:szCs w:val="28"/>
          <w:lang w:val="it-IT"/>
        </w:rPr>
        <w:t>Xét theo ngành hoạt động, d</w:t>
      </w:r>
      <w:r w:rsidRPr="00913143">
        <w:rPr>
          <w:rFonts w:ascii="Times New Roman" w:hAnsi="Times New Roman" w:cs="Times New Roman"/>
          <w:bCs/>
          <w:sz w:val="28"/>
          <w:szCs w:val="28"/>
        </w:rPr>
        <w:t xml:space="preserve">oanh thu bán lẻ hàng hóa 6 tháng đầu năm </w:t>
      </w:r>
      <w:r w:rsidR="00157091" w:rsidRPr="00913143">
        <w:rPr>
          <w:rFonts w:ascii="Times New Roman" w:hAnsi="Times New Roman" w:cs="Times New Roman"/>
          <w:bCs/>
          <w:sz w:val="28"/>
          <w:szCs w:val="28"/>
        </w:rPr>
        <w:t xml:space="preserve">đạt 2.173.9 nghìn tỷ đồng, </w:t>
      </w:r>
      <w:r w:rsidRPr="00913143">
        <w:rPr>
          <w:rFonts w:ascii="Times New Roman" w:hAnsi="Times New Roman" w:cs="Times New Roman"/>
          <w:bCs/>
          <w:sz w:val="28"/>
          <w:szCs w:val="28"/>
        </w:rPr>
        <w:t>tăng 11,3% so với cùng kỳ năm trước</w:t>
      </w:r>
      <w:r w:rsidRPr="00913143">
        <w:rPr>
          <w:rStyle w:val="FootnoteReference"/>
          <w:rFonts w:ascii="Times New Roman" w:hAnsi="Times New Roman"/>
          <w:bCs/>
          <w:sz w:val="28"/>
          <w:szCs w:val="28"/>
        </w:rPr>
        <w:footnoteReference w:id="8"/>
      </w:r>
      <w:r w:rsidR="00157091" w:rsidRPr="00913143">
        <w:rPr>
          <w:rFonts w:ascii="Times New Roman" w:hAnsi="Times New Roman" w:cs="Times New Roman"/>
          <w:bCs/>
          <w:sz w:val="28"/>
          <w:szCs w:val="28"/>
        </w:rPr>
        <w:t>; d</w:t>
      </w:r>
      <w:r w:rsidRPr="00913143">
        <w:rPr>
          <w:rFonts w:ascii="Times New Roman" w:hAnsi="Times New Roman" w:cs="Times New Roman"/>
          <w:bCs/>
          <w:sz w:val="28"/>
          <w:szCs w:val="28"/>
          <w:lang w:val="nl-NL"/>
        </w:rPr>
        <w:t xml:space="preserve">oanh thu dịch vụ lưu trú, ăn uống </w:t>
      </w:r>
      <w:r w:rsidR="00157091" w:rsidRPr="00913143">
        <w:rPr>
          <w:rFonts w:ascii="Times New Roman" w:hAnsi="Times New Roman" w:cs="Times New Roman"/>
          <w:bCs/>
          <w:sz w:val="28"/>
          <w:szCs w:val="28"/>
          <w:lang w:val="nl-NL"/>
        </w:rPr>
        <w:t xml:space="preserve">đạt 268,9 nghìn tỷ đồng, </w:t>
      </w:r>
      <w:r w:rsidRPr="00913143">
        <w:rPr>
          <w:rFonts w:ascii="Times New Roman" w:hAnsi="Times New Roman" w:cs="Times New Roman"/>
          <w:bCs/>
          <w:sz w:val="28"/>
          <w:szCs w:val="28"/>
          <w:lang w:val="nl-NL"/>
        </w:rPr>
        <w:t>tăng 20,9%</w:t>
      </w:r>
      <w:r w:rsidR="00157091" w:rsidRPr="00913143">
        <w:rPr>
          <w:rFonts w:ascii="Times New Roman" w:hAnsi="Times New Roman" w:cs="Times New Roman"/>
          <w:bCs/>
          <w:sz w:val="28"/>
          <w:szCs w:val="28"/>
          <w:lang w:val="nl-NL"/>
        </w:rPr>
        <w:t>; d</w:t>
      </w:r>
      <w:r w:rsidRPr="00913143">
        <w:rPr>
          <w:rFonts w:ascii="Times New Roman" w:hAnsi="Times New Roman" w:cs="Times New Roman"/>
          <w:bCs/>
          <w:sz w:val="28"/>
          <w:szCs w:val="28"/>
          <w:lang w:val="nl-NL"/>
        </w:rPr>
        <w:t xml:space="preserve">oanh thu du lịch lữ hành </w:t>
      </w:r>
      <w:r w:rsidR="00157091" w:rsidRPr="00913143">
        <w:rPr>
          <w:rFonts w:ascii="Times New Roman" w:hAnsi="Times New Roman" w:cs="Times New Roman"/>
          <w:bCs/>
          <w:sz w:val="28"/>
          <w:szCs w:val="28"/>
          <w:lang w:val="nl-NL"/>
        </w:rPr>
        <w:t xml:space="preserve">đạt 8,6 nghìn tỷ đồng, </w:t>
      </w:r>
      <w:r w:rsidRPr="00913143">
        <w:rPr>
          <w:rFonts w:ascii="Times New Roman" w:hAnsi="Times New Roman" w:cs="Times New Roman"/>
          <w:bCs/>
          <w:sz w:val="28"/>
          <w:szCs w:val="28"/>
          <w:lang w:val="nl-NL"/>
        </w:rPr>
        <w:t>tăng 94,4%</w:t>
      </w:r>
      <w:r w:rsidR="00157091" w:rsidRPr="00913143">
        <w:rPr>
          <w:rFonts w:ascii="Times New Roman" w:hAnsi="Times New Roman" w:cs="Times New Roman"/>
          <w:bCs/>
          <w:sz w:val="28"/>
          <w:szCs w:val="28"/>
          <w:lang w:val="nl-NL"/>
        </w:rPr>
        <w:t>; d</w:t>
      </w:r>
      <w:r w:rsidRPr="00913143">
        <w:rPr>
          <w:rFonts w:ascii="Times New Roman" w:hAnsi="Times New Roman" w:cs="Times New Roman"/>
          <w:bCs/>
          <w:sz w:val="28"/>
          <w:szCs w:val="28"/>
          <w:lang w:val="nl-NL"/>
        </w:rPr>
        <w:t xml:space="preserve">oanh thu dịch vụ khác </w:t>
      </w:r>
      <w:r w:rsidR="00157091" w:rsidRPr="00913143">
        <w:rPr>
          <w:rFonts w:ascii="Times New Roman" w:hAnsi="Times New Roman" w:cs="Times New Roman"/>
          <w:bCs/>
          <w:sz w:val="28"/>
          <w:szCs w:val="28"/>
          <w:lang w:val="nl-NL"/>
        </w:rPr>
        <w:t>đạt 265,6 nghìn tỷ đồng,</w:t>
      </w:r>
      <w:r w:rsidRPr="00913143">
        <w:rPr>
          <w:rFonts w:ascii="Times New Roman" w:hAnsi="Times New Roman" w:cs="Times New Roman"/>
          <w:bCs/>
          <w:sz w:val="28"/>
          <w:szCs w:val="28"/>
          <w:lang w:val="nl-NL"/>
        </w:rPr>
        <w:t xml:space="preserve"> tăng 5,6%</w:t>
      </w:r>
      <w:r w:rsidR="00157091" w:rsidRPr="00913143">
        <w:rPr>
          <w:rFonts w:ascii="Times New Roman" w:hAnsi="Times New Roman" w:cs="Times New Roman"/>
          <w:bCs/>
          <w:sz w:val="28"/>
          <w:szCs w:val="28"/>
          <w:lang w:val="nl-NL"/>
        </w:rPr>
        <w:t>.</w:t>
      </w:r>
    </w:p>
    <w:p w:rsidR="00157091" w:rsidRPr="00913143" w:rsidRDefault="00157091" w:rsidP="00913143">
      <w:pPr>
        <w:spacing w:before="40" w:after="40" w:line="264" w:lineRule="auto"/>
        <w:ind w:firstLine="567"/>
        <w:jc w:val="both"/>
        <w:rPr>
          <w:rFonts w:ascii="Times New Roman" w:hAnsi="Times New Roman" w:cs="Times New Roman"/>
          <w:bCs/>
          <w:iCs/>
          <w:sz w:val="28"/>
          <w:szCs w:val="28"/>
          <w:lang w:val="fr-FR"/>
        </w:rPr>
      </w:pPr>
      <w:r w:rsidRPr="00913143">
        <w:rPr>
          <w:rFonts w:ascii="Times New Roman" w:hAnsi="Times New Roman" w:cs="Times New Roman"/>
          <w:sz w:val="28"/>
          <w:szCs w:val="28"/>
          <w:lang w:val="fr-FR"/>
        </w:rPr>
        <w:t xml:space="preserve">Trong 6 tháng đầu năm, vận tải hành khách ước đạt 1.881 triệu lượt khách vận chuyển, tăng 6,2% so với cùng kỳ năm trước (cùng kỳ năm 2021 giảm 0,7%) và luân chuyển đạt 86,2 tỷ lượt khách.km, tăng 15,2% (cùng kỳ năm trước giảm 5,7%), trong đó quý II đạt 1.016 triệu lượt khách vận chuyển, tăng 26,7% so với cùng kỳ năm trước và luân chuyển đạt 47,9 tỷ lượt khách.km, tăng 42,7%. </w:t>
      </w:r>
      <w:r w:rsidRPr="00913143">
        <w:rPr>
          <w:rFonts w:ascii="Times New Roman" w:hAnsi="Times New Roman" w:cs="Times New Roman"/>
          <w:bCs/>
          <w:iCs/>
          <w:sz w:val="28"/>
          <w:szCs w:val="28"/>
          <w:lang w:val="fr-FR"/>
        </w:rPr>
        <w:t>Vận tải hàng hóa ước đạt 951,2 triệu tấn hàng hóa vận chuyển, tăng 8,6% so với cùng kỳ năm trước (cùng kỳ năm 2021 tăng 11,5%) và luân chuyển 199,9 tỷ tấn.km, tăng 16% (cùng kỳ năm trước tăng 11,3%)</w:t>
      </w:r>
      <w:r w:rsidR="001730E9" w:rsidRPr="00913143">
        <w:rPr>
          <w:rFonts w:ascii="Times New Roman" w:hAnsi="Times New Roman" w:cs="Times New Roman"/>
          <w:bCs/>
          <w:iCs/>
          <w:sz w:val="28"/>
          <w:szCs w:val="28"/>
          <w:lang w:val="fr-FR"/>
        </w:rPr>
        <w:t xml:space="preserve">, trong </w:t>
      </w:r>
      <w:r w:rsidRPr="00913143">
        <w:rPr>
          <w:rFonts w:ascii="Times New Roman" w:hAnsi="Times New Roman" w:cs="Times New Roman"/>
          <w:bCs/>
          <w:iCs/>
          <w:sz w:val="28"/>
          <w:szCs w:val="28"/>
          <w:lang w:val="fr-FR"/>
        </w:rPr>
        <w:t>đó</w:t>
      </w:r>
      <w:r w:rsidR="001730E9" w:rsidRPr="00913143">
        <w:rPr>
          <w:rFonts w:ascii="Times New Roman" w:hAnsi="Times New Roman" w:cs="Times New Roman"/>
          <w:bCs/>
          <w:iCs/>
          <w:sz w:val="28"/>
          <w:szCs w:val="28"/>
          <w:lang w:val="fr-FR"/>
        </w:rPr>
        <w:t xml:space="preserve"> </w:t>
      </w:r>
      <w:r w:rsidRPr="00913143">
        <w:rPr>
          <w:rFonts w:ascii="Times New Roman" w:hAnsi="Times New Roman" w:cs="Times New Roman"/>
          <w:sz w:val="28"/>
          <w:szCs w:val="28"/>
          <w:lang w:val="fr-FR"/>
        </w:rPr>
        <w:t xml:space="preserve">quý II đạt 478,3 triệu tấn hàng hóa vận chuyển, tăng 16,1% so với cùng kỳ năm trước và luân chuyển 103,7 tỷ tấn.km, tăng 21%. </w:t>
      </w:r>
    </w:p>
    <w:p w:rsidR="001730E9" w:rsidRPr="00913143" w:rsidRDefault="001730E9" w:rsidP="00913143">
      <w:pPr>
        <w:spacing w:before="40" w:after="40" w:line="264" w:lineRule="auto"/>
        <w:ind w:firstLine="567"/>
        <w:jc w:val="both"/>
        <w:rPr>
          <w:rFonts w:ascii="Times New Roman" w:eastAsia="Calibri" w:hAnsi="Times New Roman" w:cs="Times New Roman"/>
          <w:sz w:val="28"/>
          <w:szCs w:val="28"/>
          <w:lang w:val="fr-FR"/>
        </w:rPr>
      </w:pPr>
      <w:r w:rsidRPr="00913143">
        <w:rPr>
          <w:rFonts w:ascii="Times New Roman" w:hAnsi="Times New Roman" w:cs="Times New Roman"/>
          <w:sz w:val="28"/>
          <w:szCs w:val="28"/>
          <w:lang w:val="en-IN"/>
        </w:rPr>
        <w:t>D</w:t>
      </w:r>
      <w:r w:rsidRPr="00913143">
        <w:rPr>
          <w:rFonts w:ascii="Times New Roman" w:eastAsia="Calibri" w:hAnsi="Times New Roman" w:cs="Times New Roman"/>
          <w:sz w:val="28"/>
          <w:szCs w:val="28"/>
          <w:lang w:val="vi-VN"/>
        </w:rPr>
        <w:t xml:space="preserve">oanh thu hoạt động viễn thông </w:t>
      </w:r>
      <w:r w:rsidRPr="00913143">
        <w:rPr>
          <w:rFonts w:ascii="Times New Roman" w:eastAsia="Calibri" w:hAnsi="Times New Roman" w:cs="Times New Roman"/>
          <w:sz w:val="28"/>
          <w:szCs w:val="28"/>
          <w:lang w:val="en-IN"/>
        </w:rPr>
        <w:t xml:space="preserve">6 tháng đầu năm </w:t>
      </w:r>
      <w:r w:rsidRPr="00913143">
        <w:rPr>
          <w:rFonts w:ascii="Times New Roman" w:hAnsi="Times New Roman" w:cs="Times New Roman"/>
          <w:sz w:val="28"/>
          <w:szCs w:val="28"/>
          <w:lang w:val="fr-FR"/>
        </w:rPr>
        <w:t xml:space="preserve">ước đạt 168,4 nghìn tỷ đồng, tăng 6,6% so với cùng kỳ năm trước (nếu loại trừ yếu tố giá tăng 5,9%). Tính đến </w:t>
      </w:r>
      <w:r w:rsidRPr="00913143">
        <w:rPr>
          <w:rFonts w:ascii="Times New Roman" w:eastAsia="Calibri" w:hAnsi="Times New Roman" w:cs="Times New Roman"/>
          <w:sz w:val="28"/>
          <w:szCs w:val="28"/>
          <w:lang w:val="fr-FR"/>
        </w:rPr>
        <w:t xml:space="preserve">cuối tháng 6/2022, tổng số thuê bao điện thoại </w:t>
      </w:r>
      <w:r w:rsidRPr="00913143">
        <w:rPr>
          <w:rFonts w:ascii="Times New Roman" w:eastAsia="Calibri" w:hAnsi="Times New Roman" w:cs="Times New Roman"/>
          <w:sz w:val="28"/>
          <w:szCs w:val="28"/>
          <w:lang w:val="vi-VN"/>
        </w:rPr>
        <w:t>ước đạt</w:t>
      </w:r>
      <w:r w:rsidRPr="00913143">
        <w:rPr>
          <w:rFonts w:ascii="Times New Roman" w:eastAsia="Calibri" w:hAnsi="Times New Roman" w:cs="Times New Roman"/>
          <w:sz w:val="28"/>
          <w:szCs w:val="28"/>
          <w:lang w:val="de-DE"/>
        </w:rPr>
        <w:t xml:space="preserve"> 128,2 </w:t>
      </w:r>
      <w:r w:rsidRPr="00913143">
        <w:rPr>
          <w:rFonts w:ascii="Times New Roman" w:eastAsia="Calibri" w:hAnsi="Times New Roman" w:cs="Times New Roman"/>
          <w:sz w:val="28"/>
          <w:szCs w:val="28"/>
          <w:lang w:val="fr-FR"/>
        </w:rPr>
        <w:t>triệu</w:t>
      </w:r>
      <w:r w:rsidRPr="00913143">
        <w:rPr>
          <w:rFonts w:ascii="Times New Roman" w:eastAsia="Calibri" w:hAnsi="Times New Roman" w:cs="Times New Roman"/>
          <w:sz w:val="28"/>
          <w:szCs w:val="28"/>
          <w:lang w:val="vi-VN"/>
        </w:rPr>
        <w:t xml:space="preserve"> thuê bao,</w:t>
      </w:r>
      <w:r w:rsidRPr="00913143">
        <w:rPr>
          <w:rFonts w:ascii="Times New Roman" w:eastAsia="Calibri" w:hAnsi="Times New Roman" w:cs="Times New Roman"/>
          <w:sz w:val="28"/>
          <w:szCs w:val="28"/>
          <w:lang w:val="fr-FR"/>
        </w:rPr>
        <w:t xml:space="preserve"> tăng 1,4</w:t>
      </w:r>
      <w:r w:rsidRPr="00913143">
        <w:rPr>
          <w:rFonts w:ascii="Times New Roman" w:eastAsia="Calibri" w:hAnsi="Times New Roman" w:cs="Times New Roman"/>
          <w:sz w:val="28"/>
          <w:szCs w:val="28"/>
          <w:lang w:val="vi-VN"/>
        </w:rPr>
        <w:t xml:space="preserve">% so với cùng </w:t>
      </w:r>
      <w:r w:rsidRPr="00913143">
        <w:rPr>
          <w:rFonts w:ascii="Times New Roman" w:eastAsia="Calibri" w:hAnsi="Times New Roman" w:cs="Times New Roman"/>
          <w:sz w:val="28"/>
          <w:szCs w:val="28"/>
          <w:lang w:val="fr-FR"/>
        </w:rPr>
        <w:t xml:space="preserve">thời điểm </w:t>
      </w:r>
      <w:r w:rsidRPr="00913143">
        <w:rPr>
          <w:rFonts w:ascii="Times New Roman" w:eastAsia="Calibri" w:hAnsi="Times New Roman" w:cs="Times New Roman"/>
          <w:sz w:val="28"/>
          <w:szCs w:val="28"/>
          <w:lang w:val="vi-VN"/>
        </w:rPr>
        <w:t xml:space="preserve">năm </w:t>
      </w:r>
      <w:r w:rsidRPr="00913143">
        <w:rPr>
          <w:rFonts w:ascii="Times New Roman" w:eastAsia="Calibri" w:hAnsi="Times New Roman" w:cs="Times New Roman"/>
          <w:sz w:val="28"/>
          <w:szCs w:val="28"/>
          <w:lang w:val="fr-FR"/>
        </w:rPr>
        <w:t>trước, trong đó số thuê bao di động là 125,2 triệu thuê bao, tăng 1,8%; t</w:t>
      </w:r>
      <w:r w:rsidRPr="00913143">
        <w:rPr>
          <w:rFonts w:ascii="Times New Roman" w:hAnsi="Times New Roman" w:cs="Times New Roman"/>
          <w:sz w:val="28"/>
          <w:szCs w:val="28"/>
          <w:lang w:val="fr-FR"/>
        </w:rPr>
        <w:t xml:space="preserve">huê bao truy nhập internet băng rộng cố định tại thời điểm cuối tháng Sáu ước </w:t>
      </w:r>
      <w:r w:rsidRPr="00913143">
        <w:rPr>
          <w:rFonts w:ascii="Times New Roman" w:eastAsia="Calibri" w:hAnsi="Times New Roman" w:cs="Times New Roman"/>
          <w:sz w:val="28"/>
          <w:szCs w:val="28"/>
          <w:lang w:val="fr-FR"/>
        </w:rPr>
        <w:t>đạt 20,5 triệu thuê bao, tăng 12,8%.</w:t>
      </w:r>
    </w:p>
    <w:p w:rsidR="001730E9" w:rsidRPr="00913143" w:rsidRDefault="001730E9" w:rsidP="00913143">
      <w:pPr>
        <w:shd w:val="clear" w:color="auto" w:fill="FFFFFF"/>
        <w:spacing w:before="40" w:after="40" w:line="264" w:lineRule="auto"/>
        <w:ind w:firstLine="567"/>
        <w:jc w:val="both"/>
        <w:rPr>
          <w:rFonts w:ascii="Times New Roman" w:hAnsi="Times New Roman" w:cs="Times New Roman"/>
          <w:sz w:val="28"/>
          <w:szCs w:val="28"/>
        </w:rPr>
      </w:pPr>
      <w:r w:rsidRPr="00913143">
        <w:rPr>
          <w:rFonts w:ascii="Times New Roman" w:hAnsi="Times New Roman" w:cs="Times New Roman"/>
          <w:sz w:val="28"/>
          <w:szCs w:val="28"/>
          <w:lang w:val="fr-FR" w:eastAsia="en-GB"/>
        </w:rPr>
        <w:t xml:space="preserve">Khách quốc tế đến nước ta tháng Sáu ước đạt 236,7 nghìn lượt người, tăng 36,8% so với tháng trước và gấp 32,9 lần so với cùng kỳ năm trước. Tính chung 6 tháng đầu năm 2022, khách quốc tế đến nước ta đạt 602 nghìn lượt người, gấp 6,8 lần so với cùng kỳ năm trước nhưng vẫn giảm 92,9% so với cùng kỳ năm 2019, năm chưa xảy ra dịch Covid-19, trong đó khách đến bằng đường hàng không đạt 523,9 nghìn lượt người, chiếm 87% lượng khách quốc tế đến Việt Nam và gấp 9,4 lần so với cùng kỳ năm trước; bằng đường bộ đạt 78 nghìn lượt người, chiếm gần 13% và gấp 2,4 lần; bằng đường biển đạt 124 lượt người, chiếm 0,02% và giảm 42,6%. </w:t>
      </w:r>
      <w:r w:rsidRPr="00913143">
        <w:rPr>
          <w:rFonts w:ascii="Times New Roman" w:hAnsi="Times New Roman" w:cs="Times New Roman"/>
          <w:sz w:val="28"/>
          <w:szCs w:val="28"/>
          <w:lang w:val="en-US"/>
        </w:rPr>
        <w:t>K</w:t>
      </w:r>
      <w:r w:rsidRPr="00913143">
        <w:rPr>
          <w:rFonts w:ascii="Times New Roman" w:hAnsi="Times New Roman" w:cs="Times New Roman"/>
          <w:sz w:val="28"/>
          <w:szCs w:val="28"/>
        </w:rPr>
        <w:t xml:space="preserve">hách đến từ châu Á đạt 392,1 nghìn lượt người, </w:t>
      </w:r>
      <w:r w:rsidR="003E0412">
        <w:rPr>
          <w:rFonts w:ascii="Times New Roman" w:hAnsi="Times New Roman" w:cs="Times New Roman"/>
          <w:sz w:val="28"/>
          <w:szCs w:val="28"/>
        </w:rPr>
        <w:t xml:space="preserve">gấp 5,1 lần </w:t>
      </w:r>
      <w:r w:rsidRPr="00913143">
        <w:rPr>
          <w:rFonts w:ascii="Times New Roman" w:hAnsi="Times New Roman" w:cs="Times New Roman"/>
          <w:sz w:val="28"/>
          <w:szCs w:val="28"/>
        </w:rPr>
        <w:t xml:space="preserve">so với cùng kỳ năm trước; khách đến từ châu Âu đạt 96,4 nghìn lượt người, </w:t>
      </w:r>
      <w:r w:rsidR="003E0412">
        <w:rPr>
          <w:rFonts w:ascii="Times New Roman" w:hAnsi="Times New Roman" w:cs="Times New Roman"/>
          <w:sz w:val="28"/>
          <w:szCs w:val="28"/>
        </w:rPr>
        <w:t>gấp 14,1 lần</w:t>
      </w:r>
      <w:r w:rsidRPr="00913143">
        <w:rPr>
          <w:rFonts w:ascii="Times New Roman" w:hAnsi="Times New Roman" w:cs="Times New Roman"/>
          <w:bCs/>
          <w:iCs/>
          <w:sz w:val="28"/>
          <w:szCs w:val="28"/>
        </w:rPr>
        <w:t xml:space="preserve">; khách đến từ châu Mỹ đạt hơn 81 nghìn lượt người, </w:t>
      </w:r>
      <w:r w:rsidR="003E0412">
        <w:rPr>
          <w:rFonts w:ascii="Times New Roman" w:hAnsi="Times New Roman" w:cs="Times New Roman"/>
          <w:bCs/>
          <w:iCs/>
          <w:sz w:val="28"/>
          <w:szCs w:val="28"/>
        </w:rPr>
        <w:t xml:space="preserve">gấp 33,1 lần; </w:t>
      </w:r>
      <w:r w:rsidRPr="00913143">
        <w:rPr>
          <w:rFonts w:ascii="Times New Roman" w:hAnsi="Times New Roman" w:cs="Times New Roman"/>
          <w:bCs/>
          <w:iCs/>
          <w:sz w:val="28"/>
          <w:szCs w:val="28"/>
        </w:rPr>
        <w:t>k</w:t>
      </w:r>
      <w:r w:rsidRPr="00913143">
        <w:rPr>
          <w:rFonts w:ascii="Times New Roman" w:hAnsi="Times New Roman" w:cs="Times New Roman"/>
          <w:sz w:val="28"/>
          <w:szCs w:val="28"/>
        </w:rPr>
        <w:t xml:space="preserve">hách đến từ châu Úc đạt hơn 30 nghìn lượt người, </w:t>
      </w:r>
      <w:r w:rsidR="003E0412">
        <w:rPr>
          <w:rFonts w:ascii="Times New Roman" w:hAnsi="Times New Roman" w:cs="Times New Roman"/>
          <w:sz w:val="28"/>
          <w:szCs w:val="28"/>
        </w:rPr>
        <w:t>gấp</w:t>
      </w:r>
      <w:r w:rsidRPr="00913143">
        <w:rPr>
          <w:rFonts w:ascii="Times New Roman" w:hAnsi="Times New Roman" w:cs="Times New Roman"/>
          <w:sz w:val="28"/>
          <w:szCs w:val="28"/>
        </w:rPr>
        <w:t xml:space="preserve"> 4</w:t>
      </w:r>
      <w:r w:rsidR="003E0412">
        <w:rPr>
          <w:rFonts w:ascii="Times New Roman" w:hAnsi="Times New Roman" w:cs="Times New Roman"/>
          <w:sz w:val="28"/>
          <w:szCs w:val="28"/>
        </w:rPr>
        <w:t>6,3 lần</w:t>
      </w:r>
      <w:r w:rsidRPr="00913143">
        <w:rPr>
          <w:rFonts w:ascii="Times New Roman" w:hAnsi="Times New Roman" w:cs="Times New Roman"/>
          <w:sz w:val="28"/>
          <w:szCs w:val="28"/>
        </w:rPr>
        <w:t xml:space="preserve">; khách đến từ châu Phi đạt 2,4 nghìn lượt người, </w:t>
      </w:r>
      <w:r w:rsidR="003E0412">
        <w:rPr>
          <w:rFonts w:ascii="Times New Roman" w:hAnsi="Times New Roman" w:cs="Times New Roman"/>
          <w:sz w:val="28"/>
          <w:szCs w:val="28"/>
        </w:rPr>
        <w:t>gấp 3,6 lần</w:t>
      </w:r>
      <w:r w:rsidRPr="00913143">
        <w:rPr>
          <w:rFonts w:ascii="Times New Roman" w:hAnsi="Times New Roman" w:cs="Times New Roman"/>
          <w:sz w:val="28"/>
          <w:szCs w:val="28"/>
        </w:rPr>
        <w:t>.</w:t>
      </w:r>
    </w:p>
    <w:p w:rsidR="003F3530" w:rsidRPr="003F3530" w:rsidRDefault="00C90390" w:rsidP="003F3530">
      <w:pPr>
        <w:shd w:val="clear" w:color="auto" w:fill="FFFFFF"/>
        <w:spacing w:before="40" w:after="40" w:line="259" w:lineRule="auto"/>
        <w:ind w:firstLine="567"/>
        <w:jc w:val="both"/>
        <w:rPr>
          <w:rFonts w:ascii="Times New Roman" w:hAnsi="Times New Roman" w:cs="Times New Roman"/>
          <w:b/>
          <w:i/>
          <w:sz w:val="28"/>
          <w:szCs w:val="28"/>
          <w:lang w:val="pl-PL"/>
        </w:rPr>
      </w:pPr>
      <w:r w:rsidRPr="003F3530">
        <w:rPr>
          <w:rFonts w:ascii="Times New Roman" w:hAnsi="Times New Roman" w:cs="Times New Roman"/>
          <w:b/>
          <w:i/>
          <w:sz w:val="28"/>
          <w:szCs w:val="28"/>
        </w:rPr>
        <w:t xml:space="preserve">6. </w:t>
      </w:r>
      <w:r w:rsidR="003F3530" w:rsidRPr="003F3530">
        <w:rPr>
          <w:rFonts w:ascii="Times New Roman" w:hAnsi="Times New Roman" w:cs="Times New Roman"/>
          <w:b/>
          <w:i/>
          <w:sz w:val="28"/>
          <w:szCs w:val="28"/>
          <w:lang w:val="pl-PL"/>
        </w:rPr>
        <w:t>Thực hiện Chương trình hồi phục và phát triển kinh tế - xã hội của Chính phủ, Ngân hàng Nhà nước Việt Nam tiếp tục giữ nguyên mức lãi suất điều hành,</w:t>
      </w:r>
      <w:r w:rsidR="003F3530" w:rsidRPr="003F3530">
        <w:rPr>
          <w:rFonts w:ascii="Times New Roman" w:hAnsi="Times New Roman" w:cs="Times New Roman"/>
          <w:b/>
          <w:sz w:val="28"/>
          <w:szCs w:val="28"/>
          <w:lang w:val="pl-PL"/>
        </w:rPr>
        <w:t xml:space="preserve"> </w:t>
      </w:r>
      <w:r w:rsidR="003F3530" w:rsidRPr="003F3530">
        <w:rPr>
          <w:rFonts w:ascii="Times New Roman" w:hAnsi="Times New Roman" w:cs="Times New Roman"/>
          <w:b/>
          <w:i/>
          <w:sz w:val="28"/>
          <w:szCs w:val="28"/>
          <w:lang w:val="pl-PL"/>
        </w:rPr>
        <w:t>tạo điều kiện</w:t>
      </w:r>
      <w:r w:rsidR="003F3530" w:rsidRPr="003F3530">
        <w:rPr>
          <w:rFonts w:ascii="Times New Roman" w:hAnsi="Times New Roman" w:cs="Times New Roman"/>
          <w:b/>
          <w:i/>
          <w:iCs/>
          <w:sz w:val="28"/>
          <w:szCs w:val="28"/>
          <w:lang w:val="pl-PL"/>
        </w:rPr>
        <w:t xml:space="preserve"> thuận lợi để các tổ chức tín dụng giảm lãi suất cho vay, hỗ trợ nền kinh tế khôi phục trở lại</w:t>
      </w:r>
      <w:r w:rsidR="003F3530" w:rsidRPr="003F3530">
        <w:rPr>
          <w:rFonts w:ascii="Times New Roman" w:hAnsi="Times New Roman" w:cs="Times New Roman"/>
          <w:b/>
          <w:i/>
          <w:sz w:val="28"/>
          <w:szCs w:val="28"/>
          <w:lang w:val="pl-PL"/>
        </w:rPr>
        <w:t>. Hoạt động kinh doanh bảo hiểm tăng trưởng ổn định; thị trường chứng khoán chịu ảnh hưởng từ biến động của chứng khoán toàn cầu, trong đó mức vốn hóa thị trường cổ phiếu tính đến ngày 15/6/2022 giảm 18,4% so với cuối năm 2021.</w:t>
      </w:r>
    </w:p>
    <w:p w:rsidR="00806D42" w:rsidRPr="00913143" w:rsidRDefault="00806D42" w:rsidP="00913143">
      <w:pPr>
        <w:shd w:val="clear" w:color="auto" w:fill="FFFFFF"/>
        <w:spacing w:before="40" w:after="40" w:line="259" w:lineRule="auto"/>
        <w:ind w:firstLine="567"/>
        <w:jc w:val="both"/>
        <w:rPr>
          <w:rFonts w:ascii="Times New Roman" w:hAnsi="Times New Roman" w:cs="Times New Roman"/>
          <w:sz w:val="28"/>
          <w:szCs w:val="28"/>
          <w:lang w:val="pl-PL"/>
        </w:rPr>
      </w:pPr>
      <w:r w:rsidRPr="00913143">
        <w:rPr>
          <w:rFonts w:ascii="Times New Roman" w:hAnsi="Times New Roman" w:cs="Times New Roman"/>
          <w:sz w:val="28"/>
          <w:szCs w:val="28"/>
          <w:lang w:val="pl-PL"/>
        </w:rPr>
        <w:t xml:space="preserve">Tính đến thời điểm 20/6/2022, tổng phương tiện thanh toán tăng 3,3% so với cuối năm 2021 (cùng thời điểm năm 2021 tăng 3,48%); huy động vốn của các tổ chức tín dụng tăng 3,97% (cùng thời điểm năm 2021 tăng 3,13%); tăng trưởng tín dụng của nền kinh tế đạt 8,51% (cùng thời điểm năm 2021 tăng 5,47%). </w:t>
      </w:r>
    </w:p>
    <w:p w:rsidR="00806D42" w:rsidRPr="00913143" w:rsidRDefault="00806D42" w:rsidP="00913143">
      <w:pPr>
        <w:shd w:val="clear" w:color="auto" w:fill="FFFFFF"/>
        <w:spacing w:before="40" w:after="40" w:line="259" w:lineRule="auto"/>
        <w:ind w:firstLine="567"/>
        <w:jc w:val="both"/>
        <w:rPr>
          <w:rFonts w:ascii="Times New Roman" w:hAnsi="Times New Roman" w:cs="Times New Roman"/>
          <w:spacing w:val="-4"/>
          <w:sz w:val="28"/>
          <w:szCs w:val="28"/>
          <w:lang w:val="it-IT"/>
        </w:rPr>
      </w:pPr>
      <w:r w:rsidRPr="00913143">
        <w:rPr>
          <w:rFonts w:ascii="Times New Roman" w:hAnsi="Times New Roman" w:cs="Times New Roman"/>
          <w:spacing w:val="-4"/>
          <w:sz w:val="28"/>
          <w:szCs w:val="28"/>
          <w:lang w:val="it-IT"/>
        </w:rPr>
        <w:t>Doanh thu phí toàn thị trường bảo hiểm 6 tháng đầu năm 2022 ước tính tăng 14% so với cùng kỳ năm trước (quý II/2022 ước tính tăng 15%), trong đó doanh thu phí bảo hiểm lĩnh vực nhân thọ tăng 1</w:t>
      </w:r>
      <w:r w:rsidR="009E7F92">
        <w:rPr>
          <w:rFonts w:ascii="Times New Roman" w:hAnsi="Times New Roman" w:cs="Times New Roman"/>
          <w:spacing w:val="-4"/>
          <w:sz w:val="28"/>
          <w:szCs w:val="28"/>
          <w:lang w:val="it-IT"/>
        </w:rPr>
        <w:t>5</w:t>
      </w:r>
      <w:r w:rsidRPr="00913143">
        <w:rPr>
          <w:rFonts w:ascii="Times New Roman" w:hAnsi="Times New Roman" w:cs="Times New Roman"/>
          <w:spacing w:val="-4"/>
          <w:sz w:val="28"/>
          <w:szCs w:val="28"/>
          <w:lang w:val="it-IT"/>
        </w:rPr>
        <w:t xml:space="preserve">%, lĩnh vực bảo hiểm phi nhân thọ tăng 13%. </w:t>
      </w:r>
    </w:p>
    <w:p w:rsidR="00806D42" w:rsidRPr="00913143" w:rsidRDefault="00806D42" w:rsidP="00913143">
      <w:pPr>
        <w:spacing w:before="40" w:after="40" w:line="259" w:lineRule="auto"/>
        <w:ind w:firstLine="567"/>
        <w:jc w:val="both"/>
        <w:rPr>
          <w:rFonts w:ascii="Times New Roman" w:hAnsi="Times New Roman" w:cs="Times New Roman"/>
          <w:sz w:val="28"/>
          <w:szCs w:val="28"/>
          <w:lang w:val="sv-SE"/>
        </w:rPr>
      </w:pPr>
      <w:r w:rsidRPr="00913143">
        <w:rPr>
          <w:rFonts w:ascii="Times New Roman" w:hAnsi="Times New Roman" w:cs="Times New Roman"/>
          <w:i/>
          <w:sz w:val="28"/>
          <w:szCs w:val="28"/>
          <w:lang w:val="sv-SE"/>
        </w:rPr>
        <w:t>Trên thị trường cổ phiếu</w:t>
      </w:r>
      <w:r w:rsidRPr="00913143">
        <w:rPr>
          <w:rFonts w:ascii="Times New Roman" w:hAnsi="Times New Roman" w:cs="Times New Roman"/>
          <w:sz w:val="28"/>
          <w:szCs w:val="28"/>
          <w:lang w:val="sv-SE"/>
        </w:rPr>
        <w:t>, tính đến ngày 2</w:t>
      </w:r>
      <w:r w:rsidR="009E7F92">
        <w:rPr>
          <w:rFonts w:ascii="Times New Roman" w:hAnsi="Times New Roman" w:cs="Times New Roman"/>
          <w:sz w:val="28"/>
          <w:szCs w:val="28"/>
          <w:lang w:val="sv-SE"/>
        </w:rPr>
        <w:t>7</w:t>
      </w:r>
      <w:r w:rsidRPr="00913143">
        <w:rPr>
          <w:rFonts w:ascii="Times New Roman" w:hAnsi="Times New Roman" w:cs="Times New Roman"/>
          <w:sz w:val="28"/>
          <w:szCs w:val="28"/>
          <w:lang w:val="sv-SE"/>
        </w:rPr>
        <w:t>/6/2022, chỉ số VNIndex đạt 1.</w:t>
      </w:r>
      <w:r w:rsidR="009E7F92">
        <w:rPr>
          <w:rFonts w:ascii="Times New Roman" w:hAnsi="Times New Roman" w:cs="Times New Roman"/>
          <w:sz w:val="28"/>
          <w:szCs w:val="28"/>
          <w:lang w:val="sv-SE"/>
        </w:rPr>
        <w:t>202,82</w:t>
      </w:r>
      <w:r w:rsidRPr="00913143">
        <w:rPr>
          <w:rFonts w:ascii="Times New Roman" w:hAnsi="Times New Roman" w:cs="Times New Roman"/>
          <w:sz w:val="28"/>
          <w:szCs w:val="28"/>
          <w:lang w:val="sv-SE"/>
        </w:rPr>
        <w:t xml:space="preserve"> điểm, giảm </w:t>
      </w:r>
      <w:r w:rsidR="009E7F92">
        <w:rPr>
          <w:rFonts w:ascii="Times New Roman" w:hAnsi="Times New Roman" w:cs="Times New Roman"/>
          <w:sz w:val="28"/>
          <w:szCs w:val="28"/>
          <w:lang w:val="sv-SE"/>
        </w:rPr>
        <w:t>7</w:t>
      </w:r>
      <w:r w:rsidRPr="00913143">
        <w:rPr>
          <w:rFonts w:ascii="Times New Roman" w:hAnsi="Times New Roman" w:cs="Times New Roman"/>
          <w:sz w:val="28"/>
          <w:szCs w:val="28"/>
          <w:lang w:val="sv-SE"/>
        </w:rPr>
        <w:t xml:space="preserve">% so với cuối tháng trước và giảm </w:t>
      </w:r>
      <w:r w:rsidR="009E7F92">
        <w:rPr>
          <w:rFonts w:ascii="Times New Roman" w:hAnsi="Times New Roman" w:cs="Times New Roman"/>
          <w:sz w:val="28"/>
          <w:szCs w:val="28"/>
          <w:lang w:val="sv-SE"/>
        </w:rPr>
        <w:t>19,7</w:t>
      </w:r>
      <w:r w:rsidRPr="00913143">
        <w:rPr>
          <w:rFonts w:ascii="Times New Roman" w:hAnsi="Times New Roman" w:cs="Times New Roman"/>
          <w:sz w:val="28"/>
          <w:szCs w:val="28"/>
          <w:lang w:val="sv-SE"/>
        </w:rPr>
        <w:t>% so với cuối năm 2021. Tính đến ngày 15/6/2022, mức vốn hóa thị trường cổ phiếu đạt 6.339 nghìn tỷ đồng, giảm 18,4% so với cuối năm 2021; giá trị giao dịch bình quân đạt 19.563 tỷ đồng/phiên, tăng 10% so với tháng trước. Tính chung 6 tháng đầu năm 2022, giá trị giao dịch bình quân đạt 26.649 tỷ đồng/phiên, tăng 0,2% so với bình quân năm trước.</w:t>
      </w:r>
    </w:p>
    <w:p w:rsidR="00806D42" w:rsidRPr="00913143" w:rsidRDefault="00806D42" w:rsidP="00913143">
      <w:pPr>
        <w:spacing w:before="40" w:after="40" w:line="259" w:lineRule="auto"/>
        <w:ind w:firstLine="567"/>
        <w:jc w:val="both"/>
        <w:rPr>
          <w:rFonts w:ascii="Times New Roman" w:hAnsi="Times New Roman" w:cs="Times New Roman"/>
          <w:sz w:val="28"/>
          <w:szCs w:val="28"/>
          <w:lang w:val="sv-SE"/>
        </w:rPr>
      </w:pPr>
      <w:r w:rsidRPr="00913143">
        <w:rPr>
          <w:rFonts w:ascii="Times New Roman" w:hAnsi="Times New Roman" w:cs="Times New Roman"/>
          <w:i/>
          <w:sz w:val="28"/>
          <w:szCs w:val="28"/>
          <w:lang w:val="sv-SE"/>
        </w:rPr>
        <w:t>Trên thị trường trái phiếu</w:t>
      </w:r>
      <w:r w:rsidRPr="00913143">
        <w:rPr>
          <w:rFonts w:ascii="Times New Roman" w:hAnsi="Times New Roman" w:cs="Times New Roman"/>
          <w:sz w:val="28"/>
          <w:szCs w:val="28"/>
          <w:lang w:val="sv-SE"/>
        </w:rPr>
        <w:t xml:space="preserve">, tính đến ngày 15/6/2022, giá trị giao dịch bình quân đạt 7.718 tỷ đồng/phiên, giảm 0,9% so với tháng trước; tính chung 6 tháng đầu năm 2022, giá trị giao dịch bình quân đạt 10.986 tỷ đồng/phiên, giảm 3,7% so với bình quân năm 2021. </w:t>
      </w:r>
    </w:p>
    <w:p w:rsidR="00806D42" w:rsidRPr="00913143" w:rsidRDefault="00806D42" w:rsidP="00913143">
      <w:pPr>
        <w:spacing w:before="40" w:after="40" w:line="259" w:lineRule="auto"/>
        <w:ind w:firstLine="567"/>
        <w:jc w:val="both"/>
        <w:rPr>
          <w:rFonts w:ascii="Times New Roman" w:hAnsi="Times New Roman" w:cs="Times New Roman"/>
          <w:sz w:val="28"/>
          <w:szCs w:val="28"/>
          <w:lang w:val="sv-SE"/>
        </w:rPr>
      </w:pPr>
      <w:r w:rsidRPr="00913143">
        <w:rPr>
          <w:rFonts w:ascii="Times New Roman" w:hAnsi="Times New Roman" w:cs="Times New Roman"/>
          <w:i/>
          <w:sz w:val="28"/>
          <w:szCs w:val="28"/>
          <w:lang w:val="sv-SE"/>
        </w:rPr>
        <w:t>Trên thị trường chứng khoán phái sinh</w:t>
      </w:r>
      <w:r w:rsidRPr="00913143">
        <w:rPr>
          <w:rFonts w:ascii="Times New Roman" w:hAnsi="Times New Roman" w:cs="Times New Roman"/>
          <w:sz w:val="28"/>
          <w:szCs w:val="28"/>
          <w:lang w:val="sv-SE"/>
        </w:rPr>
        <w:t xml:space="preserve">, tính đến ngày 15/6/2022, khối lượng giao dịch bình quân sản phẩm hợp đồng tương lai trên chỉ số VN30 đạt 290.591 hợp đồng/phiên, giảm 9% so với tháng trước; tính chung 6 tháng đầu năm 2022 đạt 197.150 hợp đồng/phiên, tăng 4% so với bình quân năm trước. </w:t>
      </w:r>
    </w:p>
    <w:p w:rsidR="00806D42" w:rsidRPr="00913143" w:rsidRDefault="00E76739" w:rsidP="00913143">
      <w:pPr>
        <w:spacing w:before="40" w:after="40" w:line="259" w:lineRule="auto"/>
        <w:ind w:firstLine="567"/>
        <w:jc w:val="both"/>
        <w:rPr>
          <w:rFonts w:ascii="Times New Roman" w:hAnsi="Times New Roman" w:cs="Times New Roman"/>
          <w:b/>
          <w:i/>
          <w:sz w:val="28"/>
          <w:szCs w:val="28"/>
          <w:lang w:val="vi-VN"/>
        </w:rPr>
      </w:pPr>
      <w:r w:rsidRPr="00913143">
        <w:rPr>
          <w:rFonts w:ascii="Times New Roman" w:hAnsi="Times New Roman" w:cs="Times New Roman"/>
          <w:b/>
          <w:i/>
          <w:sz w:val="28"/>
          <w:szCs w:val="28"/>
          <w:lang w:val="de-DE"/>
        </w:rPr>
        <w:t xml:space="preserve">7. </w:t>
      </w:r>
      <w:r w:rsidR="00806D42" w:rsidRPr="00913143">
        <w:rPr>
          <w:rFonts w:ascii="Times New Roman" w:hAnsi="Times New Roman" w:cs="Times New Roman"/>
          <w:b/>
          <w:i/>
          <w:sz w:val="28"/>
          <w:szCs w:val="28"/>
          <w:lang w:val="de-DE"/>
        </w:rPr>
        <w:t>Vốn đầu tư thực hiện toàn xã hội trong 6 tháng đầu năm 2022 theo giá hiện hành ước đạt 1.301,2 nghìn tỷ đồng, tăng 9,6% so với cùng kỳ năm trước. Trong đó, vốn đầu tư trực tiếp nước ngoài thực hiện tại Việt Nam đạt mức cao nhất so với 6 tháng đầu năm của các năm 2018-2022, đây là động lực quan trọng đóng góp cho tăng trưởng 6 tháng đầu năm và cả năm 2022.</w:t>
      </w:r>
    </w:p>
    <w:p w:rsidR="00806D42" w:rsidRPr="00913143" w:rsidRDefault="00806D42" w:rsidP="00913143">
      <w:pPr>
        <w:spacing w:before="40" w:after="40" w:line="259" w:lineRule="auto"/>
        <w:ind w:firstLine="567"/>
        <w:jc w:val="both"/>
        <w:rPr>
          <w:rFonts w:ascii="Times New Roman" w:hAnsi="Times New Roman" w:cs="Times New Roman"/>
          <w:b/>
          <w:bCs/>
          <w:sz w:val="28"/>
          <w:szCs w:val="28"/>
          <w:lang w:val="de-DE"/>
        </w:rPr>
      </w:pPr>
      <w:r w:rsidRPr="00913143">
        <w:rPr>
          <w:rFonts w:ascii="Times New Roman" w:hAnsi="Times New Roman" w:cs="Times New Roman"/>
          <w:iCs/>
          <w:sz w:val="28"/>
          <w:szCs w:val="28"/>
          <w:lang w:val="de-DE"/>
        </w:rPr>
        <w:t>Vốn đầu tư thực hiện toàn xã hội theo giá hiện hành 6 tháng đầu năm đạt 1.301,2 nghìn tỷ đồng, tăng 9,6% so với cùng kỳ năm trước (quý II đạt 738,6 nghìn tỷ đồng, tăng 10,1%), bao gồm: Vốn khu vực Nhà nước đạt 328,4 nghìn tỷ đồng, chiếm 25,2% tổng vốn và tăng 9,5%; khu vực ngoài Nhà nước đạt 739,3 nghìn tỷ đồng, bằng 56,8% và tăng 9,9%; khu vực có vốn đầu tư trực tiếp nước ngoài đạt 233,5 nghìn tỷ đồng, bằng 18% và tăng 8,9%.</w:t>
      </w:r>
    </w:p>
    <w:p w:rsidR="00CC63AB" w:rsidRPr="00913143" w:rsidRDefault="00806D42" w:rsidP="001644E8">
      <w:pPr>
        <w:spacing w:before="40" w:after="40"/>
        <w:ind w:firstLine="567"/>
        <w:jc w:val="both"/>
        <w:rPr>
          <w:rFonts w:ascii="Times New Roman" w:hAnsi="Times New Roman" w:cs="Times New Roman"/>
          <w:iCs/>
          <w:sz w:val="28"/>
          <w:szCs w:val="28"/>
          <w:lang w:val="de-DE"/>
        </w:rPr>
      </w:pPr>
      <w:r w:rsidRPr="00913143">
        <w:rPr>
          <w:rFonts w:ascii="Times New Roman" w:hAnsi="Times New Roman" w:cs="Times New Roman"/>
          <w:iCs/>
          <w:sz w:val="28"/>
          <w:szCs w:val="28"/>
          <w:lang w:val="de-DE"/>
        </w:rPr>
        <w:t>Tổng vốn đầu tư nước ngoài đăng ký vào Việt Nam tính đến ngày 20/6/2022 bao gồm: Vốn đăng ký cấp mới, vốn đăng ký điều chỉnh và giá trị góp vốn, mua cổ phần của nhà đầu tư nước ngoài đạt 14,03 tỷ USD, giảm 8,1% so với cùng kỳ năm trước. Trong đó, có 752 dự án được cấp phép mới với số vốn đăng ký đạt 4,94 tỷ USD, giảm 6,5% về số dự án và giảm 48,2% về số vốn đăng ký so với cùng kỳ năm trước</w:t>
      </w:r>
      <w:r w:rsidR="00AC78FE" w:rsidRPr="00913143">
        <w:rPr>
          <w:rFonts w:ascii="Times New Roman" w:hAnsi="Times New Roman" w:cs="Times New Roman"/>
          <w:iCs/>
          <w:sz w:val="28"/>
          <w:szCs w:val="28"/>
          <w:lang w:val="de-DE"/>
        </w:rPr>
        <w:t xml:space="preserve">; </w:t>
      </w:r>
      <w:r w:rsidRPr="00913143">
        <w:rPr>
          <w:rFonts w:ascii="Times New Roman" w:hAnsi="Times New Roman" w:cs="Times New Roman"/>
          <w:iCs/>
          <w:sz w:val="28"/>
          <w:szCs w:val="28"/>
          <w:lang w:val="de-DE"/>
        </w:rPr>
        <w:t>có 487 lượt dự án đã cấp phép từ các năm trước đăng ký điều chỉnh vốn đầu tư tăng thêm 6,82 tỷ USD, tăng 65,6%</w:t>
      </w:r>
      <w:r w:rsidR="00AC78FE" w:rsidRPr="00913143">
        <w:rPr>
          <w:rFonts w:ascii="Times New Roman" w:hAnsi="Times New Roman" w:cs="Times New Roman"/>
          <w:iCs/>
          <w:sz w:val="28"/>
          <w:szCs w:val="28"/>
          <w:lang w:val="de-DE"/>
        </w:rPr>
        <w:t xml:space="preserve">; </w:t>
      </w:r>
      <w:r w:rsidRPr="00913143">
        <w:rPr>
          <w:rFonts w:ascii="Times New Roman" w:hAnsi="Times New Roman" w:cs="Times New Roman"/>
          <w:iCs/>
          <w:sz w:val="28"/>
          <w:szCs w:val="28"/>
          <w:lang w:val="de-DE"/>
        </w:rPr>
        <w:t xml:space="preserve">có 1.707 lượt </w:t>
      </w:r>
      <w:r w:rsidR="00AC78FE" w:rsidRPr="00913143">
        <w:rPr>
          <w:rFonts w:ascii="Times New Roman" w:hAnsi="Times New Roman" w:cs="Times New Roman"/>
          <w:iCs/>
          <w:sz w:val="28"/>
          <w:szCs w:val="28"/>
          <w:lang w:val="de-DE"/>
        </w:rPr>
        <w:t xml:space="preserve">góp vốn, mua cổ phần của nhà đầu tư nước ngoài </w:t>
      </w:r>
      <w:r w:rsidRPr="00913143">
        <w:rPr>
          <w:rFonts w:ascii="Times New Roman" w:hAnsi="Times New Roman" w:cs="Times New Roman"/>
          <w:iCs/>
          <w:sz w:val="28"/>
          <w:szCs w:val="28"/>
          <w:lang w:val="de-DE"/>
        </w:rPr>
        <w:t>với tổng giá trị góp vốn 2,27 tỷ USD, tăng 41,4%</w:t>
      </w:r>
      <w:r w:rsidR="00AC78FE" w:rsidRPr="00913143">
        <w:rPr>
          <w:rFonts w:ascii="Times New Roman" w:hAnsi="Times New Roman" w:cs="Times New Roman"/>
          <w:iCs/>
          <w:sz w:val="28"/>
          <w:szCs w:val="28"/>
          <w:lang w:val="de-DE"/>
        </w:rPr>
        <w:t xml:space="preserve">. Trong tổng số lượt góp vốn, mua cổ phần của nhà đầu tư nước ngoài, </w:t>
      </w:r>
      <w:r w:rsidRPr="00913143">
        <w:rPr>
          <w:rFonts w:ascii="Times New Roman" w:hAnsi="Times New Roman" w:cs="Times New Roman"/>
          <w:iCs/>
          <w:sz w:val="28"/>
          <w:szCs w:val="28"/>
          <w:lang w:val="de-DE"/>
        </w:rPr>
        <w:t xml:space="preserve">có 786 lượt góp vốn, mua cổ phần làm tăng vốn điều lệ của doanh nghiệp với giá trị góp vốn là 1,1 tỷ USD và 921 lượt nhà đầu tư nước ngoài mua lại cổ phần trong nước mà không làm tăng vốn điều lệ với giá trị 1,17 tỷ USD. Vốn đầu tư trực tiếp nước ngoài thực hiện tại Việt Nam </w:t>
      </w:r>
      <w:r w:rsidRPr="00913143">
        <w:rPr>
          <w:rFonts w:ascii="Times New Roman" w:hAnsi="Times New Roman" w:cs="Times New Roman"/>
          <w:sz w:val="28"/>
          <w:szCs w:val="28"/>
          <w:lang w:val="de-DE"/>
        </w:rPr>
        <w:t>6</w:t>
      </w:r>
      <w:r w:rsidRPr="00913143">
        <w:rPr>
          <w:rFonts w:ascii="Times New Roman" w:hAnsi="Times New Roman" w:cs="Times New Roman"/>
          <w:iCs/>
          <w:sz w:val="28"/>
          <w:szCs w:val="28"/>
          <w:lang w:val="de-DE"/>
        </w:rPr>
        <w:t xml:space="preserve"> tháng đầu năm 2022 ước tính đạt 10,06 tỷ USD, tăng 8,9% so với cùng kỳ năm trước</w:t>
      </w:r>
      <w:r w:rsidR="00CC63AB">
        <w:rPr>
          <w:rFonts w:ascii="Times New Roman" w:hAnsi="Times New Roman" w:cs="Times New Roman"/>
          <w:iCs/>
          <w:sz w:val="28"/>
          <w:szCs w:val="28"/>
          <w:lang w:val="de-DE"/>
        </w:rPr>
        <w:t>. Đây là số vốn đầu tư trực tiếp nước ngoài thực hiện cao nhất của 6 tháng đầu năm trong 5 năm qua.</w:t>
      </w:r>
    </w:p>
    <w:p w:rsidR="00AC78FE" w:rsidRPr="00913143" w:rsidRDefault="00806D42" w:rsidP="001644E8">
      <w:pPr>
        <w:spacing w:before="40" w:after="40" w:line="271" w:lineRule="auto"/>
        <w:ind w:firstLine="567"/>
        <w:jc w:val="both"/>
        <w:rPr>
          <w:rFonts w:ascii="Times New Roman" w:hAnsi="Times New Roman" w:cs="Times New Roman"/>
          <w:iCs/>
          <w:sz w:val="28"/>
          <w:szCs w:val="28"/>
          <w:lang w:val="de-DE"/>
        </w:rPr>
      </w:pPr>
      <w:r w:rsidRPr="00913143">
        <w:rPr>
          <w:rFonts w:ascii="Times New Roman" w:hAnsi="Times New Roman" w:cs="Times New Roman"/>
          <w:iCs/>
          <w:sz w:val="28"/>
          <w:szCs w:val="28"/>
          <w:lang w:val="de-DE"/>
        </w:rPr>
        <w:t>Đầu tư của Việt Nam ra nước ngoài trong 6 tháng đầu năm 2022 có 57 dự án được cấp mới giấy chứng nhận đầu tư với tổng số vốn của phía Việt Nam là 300,9 triệu USD, gấp 2,1 lần so với cùng kỳ năm trước</w:t>
      </w:r>
      <w:r w:rsidRPr="00913143">
        <w:rPr>
          <w:rStyle w:val="FootnoteReference"/>
          <w:rFonts w:ascii="Times New Roman" w:hAnsi="Times New Roman"/>
          <w:iCs/>
          <w:sz w:val="28"/>
          <w:szCs w:val="28"/>
          <w:lang w:val="de-DE"/>
        </w:rPr>
        <w:footnoteReference w:id="9"/>
      </w:r>
      <w:r w:rsidRPr="00913143">
        <w:rPr>
          <w:rFonts w:ascii="Times New Roman" w:hAnsi="Times New Roman" w:cs="Times New Roman"/>
          <w:iCs/>
          <w:sz w:val="28"/>
          <w:szCs w:val="28"/>
          <w:lang w:val="de-DE"/>
        </w:rPr>
        <w:t>; có 14 lượt dự án điều chỉnh vốn với số vốn điều chỉnh tăng 44,9 triệu USD, giảm 88,9%</w:t>
      </w:r>
      <w:r w:rsidRPr="00913143">
        <w:rPr>
          <w:rStyle w:val="FootnoteReference"/>
          <w:rFonts w:ascii="Times New Roman" w:hAnsi="Times New Roman"/>
          <w:iCs/>
          <w:sz w:val="28"/>
          <w:szCs w:val="28"/>
          <w:lang w:val="de-DE"/>
        </w:rPr>
        <w:footnoteReference w:id="10"/>
      </w:r>
      <w:r w:rsidRPr="00913143">
        <w:rPr>
          <w:rFonts w:ascii="Times New Roman" w:hAnsi="Times New Roman" w:cs="Times New Roman"/>
          <w:iCs/>
          <w:sz w:val="28"/>
          <w:szCs w:val="28"/>
          <w:lang w:val="de-DE"/>
        </w:rPr>
        <w:t>.</w:t>
      </w:r>
      <w:r w:rsidR="00AC78FE" w:rsidRPr="00913143">
        <w:rPr>
          <w:rFonts w:ascii="Times New Roman" w:hAnsi="Times New Roman" w:cs="Times New Roman"/>
          <w:iCs/>
          <w:sz w:val="28"/>
          <w:szCs w:val="28"/>
          <w:lang w:val="de-DE"/>
        </w:rPr>
        <w:t xml:space="preserve"> </w:t>
      </w:r>
      <w:r w:rsidRPr="00913143">
        <w:rPr>
          <w:rFonts w:ascii="Times New Roman" w:hAnsi="Times New Roman" w:cs="Times New Roman"/>
          <w:iCs/>
          <w:sz w:val="28"/>
          <w:szCs w:val="28"/>
          <w:lang w:val="de-DE"/>
        </w:rPr>
        <w:t xml:space="preserve">Tính chung tổng vốn đầu tư của Việt Nam ra nước ngoài (vốn cấp mới và điều chỉnh) đạt 345,8 triệu USD, giảm 36,8% so với cùng kỳ năm trước. </w:t>
      </w:r>
    </w:p>
    <w:p w:rsidR="006F249A" w:rsidRPr="006F249A" w:rsidRDefault="00E76739" w:rsidP="001644E8">
      <w:pPr>
        <w:spacing w:before="40" w:after="40" w:line="271" w:lineRule="auto"/>
        <w:ind w:firstLine="567"/>
        <w:jc w:val="both"/>
        <w:rPr>
          <w:rFonts w:ascii="Times New Roman" w:hAnsi="Times New Roman" w:cs="Times New Roman"/>
          <w:b/>
          <w:i/>
          <w:sz w:val="28"/>
          <w:szCs w:val="28"/>
          <w:lang w:val="nl-NL"/>
        </w:rPr>
      </w:pPr>
      <w:r w:rsidRPr="006F249A">
        <w:rPr>
          <w:rFonts w:ascii="Times New Roman" w:hAnsi="Times New Roman" w:cs="Times New Roman"/>
          <w:b/>
          <w:bCs/>
          <w:i/>
          <w:spacing w:val="-6"/>
          <w:sz w:val="28"/>
          <w:szCs w:val="28"/>
        </w:rPr>
        <w:t xml:space="preserve">8. </w:t>
      </w:r>
      <w:r w:rsidR="006F249A" w:rsidRPr="006F249A">
        <w:rPr>
          <w:rFonts w:ascii="Times New Roman" w:hAnsi="Times New Roman" w:cs="Times New Roman"/>
          <w:b/>
          <w:i/>
          <w:sz w:val="28"/>
          <w:szCs w:val="28"/>
          <w:lang w:val="nl-NL"/>
        </w:rPr>
        <w:t xml:space="preserve">Thu ngân sách Nhà nước 6 tháng đầu năm 2022 tăng 18,8% so với cùng kỳ năm trước. Chi ngân sách Nhà nước tăng 4,5% so với cùng kỳ năm 2021, đảm bảo các nhu cầu phát triển kinh tế - xã hội, quốc phòng, an ninh, quản lý Nhà nước, thanh toán các khoản nợ đến hạn cũng như chi trả kịp thời cho các đối tượng theo quy định. </w:t>
      </w:r>
    </w:p>
    <w:p w:rsidR="006F249A" w:rsidRPr="006F249A" w:rsidRDefault="006F249A" w:rsidP="001644E8">
      <w:pPr>
        <w:spacing w:before="40" w:after="40" w:line="271" w:lineRule="auto"/>
        <w:ind w:firstLine="567"/>
        <w:jc w:val="both"/>
        <w:rPr>
          <w:rFonts w:ascii="Times New Roman" w:hAnsi="Times New Roman" w:cs="Times New Roman"/>
          <w:sz w:val="28"/>
          <w:lang w:val="nl-NL"/>
        </w:rPr>
      </w:pPr>
      <w:r w:rsidRPr="006F249A">
        <w:rPr>
          <w:rFonts w:ascii="Times New Roman" w:hAnsi="Times New Roman" w:cs="Times New Roman"/>
          <w:sz w:val="28"/>
          <w:lang w:val="it-IT"/>
        </w:rPr>
        <w:t>Tổng thu ngân sách Nhà nước lũy kế 6 tháng đầu năm 2022 đạt 932,9 nghìn tỷ đồng, bằng 66,1% dự toán năm và tăng 18,8% so với cùng kỳ năm trước, t</w:t>
      </w:r>
      <w:r w:rsidRPr="006F249A">
        <w:rPr>
          <w:rFonts w:ascii="Times New Roman" w:hAnsi="Times New Roman" w:cs="Times New Roman"/>
          <w:sz w:val="28"/>
          <w:lang w:val="nl-NL"/>
        </w:rPr>
        <w:t xml:space="preserve">rong đó: Thu nội địa đạt 744 nghìn tỷ đồng, bằng 63,2% và tăng 15,8%; thu từ dầu thô đạt </w:t>
      </w:r>
      <w:r w:rsidRPr="006F249A">
        <w:rPr>
          <w:rFonts w:ascii="Times New Roman" w:hAnsi="Times New Roman" w:cs="Times New Roman"/>
          <w:sz w:val="28"/>
          <w:lang w:val="it-IT"/>
        </w:rPr>
        <w:t>34,2</w:t>
      </w:r>
      <w:r w:rsidRPr="006F249A">
        <w:rPr>
          <w:rFonts w:ascii="Times New Roman" w:hAnsi="Times New Roman" w:cs="Times New Roman"/>
          <w:sz w:val="28"/>
          <w:lang w:val="nl-NL"/>
        </w:rPr>
        <w:t xml:space="preserve"> nghìn tỷ đồng, bằng </w:t>
      </w:r>
      <w:r w:rsidRPr="006F249A">
        <w:rPr>
          <w:rFonts w:ascii="Times New Roman" w:hAnsi="Times New Roman" w:cs="Times New Roman"/>
          <w:sz w:val="28"/>
          <w:lang w:val="it-IT"/>
        </w:rPr>
        <w:t>121,3</w:t>
      </w:r>
      <w:r w:rsidRPr="006F249A">
        <w:rPr>
          <w:rFonts w:ascii="Times New Roman" w:hAnsi="Times New Roman" w:cs="Times New Roman"/>
          <w:sz w:val="28"/>
          <w:lang w:val="nl-NL"/>
        </w:rPr>
        <w:t xml:space="preserve">% và tăng 80,8%; thu cân đối ngân sách từ hoạt động xuất, nhập khẩu đạt 154,5 nghìn tỷ đồng, bằng </w:t>
      </w:r>
      <w:r w:rsidRPr="006F249A">
        <w:rPr>
          <w:rFonts w:ascii="Times New Roman" w:hAnsi="Times New Roman" w:cs="Times New Roman"/>
          <w:sz w:val="28"/>
          <w:lang w:val="it-IT"/>
        </w:rPr>
        <w:t>77,6</w:t>
      </w:r>
      <w:r w:rsidRPr="006F249A">
        <w:rPr>
          <w:rFonts w:ascii="Times New Roman" w:hAnsi="Times New Roman" w:cs="Times New Roman"/>
          <w:sz w:val="28"/>
          <w:lang w:val="nl-NL"/>
        </w:rPr>
        <w:t>% và tăng 25,5%.</w:t>
      </w:r>
    </w:p>
    <w:p w:rsidR="006F249A" w:rsidRPr="006F249A" w:rsidRDefault="006F249A" w:rsidP="001644E8">
      <w:pPr>
        <w:spacing w:before="40" w:after="40" w:line="259" w:lineRule="auto"/>
        <w:ind w:firstLine="567"/>
        <w:jc w:val="both"/>
        <w:rPr>
          <w:rFonts w:ascii="Times New Roman" w:hAnsi="Times New Roman" w:cs="Times New Roman"/>
          <w:sz w:val="28"/>
          <w:lang w:val="nl-NL"/>
        </w:rPr>
      </w:pPr>
      <w:bookmarkStart w:id="2" w:name="_Hlk54593811"/>
      <w:r w:rsidRPr="006F249A">
        <w:rPr>
          <w:rFonts w:ascii="Times New Roman" w:hAnsi="Times New Roman" w:cs="Times New Roman"/>
          <w:sz w:val="28"/>
          <w:lang w:val="nl-NL"/>
        </w:rPr>
        <w:t xml:space="preserve">Tổng chi ngân sách Nhà nước lũy kế 6 tháng đầu năm 2022 ước đạt 713 nghìn tỷ đồng, bằng 40% dự toán năm và tăng 4,5% so với cùng kỳ năm trước, trong đó: </w:t>
      </w:r>
      <w:r w:rsidRPr="006F249A">
        <w:rPr>
          <w:rFonts w:ascii="Times New Roman" w:hAnsi="Times New Roman" w:cs="Times New Roman"/>
          <w:sz w:val="28"/>
          <w:lang w:val="en-IN"/>
        </w:rPr>
        <w:t>C</w:t>
      </w:r>
      <w:r w:rsidRPr="006F249A">
        <w:rPr>
          <w:rFonts w:ascii="Times New Roman" w:hAnsi="Times New Roman" w:cs="Times New Roman"/>
          <w:sz w:val="28"/>
          <w:lang w:val="nl-NL"/>
        </w:rPr>
        <w:t>hi thường xuyên đạt 509,2 nghìn tỷ đồng, bằng 45,8% và tăng 4,1%; chi đầu tư phát triển đạt 150,4 nghìn tỷ đồng, bằng 28,6% và tăng 12,3%; chi trả nợ lãi 51,9 nghìn tỷ đồng, bằng 50,1% và giảm 8,5%.</w:t>
      </w:r>
    </w:p>
    <w:p w:rsidR="006D076B" w:rsidRPr="00913143" w:rsidRDefault="00AB7824" w:rsidP="001644E8">
      <w:pPr>
        <w:tabs>
          <w:tab w:val="left" w:pos="900"/>
          <w:tab w:val="left" w:pos="9475"/>
        </w:tabs>
        <w:spacing w:before="40" w:after="40" w:line="259" w:lineRule="auto"/>
        <w:ind w:firstLine="567"/>
        <w:jc w:val="both"/>
        <w:rPr>
          <w:rFonts w:ascii="Times New Roman" w:hAnsi="Times New Roman" w:cs="Times New Roman"/>
          <w:b/>
          <w:bCs/>
          <w:sz w:val="28"/>
          <w:szCs w:val="28"/>
          <w:lang w:val="es-NI"/>
        </w:rPr>
      </w:pPr>
      <w:r w:rsidRPr="00913143">
        <w:rPr>
          <w:rFonts w:ascii="Times New Roman" w:hAnsi="Times New Roman" w:cs="Times New Roman"/>
          <w:b/>
          <w:i/>
          <w:iCs/>
          <w:sz w:val="28"/>
          <w:szCs w:val="28"/>
        </w:rPr>
        <w:t xml:space="preserve">9. </w:t>
      </w:r>
      <w:bookmarkEnd w:id="2"/>
      <w:r w:rsidR="006D076B" w:rsidRPr="00913143">
        <w:rPr>
          <w:rFonts w:ascii="Times New Roman" w:hAnsi="Times New Roman" w:cs="Times New Roman"/>
          <w:b/>
          <w:i/>
          <w:sz w:val="28"/>
          <w:szCs w:val="28"/>
          <w:lang w:val="de-DE"/>
        </w:rPr>
        <w:t>Trong tháng Sáu, t</w:t>
      </w:r>
      <w:r w:rsidR="006D076B" w:rsidRPr="00913143">
        <w:rPr>
          <w:rFonts w:ascii="Times New Roman" w:hAnsi="Times New Roman" w:cs="Times New Roman"/>
          <w:b/>
          <w:i/>
          <w:sz w:val="28"/>
          <w:szCs w:val="28"/>
          <w:lang w:val="es-NI"/>
        </w:rPr>
        <w:t>ổng kim ngạch xuất, nhập khẩu hàng hóa ước đạt 65,</w:t>
      </w:r>
      <w:r w:rsidR="00D1695C">
        <w:rPr>
          <w:rFonts w:ascii="Times New Roman" w:hAnsi="Times New Roman" w:cs="Times New Roman"/>
          <w:b/>
          <w:i/>
          <w:sz w:val="28"/>
          <w:szCs w:val="28"/>
          <w:lang w:val="es-NI"/>
        </w:rPr>
        <w:t>02</w:t>
      </w:r>
      <w:r w:rsidR="006D076B" w:rsidRPr="00913143">
        <w:rPr>
          <w:rFonts w:ascii="Times New Roman" w:hAnsi="Times New Roman" w:cs="Times New Roman"/>
          <w:b/>
          <w:i/>
          <w:sz w:val="28"/>
          <w:szCs w:val="28"/>
          <w:lang w:val="es-NI"/>
        </w:rPr>
        <w:t xml:space="preserve"> tỷ USD,</w:t>
      </w:r>
      <w:r w:rsidR="006D076B" w:rsidRPr="00913143">
        <w:rPr>
          <w:rFonts w:ascii="Times New Roman" w:hAnsi="Times New Roman" w:cs="Times New Roman"/>
          <w:b/>
          <w:i/>
          <w:sz w:val="28"/>
          <w:szCs w:val="28"/>
          <w:lang w:val="de-DE"/>
        </w:rPr>
        <w:t xml:space="preserve"> tăng 2,</w:t>
      </w:r>
      <w:r w:rsidR="00D1695C">
        <w:rPr>
          <w:rFonts w:ascii="Times New Roman" w:hAnsi="Times New Roman" w:cs="Times New Roman"/>
          <w:b/>
          <w:i/>
          <w:sz w:val="28"/>
          <w:szCs w:val="28"/>
          <w:lang w:val="de-DE"/>
        </w:rPr>
        <w:t>3</w:t>
      </w:r>
      <w:r w:rsidR="006D076B" w:rsidRPr="00913143">
        <w:rPr>
          <w:rFonts w:ascii="Times New Roman" w:hAnsi="Times New Roman" w:cs="Times New Roman"/>
          <w:b/>
          <w:i/>
          <w:sz w:val="28"/>
          <w:szCs w:val="28"/>
          <w:lang w:val="de-DE"/>
        </w:rPr>
        <w:t>% so với tháng trước và</w:t>
      </w:r>
      <w:r w:rsidR="006D076B" w:rsidRPr="00913143">
        <w:rPr>
          <w:rFonts w:ascii="Times New Roman" w:hAnsi="Times New Roman" w:cs="Times New Roman"/>
          <w:b/>
          <w:i/>
          <w:sz w:val="28"/>
          <w:szCs w:val="28"/>
          <w:lang w:val="es-NI"/>
        </w:rPr>
        <w:t xml:space="preserve"> tăng 18,</w:t>
      </w:r>
      <w:r w:rsidR="00D1695C">
        <w:rPr>
          <w:rFonts w:ascii="Times New Roman" w:hAnsi="Times New Roman" w:cs="Times New Roman"/>
          <w:b/>
          <w:i/>
          <w:sz w:val="28"/>
          <w:szCs w:val="28"/>
          <w:lang w:val="es-NI"/>
        </w:rPr>
        <w:t>1</w:t>
      </w:r>
      <w:r w:rsidR="006D076B" w:rsidRPr="00913143">
        <w:rPr>
          <w:rFonts w:ascii="Times New Roman" w:hAnsi="Times New Roman" w:cs="Times New Roman"/>
          <w:b/>
          <w:i/>
          <w:sz w:val="28"/>
          <w:szCs w:val="28"/>
          <w:lang w:val="es-NI"/>
        </w:rPr>
        <w:t>% so với cùng kỳ năm trước. Tính chung 6 tháng đầu năm 2022, tổng kim ngạch xuất, nhập khẩu hàng hóa đạt 371,</w:t>
      </w:r>
      <w:r w:rsidR="00D1695C">
        <w:rPr>
          <w:rFonts w:ascii="Times New Roman" w:hAnsi="Times New Roman" w:cs="Times New Roman"/>
          <w:b/>
          <w:i/>
          <w:sz w:val="28"/>
          <w:szCs w:val="28"/>
          <w:lang w:val="es-NI"/>
        </w:rPr>
        <w:t>1</w:t>
      </w:r>
      <w:r w:rsidR="00E40F6C">
        <w:rPr>
          <w:rFonts w:ascii="Times New Roman" w:hAnsi="Times New Roman" w:cs="Times New Roman"/>
          <w:b/>
          <w:i/>
          <w:sz w:val="28"/>
          <w:szCs w:val="28"/>
          <w:lang w:val="es-NI"/>
        </w:rPr>
        <w:t>7</w:t>
      </w:r>
      <w:r w:rsidR="006D076B" w:rsidRPr="00913143">
        <w:rPr>
          <w:rFonts w:ascii="Times New Roman" w:hAnsi="Times New Roman" w:cs="Times New Roman"/>
          <w:b/>
          <w:i/>
          <w:sz w:val="28"/>
          <w:szCs w:val="28"/>
          <w:lang w:val="es-NI"/>
        </w:rPr>
        <w:t xml:space="preserve"> tỷ USD, tăng 16,</w:t>
      </w:r>
      <w:r w:rsidR="00D1695C">
        <w:rPr>
          <w:rFonts w:ascii="Times New Roman" w:hAnsi="Times New Roman" w:cs="Times New Roman"/>
          <w:b/>
          <w:i/>
          <w:sz w:val="28"/>
          <w:szCs w:val="28"/>
          <w:lang w:val="es-NI"/>
        </w:rPr>
        <w:t>4</w:t>
      </w:r>
      <w:r w:rsidR="006D076B" w:rsidRPr="00913143">
        <w:rPr>
          <w:rFonts w:ascii="Times New Roman" w:hAnsi="Times New Roman" w:cs="Times New Roman"/>
          <w:b/>
          <w:i/>
          <w:sz w:val="28"/>
          <w:szCs w:val="28"/>
          <w:lang w:val="es-NI"/>
        </w:rPr>
        <w:t>% so với cùng kỳ năm trước, trong đó xuất khẩu tăng 17</w:t>
      </w:r>
      <w:r w:rsidR="00D1695C">
        <w:rPr>
          <w:rFonts w:ascii="Times New Roman" w:hAnsi="Times New Roman" w:cs="Times New Roman"/>
          <w:b/>
          <w:i/>
          <w:sz w:val="28"/>
          <w:szCs w:val="28"/>
          <w:lang w:val="es-NI"/>
        </w:rPr>
        <w:t>,3</w:t>
      </w:r>
      <w:r w:rsidR="006D076B" w:rsidRPr="00913143">
        <w:rPr>
          <w:rFonts w:ascii="Times New Roman" w:hAnsi="Times New Roman" w:cs="Times New Roman"/>
          <w:b/>
          <w:i/>
          <w:sz w:val="28"/>
          <w:szCs w:val="28"/>
          <w:lang w:val="es-NI"/>
        </w:rPr>
        <w:t>%; nhập khẩu tăng 1</w:t>
      </w:r>
      <w:r w:rsidR="00D1695C">
        <w:rPr>
          <w:rFonts w:ascii="Times New Roman" w:hAnsi="Times New Roman" w:cs="Times New Roman"/>
          <w:b/>
          <w:i/>
          <w:sz w:val="28"/>
          <w:szCs w:val="28"/>
          <w:lang w:val="es-NI"/>
        </w:rPr>
        <w:t>5,5</w:t>
      </w:r>
      <w:r w:rsidR="006D076B" w:rsidRPr="00913143">
        <w:rPr>
          <w:rFonts w:ascii="Times New Roman" w:hAnsi="Times New Roman" w:cs="Times New Roman"/>
          <w:b/>
          <w:i/>
          <w:sz w:val="28"/>
          <w:szCs w:val="28"/>
          <w:lang w:val="es-NI"/>
        </w:rPr>
        <w:t>%</w:t>
      </w:r>
      <w:r w:rsidR="006D076B" w:rsidRPr="00913143">
        <w:rPr>
          <w:rFonts w:ascii="Times New Roman" w:hAnsi="Times New Roman" w:cs="Times New Roman"/>
          <w:b/>
          <w:i/>
          <w:sz w:val="28"/>
          <w:szCs w:val="28"/>
          <w:vertAlign w:val="superscript"/>
          <w:lang w:val="es-NI"/>
        </w:rPr>
        <w:footnoteReference w:id="11"/>
      </w:r>
      <w:r w:rsidR="006D076B" w:rsidRPr="00913143">
        <w:rPr>
          <w:rFonts w:ascii="Times New Roman" w:hAnsi="Times New Roman" w:cs="Times New Roman"/>
          <w:b/>
          <w:i/>
          <w:sz w:val="28"/>
          <w:szCs w:val="28"/>
          <w:lang w:val="es-NI"/>
        </w:rPr>
        <w:t xml:space="preserve">. </w:t>
      </w:r>
      <w:r w:rsidR="006D076B" w:rsidRPr="00913143">
        <w:rPr>
          <w:rFonts w:ascii="Times New Roman" w:hAnsi="Times New Roman" w:cs="Times New Roman"/>
          <w:b/>
          <w:i/>
          <w:iCs/>
          <w:sz w:val="28"/>
          <w:szCs w:val="28"/>
        </w:rPr>
        <w:t xml:space="preserve">Cán cân thương mại hàng hóa 6 tháng đầu năm </w:t>
      </w:r>
      <w:r w:rsidR="006D076B" w:rsidRPr="00913143">
        <w:rPr>
          <w:rFonts w:ascii="Times New Roman" w:hAnsi="Times New Roman" w:cs="Times New Roman"/>
          <w:b/>
          <w:i/>
          <w:iCs/>
          <w:sz w:val="28"/>
          <w:szCs w:val="28"/>
          <w:lang w:val="en-US"/>
        </w:rPr>
        <w:t xml:space="preserve">ước tính </w:t>
      </w:r>
      <w:r w:rsidR="00D1695C">
        <w:rPr>
          <w:rFonts w:ascii="Times New Roman" w:hAnsi="Times New Roman" w:cs="Times New Roman"/>
          <w:b/>
          <w:i/>
          <w:iCs/>
          <w:sz w:val="28"/>
          <w:szCs w:val="28"/>
          <w:lang w:val="en-US"/>
        </w:rPr>
        <w:t>xuất</w:t>
      </w:r>
      <w:r w:rsidR="006D076B" w:rsidRPr="00913143">
        <w:rPr>
          <w:rFonts w:ascii="Times New Roman" w:hAnsi="Times New Roman" w:cs="Times New Roman"/>
          <w:b/>
          <w:i/>
          <w:iCs/>
          <w:sz w:val="28"/>
          <w:szCs w:val="28"/>
        </w:rPr>
        <w:t xml:space="preserve"> siêu </w:t>
      </w:r>
      <w:r w:rsidR="00D1695C">
        <w:rPr>
          <w:rFonts w:ascii="Times New Roman" w:hAnsi="Times New Roman" w:cs="Times New Roman"/>
          <w:b/>
          <w:i/>
          <w:iCs/>
          <w:sz w:val="28"/>
          <w:szCs w:val="28"/>
        </w:rPr>
        <w:t>710</w:t>
      </w:r>
      <w:r w:rsidR="006D076B" w:rsidRPr="00913143">
        <w:rPr>
          <w:rFonts w:ascii="Times New Roman" w:hAnsi="Times New Roman" w:cs="Times New Roman"/>
          <w:b/>
          <w:i/>
          <w:iCs/>
          <w:sz w:val="28"/>
          <w:szCs w:val="28"/>
        </w:rPr>
        <w:t xml:space="preserve"> triệu USD.</w:t>
      </w:r>
    </w:p>
    <w:p w:rsidR="006D076B" w:rsidRPr="00913143" w:rsidRDefault="00E76739" w:rsidP="001644E8">
      <w:pPr>
        <w:tabs>
          <w:tab w:val="left" w:pos="900"/>
          <w:tab w:val="left" w:pos="9475"/>
        </w:tabs>
        <w:spacing w:before="40" w:after="40" w:line="259" w:lineRule="auto"/>
        <w:ind w:firstLine="567"/>
        <w:jc w:val="both"/>
        <w:rPr>
          <w:rStyle w:val="Strong"/>
          <w:rFonts w:ascii="Times New Roman" w:hAnsi="Times New Roman"/>
          <w:i/>
          <w:iCs/>
          <w:sz w:val="28"/>
          <w:szCs w:val="28"/>
          <w:lang w:val="de-DE"/>
        </w:rPr>
      </w:pPr>
      <w:r w:rsidRPr="00913143">
        <w:rPr>
          <w:rStyle w:val="Strong"/>
          <w:rFonts w:ascii="Times New Roman" w:hAnsi="Times New Roman"/>
          <w:i/>
          <w:iCs/>
          <w:sz w:val="28"/>
          <w:szCs w:val="28"/>
          <w:lang w:val="de-DE"/>
        </w:rPr>
        <w:t>a)</w:t>
      </w:r>
      <w:r w:rsidR="006D076B" w:rsidRPr="00913143">
        <w:rPr>
          <w:rStyle w:val="Strong"/>
          <w:rFonts w:ascii="Times New Roman" w:hAnsi="Times New Roman"/>
          <w:i/>
          <w:iCs/>
          <w:sz w:val="28"/>
          <w:szCs w:val="28"/>
          <w:lang w:val="de-DE"/>
        </w:rPr>
        <w:t xml:space="preserve"> Xuất, nhập khẩu hàng hóa</w:t>
      </w:r>
      <w:r w:rsidR="006D076B" w:rsidRPr="00913143">
        <w:rPr>
          <w:rStyle w:val="FootnoteReference"/>
          <w:rFonts w:ascii="Times New Roman" w:hAnsi="Times New Roman"/>
          <w:i/>
          <w:iCs/>
          <w:sz w:val="28"/>
          <w:szCs w:val="28"/>
          <w:lang w:val="de-DE"/>
        </w:rPr>
        <w:footnoteReference w:id="12"/>
      </w:r>
    </w:p>
    <w:p w:rsidR="006D076B" w:rsidRPr="00913143" w:rsidRDefault="006D076B" w:rsidP="001644E8">
      <w:pPr>
        <w:spacing w:before="40" w:after="40" w:line="259" w:lineRule="auto"/>
        <w:ind w:firstLine="567"/>
        <w:jc w:val="both"/>
        <w:rPr>
          <w:rFonts w:ascii="Times New Roman" w:hAnsi="Times New Roman" w:cs="Times New Roman"/>
          <w:bCs/>
          <w:spacing w:val="-4"/>
          <w:sz w:val="28"/>
          <w:szCs w:val="28"/>
        </w:rPr>
      </w:pPr>
      <w:r w:rsidRPr="00913143">
        <w:rPr>
          <w:rFonts w:ascii="Times New Roman" w:hAnsi="Times New Roman" w:cs="Times New Roman"/>
          <w:bCs/>
          <w:spacing w:val="-4"/>
          <w:sz w:val="28"/>
          <w:szCs w:val="28"/>
          <w:lang w:val="de-DE"/>
        </w:rPr>
        <w:t>Kim ngạch xuất khẩu hàng hóa tháng 6/2022 ước đạt 32,</w:t>
      </w:r>
      <w:r w:rsidR="00D1695C">
        <w:rPr>
          <w:rFonts w:ascii="Times New Roman" w:hAnsi="Times New Roman" w:cs="Times New Roman"/>
          <w:bCs/>
          <w:spacing w:val="-4"/>
          <w:sz w:val="28"/>
          <w:szCs w:val="28"/>
          <w:lang w:val="de-DE"/>
        </w:rPr>
        <w:t>65</w:t>
      </w:r>
      <w:r w:rsidRPr="00913143">
        <w:rPr>
          <w:rFonts w:ascii="Times New Roman" w:hAnsi="Times New Roman" w:cs="Times New Roman"/>
          <w:bCs/>
          <w:spacing w:val="-4"/>
          <w:sz w:val="28"/>
          <w:szCs w:val="28"/>
          <w:lang w:val="de-DE"/>
        </w:rPr>
        <w:t xml:space="preserve"> tỷ USD, tăng </w:t>
      </w:r>
      <w:r w:rsidR="00D1695C">
        <w:rPr>
          <w:rFonts w:ascii="Times New Roman" w:hAnsi="Times New Roman" w:cs="Times New Roman"/>
          <w:bCs/>
          <w:spacing w:val="-4"/>
          <w:sz w:val="28"/>
          <w:szCs w:val="28"/>
          <w:lang w:val="de-DE"/>
        </w:rPr>
        <w:t>5,6</w:t>
      </w:r>
      <w:r w:rsidRPr="00913143">
        <w:rPr>
          <w:rFonts w:ascii="Times New Roman" w:hAnsi="Times New Roman" w:cs="Times New Roman"/>
          <w:bCs/>
          <w:spacing w:val="-4"/>
          <w:sz w:val="28"/>
          <w:szCs w:val="28"/>
          <w:lang w:val="de-DE"/>
        </w:rPr>
        <w:t>% so với tháng trước. Q</w:t>
      </w:r>
      <w:r w:rsidRPr="00913143">
        <w:rPr>
          <w:rFonts w:ascii="Times New Roman" w:hAnsi="Times New Roman" w:cs="Times New Roman"/>
          <w:spacing w:val="-4"/>
          <w:sz w:val="28"/>
          <w:szCs w:val="28"/>
          <w:lang w:val="de-DE"/>
        </w:rPr>
        <w:t>uý II/2022, kim ngạch xuất khẩu ước đạt 96,</w:t>
      </w:r>
      <w:r w:rsidR="00D1695C">
        <w:rPr>
          <w:rFonts w:ascii="Times New Roman" w:hAnsi="Times New Roman" w:cs="Times New Roman"/>
          <w:spacing w:val="-4"/>
          <w:sz w:val="28"/>
          <w:szCs w:val="28"/>
          <w:lang w:val="de-DE"/>
        </w:rPr>
        <w:t>8</w:t>
      </w:r>
      <w:r w:rsidRPr="00913143">
        <w:rPr>
          <w:rFonts w:ascii="Times New Roman" w:hAnsi="Times New Roman" w:cs="Times New Roman"/>
          <w:spacing w:val="-4"/>
          <w:sz w:val="28"/>
          <w:szCs w:val="28"/>
          <w:lang w:val="de-DE"/>
        </w:rPr>
        <w:t xml:space="preserve"> tỷ USD, tăng 2</w:t>
      </w:r>
      <w:r w:rsidR="00D1695C">
        <w:rPr>
          <w:rFonts w:ascii="Times New Roman" w:hAnsi="Times New Roman" w:cs="Times New Roman"/>
          <w:spacing w:val="-4"/>
          <w:sz w:val="28"/>
          <w:szCs w:val="28"/>
          <w:lang w:val="de-DE"/>
        </w:rPr>
        <w:t>1</w:t>
      </w:r>
      <w:r w:rsidRPr="00913143">
        <w:rPr>
          <w:rFonts w:ascii="Times New Roman" w:hAnsi="Times New Roman" w:cs="Times New Roman"/>
          <w:spacing w:val="-4"/>
          <w:sz w:val="28"/>
          <w:szCs w:val="28"/>
          <w:lang w:val="de-DE"/>
        </w:rPr>
        <w:t>% so với cùng kỳ năm trước và tăng 8,</w:t>
      </w:r>
      <w:r w:rsidR="00D1695C">
        <w:rPr>
          <w:rFonts w:ascii="Times New Roman" w:hAnsi="Times New Roman" w:cs="Times New Roman"/>
          <w:spacing w:val="-4"/>
          <w:sz w:val="28"/>
          <w:szCs w:val="28"/>
          <w:lang w:val="de-DE"/>
        </w:rPr>
        <w:t>7</w:t>
      </w:r>
      <w:r w:rsidRPr="00913143">
        <w:rPr>
          <w:rFonts w:ascii="Times New Roman" w:hAnsi="Times New Roman" w:cs="Times New Roman"/>
          <w:spacing w:val="-4"/>
          <w:sz w:val="28"/>
          <w:szCs w:val="28"/>
          <w:lang w:val="de-DE"/>
        </w:rPr>
        <w:t xml:space="preserve">% so với quý I/2022. </w:t>
      </w:r>
      <w:r w:rsidRPr="00913143">
        <w:rPr>
          <w:rFonts w:ascii="Times New Roman" w:hAnsi="Times New Roman" w:cs="Times New Roman"/>
          <w:iCs/>
          <w:spacing w:val="-4"/>
          <w:sz w:val="28"/>
          <w:szCs w:val="28"/>
          <w:lang w:val="de-DE"/>
        </w:rPr>
        <w:t>Tính chung 6 tháng đầu năm 2022, kim ngạch xuất khẩu hàng hóa ước đạt 185,</w:t>
      </w:r>
      <w:r w:rsidR="00D1695C">
        <w:rPr>
          <w:rFonts w:ascii="Times New Roman" w:hAnsi="Times New Roman" w:cs="Times New Roman"/>
          <w:iCs/>
          <w:spacing w:val="-4"/>
          <w:sz w:val="28"/>
          <w:szCs w:val="28"/>
          <w:lang w:val="de-DE"/>
        </w:rPr>
        <w:t>94</w:t>
      </w:r>
      <w:r w:rsidRPr="00913143">
        <w:rPr>
          <w:rFonts w:ascii="Times New Roman" w:hAnsi="Times New Roman" w:cs="Times New Roman"/>
          <w:iCs/>
          <w:spacing w:val="-4"/>
          <w:sz w:val="28"/>
          <w:szCs w:val="28"/>
          <w:lang w:val="de-DE"/>
        </w:rPr>
        <w:t xml:space="preserve"> tỷ USD, tăng 17</w:t>
      </w:r>
      <w:r w:rsidR="00D1695C">
        <w:rPr>
          <w:rFonts w:ascii="Times New Roman" w:hAnsi="Times New Roman" w:cs="Times New Roman"/>
          <w:iCs/>
          <w:spacing w:val="-4"/>
          <w:sz w:val="28"/>
          <w:szCs w:val="28"/>
          <w:lang w:val="de-DE"/>
        </w:rPr>
        <w:t>,3</w:t>
      </w:r>
      <w:r w:rsidRPr="00913143">
        <w:rPr>
          <w:rFonts w:ascii="Times New Roman" w:hAnsi="Times New Roman" w:cs="Times New Roman"/>
          <w:iCs/>
          <w:spacing w:val="-4"/>
          <w:sz w:val="28"/>
          <w:szCs w:val="28"/>
          <w:lang w:val="de-DE"/>
        </w:rPr>
        <w:t>% so với cùng kỳ năm trước. Trong đó, khu vực kinh tế trong nước đạt 49,</w:t>
      </w:r>
      <w:r w:rsidR="00D1695C">
        <w:rPr>
          <w:rFonts w:ascii="Times New Roman" w:hAnsi="Times New Roman" w:cs="Times New Roman"/>
          <w:iCs/>
          <w:spacing w:val="-4"/>
          <w:sz w:val="28"/>
          <w:szCs w:val="28"/>
          <w:lang w:val="de-DE"/>
        </w:rPr>
        <w:t>26</w:t>
      </w:r>
      <w:r w:rsidRPr="00913143">
        <w:rPr>
          <w:rFonts w:ascii="Times New Roman" w:hAnsi="Times New Roman" w:cs="Times New Roman"/>
          <w:iCs/>
          <w:spacing w:val="-4"/>
          <w:sz w:val="28"/>
          <w:szCs w:val="28"/>
          <w:lang w:val="de-DE"/>
        </w:rPr>
        <w:t xml:space="preserve"> tỷ USD, tăng </w:t>
      </w:r>
      <w:r w:rsidR="00D1695C">
        <w:rPr>
          <w:rFonts w:ascii="Times New Roman" w:hAnsi="Times New Roman" w:cs="Times New Roman"/>
          <w:iCs/>
          <w:spacing w:val="-4"/>
          <w:sz w:val="28"/>
          <w:szCs w:val="28"/>
          <w:lang w:val="de-DE"/>
        </w:rPr>
        <w:t>20</w:t>
      </w:r>
      <w:r w:rsidRPr="00913143">
        <w:rPr>
          <w:rFonts w:ascii="Times New Roman" w:hAnsi="Times New Roman" w:cs="Times New Roman"/>
          <w:iCs/>
          <w:spacing w:val="-4"/>
          <w:sz w:val="28"/>
          <w:szCs w:val="28"/>
          <w:lang w:val="de-DE"/>
        </w:rPr>
        <w:t>%, chiếm 26,5% tổng kim ngạch xuất khẩu; khu vực có vốn đầu tư nước ngoài (kể cả dầu thô) đạt 136,</w:t>
      </w:r>
      <w:r w:rsidR="00D1695C">
        <w:rPr>
          <w:rFonts w:ascii="Times New Roman" w:hAnsi="Times New Roman" w:cs="Times New Roman"/>
          <w:iCs/>
          <w:spacing w:val="-4"/>
          <w:sz w:val="28"/>
          <w:szCs w:val="28"/>
          <w:lang w:val="de-DE"/>
        </w:rPr>
        <w:t>68</w:t>
      </w:r>
      <w:r w:rsidRPr="00913143">
        <w:rPr>
          <w:rFonts w:ascii="Times New Roman" w:hAnsi="Times New Roman" w:cs="Times New Roman"/>
          <w:iCs/>
          <w:spacing w:val="-4"/>
          <w:sz w:val="28"/>
          <w:szCs w:val="28"/>
          <w:lang w:val="de-DE"/>
        </w:rPr>
        <w:t xml:space="preserve"> tỷ USD, tăng 16</w:t>
      </w:r>
      <w:r w:rsidR="00D1695C">
        <w:rPr>
          <w:rFonts w:ascii="Times New Roman" w:hAnsi="Times New Roman" w:cs="Times New Roman"/>
          <w:iCs/>
          <w:spacing w:val="-4"/>
          <w:sz w:val="28"/>
          <w:szCs w:val="28"/>
          <w:lang w:val="de-DE"/>
        </w:rPr>
        <w:t>,3</w:t>
      </w:r>
      <w:r w:rsidRPr="00913143">
        <w:rPr>
          <w:rFonts w:ascii="Times New Roman" w:hAnsi="Times New Roman" w:cs="Times New Roman"/>
          <w:iCs/>
          <w:spacing w:val="-4"/>
          <w:sz w:val="28"/>
          <w:szCs w:val="28"/>
          <w:lang w:val="de-DE"/>
        </w:rPr>
        <w:t xml:space="preserve">%, chiếm 73,5%. </w:t>
      </w:r>
      <w:r w:rsidRPr="00913143">
        <w:rPr>
          <w:rFonts w:ascii="Times New Roman" w:hAnsi="Times New Roman" w:cs="Times New Roman"/>
          <w:spacing w:val="-4"/>
          <w:sz w:val="28"/>
          <w:szCs w:val="28"/>
          <w:lang w:val="de-DE"/>
        </w:rPr>
        <w:t xml:space="preserve">Trong 6 tháng đầu năm có 28 mặt hàng đạt kim ngạch xuất khẩu trên 1 tỷ USD, chiếm 90,6% tổng kim ngạch xuất khẩu (có 5 mặt hàng xuất khẩu trên 10 tỷ USD, chiếm 57,8%). </w:t>
      </w:r>
    </w:p>
    <w:p w:rsidR="006D076B" w:rsidRPr="00913143" w:rsidRDefault="006D076B" w:rsidP="001644E8">
      <w:pPr>
        <w:tabs>
          <w:tab w:val="num" w:pos="0"/>
          <w:tab w:val="left" w:pos="9475"/>
        </w:tabs>
        <w:spacing w:before="40" w:after="40" w:line="259" w:lineRule="auto"/>
        <w:ind w:firstLine="567"/>
        <w:jc w:val="both"/>
        <w:rPr>
          <w:rFonts w:ascii="Times New Roman" w:hAnsi="Times New Roman" w:cs="Times New Roman"/>
          <w:b/>
          <w:sz w:val="28"/>
          <w:szCs w:val="28"/>
          <w:lang w:val="pl-PL"/>
        </w:rPr>
      </w:pPr>
      <w:r w:rsidRPr="00913143">
        <w:rPr>
          <w:rFonts w:ascii="Times New Roman" w:hAnsi="Times New Roman" w:cs="Times New Roman"/>
          <w:bCs/>
          <w:sz w:val="28"/>
          <w:szCs w:val="28"/>
          <w:lang w:val="de-DE"/>
        </w:rPr>
        <w:t>Kim ngạch nhập khẩu hàng hóa tháng 6/2022 ước đạt 3</w:t>
      </w:r>
      <w:r w:rsidR="00D1695C">
        <w:rPr>
          <w:rFonts w:ascii="Times New Roman" w:hAnsi="Times New Roman" w:cs="Times New Roman"/>
          <w:bCs/>
          <w:sz w:val="28"/>
          <w:szCs w:val="28"/>
          <w:lang w:val="de-DE"/>
        </w:rPr>
        <w:t>2</w:t>
      </w:r>
      <w:r w:rsidRPr="00913143">
        <w:rPr>
          <w:rFonts w:ascii="Times New Roman" w:hAnsi="Times New Roman" w:cs="Times New Roman"/>
          <w:bCs/>
          <w:sz w:val="28"/>
          <w:szCs w:val="28"/>
          <w:lang w:val="de-DE"/>
        </w:rPr>
        <w:t>,</w:t>
      </w:r>
      <w:r w:rsidR="00D1695C">
        <w:rPr>
          <w:rFonts w:ascii="Times New Roman" w:hAnsi="Times New Roman" w:cs="Times New Roman"/>
          <w:bCs/>
          <w:sz w:val="28"/>
          <w:szCs w:val="28"/>
          <w:lang w:val="de-DE"/>
        </w:rPr>
        <w:t>37</w:t>
      </w:r>
      <w:r w:rsidRPr="00913143">
        <w:rPr>
          <w:rFonts w:ascii="Times New Roman" w:hAnsi="Times New Roman" w:cs="Times New Roman"/>
          <w:bCs/>
          <w:sz w:val="28"/>
          <w:szCs w:val="28"/>
          <w:lang w:val="de-DE"/>
        </w:rPr>
        <w:t xml:space="preserve"> tỷ USD, </w:t>
      </w:r>
      <w:r w:rsidR="00D1695C">
        <w:rPr>
          <w:rFonts w:ascii="Times New Roman" w:hAnsi="Times New Roman" w:cs="Times New Roman"/>
          <w:bCs/>
          <w:sz w:val="28"/>
          <w:szCs w:val="28"/>
          <w:lang w:val="de-DE"/>
        </w:rPr>
        <w:t>giảm 0,</w:t>
      </w:r>
      <w:r w:rsidRPr="00913143">
        <w:rPr>
          <w:rFonts w:ascii="Times New Roman" w:hAnsi="Times New Roman" w:cs="Times New Roman"/>
          <w:bCs/>
          <w:sz w:val="28"/>
          <w:szCs w:val="28"/>
          <w:lang w:val="de-DE"/>
        </w:rPr>
        <w:t>8% so với tháng trước. Q</w:t>
      </w:r>
      <w:r w:rsidRPr="00913143">
        <w:rPr>
          <w:rFonts w:ascii="Times New Roman" w:hAnsi="Times New Roman" w:cs="Times New Roman"/>
          <w:sz w:val="28"/>
          <w:szCs w:val="28"/>
          <w:lang w:val="de-DE"/>
        </w:rPr>
        <w:t>uý II/2022, kim ngạch nhập khẩu ước đạt 9</w:t>
      </w:r>
      <w:r w:rsidR="00D1695C">
        <w:rPr>
          <w:rFonts w:ascii="Times New Roman" w:hAnsi="Times New Roman" w:cs="Times New Roman"/>
          <w:sz w:val="28"/>
          <w:szCs w:val="28"/>
          <w:lang w:val="de-DE"/>
        </w:rPr>
        <w:t>7,6</w:t>
      </w:r>
      <w:r w:rsidRPr="00913143">
        <w:rPr>
          <w:rFonts w:ascii="Times New Roman" w:hAnsi="Times New Roman" w:cs="Times New Roman"/>
          <w:sz w:val="28"/>
          <w:szCs w:val="28"/>
          <w:lang w:val="de-DE"/>
        </w:rPr>
        <w:t xml:space="preserve"> tỷ USD, tăng 1</w:t>
      </w:r>
      <w:r w:rsidR="00D1695C">
        <w:rPr>
          <w:rFonts w:ascii="Times New Roman" w:hAnsi="Times New Roman" w:cs="Times New Roman"/>
          <w:sz w:val="28"/>
          <w:szCs w:val="28"/>
          <w:lang w:val="de-DE"/>
        </w:rPr>
        <w:t>5</w:t>
      </w:r>
      <w:r w:rsidRPr="00913143">
        <w:rPr>
          <w:rFonts w:ascii="Times New Roman" w:hAnsi="Times New Roman" w:cs="Times New Roman"/>
          <w:sz w:val="28"/>
          <w:szCs w:val="28"/>
          <w:lang w:val="de-DE"/>
        </w:rPr>
        <w:t>,7% so với cùng kỳ năm trước và tăng 1</w:t>
      </w:r>
      <w:r w:rsidR="00D1695C">
        <w:rPr>
          <w:rFonts w:ascii="Times New Roman" w:hAnsi="Times New Roman" w:cs="Times New Roman"/>
          <w:sz w:val="28"/>
          <w:szCs w:val="28"/>
          <w:lang w:val="de-DE"/>
        </w:rPr>
        <w:t>1</w:t>
      </w:r>
      <w:r w:rsidRPr="00913143">
        <w:rPr>
          <w:rFonts w:ascii="Times New Roman" w:hAnsi="Times New Roman" w:cs="Times New Roman"/>
          <w:sz w:val="28"/>
          <w:szCs w:val="28"/>
          <w:lang w:val="de-DE"/>
        </w:rPr>
        <w:t>,3% so với quý I/2022. Tính chung 6 tháng đầu năm 2022, kim ngạch nhập khẩu hàng hóa ước đạt 18</w:t>
      </w:r>
      <w:r w:rsidR="00D1695C">
        <w:rPr>
          <w:rFonts w:ascii="Times New Roman" w:hAnsi="Times New Roman" w:cs="Times New Roman"/>
          <w:sz w:val="28"/>
          <w:szCs w:val="28"/>
          <w:lang w:val="de-DE"/>
        </w:rPr>
        <w:t>5,2</w:t>
      </w:r>
      <w:r w:rsidR="003978A3">
        <w:rPr>
          <w:rFonts w:ascii="Times New Roman" w:hAnsi="Times New Roman" w:cs="Times New Roman"/>
          <w:sz w:val="28"/>
          <w:szCs w:val="28"/>
          <w:lang w:val="de-DE"/>
        </w:rPr>
        <w:t>3</w:t>
      </w:r>
      <w:r w:rsidRPr="00913143">
        <w:rPr>
          <w:rFonts w:ascii="Times New Roman" w:hAnsi="Times New Roman" w:cs="Times New Roman"/>
          <w:sz w:val="28"/>
          <w:szCs w:val="28"/>
          <w:lang w:val="de-DE"/>
        </w:rPr>
        <w:t xml:space="preserve"> tỷ USD, tăng </w:t>
      </w:r>
      <w:r w:rsidRPr="00D1695C">
        <w:rPr>
          <w:rFonts w:ascii="Times New Roman" w:hAnsi="Times New Roman" w:cs="Times New Roman"/>
          <w:sz w:val="28"/>
          <w:szCs w:val="28"/>
          <w:lang w:val="de-DE"/>
        </w:rPr>
        <w:t>1</w:t>
      </w:r>
      <w:r w:rsidR="00D1695C" w:rsidRPr="00D1695C">
        <w:rPr>
          <w:rFonts w:ascii="Times New Roman" w:hAnsi="Times New Roman" w:cs="Times New Roman"/>
          <w:sz w:val="28"/>
          <w:szCs w:val="28"/>
          <w:lang w:val="de-DE"/>
        </w:rPr>
        <w:t>5,5</w:t>
      </w:r>
      <w:r w:rsidRPr="00D1695C">
        <w:rPr>
          <w:rFonts w:ascii="Times New Roman" w:hAnsi="Times New Roman" w:cs="Times New Roman"/>
          <w:sz w:val="28"/>
          <w:szCs w:val="28"/>
          <w:lang w:val="de-DE"/>
        </w:rPr>
        <w:t>% so với cùng kỳ năm trước</w:t>
      </w:r>
      <w:r w:rsidRPr="00D1695C">
        <w:rPr>
          <w:rFonts w:ascii="Times New Roman" w:hAnsi="Times New Roman" w:cs="Times New Roman"/>
          <w:bCs/>
          <w:sz w:val="28"/>
          <w:szCs w:val="28"/>
          <w:lang w:val="de-DE"/>
        </w:rPr>
        <w:t>, trong đó khu vực kinh tế trong nước đạt 65,</w:t>
      </w:r>
      <w:r w:rsidR="00D1695C" w:rsidRPr="00D1695C">
        <w:rPr>
          <w:rFonts w:ascii="Times New Roman" w:hAnsi="Times New Roman" w:cs="Times New Roman"/>
          <w:bCs/>
          <w:sz w:val="28"/>
          <w:szCs w:val="28"/>
          <w:lang w:val="de-DE"/>
        </w:rPr>
        <w:t>2</w:t>
      </w:r>
      <w:r w:rsidRPr="00D1695C">
        <w:rPr>
          <w:rFonts w:ascii="Times New Roman" w:hAnsi="Times New Roman" w:cs="Times New Roman"/>
          <w:bCs/>
          <w:sz w:val="28"/>
          <w:szCs w:val="28"/>
          <w:lang w:val="de-DE"/>
        </w:rPr>
        <w:t>3 tỷ USD, tăng 15,</w:t>
      </w:r>
      <w:r w:rsidR="00D1695C" w:rsidRPr="00D1695C">
        <w:rPr>
          <w:rFonts w:ascii="Times New Roman" w:hAnsi="Times New Roman" w:cs="Times New Roman"/>
          <w:bCs/>
          <w:sz w:val="28"/>
          <w:szCs w:val="28"/>
          <w:lang w:val="de-DE"/>
        </w:rPr>
        <w:t>2</w:t>
      </w:r>
      <w:r w:rsidRPr="00D1695C">
        <w:rPr>
          <w:rFonts w:ascii="Times New Roman" w:hAnsi="Times New Roman" w:cs="Times New Roman"/>
          <w:bCs/>
          <w:sz w:val="28"/>
          <w:szCs w:val="28"/>
          <w:lang w:val="de-DE"/>
        </w:rPr>
        <w:t>%; khu vực có vốn đầu tư nước ngoài đạt 1</w:t>
      </w:r>
      <w:r w:rsidR="003978A3">
        <w:rPr>
          <w:rFonts w:ascii="Times New Roman" w:hAnsi="Times New Roman" w:cs="Times New Roman"/>
          <w:bCs/>
          <w:sz w:val="28"/>
          <w:szCs w:val="28"/>
          <w:lang w:val="de-DE"/>
        </w:rPr>
        <w:t>20</w:t>
      </w:r>
      <w:r w:rsidRPr="00D1695C">
        <w:rPr>
          <w:rFonts w:ascii="Times New Roman" w:hAnsi="Times New Roman" w:cs="Times New Roman"/>
          <w:bCs/>
          <w:sz w:val="28"/>
          <w:szCs w:val="28"/>
          <w:lang w:val="de-DE"/>
        </w:rPr>
        <w:t xml:space="preserve"> tỷ USD, tăng 1</w:t>
      </w:r>
      <w:r w:rsidR="00D1695C" w:rsidRPr="00D1695C">
        <w:rPr>
          <w:rFonts w:ascii="Times New Roman" w:hAnsi="Times New Roman" w:cs="Times New Roman"/>
          <w:bCs/>
          <w:sz w:val="28"/>
          <w:szCs w:val="28"/>
          <w:lang w:val="de-DE"/>
        </w:rPr>
        <w:t>5,</w:t>
      </w:r>
      <w:r w:rsidRPr="00D1695C">
        <w:rPr>
          <w:rFonts w:ascii="Times New Roman" w:hAnsi="Times New Roman" w:cs="Times New Roman"/>
          <w:bCs/>
          <w:sz w:val="28"/>
          <w:szCs w:val="28"/>
          <w:lang w:val="de-DE"/>
        </w:rPr>
        <w:t xml:space="preserve">6%. </w:t>
      </w:r>
      <w:r w:rsidRPr="00D1695C">
        <w:rPr>
          <w:rFonts w:ascii="Times New Roman" w:hAnsi="Times New Roman" w:cs="Times New Roman"/>
          <w:sz w:val="28"/>
          <w:szCs w:val="28"/>
          <w:lang w:val="de-DE"/>
        </w:rPr>
        <w:t>Trong 6 tháng đầu năm c</w:t>
      </w:r>
      <w:r w:rsidRPr="00D1695C">
        <w:rPr>
          <w:rStyle w:val="Strong"/>
          <w:rFonts w:ascii="Times New Roman" w:hAnsi="Times New Roman"/>
          <w:b w:val="0"/>
          <w:sz w:val="28"/>
          <w:szCs w:val="28"/>
          <w:lang w:val="de-DE"/>
        </w:rPr>
        <w:t>ó 30 mặt hàng nhập khẩu đạt trị giá trên 1 tỷ USD,</w:t>
      </w:r>
      <w:r w:rsidRPr="00913143">
        <w:rPr>
          <w:rStyle w:val="Strong"/>
          <w:rFonts w:ascii="Times New Roman" w:hAnsi="Times New Roman"/>
          <w:b w:val="0"/>
          <w:sz w:val="28"/>
          <w:szCs w:val="28"/>
          <w:lang w:val="de-DE"/>
        </w:rPr>
        <w:t xml:space="preserve"> chiếm tỷ trọng 87% tổng kim ngạch nhập khẩu.</w:t>
      </w:r>
    </w:p>
    <w:p w:rsidR="006D076B" w:rsidRPr="00913143" w:rsidRDefault="006D076B" w:rsidP="001644E8">
      <w:pPr>
        <w:spacing w:before="40" w:after="40" w:line="259" w:lineRule="auto"/>
        <w:ind w:firstLine="567"/>
        <w:jc w:val="both"/>
        <w:rPr>
          <w:rFonts w:ascii="Times New Roman" w:hAnsi="Times New Roman" w:cs="Times New Roman"/>
          <w:iCs/>
          <w:sz w:val="28"/>
          <w:szCs w:val="28"/>
        </w:rPr>
      </w:pPr>
      <w:r w:rsidRPr="00913143">
        <w:rPr>
          <w:rFonts w:ascii="Times New Roman" w:hAnsi="Times New Roman" w:cs="Times New Roman"/>
          <w:iCs/>
          <w:sz w:val="28"/>
          <w:szCs w:val="28"/>
        </w:rPr>
        <w:t>Cán cân thương mại hàng hóa sơ bộ tháng Năm</w:t>
      </w:r>
      <w:r w:rsidRPr="00913143">
        <w:rPr>
          <w:rFonts w:ascii="Times New Roman" w:hAnsi="Times New Roman" w:cs="Times New Roman"/>
          <w:iCs/>
          <w:sz w:val="28"/>
          <w:szCs w:val="28"/>
          <w:lang w:val="en-US"/>
        </w:rPr>
        <w:t xml:space="preserve"> nhập</w:t>
      </w:r>
      <w:r w:rsidRPr="00913143">
        <w:rPr>
          <w:rFonts w:ascii="Times New Roman" w:hAnsi="Times New Roman" w:cs="Times New Roman"/>
          <w:iCs/>
          <w:sz w:val="28"/>
          <w:szCs w:val="28"/>
        </w:rPr>
        <w:t xml:space="preserve"> siêu 1,7 tỷ USD</w:t>
      </w:r>
      <w:r w:rsidRPr="00913143">
        <w:rPr>
          <w:rFonts w:ascii="Times New Roman" w:hAnsi="Times New Roman" w:cs="Times New Roman"/>
          <w:iCs/>
          <w:sz w:val="28"/>
          <w:szCs w:val="28"/>
          <w:vertAlign w:val="superscript"/>
        </w:rPr>
        <w:footnoteReference w:id="13"/>
      </w:r>
      <w:r w:rsidRPr="00913143">
        <w:rPr>
          <w:rFonts w:ascii="Times New Roman" w:hAnsi="Times New Roman" w:cs="Times New Roman"/>
          <w:iCs/>
          <w:sz w:val="28"/>
          <w:szCs w:val="28"/>
        </w:rPr>
        <w:t xml:space="preserve">; 5 tháng đầu năm xuất siêu 434 triệu USD; tháng Sáu ước tính </w:t>
      </w:r>
      <w:r w:rsidR="00D1695C">
        <w:rPr>
          <w:rFonts w:ascii="Times New Roman" w:hAnsi="Times New Roman" w:cs="Times New Roman"/>
          <w:iCs/>
          <w:sz w:val="28"/>
          <w:szCs w:val="28"/>
        </w:rPr>
        <w:t>xuất</w:t>
      </w:r>
      <w:r w:rsidRPr="00913143">
        <w:rPr>
          <w:rFonts w:ascii="Times New Roman" w:hAnsi="Times New Roman" w:cs="Times New Roman"/>
          <w:iCs/>
          <w:sz w:val="28"/>
          <w:szCs w:val="28"/>
        </w:rPr>
        <w:t xml:space="preserve"> siêu </w:t>
      </w:r>
      <w:r w:rsidR="00D1695C">
        <w:rPr>
          <w:rFonts w:ascii="Times New Roman" w:hAnsi="Times New Roman" w:cs="Times New Roman"/>
          <w:iCs/>
          <w:sz w:val="28"/>
          <w:szCs w:val="28"/>
        </w:rPr>
        <w:t>276 triệu</w:t>
      </w:r>
      <w:r w:rsidRPr="00913143">
        <w:rPr>
          <w:rFonts w:ascii="Times New Roman" w:hAnsi="Times New Roman" w:cs="Times New Roman"/>
          <w:iCs/>
          <w:sz w:val="28"/>
          <w:szCs w:val="28"/>
        </w:rPr>
        <w:t xml:space="preserve"> USD. Tính chung 6 tháng đầu năm 2022, cán cân thương mại hàng hóa </w:t>
      </w:r>
      <w:r w:rsidRPr="00913143">
        <w:rPr>
          <w:rFonts w:ascii="Times New Roman" w:hAnsi="Times New Roman" w:cs="Times New Roman"/>
          <w:iCs/>
          <w:sz w:val="28"/>
          <w:szCs w:val="28"/>
          <w:lang w:val="en-US"/>
        </w:rPr>
        <w:t xml:space="preserve">ước tính </w:t>
      </w:r>
      <w:r w:rsidR="00D1695C">
        <w:rPr>
          <w:rFonts w:ascii="Times New Roman" w:hAnsi="Times New Roman" w:cs="Times New Roman"/>
          <w:iCs/>
          <w:sz w:val="28"/>
          <w:szCs w:val="28"/>
          <w:lang w:val="en-US"/>
        </w:rPr>
        <w:t>xuất</w:t>
      </w:r>
      <w:r w:rsidRPr="00913143">
        <w:rPr>
          <w:rFonts w:ascii="Times New Roman" w:hAnsi="Times New Roman" w:cs="Times New Roman"/>
          <w:iCs/>
          <w:sz w:val="28"/>
          <w:szCs w:val="28"/>
        </w:rPr>
        <w:t xml:space="preserve"> siêu </w:t>
      </w:r>
      <w:r w:rsidR="00D1695C">
        <w:rPr>
          <w:rFonts w:ascii="Times New Roman" w:hAnsi="Times New Roman" w:cs="Times New Roman"/>
          <w:iCs/>
          <w:sz w:val="28"/>
          <w:szCs w:val="28"/>
        </w:rPr>
        <w:t>710</w:t>
      </w:r>
      <w:r w:rsidRPr="00913143">
        <w:rPr>
          <w:rFonts w:ascii="Times New Roman" w:hAnsi="Times New Roman" w:cs="Times New Roman"/>
          <w:iCs/>
          <w:sz w:val="28"/>
          <w:szCs w:val="28"/>
        </w:rPr>
        <w:t xml:space="preserve"> triệu USD</w:t>
      </w:r>
      <w:r w:rsidRPr="00913143">
        <w:rPr>
          <w:rFonts w:ascii="Times New Roman" w:hAnsi="Times New Roman" w:cs="Times New Roman"/>
          <w:iCs/>
          <w:sz w:val="28"/>
          <w:szCs w:val="28"/>
          <w:vertAlign w:val="superscript"/>
        </w:rPr>
        <w:footnoteReference w:id="14"/>
      </w:r>
      <w:r w:rsidRPr="00913143">
        <w:rPr>
          <w:rFonts w:ascii="Times New Roman" w:hAnsi="Times New Roman" w:cs="Times New Roman"/>
          <w:iCs/>
          <w:sz w:val="28"/>
          <w:szCs w:val="28"/>
        </w:rPr>
        <w:t xml:space="preserve"> (cùng kỳ năm trước nhập siêu 1</w:t>
      </w:r>
      <w:r w:rsidRPr="00913143">
        <w:rPr>
          <w:rFonts w:ascii="Times New Roman" w:hAnsi="Times New Roman" w:cs="Times New Roman"/>
          <w:iCs/>
          <w:sz w:val="28"/>
          <w:szCs w:val="28"/>
          <w:lang w:val="en-US"/>
        </w:rPr>
        <w:t>,86</w:t>
      </w:r>
      <w:r w:rsidRPr="00913143">
        <w:rPr>
          <w:rFonts w:ascii="Times New Roman" w:hAnsi="Times New Roman" w:cs="Times New Roman"/>
          <w:iCs/>
          <w:sz w:val="28"/>
          <w:szCs w:val="28"/>
        </w:rPr>
        <w:t xml:space="preserve"> tỷ USD). Trong đó, khu vực kinh tế trong nước nhập siêu 1</w:t>
      </w:r>
      <w:r w:rsidR="00D1695C">
        <w:rPr>
          <w:rFonts w:ascii="Times New Roman" w:hAnsi="Times New Roman" w:cs="Times New Roman"/>
          <w:iCs/>
          <w:sz w:val="28"/>
          <w:szCs w:val="28"/>
        </w:rPr>
        <w:t>5,97</w:t>
      </w:r>
      <w:r w:rsidRPr="00913143">
        <w:rPr>
          <w:rFonts w:ascii="Times New Roman" w:hAnsi="Times New Roman" w:cs="Times New Roman"/>
          <w:iCs/>
          <w:sz w:val="28"/>
          <w:szCs w:val="28"/>
        </w:rPr>
        <w:t xml:space="preserve"> tỷ USD; khu vực có vốn đầu tư nước ngoài (kể cả dầu thô) xuất siêu</w:t>
      </w:r>
      <w:r w:rsidRPr="00913143">
        <w:rPr>
          <w:rFonts w:ascii="Times New Roman" w:hAnsi="Times New Roman" w:cs="Times New Roman"/>
          <w:iCs/>
          <w:sz w:val="28"/>
          <w:szCs w:val="28"/>
          <w:lang w:val="en-US"/>
        </w:rPr>
        <w:t xml:space="preserve"> 1</w:t>
      </w:r>
      <w:r w:rsidR="00D1695C">
        <w:rPr>
          <w:rFonts w:ascii="Times New Roman" w:hAnsi="Times New Roman" w:cs="Times New Roman"/>
          <w:iCs/>
          <w:sz w:val="28"/>
          <w:szCs w:val="28"/>
          <w:lang w:val="en-US"/>
        </w:rPr>
        <w:t>6,68</w:t>
      </w:r>
      <w:r w:rsidRPr="00913143">
        <w:rPr>
          <w:rFonts w:ascii="Times New Roman" w:hAnsi="Times New Roman" w:cs="Times New Roman"/>
          <w:iCs/>
          <w:sz w:val="28"/>
          <w:szCs w:val="28"/>
        </w:rPr>
        <w:t xml:space="preserve"> tỷ USD.</w:t>
      </w:r>
    </w:p>
    <w:p w:rsidR="00E76739" w:rsidRPr="00913143" w:rsidRDefault="00E76739" w:rsidP="00913143">
      <w:pPr>
        <w:spacing w:before="40" w:after="40" w:line="264" w:lineRule="auto"/>
        <w:ind w:firstLine="567"/>
        <w:jc w:val="both"/>
        <w:rPr>
          <w:rStyle w:val="Strong"/>
          <w:rFonts w:ascii="Times New Roman" w:hAnsi="Times New Roman"/>
          <w:i/>
          <w:sz w:val="28"/>
          <w:szCs w:val="28"/>
        </w:rPr>
      </w:pPr>
      <w:r w:rsidRPr="00913143">
        <w:rPr>
          <w:rStyle w:val="Strong"/>
          <w:rFonts w:ascii="Times New Roman" w:hAnsi="Times New Roman"/>
          <w:i/>
          <w:sz w:val="28"/>
          <w:szCs w:val="28"/>
        </w:rPr>
        <w:t>b) Xuất, nhập khẩu dịch vụ</w:t>
      </w:r>
    </w:p>
    <w:p w:rsidR="009E7F92" w:rsidRDefault="006D076B" w:rsidP="009E7F92">
      <w:pPr>
        <w:tabs>
          <w:tab w:val="num" w:pos="0"/>
        </w:tabs>
        <w:spacing w:before="40" w:after="40" w:line="269" w:lineRule="auto"/>
        <w:ind w:firstLine="567"/>
        <w:contextualSpacing/>
        <w:jc w:val="both"/>
        <w:rPr>
          <w:rFonts w:ascii="Times New Roman" w:hAnsi="Times New Roman" w:cs="Times New Roman"/>
          <w:sz w:val="28"/>
          <w:szCs w:val="28"/>
          <w:lang w:val="es-NI"/>
        </w:rPr>
      </w:pPr>
      <w:r w:rsidRPr="00913143">
        <w:rPr>
          <w:rFonts w:ascii="Times New Roman" w:hAnsi="Times New Roman" w:cs="Times New Roman"/>
          <w:sz w:val="28"/>
          <w:szCs w:val="28"/>
        </w:rPr>
        <w:t>Trong 6 tháng đầu năm, kim ngạch xuất khẩu dịch vụ ước đạt 4,3 tỷ USD, tăng 81,8%</w:t>
      </w:r>
      <w:r w:rsidR="00010BB1" w:rsidRPr="00913143">
        <w:rPr>
          <w:rFonts w:ascii="Times New Roman" w:hAnsi="Times New Roman" w:cs="Times New Roman"/>
          <w:sz w:val="28"/>
          <w:szCs w:val="28"/>
        </w:rPr>
        <w:t xml:space="preserve"> so với cùng kỳ năm trước (quý II đạt 2,7 tỷ USD, tăng 116,7%), t</w:t>
      </w:r>
      <w:r w:rsidRPr="00913143">
        <w:rPr>
          <w:rFonts w:ascii="Times New Roman" w:hAnsi="Times New Roman" w:cs="Times New Roman"/>
          <w:sz w:val="28"/>
          <w:szCs w:val="28"/>
        </w:rPr>
        <w:t>rong đó</w:t>
      </w:r>
      <w:r w:rsidR="00010BB1" w:rsidRPr="00913143">
        <w:rPr>
          <w:rFonts w:ascii="Times New Roman" w:hAnsi="Times New Roman" w:cs="Times New Roman"/>
          <w:sz w:val="28"/>
          <w:szCs w:val="28"/>
        </w:rPr>
        <w:t>:</w:t>
      </w:r>
      <w:r w:rsidRPr="00913143">
        <w:rPr>
          <w:rFonts w:ascii="Times New Roman" w:hAnsi="Times New Roman" w:cs="Times New Roman"/>
          <w:sz w:val="28"/>
          <w:szCs w:val="28"/>
        </w:rPr>
        <w:t xml:space="preserve"> </w:t>
      </w:r>
      <w:r w:rsidR="00010BB1" w:rsidRPr="00913143">
        <w:rPr>
          <w:rFonts w:ascii="Times New Roman" w:hAnsi="Times New Roman" w:cs="Times New Roman"/>
          <w:sz w:val="28"/>
          <w:szCs w:val="28"/>
        </w:rPr>
        <w:t>D</w:t>
      </w:r>
      <w:r w:rsidRPr="00913143">
        <w:rPr>
          <w:rFonts w:ascii="Times New Roman" w:hAnsi="Times New Roman" w:cs="Times New Roman"/>
          <w:sz w:val="28"/>
          <w:szCs w:val="28"/>
        </w:rPr>
        <w:t>ịch vụ du lịch đạt 651</w:t>
      </w:r>
      <w:r w:rsidRPr="00913143">
        <w:rPr>
          <w:rFonts w:ascii="Times New Roman" w:hAnsi="Times New Roman" w:cs="Times New Roman"/>
          <w:sz w:val="28"/>
          <w:szCs w:val="28"/>
          <w:lang w:val="en-US"/>
        </w:rPr>
        <w:t xml:space="preserve"> triệu</w:t>
      </w:r>
      <w:r w:rsidRPr="00913143">
        <w:rPr>
          <w:rFonts w:ascii="Times New Roman" w:hAnsi="Times New Roman" w:cs="Times New Roman"/>
          <w:sz w:val="28"/>
          <w:szCs w:val="28"/>
        </w:rPr>
        <w:t xml:space="preserve"> USD (chiếm 15</w:t>
      </w:r>
      <w:r w:rsidRPr="00913143">
        <w:rPr>
          <w:rFonts w:ascii="Times New Roman" w:hAnsi="Times New Roman" w:cs="Times New Roman"/>
          <w:sz w:val="28"/>
          <w:szCs w:val="28"/>
          <w:lang w:val="en-US"/>
        </w:rPr>
        <w:t>,1</w:t>
      </w:r>
      <w:r w:rsidRPr="00913143">
        <w:rPr>
          <w:rFonts w:ascii="Times New Roman" w:hAnsi="Times New Roman" w:cs="Times New Roman"/>
          <w:sz w:val="28"/>
          <w:szCs w:val="28"/>
        </w:rPr>
        <w:t xml:space="preserve">% tổng kim ngạch), tăng gấp gần 8 lần so với cùng kỳ năm trước; dịch vụ vận tải đạt 2 tỷ USD (chiếm 46,4%), tăng 154,5%. Kim ngạch nhập khẩu dịch vụ 6 tháng đầu năm ước đạt 12,3 tỷ USD, </w:t>
      </w:r>
      <w:r w:rsidRPr="00913143">
        <w:rPr>
          <w:rFonts w:ascii="Times New Roman" w:hAnsi="Times New Roman" w:cs="Times New Roman"/>
          <w:sz w:val="28"/>
          <w:szCs w:val="28"/>
          <w:lang w:val="en-US"/>
        </w:rPr>
        <w:t>tăng 22,3</w:t>
      </w:r>
      <w:r w:rsidRPr="00913143">
        <w:rPr>
          <w:rFonts w:ascii="Times New Roman" w:hAnsi="Times New Roman" w:cs="Times New Roman"/>
          <w:sz w:val="28"/>
          <w:szCs w:val="28"/>
        </w:rPr>
        <w:t xml:space="preserve">% so với cùng kỳ năm trước (quý II đạt 6,4 tỷ USD, </w:t>
      </w:r>
      <w:r w:rsidRPr="00913143">
        <w:rPr>
          <w:rFonts w:ascii="Times New Roman" w:hAnsi="Times New Roman" w:cs="Times New Roman"/>
          <w:sz w:val="28"/>
          <w:szCs w:val="28"/>
          <w:lang w:val="en-US"/>
        </w:rPr>
        <w:t>tăng 25,6</w:t>
      </w:r>
      <w:r w:rsidRPr="00913143">
        <w:rPr>
          <w:rFonts w:ascii="Times New Roman" w:hAnsi="Times New Roman" w:cs="Times New Roman"/>
          <w:sz w:val="28"/>
          <w:szCs w:val="28"/>
        </w:rPr>
        <w:t>%</w:t>
      </w:r>
      <w:r w:rsidR="00010BB1" w:rsidRPr="00913143">
        <w:rPr>
          <w:rFonts w:ascii="Times New Roman" w:hAnsi="Times New Roman" w:cs="Times New Roman"/>
          <w:sz w:val="28"/>
          <w:szCs w:val="28"/>
        </w:rPr>
        <w:t xml:space="preserve">), </w:t>
      </w:r>
      <w:r w:rsidRPr="00913143">
        <w:rPr>
          <w:rFonts w:ascii="Times New Roman" w:hAnsi="Times New Roman" w:cs="Times New Roman"/>
          <w:sz w:val="28"/>
          <w:szCs w:val="28"/>
          <w:lang w:val="en-US"/>
        </w:rPr>
        <w:t>trong đó</w:t>
      </w:r>
      <w:r w:rsidR="00010BB1" w:rsidRPr="00913143">
        <w:rPr>
          <w:rFonts w:ascii="Times New Roman" w:hAnsi="Times New Roman" w:cs="Times New Roman"/>
          <w:sz w:val="28"/>
          <w:szCs w:val="28"/>
          <w:lang w:val="en-US"/>
        </w:rPr>
        <w:t>: D</w:t>
      </w:r>
      <w:r w:rsidRPr="00913143">
        <w:rPr>
          <w:rFonts w:ascii="Times New Roman" w:hAnsi="Times New Roman" w:cs="Times New Roman"/>
          <w:sz w:val="28"/>
          <w:szCs w:val="28"/>
        </w:rPr>
        <w:t>ịch vụ vận tải đạt 6,4 tỷ USD (chiếm 52,1% tổng kim ngạch</w:t>
      </w:r>
      <w:r w:rsidRPr="00913143">
        <w:rPr>
          <w:rFonts w:ascii="Times New Roman" w:hAnsi="Times New Roman" w:cs="Times New Roman"/>
          <w:sz w:val="28"/>
          <w:szCs w:val="28"/>
          <w:lang w:val="en-US"/>
        </w:rPr>
        <w:t>)</w:t>
      </w:r>
      <w:r w:rsidRPr="00913143">
        <w:rPr>
          <w:rFonts w:ascii="Times New Roman" w:hAnsi="Times New Roman" w:cs="Times New Roman"/>
          <w:sz w:val="28"/>
          <w:szCs w:val="28"/>
        </w:rPr>
        <w:t>, tăng 27,</w:t>
      </w:r>
      <w:r w:rsidRPr="00913143">
        <w:rPr>
          <w:rFonts w:ascii="Times New Roman" w:hAnsi="Times New Roman" w:cs="Times New Roman"/>
          <w:sz w:val="28"/>
          <w:szCs w:val="28"/>
          <w:lang w:val="en-US"/>
        </w:rPr>
        <w:t>2</w:t>
      </w:r>
      <w:r w:rsidRPr="00913143">
        <w:rPr>
          <w:rFonts w:ascii="Times New Roman" w:hAnsi="Times New Roman" w:cs="Times New Roman"/>
          <w:sz w:val="28"/>
          <w:szCs w:val="28"/>
        </w:rPr>
        <w:t>%; dịch vụ du lịch đạt 2</w:t>
      </w:r>
      <w:r w:rsidRPr="00913143">
        <w:rPr>
          <w:rFonts w:ascii="Times New Roman" w:hAnsi="Times New Roman" w:cs="Times New Roman"/>
          <w:sz w:val="28"/>
          <w:szCs w:val="28"/>
          <w:lang w:val="en-US"/>
        </w:rPr>
        <w:t>,5</w:t>
      </w:r>
      <w:r w:rsidRPr="00913143">
        <w:rPr>
          <w:rFonts w:ascii="Times New Roman" w:hAnsi="Times New Roman" w:cs="Times New Roman"/>
          <w:sz w:val="28"/>
          <w:szCs w:val="28"/>
        </w:rPr>
        <w:t xml:space="preserve"> tỷ USD (chiếm 20,1%), tăng </w:t>
      </w:r>
      <w:r w:rsidRPr="00913143">
        <w:rPr>
          <w:rFonts w:ascii="Times New Roman" w:hAnsi="Times New Roman" w:cs="Times New Roman"/>
          <w:sz w:val="28"/>
          <w:szCs w:val="28"/>
          <w:lang w:val="en-US"/>
        </w:rPr>
        <w:t>37</w:t>
      </w:r>
      <w:r w:rsidRPr="00913143">
        <w:rPr>
          <w:rFonts w:ascii="Times New Roman" w:hAnsi="Times New Roman" w:cs="Times New Roman"/>
          <w:sz w:val="28"/>
          <w:szCs w:val="28"/>
        </w:rPr>
        <w:t xml:space="preserve">%. </w:t>
      </w:r>
      <w:r w:rsidRPr="00913143">
        <w:rPr>
          <w:rFonts w:ascii="Times New Roman" w:hAnsi="Times New Roman" w:cs="Times New Roman"/>
          <w:sz w:val="28"/>
          <w:szCs w:val="28"/>
          <w:lang w:val="es-NI"/>
        </w:rPr>
        <w:t>Nhập siêu dịch vụ 6 tháng đầu năm 2022 là 8 tỷ USD</w:t>
      </w:r>
      <w:r w:rsidR="009E7F92">
        <w:rPr>
          <w:rFonts w:ascii="Times New Roman" w:hAnsi="Times New Roman" w:cs="Times New Roman"/>
          <w:sz w:val="28"/>
          <w:szCs w:val="28"/>
          <w:lang w:val="es-NI"/>
        </w:rPr>
        <w:t xml:space="preserve"> </w:t>
      </w:r>
      <w:r w:rsidR="009E7F92" w:rsidRPr="00BC5895">
        <w:rPr>
          <w:rFonts w:ascii="Times New Roman" w:hAnsi="Times New Roman" w:cs="Times New Roman"/>
          <w:sz w:val="28"/>
          <w:szCs w:val="28"/>
          <w:lang w:val="es-NI"/>
        </w:rPr>
        <w:t>(</w:t>
      </w:r>
      <w:r w:rsidR="009E7F92" w:rsidRPr="00BC5895">
        <w:rPr>
          <w:rFonts w:ascii="Times New Roman" w:hAnsi="Times New Roman" w:cs="Times New Roman"/>
          <w:sz w:val="28"/>
          <w:szCs w:val="28"/>
          <w:lang w:val="en-US"/>
        </w:rPr>
        <w:t xml:space="preserve">trong đó phí dịch vụ vận tải và bảo hiểm hàng hóa nhập khẩu là </w:t>
      </w:r>
      <w:r w:rsidR="009E7F92">
        <w:rPr>
          <w:rFonts w:ascii="Times New Roman" w:hAnsi="Times New Roman" w:cs="Times New Roman"/>
          <w:sz w:val="28"/>
          <w:szCs w:val="28"/>
          <w:lang w:val="en-US"/>
        </w:rPr>
        <w:t>4</w:t>
      </w:r>
      <w:r w:rsidR="009E7F92" w:rsidRPr="00BC5895">
        <w:rPr>
          <w:rFonts w:ascii="Times New Roman" w:hAnsi="Times New Roman" w:cs="Times New Roman"/>
          <w:sz w:val="28"/>
          <w:szCs w:val="28"/>
          <w:lang w:val="en-US"/>
        </w:rPr>
        <w:t>,</w:t>
      </w:r>
      <w:r w:rsidR="009E7F92">
        <w:rPr>
          <w:rFonts w:ascii="Times New Roman" w:hAnsi="Times New Roman" w:cs="Times New Roman"/>
          <w:sz w:val="28"/>
          <w:szCs w:val="28"/>
          <w:lang w:val="en-US"/>
        </w:rPr>
        <w:t>6</w:t>
      </w:r>
      <w:r w:rsidR="009E7F92" w:rsidRPr="00BC5895">
        <w:rPr>
          <w:rFonts w:ascii="Times New Roman" w:hAnsi="Times New Roman" w:cs="Times New Roman"/>
          <w:sz w:val="28"/>
          <w:szCs w:val="28"/>
          <w:lang w:val="en-US"/>
        </w:rPr>
        <w:t xml:space="preserve"> tỷ USD</w:t>
      </w:r>
      <w:r w:rsidR="009E7F92" w:rsidRPr="00BC5895">
        <w:rPr>
          <w:rFonts w:ascii="Times New Roman" w:hAnsi="Times New Roman" w:cs="Times New Roman"/>
          <w:sz w:val="28"/>
          <w:szCs w:val="28"/>
          <w:lang w:val="es-NI"/>
        </w:rPr>
        <w:t>).</w:t>
      </w:r>
    </w:p>
    <w:p w:rsidR="00010BB1" w:rsidRPr="00913143" w:rsidRDefault="00626783" w:rsidP="009E7F92">
      <w:pPr>
        <w:tabs>
          <w:tab w:val="num" w:pos="0"/>
        </w:tabs>
        <w:spacing w:before="40" w:after="40" w:line="269" w:lineRule="auto"/>
        <w:ind w:firstLine="567"/>
        <w:contextualSpacing/>
        <w:jc w:val="both"/>
        <w:rPr>
          <w:rFonts w:ascii="Times New Roman" w:hAnsi="Times New Roman" w:cs="Times New Roman"/>
          <w:sz w:val="28"/>
          <w:szCs w:val="28"/>
          <w:lang w:val="es-NI"/>
        </w:rPr>
      </w:pPr>
      <w:r w:rsidRPr="00913143">
        <w:rPr>
          <w:rFonts w:ascii="Times New Roman" w:hAnsi="Times New Roman" w:cs="Times New Roman"/>
          <w:b/>
          <w:i/>
          <w:sz w:val="28"/>
          <w:szCs w:val="28"/>
        </w:rPr>
        <w:t xml:space="preserve">10. </w:t>
      </w:r>
      <w:r w:rsidR="00010BB1" w:rsidRPr="00913143">
        <w:rPr>
          <w:rFonts w:ascii="Times New Roman" w:hAnsi="Times New Roman" w:cs="Times New Roman"/>
          <w:b/>
          <w:i/>
          <w:sz w:val="28"/>
          <w:szCs w:val="28"/>
          <w:lang w:val="nl-NL"/>
        </w:rPr>
        <w:t xml:space="preserve">Giá xăng dầu trong nước </w:t>
      </w:r>
      <w:r w:rsidR="00010BB1" w:rsidRPr="00913143">
        <w:rPr>
          <w:rFonts w:ascii="Times New Roman" w:hAnsi="Times New Roman" w:cs="Times New Roman"/>
          <w:b/>
          <w:i/>
          <w:sz w:val="28"/>
          <w:szCs w:val="28"/>
          <w:lang w:val="vi-VN"/>
        </w:rPr>
        <w:t xml:space="preserve">liên tục </w:t>
      </w:r>
      <w:r w:rsidR="00010BB1" w:rsidRPr="00913143">
        <w:rPr>
          <w:rFonts w:ascii="Times New Roman" w:hAnsi="Times New Roman" w:cs="Times New Roman"/>
          <w:b/>
          <w:i/>
          <w:sz w:val="28"/>
          <w:szCs w:val="28"/>
          <w:lang w:val="nl-NL"/>
        </w:rPr>
        <w:t>tăng</w:t>
      </w:r>
      <w:r w:rsidR="00010BB1" w:rsidRPr="00913143">
        <w:rPr>
          <w:rFonts w:ascii="Times New Roman" w:hAnsi="Times New Roman" w:cs="Times New Roman"/>
          <w:b/>
          <w:i/>
          <w:sz w:val="28"/>
          <w:szCs w:val="28"/>
          <w:lang w:val="vi-VN"/>
        </w:rPr>
        <w:t xml:space="preserve"> cao</w:t>
      </w:r>
      <w:r w:rsidR="00010BB1" w:rsidRPr="00913143">
        <w:rPr>
          <w:rFonts w:ascii="Times New Roman" w:hAnsi="Times New Roman" w:cs="Times New Roman"/>
          <w:b/>
          <w:i/>
          <w:sz w:val="28"/>
          <w:szCs w:val="28"/>
          <w:lang w:val="nl-NL"/>
        </w:rPr>
        <w:t xml:space="preserve"> theo giá nhiên liệu thế giới; giá hàng hóa và dịch vụ tiêu dùng thiết yếu tăng theo giá nguyên liệu đầu vào</w:t>
      </w:r>
      <w:r w:rsidR="00010BB1" w:rsidRPr="00913143">
        <w:rPr>
          <w:rFonts w:ascii="Times New Roman" w:hAnsi="Times New Roman" w:cs="Times New Roman"/>
          <w:b/>
          <w:i/>
          <w:sz w:val="28"/>
          <w:szCs w:val="28"/>
          <w:lang w:val="vi-VN"/>
        </w:rPr>
        <w:t xml:space="preserve"> và chi phí vận chuyển </w:t>
      </w:r>
      <w:r w:rsidR="00010BB1" w:rsidRPr="00913143">
        <w:rPr>
          <w:rFonts w:ascii="Times New Roman" w:hAnsi="Times New Roman" w:cs="Times New Roman"/>
          <w:b/>
          <w:i/>
          <w:sz w:val="28"/>
          <w:szCs w:val="28"/>
          <w:lang w:val="nl-NL"/>
        </w:rPr>
        <w:t xml:space="preserve">là những nguyên nhân chủ yếu làm </w:t>
      </w:r>
      <w:r w:rsidR="009E7F92">
        <w:rPr>
          <w:rFonts w:ascii="Times New Roman" w:hAnsi="Times New Roman" w:cs="Times New Roman"/>
          <w:b/>
          <w:i/>
          <w:sz w:val="28"/>
          <w:szCs w:val="28"/>
          <w:lang w:val="nl-NL"/>
        </w:rPr>
        <w:t>c</w:t>
      </w:r>
      <w:r w:rsidR="00010BB1" w:rsidRPr="00913143">
        <w:rPr>
          <w:rFonts w:ascii="Times New Roman" w:hAnsi="Times New Roman" w:cs="Times New Roman"/>
          <w:b/>
          <w:i/>
          <w:sz w:val="28"/>
          <w:szCs w:val="28"/>
          <w:lang w:val="nl-NL"/>
        </w:rPr>
        <w:t xml:space="preserve">hỉ số giá tiêu dùng (CPI) tháng 6/2022 </w:t>
      </w:r>
      <w:r w:rsidR="00010BB1" w:rsidRPr="00913143">
        <w:rPr>
          <w:rFonts w:ascii="Times New Roman" w:hAnsi="Times New Roman" w:cs="Times New Roman"/>
          <w:b/>
          <w:i/>
          <w:sz w:val="28"/>
          <w:szCs w:val="28"/>
          <w:lang w:val="vi-VN"/>
        </w:rPr>
        <w:t>tăng 0,69</w:t>
      </w:r>
      <w:r w:rsidR="00010BB1" w:rsidRPr="00913143">
        <w:rPr>
          <w:rFonts w:ascii="Times New Roman" w:hAnsi="Times New Roman" w:cs="Times New Roman"/>
          <w:b/>
          <w:i/>
          <w:sz w:val="28"/>
          <w:szCs w:val="28"/>
          <w:lang w:val="nl-NL"/>
        </w:rPr>
        <w:t>% so với tháng trước</w:t>
      </w:r>
      <w:r w:rsidR="00010BB1" w:rsidRPr="00913143">
        <w:rPr>
          <w:rFonts w:ascii="Times New Roman" w:hAnsi="Times New Roman" w:cs="Times New Roman"/>
          <w:b/>
          <w:i/>
          <w:sz w:val="28"/>
          <w:szCs w:val="28"/>
          <w:lang w:val="vi-VN"/>
        </w:rPr>
        <w:t>;</w:t>
      </w:r>
      <w:r w:rsidR="00010BB1" w:rsidRPr="00913143">
        <w:rPr>
          <w:rFonts w:ascii="Times New Roman" w:hAnsi="Times New Roman" w:cs="Times New Roman"/>
          <w:b/>
          <w:i/>
          <w:sz w:val="28"/>
          <w:szCs w:val="28"/>
          <w:lang w:val="nl-NL"/>
        </w:rPr>
        <w:t xml:space="preserve"> tăng </w:t>
      </w:r>
      <w:r w:rsidR="00010BB1" w:rsidRPr="00913143">
        <w:rPr>
          <w:rFonts w:ascii="Times New Roman" w:hAnsi="Times New Roman" w:cs="Times New Roman"/>
          <w:b/>
          <w:i/>
          <w:sz w:val="28"/>
          <w:szCs w:val="28"/>
          <w:lang w:val="vi-VN"/>
        </w:rPr>
        <w:t>3,18</w:t>
      </w:r>
      <w:r w:rsidR="00010BB1" w:rsidRPr="00913143">
        <w:rPr>
          <w:rFonts w:ascii="Times New Roman" w:hAnsi="Times New Roman" w:cs="Times New Roman"/>
          <w:b/>
          <w:i/>
          <w:sz w:val="28"/>
          <w:szCs w:val="28"/>
          <w:lang w:val="nl-NL"/>
        </w:rPr>
        <w:t xml:space="preserve">% so với tháng 12/2021 và tăng </w:t>
      </w:r>
      <w:r w:rsidR="00010BB1" w:rsidRPr="00913143">
        <w:rPr>
          <w:rFonts w:ascii="Times New Roman" w:hAnsi="Times New Roman" w:cs="Times New Roman"/>
          <w:b/>
          <w:i/>
          <w:sz w:val="28"/>
          <w:szCs w:val="28"/>
          <w:lang w:val="vi-VN"/>
        </w:rPr>
        <w:t>3,37</w:t>
      </w:r>
      <w:r w:rsidR="00010BB1" w:rsidRPr="00913143">
        <w:rPr>
          <w:rFonts w:ascii="Times New Roman" w:hAnsi="Times New Roman" w:cs="Times New Roman"/>
          <w:b/>
          <w:i/>
          <w:sz w:val="28"/>
          <w:szCs w:val="28"/>
          <w:lang w:val="nl-NL"/>
        </w:rPr>
        <w:t xml:space="preserve">% so với cùng kỳ năm trước; bình quân </w:t>
      </w:r>
      <w:r w:rsidR="00010BB1" w:rsidRPr="00913143">
        <w:rPr>
          <w:rFonts w:ascii="Times New Roman" w:hAnsi="Times New Roman" w:cs="Times New Roman"/>
          <w:b/>
          <w:i/>
          <w:sz w:val="28"/>
          <w:szCs w:val="28"/>
          <w:lang w:val="vi-VN"/>
        </w:rPr>
        <w:t xml:space="preserve">6 tháng đầu </w:t>
      </w:r>
      <w:r w:rsidR="00010BB1" w:rsidRPr="00913143">
        <w:rPr>
          <w:rFonts w:ascii="Times New Roman" w:hAnsi="Times New Roman" w:cs="Times New Roman"/>
          <w:b/>
          <w:i/>
          <w:sz w:val="28"/>
          <w:szCs w:val="28"/>
          <w:lang w:val="nl-NL"/>
        </w:rPr>
        <w:t xml:space="preserve">năm, CPI tăng </w:t>
      </w:r>
      <w:r w:rsidR="00010BB1" w:rsidRPr="00913143">
        <w:rPr>
          <w:rFonts w:ascii="Times New Roman" w:hAnsi="Times New Roman" w:cs="Times New Roman"/>
          <w:b/>
          <w:i/>
          <w:sz w:val="28"/>
          <w:szCs w:val="28"/>
          <w:lang w:val="vi-VN"/>
        </w:rPr>
        <w:t>2,44</w:t>
      </w:r>
      <w:r w:rsidR="00010BB1" w:rsidRPr="00913143">
        <w:rPr>
          <w:rFonts w:ascii="Times New Roman" w:hAnsi="Times New Roman" w:cs="Times New Roman"/>
          <w:b/>
          <w:i/>
          <w:sz w:val="28"/>
          <w:szCs w:val="28"/>
          <w:lang w:val="nl-NL"/>
        </w:rPr>
        <w:t xml:space="preserve">% so với cùng kỳ năm trước; lạm phát cơ bản tăng </w:t>
      </w:r>
      <w:r w:rsidR="00010BB1" w:rsidRPr="00913143">
        <w:rPr>
          <w:rFonts w:ascii="Times New Roman" w:hAnsi="Times New Roman" w:cs="Times New Roman"/>
          <w:b/>
          <w:i/>
          <w:sz w:val="28"/>
          <w:szCs w:val="28"/>
          <w:lang w:val="vi-VN"/>
        </w:rPr>
        <w:t>1,25</w:t>
      </w:r>
      <w:r w:rsidR="00010BB1" w:rsidRPr="00913143">
        <w:rPr>
          <w:rFonts w:ascii="Times New Roman" w:hAnsi="Times New Roman" w:cs="Times New Roman"/>
          <w:b/>
          <w:i/>
          <w:sz w:val="28"/>
          <w:szCs w:val="28"/>
          <w:lang w:val="nl-NL"/>
        </w:rPr>
        <w:t xml:space="preserve">%. Chỉ số giá sản xuất, chỉ số giá nguyên nhiên vật liệu dùng cho sản xuất, chỉ số giá xuất khẩu, nhập khẩu quý II và 6 tháng đầu năm 2022 đều tăng so với cùng kỳ năm 2021. </w:t>
      </w:r>
    </w:p>
    <w:p w:rsidR="00626783" w:rsidRPr="00913143" w:rsidRDefault="00626783" w:rsidP="00913143">
      <w:pPr>
        <w:shd w:val="clear" w:color="auto" w:fill="FFFFFF"/>
        <w:spacing w:before="40" w:after="40" w:line="271" w:lineRule="auto"/>
        <w:ind w:firstLine="567"/>
        <w:jc w:val="both"/>
        <w:rPr>
          <w:rFonts w:ascii="Times New Roman" w:hAnsi="Times New Roman" w:cs="Times New Roman"/>
          <w:b/>
          <w:bCs/>
          <w:i/>
          <w:iCs/>
          <w:sz w:val="28"/>
          <w:szCs w:val="28"/>
        </w:rPr>
      </w:pPr>
      <w:r w:rsidRPr="00913143">
        <w:rPr>
          <w:rFonts w:ascii="Times New Roman" w:hAnsi="Times New Roman" w:cs="Times New Roman"/>
          <w:b/>
          <w:bCs/>
          <w:i/>
          <w:iCs/>
          <w:sz w:val="28"/>
          <w:szCs w:val="28"/>
        </w:rPr>
        <w:t xml:space="preserve">a) Chỉ số giá tiêu dùng </w:t>
      </w:r>
    </w:p>
    <w:p w:rsidR="00010BB1" w:rsidRPr="00913143" w:rsidRDefault="00010BB1" w:rsidP="001D3415">
      <w:pPr>
        <w:pStyle w:val="FootnoteText"/>
        <w:spacing w:before="40" w:after="40" w:line="276" w:lineRule="auto"/>
        <w:ind w:firstLine="567"/>
        <w:jc w:val="both"/>
        <w:rPr>
          <w:rFonts w:ascii="Times New Roman" w:hAnsi="Times New Roman" w:cs="Times New Roman"/>
          <w:sz w:val="28"/>
          <w:szCs w:val="28"/>
          <w:lang w:val="es-NI"/>
        </w:rPr>
      </w:pPr>
      <w:r w:rsidRPr="00913143">
        <w:rPr>
          <w:rFonts w:ascii="Times New Roman" w:hAnsi="Times New Roman" w:cs="Times New Roman"/>
          <w:sz w:val="28"/>
          <w:szCs w:val="28"/>
          <w:lang w:val="nl-NL"/>
        </w:rPr>
        <w:t xml:space="preserve">Trong mức tăng của CPI tháng 6/2022 so với tháng trước có </w:t>
      </w:r>
      <w:r w:rsidRPr="00913143">
        <w:rPr>
          <w:rFonts w:ascii="Times New Roman" w:hAnsi="Times New Roman" w:cs="Times New Roman"/>
          <w:sz w:val="28"/>
          <w:szCs w:val="28"/>
          <w:lang w:val="vi-VN"/>
        </w:rPr>
        <w:t xml:space="preserve">9 </w:t>
      </w:r>
      <w:r w:rsidRPr="00913143">
        <w:rPr>
          <w:rFonts w:ascii="Times New Roman" w:hAnsi="Times New Roman" w:cs="Times New Roman"/>
          <w:sz w:val="28"/>
          <w:szCs w:val="28"/>
          <w:lang w:val="nl-NL"/>
        </w:rPr>
        <w:t xml:space="preserve">nhóm hàng hóa và dịch vụ có chỉ số giá tăng và </w:t>
      </w:r>
      <w:r w:rsidRPr="00913143">
        <w:rPr>
          <w:rFonts w:ascii="Times New Roman" w:hAnsi="Times New Roman" w:cs="Times New Roman"/>
          <w:sz w:val="28"/>
          <w:szCs w:val="28"/>
          <w:lang w:val="vi-VN"/>
        </w:rPr>
        <w:t>2</w:t>
      </w:r>
      <w:r w:rsidRPr="00913143">
        <w:rPr>
          <w:rFonts w:ascii="Times New Roman" w:hAnsi="Times New Roman" w:cs="Times New Roman"/>
          <w:sz w:val="28"/>
          <w:szCs w:val="28"/>
          <w:lang w:val="nl-NL"/>
        </w:rPr>
        <w:t xml:space="preserve"> nhóm hàng có chỉ số giá giảm, trong đó </w:t>
      </w:r>
      <w:r w:rsidRPr="009E7F92">
        <w:rPr>
          <w:rFonts w:ascii="Times New Roman" w:hAnsi="Times New Roman" w:cs="Times New Roman"/>
          <w:sz w:val="28"/>
          <w:szCs w:val="28"/>
          <w:lang w:val="nl-NL"/>
        </w:rPr>
        <w:t>n</w:t>
      </w:r>
      <w:r w:rsidRPr="009E7F92">
        <w:rPr>
          <w:rFonts w:ascii="Times New Roman" w:hAnsi="Times New Roman" w:cs="Times New Roman"/>
          <w:sz w:val="28"/>
          <w:szCs w:val="28"/>
          <w:lang w:val="es-NI"/>
        </w:rPr>
        <w:t xml:space="preserve">hóm giao thông có mức tăng cao nhất với </w:t>
      </w:r>
      <w:r w:rsidRPr="009E7F92">
        <w:rPr>
          <w:rFonts w:ascii="Times New Roman" w:hAnsi="Times New Roman" w:cs="Times New Roman"/>
          <w:sz w:val="28"/>
          <w:szCs w:val="28"/>
          <w:lang w:val="nl-NL"/>
        </w:rPr>
        <w:t>3,62%. CPI bình quân quý II/2022 tăng 2,96% so</w:t>
      </w:r>
      <w:r w:rsidRPr="00913143">
        <w:rPr>
          <w:rFonts w:ascii="Times New Roman" w:hAnsi="Times New Roman" w:cs="Times New Roman"/>
          <w:sz w:val="28"/>
          <w:szCs w:val="28"/>
          <w:lang w:val="nl-NL"/>
        </w:rPr>
        <w:t xml:space="preserve"> với quý II/2021; bình quân </w:t>
      </w:r>
      <w:r w:rsidRPr="00913143">
        <w:rPr>
          <w:rFonts w:ascii="Times New Roman" w:hAnsi="Times New Roman" w:cs="Times New Roman"/>
          <w:sz w:val="28"/>
          <w:szCs w:val="28"/>
          <w:lang w:val="vi-VN"/>
        </w:rPr>
        <w:t xml:space="preserve">6 tháng đầu </w:t>
      </w:r>
      <w:r w:rsidRPr="00913143">
        <w:rPr>
          <w:rFonts w:ascii="Times New Roman" w:hAnsi="Times New Roman" w:cs="Times New Roman"/>
          <w:sz w:val="28"/>
          <w:szCs w:val="28"/>
          <w:lang w:val="nl-NL"/>
        </w:rPr>
        <w:t xml:space="preserve">năm tăng </w:t>
      </w:r>
      <w:r w:rsidRPr="00913143">
        <w:rPr>
          <w:rFonts w:ascii="Times New Roman" w:hAnsi="Times New Roman" w:cs="Times New Roman"/>
          <w:sz w:val="28"/>
          <w:szCs w:val="28"/>
          <w:lang w:val="vi-VN"/>
        </w:rPr>
        <w:t>2,44</w:t>
      </w:r>
      <w:r w:rsidRPr="00913143">
        <w:rPr>
          <w:rFonts w:ascii="Times New Roman" w:hAnsi="Times New Roman" w:cs="Times New Roman"/>
          <w:sz w:val="28"/>
          <w:szCs w:val="28"/>
          <w:lang w:val="nl-NL"/>
        </w:rPr>
        <w:t xml:space="preserve">% so với cùng kỳ năm trước; lạm phát cơ bản tăng </w:t>
      </w:r>
      <w:r w:rsidRPr="00913143">
        <w:rPr>
          <w:rFonts w:ascii="Times New Roman" w:hAnsi="Times New Roman" w:cs="Times New Roman"/>
          <w:sz w:val="28"/>
          <w:szCs w:val="28"/>
          <w:lang w:val="vi-VN"/>
        </w:rPr>
        <w:t>1,25</w:t>
      </w:r>
      <w:r w:rsidRPr="00913143">
        <w:rPr>
          <w:rFonts w:ascii="Times New Roman" w:hAnsi="Times New Roman" w:cs="Times New Roman"/>
          <w:sz w:val="28"/>
          <w:szCs w:val="28"/>
          <w:lang w:val="nl-NL"/>
        </w:rPr>
        <w:t>%.</w:t>
      </w:r>
    </w:p>
    <w:p w:rsidR="00626783" w:rsidRPr="00913143" w:rsidRDefault="00626783" w:rsidP="001D3415">
      <w:pPr>
        <w:spacing w:before="40" w:after="40"/>
        <w:ind w:firstLine="567"/>
        <w:jc w:val="both"/>
        <w:rPr>
          <w:rStyle w:val="a21"/>
          <w:rFonts w:ascii="Times New Roman" w:hAnsi="Times New Roman" w:cs="Times New Roman"/>
          <w:b/>
          <w:i/>
          <w:sz w:val="28"/>
          <w:szCs w:val="28"/>
        </w:rPr>
      </w:pPr>
      <w:r w:rsidRPr="00913143">
        <w:rPr>
          <w:rStyle w:val="a21"/>
          <w:rFonts w:ascii="Times New Roman" w:hAnsi="Times New Roman" w:cs="Times New Roman"/>
          <w:b/>
          <w:i/>
          <w:sz w:val="28"/>
          <w:szCs w:val="28"/>
        </w:rPr>
        <w:t>b) Chỉ số giá vàng và đô la Mỹ</w:t>
      </w:r>
    </w:p>
    <w:p w:rsidR="00010BB1" w:rsidRPr="00913143" w:rsidRDefault="00010BB1" w:rsidP="001D3415">
      <w:pPr>
        <w:spacing w:before="40" w:after="40"/>
        <w:ind w:firstLine="567"/>
        <w:jc w:val="both"/>
        <w:rPr>
          <w:rStyle w:val="a21"/>
          <w:rFonts w:ascii="Times New Roman" w:hAnsi="Times New Roman" w:cs="Times New Roman"/>
          <w:sz w:val="28"/>
          <w:szCs w:val="28"/>
          <w:lang w:val="nl-NL"/>
        </w:rPr>
      </w:pPr>
      <w:r w:rsidRPr="00913143">
        <w:rPr>
          <w:rStyle w:val="a21"/>
          <w:rFonts w:ascii="Times New Roman" w:hAnsi="Times New Roman" w:cs="Times New Roman"/>
          <w:sz w:val="28"/>
          <w:szCs w:val="28"/>
          <w:lang w:val="nl-NL"/>
        </w:rPr>
        <w:t xml:space="preserve">Chỉ số giá vàng tháng 6/2022 giảm 1,14% so với tháng trước; tăng 7,4% so với cùng kỳ năm 2021; bình quân 6 tháng đầu năm 2022 tăng 6,63%. </w:t>
      </w:r>
    </w:p>
    <w:p w:rsidR="00010BB1" w:rsidRPr="00913143" w:rsidRDefault="00010BB1" w:rsidP="001D3415">
      <w:pPr>
        <w:spacing w:before="40" w:after="40"/>
        <w:ind w:firstLine="567"/>
        <w:jc w:val="both"/>
        <w:rPr>
          <w:rFonts w:ascii="Times New Roman" w:hAnsi="Times New Roman" w:cs="Times New Roman"/>
          <w:sz w:val="28"/>
          <w:szCs w:val="28"/>
          <w:lang w:val="nl-NL"/>
        </w:rPr>
      </w:pPr>
      <w:r w:rsidRPr="00913143">
        <w:rPr>
          <w:rStyle w:val="a21"/>
          <w:rFonts w:ascii="Times New Roman" w:hAnsi="Times New Roman" w:cs="Times New Roman"/>
          <w:sz w:val="28"/>
          <w:szCs w:val="28"/>
          <w:lang w:val="nl-NL"/>
        </w:rPr>
        <w:t>Chỉ số giá đô la Mỹ tháng 6/2022 tăng 0,72% so với tháng trước và tăng 1,23% so với cùng kỳ năm 2021; bình quân 6 tháng đầu năm 2022 giảm 0,2%.</w:t>
      </w:r>
    </w:p>
    <w:p w:rsidR="007A7BF5" w:rsidRPr="00913143" w:rsidRDefault="00626783" w:rsidP="001D3415">
      <w:pPr>
        <w:tabs>
          <w:tab w:val="left" w:pos="720"/>
        </w:tabs>
        <w:spacing w:before="40" w:after="40"/>
        <w:ind w:firstLine="567"/>
        <w:jc w:val="both"/>
        <w:rPr>
          <w:rFonts w:ascii="Times New Roman Bold" w:hAnsi="Times New Roman Bold" w:cs="Times New Roman"/>
          <w:b/>
          <w:i/>
          <w:spacing w:val="-6"/>
          <w:sz w:val="28"/>
          <w:szCs w:val="28"/>
        </w:rPr>
      </w:pPr>
      <w:r w:rsidRPr="00913143">
        <w:rPr>
          <w:rFonts w:ascii="Times New Roman Bold" w:hAnsi="Times New Roman Bold" w:cs="Times New Roman"/>
          <w:b/>
          <w:i/>
          <w:spacing w:val="-6"/>
          <w:sz w:val="28"/>
          <w:szCs w:val="28"/>
        </w:rPr>
        <w:t xml:space="preserve">c) </w:t>
      </w:r>
      <w:r w:rsidRPr="00913143">
        <w:rPr>
          <w:rFonts w:ascii="Times New Roman Bold" w:hAnsi="Times New Roman Bold" w:cs="Times New Roman"/>
          <w:b/>
          <w:i/>
          <w:spacing w:val="-6"/>
          <w:sz w:val="28"/>
          <w:szCs w:val="28"/>
          <w:lang w:val="vi-VN"/>
        </w:rPr>
        <w:t xml:space="preserve">Chỉ số giá sản xuất </w:t>
      </w:r>
      <w:r w:rsidR="007A7BF5" w:rsidRPr="00913143">
        <w:rPr>
          <w:rFonts w:ascii="Times New Roman Bold" w:hAnsi="Times New Roman Bold" w:cs="Times New Roman"/>
          <w:b/>
          <w:i/>
          <w:spacing w:val="-6"/>
          <w:sz w:val="28"/>
          <w:szCs w:val="28"/>
          <w:lang w:val="en-IN"/>
        </w:rPr>
        <w:t>và c</w:t>
      </w:r>
      <w:r w:rsidR="007A7BF5" w:rsidRPr="00913143">
        <w:rPr>
          <w:rFonts w:ascii="Times New Roman Bold" w:hAnsi="Times New Roman Bold" w:cs="Times New Roman"/>
          <w:b/>
          <w:i/>
          <w:spacing w:val="-6"/>
          <w:sz w:val="28"/>
          <w:szCs w:val="28"/>
          <w:lang w:val="vi-VN"/>
        </w:rPr>
        <w:t>hỉ số giá nguyên nhiên vật liệu dùng cho sản xuất</w:t>
      </w:r>
    </w:p>
    <w:p w:rsidR="00CD291B" w:rsidRPr="00913143" w:rsidRDefault="00CD291B" w:rsidP="001644E8">
      <w:pPr>
        <w:spacing w:before="40" w:after="40"/>
        <w:ind w:firstLine="567"/>
        <w:jc w:val="both"/>
        <w:rPr>
          <w:rFonts w:ascii="Times New Roman" w:hAnsi="Times New Roman" w:cs="Times New Roman"/>
          <w:sz w:val="28"/>
          <w:szCs w:val="28"/>
          <w:lang w:val="de-DE"/>
        </w:rPr>
      </w:pPr>
      <w:r w:rsidRPr="00913143">
        <w:rPr>
          <w:rFonts w:ascii="Times New Roman" w:hAnsi="Times New Roman" w:cs="Times New Roman"/>
          <w:sz w:val="28"/>
          <w:szCs w:val="28"/>
          <w:lang w:val="vi-VN"/>
        </w:rPr>
        <w:t xml:space="preserve">Chỉ số giá sản xuất </w:t>
      </w:r>
      <w:r w:rsidRPr="00913143">
        <w:rPr>
          <w:rFonts w:ascii="Times New Roman" w:hAnsi="Times New Roman" w:cs="Times New Roman"/>
          <w:sz w:val="28"/>
          <w:szCs w:val="28"/>
          <w:lang w:val="nl-NL"/>
        </w:rPr>
        <w:t xml:space="preserve">sản phẩm </w:t>
      </w:r>
      <w:r w:rsidRPr="00913143">
        <w:rPr>
          <w:rFonts w:ascii="Times New Roman" w:hAnsi="Times New Roman" w:cs="Times New Roman"/>
          <w:sz w:val="28"/>
          <w:szCs w:val="28"/>
          <w:lang w:val="vi-VN"/>
        </w:rPr>
        <w:t xml:space="preserve">nông, lâm nghiệp và thủy sản </w:t>
      </w:r>
      <w:r w:rsidRPr="00913143">
        <w:rPr>
          <w:rFonts w:ascii="Times New Roman" w:hAnsi="Times New Roman" w:cs="Times New Roman"/>
          <w:sz w:val="28"/>
          <w:szCs w:val="28"/>
          <w:lang w:val="nl-NL"/>
        </w:rPr>
        <w:t>quý II/2022 tăng 1,84% so với quý trước và tăng 2,18% so với cùng kỳ năm trước; tương tự, c</w:t>
      </w:r>
      <w:r w:rsidRPr="00913143">
        <w:rPr>
          <w:rFonts w:ascii="Times New Roman" w:hAnsi="Times New Roman" w:cs="Times New Roman"/>
          <w:sz w:val="28"/>
          <w:szCs w:val="28"/>
          <w:lang w:val="vi-VN"/>
        </w:rPr>
        <w:t>hỉ số giá sản xuất sản phẩm công nghiệp tăng 2,1% và tăng 5,11%</w:t>
      </w:r>
      <w:r w:rsidRPr="00913143">
        <w:rPr>
          <w:rFonts w:ascii="Times New Roman" w:hAnsi="Times New Roman" w:cs="Times New Roman"/>
          <w:sz w:val="28"/>
          <w:szCs w:val="28"/>
          <w:lang w:val="en-IN"/>
        </w:rPr>
        <w:t xml:space="preserve">; </w:t>
      </w:r>
      <w:r w:rsidRPr="00913143">
        <w:rPr>
          <w:rFonts w:ascii="Times New Roman" w:hAnsi="Times New Roman" w:cs="Times New Roman"/>
          <w:sz w:val="28"/>
          <w:szCs w:val="28"/>
          <w:lang w:val="de-DE"/>
        </w:rPr>
        <w:t xml:space="preserve">chỉ số giá sản xuất dịch vụ </w:t>
      </w:r>
      <w:r w:rsidRPr="00913143">
        <w:rPr>
          <w:rFonts w:ascii="Times New Roman" w:hAnsi="Times New Roman" w:cs="Times New Roman"/>
          <w:sz w:val="28"/>
          <w:szCs w:val="28"/>
          <w:lang w:val="nl-NL"/>
        </w:rPr>
        <w:t xml:space="preserve">tăng 1,25% và tăng 3,57%. Tính chung 6 tháng đầu năm, chỉ số giá sản xuất sản phẩm nông, lâm nghiệp và thủy sản tăng 1,38% so với cùng kỳ năm 2021; chỉ số giá sản xuất sản phẩm công nghiệp tăng 4,75%; </w:t>
      </w:r>
      <w:r w:rsidRPr="00913143">
        <w:rPr>
          <w:rFonts w:ascii="Times New Roman" w:hAnsi="Times New Roman" w:cs="Times New Roman"/>
          <w:sz w:val="28"/>
          <w:szCs w:val="28"/>
          <w:lang w:val="de-DE"/>
        </w:rPr>
        <w:t>chỉ số giá sản xuất dịch vụ tăng 2,83%.</w:t>
      </w:r>
    </w:p>
    <w:p w:rsidR="00CD291B" w:rsidRPr="00913143" w:rsidRDefault="00CD291B" w:rsidP="001644E8">
      <w:pPr>
        <w:pStyle w:val="BodyText2"/>
        <w:tabs>
          <w:tab w:val="left" w:pos="567"/>
        </w:tabs>
        <w:spacing w:before="40" w:after="40" w:line="276" w:lineRule="auto"/>
        <w:ind w:firstLine="567"/>
        <w:jc w:val="both"/>
        <w:rPr>
          <w:rFonts w:ascii="Times New Roman" w:hAnsi="Times New Roman" w:cs="Times New Roman"/>
          <w:sz w:val="28"/>
          <w:szCs w:val="28"/>
          <w:lang w:val="de-DE"/>
        </w:rPr>
      </w:pPr>
      <w:r w:rsidRPr="00913143">
        <w:rPr>
          <w:rFonts w:ascii="Times New Roman" w:hAnsi="Times New Roman" w:cs="Times New Roman"/>
          <w:sz w:val="28"/>
          <w:szCs w:val="28"/>
          <w:lang w:val="de-DE"/>
        </w:rPr>
        <w:t xml:space="preserve">Chỉ số giá nguyên liệu, nhiên liệu, vật liệu dùng cho sản xuất quý II/2022 tăng </w:t>
      </w:r>
      <w:r w:rsidRPr="00913143">
        <w:rPr>
          <w:rFonts w:ascii="Times New Roman" w:hAnsi="Times New Roman" w:cs="Times New Roman"/>
          <w:sz w:val="28"/>
          <w:szCs w:val="28"/>
          <w:lang w:val="vi-VN"/>
        </w:rPr>
        <w:t>2,23</w:t>
      </w:r>
      <w:r w:rsidRPr="00913143">
        <w:rPr>
          <w:rFonts w:ascii="Times New Roman" w:hAnsi="Times New Roman" w:cs="Times New Roman"/>
          <w:sz w:val="28"/>
          <w:szCs w:val="28"/>
          <w:lang w:val="de-DE"/>
        </w:rPr>
        <w:t xml:space="preserve">% so với quý trước và tăng </w:t>
      </w:r>
      <w:r w:rsidRPr="00913143">
        <w:rPr>
          <w:rFonts w:ascii="Times New Roman" w:hAnsi="Times New Roman" w:cs="Times New Roman"/>
          <w:sz w:val="28"/>
          <w:szCs w:val="28"/>
          <w:lang w:val="vi-VN"/>
        </w:rPr>
        <w:t>6,38</w:t>
      </w:r>
      <w:r w:rsidRPr="00913143">
        <w:rPr>
          <w:rFonts w:ascii="Times New Roman" w:hAnsi="Times New Roman" w:cs="Times New Roman"/>
          <w:sz w:val="28"/>
          <w:szCs w:val="28"/>
          <w:lang w:val="de-DE"/>
        </w:rPr>
        <w:t>% so với cùng kỳ năm 2021. Tính chung 6 tháng đầu năm, chỉ số giá nguyên nhiên vật liệu dùng cho sản xuất tăng 6,04% so với cùng kỳ năm trước. Trong đó, chỉ số giá nguyên nhiên vật liệu dùng cho sản xuất nông, lâm nghiệp và thủy sản tăng 10,01%; dùng cho sản xuất công nghiệp chế biến, chế tạo tăng 5,78%; dùng cho xây dựng tăng 9,32%.</w:t>
      </w:r>
    </w:p>
    <w:p w:rsidR="00626783" w:rsidRPr="00913143" w:rsidRDefault="007A7BF5" w:rsidP="001644E8">
      <w:pPr>
        <w:spacing w:before="40" w:after="40"/>
        <w:ind w:firstLine="567"/>
        <w:jc w:val="both"/>
        <w:rPr>
          <w:rFonts w:ascii="Times New Roman" w:hAnsi="Times New Roman" w:cs="Times New Roman"/>
          <w:b/>
          <w:i/>
          <w:sz w:val="28"/>
          <w:szCs w:val="28"/>
          <w:lang w:val="de-DE"/>
        </w:rPr>
      </w:pPr>
      <w:r w:rsidRPr="00913143">
        <w:rPr>
          <w:rFonts w:ascii="Times New Roman" w:hAnsi="Times New Roman" w:cs="Times New Roman"/>
          <w:b/>
          <w:i/>
          <w:sz w:val="28"/>
          <w:szCs w:val="28"/>
          <w:lang w:val="de-DE"/>
        </w:rPr>
        <w:t>d</w:t>
      </w:r>
      <w:r w:rsidR="00626783" w:rsidRPr="00913143">
        <w:rPr>
          <w:rFonts w:ascii="Times New Roman" w:hAnsi="Times New Roman" w:cs="Times New Roman"/>
          <w:b/>
          <w:i/>
          <w:sz w:val="28"/>
          <w:szCs w:val="28"/>
          <w:lang w:val="de-DE"/>
        </w:rPr>
        <w:t>) Chỉ số giá xuất, nhập khẩu hàng hóa</w:t>
      </w:r>
    </w:p>
    <w:p w:rsidR="00DF1876" w:rsidRPr="00913143" w:rsidRDefault="00B34CB3" w:rsidP="001644E8">
      <w:pPr>
        <w:tabs>
          <w:tab w:val="left" w:pos="567"/>
        </w:tabs>
        <w:spacing w:before="40" w:after="40"/>
        <w:ind w:firstLine="567"/>
        <w:jc w:val="both"/>
        <w:rPr>
          <w:rFonts w:ascii="Times New Roman" w:hAnsi="Times New Roman" w:cs="Times New Roman"/>
          <w:sz w:val="28"/>
          <w:szCs w:val="28"/>
          <w:lang w:val="fr-FR"/>
        </w:rPr>
      </w:pPr>
      <w:r w:rsidRPr="00913143">
        <w:rPr>
          <w:rFonts w:ascii="Times New Roman" w:hAnsi="Times New Roman" w:cs="Times New Roman"/>
          <w:sz w:val="28"/>
          <w:szCs w:val="28"/>
          <w:lang w:val="de-DE"/>
        </w:rPr>
        <w:t xml:space="preserve">Quý II/2022, chỉ số giá xuất khẩu hàng hóa </w:t>
      </w:r>
      <w:r w:rsidRPr="00913143">
        <w:rPr>
          <w:rFonts w:ascii="Times New Roman" w:hAnsi="Times New Roman" w:cs="Times New Roman"/>
          <w:sz w:val="28"/>
          <w:szCs w:val="28"/>
          <w:lang w:val="nl-NL"/>
        </w:rPr>
        <w:t xml:space="preserve">tăng </w:t>
      </w:r>
      <w:r w:rsidRPr="00913143">
        <w:rPr>
          <w:rFonts w:ascii="Times New Roman" w:hAnsi="Times New Roman" w:cs="Times New Roman"/>
          <w:sz w:val="28"/>
          <w:szCs w:val="28"/>
          <w:lang w:val="vi-VN"/>
        </w:rPr>
        <w:t>3,31</w:t>
      </w:r>
      <w:r w:rsidRPr="00913143">
        <w:rPr>
          <w:rFonts w:ascii="Times New Roman" w:hAnsi="Times New Roman" w:cs="Times New Roman"/>
          <w:sz w:val="28"/>
          <w:szCs w:val="28"/>
          <w:lang w:val="nl-NL"/>
        </w:rPr>
        <w:t xml:space="preserve">% so với quý trước và tăng </w:t>
      </w:r>
      <w:r w:rsidRPr="00913143">
        <w:rPr>
          <w:rFonts w:ascii="Times New Roman" w:hAnsi="Times New Roman" w:cs="Times New Roman"/>
          <w:sz w:val="28"/>
          <w:szCs w:val="28"/>
          <w:lang w:val="vi-VN"/>
        </w:rPr>
        <w:t>8,56</w:t>
      </w:r>
      <w:r w:rsidRPr="00913143">
        <w:rPr>
          <w:rFonts w:ascii="Times New Roman" w:hAnsi="Times New Roman" w:cs="Times New Roman"/>
          <w:sz w:val="28"/>
          <w:szCs w:val="28"/>
          <w:lang w:val="nl-NL"/>
        </w:rPr>
        <w:t>% so với cùng kỳ năm trước</w:t>
      </w:r>
      <w:r w:rsidR="00DF1876" w:rsidRPr="00913143">
        <w:rPr>
          <w:rFonts w:ascii="Times New Roman" w:hAnsi="Times New Roman" w:cs="Times New Roman"/>
          <w:sz w:val="28"/>
          <w:szCs w:val="28"/>
          <w:lang w:val="nl-NL"/>
        </w:rPr>
        <w:t>; c</w:t>
      </w:r>
      <w:r w:rsidR="00DF1876" w:rsidRPr="00913143">
        <w:rPr>
          <w:rFonts w:ascii="Times New Roman" w:hAnsi="Times New Roman" w:cs="Times New Roman"/>
          <w:sz w:val="28"/>
          <w:szCs w:val="28"/>
          <w:lang w:val="fr-FR"/>
        </w:rPr>
        <w:t>hỉ số giá nhập khẩu hàng hoá tăng 2,62% và tăng 11,43%; tỷ giá thương mại hàng hóa</w:t>
      </w:r>
      <w:r w:rsidR="00DF1876" w:rsidRPr="00913143">
        <w:rPr>
          <w:rStyle w:val="FootnoteReference"/>
          <w:rFonts w:ascii="Times New Roman" w:hAnsi="Times New Roman"/>
          <w:sz w:val="28"/>
          <w:szCs w:val="28"/>
        </w:rPr>
        <w:footnoteReference w:id="15"/>
      </w:r>
      <w:r w:rsidR="00DF1876" w:rsidRPr="00913143">
        <w:rPr>
          <w:rFonts w:ascii="Times New Roman" w:hAnsi="Times New Roman" w:cs="Times New Roman"/>
          <w:sz w:val="28"/>
          <w:szCs w:val="28"/>
          <w:lang w:val="fr-FR"/>
        </w:rPr>
        <w:t xml:space="preserve"> tăng 0,67% và giảm 2,57%. </w:t>
      </w:r>
      <w:r w:rsidRPr="00913143">
        <w:rPr>
          <w:rFonts w:ascii="Times New Roman" w:hAnsi="Times New Roman" w:cs="Times New Roman"/>
          <w:sz w:val="28"/>
          <w:szCs w:val="28"/>
          <w:lang w:val="fr-FR"/>
        </w:rPr>
        <w:t xml:space="preserve">Tính chung </w:t>
      </w:r>
      <w:r w:rsidRPr="00913143">
        <w:rPr>
          <w:rFonts w:ascii="Times New Roman" w:hAnsi="Times New Roman" w:cs="Times New Roman"/>
          <w:sz w:val="28"/>
          <w:szCs w:val="28"/>
          <w:lang w:val="vi-VN"/>
        </w:rPr>
        <w:t>6</w:t>
      </w:r>
      <w:r w:rsidRPr="00913143">
        <w:rPr>
          <w:rFonts w:ascii="Times New Roman" w:hAnsi="Times New Roman" w:cs="Times New Roman"/>
          <w:sz w:val="28"/>
          <w:szCs w:val="28"/>
          <w:lang w:val="fr-FR"/>
        </w:rPr>
        <w:t xml:space="preserve"> tháng </w:t>
      </w:r>
      <w:r w:rsidRPr="00913143">
        <w:rPr>
          <w:rFonts w:ascii="Times New Roman" w:hAnsi="Times New Roman" w:cs="Times New Roman"/>
          <w:sz w:val="28"/>
          <w:szCs w:val="28"/>
          <w:lang w:val="vi-VN"/>
        </w:rPr>
        <w:t xml:space="preserve">đầu </w:t>
      </w:r>
      <w:r w:rsidRPr="00913143">
        <w:rPr>
          <w:rFonts w:ascii="Times New Roman" w:hAnsi="Times New Roman" w:cs="Times New Roman"/>
          <w:sz w:val="28"/>
          <w:szCs w:val="28"/>
          <w:lang w:val="fr-FR"/>
        </w:rPr>
        <w:t xml:space="preserve">năm, chỉ số giá xuất khẩu hàng hóa tăng </w:t>
      </w:r>
      <w:r w:rsidRPr="00913143">
        <w:rPr>
          <w:rFonts w:ascii="Times New Roman" w:hAnsi="Times New Roman" w:cs="Times New Roman"/>
          <w:sz w:val="28"/>
          <w:szCs w:val="28"/>
          <w:lang w:val="vi-VN"/>
        </w:rPr>
        <w:t>8,03</w:t>
      </w:r>
      <w:r w:rsidRPr="00913143">
        <w:rPr>
          <w:rFonts w:ascii="Times New Roman" w:hAnsi="Times New Roman" w:cs="Times New Roman"/>
          <w:sz w:val="28"/>
          <w:szCs w:val="28"/>
          <w:lang w:val="fr-FR"/>
        </w:rPr>
        <w:t>% so với cùng kỳ năm trước</w:t>
      </w:r>
      <w:r w:rsidR="00DF1876" w:rsidRPr="00913143">
        <w:rPr>
          <w:rFonts w:ascii="Times New Roman" w:hAnsi="Times New Roman" w:cs="Times New Roman"/>
          <w:sz w:val="28"/>
          <w:szCs w:val="28"/>
          <w:lang w:val="fr-FR"/>
        </w:rPr>
        <w:t xml:space="preserve">; </w:t>
      </w:r>
      <w:r w:rsidRPr="00913143">
        <w:rPr>
          <w:rFonts w:ascii="Times New Roman" w:hAnsi="Times New Roman" w:cs="Times New Roman"/>
          <w:sz w:val="28"/>
          <w:szCs w:val="28"/>
          <w:lang w:val="fr-FR"/>
        </w:rPr>
        <w:t>chỉ số giá nhập khẩu hàng hóa tăng 11,21%</w:t>
      </w:r>
      <w:r w:rsidR="00DF1876" w:rsidRPr="00913143">
        <w:rPr>
          <w:rFonts w:ascii="Times New Roman" w:hAnsi="Times New Roman" w:cs="Times New Roman"/>
          <w:sz w:val="28"/>
          <w:szCs w:val="28"/>
          <w:lang w:val="fr-FR"/>
        </w:rPr>
        <w:t>; t</w:t>
      </w:r>
      <w:r w:rsidRPr="00913143">
        <w:rPr>
          <w:rFonts w:ascii="Times New Roman" w:hAnsi="Times New Roman" w:cs="Times New Roman"/>
          <w:sz w:val="28"/>
          <w:szCs w:val="28"/>
          <w:lang w:val="fr-FR"/>
        </w:rPr>
        <w:t>ỷ giá thương mại hàng hóa giảm 2,85%</w:t>
      </w:r>
      <w:r w:rsidR="00DF1876" w:rsidRPr="00913143">
        <w:rPr>
          <w:rFonts w:ascii="Times New Roman" w:hAnsi="Times New Roman" w:cs="Times New Roman"/>
          <w:sz w:val="28"/>
          <w:szCs w:val="28"/>
          <w:lang w:val="fr-FR"/>
        </w:rPr>
        <w:t>.</w:t>
      </w:r>
    </w:p>
    <w:p w:rsidR="00B54309" w:rsidRPr="00913143" w:rsidRDefault="00B53429" w:rsidP="001644E8">
      <w:pPr>
        <w:spacing w:before="160" w:after="40"/>
        <w:ind w:firstLine="567"/>
        <w:jc w:val="both"/>
        <w:rPr>
          <w:rFonts w:ascii="Times New Roman" w:hAnsi="Times New Roman" w:cs="Times New Roman"/>
          <w:b/>
          <w:sz w:val="28"/>
          <w:szCs w:val="28"/>
        </w:rPr>
      </w:pPr>
      <w:r w:rsidRPr="00913143">
        <w:rPr>
          <w:rFonts w:ascii="Times New Roman" w:hAnsi="Times New Roman" w:cs="Times New Roman"/>
          <w:b/>
          <w:sz w:val="28"/>
          <w:szCs w:val="28"/>
        </w:rPr>
        <w:t xml:space="preserve">II. </w:t>
      </w:r>
      <w:r w:rsidR="006670FB" w:rsidRPr="00913143">
        <w:rPr>
          <w:rFonts w:ascii="Times New Roman" w:hAnsi="Times New Roman" w:cs="Times New Roman"/>
          <w:b/>
          <w:sz w:val="28"/>
          <w:szCs w:val="28"/>
        </w:rPr>
        <w:t>TÌNH HÌNH XÃ HỘI</w:t>
      </w:r>
    </w:p>
    <w:p w:rsidR="00644F4C" w:rsidRPr="00913143" w:rsidRDefault="00B41280" w:rsidP="001644E8">
      <w:pPr>
        <w:pStyle w:val="BodyTextIndent3"/>
        <w:spacing w:before="40" w:after="40"/>
        <w:ind w:left="0" w:firstLine="567"/>
        <w:jc w:val="both"/>
        <w:rPr>
          <w:rFonts w:ascii="Times New Roman" w:hAnsi="Times New Roman" w:cs="Times New Roman"/>
          <w:b/>
          <w:i/>
          <w:sz w:val="28"/>
          <w:szCs w:val="28"/>
          <w:lang w:val="fr-FR"/>
        </w:rPr>
      </w:pPr>
      <w:r w:rsidRPr="00913143">
        <w:rPr>
          <w:rFonts w:ascii="Times New Roman" w:hAnsi="Times New Roman" w:cs="Times New Roman"/>
          <w:b/>
          <w:i/>
          <w:iCs/>
          <w:sz w:val="28"/>
          <w:szCs w:val="28"/>
          <w:shd w:val="clear" w:color="auto" w:fill="FFFFFF"/>
        </w:rPr>
        <w:t xml:space="preserve">1. </w:t>
      </w:r>
      <w:r w:rsidR="00644F4C" w:rsidRPr="00913143">
        <w:rPr>
          <w:rFonts w:ascii="Times New Roman" w:hAnsi="Times New Roman" w:cs="Times New Roman"/>
          <w:b/>
          <w:i/>
          <w:sz w:val="28"/>
          <w:szCs w:val="28"/>
          <w:lang w:val="fr-FR"/>
        </w:rPr>
        <w:t>Tình hình lao động, việc làm quý II/2022 tiếp tục duy trì đà phục hồi, lực lượng lao động, số người đang làm việc, thu nhập bình quân tháng tăng so với quý trước và so với cùng kỳ năm trước. Tỷ lệ thất nghiệp và tỷ lệ thiếu việc làm trong độ tuổi lao động giảm so với quý trước và so với cùng kỳ năm trước.</w:t>
      </w:r>
    </w:p>
    <w:p w:rsidR="00F5422E" w:rsidRPr="00913143" w:rsidRDefault="00F5422E" w:rsidP="001644E8">
      <w:pPr>
        <w:spacing w:before="40" w:after="40"/>
        <w:ind w:firstLine="567"/>
        <w:jc w:val="both"/>
        <w:rPr>
          <w:rFonts w:ascii="Times New Roman" w:hAnsi="Times New Roman" w:cs="Times New Roman"/>
          <w:sz w:val="28"/>
          <w:szCs w:val="28"/>
          <w:lang w:val="en-IN"/>
        </w:rPr>
      </w:pPr>
      <w:r w:rsidRPr="00913143">
        <w:rPr>
          <w:rFonts w:ascii="Times New Roman" w:hAnsi="Times New Roman" w:cs="Times New Roman"/>
          <w:sz w:val="28"/>
          <w:szCs w:val="28"/>
        </w:rPr>
        <w:t>Quý II/202</w:t>
      </w:r>
      <w:r w:rsidR="00644F4C" w:rsidRPr="00913143">
        <w:rPr>
          <w:rFonts w:ascii="Times New Roman" w:hAnsi="Times New Roman" w:cs="Times New Roman"/>
          <w:sz w:val="28"/>
          <w:szCs w:val="28"/>
        </w:rPr>
        <w:t>2</w:t>
      </w:r>
      <w:r w:rsidRPr="00913143">
        <w:rPr>
          <w:rFonts w:ascii="Times New Roman" w:hAnsi="Times New Roman" w:cs="Times New Roman"/>
          <w:sz w:val="28"/>
          <w:szCs w:val="28"/>
        </w:rPr>
        <w:t>, l</w:t>
      </w:r>
      <w:r w:rsidR="00B41280" w:rsidRPr="00913143">
        <w:rPr>
          <w:rFonts w:ascii="Times New Roman" w:hAnsi="Times New Roman" w:cs="Times New Roman"/>
          <w:sz w:val="28"/>
          <w:szCs w:val="28"/>
        </w:rPr>
        <w:t xml:space="preserve">ực lượng lao động </w:t>
      </w:r>
      <w:r w:rsidR="00B41280" w:rsidRPr="00913143">
        <w:rPr>
          <w:rFonts w:ascii="Times New Roman" w:hAnsi="Times New Roman" w:cs="Times New Roman"/>
          <w:sz w:val="28"/>
          <w:szCs w:val="28"/>
          <w:lang w:val="de-DE"/>
        </w:rPr>
        <w:t>từ 15 tuổi trở lên của cả nước</w:t>
      </w:r>
      <w:r w:rsidR="00B41280" w:rsidRPr="00913143">
        <w:rPr>
          <w:rFonts w:ascii="Times New Roman" w:hAnsi="Times New Roman" w:cs="Times New Roman"/>
          <w:sz w:val="28"/>
          <w:szCs w:val="28"/>
        </w:rPr>
        <w:t xml:space="preserve"> ước tính là 51,</w:t>
      </w:r>
      <w:r w:rsidR="00644F4C" w:rsidRPr="00913143">
        <w:rPr>
          <w:rFonts w:ascii="Times New Roman" w:hAnsi="Times New Roman" w:cs="Times New Roman"/>
          <w:sz w:val="28"/>
          <w:szCs w:val="28"/>
        </w:rPr>
        <w:t>6</w:t>
      </w:r>
      <w:r w:rsidR="00B41280" w:rsidRPr="00913143">
        <w:rPr>
          <w:rFonts w:ascii="Times New Roman" w:hAnsi="Times New Roman" w:cs="Times New Roman"/>
          <w:sz w:val="28"/>
          <w:szCs w:val="28"/>
        </w:rPr>
        <w:t xml:space="preserve"> triệu người, tăng 44</w:t>
      </w:r>
      <w:r w:rsidR="00644F4C" w:rsidRPr="00913143">
        <w:rPr>
          <w:rFonts w:ascii="Times New Roman" w:hAnsi="Times New Roman" w:cs="Times New Roman"/>
          <w:sz w:val="28"/>
          <w:szCs w:val="28"/>
        </w:rPr>
        <w:t>4</w:t>
      </w:r>
      <w:r w:rsidR="00B41280" w:rsidRPr="00913143">
        <w:rPr>
          <w:rFonts w:ascii="Times New Roman" w:hAnsi="Times New Roman" w:cs="Times New Roman"/>
          <w:sz w:val="28"/>
          <w:szCs w:val="28"/>
        </w:rPr>
        <w:t xml:space="preserve">,7 nghìn người so với quý trước và tăng </w:t>
      </w:r>
      <w:r w:rsidR="00F940F2" w:rsidRPr="00913143">
        <w:rPr>
          <w:rFonts w:ascii="Times New Roman" w:hAnsi="Times New Roman" w:cs="Times New Roman"/>
          <w:sz w:val="28"/>
          <w:szCs w:val="28"/>
        </w:rPr>
        <w:t xml:space="preserve">558,9 nghìn </w:t>
      </w:r>
      <w:r w:rsidR="00B41280" w:rsidRPr="00913143">
        <w:rPr>
          <w:rFonts w:ascii="Times New Roman" w:hAnsi="Times New Roman" w:cs="Times New Roman"/>
          <w:sz w:val="28"/>
          <w:szCs w:val="28"/>
        </w:rPr>
        <w:t>người so với cùng kỳ năm trước</w:t>
      </w:r>
      <w:r w:rsidRPr="00913143">
        <w:rPr>
          <w:rFonts w:ascii="Times New Roman" w:hAnsi="Times New Roman" w:cs="Times New Roman"/>
          <w:sz w:val="28"/>
          <w:szCs w:val="28"/>
        </w:rPr>
        <w:t>; l</w:t>
      </w:r>
      <w:r w:rsidRPr="00913143">
        <w:rPr>
          <w:rFonts w:ascii="Times New Roman" w:hAnsi="Times New Roman" w:cs="Times New Roman"/>
          <w:sz w:val="28"/>
          <w:szCs w:val="28"/>
          <w:lang w:val="vi-VN"/>
        </w:rPr>
        <w:t xml:space="preserve">ao động 15 tuổi trở lên đang làm việc ước tính </w:t>
      </w:r>
      <w:r w:rsidR="00F940F2" w:rsidRPr="00913143">
        <w:rPr>
          <w:rFonts w:ascii="Times New Roman" w:hAnsi="Times New Roman" w:cs="Times New Roman"/>
          <w:sz w:val="28"/>
          <w:szCs w:val="28"/>
          <w:lang w:val="en-IN"/>
        </w:rPr>
        <w:t>50,5</w:t>
      </w:r>
      <w:r w:rsidRPr="00913143">
        <w:rPr>
          <w:rFonts w:ascii="Times New Roman" w:hAnsi="Times New Roman" w:cs="Times New Roman"/>
          <w:sz w:val="28"/>
          <w:szCs w:val="28"/>
          <w:lang w:val="vi-VN"/>
        </w:rPr>
        <w:t xml:space="preserve"> triệu người</w:t>
      </w:r>
      <w:r w:rsidR="00B41280" w:rsidRPr="00913143">
        <w:rPr>
          <w:rFonts w:ascii="Times New Roman" w:hAnsi="Times New Roman" w:cs="Times New Roman"/>
          <w:sz w:val="28"/>
          <w:szCs w:val="28"/>
        </w:rPr>
        <w:t xml:space="preserve">. </w:t>
      </w:r>
      <w:r w:rsidR="00B41280" w:rsidRPr="00913143">
        <w:rPr>
          <w:rFonts w:ascii="Times New Roman" w:hAnsi="Times New Roman" w:cs="Times New Roman"/>
          <w:sz w:val="28"/>
          <w:szCs w:val="28"/>
          <w:lang w:val="vi-VN"/>
        </w:rPr>
        <w:t xml:space="preserve">Tính chung </w:t>
      </w:r>
      <w:r w:rsidR="00B41280" w:rsidRPr="00913143">
        <w:rPr>
          <w:rFonts w:ascii="Times New Roman" w:hAnsi="Times New Roman" w:cs="Times New Roman"/>
          <w:sz w:val="28"/>
          <w:szCs w:val="28"/>
          <w:lang w:val="en-US"/>
        </w:rPr>
        <w:t>6 tháng đầu năm</w:t>
      </w:r>
      <w:r w:rsidR="00B41280" w:rsidRPr="00913143">
        <w:rPr>
          <w:rFonts w:ascii="Times New Roman" w:hAnsi="Times New Roman" w:cs="Times New Roman"/>
          <w:sz w:val="28"/>
          <w:szCs w:val="28"/>
          <w:lang w:val="vi-VN"/>
        </w:rPr>
        <w:t>, lực lượng lao động từ 15 tuổi trở lên là 51</w:t>
      </w:r>
      <w:r w:rsidR="00F940F2" w:rsidRPr="00913143">
        <w:rPr>
          <w:rFonts w:ascii="Times New Roman" w:hAnsi="Times New Roman" w:cs="Times New Roman"/>
          <w:sz w:val="28"/>
          <w:szCs w:val="28"/>
          <w:lang w:val="en-IN"/>
        </w:rPr>
        <w:t>,4</w:t>
      </w:r>
      <w:r w:rsidR="00B41280" w:rsidRPr="00913143">
        <w:rPr>
          <w:rFonts w:ascii="Times New Roman" w:hAnsi="Times New Roman" w:cs="Times New Roman"/>
          <w:sz w:val="28"/>
          <w:szCs w:val="28"/>
          <w:lang w:val="vi-VN"/>
        </w:rPr>
        <w:t xml:space="preserve"> triệu người, </w:t>
      </w:r>
      <w:r w:rsidR="00B41280" w:rsidRPr="00913143">
        <w:rPr>
          <w:rFonts w:ascii="Times New Roman" w:hAnsi="Times New Roman" w:cs="Times New Roman"/>
          <w:sz w:val="28"/>
          <w:szCs w:val="28"/>
          <w:lang w:val="en-US"/>
        </w:rPr>
        <w:t xml:space="preserve">tăng </w:t>
      </w:r>
      <w:r w:rsidR="00F940F2" w:rsidRPr="00913143">
        <w:rPr>
          <w:rFonts w:ascii="Times New Roman" w:hAnsi="Times New Roman" w:cs="Times New Roman"/>
          <w:sz w:val="28"/>
          <w:szCs w:val="28"/>
          <w:lang w:val="en-US"/>
        </w:rPr>
        <w:t>358,8</w:t>
      </w:r>
      <w:r w:rsidR="00B41280" w:rsidRPr="00913143">
        <w:rPr>
          <w:rFonts w:ascii="Times New Roman" w:hAnsi="Times New Roman" w:cs="Times New Roman"/>
          <w:sz w:val="28"/>
          <w:szCs w:val="28"/>
          <w:lang w:val="en-US"/>
        </w:rPr>
        <w:t xml:space="preserve"> nghìn người so với cùng kỳ năm 202</w:t>
      </w:r>
      <w:r w:rsidR="00F940F2" w:rsidRPr="00913143">
        <w:rPr>
          <w:rFonts w:ascii="Times New Roman" w:hAnsi="Times New Roman" w:cs="Times New Roman"/>
          <w:sz w:val="28"/>
          <w:szCs w:val="28"/>
          <w:lang w:val="en-US"/>
        </w:rPr>
        <w:t>1</w:t>
      </w:r>
      <w:r w:rsidRPr="00913143">
        <w:rPr>
          <w:rFonts w:ascii="Times New Roman" w:hAnsi="Times New Roman" w:cs="Times New Roman"/>
          <w:sz w:val="28"/>
          <w:szCs w:val="28"/>
          <w:lang w:val="en-US"/>
        </w:rPr>
        <w:t xml:space="preserve">; </w:t>
      </w:r>
      <w:r w:rsidR="00B41280" w:rsidRPr="00913143">
        <w:rPr>
          <w:rFonts w:ascii="Times New Roman" w:hAnsi="Times New Roman" w:cs="Times New Roman"/>
          <w:sz w:val="28"/>
          <w:szCs w:val="28"/>
          <w:lang w:val="vi-VN"/>
        </w:rPr>
        <w:t xml:space="preserve">lao động 15 tuổi trở lên đang làm việc là </w:t>
      </w:r>
      <w:r w:rsidR="00F940F2" w:rsidRPr="00913143">
        <w:rPr>
          <w:rFonts w:ascii="Times New Roman" w:hAnsi="Times New Roman" w:cs="Times New Roman"/>
          <w:sz w:val="28"/>
          <w:szCs w:val="28"/>
          <w:lang w:val="en-IN"/>
        </w:rPr>
        <w:t>50,3</w:t>
      </w:r>
      <w:r w:rsidR="00B41280" w:rsidRPr="00913143">
        <w:rPr>
          <w:rFonts w:ascii="Times New Roman" w:hAnsi="Times New Roman" w:cs="Times New Roman"/>
          <w:sz w:val="28"/>
          <w:szCs w:val="28"/>
          <w:lang w:val="vi-VN"/>
        </w:rPr>
        <w:t xml:space="preserve"> triệu người</w:t>
      </w:r>
      <w:r w:rsidRPr="00913143">
        <w:rPr>
          <w:rFonts w:ascii="Times New Roman" w:hAnsi="Times New Roman" w:cs="Times New Roman"/>
          <w:sz w:val="28"/>
          <w:szCs w:val="28"/>
          <w:lang w:val="en-IN"/>
        </w:rPr>
        <w:t>.</w:t>
      </w:r>
    </w:p>
    <w:p w:rsidR="00F5422E" w:rsidRPr="00913143" w:rsidRDefault="00B41280" w:rsidP="001644E8">
      <w:pPr>
        <w:spacing w:before="40" w:after="40"/>
        <w:ind w:firstLine="567"/>
        <w:jc w:val="both"/>
        <w:rPr>
          <w:rFonts w:ascii="Times New Roman" w:hAnsi="Times New Roman" w:cs="Times New Roman"/>
          <w:sz w:val="28"/>
          <w:szCs w:val="28"/>
          <w:lang w:val="en-US"/>
        </w:rPr>
      </w:pPr>
      <w:r w:rsidRPr="00913143">
        <w:rPr>
          <w:rFonts w:ascii="Times New Roman" w:hAnsi="Times New Roman" w:cs="Times New Roman"/>
          <w:sz w:val="28"/>
          <w:szCs w:val="28"/>
          <w:lang w:val="vi-VN"/>
        </w:rPr>
        <w:t xml:space="preserve">Tỷ lệ thất nghiệp </w:t>
      </w:r>
      <w:r w:rsidR="00F940F2" w:rsidRPr="00913143">
        <w:rPr>
          <w:rFonts w:ascii="Times New Roman" w:hAnsi="Times New Roman" w:cs="Times New Roman"/>
          <w:sz w:val="28"/>
          <w:szCs w:val="28"/>
          <w:lang w:val="en-IN"/>
        </w:rPr>
        <w:t xml:space="preserve">trong độ tuổi lao động </w:t>
      </w:r>
      <w:r w:rsidRPr="00913143">
        <w:rPr>
          <w:rFonts w:ascii="Times New Roman" w:hAnsi="Times New Roman" w:cs="Times New Roman"/>
          <w:sz w:val="28"/>
          <w:szCs w:val="28"/>
          <w:lang w:val="en-US"/>
        </w:rPr>
        <w:t>cả nước 6 tháng đầu năm</w:t>
      </w:r>
      <w:r w:rsidRPr="00913143">
        <w:rPr>
          <w:rFonts w:ascii="Times New Roman" w:hAnsi="Times New Roman" w:cs="Times New Roman"/>
          <w:sz w:val="28"/>
          <w:szCs w:val="28"/>
          <w:lang w:val="vi-VN"/>
        </w:rPr>
        <w:t xml:space="preserve"> ước tính là 2,3</w:t>
      </w:r>
      <w:r w:rsidR="00F940F2" w:rsidRPr="00913143">
        <w:rPr>
          <w:rFonts w:ascii="Times New Roman" w:hAnsi="Times New Roman" w:cs="Times New Roman"/>
          <w:sz w:val="28"/>
          <w:szCs w:val="28"/>
          <w:lang w:val="en-IN"/>
        </w:rPr>
        <w:t>9</w:t>
      </w:r>
      <w:r w:rsidRPr="00913143">
        <w:rPr>
          <w:rFonts w:ascii="Times New Roman" w:hAnsi="Times New Roman" w:cs="Times New Roman"/>
          <w:sz w:val="28"/>
          <w:szCs w:val="28"/>
          <w:lang w:val="vi-VN"/>
        </w:rPr>
        <w:t>%</w:t>
      </w:r>
      <w:r w:rsidRPr="00913143">
        <w:rPr>
          <w:rFonts w:ascii="Times New Roman" w:hAnsi="Times New Roman" w:cs="Times New Roman"/>
          <w:sz w:val="28"/>
          <w:szCs w:val="28"/>
          <w:lang w:val="en-US"/>
        </w:rPr>
        <w:t xml:space="preserve"> (quý II là 2,</w:t>
      </w:r>
      <w:r w:rsidR="00F940F2" w:rsidRPr="00913143">
        <w:rPr>
          <w:rFonts w:ascii="Times New Roman" w:hAnsi="Times New Roman" w:cs="Times New Roman"/>
          <w:sz w:val="28"/>
          <w:szCs w:val="28"/>
          <w:lang w:val="en-US"/>
        </w:rPr>
        <w:t>32</w:t>
      </w:r>
      <w:r w:rsidRPr="00913143">
        <w:rPr>
          <w:rFonts w:ascii="Times New Roman" w:hAnsi="Times New Roman" w:cs="Times New Roman"/>
          <w:sz w:val="28"/>
          <w:szCs w:val="28"/>
          <w:lang w:val="en-US"/>
        </w:rPr>
        <w:t>%)</w:t>
      </w:r>
      <w:r w:rsidRPr="00913143">
        <w:rPr>
          <w:rFonts w:ascii="Times New Roman" w:hAnsi="Times New Roman" w:cs="Times New Roman"/>
          <w:sz w:val="28"/>
          <w:szCs w:val="28"/>
          <w:lang w:val="vi-VN"/>
        </w:rPr>
        <w:t xml:space="preserve">, trong đó tỷ lệ thất nghiệp khu vực thành thị là </w:t>
      </w:r>
      <w:r w:rsidR="00F940F2" w:rsidRPr="00913143">
        <w:rPr>
          <w:rFonts w:ascii="Times New Roman" w:hAnsi="Times New Roman" w:cs="Times New Roman"/>
          <w:sz w:val="28"/>
          <w:szCs w:val="28"/>
          <w:lang w:val="en-IN"/>
        </w:rPr>
        <w:t>2,93</w:t>
      </w:r>
      <w:r w:rsidRPr="00913143">
        <w:rPr>
          <w:rFonts w:ascii="Times New Roman" w:hAnsi="Times New Roman" w:cs="Times New Roman"/>
          <w:sz w:val="28"/>
          <w:szCs w:val="28"/>
          <w:lang w:val="vi-VN"/>
        </w:rPr>
        <w:t xml:space="preserve">%; khu vực nông thôn là </w:t>
      </w:r>
      <w:r w:rsidR="00F940F2" w:rsidRPr="00913143">
        <w:rPr>
          <w:rFonts w:ascii="Times New Roman" w:hAnsi="Times New Roman" w:cs="Times New Roman"/>
          <w:sz w:val="28"/>
          <w:szCs w:val="28"/>
          <w:lang w:val="en-IN"/>
        </w:rPr>
        <w:t>2,05</w:t>
      </w:r>
      <w:r w:rsidRPr="00913143">
        <w:rPr>
          <w:rFonts w:ascii="Times New Roman" w:hAnsi="Times New Roman" w:cs="Times New Roman"/>
          <w:sz w:val="28"/>
          <w:szCs w:val="28"/>
          <w:lang w:val="vi-VN"/>
        </w:rPr>
        <w:t>%.</w:t>
      </w:r>
      <w:r w:rsidRPr="00913143">
        <w:rPr>
          <w:rFonts w:ascii="Times New Roman" w:hAnsi="Times New Roman" w:cs="Times New Roman"/>
          <w:sz w:val="28"/>
          <w:szCs w:val="28"/>
          <w:lang w:val="en-US"/>
        </w:rPr>
        <w:t xml:space="preserve"> </w:t>
      </w:r>
    </w:p>
    <w:p w:rsidR="00F5422E" w:rsidRPr="00913143" w:rsidRDefault="00B41280" w:rsidP="001644E8">
      <w:pPr>
        <w:spacing w:before="40" w:after="40"/>
        <w:ind w:firstLine="567"/>
        <w:jc w:val="both"/>
        <w:rPr>
          <w:rFonts w:ascii="Times New Roman" w:hAnsi="Times New Roman" w:cs="Times New Roman"/>
          <w:sz w:val="28"/>
          <w:szCs w:val="28"/>
          <w:lang w:val="en-IN"/>
        </w:rPr>
      </w:pPr>
      <w:r w:rsidRPr="00913143">
        <w:rPr>
          <w:rFonts w:ascii="Times New Roman" w:hAnsi="Times New Roman" w:cs="Times New Roman"/>
          <w:sz w:val="28"/>
          <w:szCs w:val="28"/>
          <w:lang w:val="vi-VN"/>
        </w:rPr>
        <w:t xml:space="preserve">Tỷ lệ thiếu việc làm của lao động trong độ tuổi </w:t>
      </w:r>
      <w:r w:rsidR="00F940F2" w:rsidRPr="00913143">
        <w:rPr>
          <w:rFonts w:ascii="Times New Roman" w:hAnsi="Times New Roman" w:cs="Times New Roman"/>
          <w:sz w:val="28"/>
          <w:szCs w:val="28"/>
          <w:lang w:val="en-IN"/>
        </w:rPr>
        <w:t xml:space="preserve">lao động </w:t>
      </w:r>
      <w:r w:rsidRPr="00913143">
        <w:rPr>
          <w:rFonts w:ascii="Times New Roman" w:hAnsi="Times New Roman" w:cs="Times New Roman"/>
          <w:sz w:val="28"/>
          <w:szCs w:val="28"/>
          <w:lang w:val="en-US"/>
        </w:rPr>
        <w:t xml:space="preserve">6 tháng đầu năm </w:t>
      </w:r>
      <w:r w:rsidRPr="00913143">
        <w:rPr>
          <w:rFonts w:ascii="Times New Roman" w:hAnsi="Times New Roman" w:cs="Times New Roman"/>
          <w:sz w:val="28"/>
          <w:szCs w:val="28"/>
          <w:lang w:val="vi-VN"/>
        </w:rPr>
        <w:t xml:space="preserve">ước tính là </w:t>
      </w:r>
      <w:r w:rsidRPr="00913143">
        <w:rPr>
          <w:rFonts w:ascii="Times New Roman" w:hAnsi="Times New Roman" w:cs="Times New Roman"/>
          <w:sz w:val="28"/>
          <w:szCs w:val="28"/>
          <w:lang w:val="en-US"/>
        </w:rPr>
        <w:t>2,</w:t>
      </w:r>
      <w:r w:rsidR="00F940F2" w:rsidRPr="00913143">
        <w:rPr>
          <w:rFonts w:ascii="Times New Roman" w:hAnsi="Times New Roman" w:cs="Times New Roman"/>
          <w:sz w:val="28"/>
          <w:szCs w:val="28"/>
          <w:lang w:val="en-US"/>
        </w:rPr>
        <w:t>4</w:t>
      </w:r>
      <w:r w:rsidRPr="00913143">
        <w:rPr>
          <w:rFonts w:ascii="Times New Roman" w:hAnsi="Times New Roman" w:cs="Times New Roman"/>
          <w:sz w:val="28"/>
          <w:szCs w:val="28"/>
          <w:lang w:val="en-US"/>
        </w:rPr>
        <w:t>8</w:t>
      </w:r>
      <w:r w:rsidRPr="00913143">
        <w:rPr>
          <w:rFonts w:ascii="Times New Roman" w:hAnsi="Times New Roman" w:cs="Times New Roman"/>
          <w:sz w:val="28"/>
          <w:szCs w:val="28"/>
          <w:lang w:val="vi-VN"/>
        </w:rPr>
        <w:t xml:space="preserve">%, trong đó tỷ lệ thiếu việc làm khu vực thành thị là </w:t>
      </w:r>
      <w:r w:rsidR="00F940F2" w:rsidRPr="00913143">
        <w:rPr>
          <w:rFonts w:ascii="Times New Roman" w:hAnsi="Times New Roman" w:cs="Times New Roman"/>
          <w:sz w:val="28"/>
          <w:szCs w:val="28"/>
          <w:lang w:val="en-IN"/>
        </w:rPr>
        <w:t>1,88</w:t>
      </w:r>
      <w:r w:rsidRPr="00913143">
        <w:rPr>
          <w:rFonts w:ascii="Times New Roman" w:hAnsi="Times New Roman" w:cs="Times New Roman"/>
          <w:sz w:val="28"/>
          <w:szCs w:val="28"/>
          <w:lang w:val="vi-VN"/>
        </w:rPr>
        <w:t xml:space="preserve">%; tỷ lệ thiếu việc làm khu vực nông thôn là </w:t>
      </w:r>
      <w:r w:rsidRPr="00913143">
        <w:rPr>
          <w:rFonts w:ascii="Times New Roman" w:hAnsi="Times New Roman" w:cs="Times New Roman"/>
          <w:sz w:val="28"/>
          <w:szCs w:val="28"/>
          <w:lang w:val="en-US"/>
        </w:rPr>
        <w:t>2,</w:t>
      </w:r>
      <w:r w:rsidR="00F940F2" w:rsidRPr="00913143">
        <w:rPr>
          <w:rFonts w:ascii="Times New Roman" w:hAnsi="Times New Roman" w:cs="Times New Roman"/>
          <w:sz w:val="28"/>
          <w:szCs w:val="28"/>
          <w:lang w:val="en-US"/>
        </w:rPr>
        <w:t>8</w:t>
      </w:r>
      <w:r w:rsidRPr="00913143">
        <w:rPr>
          <w:rFonts w:ascii="Times New Roman" w:hAnsi="Times New Roman" w:cs="Times New Roman"/>
          <w:sz w:val="28"/>
          <w:szCs w:val="28"/>
          <w:lang w:val="en-US"/>
        </w:rPr>
        <w:t>5</w:t>
      </w:r>
      <w:r w:rsidRPr="00913143">
        <w:rPr>
          <w:rFonts w:ascii="Times New Roman" w:hAnsi="Times New Roman" w:cs="Times New Roman"/>
          <w:sz w:val="28"/>
          <w:szCs w:val="28"/>
          <w:lang w:val="vi-VN"/>
        </w:rPr>
        <w:t>%</w:t>
      </w:r>
      <w:r w:rsidR="00F5422E" w:rsidRPr="00913143">
        <w:rPr>
          <w:rFonts w:ascii="Times New Roman" w:hAnsi="Times New Roman" w:cs="Times New Roman"/>
          <w:sz w:val="28"/>
          <w:szCs w:val="28"/>
          <w:lang w:val="en-IN"/>
        </w:rPr>
        <w:t>.</w:t>
      </w:r>
    </w:p>
    <w:p w:rsidR="008D7EDC" w:rsidRPr="00913143" w:rsidRDefault="00A57D4F" w:rsidP="001D3415">
      <w:pPr>
        <w:spacing w:before="40" w:after="40" w:line="259" w:lineRule="auto"/>
        <w:ind w:firstLine="567"/>
        <w:jc w:val="both"/>
        <w:rPr>
          <w:rFonts w:ascii="Times New Roman Bold" w:hAnsi="Times New Roman Bold" w:cs="Times New Roman"/>
          <w:b/>
          <w:bCs/>
          <w:i/>
          <w:iCs/>
          <w:spacing w:val="-8"/>
          <w:sz w:val="28"/>
          <w:szCs w:val="28"/>
        </w:rPr>
      </w:pPr>
      <w:r w:rsidRPr="00913143">
        <w:rPr>
          <w:rStyle w:val="normalchar"/>
          <w:rFonts w:ascii="Times New Roman Bold" w:hAnsi="Times New Roman Bold"/>
          <w:b/>
          <w:i/>
          <w:spacing w:val="-8"/>
          <w:sz w:val="28"/>
          <w:szCs w:val="28"/>
          <w:lang w:val="nl-NL"/>
        </w:rPr>
        <w:t>2</w:t>
      </w:r>
      <w:r w:rsidR="00846C2A" w:rsidRPr="00913143">
        <w:rPr>
          <w:rStyle w:val="normalchar"/>
          <w:rFonts w:ascii="Times New Roman Bold" w:hAnsi="Times New Roman Bold"/>
          <w:b/>
          <w:i/>
          <w:spacing w:val="-8"/>
          <w:sz w:val="28"/>
          <w:szCs w:val="28"/>
          <w:lang w:val="nl-NL"/>
        </w:rPr>
        <w:t>.</w:t>
      </w:r>
      <w:r w:rsidR="00E32B63" w:rsidRPr="00913143">
        <w:rPr>
          <w:rStyle w:val="normalchar"/>
          <w:rFonts w:ascii="Times New Roman Bold" w:hAnsi="Times New Roman Bold"/>
          <w:b/>
          <w:i/>
          <w:spacing w:val="-8"/>
          <w:sz w:val="28"/>
          <w:szCs w:val="28"/>
          <w:lang w:val="nl-NL"/>
        </w:rPr>
        <w:t xml:space="preserve"> </w:t>
      </w:r>
      <w:r w:rsidR="008D7EDC" w:rsidRPr="00913143">
        <w:rPr>
          <w:rFonts w:ascii="Times New Roman Bold" w:hAnsi="Times New Roman Bold" w:cs="Times New Roman"/>
          <w:b/>
          <w:i/>
          <w:spacing w:val="-8"/>
          <w:sz w:val="28"/>
          <w:szCs w:val="28"/>
        </w:rPr>
        <w:t xml:space="preserve">Đời sống dân cư </w:t>
      </w:r>
      <w:r w:rsidRPr="00913143">
        <w:rPr>
          <w:rFonts w:ascii="Times New Roman Bold" w:hAnsi="Times New Roman Bold" w:cs="Times New Roman"/>
          <w:b/>
          <w:i/>
          <w:spacing w:val="-8"/>
          <w:sz w:val="28"/>
          <w:szCs w:val="28"/>
        </w:rPr>
        <w:t>và</w:t>
      </w:r>
      <w:r w:rsidR="008D7EDC" w:rsidRPr="00913143">
        <w:rPr>
          <w:rFonts w:ascii="Times New Roman Bold" w:hAnsi="Times New Roman Bold" w:cs="Times New Roman"/>
          <w:b/>
          <w:i/>
          <w:spacing w:val="-8"/>
          <w:sz w:val="28"/>
          <w:szCs w:val="28"/>
        </w:rPr>
        <w:t xml:space="preserve"> công tác an sinh xã hội được chính quyền các cấp quan tâm thực hiện</w:t>
      </w:r>
      <w:r w:rsidRPr="00913143">
        <w:rPr>
          <w:rFonts w:ascii="Times New Roman Bold" w:hAnsi="Times New Roman Bold" w:cs="Times New Roman"/>
          <w:b/>
          <w:i/>
          <w:spacing w:val="-8"/>
          <w:sz w:val="28"/>
          <w:szCs w:val="28"/>
        </w:rPr>
        <w:t xml:space="preserve">; chương trình xây dựng nông thôn mới trong những năm qua có tác động tích cực, góp phần nâng cao đời sống người dân </w:t>
      </w:r>
      <w:r w:rsidRPr="00913143">
        <w:rPr>
          <w:rFonts w:ascii="Times New Roman Bold" w:hAnsi="Times New Roman Bold" w:cs="Times New Roman"/>
          <w:b/>
          <w:bCs/>
          <w:i/>
          <w:iCs/>
          <w:spacing w:val="-8"/>
          <w:sz w:val="28"/>
          <w:szCs w:val="28"/>
        </w:rPr>
        <w:t>khu vực nông thôn</w:t>
      </w:r>
      <w:r w:rsidR="00C6304C" w:rsidRPr="00913143">
        <w:rPr>
          <w:rFonts w:ascii="Times New Roman Bold" w:hAnsi="Times New Roman Bold" w:cs="Times New Roman"/>
          <w:b/>
          <w:bCs/>
          <w:i/>
          <w:iCs/>
          <w:spacing w:val="-8"/>
          <w:sz w:val="28"/>
          <w:szCs w:val="28"/>
        </w:rPr>
        <w:t>.</w:t>
      </w:r>
    </w:p>
    <w:p w:rsidR="00C6304C" w:rsidRPr="00913143" w:rsidRDefault="00C6304C" w:rsidP="001644E8">
      <w:pPr>
        <w:widowControl w:val="0"/>
        <w:spacing w:before="40" w:after="40" w:line="254" w:lineRule="auto"/>
        <w:ind w:firstLine="567"/>
        <w:jc w:val="both"/>
        <w:rPr>
          <w:rStyle w:val="fontstyle01"/>
          <w:rFonts w:cs="Times New Roman"/>
          <w:bCs/>
          <w:iCs/>
          <w:color w:val="auto"/>
          <w:szCs w:val="28"/>
          <w:lang w:val="nl-NL"/>
        </w:rPr>
      </w:pPr>
      <w:r w:rsidRPr="00913143">
        <w:rPr>
          <w:rFonts w:ascii="Times New Roman" w:hAnsi="Times New Roman" w:cs="Times New Roman"/>
          <w:sz w:val="28"/>
          <w:szCs w:val="28"/>
          <w:lang w:val="nl-NL"/>
        </w:rPr>
        <w:t>Trong 6 tháng đầu năm, giá trị quà tặng cho các đối tượng bảo trợ xã hội</w:t>
      </w:r>
      <w:r w:rsidRPr="00913143">
        <w:rPr>
          <w:rStyle w:val="fontstyle01"/>
          <w:rFonts w:cs="Times New Roman"/>
          <w:bCs/>
          <w:iCs/>
          <w:color w:val="auto"/>
          <w:szCs w:val="28"/>
          <w:lang w:val="nl-NL"/>
        </w:rPr>
        <w:t xml:space="preserve"> từ nguồn ngân sách và xã hội hóa là gần 1,7 nghìn tỷ đồng; trị giá tiền, quà thăm hỏi và các hỗ trợ cho hộ nghèo, hộ cận nghèo là hơn 1,4 nghìn tỷ đồng; trị giá tiền và quà cho các đối tượng ưu đãi là người có công, thân nhân người có công với cách mạng là gần 2,4 nghìn tỷ đồng; hỗ trợ đột biến, bất thường (thiên tai, bão lũ…) phát sinh tại địa phương hơn 4,3 nghìn tỷ đồng. </w:t>
      </w:r>
      <w:r w:rsidRPr="00913143">
        <w:rPr>
          <w:rFonts w:ascii="Times New Roman" w:hAnsi="Times New Roman" w:cs="Times New Roman"/>
          <w:sz w:val="28"/>
          <w:szCs w:val="28"/>
          <w:lang w:val="nl-NL"/>
        </w:rPr>
        <w:t xml:space="preserve">Ngoài ra, có </w:t>
      </w:r>
      <w:r w:rsidRPr="00913143">
        <w:rPr>
          <w:rStyle w:val="fontstyle01"/>
          <w:rFonts w:cs="Times New Roman"/>
          <w:color w:val="auto"/>
          <w:szCs w:val="28"/>
          <w:lang w:val="nl-NL"/>
        </w:rPr>
        <w:t xml:space="preserve">gần 28,7 </w:t>
      </w:r>
      <w:r w:rsidRPr="00913143">
        <w:rPr>
          <w:rFonts w:ascii="Times New Roman" w:hAnsi="Times New Roman" w:cs="Times New Roman"/>
          <w:sz w:val="28"/>
          <w:szCs w:val="28"/>
          <w:lang w:val="nl-NL"/>
        </w:rPr>
        <w:t xml:space="preserve">triệu thẻ BHYT/sổ/thẻ khám chữa bệnh miễn phí được phát, tặng cho các đối tượng chính sách trên địa bàn cả nước. </w:t>
      </w:r>
    </w:p>
    <w:p w:rsidR="00C6304C" w:rsidRPr="00913143" w:rsidRDefault="00C6304C" w:rsidP="001644E8">
      <w:pPr>
        <w:pStyle w:val="BodyTextIndent"/>
        <w:widowControl w:val="0"/>
        <w:tabs>
          <w:tab w:val="left" w:pos="567"/>
        </w:tabs>
        <w:spacing w:before="40" w:after="40" w:line="254" w:lineRule="auto"/>
        <w:ind w:firstLine="567"/>
        <w:rPr>
          <w:rFonts w:ascii="Times New Roman" w:hAnsi="Times New Roman" w:cs="Times New Roman"/>
          <w:snapToGrid w:val="0"/>
          <w:lang w:val="nl-NL"/>
        </w:rPr>
      </w:pPr>
      <w:r w:rsidRPr="00913143">
        <w:rPr>
          <w:rFonts w:ascii="Times New Roman" w:hAnsi="Times New Roman" w:cs="Times New Roman"/>
          <w:lang w:val="nl-NL"/>
        </w:rPr>
        <w:t xml:space="preserve">Bên cạnh đó, các gói hỗ trợ do ảnh hưởng dịch Covid-19 của Chính phủ tiếp tục được thực hiện. </w:t>
      </w:r>
      <w:r w:rsidRPr="00913143">
        <w:rPr>
          <w:rStyle w:val="fontstyle01"/>
          <w:rFonts w:cs="Times New Roman"/>
          <w:color w:val="auto"/>
          <w:lang w:val="nl-NL"/>
        </w:rPr>
        <w:t xml:space="preserve">Tính đến ngày 15/6/2022, gói hỗ trợ theo Nghị quyết số 68/NQ-CP ngày 01/7/2021 và Nghị quyết số 126/NQ-CP ngày 8/10/2021 đã triển khai được </w:t>
      </w:r>
      <w:r w:rsidRPr="00913143">
        <w:rPr>
          <w:rFonts w:ascii="Times New Roman" w:hAnsi="Times New Roman" w:cs="Times New Roman"/>
          <w:bCs/>
          <w:snapToGrid w:val="0"/>
          <w:lang w:val="nl-NL"/>
        </w:rPr>
        <w:t xml:space="preserve">hơn 43,5 nghìn tỷ đồng, cho 36,7 triệu lượt người lao động và gần 381,7 nghìn đơn vị/hộ kinh doanh sử dụng lao động; gói hỗ trợ theo </w:t>
      </w:r>
      <w:r w:rsidRPr="00913143">
        <w:rPr>
          <w:rStyle w:val="fontstyle01"/>
          <w:rFonts w:cs="Times New Roman"/>
          <w:color w:val="auto"/>
          <w:lang w:val="nl-NL"/>
        </w:rPr>
        <w:t xml:space="preserve">Nghị quyết số 116/NQ-CP ngày 24/9/2021 với tổng mức hỗ trợ </w:t>
      </w:r>
      <w:r w:rsidRPr="00913143">
        <w:rPr>
          <w:rFonts w:ascii="Times New Roman" w:hAnsi="Times New Roman" w:cs="Times New Roman"/>
          <w:iCs/>
          <w:snapToGrid w:val="0"/>
          <w:lang w:val="nl-NL"/>
        </w:rPr>
        <w:t xml:space="preserve">gần 38,4 nghìn tỷ đồng cho gần 13 triệu lượt lao động và gần </w:t>
      </w:r>
      <w:r w:rsidRPr="00913143">
        <w:rPr>
          <w:rFonts w:ascii="Times New Roman" w:hAnsi="Times New Roman" w:cs="Times New Roman"/>
          <w:bCs/>
          <w:snapToGrid w:val="0"/>
          <w:lang w:val="nl-NL"/>
        </w:rPr>
        <w:t xml:space="preserve">346,7 nghìn đơn vị/hộ kinh doanh sử dụng lao động; </w:t>
      </w:r>
      <w:r w:rsidRPr="00913143">
        <w:rPr>
          <w:rStyle w:val="fontstyle01"/>
          <w:rFonts w:cs="Times New Roman"/>
          <w:color w:val="auto"/>
          <w:lang w:val="nl-NL"/>
        </w:rPr>
        <w:t>gói hỗ trợ theo Nghị quyết số 11/NQ-CP ngày 30/01/2022 với mức hỗ trợ</w:t>
      </w:r>
      <w:r w:rsidRPr="00913143">
        <w:rPr>
          <w:rFonts w:ascii="Times New Roman" w:eastAsia="Calibri" w:hAnsi="Times New Roman" w:cs="Times New Roman"/>
          <w:lang w:val="nl-NL"/>
        </w:rPr>
        <w:t xml:space="preserve"> đạt 14,1 tỷ đồng cho 25.660 lao động của 487 đơn vị sử dụng lao động</w:t>
      </w:r>
      <w:r w:rsidRPr="00913143">
        <w:rPr>
          <w:rFonts w:ascii="Times New Roman" w:hAnsi="Times New Roman" w:cs="Times New Roman"/>
          <w:snapToGrid w:val="0"/>
          <w:lang w:val="nl-NL"/>
        </w:rPr>
        <w:t xml:space="preserve">. </w:t>
      </w:r>
    </w:p>
    <w:p w:rsidR="00C6304C" w:rsidRPr="00913143" w:rsidRDefault="00C6304C" w:rsidP="001644E8">
      <w:pPr>
        <w:pStyle w:val="BodyTextIndent"/>
        <w:tabs>
          <w:tab w:val="left" w:pos="567"/>
        </w:tabs>
        <w:spacing w:before="40" w:after="40" w:line="254" w:lineRule="auto"/>
        <w:ind w:firstLine="567"/>
        <w:rPr>
          <w:rFonts w:ascii="Times New Roman" w:hAnsi="Times New Roman" w:cs="Times New Roman"/>
          <w:bCs/>
          <w:lang w:val="nl-NL"/>
        </w:rPr>
      </w:pPr>
      <w:r w:rsidRPr="00913143">
        <w:rPr>
          <w:rFonts w:ascii="Times New Roman" w:hAnsi="Times New Roman" w:cs="Times New Roman"/>
          <w:bCs/>
          <w:lang w:val="nl-NL"/>
        </w:rPr>
        <w:t>Đến hết tháng 5/2022, cả nước có 5.760 xã/8.227 xã đạt chuẩn nông thôn mới (70%); có 700 xã đạt chuẩn nông thôn mới nâng cao. Bình quân cả nước đạt 17 tiêu chí/xã; có 234 đơn vị cấp huyện thuộc 55 tỉnh/thành phố đạt chuẩn nông thôn mới; có 16 tỉnh</w:t>
      </w:r>
      <w:r w:rsidRPr="00913143">
        <w:rPr>
          <w:rStyle w:val="FootnoteReference"/>
          <w:rFonts w:ascii="Times New Roman" w:hAnsi="Times New Roman"/>
          <w:bCs/>
        </w:rPr>
        <w:footnoteReference w:id="16"/>
      </w:r>
      <w:r w:rsidRPr="00913143">
        <w:rPr>
          <w:rFonts w:ascii="Times New Roman" w:hAnsi="Times New Roman" w:cs="Times New Roman"/>
          <w:bCs/>
          <w:lang w:val="nl-NL"/>
        </w:rPr>
        <w:t xml:space="preserve"> có 100% số xã đạt chuẩn nông thôn mới.</w:t>
      </w:r>
    </w:p>
    <w:p w:rsidR="00846543" w:rsidRPr="00913143" w:rsidRDefault="00E52E13" w:rsidP="001644E8">
      <w:pPr>
        <w:spacing w:before="40" w:after="40" w:line="254" w:lineRule="auto"/>
        <w:ind w:firstLine="567"/>
        <w:jc w:val="both"/>
        <w:rPr>
          <w:rFonts w:ascii="Times New Roman" w:hAnsi="Times New Roman" w:cs="Times New Roman"/>
          <w:b/>
          <w:i/>
          <w:sz w:val="28"/>
          <w:szCs w:val="28"/>
          <w:lang w:val="nl-NL"/>
        </w:rPr>
      </w:pPr>
      <w:r w:rsidRPr="00913143">
        <w:rPr>
          <w:rFonts w:ascii="Times New Roman" w:hAnsi="Times New Roman" w:cs="Times New Roman"/>
          <w:b/>
          <w:i/>
          <w:sz w:val="28"/>
          <w:szCs w:val="28"/>
        </w:rPr>
        <w:t xml:space="preserve">3. </w:t>
      </w:r>
      <w:r w:rsidR="00846543" w:rsidRPr="00913143">
        <w:rPr>
          <w:rFonts w:ascii="Times New Roman" w:hAnsi="Times New Roman" w:cs="Times New Roman"/>
          <w:b/>
          <w:i/>
          <w:sz w:val="28"/>
          <w:szCs w:val="28"/>
        </w:rPr>
        <w:t>D</w:t>
      </w:r>
      <w:r w:rsidR="00846543" w:rsidRPr="00913143">
        <w:rPr>
          <w:rFonts w:ascii="Times New Roman" w:hAnsi="Times New Roman" w:cs="Times New Roman"/>
          <w:b/>
          <w:i/>
          <w:sz w:val="28"/>
          <w:szCs w:val="28"/>
          <w:lang w:val="nl-NL"/>
        </w:rPr>
        <w:t>o ảnh hưởng của dịch Covid-19 nên một số địa phương phải lùi thời điểm kết thúc năm học bậc giáo dục phổ thông so với kế hoạch. Tính đến ngày 25/6/2022, cả nước có 23.148 trường đã kết thúc năm học, đạt 88% so với số báo cáo đầu năm.</w:t>
      </w:r>
    </w:p>
    <w:p w:rsidR="00846543" w:rsidRPr="00913143" w:rsidRDefault="00846543" w:rsidP="001644E8">
      <w:pPr>
        <w:spacing w:before="40" w:after="40" w:line="254" w:lineRule="auto"/>
        <w:ind w:firstLine="567"/>
        <w:jc w:val="both"/>
        <w:rPr>
          <w:rFonts w:ascii="Times New Roman" w:hAnsi="Times New Roman" w:cs="Times New Roman"/>
          <w:sz w:val="28"/>
          <w:szCs w:val="28"/>
          <w:lang w:val="nl-NL"/>
        </w:rPr>
      </w:pPr>
      <w:r w:rsidRPr="00913143">
        <w:rPr>
          <w:rFonts w:ascii="Times New Roman" w:hAnsi="Times New Roman" w:cs="Times New Roman"/>
          <w:sz w:val="28"/>
          <w:szCs w:val="28"/>
          <w:lang w:val="nl-NL"/>
        </w:rPr>
        <w:t>Tính đến ngày 25/6/2022, cả nước có 14.328 trường mầm non</w:t>
      </w:r>
      <w:r w:rsidRPr="00913143">
        <w:rPr>
          <w:rStyle w:val="FootnoteReference"/>
          <w:rFonts w:ascii="Times New Roman" w:hAnsi="Times New Roman"/>
          <w:sz w:val="28"/>
          <w:szCs w:val="28"/>
          <w:lang w:val="nl-NL"/>
        </w:rPr>
        <w:footnoteReference w:id="17"/>
      </w:r>
      <w:r w:rsidRPr="00913143">
        <w:rPr>
          <w:rFonts w:ascii="Times New Roman" w:hAnsi="Times New Roman" w:cs="Times New Roman"/>
          <w:sz w:val="28"/>
          <w:szCs w:val="28"/>
          <w:lang w:val="nl-NL"/>
        </w:rPr>
        <w:t xml:space="preserve"> đã hoàn thành năm học 2021-2022, đạt 95,2% so với báo cáo đầu năm học; 4.487,4 nghìn trẻ mầm non, đạt 102,9% và 327,4 nghìn giáo viên mầm non, đạt 95,7%.</w:t>
      </w:r>
    </w:p>
    <w:p w:rsidR="00846543" w:rsidRPr="00913143" w:rsidRDefault="00846543" w:rsidP="001644E8">
      <w:pPr>
        <w:spacing w:before="40" w:after="40" w:line="254" w:lineRule="auto"/>
        <w:ind w:firstLine="567"/>
        <w:jc w:val="both"/>
        <w:rPr>
          <w:rFonts w:ascii="Times New Roman" w:hAnsi="Times New Roman" w:cs="Times New Roman"/>
          <w:sz w:val="28"/>
          <w:szCs w:val="28"/>
          <w:lang w:val="es-BO"/>
        </w:rPr>
      </w:pPr>
      <w:r w:rsidRPr="00913143">
        <w:rPr>
          <w:rFonts w:ascii="Times New Roman" w:hAnsi="Times New Roman" w:cs="Times New Roman"/>
          <w:sz w:val="28"/>
          <w:szCs w:val="28"/>
          <w:lang w:val="nl-NL"/>
        </w:rPr>
        <w:t>Ước tính 6 tháng đầu năm 2022, các cơ sở dạy nghề trên địa bàn cả nước đã tuyển sinh được 921,6 nghìn người, đạt 44,2% so với kế hoạch năm 2022, trong đó các trường cao đẳng và trung cấp nghề tuyển sinh được 71,6 nghìn người, đạt 14%; sơ cấp nghề và các chương trình đào tạo nghề nghiệp khác tuyển sinh 850 nghìn người, đạt 54,6%.</w:t>
      </w:r>
    </w:p>
    <w:p w:rsidR="00E52E13" w:rsidRPr="00913143" w:rsidRDefault="00A57D4F" w:rsidP="001644E8">
      <w:pPr>
        <w:spacing w:before="40" w:after="40" w:line="254" w:lineRule="auto"/>
        <w:ind w:firstLine="567"/>
        <w:jc w:val="both"/>
        <w:rPr>
          <w:rFonts w:ascii="Times New Roman" w:hAnsi="Times New Roman" w:cs="Times New Roman"/>
          <w:b/>
          <w:i/>
          <w:sz w:val="28"/>
          <w:szCs w:val="28"/>
        </w:rPr>
      </w:pPr>
      <w:r w:rsidRPr="00913143">
        <w:rPr>
          <w:rStyle w:val="normalchar"/>
          <w:rFonts w:ascii="Times New Roman" w:hAnsi="Times New Roman"/>
          <w:b/>
          <w:i/>
          <w:sz w:val="28"/>
          <w:szCs w:val="28"/>
          <w:lang w:val="nl-NL"/>
        </w:rPr>
        <w:t>4</w:t>
      </w:r>
      <w:r w:rsidR="00AD1B18" w:rsidRPr="00913143">
        <w:rPr>
          <w:rStyle w:val="normalchar"/>
          <w:rFonts w:ascii="Times New Roman" w:hAnsi="Times New Roman"/>
          <w:b/>
          <w:i/>
          <w:sz w:val="28"/>
          <w:szCs w:val="28"/>
          <w:lang w:val="nl-NL"/>
        </w:rPr>
        <w:t xml:space="preserve">. </w:t>
      </w:r>
      <w:r w:rsidR="00846543" w:rsidRPr="00913143">
        <w:rPr>
          <w:rFonts w:ascii="Times New Roman" w:hAnsi="Times New Roman" w:cs="Times New Roman"/>
          <w:b/>
          <w:i/>
          <w:sz w:val="28"/>
          <w:szCs w:val="28"/>
          <w:lang w:val="de-DE"/>
        </w:rPr>
        <w:t>Trên thế giới, khu vực châu Âu chịu ảnh hưởng nghiêm trọng của dịch Covid-19 với sự xuất hiện hai dòng phụ của biến thể Omicron là BA.4 và BA.5 có khả năng lây lan cao và nhanh hơn so với các biến thể khác</w:t>
      </w:r>
      <w:r w:rsidR="00E52E13" w:rsidRPr="00913143">
        <w:rPr>
          <w:rFonts w:ascii="Times New Roman" w:hAnsi="Times New Roman" w:cs="Times New Roman"/>
          <w:b/>
          <w:i/>
          <w:sz w:val="28"/>
          <w:szCs w:val="28"/>
        </w:rPr>
        <w:t xml:space="preserve">. </w:t>
      </w:r>
      <w:r w:rsidR="00E52E13" w:rsidRPr="00913143">
        <w:rPr>
          <w:rFonts w:ascii="Times New Roman" w:hAnsi="Times New Roman" w:cs="Times New Roman"/>
          <w:b/>
          <w:i/>
          <w:sz w:val="28"/>
          <w:szCs w:val="28"/>
          <w:lang w:val="vi-VN"/>
        </w:rPr>
        <w:t>Tại Việt Nam</w:t>
      </w:r>
      <w:r w:rsidR="00E52E13" w:rsidRPr="00913143">
        <w:rPr>
          <w:rFonts w:ascii="Times New Roman" w:hAnsi="Times New Roman" w:cs="Times New Roman"/>
          <w:b/>
          <w:i/>
          <w:sz w:val="28"/>
          <w:szCs w:val="28"/>
        </w:rPr>
        <w:t>, dịch Covid-19 đang tiếp tục được kiểm soát.</w:t>
      </w:r>
    </w:p>
    <w:p w:rsidR="00846543" w:rsidRPr="00913143" w:rsidRDefault="00846543" w:rsidP="001644E8">
      <w:pPr>
        <w:spacing w:before="40" w:after="40" w:line="254" w:lineRule="auto"/>
        <w:ind w:firstLine="567"/>
        <w:jc w:val="both"/>
        <w:rPr>
          <w:rFonts w:ascii="Times New Roman" w:hAnsi="Times New Roman" w:cs="Times New Roman"/>
          <w:sz w:val="28"/>
          <w:szCs w:val="28"/>
          <w:lang w:val="de-DE"/>
        </w:rPr>
      </w:pPr>
      <w:r w:rsidRPr="00913143">
        <w:rPr>
          <w:rFonts w:ascii="Times New Roman" w:hAnsi="Times New Roman" w:cs="Times New Roman"/>
          <w:sz w:val="28"/>
          <w:szCs w:val="28"/>
          <w:lang w:val="de-DE"/>
        </w:rPr>
        <w:t>Sáu tháng đầu năm 2022, cả nước có 53.626 trường hợp mắc bệnh sốt xuất huyết (29 trường hợp tử vong); 21.859 trường hợp mắc bệnh tay chân miệng (01 trường hợp tử vong); 110 trường hợp mắc bệnh viêm não vi rút (03 trường hợp tử vong); 08 trường hợp mắc bệnh viêm màng não do não mô cầu và 75 trường hợp sốt phát ban nghi sởi.</w:t>
      </w:r>
    </w:p>
    <w:p w:rsidR="00846543" w:rsidRPr="00913143" w:rsidRDefault="00846543" w:rsidP="00913143">
      <w:pPr>
        <w:spacing w:before="40" w:after="40" w:line="274" w:lineRule="auto"/>
        <w:ind w:firstLine="567"/>
        <w:jc w:val="both"/>
        <w:rPr>
          <w:rFonts w:ascii="Times New Roman" w:hAnsi="Times New Roman" w:cs="Times New Roman"/>
          <w:sz w:val="28"/>
          <w:szCs w:val="28"/>
          <w:lang w:val="de-DE"/>
        </w:rPr>
      </w:pPr>
      <w:r w:rsidRPr="00913143">
        <w:rPr>
          <w:rFonts w:ascii="Times New Roman" w:hAnsi="Times New Roman" w:cs="Times New Roman"/>
          <w:sz w:val="28"/>
          <w:szCs w:val="28"/>
          <w:lang w:val="de-DE"/>
        </w:rPr>
        <w:t>Tính đến ngày 2</w:t>
      </w:r>
      <w:r w:rsidR="009E7F92">
        <w:rPr>
          <w:rFonts w:ascii="Times New Roman" w:hAnsi="Times New Roman" w:cs="Times New Roman"/>
          <w:sz w:val="28"/>
          <w:szCs w:val="28"/>
          <w:lang w:val="de-DE"/>
        </w:rPr>
        <w:t>4</w:t>
      </w:r>
      <w:r w:rsidRPr="00913143">
        <w:rPr>
          <w:rFonts w:ascii="Times New Roman" w:hAnsi="Times New Roman" w:cs="Times New Roman"/>
          <w:sz w:val="28"/>
          <w:szCs w:val="28"/>
          <w:lang w:val="de-DE"/>
        </w:rPr>
        <w:t>/6/2022, tổng số liều vắc-xin phòng Covid-19 đã được tiêm cả nước là 22</w:t>
      </w:r>
      <w:r w:rsidR="009E7F92">
        <w:rPr>
          <w:rFonts w:ascii="Times New Roman" w:hAnsi="Times New Roman" w:cs="Times New Roman"/>
          <w:sz w:val="28"/>
          <w:szCs w:val="28"/>
          <w:lang w:val="de-DE"/>
        </w:rPr>
        <w:t>8</w:t>
      </w:r>
      <w:r w:rsidRPr="00913143">
        <w:rPr>
          <w:rFonts w:ascii="Times New Roman" w:hAnsi="Times New Roman" w:cs="Times New Roman"/>
          <w:sz w:val="28"/>
          <w:szCs w:val="28"/>
          <w:lang w:val="de-DE"/>
        </w:rPr>
        <w:t>.</w:t>
      </w:r>
      <w:r w:rsidR="009E7F92">
        <w:rPr>
          <w:rFonts w:ascii="Times New Roman" w:hAnsi="Times New Roman" w:cs="Times New Roman"/>
          <w:sz w:val="28"/>
          <w:szCs w:val="28"/>
          <w:lang w:val="de-DE"/>
        </w:rPr>
        <w:t>484</w:t>
      </w:r>
      <w:r w:rsidRPr="00913143">
        <w:rPr>
          <w:rFonts w:ascii="Times New Roman" w:hAnsi="Times New Roman" w:cs="Times New Roman"/>
          <w:sz w:val="28"/>
          <w:szCs w:val="28"/>
          <w:lang w:val="de-DE"/>
        </w:rPr>
        <w:t xml:space="preserve"> nghìn liều, trong đó tiêm mũi 1 là 85.</w:t>
      </w:r>
      <w:r w:rsidR="009E7F92">
        <w:rPr>
          <w:rFonts w:ascii="Times New Roman" w:hAnsi="Times New Roman" w:cs="Times New Roman"/>
          <w:sz w:val="28"/>
          <w:szCs w:val="28"/>
          <w:lang w:val="de-DE"/>
        </w:rPr>
        <w:t>986</w:t>
      </w:r>
      <w:r w:rsidRPr="00913143">
        <w:rPr>
          <w:rFonts w:ascii="Times New Roman" w:hAnsi="Times New Roman" w:cs="Times New Roman"/>
          <w:sz w:val="28"/>
          <w:szCs w:val="28"/>
          <w:lang w:val="de-DE"/>
        </w:rPr>
        <w:t>,</w:t>
      </w:r>
      <w:r w:rsidR="009E7F92">
        <w:rPr>
          <w:rFonts w:ascii="Times New Roman" w:hAnsi="Times New Roman" w:cs="Times New Roman"/>
          <w:sz w:val="28"/>
          <w:szCs w:val="28"/>
          <w:lang w:val="de-DE"/>
        </w:rPr>
        <w:t>1</w:t>
      </w:r>
      <w:r w:rsidRPr="00913143">
        <w:rPr>
          <w:rFonts w:ascii="Times New Roman" w:hAnsi="Times New Roman" w:cs="Times New Roman"/>
          <w:sz w:val="28"/>
          <w:szCs w:val="28"/>
          <w:lang w:val="de-DE"/>
        </w:rPr>
        <w:t xml:space="preserve"> nghìn liều; tiêm mũi 2 là 78.</w:t>
      </w:r>
      <w:r w:rsidR="009E7F92">
        <w:rPr>
          <w:rFonts w:ascii="Times New Roman" w:hAnsi="Times New Roman" w:cs="Times New Roman"/>
          <w:sz w:val="28"/>
          <w:szCs w:val="28"/>
          <w:lang w:val="de-DE"/>
        </w:rPr>
        <w:t>872,4</w:t>
      </w:r>
      <w:r w:rsidRPr="00913143">
        <w:rPr>
          <w:rFonts w:ascii="Times New Roman" w:hAnsi="Times New Roman" w:cs="Times New Roman"/>
          <w:sz w:val="28"/>
          <w:szCs w:val="28"/>
          <w:lang w:val="de-DE"/>
        </w:rPr>
        <w:t xml:space="preserve"> nghìn liều; tiêm mũi 3 là 1.50</w:t>
      </w:r>
      <w:r w:rsidR="009E7F92">
        <w:rPr>
          <w:rFonts w:ascii="Times New Roman" w:hAnsi="Times New Roman" w:cs="Times New Roman"/>
          <w:sz w:val="28"/>
          <w:szCs w:val="28"/>
          <w:lang w:val="de-DE"/>
        </w:rPr>
        <w:t>9</w:t>
      </w:r>
      <w:r w:rsidRPr="00913143">
        <w:rPr>
          <w:rFonts w:ascii="Times New Roman" w:hAnsi="Times New Roman" w:cs="Times New Roman"/>
          <w:sz w:val="28"/>
          <w:szCs w:val="28"/>
          <w:lang w:val="de-DE"/>
        </w:rPr>
        <w:t>,</w:t>
      </w:r>
      <w:r w:rsidR="009E7F92">
        <w:rPr>
          <w:rFonts w:ascii="Times New Roman" w:hAnsi="Times New Roman" w:cs="Times New Roman"/>
          <w:sz w:val="28"/>
          <w:szCs w:val="28"/>
          <w:lang w:val="de-DE"/>
        </w:rPr>
        <w:t>1</w:t>
      </w:r>
      <w:r w:rsidRPr="00913143">
        <w:rPr>
          <w:rFonts w:ascii="Times New Roman" w:hAnsi="Times New Roman" w:cs="Times New Roman"/>
          <w:sz w:val="28"/>
          <w:szCs w:val="28"/>
          <w:lang w:val="de-DE"/>
        </w:rPr>
        <w:t xml:space="preserve"> nghìn liều; mũi bổ sung là 14.9</w:t>
      </w:r>
      <w:r w:rsidR="009E7F92">
        <w:rPr>
          <w:rFonts w:ascii="Times New Roman" w:hAnsi="Times New Roman" w:cs="Times New Roman"/>
          <w:sz w:val="28"/>
          <w:szCs w:val="28"/>
          <w:lang w:val="de-DE"/>
        </w:rPr>
        <w:t>71</w:t>
      </w:r>
      <w:r w:rsidRPr="00913143">
        <w:rPr>
          <w:rFonts w:ascii="Times New Roman" w:hAnsi="Times New Roman" w:cs="Times New Roman"/>
          <w:sz w:val="28"/>
          <w:szCs w:val="28"/>
          <w:lang w:val="de-DE"/>
        </w:rPr>
        <w:t>,</w:t>
      </w:r>
      <w:r w:rsidR="009E7F92">
        <w:rPr>
          <w:rFonts w:ascii="Times New Roman" w:hAnsi="Times New Roman" w:cs="Times New Roman"/>
          <w:sz w:val="28"/>
          <w:szCs w:val="28"/>
          <w:lang w:val="de-DE"/>
        </w:rPr>
        <w:t>9</w:t>
      </w:r>
      <w:r w:rsidRPr="00913143">
        <w:rPr>
          <w:rFonts w:ascii="Times New Roman" w:hAnsi="Times New Roman" w:cs="Times New Roman"/>
          <w:sz w:val="28"/>
          <w:szCs w:val="28"/>
          <w:lang w:val="de-DE"/>
        </w:rPr>
        <w:t xml:space="preserve"> nghìn liều; mũi nhắc lại lần 1 là 4</w:t>
      </w:r>
      <w:r w:rsidR="009E7F92">
        <w:rPr>
          <w:rFonts w:ascii="Times New Roman" w:hAnsi="Times New Roman" w:cs="Times New Roman"/>
          <w:sz w:val="28"/>
          <w:szCs w:val="28"/>
          <w:lang w:val="de-DE"/>
        </w:rPr>
        <w:t>4</w:t>
      </w:r>
      <w:r w:rsidRPr="00913143">
        <w:rPr>
          <w:rFonts w:ascii="Times New Roman" w:hAnsi="Times New Roman" w:cs="Times New Roman"/>
          <w:sz w:val="28"/>
          <w:szCs w:val="28"/>
          <w:lang w:val="de-DE"/>
        </w:rPr>
        <w:t>.</w:t>
      </w:r>
      <w:r w:rsidR="009E7F92">
        <w:rPr>
          <w:rFonts w:ascii="Times New Roman" w:hAnsi="Times New Roman" w:cs="Times New Roman"/>
          <w:sz w:val="28"/>
          <w:szCs w:val="28"/>
          <w:lang w:val="de-DE"/>
        </w:rPr>
        <w:t>299</w:t>
      </w:r>
      <w:r w:rsidRPr="00913143">
        <w:rPr>
          <w:rFonts w:ascii="Times New Roman" w:hAnsi="Times New Roman" w:cs="Times New Roman"/>
          <w:sz w:val="28"/>
          <w:szCs w:val="28"/>
          <w:lang w:val="de-DE"/>
        </w:rPr>
        <w:t>,</w:t>
      </w:r>
      <w:r w:rsidR="009E7F92">
        <w:rPr>
          <w:rFonts w:ascii="Times New Roman" w:hAnsi="Times New Roman" w:cs="Times New Roman"/>
          <w:sz w:val="28"/>
          <w:szCs w:val="28"/>
          <w:lang w:val="de-DE"/>
        </w:rPr>
        <w:t>8</w:t>
      </w:r>
      <w:r w:rsidRPr="00913143">
        <w:rPr>
          <w:rFonts w:ascii="Times New Roman" w:hAnsi="Times New Roman" w:cs="Times New Roman"/>
          <w:sz w:val="28"/>
          <w:szCs w:val="28"/>
          <w:lang w:val="de-DE"/>
        </w:rPr>
        <w:t xml:space="preserve"> nghìn liều; mũi nhắc lại lần 2 là 2.</w:t>
      </w:r>
      <w:r w:rsidR="009E7F92">
        <w:rPr>
          <w:rFonts w:ascii="Times New Roman" w:hAnsi="Times New Roman" w:cs="Times New Roman"/>
          <w:sz w:val="28"/>
          <w:szCs w:val="28"/>
          <w:lang w:val="de-DE"/>
        </w:rPr>
        <w:t>844</w:t>
      </w:r>
      <w:r w:rsidRPr="00913143">
        <w:rPr>
          <w:rFonts w:ascii="Times New Roman" w:hAnsi="Times New Roman" w:cs="Times New Roman"/>
          <w:sz w:val="28"/>
          <w:szCs w:val="28"/>
          <w:lang w:val="de-DE"/>
        </w:rPr>
        <w:t>,</w:t>
      </w:r>
      <w:r w:rsidR="009E7F92">
        <w:rPr>
          <w:rFonts w:ascii="Times New Roman" w:hAnsi="Times New Roman" w:cs="Times New Roman"/>
          <w:sz w:val="28"/>
          <w:szCs w:val="28"/>
          <w:lang w:val="de-DE"/>
        </w:rPr>
        <w:t>7</w:t>
      </w:r>
      <w:r w:rsidRPr="00913143">
        <w:rPr>
          <w:rFonts w:ascii="Times New Roman" w:hAnsi="Times New Roman" w:cs="Times New Roman"/>
          <w:sz w:val="28"/>
          <w:szCs w:val="28"/>
          <w:lang w:val="de-DE"/>
        </w:rPr>
        <w:t xml:space="preserve"> nghìn liều.</w:t>
      </w:r>
    </w:p>
    <w:p w:rsidR="00846543" w:rsidRPr="00913143" w:rsidRDefault="00846543" w:rsidP="00913143">
      <w:pPr>
        <w:spacing w:before="40" w:after="40" w:line="269" w:lineRule="auto"/>
        <w:ind w:firstLine="567"/>
        <w:jc w:val="both"/>
        <w:rPr>
          <w:rFonts w:ascii="Times New Roman" w:hAnsi="Times New Roman" w:cs="Times New Roman"/>
          <w:sz w:val="28"/>
          <w:szCs w:val="28"/>
          <w:lang w:val="de-DE"/>
        </w:rPr>
      </w:pPr>
      <w:r w:rsidRPr="00913143">
        <w:rPr>
          <w:rFonts w:ascii="Times New Roman" w:hAnsi="Times New Roman" w:cs="Times New Roman"/>
          <w:sz w:val="28"/>
          <w:szCs w:val="28"/>
          <w:lang w:val="de-DE"/>
        </w:rPr>
        <w:t>Tổng số người nhiễm HIV của cả nước hiện còn sống tính đến thời điểm 18/6/2022 là 217.050 người và số người tử vong do HIV/AIDS của cả nước tính đến thời điểm trên là 111.657 người.</w:t>
      </w:r>
    </w:p>
    <w:p w:rsidR="00846543" w:rsidRPr="00913143" w:rsidRDefault="00846543" w:rsidP="00913143">
      <w:pPr>
        <w:spacing w:before="40" w:after="40" w:line="269" w:lineRule="auto"/>
        <w:ind w:firstLine="567"/>
        <w:jc w:val="both"/>
        <w:rPr>
          <w:rFonts w:ascii="Times New Roman" w:hAnsi="Times New Roman" w:cs="Times New Roman"/>
          <w:sz w:val="28"/>
          <w:szCs w:val="28"/>
          <w:lang w:val="de-DE"/>
        </w:rPr>
      </w:pPr>
      <w:r w:rsidRPr="00913143">
        <w:rPr>
          <w:rFonts w:ascii="Times New Roman" w:hAnsi="Times New Roman" w:cs="Times New Roman"/>
          <w:sz w:val="28"/>
          <w:szCs w:val="28"/>
          <w:lang w:val="de-DE"/>
        </w:rPr>
        <w:t>Về ngộ độc thực phẩm, trong tháng Sáu xảy ra 03 vụ với 09 người bị ngộ độc. Tính chung 6 tháng đầu năm 2022, cả nước xảy ra 14 vụ với 272 người bị ngộ độc (02 người tử vong).</w:t>
      </w:r>
    </w:p>
    <w:p w:rsidR="007E42F5" w:rsidRPr="00913143" w:rsidRDefault="00AE5EAE" w:rsidP="00913143">
      <w:pPr>
        <w:spacing w:before="40" w:after="40" w:line="269" w:lineRule="auto"/>
        <w:ind w:firstLine="567"/>
        <w:jc w:val="both"/>
        <w:rPr>
          <w:rStyle w:val="normalchar"/>
          <w:rFonts w:ascii="Times New Roman Bold" w:hAnsi="Times New Roman Bold"/>
          <w:b/>
          <w:i/>
          <w:spacing w:val="2"/>
          <w:sz w:val="28"/>
          <w:szCs w:val="28"/>
          <w:lang w:val="nl-NL"/>
        </w:rPr>
      </w:pPr>
      <w:r w:rsidRPr="00913143">
        <w:rPr>
          <w:rStyle w:val="normalchar"/>
          <w:rFonts w:ascii="Times New Roman Bold" w:hAnsi="Times New Roman Bold"/>
          <w:b/>
          <w:i/>
          <w:spacing w:val="2"/>
          <w:sz w:val="28"/>
          <w:szCs w:val="28"/>
          <w:lang w:val="nl-NL"/>
        </w:rPr>
        <w:t>5</w:t>
      </w:r>
      <w:r w:rsidR="00AD1B18" w:rsidRPr="00913143">
        <w:rPr>
          <w:rStyle w:val="normalchar"/>
          <w:rFonts w:ascii="Times New Roman Bold" w:hAnsi="Times New Roman Bold"/>
          <w:b/>
          <w:i/>
          <w:spacing w:val="2"/>
          <w:sz w:val="28"/>
          <w:szCs w:val="28"/>
          <w:lang w:val="nl-NL"/>
        </w:rPr>
        <w:t xml:space="preserve">. </w:t>
      </w:r>
      <w:r w:rsidRPr="00913143">
        <w:rPr>
          <w:rStyle w:val="normalchar"/>
          <w:rFonts w:ascii="Times New Roman Bold" w:hAnsi="Times New Roman Bold"/>
          <w:b/>
          <w:i/>
          <w:spacing w:val="2"/>
          <w:sz w:val="28"/>
          <w:szCs w:val="28"/>
          <w:lang w:val="nl-NL"/>
        </w:rPr>
        <w:t xml:space="preserve">Công tác bảo tồn, phát huy giá trị văn hóa </w:t>
      </w:r>
      <w:r w:rsidR="00003A1F" w:rsidRPr="00913143">
        <w:rPr>
          <w:rStyle w:val="normalchar"/>
          <w:rFonts w:ascii="Times New Roman Bold" w:hAnsi="Times New Roman Bold"/>
          <w:b/>
          <w:i/>
          <w:spacing w:val="2"/>
          <w:sz w:val="28"/>
          <w:szCs w:val="28"/>
          <w:lang w:val="nl-NL"/>
        </w:rPr>
        <w:t xml:space="preserve">luôn </w:t>
      </w:r>
      <w:r w:rsidRPr="00913143">
        <w:rPr>
          <w:rStyle w:val="normalchar"/>
          <w:rFonts w:ascii="Times New Roman Bold" w:hAnsi="Times New Roman Bold"/>
          <w:b/>
          <w:i/>
          <w:spacing w:val="2"/>
          <w:sz w:val="28"/>
          <w:szCs w:val="28"/>
          <w:lang w:val="nl-NL"/>
        </w:rPr>
        <w:t>được quan tâm</w:t>
      </w:r>
      <w:r w:rsidR="00C817F2" w:rsidRPr="00913143">
        <w:rPr>
          <w:rStyle w:val="normalchar"/>
          <w:rFonts w:ascii="Times New Roman Bold" w:hAnsi="Times New Roman Bold"/>
          <w:b/>
          <w:i/>
          <w:spacing w:val="2"/>
          <w:sz w:val="28"/>
          <w:szCs w:val="28"/>
          <w:lang w:val="nl-NL"/>
        </w:rPr>
        <w:t>;</w:t>
      </w:r>
      <w:r w:rsidRPr="00913143">
        <w:rPr>
          <w:rStyle w:val="normalchar"/>
          <w:rFonts w:ascii="Times New Roman Bold" w:hAnsi="Times New Roman Bold"/>
          <w:b/>
          <w:i/>
          <w:spacing w:val="2"/>
          <w:sz w:val="28"/>
          <w:szCs w:val="28"/>
          <w:lang w:val="nl-NL"/>
        </w:rPr>
        <w:t xml:space="preserve"> </w:t>
      </w:r>
      <w:r w:rsidR="007E42F5" w:rsidRPr="00913143">
        <w:rPr>
          <w:rStyle w:val="normalchar"/>
          <w:rFonts w:ascii="Times New Roman Bold" w:hAnsi="Times New Roman Bold"/>
          <w:b/>
          <w:i/>
          <w:spacing w:val="2"/>
          <w:sz w:val="28"/>
          <w:szCs w:val="28"/>
          <w:lang w:val="nl-NL"/>
        </w:rPr>
        <w:t>thể thao phong trào được duy trì, thể thao thành tích cao có những bước tiến đáng ghi nhận.</w:t>
      </w:r>
    </w:p>
    <w:p w:rsidR="00846543" w:rsidRPr="00913143" w:rsidRDefault="00846543" w:rsidP="00913143">
      <w:pPr>
        <w:spacing w:before="40" w:after="40" w:line="269" w:lineRule="auto"/>
        <w:ind w:firstLine="567"/>
        <w:jc w:val="both"/>
        <w:rPr>
          <w:rFonts w:ascii="Times New Roman" w:hAnsi="Times New Roman" w:cs="Times New Roman"/>
          <w:sz w:val="28"/>
          <w:szCs w:val="28"/>
          <w:lang w:val="nl-NL"/>
        </w:rPr>
      </w:pPr>
      <w:r w:rsidRPr="00913143">
        <w:rPr>
          <w:rFonts w:ascii="Times New Roman" w:hAnsi="Times New Roman" w:cs="Times New Roman"/>
          <w:sz w:val="28"/>
          <w:szCs w:val="28"/>
          <w:lang w:val="nl-NL"/>
        </w:rPr>
        <w:t>Công tác bảo vệ và phát huy giá trị di sản văn hóa vật thể và phi vật thể luôn được các địa phương quan tâm, đầu tư, nhằm phát huy được giá trị di sản, tạo ra những sản phẩm du lịch độc đáo, có thể kể đến là cuộc họp Hội đồng thẩm định hồ sơ khoa học di sản văn hóa phi vật thể liên quan đến hồ sơ Lễ giỗ Bà Thứ phi Hoàng Phi Yến (Bà Rịa - Vũng Tàu) để đề nghị đưa vào Danh mục quốc gia.</w:t>
      </w:r>
    </w:p>
    <w:p w:rsidR="00846543" w:rsidRPr="00913143" w:rsidRDefault="00846543" w:rsidP="00913143">
      <w:pPr>
        <w:spacing w:before="40" w:after="40" w:line="269" w:lineRule="auto"/>
        <w:ind w:firstLine="567"/>
        <w:jc w:val="both"/>
        <w:rPr>
          <w:rFonts w:ascii="Times New Roman" w:hAnsi="Times New Roman" w:cs="Times New Roman"/>
          <w:sz w:val="28"/>
          <w:szCs w:val="28"/>
          <w:lang w:val="nl-NL"/>
        </w:rPr>
      </w:pPr>
      <w:r w:rsidRPr="00913143">
        <w:rPr>
          <w:rFonts w:ascii="Times New Roman" w:hAnsi="Times New Roman" w:cs="Times New Roman"/>
          <w:sz w:val="28"/>
          <w:szCs w:val="28"/>
          <w:lang w:val="nl-NL"/>
        </w:rPr>
        <w:t>Về thể thao thành tích cao, Việt Nam tổ chức thành công Đại hội thể thao Đông Nam Á lần thứ 31 (SEA Games 31), Đoàn thể thao Việt Nam đã đạt được kết quả ấn tượng, xếp thứ nhất toàn đoàn với 446 huy chương, trong đó có 205 huy chương vàng, 125 huy chương bạc và 116 huy chương đồng, phá 21 kỷ lục của Đại hội</w:t>
      </w:r>
    </w:p>
    <w:p w:rsidR="00E13E26" w:rsidRPr="00913143" w:rsidRDefault="00AE5EAE" w:rsidP="00913143">
      <w:pPr>
        <w:spacing w:before="40" w:after="40" w:line="269" w:lineRule="auto"/>
        <w:ind w:firstLine="567"/>
        <w:jc w:val="both"/>
        <w:rPr>
          <w:rStyle w:val="normalchar"/>
          <w:rFonts w:ascii="Times New Roman" w:hAnsi="Times New Roman"/>
          <w:b/>
          <w:i/>
          <w:iCs/>
          <w:sz w:val="28"/>
          <w:szCs w:val="28"/>
          <w:lang w:val="nl-NL"/>
        </w:rPr>
      </w:pPr>
      <w:r w:rsidRPr="00913143">
        <w:rPr>
          <w:rStyle w:val="normalchar"/>
          <w:rFonts w:ascii="Times New Roman" w:hAnsi="Times New Roman"/>
          <w:b/>
          <w:i/>
          <w:iCs/>
          <w:sz w:val="28"/>
          <w:szCs w:val="28"/>
          <w:lang w:val="nl-NL"/>
        </w:rPr>
        <w:t>6. Tai nạn giao thông</w:t>
      </w:r>
      <w:r w:rsidRPr="00913143">
        <w:rPr>
          <w:rStyle w:val="FootnoteReference"/>
          <w:rFonts w:ascii="Times New Roman" w:hAnsi="Times New Roman"/>
          <w:i/>
          <w:iCs/>
          <w:sz w:val="28"/>
          <w:szCs w:val="28"/>
        </w:rPr>
        <w:footnoteReference w:id="18"/>
      </w:r>
      <w:r w:rsidRPr="00913143">
        <w:rPr>
          <w:rStyle w:val="normalchar"/>
          <w:rFonts w:ascii="Times New Roman" w:hAnsi="Times New Roman"/>
          <w:b/>
          <w:i/>
          <w:iCs/>
          <w:sz w:val="28"/>
          <w:szCs w:val="28"/>
          <w:lang w:val="nl-NL"/>
        </w:rPr>
        <w:t xml:space="preserve"> </w:t>
      </w:r>
      <w:r w:rsidR="00496F9A" w:rsidRPr="00913143">
        <w:rPr>
          <w:rStyle w:val="normalchar"/>
          <w:rFonts w:ascii="Times New Roman" w:hAnsi="Times New Roman"/>
          <w:b/>
          <w:i/>
          <w:iCs/>
          <w:sz w:val="28"/>
          <w:szCs w:val="28"/>
          <w:lang w:val="nl-NL"/>
        </w:rPr>
        <w:t xml:space="preserve">tháng </w:t>
      </w:r>
      <w:r w:rsidR="008B6B7D" w:rsidRPr="00913143">
        <w:rPr>
          <w:rStyle w:val="normalchar"/>
          <w:rFonts w:ascii="Times New Roman" w:hAnsi="Times New Roman"/>
          <w:b/>
          <w:i/>
          <w:iCs/>
          <w:sz w:val="28"/>
          <w:szCs w:val="28"/>
          <w:lang w:val="nl-NL"/>
        </w:rPr>
        <w:t xml:space="preserve">Sáu </w:t>
      </w:r>
      <w:r w:rsidRPr="00913143">
        <w:rPr>
          <w:rStyle w:val="normalchar"/>
          <w:rFonts w:ascii="Times New Roman" w:hAnsi="Times New Roman"/>
          <w:b/>
          <w:i/>
          <w:iCs/>
          <w:sz w:val="28"/>
          <w:szCs w:val="28"/>
          <w:lang w:val="nl-NL"/>
        </w:rPr>
        <w:t xml:space="preserve">năm 2021 </w:t>
      </w:r>
      <w:r w:rsidR="00E13E26" w:rsidRPr="00913143">
        <w:rPr>
          <w:rStyle w:val="normalchar"/>
          <w:rFonts w:ascii="Times New Roman" w:hAnsi="Times New Roman"/>
          <w:b/>
          <w:i/>
          <w:iCs/>
          <w:sz w:val="28"/>
          <w:szCs w:val="28"/>
          <w:lang w:val="nl-NL"/>
        </w:rPr>
        <w:t xml:space="preserve">tăng 2,8% </w:t>
      </w:r>
      <w:r w:rsidR="008B6B7D" w:rsidRPr="00913143">
        <w:rPr>
          <w:rStyle w:val="normalchar"/>
          <w:rFonts w:ascii="Times New Roman" w:hAnsi="Times New Roman"/>
          <w:b/>
          <w:i/>
          <w:iCs/>
          <w:sz w:val="28"/>
          <w:szCs w:val="28"/>
          <w:lang w:val="nl-NL"/>
        </w:rPr>
        <w:t>so với tháng trước</w:t>
      </w:r>
      <w:r w:rsidR="00E13E26" w:rsidRPr="00913143">
        <w:rPr>
          <w:rStyle w:val="normalchar"/>
          <w:rFonts w:ascii="Times New Roman" w:hAnsi="Times New Roman"/>
          <w:b/>
          <w:i/>
          <w:iCs/>
          <w:sz w:val="28"/>
          <w:szCs w:val="28"/>
          <w:lang w:val="nl-NL"/>
        </w:rPr>
        <w:t xml:space="preserve"> và tăng 15,3% so với cùng kỳ năm trước</w:t>
      </w:r>
      <w:r w:rsidR="00496F9A" w:rsidRPr="00913143">
        <w:rPr>
          <w:rStyle w:val="normalchar"/>
          <w:rFonts w:ascii="Times New Roman" w:hAnsi="Times New Roman"/>
          <w:b/>
          <w:i/>
          <w:iCs/>
          <w:sz w:val="28"/>
          <w:szCs w:val="28"/>
          <w:lang w:val="nl-NL"/>
        </w:rPr>
        <w:t xml:space="preserve">. Tính chung </w:t>
      </w:r>
      <w:r w:rsidR="008B6B7D" w:rsidRPr="00913143">
        <w:rPr>
          <w:rStyle w:val="normalchar"/>
          <w:rFonts w:ascii="Times New Roman" w:hAnsi="Times New Roman"/>
          <w:b/>
          <w:i/>
          <w:iCs/>
          <w:sz w:val="28"/>
          <w:szCs w:val="28"/>
          <w:lang w:val="nl-NL"/>
        </w:rPr>
        <w:t>6</w:t>
      </w:r>
      <w:r w:rsidR="00496F9A" w:rsidRPr="00913143">
        <w:rPr>
          <w:rStyle w:val="normalchar"/>
          <w:rFonts w:ascii="Times New Roman" w:hAnsi="Times New Roman"/>
          <w:b/>
          <w:i/>
          <w:iCs/>
          <w:sz w:val="28"/>
          <w:szCs w:val="28"/>
          <w:lang w:val="nl-NL"/>
        </w:rPr>
        <w:t xml:space="preserve"> tháng đầu năm,</w:t>
      </w:r>
      <w:r w:rsidR="00E13E26" w:rsidRPr="00913143">
        <w:rPr>
          <w:rStyle w:val="normalchar"/>
          <w:rFonts w:ascii="Times New Roman" w:hAnsi="Times New Roman"/>
          <w:b/>
          <w:i/>
          <w:iCs/>
          <w:sz w:val="28"/>
          <w:szCs w:val="28"/>
          <w:lang w:val="nl-NL"/>
        </w:rPr>
        <w:t xml:space="preserve"> số vụ tai nạn giao thông giảm 10,4% so với cùng kỳ năm trước, nhưng số người chết tăng 2,7%.</w:t>
      </w:r>
    </w:p>
    <w:p w:rsidR="00E13E26" w:rsidRPr="00913143" w:rsidRDefault="00E13E26" w:rsidP="00913143">
      <w:pPr>
        <w:tabs>
          <w:tab w:val="left" w:pos="426"/>
          <w:tab w:val="left" w:pos="900"/>
        </w:tabs>
        <w:spacing w:before="40" w:after="40" w:line="269" w:lineRule="auto"/>
        <w:ind w:firstLine="567"/>
        <w:jc w:val="both"/>
        <w:rPr>
          <w:rFonts w:ascii="Times New Roman" w:eastAsia="Calibri" w:hAnsi="Times New Roman" w:cs="Times New Roman"/>
          <w:sz w:val="28"/>
          <w:szCs w:val="28"/>
          <w:shd w:val="clear" w:color="auto" w:fill="FFFFFF"/>
          <w:lang w:val="de-DE"/>
        </w:rPr>
      </w:pPr>
      <w:r w:rsidRPr="00913143">
        <w:rPr>
          <w:rFonts w:ascii="Times New Roman" w:eastAsia="Calibri" w:hAnsi="Times New Roman" w:cs="Times New Roman"/>
          <w:sz w:val="28"/>
          <w:szCs w:val="28"/>
          <w:lang w:val="de-DE"/>
        </w:rPr>
        <w:t>Trong tháng (từ 15/5 đến 14/6), trên địa bàn cả nước đã xảy ra 951 vụ tai nạn giao thông, bao gồm 637 vụ tai nạn giao thông từ ít nghiêm trọng trở lên và 314 vụ va chạm giao thông, làm 525 người chết, 307 người bị thương và 311 người bị thương nhẹ. So với tháng trước, số vụ tai nạn giao thông tháng Sáu tăng 2,8% (số vụ tai nạn giao thông từ ít nghiêm trọng trở lên tăng 3,4% và số vụ va chạm giao thông tăng 1,6%); số người chết tăng 8,2%; số người bị thương giảm 4,7% và số người bị thương nhẹ giảm 4,3%</w:t>
      </w:r>
      <w:r w:rsidRPr="00913143">
        <w:rPr>
          <w:rFonts w:ascii="Times New Roman" w:eastAsia="Calibri" w:hAnsi="Times New Roman" w:cs="Times New Roman"/>
          <w:sz w:val="28"/>
          <w:szCs w:val="28"/>
          <w:shd w:val="clear" w:color="auto" w:fill="FFFFFF"/>
          <w:lang w:val="de-DE"/>
        </w:rPr>
        <w:t xml:space="preserve">. </w:t>
      </w:r>
      <w:r w:rsidRPr="00913143">
        <w:rPr>
          <w:rFonts w:ascii="Times New Roman" w:eastAsia="Calibri" w:hAnsi="Times New Roman" w:cs="Times New Roman"/>
          <w:sz w:val="28"/>
          <w:szCs w:val="28"/>
          <w:lang w:val="de-DE"/>
        </w:rPr>
        <w:t>So với cùng kỳ năm trước, số vụ tai nạn giao thông tháng Sáu tăng 15,3% (số vụ tai nạn giao thông từ ít nghiêm trọng trở lên tăng 18,2% và số vụ va chạm giao thông tăng 9,8%); số người chết tăng 20,4%; số người bị thương tăng 21,3% và số người bị thương nhẹ tăng 13,1%</w:t>
      </w:r>
      <w:r w:rsidRPr="00913143">
        <w:rPr>
          <w:rFonts w:ascii="Times New Roman" w:eastAsia="Calibri" w:hAnsi="Times New Roman" w:cs="Times New Roman"/>
          <w:sz w:val="28"/>
          <w:szCs w:val="28"/>
          <w:shd w:val="clear" w:color="auto" w:fill="FFFFFF"/>
          <w:lang w:val="de-DE"/>
        </w:rPr>
        <w:t xml:space="preserve">. </w:t>
      </w:r>
    </w:p>
    <w:p w:rsidR="00E13E26" w:rsidRPr="00913143" w:rsidRDefault="00E13E26" w:rsidP="00913143">
      <w:pPr>
        <w:tabs>
          <w:tab w:val="left" w:pos="426"/>
          <w:tab w:val="left" w:pos="900"/>
        </w:tabs>
        <w:spacing w:before="40" w:after="40" w:line="269" w:lineRule="auto"/>
        <w:ind w:firstLine="567"/>
        <w:jc w:val="both"/>
        <w:rPr>
          <w:rStyle w:val="normalchar"/>
          <w:rFonts w:ascii="Times New Roman" w:eastAsia="Calibri" w:hAnsi="Times New Roman"/>
          <w:spacing w:val="-2"/>
          <w:sz w:val="28"/>
          <w:szCs w:val="28"/>
          <w:shd w:val="clear" w:color="auto" w:fill="FFFFFF"/>
          <w:lang w:val="de-DE"/>
        </w:rPr>
      </w:pPr>
      <w:r w:rsidRPr="00913143">
        <w:rPr>
          <w:rFonts w:ascii="Times New Roman" w:eastAsia="Calibri" w:hAnsi="Times New Roman" w:cs="Times New Roman"/>
          <w:spacing w:val="-2"/>
          <w:sz w:val="28"/>
          <w:szCs w:val="28"/>
          <w:lang w:val="de-DE"/>
        </w:rPr>
        <w:t xml:space="preserve">Tính chung 6 tháng đầu năm 2022, trên địa bàn cả nước xảy ra 5.684 vụ tai nạn giao thông, bao gồm 3.956 vụ tai nạn giao thông từ ít nghiêm trọng trở lên và 1.728 vụ va chạm giao thông, làm 3.286 người chết, 1.956 người bị thương và 1.740 người bị thương nhẹ. So với cùng kỳ năm trước, số vụ tai nạn giao thông trong 6 tháng đầu năm 2022 giảm 10,4% (số vụ tai nạn giao thông từ ít nghiêm trọng trở lên giảm 2%; số vụ va chạm giao thông giảm 25,1%); số người chết tăng 2,7%; số người bị thương giảm 6,4% và số người bị thương nhẹ giảm 27,1%. Bình quân 1 ngày trong 6 tháng đầu năm 2022, trên địa bàn cả nước xảy ra 31 vụ tai nạn giao thông, gồm 22 vụ tai nạn giao thông từ ít nghiêm trọng trở lên và 9 vụ va chạm giao thông, làm 19 người chết, 11 người bị thương và 9 người bị thương nhẹ. </w:t>
      </w:r>
    </w:p>
    <w:p w:rsidR="00E16E90" w:rsidRPr="00913143" w:rsidRDefault="00496F9A" w:rsidP="00913143">
      <w:pPr>
        <w:spacing w:before="40" w:after="40" w:line="264" w:lineRule="auto"/>
        <w:ind w:firstLine="567"/>
        <w:jc w:val="both"/>
        <w:rPr>
          <w:rStyle w:val="normalchar"/>
          <w:rFonts w:ascii="Times New Roman" w:hAnsi="Times New Roman"/>
          <w:b/>
          <w:i/>
          <w:sz w:val="28"/>
          <w:szCs w:val="28"/>
          <w:lang w:val="nl-NL"/>
        </w:rPr>
      </w:pPr>
      <w:r w:rsidRPr="00913143">
        <w:rPr>
          <w:rStyle w:val="normalchar"/>
          <w:rFonts w:ascii="Times New Roman" w:hAnsi="Times New Roman"/>
          <w:b/>
          <w:i/>
          <w:sz w:val="28"/>
          <w:szCs w:val="28"/>
          <w:lang w:val="nl-NL"/>
        </w:rPr>
        <w:t>7</w:t>
      </w:r>
      <w:r w:rsidR="00AD1B18" w:rsidRPr="00913143">
        <w:rPr>
          <w:rStyle w:val="normalchar"/>
          <w:rFonts w:ascii="Times New Roman" w:hAnsi="Times New Roman"/>
          <w:b/>
          <w:i/>
          <w:sz w:val="28"/>
          <w:szCs w:val="28"/>
          <w:lang w:val="nl-NL"/>
        </w:rPr>
        <w:t xml:space="preserve">. </w:t>
      </w:r>
      <w:r w:rsidR="00846C2A" w:rsidRPr="00913143">
        <w:rPr>
          <w:rStyle w:val="normalchar"/>
          <w:rFonts w:ascii="Times New Roman" w:hAnsi="Times New Roman"/>
          <w:b/>
          <w:i/>
          <w:sz w:val="28"/>
          <w:szCs w:val="28"/>
          <w:lang w:val="nl-NL"/>
        </w:rPr>
        <w:t>Thiên tai</w:t>
      </w:r>
      <w:r w:rsidR="00F3430A" w:rsidRPr="00913143">
        <w:rPr>
          <w:rStyle w:val="normalchar"/>
          <w:rFonts w:ascii="Times New Roman" w:hAnsi="Times New Roman"/>
          <w:b/>
          <w:i/>
          <w:sz w:val="28"/>
          <w:szCs w:val="28"/>
          <w:lang w:val="nl-NL"/>
        </w:rPr>
        <w:t xml:space="preserve">, ô nhiễm môi trường và cháy, nổ </w:t>
      </w:r>
      <w:r w:rsidR="00846C2A" w:rsidRPr="00913143">
        <w:rPr>
          <w:rStyle w:val="normalchar"/>
          <w:rFonts w:ascii="Times New Roman" w:hAnsi="Times New Roman"/>
          <w:b/>
          <w:i/>
          <w:sz w:val="28"/>
          <w:szCs w:val="28"/>
          <w:lang w:val="nl-NL"/>
        </w:rPr>
        <w:t xml:space="preserve">ảnh hưởng </w:t>
      </w:r>
      <w:r w:rsidR="00F3430A" w:rsidRPr="00913143">
        <w:rPr>
          <w:rStyle w:val="normalchar"/>
          <w:rFonts w:ascii="Times New Roman" w:hAnsi="Times New Roman"/>
          <w:b/>
          <w:i/>
          <w:sz w:val="28"/>
          <w:szCs w:val="28"/>
          <w:lang w:val="nl-NL"/>
        </w:rPr>
        <w:t xml:space="preserve">không nhỏ </w:t>
      </w:r>
      <w:r w:rsidR="00846C2A" w:rsidRPr="00913143">
        <w:rPr>
          <w:rStyle w:val="normalchar"/>
          <w:rFonts w:ascii="Times New Roman" w:hAnsi="Times New Roman"/>
          <w:b/>
          <w:i/>
          <w:sz w:val="28"/>
          <w:szCs w:val="28"/>
          <w:lang w:val="nl-NL"/>
        </w:rPr>
        <w:t>tới cuộc sống của người dân ở một số địa phương</w:t>
      </w:r>
    </w:p>
    <w:p w:rsidR="00E13E26" w:rsidRPr="00913143" w:rsidRDefault="00E13E26" w:rsidP="00913143">
      <w:pPr>
        <w:pStyle w:val="Normal11"/>
        <w:spacing w:before="40" w:beforeAutospacing="0" w:after="40" w:afterAutospacing="0" w:line="264" w:lineRule="auto"/>
        <w:ind w:firstLine="567"/>
        <w:jc w:val="both"/>
        <w:rPr>
          <w:rFonts w:ascii="Times New Roman" w:hAnsi="Times New Roman" w:cs="Times New Roman"/>
          <w:sz w:val="28"/>
          <w:szCs w:val="28"/>
          <w:lang w:val="de-DE"/>
        </w:rPr>
      </w:pPr>
      <w:r w:rsidRPr="00913143">
        <w:rPr>
          <w:rFonts w:ascii="Times New Roman" w:hAnsi="Times New Roman" w:cs="Times New Roman"/>
          <w:sz w:val="28"/>
          <w:szCs w:val="28"/>
          <w:lang w:val="de-DE"/>
        </w:rPr>
        <w:t xml:space="preserve">Tính chung 6 tháng đầu năm, thiên tai làm 75 người chết và mất tích; 52 người bị thương; 160,3 nghìn ha lúa và 31,9 nghìn ha hoa màu bị hư hỏng; hơn 176,2 nghìn con gia súc và gia cầm bị chết; gần 8 nghìn ngôi nhà bị sập đổ, cuốn trôi và bị hư hỏng; tổng giá trị thiệt hại ước tính hơn 5.422,8 tỷ đồng, gấp 10,6 lần so với cùng kỳ năm trước. </w:t>
      </w:r>
    </w:p>
    <w:p w:rsidR="00E13E26" w:rsidRPr="00913143" w:rsidRDefault="00E13E26" w:rsidP="00913143">
      <w:pPr>
        <w:tabs>
          <w:tab w:val="left" w:pos="426"/>
          <w:tab w:val="left" w:pos="900"/>
        </w:tabs>
        <w:spacing w:before="40" w:after="40" w:line="264" w:lineRule="auto"/>
        <w:ind w:firstLine="567"/>
        <w:jc w:val="both"/>
        <w:rPr>
          <w:rFonts w:ascii="Times New Roman" w:eastAsia="Calibri" w:hAnsi="Times New Roman" w:cs="Times New Roman"/>
          <w:spacing w:val="-2"/>
          <w:sz w:val="28"/>
          <w:szCs w:val="28"/>
          <w:lang w:val="de-DE"/>
        </w:rPr>
      </w:pPr>
      <w:r w:rsidRPr="00913143">
        <w:rPr>
          <w:rFonts w:ascii="Times New Roman" w:eastAsia="Calibri" w:hAnsi="Times New Roman" w:cs="Times New Roman"/>
          <w:spacing w:val="-2"/>
          <w:sz w:val="28"/>
          <w:szCs w:val="28"/>
          <w:lang w:val="de-DE"/>
        </w:rPr>
        <w:t>Cũng trong 6 tháng đầu năm đã phát hiện 11.485 vụ vi phạm môi trường, trong đó xử lý 9.704 vụ với tổng số tiền phạt là 130,5 tỷ đồng, tăng 5,8% so với cùng kỳ năm trước; cả nước xảy ra 855 vụ cháy, nổ, làm 48 người chết và 50 người bị thương, thiệt hại ước tính 424,7 tỷ đồng, tăng 47,1% so với cùng kỳ năm trước./.</w:t>
      </w:r>
    </w:p>
    <w:p w:rsidR="00F84202" w:rsidRPr="007B725E" w:rsidRDefault="00F84202" w:rsidP="007B725E">
      <w:pPr>
        <w:spacing w:after="120" w:line="240" w:lineRule="auto"/>
        <w:ind w:firstLine="567"/>
        <w:jc w:val="right"/>
        <w:rPr>
          <w:rFonts w:ascii="Times New Roman" w:hAnsi="Times New Roman" w:cs="Times New Roman"/>
          <w:b/>
          <w:sz w:val="28"/>
          <w:szCs w:val="28"/>
          <w:lang w:val="en-US"/>
        </w:rPr>
      </w:pPr>
    </w:p>
    <w:p w:rsidR="00097926" w:rsidRPr="007B725E" w:rsidRDefault="008F28DB" w:rsidP="007B725E">
      <w:pPr>
        <w:spacing w:after="120" w:line="240" w:lineRule="auto"/>
        <w:ind w:firstLine="567"/>
        <w:jc w:val="right"/>
        <w:rPr>
          <w:rFonts w:ascii="Times New Roman" w:hAnsi="Times New Roman" w:cs="Times New Roman"/>
          <w:i/>
          <w:sz w:val="28"/>
          <w:szCs w:val="28"/>
          <w:highlight w:val="yellow"/>
          <w:lang w:val="de-DE"/>
        </w:rPr>
      </w:pPr>
      <w:r w:rsidRPr="007B725E">
        <w:rPr>
          <w:rFonts w:ascii="Times New Roman" w:hAnsi="Times New Roman" w:cs="Times New Roman"/>
          <w:b/>
          <w:sz w:val="28"/>
          <w:szCs w:val="28"/>
          <w:lang w:val="en-US"/>
        </w:rPr>
        <w:t>T</w:t>
      </w:r>
      <w:r w:rsidR="008D4F7B" w:rsidRPr="007B725E">
        <w:rPr>
          <w:rFonts w:ascii="Times New Roman" w:hAnsi="Times New Roman" w:cs="Times New Roman"/>
          <w:b/>
          <w:sz w:val="28"/>
          <w:szCs w:val="28"/>
          <w:lang w:val="en-US"/>
        </w:rPr>
        <w:t>ỔNG CỤC THỐNG KÊ</w:t>
      </w:r>
    </w:p>
    <w:sectPr w:rsidR="00097926" w:rsidRPr="007B725E" w:rsidSect="00496D43">
      <w:headerReference w:type="default" r:id="rId8"/>
      <w:footerReference w:type="default" r:id="rId9"/>
      <w:pgSz w:w="11906" w:h="16838" w:code="9"/>
      <w:pgMar w:top="1134" w:right="1134" w:bottom="1134" w:left="1701" w:header="505"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D25" w:rsidRDefault="006E7D25" w:rsidP="00140F6C">
      <w:pPr>
        <w:spacing w:after="0" w:line="240" w:lineRule="auto"/>
        <w:rPr>
          <w:rFonts w:cs="Times New Roman"/>
        </w:rPr>
      </w:pPr>
      <w:r>
        <w:rPr>
          <w:rFonts w:cs="Times New Roman"/>
        </w:rPr>
        <w:separator/>
      </w:r>
    </w:p>
  </w:endnote>
  <w:endnote w:type="continuationSeparator" w:id="0">
    <w:p w:rsidR="006E7D25" w:rsidRDefault="006E7D25"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EE" w:rsidRDefault="00DD4DEE" w:rsidP="006B1758">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D25" w:rsidRDefault="006E7D25" w:rsidP="00140F6C">
      <w:pPr>
        <w:spacing w:after="0" w:line="240" w:lineRule="auto"/>
        <w:rPr>
          <w:rFonts w:cs="Times New Roman"/>
        </w:rPr>
      </w:pPr>
      <w:r>
        <w:rPr>
          <w:rFonts w:cs="Times New Roman"/>
        </w:rPr>
        <w:separator/>
      </w:r>
    </w:p>
  </w:footnote>
  <w:footnote w:type="continuationSeparator" w:id="0">
    <w:p w:rsidR="006E7D25" w:rsidRDefault="006E7D25" w:rsidP="00140F6C">
      <w:pPr>
        <w:spacing w:after="0" w:line="240" w:lineRule="auto"/>
        <w:rPr>
          <w:rFonts w:cs="Times New Roman"/>
        </w:rPr>
      </w:pPr>
      <w:r>
        <w:rPr>
          <w:rFonts w:cs="Times New Roman"/>
        </w:rPr>
        <w:continuationSeparator/>
      </w:r>
    </w:p>
  </w:footnote>
  <w:footnote w:id="1">
    <w:p w:rsidR="000F7DF2" w:rsidRPr="00447659" w:rsidRDefault="000F7DF2" w:rsidP="00005AF6">
      <w:pPr>
        <w:pStyle w:val="FootnoteText"/>
        <w:spacing w:after="60"/>
        <w:ind w:left="153" w:hanging="153"/>
        <w:jc w:val="both"/>
        <w:rPr>
          <w:rFonts w:ascii="Times New Roman" w:hAnsi="Times New Roman" w:cs="Times New Roman"/>
          <w:lang w:val="en-US"/>
        </w:rPr>
      </w:pPr>
      <w:r w:rsidRPr="00447659">
        <w:rPr>
          <w:rStyle w:val="FootnoteReference"/>
          <w:rFonts w:ascii="Times New Roman" w:hAnsi="Times New Roman"/>
        </w:rPr>
        <w:footnoteRef/>
      </w:r>
      <w:r w:rsidRPr="00447659">
        <w:rPr>
          <w:rFonts w:ascii="Times New Roman" w:hAnsi="Times New Roman" w:cs="Times New Roman"/>
        </w:rPr>
        <w:t xml:space="preserve"> </w:t>
      </w:r>
      <w:r w:rsidRPr="00447659">
        <w:rPr>
          <w:rFonts w:ascii="Times New Roman" w:hAnsi="Times New Roman" w:cs="Times New Roman"/>
          <w:lang w:val="en-US"/>
        </w:rPr>
        <w:t>Thông cáo báo chí và Infographics về tình hình kinh tế - xã hội quý II và 6 tháng đầu năm 202</w:t>
      </w:r>
      <w:r w:rsidR="00005AF6" w:rsidRPr="00447659">
        <w:rPr>
          <w:rFonts w:ascii="Times New Roman" w:hAnsi="Times New Roman" w:cs="Times New Roman"/>
          <w:lang w:val="en-US"/>
        </w:rPr>
        <w:t>2</w:t>
      </w:r>
      <w:r w:rsidRPr="00447659">
        <w:rPr>
          <w:rFonts w:ascii="Times New Roman" w:hAnsi="Times New Roman" w:cs="Times New Roman"/>
          <w:lang w:val="en-US"/>
        </w:rPr>
        <w:t xml:space="preserve"> được đăng tải trên Trang thông tin điện tử của Tổng cục Thống kê (</w:t>
      </w:r>
      <w:hyperlink r:id="rId1" w:history="1">
        <w:r w:rsidRPr="00447659">
          <w:rPr>
            <w:rStyle w:val="Hyperlink"/>
            <w:rFonts w:ascii="Times New Roman" w:hAnsi="Times New Roman" w:cs="Times New Roman"/>
            <w:color w:val="auto"/>
          </w:rPr>
          <w:t>https://www.gso.gov.vn)</w:t>
        </w:r>
      </w:hyperlink>
      <w:r w:rsidRPr="00447659">
        <w:rPr>
          <w:rFonts w:ascii="Times New Roman" w:hAnsi="Times New Roman" w:cs="Times New Roman"/>
        </w:rPr>
        <w:t>.</w:t>
      </w:r>
    </w:p>
  </w:footnote>
  <w:footnote w:id="2">
    <w:p w:rsidR="00005AF6" w:rsidRPr="00005AF6" w:rsidRDefault="00005AF6" w:rsidP="00005AF6">
      <w:pPr>
        <w:pStyle w:val="FootnoteText"/>
        <w:spacing w:after="60"/>
        <w:ind w:left="153" w:hanging="153"/>
        <w:jc w:val="both"/>
        <w:rPr>
          <w:rFonts w:ascii="Times New Roman" w:hAnsi="Times New Roman" w:cs="Times New Roman"/>
          <w:spacing w:val="-4"/>
          <w:lang w:val="en-US"/>
        </w:rPr>
      </w:pPr>
      <w:r w:rsidRPr="00447659">
        <w:rPr>
          <w:rStyle w:val="FootnoteReference"/>
          <w:rFonts w:ascii="Times New Roman" w:hAnsi="Times New Roman"/>
          <w:spacing w:val="-4"/>
        </w:rPr>
        <w:footnoteRef/>
      </w:r>
      <w:r w:rsidRPr="00447659">
        <w:rPr>
          <w:rFonts w:ascii="Times New Roman" w:hAnsi="Times New Roman" w:cs="Times New Roman"/>
          <w:spacing w:val="-4"/>
        </w:rPr>
        <w:t xml:space="preserve"> </w:t>
      </w:r>
      <w:r w:rsidRPr="00447659">
        <w:rPr>
          <w:rFonts w:ascii="Times New Roman" w:hAnsi="Times New Roman" w:cs="Times New Roman"/>
          <w:spacing w:val="-4"/>
          <w:lang w:val="en-US"/>
        </w:rPr>
        <w:t>Tại thời điểm tháng 6/2022</w:t>
      </w:r>
      <w:r w:rsidRPr="00447659">
        <w:rPr>
          <w:rFonts w:ascii="Times New Roman" w:hAnsi="Times New Roman" w:cs="Times New Roman"/>
          <w:spacing w:val="-4"/>
          <w:lang w:val="vi-VN"/>
        </w:rPr>
        <w:t xml:space="preserve"> </w:t>
      </w:r>
      <w:r w:rsidRPr="00447659">
        <w:rPr>
          <w:rFonts w:ascii="Times New Roman" w:hAnsi="Times New Roman" w:cs="Times New Roman"/>
          <w:spacing w:val="-4"/>
          <w:lang w:val="en-US"/>
        </w:rPr>
        <w:t>so với tháng 01/2022, Ngân hàng Thế giới (WB) dự báo tăng trưởng toàn cầu năm 2022 chỉ đạt 2,9% năm 2022, giảm 1,2 điểm phần trăm. Quỹ Tiền tệ Quốc tế (IMF) dự báo ở mức 3,6%, thấp hơn 0,8 điểm phần trăm. Tổ chức Hợp tác và Phát triển Kinh tế (OECD) dự báo sẽ chậm lại và chỉ đạt mức 3%, thấp hơn 1,5 điểm phần trăm. Liên hợp quốc dự báo chỉ tăng trưởng 3,1%, điều chỉnh giảm 0,9 điểm phần trăm.</w:t>
      </w:r>
    </w:p>
  </w:footnote>
  <w:footnote w:id="3">
    <w:p w:rsidR="00CC6C0E" w:rsidRPr="00DA3A92" w:rsidRDefault="00CC6C0E" w:rsidP="00CC6C0E">
      <w:pPr>
        <w:pStyle w:val="FootnoteText"/>
        <w:ind w:left="142" w:hanging="142"/>
        <w:jc w:val="both"/>
        <w:rPr>
          <w:rFonts w:ascii="Times New Roman" w:hAnsi="Times New Roman" w:cs="Times New Roman"/>
          <w:lang w:val="en-US"/>
        </w:rPr>
      </w:pPr>
      <w:r>
        <w:rPr>
          <w:rFonts w:ascii="Times New Roman" w:hAnsi="Times New Roman" w:cs="Times New Roman"/>
        </w:rPr>
        <w:t xml:space="preserve"> </w:t>
      </w:r>
      <w:r w:rsidRPr="00DA3A92">
        <w:rPr>
          <w:rStyle w:val="FootnoteReference"/>
        </w:rPr>
        <w:footnoteRef/>
      </w:r>
      <w:r w:rsidRPr="00DA3A92">
        <w:rPr>
          <w:rFonts w:ascii="Times New Roman" w:hAnsi="Times New Roman" w:cs="Times New Roman"/>
        </w:rPr>
        <w:t xml:space="preserve"> Tốc độ tăng GDP quý II so với cùng kỳ năm trước các năm 2011-2022 lần lượt là: 6,29%; 5,57%; 5,39%; 6,18%; 7,1%; 6,79%; 6,71%; 7,18%; 7,1%; 0,52%; 6,73%; 7,</w:t>
      </w:r>
      <w:r w:rsidR="00B94AFB">
        <w:rPr>
          <w:rFonts w:ascii="Times New Roman" w:hAnsi="Times New Roman" w:cs="Times New Roman"/>
        </w:rPr>
        <w:t>72</w:t>
      </w:r>
      <w:r w:rsidRPr="00DA3A92">
        <w:rPr>
          <w:rFonts w:ascii="Times New Roman" w:hAnsi="Times New Roman" w:cs="Times New Roman"/>
        </w:rPr>
        <w:t>%.</w:t>
      </w:r>
    </w:p>
  </w:footnote>
  <w:footnote w:id="4">
    <w:p w:rsidR="00DB34B7" w:rsidRPr="00B5332A" w:rsidRDefault="00DB34B7" w:rsidP="00DB34B7">
      <w:pPr>
        <w:pStyle w:val="FootnoteText"/>
        <w:spacing w:before="40" w:after="40"/>
        <w:ind w:left="142" w:hanging="142"/>
        <w:jc w:val="both"/>
        <w:rPr>
          <w:rFonts w:ascii="Times New Roman" w:hAnsi="Times New Roman" w:cs="Times New Roman"/>
          <w:lang w:val="en-US"/>
        </w:rPr>
      </w:pPr>
      <w:r w:rsidRPr="006B7C01">
        <w:rPr>
          <w:rStyle w:val="FootnoteReference"/>
        </w:rPr>
        <w:footnoteRef/>
      </w:r>
      <w:r w:rsidRPr="006B7C01">
        <w:rPr>
          <w:rFonts w:ascii="Times New Roman" w:hAnsi="Times New Roman" w:cs="Times New Roman"/>
        </w:rPr>
        <w:t xml:space="preserve"> </w:t>
      </w:r>
      <w:r w:rsidRPr="006B7C01">
        <w:rPr>
          <w:rFonts w:ascii="Times New Roman" w:hAnsi="Times New Roman" w:cs="Times New Roman"/>
          <w:spacing w:val="-4"/>
          <w:lang w:val="en-US"/>
        </w:rPr>
        <w:t>Giá trị tăng thêm của ngành công nghiệp quý II so với cùng kỳ năm trước các năm 2018 và 2019 tăng 8,28% và 8,38%.</w:t>
      </w:r>
    </w:p>
  </w:footnote>
  <w:footnote w:id="5">
    <w:p w:rsidR="003E4144" w:rsidRPr="00837379" w:rsidRDefault="003E4144" w:rsidP="00913143">
      <w:pPr>
        <w:pStyle w:val="FootnoteText"/>
        <w:ind w:left="142" w:hanging="142"/>
        <w:jc w:val="both"/>
        <w:rPr>
          <w:rFonts w:ascii="Times New Roman" w:hAnsi="Times New Roman" w:cs="Times New Roman"/>
          <w:spacing w:val="-4"/>
          <w:lang w:val="vi-VN"/>
        </w:rPr>
      </w:pPr>
      <w:r w:rsidRPr="00837379">
        <w:rPr>
          <w:rStyle w:val="FootnoteReference"/>
        </w:rPr>
        <w:footnoteRef/>
      </w:r>
      <w:r w:rsidRPr="00837379">
        <w:rPr>
          <w:rFonts w:ascii="Times New Roman" w:hAnsi="Times New Roman" w:cs="Times New Roman"/>
          <w:lang w:val="vi-VN"/>
        </w:rPr>
        <w:t xml:space="preserve"> Nguồn: Hệ thống thông tin đăng ký doanh nghiệp quốc gia, Cục Quản lý đăng ký kinh doanh, Bộ Kế hoạch và Đầu tư, ngày 24/</w:t>
      </w:r>
      <w:r>
        <w:rPr>
          <w:rFonts w:ascii="Times New Roman" w:hAnsi="Times New Roman" w:cs="Times New Roman"/>
          <w:lang w:val="en-US"/>
        </w:rPr>
        <w:t>6</w:t>
      </w:r>
      <w:r w:rsidRPr="00837379">
        <w:rPr>
          <w:rFonts w:ascii="Times New Roman" w:hAnsi="Times New Roman" w:cs="Times New Roman"/>
          <w:lang w:val="en-US"/>
        </w:rPr>
        <w:t>/</w:t>
      </w:r>
      <w:r w:rsidRPr="00837379">
        <w:rPr>
          <w:rFonts w:ascii="Times New Roman" w:hAnsi="Times New Roman" w:cs="Times New Roman"/>
          <w:lang w:val="vi-VN"/>
        </w:rPr>
        <w:t>202</w:t>
      </w:r>
      <w:r w:rsidRPr="00837379">
        <w:rPr>
          <w:rFonts w:ascii="Times New Roman" w:hAnsi="Times New Roman" w:cs="Times New Roman"/>
          <w:lang w:val="en-US"/>
        </w:rPr>
        <w:t>2</w:t>
      </w:r>
      <w:r w:rsidRPr="00837379">
        <w:rPr>
          <w:rFonts w:ascii="Times New Roman" w:hAnsi="Times New Roman" w:cs="Times New Roman"/>
          <w:lang w:val="vi-VN"/>
        </w:rPr>
        <w:t>.</w:t>
      </w:r>
    </w:p>
  </w:footnote>
  <w:footnote w:id="6">
    <w:p w:rsidR="003E4144" w:rsidRPr="001730E9" w:rsidRDefault="003E4144" w:rsidP="00913143">
      <w:pPr>
        <w:pStyle w:val="FootnoteText"/>
        <w:spacing w:after="60"/>
        <w:ind w:left="142" w:hanging="142"/>
        <w:jc w:val="both"/>
        <w:rPr>
          <w:rFonts w:ascii="Times New Roman" w:hAnsi="Times New Roman" w:cs="Times New Roman"/>
          <w:lang w:val="vi-VN"/>
        </w:rPr>
      </w:pPr>
      <w:r w:rsidRPr="001730E9">
        <w:rPr>
          <w:rStyle w:val="FootnoteReference"/>
          <w:rFonts w:ascii="Times New Roman" w:hAnsi="Times New Roman"/>
        </w:rPr>
        <w:footnoteRef/>
      </w:r>
      <w:r w:rsidRPr="001730E9">
        <w:rPr>
          <w:rFonts w:ascii="Times New Roman" w:hAnsi="Times New Roman" w:cs="Times New Roman"/>
          <w:lang w:val="vi-VN"/>
        </w:rPr>
        <w:t xml:space="preserve"> Chỉ số tương ứng của quý I/2021: Có 28,4% số doanh nghiệp đánh giá tốt hơn quý trước; 35,8% số doanh nghiệp cho rằng tình hình sản xuất kinh doanh ổn định và 35,8% số doanh nghiệp đánh giá gặp khó khăn.</w:t>
      </w:r>
    </w:p>
  </w:footnote>
  <w:footnote w:id="7">
    <w:p w:rsidR="00C53348" w:rsidRPr="001730E9" w:rsidRDefault="00C53348" w:rsidP="001730E9">
      <w:pPr>
        <w:pStyle w:val="FootnoteText"/>
        <w:spacing w:after="60"/>
        <w:ind w:left="142" w:hanging="142"/>
        <w:jc w:val="both"/>
        <w:rPr>
          <w:rFonts w:ascii="Times New Roman" w:hAnsi="Times New Roman" w:cs="Times New Roman"/>
          <w:lang w:val="vi-VN"/>
        </w:rPr>
      </w:pPr>
      <w:r w:rsidRPr="001730E9">
        <w:rPr>
          <w:rStyle w:val="FootnoteReference"/>
          <w:rFonts w:ascii="Times New Roman" w:hAnsi="Times New Roman"/>
        </w:rPr>
        <w:footnoteRef/>
      </w:r>
      <w:r w:rsidRPr="001730E9">
        <w:rPr>
          <w:rFonts w:ascii="Times New Roman" w:hAnsi="Times New Roman" w:cs="Times New Roman"/>
          <w:lang w:val="vi-VN"/>
        </w:rPr>
        <w:t xml:space="preserve"> Kỳ báo cáo từ ngày 21/5/2022-20/6/2022.</w:t>
      </w:r>
    </w:p>
  </w:footnote>
  <w:footnote w:id="8">
    <w:p w:rsidR="00C53348" w:rsidRPr="002539C0" w:rsidRDefault="00C53348" w:rsidP="001730E9">
      <w:pPr>
        <w:pStyle w:val="FootnoteText"/>
        <w:spacing w:after="60"/>
        <w:ind w:left="142" w:hanging="142"/>
        <w:rPr>
          <w:rFonts w:ascii="Times New Roman" w:hAnsi="Times New Roman" w:cs="Times New Roman"/>
          <w:lang w:val="vi-VN"/>
        </w:rPr>
      </w:pPr>
      <w:r w:rsidRPr="001730E9">
        <w:rPr>
          <w:rStyle w:val="FootnoteReference"/>
          <w:rFonts w:ascii="Times New Roman" w:hAnsi="Times New Roman"/>
        </w:rPr>
        <w:footnoteRef/>
      </w:r>
      <w:r w:rsidRPr="001730E9">
        <w:rPr>
          <w:rFonts w:ascii="Times New Roman" w:hAnsi="Times New Roman" w:cs="Times New Roman"/>
          <w:lang w:val="vi-VN"/>
        </w:rPr>
        <w:t xml:space="preserve"> Quý I/2022 tăng 6,1%; quý II/2022 tăng 16,7%.</w:t>
      </w:r>
    </w:p>
  </w:footnote>
  <w:footnote w:id="9">
    <w:p w:rsidR="00806D42" w:rsidRPr="00913143" w:rsidRDefault="00806D42" w:rsidP="00913143">
      <w:pPr>
        <w:pStyle w:val="FootnoteText"/>
        <w:ind w:left="142" w:hanging="142"/>
        <w:jc w:val="both"/>
        <w:rPr>
          <w:rFonts w:ascii="Times New Roman" w:hAnsi="Times New Roman" w:cs="Times New Roman"/>
          <w:lang w:val="vi-VN"/>
        </w:rPr>
      </w:pPr>
      <w:r w:rsidRPr="00913143">
        <w:rPr>
          <w:rStyle w:val="FootnoteReference"/>
          <w:rFonts w:ascii="Times New Roman" w:hAnsi="Times New Roman"/>
        </w:rPr>
        <w:footnoteRef/>
      </w:r>
      <w:r w:rsidRPr="00913143">
        <w:rPr>
          <w:rFonts w:ascii="Times New Roman" w:hAnsi="Times New Roman" w:cs="Times New Roman"/>
          <w:iCs/>
          <w:spacing w:val="-2"/>
          <w:lang w:val="de-DE"/>
        </w:rPr>
        <w:t xml:space="preserve"> Vốn đầu tư ra nước ngoài cấp mới 6 tháng đầu năm 2022 tăng mạnh so với cùng kỳ do có 5 dự án lớn mới được cấp giấy chứng nhận đăng ký đầu tư là dự án Công ty cổ phần giải pháp năng lượng Vines sang Mỹ, Ca-na-da, Pháp, Đức, Hà Lan với tổng vốn đầu tư mỗi dự án từ 34,7 triệu USD trở lên. </w:t>
      </w:r>
    </w:p>
  </w:footnote>
  <w:footnote w:id="10">
    <w:p w:rsidR="00806D42" w:rsidRPr="00531F79" w:rsidRDefault="00806D42" w:rsidP="00806D42">
      <w:pPr>
        <w:pStyle w:val="FootnoteText"/>
        <w:ind w:left="198" w:hanging="198"/>
        <w:jc w:val="both"/>
        <w:rPr>
          <w:rFonts w:ascii="Times New Roman" w:hAnsi="Times New Roman" w:cs="Times New Roman"/>
          <w:iCs/>
          <w:spacing w:val="-2"/>
          <w:lang w:val="de-DE"/>
        </w:rPr>
      </w:pPr>
      <w:r w:rsidRPr="00531F79">
        <w:rPr>
          <w:rStyle w:val="FootnoteReference"/>
        </w:rPr>
        <w:footnoteRef/>
      </w:r>
      <w:r w:rsidRPr="00531F79">
        <w:rPr>
          <w:rFonts w:ascii="Times New Roman" w:hAnsi="Times New Roman" w:cs="Times New Roman"/>
          <w:iCs/>
          <w:spacing w:val="-2"/>
          <w:lang w:val="de-DE"/>
        </w:rPr>
        <w:t xml:space="preserve"> Vốn đầu tư điều chỉnh giảm mạnh trong 6 tháng đầu năm 2022 do trong 6 tháng đầu năm 2021 có nhiều dự án lớn điều chỉnh tăng vốn: </w:t>
      </w:r>
      <w:r>
        <w:rPr>
          <w:rFonts w:ascii="Times New Roman" w:hAnsi="Times New Roman" w:cs="Times New Roman"/>
          <w:iCs/>
          <w:spacing w:val="-2"/>
          <w:lang w:val="de-DE"/>
        </w:rPr>
        <w:t>D</w:t>
      </w:r>
      <w:r w:rsidRPr="00531F79">
        <w:rPr>
          <w:rFonts w:ascii="Times New Roman" w:hAnsi="Times New Roman" w:cs="Times New Roman"/>
          <w:iCs/>
          <w:spacing w:val="-2"/>
          <w:lang w:val="de-DE"/>
        </w:rPr>
        <w:t>ự án của Vingroup tại Hoa Kỳ điều chỉnh tăng 300 triệu USD; dự án Công ty TNHH Đầu tư và phát triển cao su Đông Dương tại Cam-pu-chia tăng 76 triệu USD và 01 dự án của Vinfast tại Đức tăng 32 triệu USD</w:t>
      </w:r>
      <w:r w:rsidRPr="002539C0">
        <w:rPr>
          <w:rFonts w:ascii="Times New Roman" w:hAnsi="Times New Roman" w:cs="Times New Roman"/>
          <w:lang w:val="vi-VN"/>
        </w:rPr>
        <w:t>.</w:t>
      </w:r>
    </w:p>
  </w:footnote>
  <w:footnote w:id="11">
    <w:p w:rsidR="006D076B" w:rsidRPr="006D076B" w:rsidRDefault="006D076B" w:rsidP="006D076B">
      <w:pPr>
        <w:pStyle w:val="FootnoteText"/>
        <w:spacing w:before="20" w:after="20"/>
        <w:ind w:left="198" w:hanging="198"/>
        <w:jc w:val="both"/>
        <w:rPr>
          <w:rFonts w:ascii="Times New Roman" w:hAnsi="Times New Roman" w:cs="Times New Roman"/>
          <w:lang w:val="vi-VN"/>
        </w:rPr>
      </w:pPr>
      <w:r w:rsidRPr="00BC5895">
        <w:rPr>
          <w:rStyle w:val="FootnoteReference"/>
        </w:rPr>
        <w:footnoteRef/>
      </w:r>
      <w:r w:rsidRPr="009F297E">
        <w:rPr>
          <w:rFonts w:ascii="Times New Roman" w:hAnsi="Times New Roman" w:cs="Times New Roman"/>
          <w:lang w:val="vi-VN"/>
        </w:rPr>
        <w:t xml:space="preserve"> T</w:t>
      </w:r>
      <w:r w:rsidRPr="009F297E">
        <w:rPr>
          <w:rFonts w:ascii="Times New Roman" w:hAnsi="Times New Roman" w:cs="Times New Roman"/>
          <w:bCs/>
          <w:color w:val="000000"/>
          <w:lang w:val="vi-VN"/>
        </w:rPr>
        <w:t xml:space="preserve">ổng kim ngạch xuất, nhập khẩu hàng hóa </w:t>
      </w:r>
      <w:r>
        <w:rPr>
          <w:rFonts w:ascii="Times New Roman" w:hAnsi="Times New Roman" w:cs="Times New Roman"/>
          <w:bCs/>
          <w:color w:val="000000"/>
          <w:lang w:val="en-US"/>
        </w:rPr>
        <w:t xml:space="preserve">6 tháng </w:t>
      </w:r>
      <w:r w:rsidRPr="006D076B">
        <w:rPr>
          <w:rFonts w:ascii="Times New Roman" w:hAnsi="Times New Roman" w:cs="Times New Roman"/>
          <w:bCs/>
          <w:color w:val="000000"/>
          <w:lang w:val="en-US"/>
        </w:rPr>
        <w:t xml:space="preserve">đầu </w:t>
      </w:r>
      <w:r w:rsidRPr="006D076B">
        <w:rPr>
          <w:rFonts w:ascii="Times New Roman" w:hAnsi="Times New Roman" w:cs="Times New Roman"/>
          <w:bCs/>
          <w:color w:val="000000"/>
          <w:lang w:val="vi-VN"/>
        </w:rPr>
        <w:t>năm 202</w:t>
      </w:r>
      <w:r w:rsidRPr="006D076B">
        <w:rPr>
          <w:rFonts w:ascii="Times New Roman" w:hAnsi="Times New Roman" w:cs="Times New Roman"/>
          <w:bCs/>
          <w:color w:val="000000"/>
          <w:lang w:val="en-US"/>
        </w:rPr>
        <w:t>1</w:t>
      </w:r>
      <w:r w:rsidRPr="006D076B">
        <w:rPr>
          <w:rFonts w:ascii="Times New Roman" w:hAnsi="Times New Roman" w:cs="Times New Roman"/>
          <w:bCs/>
          <w:color w:val="000000"/>
          <w:lang w:val="vi-VN"/>
        </w:rPr>
        <w:t xml:space="preserve"> đạt </w:t>
      </w:r>
      <w:r w:rsidRPr="006D076B">
        <w:rPr>
          <w:rFonts w:ascii="Times New Roman" w:hAnsi="Times New Roman" w:cs="Times New Roman"/>
          <w:bCs/>
          <w:color w:val="000000"/>
          <w:lang w:val="en-US"/>
        </w:rPr>
        <w:t>319</w:t>
      </w:r>
      <w:r w:rsidRPr="006D076B">
        <w:rPr>
          <w:rFonts w:ascii="Times New Roman" w:hAnsi="Times New Roman" w:cs="Times New Roman"/>
          <w:bCs/>
          <w:color w:val="000000"/>
          <w:lang w:val="vi-VN"/>
        </w:rPr>
        <w:t xml:space="preserve"> tỷ USD, tăng </w:t>
      </w:r>
      <w:r w:rsidRPr="006D076B">
        <w:rPr>
          <w:rFonts w:ascii="Times New Roman" w:hAnsi="Times New Roman" w:cs="Times New Roman"/>
          <w:bCs/>
          <w:color w:val="000000"/>
          <w:lang w:val="en-US"/>
        </w:rPr>
        <w:t>33</w:t>
      </w:r>
      <w:r w:rsidRPr="006D076B">
        <w:rPr>
          <w:rFonts w:ascii="Times New Roman" w:hAnsi="Times New Roman" w:cs="Times New Roman"/>
          <w:bCs/>
          <w:color w:val="000000"/>
          <w:lang w:val="vi-VN"/>
        </w:rPr>
        <w:t>,</w:t>
      </w:r>
      <w:r w:rsidRPr="006D076B">
        <w:rPr>
          <w:rFonts w:ascii="Times New Roman" w:hAnsi="Times New Roman" w:cs="Times New Roman"/>
          <w:bCs/>
          <w:color w:val="000000"/>
          <w:lang w:val="en-US"/>
        </w:rPr>
        <w:t>1</w:t>
      </w:r>
      <w:r w:rsidRPr="006D076B">
        <w:rPr>
          <w:rFonts w:ascii="Times New Roman" w:hAnsi="Times New Roman" w:cs="Times New Roman"/>
          <w:bCs/>
          <w:color w:val="000000"/>
          <w:lang w:val="vi-VN"/>
        </w:rPr>
        <w:t xml:space="preserve">% so với </w:t>
      </w:r>
      <w:r w:rsidRPr="006D076B">
        <w:rPr>
          <w:rFonts w:ascii="Times New Roman" w:hAnsi="Times New Roman" w:cs="Times New Roman"/>
          <w:bCs/>
          <w:color w:val="000000"/>
          <w:lang w:val="en-US"/>
        </w:rPr>
        <w:t xml:space="preserve">cùng kỳ </w:t>
      </w:r>
      <w:r w:rsidRPr="006D076B">
        <w:rPr>
          <w:rFonts w:ascii="Times New Roman" w:hAnsi="Times New Roman" w:cs="Times New Roman"/>
          <w:bCs/>
          <w:color w:val="000000"/>
          <w:lang w:val="vi-VN"/>
        </w:rPr>
        <w:t xml:space="preserve">năm trước, trong đó xuất khẩu đạt </w:t>
      </w:r>
      <w:r w:rsidR="009E7F92">
        <w:rPr>
          <w:rFonts w:ascii="Times New Roman" w:hAnsi="Times New Roman" w:cs="Times New Roman"/>
          <w:bCs/>
          <w:color w:val="000000"/>
          <w:lang w:val="en-US"/>
        </w:rPr>
        <w:t>158,6</w:t>
      </w:r>
      <w:r w:rsidRPr="006D076B">
        <w:rPr>
          <w:rFonts w:ascii="Times New Roman" w:hAnsi="Times New Roman" w:cs="Times New Roman"/>
          <w:bCs/>
          <w:color w:val="000000"/>
          <w:lang w:val="vi-VN"/>
        </w:rPr>
        <w:t xml:space="preserve"> tỷ USD, tăng </w:t>
      </w:r>
      <w:r w:rsidRPr="006D076B">
        <w:rPr>
          <w:rFonts w:ascii="Times New Roman" w:hAnsi="Times New Roman" w:cs="Times New Roman"/>
          <w:bCs/>
          <w:color w:val="000000"/>
          <w:lang w:val="en-US"/>
        </w:rPr>
        <w:t>29</w:t>
      </w:r>
      <w:r w:rsidRPr="006D076B">
        <w:rPr>
          <w:rFonts w:ascii="Times New Roman" w:hAnsi="Times New Roman" w:cs="Times New Roman"/>
          <w:bCs/>
          <w:color w:val="000000"/>
          <w:lang w:val="vi-VN"/>
        </w:rPr>
        <w:t>,</w:t>
      </w:r>
      <w:r w:rsidRPr="006D076B">
        <w:rPr>
          <w:rFonts w:ascii="Times New Roman" w:hAnsi="Times New Roman" w:cs="Times New Roman"/>
          <w:bCs/>
          <w:color w:val="000000"/>
          <w:lang w:val="en-US"/>
        </w:rPr>
        <w:t>2</w:t>
      </w:r>
      <w:r w:rsidRPr="006D076B">
        <w:rPr>
          <w:rFonts w:ascii="Times New Roman" w:hAnsi="Times New Roman" w:cs="Times New Roman"/>
          <w:bCs/>
          <w:color w:val="000000"/>
          <w:lang w:val="vi-VN"/>
        </w:rPr>
        <w:t xml:space="preserve">%; nhập khẩu đạt </w:t>
      </w:r>
      <w:r w:rsidRPr="006D076B">
        <w:rPr>
          <w:rFonts w:ascii="Times New Roman" w:hAnsi="Times New Roman" w:cs="Times New Roman"/>
          <w:bCs/>
          <w:color w:val="000000"/>
          <w:lang w:val="en-US"/>
        </w:rPr>
        <w:t>160,4</w:t>
      </w:r>
      <w:r w:rsidRPr="006D076B">
        <w:rPr>
          <w:rFonts w:ascii="Times New Roman" w:hAnsi="Times New Roman" w:cs="Times New Roman"/>
          <w:bCs/>
          <w:color w:val="000000"/>
          <w:lang w:val="vi-VN"/>
        </w:rPr>
        <w:t xml:space="preserve"> tỷ USD, tăng</w:t>
      </w:r>
      <w:r w:rsidRPr="006D076B">
        <w:rPr>
          <w:rFonts w:ascii="Times New Roman" w:hAnsi="Times New Roman" w:cs="Times New Roman"/>
          <w:bCs/>
          <w:color w:val="000000"/>
        </w:rPr>
        <w:t xml:space="preserve"> 37</w:t>
      </w:r>
      <w:r w:rsidRPr="006D076B">
        <w:rPr>
          <w:rFonts w:ascii="Times New Roman" w:hAnsi="Times New Roman" w:cs="Times New Roman"/>
          <w:bCs/>
          <w:color w:val="000000"/>
          <w:lang w:val="en-US"/>
        </w:rPr>
        <w:t>,2</w:t>
      </w:r>
      <w:r w:rsidRPr="006D076B">
        <w:rPr>
          <w:rFonts w:ascii="Times New Roman" w:hAnsi="Times New Roman" w:cs="Times New Roman"/>
          <w:bCs/>
          <w:color w:val="000000"/>
          <w:lang w:val="vi-VN"/>
        </w:rPr>
        <w:t>%.</w:t>
      </w:r>
    </w:p>
  </w:footnote>
  <w:footnote w:id="12">
    <w:p w:rsidR="006D076B" w:rsidRPr="009F297E" w:rsidRDefault="006D076B" w:rsidP="006D076B">
      <w:pPr>
        <w:spacing w:before="20" w:after="20" w:line="240" w:lineRule="auto"/>
        <w:ind w:left="198" w:hanging="198"/>
        <w:jc w:val="both"/>
        <w:rPr>
          <w:rFonts w:ascii="Times New Roman" w:hAnsi="Times New Roman" w:cs="Times New Roman"/>
          <w:sz w:val="20"/>
          <w:szCs w:val="20"/>
          <w:lang w:val="vi-VN"/>
        </w:rPr>
      </w:pPr>
      <w:r w:rsidRPr="006D076B">
        <w:rPr>
          <w:rStyle w:val="FootnoteReference"/>
          <w:rFonts w:ascii="Times New Roman" w:hAnsi="Times New Roman"/>
          <w:sz w:val="20"/>
          <w:szCs w:val="20"/>
        </w:rPr>
        <w:footnoteRef/>
      </w:r>
      <w:r w:rsidRPr="006D076B">
        <w:rPr>
          <w:rFonts w:ascii="Times New Roman" w:hAnsi="Times New Roman" w:cs="Times New Roman"/>
          <w:spacing w:val="-2"/>
          <w:sz w:val="20"/>
          <w:szCs w:val="20"/>
        </w:rPr>
        <w:t xml:space="preserve"> </w:t>
      </w:r>
      <w:r w:rsidR="008760C6" w:rsidRPr="00253FB4">
        <w:rPr>
          <w:rFonts w:ascii="Times New Roman" w:hAnsi="Times New Roman" w:cs="Times New Roman"/>
          <w:spacing w:val="-2"/>
          <w:sz w:val="20"/>
          <w:szCs w:val="20"/>
        </w:rPr>
        <w:t xml:space="preserve">Ước tính tổng trị giá xuất khẩu, nhập khẩu tháng </w:t>
      </w:r>
      <w:r w:rsidR="008760C6">
        <w:rPr>
          <w:rFonts w:ascii="Times New Roman" w:hAnsi="Times New Roman" w:cs="Times New Roman"/>
          <w:spacing w:val="-2"/>
          <w:sz w:val="20"/>
          <w:szCs w:val="20"/>
        </w:rPr>
        <w:t>6</w:t>
      </w:r>
      <w:r w:rsidR="008760C6" w:rsidRPr="00253FB4">
        <w:rPr>
          <w:rFonts w:ascii="Times New Roman" w:hAnsi="Times New Roman" w:cs="Times New Roman"/>
          <w:spacing w:val="-2"/>
          <w:sz w:val="20"/>
          <w:szCs w:val="20"/>
        </w:rPr>
        <w:t xml:space="preserve">/2022 do Tổng cục Hải quan cung cấp ngày </w:t>
      </w:r>
      <w:r w:rsidR="008760C6">
        <w:rPr>
          <w:rFonts w:ascii="Times New Roman" w:hAnsi="Times New Roman" w:cs="Times New Roman"/>
          <w:spacing w:val="-2"/>
          <w:sz w:val="20"/>
          <w:szCs w:val="20"/>
        </w:rPr>
        <w:t>28</w:t>
      </w:r>
      <w:r w:rsidR="008760C6" w:rsidRPr="00253FB4">
        <w:rPr>
          <w:rFonts w:ascii="Times New Roman" w:hAnsi="Times New Roman" w:cs="Times New Roman"/>
          <w:spacing w:val="-2"/>
          <w:sz w:val="20"/>
          <w:szCs w:val="20"/>
        </w:rPr>
        <w:t>/</w:t>
      </w:r>
      <w:r w:rsidR="008760C6">
        <w:rPr>
          <w:rFonts w:ascii="Times New Roman" w:hAnsi="Times New Roman" w:cs="Times New Roman"/>
          <w:spacing w:val="-2"/>
          <w:sz w:val="20"/>
          <w:szCs w:val="20"/>
        </w:rPr>
        <w:t>6</w:t>
      </w:r>
      <w:r w:rsidR="008760C6" w:rsidRPr="00253FB4">
        <w:rPr>
          <w:rFonts w:ascii="Times New Roman" w:hAnsi="Times New Roman" w:cs="Times New Roman"/>
          <w:spacing w:val="-2"/>
          <w:sz w:val="20"/>
          <w:szCs w:val="20"/>
        </w:rPr>
        <w:t xml:space="preserve">/2022. Tổng cục Thống kê ước tính trị giá xuất, nhập khẩu một số mặt hàng chủ yếu tháng </w:t>
      </w:r>
      <w:r w:rsidR="008760C6">
        <w:rPr>
          <w:rFonts w:ascii="Times New Roman" w:hAnsi="Times New Roman" w:cs="Times New Roman"/>
          <w:spacing w:val="-2"/>
          <w:sz w:val="20"/>
          <w:szCs w:val="20"/>
        </w:rPr>
        <w:t>6</w:t>
      </w:r>
      <w:r w:rsidR="008760C6" w:rsidRPr="00253FB4">
        <w:rPr>
          <w:rFonts w:ascii="Times New Roman" w:hAnsi="Times New Roman" w:cs="Times New Roman"/>
          <w:spacing w:val="-2"/>
          <w:sz w:val="20"/>
          <w:szCs w:val="20"/>
        </w:rPr>
        <w:t>/2022 dựa trên số liệu sơ bộ về trị giá xuất, nhập khẩu một số mặt hàng chủ yếu đến hết ngày 26/</w:t>
      </w:r>
      <w:r w:rsidR="008760C6">
        <w:rPr>
          <w:rFonts w:ascii="Times New Roman" w:hAnsi="Times New Roman" w:cs="Times New Roman"/>
          <w:spacing w:val="-2"/>
          <w:sz w:val="20"/>
          <w:szCs w:val="20"/>
        </w:rPr>
        <w:t>6</w:t>
      </w:r>
      <w:r w:rsidR="008760C6" w:rsidRPr="00253FB4">
        <w:rPr>
          <w:rFonts w:ascii="Times New Roman" w:hAnsi="Times New Roman" w:cs="Times New Roman"/>
          <w:spacing w:val="-2"/>
          <w:sz w:val="20"/>
          <w:szCs w:val="20"/>
        </w:rPr>
        <w:t>/2022 do Tổng cục Hải quan cung cấp.</w:t>
      </w:r>
    </w:p>
  </w:footnote>
  <w:footnote w:id="13">
    <w:p w:rsidR="006D076B" w:rsidRPr="00AD0AA6" w:rsidRDefault="006D076B" w:rsidP="006D076B">
      <w:pPr>
        <w:pStyle w:val="FootnoteText"/>
        <w:spacing w:before="40" w:after="40" w:line="250" w:lineRule="auto"/>
        <w:ind w:left="198" w:hanging="198"/>
        <w:jc w:val="both"/>
        <w:rPr>
          <w:rFonts w:ascii="Times New Roman" w:hAnsi="Times New Roman" w:cs="Times New Roman"/>
          <w:lang w:val="en-US"/>
        </w:rPr>
      </w:pPr>
      <w:r w:rsidRPr="00F63179">
        <w:rPr>
          <w:rStyle w:val="FootnoteReference"/>
        </w:rPr>
        <w:footnoteRef/>
      </w:r>
      <w:r w:rsidRPr="009F297E">
        <w:rPr>
          <w:rFonts w:ascii="Times New Roman" w:hAnsi="Times New Roman" w:cs="Times New Roman"/>
          <w:lang w:val="vi-VN"/>
        </w:rPr>
        <w:t xml:space="preserve"> Ước tính tháng </w:t>
      </w:r>
      <w:r>
        <w:rPr>
          <w:rFonts w:ascii="Times New Roman" w:hAnsi="Times New Roman" w:cs="Times New Roman"/>
          <w:lang w:val="en-US"/>
        </w:rPr>
        <w:t>Năm</w:t>
      </w:r>
      <w:r w:rsidRPr="009F297E">
        <w:rPr>
          <w:rFonts w:ascii="Times New Roman" w:hAnsi="Times New Roman" w:cs="Times New Roman"/>
          <w:lang w:val="vi-VN"/>
        </w:rPr>
        <w:t xml:space="preserve"> </w:t>
      </w:r>
      <w:r>
        <w:rPr>
          <w:rFonts w:ascii="Times New Roman" w:hAnsi="Times New Roman" w:cs="Times New Roman"/>
          <w:lang w:val="en-US"/>
        </w:rPr>
        <w:t>nhập</w:t>
      </w:r>
      <w:r w:rsidRPr="009F297E">
        <w:rPr>
          <w:rFonts w:ascii="Times New Roman" w:hAnsi="Times New Roman" w:cs="Times New Roman"/>
          <w:lang w:val="vi-VN"/>
        </w:rPr>
        <w:t xml:space="preserve"> siêu </w:t>
      </w:r>
      <w:r>
        <w:rPr>
          <w:rFonts w:ascii="Times New Roman" w:hAnsi="Times New Roman" w:cs="Times New Roman"/>
          <w:lang w:val="en-US"/>
        </w:rPr>
        <w:t>1,73</w:t>
      </w:r>
      <w:r w:rsidRPr="009F297E">
        <w:rPr>
          <w:rFonts w:ascii="Times New Roman" w:hAnsi="Times New Roman" w:cs="Times New Roman"/>
          <w:lang w:val="vi-VN"/>
        </w:rPr>
        <w:t xml:space="preserve"> </w:t>
      </w:r>
      <w:r>
        <w:rPr>
          <w:rFonts w:ascii="Times New Roman" w:hAnsi="Times New Roman" w:cs="Times New Roman"/>
          <w:lang w:val="en-US"/>
        </w:rPr>
        <w:t>tỷ</w:t>
      </w:r>
      <w:r w:rsidRPr="009F297E">
        <w:rPr>
          <w:rFonts w:ascii="Times New Roman" w:hAnsi="Times New Roman" w:cs="Times New Roman"/>
          <w:lang w:val="vi-VN"/>
        </w:rPr>
        <w:t xml:space="preserve"> USD.</w:t>
      </w:r>
    </w:p>
  </w:footnote>
  <w:footnote w:id="14">
    <w:p w:rsidR="006D076B" w:rsidRPr="00AD0AA6" w:rsidRDefault="006D076B" w:rsidP="006D076B">
      <w:pPr>
        <w:pStyle w:val="FootnoteText"/>
        <w:spacing w:before="40" w:after="40" w:line="250" w:lineRule="auto"/>
        <w:ind w:left="198" w:hanging="198"/>
        <w:jc w:val="both"/>
        <w:rPr>
          <w:rFonts w:ascii="Times New Roman" w:hAnsi="Times New Roman" w:cs="Times New Roman"/>
          <w:lang w:val="en-US"/>
        </w:rPr>
      </w:pPr>
      <w:r w:rsidRPr="00A230C4">
        <w:rPr>
          <w:rStyle w:val="FootnoteReference"/>
        </w:rPr>
        <w:footnoteRef/>
      </w:r>
      <w:r w:rsidRPr="00A230C4">
        <w:rPr>
          <w:rFonts w:ascii="Times New Roman" w:hAnsi="Times New Roman" w:cs="Times New Roman"/>
          <w:lang w:val="vi-VN"/>
        </w:rPr>
        <w:t xml:space="preserve"> </w:t>
      </w:r>
      <w:r w:rsidRPr="00A230C4">
        <w:rPr>
          <w:rFonts w:ascii="Times New Roman" w:hAnsi="Times New Roman" w:cs="Times New Roman"/>
          <w:lang w:val="en-US"/>
        </w:rPr>
        <w:t>Ước tính 6 tháng đầu năm 2022, xuất siêu sang Hoa Kỳ 48,3 tỷ USD, tăng 27,4% so với cùng kỳ năm trước</w:t>
      </w:r>
      <w:r w:rsidRPr="00A230C4">
        <w:rPr>
          <w:rFonts w:ascii="Times New Roman" w:hAnsi="Times New Roman" w:cs="Times New Roman"/>
          <w:lang w:val="vi-VN"/>
        </w:rPr>
        <w:t>.</w:t>
      </w:r>
    </w:p>
  </w:footnote>
  <w:footnote w:id="15">
    <w:p w:rsidR="00DF1876" w:rsidRPr="00913143" w:rsidRDefault="00DF1876" w:rsidP="00DF1876">
      <w:pPr>
        <w:pStyle w:val="FootnoteText"/>
        <w:ind w:left="284" w:hanging="284"/>
        <w:jc w:val="both"/>
        <w:rPr>
          <w:rFonts w:ascii="Times New Roman" w:hAnsi="Times New Roman" w:cs="Times New Roman"/>
          <w:lang w:val="vi-VN"/>
        </w:rPr>
      </w:pPr>
      <w:r w:rsidRPr="00913143">
        <w:rPr>
          <w:rStyle w:val="FootnoteReference"/>
          <w:rFonts w:ascii="Times New Roman" w:hAnsi="Times New Roman"/>
        </w:rPr>
        <w:footnoteRef/>
      </w:r>
      <w:r w:rsidRPr="00913143">
        <w:rPr>
          <w:rFonts w:ascii="Times New Roman" w:hAnsi="Times New Roman" w:cs="Times New Roman"/>
          <w:vertAlign w:val="superscript"/>
          <w:lang w:val="vi-VN"/>
        </w:rPr>
        <w:t xml:space="preserve"> </w:t>
      </w:r>
      <w:r w:rsidRPr="00913143">
        <w:rPr>
          <w:rFonts w:ascii="Times New Roman" w:hAnsi="Times New Roman" w:cs="Times New Roman"/>
          <w:lang w:val="vi-VN"/>
        </w:rPr>
        <w:t>Chỉ số giá xuất khẩu hàng hóa so với chỉ số giá nhập khẩu hàng hóa.</w:t>
      </w:r>
    </w:p>
  </w:footnote>
  <w:footnote w:id="16">
    <w:p w:rsidR="00C6304C" w:rsidRPr="00913143" w:rsidRDefault="00C6304C" w:rsidP="00C6304C">
      <w:pPr>
        <w:pStyle w:val="FootnoteText"/>
        <w:spacing w:before="40" w:line="252" w:lineRule="auto"/>
        <w:ind w:left="198" w:hanging="198"/>
        <w:jc w:val="both"/>
        <w:rPr>
          <w:rFonts w:ascii="Times New Roman" w:hAnsi="Times New Roman" w:cs="Times New Roman"/>
          <w:lang w:val="vi-VN"/>
        </w:rPr>
      </w:pPr>
      <w:r w:rsidRPr="00913143">
        <w:rPr>
          <w:rStyle w:val="FootnoteReference"/>
          <w:rFonts w:ascii="Times New Roman" w:hAnsi="Times New Roman"/>
        </w:rPr>
        <w:footnoteRef/>
      </w:r>
      <w:r w:rsidRPr="00913143">
        <w:rPr>
          <w:rFonts w:ascii="Times New Roman" w:hAnsi="Times New Roman" w:cs="Times New Roman"/>
          <w:lang w:val="vi-VN"/>
        </w:rPr>
        <w:t xml:space="preserve"> Hà Nội, Hải Phòng, Hưng Yên, Vĩnh Phúc, Bắc Ninh, Hà Nam, Nam Định, Thái Bình, Hải Dương, Đà Nẵng, T</w:t>
      </w:r>
      <w:r w:rsidRPr="00913143">
        <w:rPr>
          <w:rFonts w:ascii="Times New Roman" w:hAnsi="Times New Roman" w:cs="Times New Roman"/>
        </w:rPr>
        <w:t>p Hồ Chí Minh</w:t>
      </w:r>
      <w:r w:rsidRPr="00913143">
        <w:rPr>
          <w:rFonts w:ascii="Times New Roman" w:hAnsi="Times New Roman" w:cs="Times New Roman"/>
          <w:lang w:val="vi-VN"/>
        </w:rPr>
        <w:t>, Bà Rịa-Vũng Tàu, Bình Dương, Đồng Nai, Cần Thơ, Bạc Liêu.</w:t>
      </w:r>
    </w:p>
  </w:footnote>
  <w:footnote w:id="17">
    <w:p w:rsidR="00846543" w:rsidRPr="002539C0" w:rsidRDefault="00846543" w:rsidP="00846543">
      <w:pPr>
        <w:pStyle w:val="FootnoteText"/>
        <w:spacing w:before="40" w:line="252" w:lineRule="auto"/>
        <w:ind w:left="198" w:hanging="198"/>
        <w:jc w:val="both"/>
        <w:rPr>
          <w:rFonts w:ascii="Times New Roman" w:hAnsi="Times New Roman" w:cs="Times New Roman"/>
          <w:lang w:val="vi-VN"/>
        </w:rPr>
      </w:pPr>
      <w:r w:rsidRPr="00913143">
        <w:rPr>
          <w:rStyle w:val="FootnoteReference"/>
          <w:rFonts w:ascii="Times New Roman" w:hAnsi="Times New Roman"/>
        </w:rPr>
        <w:footnoteRef/>
      </w:r>
      <w:r w:rsidRPr="00913143">
        <w:rPr>
          <w:rFonts w:ascii="Times New Roman" w:hAnsi="Times New Roman" w:cs="Times New Roman"/>
          <w:lang w:val="vi-VN"/>
        </w:rPr>
        <w:t xml:space="preserve"> Bao gồm nhà trẻ, mẫu giáo và mầm non.</w:t>
      </w:r>
    </w:p>
  </w:footnote>
  <w:footnote w:id="18">
    <w:p w:rsidR="00AE5EAE" w:rsidRPr="003E05F3" w:rsidRDefault="00AE5EAE" w:rsidP="00AE5EAE">
      <w:pPr>
        <w:pStyle w:val="FootnoteText"/>
        <w:ind w:left="198" w:hanging="198"/>
        <w:jc w:val="both"/>
        <w:rPr>
          <w:rFonts w:ascii="Times New Roman" w:hAnsi="Times New Roman"/>
          <w:lang w:val="en-US"/>
        </w:rPr>
      </w:pPr>
      <w:r w:rsidRPr="00F84202">
        <w:rPr>
          <w:rStyle w:val="FootnoteReference"/>
          <w:rFonts w:ascii="Times New Roman" w:hAnsi="Times New Roman"/>
        </w:rPr>
        <w:footnoteRef/>
      </w:r>
      <w:r w:rsidR="003448E0" w:rsidRPr="00F84202">
        <w:rPr>
          <w:rFonts w:ascii="Times New Roman" w:hAnsi="Times New Roman" w:cs="Times New Roman"/>
        </w:rPr>
        <w:t xml:space="preserve"> </w:t>
      </w:r>
      <w:r w:rsidRPr="00F84202">
        <w:rPr>
          <w:rFonts w:ascii="Times New Roman" w:hAnsi="Times New Roman" w:cs="Times New Roman"/>
        </w:rPr>
        <w:t>Theo</w:t>
      </w:r>
      <w:r w:rsidRPr="003E05F3">
        <w:rPr>
          <w:rFonts w:ascii="Times New Roman" w:hAnsi="Times New Roman"/>
        </w:rPr>
        <w:t xml:space="preserve"> báo cáo nhanh </w:t>
      </w:r>
      <w:r w:rsidRPr="003E05F3">
        <w:rPr>
          <w:rFonts w:ascii="Times New Roman" w:hAnsi="Times New Roman"/>
          <w:lang w:val="en-US"/>
        </w:rPr>
        <w:t xml:space="preserve">từ Văn phòng </w:t>
      </w:r>
      <w:r w:rsidRPr="003E05F3">
        <w:rPr>
          <w:rFonts w:ascii="Times New Roman" w:hAnsi="Times New Roman"/>
        </w:rPr>
        <w:t xml:space="preserve">Bộ Công </w:t>
      </w:r>
      <w:r w:rsidRPr="003E05F3">
        <w:rPr>
          <w:rFonts w:ascii="Times New Roman" w:hAnsi="Times New Roman"/>
          <w:lang w:val="en-IN"/>
        </w:rPr>
        <w:t>a</w:t>
      </w:r>
      <w:r w:rsidRPr="003E05F3">
        <w:rPr>
          <w:rFonts w:ascii="Times New Roman" w:hAnsi="Times New Roman"/>
        </w:rPr>
        <w:t xml:space="preserve">n và Cục Hàng </w:t>
      </w:r>
      <w:r w:rsidRPr="003E05F3">
        <w:rPr>
          <w:rFonts w:ascii="Times New Roman" w:hAnsi="Times New Roman"/>
          <w:lang w:val="en-IN"/>
        </w:rPr>
        <w:t>h</w:t>
      </w:r>
      <w:r w:rsidRPr="003E05F3">
        <w:rPr>
          <w:rFonts w:ascii="Times New Roman" w:hAnsi="Times New Roman"/>
        </w:rPr>
        <w:t>ải (Bộ Giao thông vận tải)</w:t>
      </w:r>
      <w:r w:rsidRPr="003E05F3">
        <w:rPr>
          <w:rFonts w:ascii="Times New Roman" w:hAnsi="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EE" w:rsidRPr="00913143" w:rsidRDefault="00551279" w:rsidP="006B1758">
    <w:pPr>
      <w:pStyle w:val="Header"/>
      <w:framePr w:wrap="auto" w:vAnchor="text" w:hAnchor="margin" w:xAlign="center" w:y="1"/>
      <w:rPr>
        <w:rStyle w:val="PageNumber"/>
        <w:rFonts w:ascii="Times New Roman" w:hAnsi="Times New Roman"/>
        <w:sz w:val="26"/>
        <w:szCs w:val="26"/>
      </w:rPr>
    </w:pPr>
    <w:r w:rsidRPr="00913143">
      <w:rPr>
        <w:rStyle w:val="PageNumber"/>
        <w:rFonts w:ascii="Times New Roman" w:hAnsi="Times New Roman"/>
        <w:sz w:val="26"/>
        <w:szCs w:val="26"/>
      </w:rPr>
      <w:fldChar w:fldCharType="begin"/>
    </w:r>
    <w:r w:rsidR="00DD4DEE" w:rsidRPr="00913143">
      <w:rPr>
        <w:rStyle w:val="PageNumber"/>
        <w:rFonts w:ascii="Times New Roman" w:hAnsi="Times New Roman"/>
        <w:sz w:val="26"/>
        <w:szCs w:val="26"/>
      </w:rPr>
      <w:instrText xml:space="preserve">PAGE  </w:instrText>
    </w:r>
    <w:r w:rsidRPr="00913143">
      <w:rPr>
        <w:rStyle w:val="PageNumber"/>
        <w:rFonts w:ascii="Times New Roman" w:hAnsi="Times New Roman"/>
        <w:sz w:val="26"/>
        <w:szCs w:val="26"/>
      </w:rPr>
      <w:fldChar w:fldCharType="separate"/>
    </w:r>
    <w:r w:rsidR="00747742">
      <w:rPr>
        <w:rStyle w:val="PageNumber"/>
        <w:rFonts w:ascii="Times New Roman" w:hAnsi="Times New Roman"/>
        <w:noProof/>
        <w:sz w:val="26"/>
        <w:szCs w:val="26"/>
      </w:rPr>
      <w:t>12</w:t>
    </w:r>
    <w:r w:rsidRPr="00913143">
      <w:rPr>
        <w:rStyle w:val="PageNumber"/>
        <w:rFonts w:ascii="Times New Roman" w:hAnsi="Times New Roman"/>
        <w:sz w:val="26"/>
        <w:szCs w:val="26"/>
      </w:rPr>
      <w:fldChar w:fldCharType="end"/>
    </w:r>
  </w:p>
  <w:p w:rsidR="00DD4DEE" w:rsidRDefault="00DD4DEE">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6"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9"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1"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3"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4"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6"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0"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1"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8"/>
  </w:num>
  <w:num w:numId="3">
    <w:abstractNumId w:val="14"/>
  </w:num>
  <w:num w:numId="4">
    <w:abstractNumId w:val="2"/>
  </w:num>
  <w:num w:numId="5">
    <w:abstractNumId w:val="19"/>
  </w:num>
  <w:num w:numId="6">
    <w:abstractNumId w:val="13"/>
  </w:num>
  <w:num w:numId="7">
    <w:abstractNumId w:val="16"/>
  </w:num>
  <w:num w:numId="8">
    <w:abstractNumId w:val="6"/>
  </w:num>
  <w:num w:numId="9">
    <w:abstractNumId w:val="12"/>
  </w:num>
  <w:num w:numId="10">
    <w:abstractNumId w:val="15"/>
  </w:num>
  <w:num w:numId="11">
    <w:abstractNumId w:val="5"/>
  </w:num>
  <w:num w:numId="12">
    <w:abstractNumId w:val="17"/>
  </w:num>
  <w:num w:numId="13">
    <w:abstractNumId w:val="11"/>
  </w:num>
  <w:num w:numId="14">
    <w:abstractNumId w:val="0"/>
  </w:num>
  <w:num w:numId="15">
    <w:abstractNumId w:val="1"/>
  </w:num>
  <w:num w:numId="16">
    <w:abstractNumId w:val="3"/>
  </w:num>
  <w:num w:numId="17">
    <w:abstractNumId w:val="20"/>
  </w:num>
  <w:num w:numId="18">
    <w:abstractNumId w:val="21"/>
  </w:num>
  <w:num w:numId="19">
    <w:abstractNumId w:val="7"/>
  </w:num>
  <w:num w:numId="20">
    <w:abstractNumId w:val="9"/>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4C"/>
    <w:rsid w:val="00002626"/>
    <w:rsid w:val="00003A1F"/>
    <w:rsid w:val="00004203"/>
    <w:rsid w:val="0000550B"/>
    <w:rsid w:val="00005AE0"/>
    <w:rsid w:val="00005AF6"/>
    <w:rsid w:val="00005E0C"/>
    <w:rsid w:val="0000637E"/>
    <w:rsid w:val="00007290"/>
    <w:rsid w:val="000072FC"/>
    <w:rsid w:val="000076AF"/>
    <w:rsid w:val="000079ED"/>
    <w:rsid w:val="0001081E"/>
    <w:rsid w:val="00010BB1"/>
    <w:rsid w:val="00010F94"/>
    <w:rsid w:val="00012302"/>
    <w:rsid w:val="00012D5D"/>
    <w:rsid w:val="00014131"/>
    <w:rsid w:val="0001431E"/>
    <w:rsid w:val="00016A14"/>
    <w:rsid w:val="000205E1"/>
    <w:rsid w:val="0002230C"/>
    <w:rsid w:val="00023730"/>
    <w:rsid w:val="0002377A"/>
    <w:rsid w:val="00024928"/>
    <w:rsid w:val="000313AD"/>
    <w:rsid w:val="00033536"/>
    <w:rsid w:val="00033ACE"/>
    <w:rsid w:val="00033F17"/>
    <w:rsid w:val="00034D85"/>
    <w:rsid w:val="00034F2D"/>
    <w:rsid w:val="00036172"/>
    <w:rsid w:val="000376EB"/>
    <w:rsid w:val="00037EBF"/>
    <w:rsid w:val="00040201"/>
    <w:rsid w:val="00040D5E"/>
    <w:rsid w:val="00044564"/>
    <w:rsid w:val="0005026A"/>
    <w:rsid w:val="00050A78"/>
    <w:rsid w:val="00051CE8"/>
    <w:rsid w:val="0005236F"/>
    <w:rsid w:val="00053265"/>
    <w:rsid w:val="00053528"/>
    <w:rsid w:val="000538B3"/>
    <w:rsid w:val="00054BF4"/>
    <w:rsid w:val="0005564F"/>
    <w:rsid w:val="0005584C"/>
    <w:rsid w:val="000563F2"/>
    <w:rsid w:val="00056B62"/>
    <w:rsid w:val="00060D9D"/>
    <w:rsid w:val="00061C5E"/>
    <w:rsid w:val="00061E98"/>
    <w:rsid w:val="000632D1"/>
    <w:rsid w:val="00063FD9"/>
    <w:rsid w:val="00066342"/>
    <w:rsid w:val="000678B2"/>
    <w:rsid w:val="00070AB9"/>
    <w:rsid w:val="00071ED2"/>
    <w:rsid w:val="0007337D"/>
    <w:rsid w:val="00073A43"/>
    <w:rsid w:val="00074BD1"/>
    <w:rsid w:val="00074F91"/>
    <w:rsid w:val="00075D36"/>
    <w:rsid w:val="00076A0D"/>
    <w:rsid w:val="00077440"/>
    <w:rsid w:val="00077FBC"/>
    <w:rsid w:val="000813EC"/>
    <w:rsid w:val="000829FF"/>
    <w:rsid w:val="000832C3"/>
    <w:rsid w:val="000842F6"/>
    <w:rsid w:val="00084521"/>
    <w:rsid w:val="00090301"/>
    <w:rsid w:val="00091B4A"/>
    <w:rsid w:val="0009272E"/>
    <w:rsid w:val="00092D7F"/>
    <w:rsid w:val="00093B2F"/>
    <w:rsid w:val="000976AE"/>
    <w:rsid w:val="00097926"/>
    <w:rsid w:val="000A089F"/>
    <w:rsid w:val="000A0C71"/>
    <w:rsid w:val="000A1588"/>
    <w:rsid w:val="000A19BF"/>
    <w:rsid w:val="000A1DE1"/>
    <w:rsid w:val="000A2028"/>
    <w:rsid w:val="000A4BFE"/>
    <w:rsid w:val="000A5FFB"/>
    <w:rsid w:val="000A7907"/>
    <w:rsid w:val="000A79C2"/>
    <w:rsid w:val="000B173B"/>
    <w:rsid w:val="000B2A22"/>
    <w:rsid w:val="000B2DAB"/>
    <w:rsid w:val="000B33F6"/>
    <w:rsid w:val="000B7B53"/>
    <w:rsid w:val="000C016B"/>
    <w:rsid w:val="000C0F5B"/>
    <w:rsid w:val="000C19C2"/>
    <w:rsid w:val="000C1AFC"/>
    <w:rsid w:val="000C270E"/>
    <w:rsid w:val="000C3A72"/>
    <w:rsid w:val="000C41F7"/>
    <w:rsid w:val="000C5E1D"/>
    <w:rsid w:val="000D2ED4"/>
    <w:rsid w:val="000D3069"/>
    <w:rsid w:val="000D3A28"/>
    <w:rsid w:val="000D48EC"/>
    <w:rsid w:val="000D592B"/>
    <w:rsid w:val="000D7358"/>
    <w:rsid w:val="000D74CC"/>
    <w:rsid w:val="000E1825"/>
    <w:rsid w:val="000E23CE"/>
    <w:rsid w:val="000E2CF1"/>
    <w:rsid w:val="000E3272"/>
    <w:rsid w:val="000E35F7"/>
    <w:rsid w:val="000E382A"/>
    <w:rsid w:val="000E509D"/>
    <w:rsid w:val="000E6764"/>
    <w:rsid w:val="000E6F85"/>
    <w:rsid w:val="000E703D"/>
    <w:rsid w:val="000E74CF"/>
    <w:rsid w:val="000E760C"/>
    <w:rsid w:val="000F090D"/>
    <w:rsid w:val="000F0A1C"/>
    <w:rsid w:val="000F0A38"/>
    <w:rsid w:val="000F1187"/>
    <w:rsid w:val="000F2094"/>
    <w:rsid w:val="000F27A0"/>
    <w:rsid w:val="000F2892"/>
    <w:rsid w:val="000F29A3"/>
    <w:rsid w:val="000F29C4"/>
    <w:rsid w:val="000F2D3B"/>
    <w:rsid w:val="000F3605"/>
    <w:rsid w:val="000F3A9C"/>
    <w:rsid w:val="000F655B"/>
    <w:rsid w:val="000F6D48"/>
    <w:rsid w:val="000F6FF6"/>
    <w:rsid w:val="000F7B15"/>
    <w:rsid w:val="000F7DF2"/>
    <w:rsid w:val="0010001A"/>
    <w:rsid w:val="001023CE"/>
    <w:rsid w:val="001032C3"/>
    <w:rsid w:val="001039EE"/>
    <w:rsid w:val="00103C01"/>
    <w:rsid w:val="00103CD9"/>
    <w:rsid w:val="00104246"/>
    <w:rsid w:val="00106B2D"/>
    <w:rsid w:val="00107863"/>
    <w:rsid w:val="00107FB1"/>
    <w:rsid w:val="00110D27"/>
    <w:rsid w:val="001113E2"/>
    <w:rsid w:val="0011141A"/>
    <w:rsid w:val="00111BD7"/>
    <w:rsid w:val="001135EA"/>
    <w:rsid w:val="00113FA6"/>
    <w:rsid w:val="001168A8"/>
    <w:rsid w:val="00116D01"/>
    <w:rsid w:val="00120BA6"/>
    <w:rsid w:val="00121AB4"/>
    <w:rsid w:val="001252BD"/>
    <w:rsid w:val="00127194"/>
    <w:rsid w:val="0013094D"/>
    <w:rsid w:val="00131D2B"/>
    <w:rsid w:val="001343D3"/>
    <w:rsid w:val="00134B4A"/>
    <w:rsid w:val="001378E0"/>
    <w:rsid w:val="00137C9A"/>
    <w:rsid w:val="0014036D"/>
    <w:rsid w:val="00140B38"/>
    <w:rsid w:val="00140E07"/>
    <w:rsid w:val="00140F6C"/>
    <w:rsid w:val="00141B87"/>
    <w:rsid w:val="001425FD"/>
    <w:rsid w:val="00142BE0"/>
    <w:rsid w:val="00142DA8"/>
    <w:rsid w:val="001430E1"/>
    <w:rsid w:val="0014459C"/>
    <w:rsid w:val="00144A29"/>
    <w:rsid w:val="00145054"/>
    <w:rsid w:val="00146FDE"/>
    <w:rsid w:val="00150B92"/>
    <w:rsid w:val="001518AA"/>
    <w:rsid w:val="00151E23"/>
    <w:rsid w:val="00152F6B"/>
    <w:rsid w:val="00157091"/>
    <w:rsid w:val="001602EC"/>
    <w:rsid w:val="00160712"/>
    <w:rsid w:val="001608BD"/>
    <w:rsid w:val="001614AF"/>
    <w:rsid w:val="001615F9"/>
    <w:rsid w:val="00162B6E"/>
    <w:rsid w:val="001644E8"/>
    <w:rsid w:val="00164EC6"/>
    <w:rsid w:val="0016501B"/>
    <w:rsid w:val="001651D1"/>
    <w:rsid w:val="00170081"/>
    <w:rsid w:val="00170BCE"/>
    <w:rsid w:val="00172979"/>
    <w:rsid w:val="00172A01"/>
    <w:rsid w:val="001730E9"/>
    <w:rsid w:val="00174075"/>
    <w:rsid w:val="001745F2"/>
    <w:rsid w:val="0017700B"/>
    <w:rsid w:val="001772E0"/>
    <w:rsid w:val="00180553"/>
    <w:rsid w:val="00183934"/>
    <w:rsid w:val="00183A90"/>
    <w:rsid w:val="00183C10"/>
    <w:rsid w:val="0018553E"/>
    <w:rsid w:val="00185E3C"/>
    <w:rsid w:val="0018650F"/>
    <w:rsid w:val="00186DFF"/>
    <w:rsid w:val="0019027E"/>
    <w:rsid w:val="00191876"/>
    <w:rsid w:val="001919F1"/>
    <w:rsid w:val="00191D87"/>
    <w:rsid w:val="0019386E"/>
    <w:rsid w:val="001950AD"/>
    <w:rsid w:val="001968F8"/>
    <w:rsid w:val="001A0220"/>
    <w:rsid w:val="001A05F5"/>
    <w:rsid w:val="001A26D2"/>
    <w:rsid w:val="001A2C20"/>
    <w:rsid w:val="001A51B7"/>
    <w:rsid w:val="001A68A9"/>
    <w:rsid w:val="001A719F"/>
    <w:rsid w:val="001B02AB"/>
    <w:rsid w:val="001B0C76"/>
    <w:rsid w:val="001B6FE4"/>
    <w:rsid w:val="001C06C8"/>
    <w:rsid w:val="001C09CE"/>
    <w:rsid w:val="001C1087"/>
    <w:rsid w:val="001C147A"/>
    <w:rsid w:val="001C216B"/>
    <w:rsid w:val="001C243B"/>
    <w:rsid w:val="001C2B9A"/>
    <w:rsid w:val="001C3C0F"/>
    <w:rsid w:val="001C5B2B"/>
    <w:rsid w:val="001C6A86"/>
    <w:rsid w:val="001C6EC2"/>
    <w:rsid w:val="001D14BE"/>
    <w:rsid w:val="001D1B1E"/>
    <w:rsid w:val="001D2307"/>
    <w:rsid w:val="001D2840"/>
    <w:rsid w:val="001D3415"/>
    <w:rsid w:val="001D45A7"/>
    <w:rsid w:val="001D67B9"/>
    <w:rsid w:val="001D6F9B"/>
    <w:rsid w:val="001D7200"/>
    <w:rsid w:val="001E1534"/>
    <w:rsid w:val="001E191A"/>
    <w:rsid w:val="001E1C5F"/>
    <w:rsid w:val="001E3339"/>
    <w:rsid w:val="001E4D83"/>
    <w:rsid w:val="001E5422"/>
    <w:rsid w:val="001E544B"/>
    <w:rsid w:val="001E55EC"/>
    <w:rsid w:val="001E68FB"/>
    <w:rsid w:val="001F032E"/>
    <w:rsid w:val="001F1910"/>
    <w:rsid w:val="001F33FE"/>
    <w:rsid w:val="001F4B3F"/>
    <w:rsid w:val="001F74FF"/>
    <w:rsid w:val="002028A1"/>
    <w:rsid w:val="002028AC"/>
    <w:rsid w:val="00202DC8"/>
    <w:rsid w:val="002032BA"/>
    <w:rsid w:val="0020358C"/>
    <w:rsid w:val="00203D6D"/>
    <w:rsid w:val="00204518"/>
    <w:rsid w:val="002050D7"/>
    <w:rsid w:val="00205EBD"/>
    <w:rsid w:val="002062C3"/>
    <w:rsid w:val="0020670B"/>
    <w:rsid w:val="002069AC"/>
    <w:rsid w:val="00210176"/>
    <w:rsid w:val="0021194F"/>
    <w:rsid w:val="00211AE6"/>
    <w:rsid w:val="002124FC"/>
    <w:rsid w:val="00212A13"/>
    <w:rsid w:val="0022074F"/>
    <w:rsid w:val="0022078F"/>
    <w:rsid w:val="00220ED7"/>
    <w:rsid w:val="00223B69"/>
    <w:rsid w:val="00224D01"/>
    <w:rsid w:val="0022589D"/>
    <w:rsid w:val="002267D6"/>
    <w:rsid w:val="00226E92"/>
    <w:rsid w:val="00227769"/>
    <w:rsid w:val="00232376"/>
    <w:rsid w:val="00232B1F"/>
    <w:rsid w:val="00233DC8"/>
    <w:rsid w:val="00233DED"/>
    <w:rsid w:val="00234CEB"/>
    <w:rsid w:val="00234E46"/>
    <w:rsid w:val="00235CFB"/>
    <w:rsid w:val="00236D06"/>
    <w:rsid w:val="00237683"/>
    <w:rsid w:val="002378B0"/>
    <w:rsid w:val="002402AA"/>
    <w:rsid w:val="002406A9"/>
    <w:rsid w:val="002422ED"/>
    <w:rsid w:val="002430E6"/>
    <w:rsid w:val="00243A47"/>
    <w:rsid w:val="002456CF"/>
    <w:rsid w:val="00246AD1"/>
    <w:rsid w:val="00246D94"/>
    <w:rsid w:val="00247504"/>
    <w:rsid w:val="00247F17"/>
    <w:rsid w:val="00250AD3"/>
    <w:rsid w:val="00252D93"/>
    <w:rsid w:val="00253A8E"/>
    <w:rsid w:val="0025403A"/>
    <w:rsid w:val="00254FD8"/>
    <w:rsid w:val="00255187"/>
    <w:rsid w:val="0025628E"/>
    <w:rsid w:val="0025668B"/>
    <w:rsid w:val="00256D83"/>
    <w:rsid w:val="0026137E"/>
    <w:rsid w:val="00263303"/>
    <w:rsid w:val="002633DB"/>
    <w:rsid w:val="00263487"/>
    <w:rsid w:val="00267A45"/>
    <w:rsid w:val="002736DB"/>
    <w:rsid w:val="00273771"/>
    <w:rsid w:val="002747EE"/>
    <w:rsid w:val="00275DED"/>
    <w:rsid w:val="00277A16"/>
    <w:rsid w:val="00277DAB"/>
    <w:rsid w:val="002813C4"/>
    <w:rsid w:val="00282017"/>
    <w:rsid w:val="002845EE"/>
    <w:rsid w:val="002852AA"/>
    <w:rsid w:val="0028604A"/>
    <w:rsid w:val="00286420"/>
    <w:rsid w:val="002868CD"/>
    <w:rsid w:val="00286F0D"/>
    <w:rsid w:val="002877C3"/>
    <w:rsid w:val="00293AA2"/>
    <w:rsid w:val="00294C32"/>
    <w:rsid w:val="00294E99"/>
    <w:rsid w:val="00296388"/>
    <w:rsid w:val="00296EF7"/>
    <w:rsid w:val="0029761B"/>
    <w:rsid w:val="00297837"/>
    <w:rsid w:val="00297912"/>
    <w:rsid w:val="00297FD4"/>
    <w:rsid w:val="002A0A53"/>
    <w:rsid w:val="002A0CED"/>
    <w:rsid w:val="002A101F"/>
    <w:rsid w:val="002A1946"/>
    <w:rsid w:val="002A19A5"/>
    <w:rsid w:val="002A1B42"/>
    <w:rsid w:val="002A2332"/>
    <w:rsid w:val="002A2A91"/>
    <w:rsid w:val="002A2CE9"/>
    <w:rsid w:val="002A3A06"/>
    <w:rsid w:val="002A3EEB"/>
    <w:rsid w:val="002A4466"/>
    <w:rsid w:val="002A4B27"/>
    <w:rsid w:val="002A5175"/>
    <w:rsid w:val="002A5A90"/>
    <w:rsid w:val="002A60AC"/>
    <w:rsid w:val="002A6EE4"/>
    <w:rsid w:val="002B0DB7"/>
    <w:rsid w:val="002B19CA"/>
    <w:rsid w:val="002B1FED"/>
    <w:rsid w:val="002B21D7"/>
    <w:rsid w:val="002B2B7C"/>
    <w:rsid w:val="002B3609"/>
    <w:rsid w:val="002B4673"/>
    <w:rsid w:val="002B46B3"/>
    <w:rsid w:val="002B4D0F"/>
    <w:rsid w:val="002B4DDB"/>
    <w:rsid w:val="002B4F83"/>
    <w:rsid w:val="002B50D6"/>
    <w:rsid w:val="002B7477"/>
    <w:rsid w:val="002C30BD"/>
    <w:rsid w:val="002C3155"/>
    <w:rsid w:val="002C3DF8"/>
    <w:rsid w:val="002C419A"/>
    <w:rsid w:val="002C42AE"/>
    <w:rsid w:val="002C4CA1"/>
    <w:rsid w:val="002C501E"/>
    <w:rsid w:val="002C5898"/>
    <w:rsid w:val="002C666B"/>
    <w:rsid w:val="002D08B5"/>
    <w:rsid w:val="002D0A16"/>
    <w:rsid w:val="002D0DE3"/>
    <w:rsid w:val="002D0E70"/>
    <w:rsid w:val="002D1F22"/>
    <w:rsid w:val="002D504D"/>
    <w:rsid w:val="002D5153"/>
    <w:rsid w:val="002D533D"/>
    <w:rsid w:val="002E0293"/>
    <w:rsid w:val="002E1F55"/>
    <w:rsid w:val="002E20C9"/>
    <w:rsid w:val="002E2175"/>
    <w:rsid w:val="002E2F81"/>
    <w:rsid w:val="002E45A4"/>
    <w:rsid w:val="002E48A6"/>
    <w:rsid w:val="002E5381"/>
    <w:rsid w:val="002E5B74"/>
    <w:rsid w:val="002E5C45"/>
    <w:rsid w:val="002E6195"/>
    <w:rsid w:val="002E6D32"/>
    <w:rsid w:val="002E718B"/>
    <w:rsid w:val="002E752D"/>
    <w:rsid w:val="002E7799"/>
    <w:rsid w:val="002F07B6"/>
    <w:rsid w:val="002F1496"/>
    <w:rsid w:val="002F1C71"/>
    <w:rsid w:val="002F1DF2"/>
    <w:rsid w:val="002F20B9"/>
    <w:rsid w:val="002F2A63"/>
    <w:rsid w:val="002F2E88"/>
    <w:rsid w:val="002F3218"/>
    <w:rsid w:val="002F71EF"/>
    <w:rsid w:val="00300297"/>
    <w:rsid w:val="00300469"/>
    <w:rsid w:val="00301147"/>
    <w:rsid w:val="00301177"/>
    <w:rsid w:val="0030185D"/>
    <w:rsid w:val="00303782"/>
    <w:rsid w:val="00303F1B"/>
    <w:rsid w:val="0030543B"/>
    <w:rsid w:val="003114DC"/>
    <w:rsid w:val="0031201A"/>
    <w:rsid w:val="003124EC"/>
    <w:rsid w:val="00312DAD"/>
    <w:rsid w:val="00312FC1"/>
    <w:rsid w:val="0031346C"/>
    <w:rsid w:val="00313CF7"/>
    <w:rsid w:val="00313FA0"/>
    <w:rsid w:val="003152E5"/>
    <w:rsid w:val="00315729"/>
    <w:rsid w:val="00315C2D"/>
    <w:rsid w:val="00317105"/>
    <w:rsid w:val="00317B5D"/>
    <w:rsid w:val="00321481"/>
    <w:rsid w:val="00321EDE"/>
    <w:rsid w:val="003226DC"/>
    <w:rsid w:val="00325643"/>
    <w:rsid w:val="003271B9"/>
    <w:rsid w:val="003273C3"/>
    <w:rsid w:val="00327535"/>
    <w:rsid w:val="00327C75"/>
    <w:rsid w:val="0033007C"/>
    <w:rsid w:val="00330373"/>
    <w:rsid w:val="00330EC3"/>
    <w:rsid w:val="00331F74"/>
    <w:rsid w:val="00332170"/>
    <w:rsid w:val="00332523"/>
    <w:rsid w:val="00333188"/>
    <w:rsid w:val="0033360E"/>
    <w:rsid w:val="003343AA"/>
    <w:rsid w:val="003349C9"/>
    <w:rsid w:val="003354DC"/>
    <w:rsid w:val="00335D7A"/>
    <w:rsid w:val="003360E9"/>
    <w:rsid w:val="003372AE"/>
    <w:rsid w:val="003377B4"/>
    <w:rsid w:val="00340450"/>
    <w:rsid w:val="00344836"/>
    <w:rsid w:val="003448D5"/>
    <w:rsid w:val="003448E0"/>
    <w:rsid w:val="00345F52"/>
    <w:rsid w:val="00347624"/>
    <w:rsid w:val="00351BC5"/>
    <w:rsid w:val="00352E2F"/>
    <w:rsid w:val="003552B0"/>
    <w:rsid w:val="00356693"/>
    <w:rsid w:val="00357ACC"/>
    <w:rsid w:val="00361F1B"/>
    <w:rsid w:val="00362AD6"/>
    <w:rsid w:val="00363077"/>
    <w:rsid w:val="00363201"/>
    <w:rsid w:val="00363E70"/>
    <w:rsid w:val="00364B0C"/>
    <w:rsid w:val="00366D46"/>
    <w:rsid w:val="003673E4"/>
    <w:rsid w:val="00367790"/>
    <w:rsid w:val="00370026"/>
    <w:rsid w:val="00370621"/>
    <w:rsid w:val="00370980"/>
    <w:rsid w:val="00372565"/>
    <w:rsid w:val="00373713"/>
    <w:rsid w:val="00373FBD"/>
    <w:rsid w:val="00374730"/>
    <w:rsid w:val="00375B27"/>
    <w:rsid w:val="003760C3"/>
    <w:rsid w:val="0037744A"/>
    <w:rsid w:val="003807CF"/>
    <w:rsid w:val="00381CA2"/>
    <w:rsid w:val="00381D0F"/>
    <w:rsid w:val="0038256B"/>
    <w:rsid w:val="003825CE"/>
    <w:rsid w:val="00383816"/>
    <w:rsid w:val="00383ACA"/>
    <w:rsid w:val="00383EE5"/>
    <w:rsid w:val="003865C6"/>
    <w:rsid w:val="00391212"/>
    <w:rsid w:val="00391BA8"/>
    <w:rsid w:val="00391BF6"/>
    <w:rsid w:val="00391E3A"/>
    <w:rsid w:val="003923E9"/>
    <w:rsid w:val="0039281C"/>
    <w:rsid w:val="003936D4"/>
    <w:rsid w:val="00393E41"/>
    <w:rsid w:val="00393E5A"/>
    <w:rsid w:val="003978A3"/>
    <w:rsid w:val="0039793D"/>
    <w:rsid w:val="00397A54"/>
    <w:rsid w:val="00397AAE"/>
    <w:rsid w:val="003A062B"/>
    <w:rsid w:val="003A184C"/>
    <w:rsid w:val="003A271D"/>
    <w:rsid w:val="003A297B"/>
    <w:rsid w:val="003A41CB"/>
    <w:rsid w:val="003A457F"/>
    <w:rsid w:val="003A6675"/>
    <w:rsid w:val="003A6B62"/>
    <w:rsid w:val="003A7335"/>
    <w:rsid w:val="003B1A1A"/>
    <w:rsid w:val="003B5B87"/>
    <w:rsid w:val="003B60B9"/>
    <w:rsid w:val="003B73B8"/>
    <w:rsid w:val="003B755A"/>
    <w:rsid w:val="003C028C"/>
    <w:rsid w:val="003C1136"/>
    <w:rsid w:val="003C11AE"/>
    <w:rsid w:val="003C22F6"/>
    <w:rsid w:val="003C2C12"/>
    <w:rsid w:val="003C4279"/>
    <w:rsid w:val="003C5407"/>
    <w:rsid w:val="003C6199"/>
    <w:rsid w:val="003C6F35"/>
    <w:rsid w:val="003D050E"/>
    <w:rsid w:val="003D21A2"/>
    <w:rsid w:val="003D2349"/>
    <w:rsid w:val="003D2E54"/>
    <w:rsid w:val="003D49B5"/>
    <w:rsid w:val="003D50BB"/>
    <w:rsid w:val="003D7A6E"/>
    <w:rsid w:val="003E0412"/>
    <w:rsid w:val="003E09AF"/>
    <w:rsid w:val="003E4144"/>
    <w:rsid w:val="003E4D75"/>
    <w:rsid w:val="003E4FEA"/>
    <w:rsid w:val="003E55F4"/>
    <w:rsid w:val="003E58C5"/>
    <w:rsid w:val="003E5B85"/>
    <w:rsid w:val="003E6B3E"/>
    <w:rsid w:val="003F3530"/>
    <w:rsid w:val="003F4F87"/>
    <w:rsid w:val="003F53F9"/>
    <w:rsid w:val="003F63C2"/>
    <w:rsid w:val="004001B0"/>
    <w:rsid w:val="00401492"/>
    <w:rsid w:val="0040229B"/>
    <w:rsid w:val="0040242E"/>
    <w:rsid w:val="00402EDE"/>
    <w:rsid w:val="00403267"/>
    <w:rsid w:val="00405403"/>
    <w:rsid w:val="00406BFC"/>
    <w:rsid w:val="00406E64"/>
    <w:rsid w:val="00406F4B"/>
    <w:rsid w:val="00410381"/>
    <w:rsid w:val="00411690"/>
    <w:rsid w:val="004122C7"/>
    <w:rsid w:val="00412A8F"/>
    <w:rsid w:val="00414750"/>
    <w:rsid w:val="00417779"/>
    <w:rsid w:val="00417B11"/>
    <w:rsid w:val="00420112"/>
    <w:rsid w:val="00422C9A"/>
    <w:rsid w:val="0042459C"/>
    <w:rsid w:val="00424A87"/>
    <w:rsid w:val="00426213"/>
    <w:rsid w:val="004263DF"/>
    <w:rsid w:val="004269C9"/>
    <w:rsid w:val="00426B31"/>
    <w:rsid w:val="00427702"/>
    <w:rsid w:val="004301BB"/>
    <w:rsid w:val="0043069F"/>
    <w:rsid w:val="00432CB4"/>
    <w:rsid w:val="0043458B"/>
    <w:rsid w:val="0043609A"/>
    <w:rsid w:val="004371D1"/>
    <w:rsid w:val="0043770D"/>
    <w:rsid w:val="004379DE"/>
    <w:rsid w:val="00437DEC"/>
    <w:rsid w:val="00437E71"/>
    <w:rsid w:val="00441AF5"/>
    <w:rsid w:val="0044232C"/>
    <w:rsid w:val="00442702"/>
    <w:rsid w:val="00442FDE"/>
    <w:rsid w:val="004436C8"/>
    <w:rsid w:val="0044456F"/>
    <w:rsid w:val="00445864"/>
    <w:rsid w:val="00447659"/>
    <w:rsid w:val="00447858"/>
    <w:rsid w:val="00450A4A"/>
    <w:rsid w:val="0045140F"/>
    <w:rsid w:val="004540DB"/>
    <w:rsid w:val="00454832"/>
    <w:rsid w:val="00455893"/>
    <w:rsid w:val="00455A8D"/>
    <w:rsid w:val="00455FF4"/>
    <w:rsid w:val="00457056"/>
    <w:rsid w:val="0045761B"/>
    <w:rsid w:val="004613E2"/>
    <w:rsid w:val="0046349F"/>
    <w:rsid w:val="00463982"/>
    <w:rsid w:val="00464828"/>
    <w:rsid w:val="00464862"/>
    <w:rsid w:val="00464F98"/>
    <w:rsid w:val="0046587D"/>
    <w:rsid w:val="00465CF4"/>
    <w:rsid w:val="00466ACA"/>
    <w:rsid w:val="00467751"/>
    <w:rsid w:val="00470E6F"/>
    <w:rsid w:val="00471061"/>
    <w:rsid w:val="004712E0"/>
    <w:rsid w:val="00473292"/>
    <w:rsid w:val="00474CFF"/>
    <w:rsid w:val="004753A2"/>
    <w:rsid w:val="00475D94"/>
    <w:rsid w:val="00476FB5"/>
    <w:rsid w:val="00481C3F"/>
    <w:rsid w:val="00482205"/>
    <w:rsid w:val="00482599"/>
    <w:rsid w:val="00482E4D"/>
    <w:rsid w:val="0048323B"/>
    <w:rsid w:val="004844D2"/>
    <w:rsid w:val="004846C1"/>
    <w:rsid w:val="00485466"/>
    <w:rsid w:val="00485752"/>
    <w:rsid w:val="00486186"/>
    <w:rsid w:val="00487FFE"/>
    <w:rsid w:val="00490568"/>
    <w:rsid w:val="00490C73"/>
    <w:rsid w:val="004924E8"/>
    <w:rsid w:val="00495EAD"/>
    <w:rsid w:val="00496453"/>
    <w:rsid w:val="00496795"/>
    <w:rsid w:val="00496D43"/>
    <w:rsid w:val="00496E85"/>
    <w:rsid w:val="00496F9A"/>
    <w:rsid w:val="00497C67"/>
    <w:rsid w:val="004A3B5D"/>
    <w:rsid w:val="004A3D11"/>
    <w:rsid w:val="004A45B6"/>
    <w:rsid w:val="004A5473"/>
    <w:rsid w:val="004A58D7"/>
    <w:rsid w:val="004A5F32"/>
    <w:rsid w:val="004A6EDF"/>
    <w:rsid w:val="004A777D"/>
    <w:rsid w:val="004A7D52"/>
    <w:rsid w:val="004B0853"/>
    <w:rsid w:val="004B0F0D"/>
    <w:rsid w:val="004B1B10"/>
    <w:rsid w:val="004B1EAF"/>
    <w:rsid w:val="004B2B0F"/>
    <w:rsid w:val="004B3490"/>
    <w:rsid w:val="004B3A84"/>
    <w:rsid w:val="004B495B"/>
    <w:rsid w:val="004B4E41"/>
    <w:rsid w:val="004B5D43"/>
    <w:rsid w:val="004B7345"/>
    <w:rsid w:val="004B75ED"/>
    <w:rsid w:val="004B7FE3"/>
    <w:rsid w:val="004C0B3B"/>
    <w:rsid w:val="004C1076"/>
    <w:rsid w:val="004C1199"/>
    <w:rsid w:val="004C2BA1"/>
    <w:rsid w:val="004C2C36"/>
    <w:rsid w:val="004C2CFF"/>
    <w:rsid w:val="004C3C4B"/>
    <w:rsid w:val="004C44E0"/>
    <w:rsid w:val="004C50A2"/>
    <w:rsid w:val="004C6372"/>
    <w:rsid w:val="004C678F"/>
    <w:rsid w:val="004C7697"/>
    <w:rsid w:val="004D10AF"/>
    <w:rsid w:val="004D1EA5"/>
    <w:rsid w:val="004D28C5"/>
    <w:rsid w:val="004D2FBF"/>
    <w:rsid w:val="004D3346"/>
    <w:rsid w:val="004D40C4"/>
    <w:rsid w:val="004D5300"/>
    <w:rsid w:val="004D71A3"/>
    <w:rsid w:val="004D7252"/>
    <w:rsid w:val="004E0412"/>
    <w:rsid w:val="004E1ABA"/>
    <w:rsid w:val="004E2405"/>
    <w:rsid w:val="004E2963"/>
    <w:rsid w:val="004E30C7"/>
    <w:rsid w:val="004E3221"/>
    <w:rsid w:val="004E39EA"/>
    <w:rsid w:val="004E3E8C"/>
    <w:rsid w:val="004E4BDB"/>
    <w:rsid w:val="004E61AB"/>
    <w:rsid w:val="004E6905"/>
    <w:rsid w:val="004E75C9"/>
    <w:rsid w:val="004E79D8"/>
    <w:rsid w:val="004F0CC7"/>
    <w:rsid w:val="004F243E"/>
    <w:rsid w:val="004F2CEA"/>
    <w:rsid w:val="004F46B1"/>
    <w:rsid w:val="004F50E6"/>
    <w:rsid w:val="004F5E09"/>
    <w:rsid w:val="004F7350"/>
    <w:rsid w:val="004F7B40"/>
    <w:rsid w:val="0050019F"/>
    <w:rsid w:val="0050194C"/>
    <w:rsid w:val="0050248A"/>
    <w:rsid w:val="00502EBF"/>
    <w:rsid w:val="005040FE"/>
    <w:rsid w:val="0050633F"/>
    <w:rsid w:val="00506367"/>
    <w:rsid w:val="0050760A"/>
    <w:rsid w:val="005079A4"/>
    <w:rsid w:val="00510430"/>
    <w:rsid w:val="00510851"/>
    <w:rsid w:val="00511CD2"/>
    <w:rsid w:val="00514379"/>
    <w:rsid w:val="005172EF"/>
    <w:rsid w:val="005174A2"/>
    <w:rsid w:val="00517DEA"/>
    <w:rsid w:val="005200E1"/>
    <w:rsid w:val="005204DB"/>
    <w:rsid w:val="00520665"/>
    <w:rsid w:val="00521404"/>
    <w:rsid w:val="0052283A"/>
    <w:rsid w:val="00524384"/>
    <w:rsid w:val="00525285"/>
    <w:rsid w:val="005257A4"/>
    <w:rsid w:val="005258EE"/>
    <w:rsid w:val="00527154"/>
    <w:rsid w:val="00527DF5"/>
    <w:rsid w:val="00527F6A"/>
    <w:rsid w:val="0053020D"/>
    <w:rsid w:val="00530497"/>
    <w:rsid w:val="00531018"/>
    <w:rsid w:val="00531918"/>
    <w:rsid w:val="00531D07"/>
    <w:rsid w:val="00532E07"/>
    <w:rsid w:val="005333C9"/>
    <w:rsid w:val="005334DE"/>
    <w:rsid w:val="00536AC3"/>
    <w:rsid w:val="0053766B"/>
    <w:rsid w:val="00541797"/>
    <w:rsid w:val="00541F90"/>
    <w:rsid w:val="00542DF0"/>
    <w:rsid w:val="00543B52"/>
    <w:rsid w:val="00545A79"/>
    <w:rsid w:val="00545DE6"/>
    <w:rsid w:val="00545E9E"/>
    <w:rsid w:val="00546C12"/>
    <w:rsid w:val="00546F06"/>
    <w:rsid w:val="0054734B"/>
    <w:rsid w:val="00551279"/>
    <w:rsid w:val="00554606"/>
    <w:rsid w:val="00555AB6"/>
    <w:rsid w:val="00556F3B"/>
    <w:rsid w:val="00557AD3"/>
    <w:rsid w:val="00557ADC"/>
    <w:rsid w:val="00561967"/>
    <w:rsid w:val="00562420"/>
    <w:rsid w:val="00562B9A"/>
    <w:rsid w:val="00563A3E"/>
    <w:rsid w:val="00563D1D"/>
    <w:rsid w:val="00563D7E"/>
    <w:rsid w:val="0056412D"/>
    <w:rsid w:val="00565C33"/>
    <w:rsid w:val="00565D10"/>
    <w:rsid w:val="005660E5"/>
    <w:rsid w:val="00567534"/>
    <w:rsid w:val="00570522"/>
    <w:rsid w:val="00570B35"/>
    <w:rsid w:val="00571AD7"/>
    <w:rsid w:val="00571CD4"/>
    <w:rsid w:val="005739A5"/>
    <w:rsid w:val="00574113"/>
    <w:rsid w:val="00574475"/>
    <w:rsid w:val="00574D3B"/>
    <w:rsid w:val="00575098"/>
    <w:rsid w:val="00575D99"/>
    <w:rsid w:val="0057730E"/>
    <w:rsid w:val="00577D5F"/>
    <w:rsid w:val="00580E19"/>
    <w:rsid w:val="00583C0E"/>
    <w:rsid w:val="00583D32"/>
    <w:rsid w:val="0058414F"/>
    <w:rsid w:val="00585C12"/>
    <w:rsid w:val="00585C61"/>
    <w:rsid w:val="00587411"/>
    <w:rsid w:val="0058764F"/>
    <w:rsid w:val="005878AA"/>
    <w:rsid w:val="00587B1F"/>
    <w:rsid w:val="00587D11"/>
    <w:rsid w:val="0059026E"/>
    <w:rsid w:val="00590671"/>
    <w:rsid w:val="00591719"/>
    <w:rsid w:val="00593D48"/>
    <w:rsid w:val="005978F2"/>
    <w:rsid w:val="00597E4D"/>
    <w:rsid w:val="005A0A34"/>
    <w:rsid w:val="005A3829"/>
    <w:rsid w:val="005A38D9"/>
    <w:rsid w:val="005A4E46"/>
    <w:rsid w:val="005A6387"/>
    <w:rsid w:val="005A708B"/>
    <w:rsid w:val="005A79FB"/>
    <w:rsid w:val="005A7CAD"/>
    <w:rsid w:val="005A7FF0"/>
    <w:rsid w:val="005B11FA"/>
    <w:rsid w:val="005B23C7"/>
    <w:rsid w:val="005B24B5"/>
    <w:rsid w:val="005B4899"/>
    <w:rsid w:val="005B4A69"/>
    <w:rsid w:val="005B609E"/>
    <w:rsid w:val="005B641F"/>
    <w:rsid w:val="005B6655"/>
    <w:rsid w:val="005B6DD9"/>
    <w:rsid w:val="005B7235"/>
    <w:rsid w:val="005B7846"/>
    <w:rsid w:val="005B7943"/>
    <w:rsid w:val="005C0A9F"/>
    <w:rsid w:val="005C1B35"/>
    <w:rsid w:val="005C2F28"/>
    <w:rsid w:val="005D0E49"/>
    <w:rsid w:val="005D19E6"/>
    <w:rsid w:val="005D2267"/>
    <w:rsid w:val="005D3E4F"/>
    <w:rsid w:val="005D4338"/>
    <w:rsid w:val="005D4FB5"/>
    <w:rsid w:val="005D5AD6"/>
    <w:rsid w:val="005D5EAA"/>
    <w:rsid w:val="005D60EA"/>
    <w:rsid w:val="005D6653"/>
    <w:rsid w:val="005D68EA"/>
    <w:rsid w:val="005D6B29"/>
    <w:rsid w:val="005D7270"/>
    <w:rsid w:val="005D743D"/>
    <w:rsid w:val="005E1FA8"/>
    <w:rsid w:val="005E32EB"/>
    <w:rsid w:val="005E4294"/>
    <w:rsid w:val="005E45D4"/>
    <w:rsid w:val="005E538A"/>
    <w:rsid w:val="005E6FBE"/>
    <w:rsid w:val="005F3CF7"/>
    <w:rsid w:val="005F4778"/>
    <w:rsid w:val="005F4C18"/>
    <w:rsid w:val="005F56CA"/>
    <w:rsid w:val="005F5AD9"/>
    <w:rsid w:val="00600AD5"/>
    <w:rsid w:val="006015D4"/>
    <w:rsid w:val="00602D2A"/>
    <w:rsid w:val="00604944"/>
    <w:rsid w:val="0060604B"/>
    <w:rsid w:val="00610805"/>
    <w:rsid w:val="00610880"/>
    <w:rsid w:val="00612121"/>
    <w:rsid w:val="00612477"/>
    <w:rsid w:val="006141B1"/>
    <w:rsid w:val="0061498B"/>
    <w:rsid w:val="00615E21"/>
    <w:rsid w:val="00616E9F"/>
    <w:rsid w:val="00621483"/>
    <w:rsid w:val="0062238E"/>
    <w:rsid w:val="0062258A"/>
    <w:rsid w:val="0062288F"/>
    <w:rsid w:val="00622D4A"/>
    <w:rsid w:val="00623549"/>
    <w:rsid w:val="00624E91"/>
    <w:rsid w:val="00625841"/>
    <w:rsid w:val="006262F3"/>
    <w:rsid w:val="00626783"/>
    <w:rsid w:val="00627BDE"/>
    <w:rsid w:val="00631E25"/>
    <w:rsid w:val="00632206"/>
    <w:rsid w:val="00632378"/>
    <w:rsid w:val="006333A8"/>
    <w:rsid w:val="006334F2"/>
    <w:rsid w:val="006339BB"/>
    <w:rsid w:val="00634283"/>
    <w:rsid w:val="00634FF8"/>
    <w:rsid w:val="006353F5"/>
    <w:rsid w:val="00635853"/>
    <w:rsid w:val="00637786"/>
    <w:rsid w:val="006425B0"/>
    <w:rsid w:val="00642684"/>
    <w:rsid w:val="00642696"/>
    <w:rsid w:val="00643BC1"/>
    <w:rsid w:val="006441D5"/>
    <w:rsid w:val="00644F4C"/>
    <w:rsid w:val="00645D91"/>
    <w:rsid w:val="00646643"/>
    <w:rsid w:val="00646CE7"/>
    <w:rsid w:val="00647301"/>
    <w:rsid w:val="00650583"/>
    <w:rsid w:val="00650782"/>
    <w:rsid w:val="00650D80"/>
    <w:rsid w:val="00651431"/>
    <w:rsid w:val="00651F99"/>
    <w:rsid w:val="00652D03"/>
    <w:rsid w:val="00652E90"/>
    <w:rsid w:val="00653C11"/>
    <w:rsid w:val="00654691"/>
    <w:rsid w:val="006568D7"/>
    <w:rsid w:val="00661386"/>
    <w:rsid w:val="00661F5E"/>
    <w:rsid w:val="00662CD1"/>
    <w:rsid w:val="006637ED"/>
    <w:rsid w:val="006645A9"/>
    <w:rsid w:val="00665BBA"/>
    <w:rsid w:val="006670FB"/>
    <w:rsid w:val="0066723D"/>
    <w:rsid w:val="006708BC"/>
    <w:rsid w:val="00670BC6"/>
    <w:rsid w:val="00670C13"/>
    <w:rsid w:val="00671016"/>
    <w:rsid w:val="00671304"/>
    <w:rsid w:val="006713B7"/>
    <w:rsid w:val="00671AA7"/>
    <w:rsid w:val="00672A48"/>
    <w:rsid w:val="00673B33"/>
    <w:rsid w:val="00673DC9"/>
    <w:rsid w:val="00675255"/>
    <w:rsid w:val="00675EF5"/>
    <w:rsid w:val="006767AC"/>
    <w:rsid w:val="006775A1"/>
    <w:rsid w:val="006802F1"/>
    <w:rsid w:val="00680317"/>
    <w:rsid w:val="00680DD1"/>
    <w:rsid w:val="00681CB7"/>
    <w:rsid w:val="00682613"/>
    <w:rsid w:val="00683E39"/>
    <w:rsid w:val="00683F03"/>
    <w:rsid w:val="006859B0"/>
    <w:rsid w:val="00686A99"/>
    <w:rsid w:val="00690043"/>
    <w:rsid w:val="00690CB6"/>
    <w:rsid w:val="0069101D"/>
    <w:rsid w:val="00691FC7"/>
    <w:rsid w:val="00692155"/>
    <w:rsid w:val="006923B0"/>
    <w:rsid w:val="006935C9"/>
    <w:rsid w:val="00697962"/>
    <w:rsid w:val="006A1D39"/>
    <w:rsid w:val="006A2342"/>
    <w:rsid w:val="006A3555"/>
    <w:rsid w:val="006A38CB"/>
    <w:rsid w:val="006A50C0"/>
    <w:rsid w:val="006A62FC"/>
    <w:rsid w:val="006A7B11"/>
    <w:rsid w:val="006B1758"/>
    <w:rsid w:val="006B2B1E"/>
    <w:rsid w:val="006B3162"/>
    <w:rsid w:val="006B3FCE"/>
    <w:rsid w:val="006B4A4C"/>
    <w:rsid w:val="006B52B5"/>
    <w:rsid w:val="006B6BA4"/>
    <w:rsid w:val="006C030C"/>
    <w:rsid w:val="006C167B"/>
    <w:rsid w:val="006C3F5F"/>
    <w:rsid w:val="006C42AB"/>
    <w:rsid w:val="006C5302"/>
    <w:rsid w:val="006C6E3C"/>
    <w:rsid w:val="006D076B"/>
    <w:rsid w:val="006D0927"/>
    <w:rsid w:val="006D1B29"/>
    <w:rsid w:val="006D1C28"/>
    <w:rsid w:val="006D3736"/>
    <w:rsid w:val="006D4843"/>
    <w:rsid w:val="006D588C"/>
    <w:rsid w:val="006E0ACA"/>
    <w:rsid w:val="006E2F2C"/>
    <w:rsid w:val="006E378F"/>
    <w:rsid w:val="006E4D41"/>
    <w:rsid w:val="006E5850"/>
    <w:rsid w:val="006E586F"/>
    <w:rsid w:val="006E6327"/>
    <w:rsid w:val="006E744E"/>
    <w:rsid w:val="006E7D25"/>
    <w:rsid w:val="006E7D38"/>
    <w:rsid w:val="006E7DC3"/>
    <w:rsid w:val="006F0E4C"/>
    <w:rsid w:val="006F1003"/>
    <w:rsid w:val="006F249A"/>
    <w:rsid w:val="006F2DD5"/>
    <w:rsid w:val="006F2EAC"/>
    <w:rsid w:val="006F6553"/>
    <w:rsid w:val="006F6F4C"/>
    <w:rsid w:val="00700976"/>
    <w:rsid w:val="007036F9"/>
    <w:rsid w:val="007039AF"/>
    <w:rsid w:val="0070463F"/>
    <w:rsid w:val="00710834"/>
    <w:rsid w:val="0071166C"/>
    <w:rsid w:val="0071219D"/>
    <w:rsid w:val="00712A42"/>
    <w:rsid w:val="00712CDD"/>
    <w:rsid w:val="0071599B"/>
    <w:rsid w:val="00720D87"/>
    <w:rsid w:val="0072148F"/>
    <w:rsid w:val="00721C78"/>
    <w:rsid w:val="00724996"/>
    <w:rsid w:val="00724A1D"/>
    <w:rsid w:val="007266CC"/>
    <w:rsid w:val="0072678B"/>
    <w:rsid w:val="00726CAB"/>
    <w:rsid w:val="007303FC"/>
    <w:rsid w:val="00730C23"/>
    <w:rsid w:val="00730EB4"/>
    <w:rsid w:val="00732C43"/>
    <w:rsid w:val="00733257"/>
    <w:rsid w:val="007339F7"/>
    <w:rsid w:val="00733BCF"/>
    <w:rsid w:val="00735025"/>
    <w:rsid w:val="00735F33"/>
    <w:rsid w:val="0073644D"/>
    <w:rsid w:val="007367FF"/>
    <w:rsid w:val="00736D12"/>
    <w:rsid w:val="007373BF"/>
    <w:rsid w:val="007433CC"/>
    <w:rsid w:val="00744207"/>
    <w:rsid w:val="0074450C"/>
    <w:rsid w:val="00744AAB"/>
    <w:rsid w:val="0074627F"/>
    <w:rsid w:val="0074721B"/>
    <w:rsid w:val="00747614"/>
    <w:rsid w:val="00747742"/>
    <w:rsid w:val="00750A13"/>
    <w:rsid w:val="00750D99"/>
    <w:rsid w:val="00751971"/>
    <w:rsid w:val="007529AD"/>
    <w:rsid w:val="007534BE"/>
    <w:rsid w:val="00753DAC"/>
    <w:rsid w:val="00754BEF"/>
    <w:rsid w:val="00754C15"/>
    <w:rsid w:val="0075599F"/>
    <w:rsid w:val="00755C76"/>
    <w:rsid w:val="007566D1"/>
    <w:rsid w:val="00756D3F"/>
    <w:rsid w:val="0075731C"/>
    <w:rsid w:val="0075734F"/>
    <w:rsid w:val="00757D5C"/>
    <w:rsid w:val="00760CDC"/>
    <w:rsid w:val="00760E91"/>
    <w:rsid w:val="007616FE"/>
    <w:rsid w:val="007620EA"/>
    <w:rsid w:val="00762133"/>
    <w:rsid w:val="0076304F"/>
    <w:rsid w:val="00763066"/>
    <w:rsid w:val="00764CF9"/>
    <w:rsid w:val="00765D6A"/>
    <w:rsid w:val="007662E5"/>
    <w:rsid w:val="00766773"/>
    <w:rsid w:val="007673E0"/>
    <w:rsid w:val="00767400"/>
    <w:rsid w:val="00767D94"/>
    <w:rsid w:val="00770547"/>
    <w:rsid w:val="00770959"/>
    <w:rsid w:val="00771E50"/>
    <w:rsid w:val="00772374"/>
    <w:rsid w:val="00773AD0"/>
    <w:rsid w:val="00774EB9"/>
    <w:rsid w:val="00776811"/>
    <w:rsid w:val="007773CB"/>
    <w:rsid w:val="00781AB5"/>
    <w:rsid w:val="00781DA4"/>
    <w:rsid w:val="00782084"/>
    <w:rsid w:val="007834DA"/>
    <w:rsid w:val="0078360C"/>
    <w:rsid w:val="00785201"/>
    <w:rsid w:val="0078531A"/>
    <w:rsid w:val="00787600"/>
    <w:rsid w:val="00791870"/>
    <w:rsid w:val="00791EFE"/>
    <w:rsid w:val="00791FF1"/>
    <w:rsid w:val="00792287"/>
    <w:rsid w:val="00793A1C"/>
    <w:rsid w:val="00794242"/>
    <w:rsid w:val="00794F5B"/>
    <w:rsid w:val="007951AE"/>
    <w:rsid w:val="00795264"/>
    <w:rsid w:val="007957B1"/>
    <w:rsid w:val="00797071"/>
    <w:rsid w:val="007A01BB"/>
    <w:rsid w:val="007A0EB4"/>
    <w:rsid w:val="007A1443"/>
    <w:rsid w:val="007A3579"/>
    <w:rsid w:val="007A3718"/>
    <w:rsid w:val="007A3D78"/>
    <w:rsid w:val="007A4371"/>
    <w:rsid w:val="007A4D7F"/>
    <w:rsid w:val="007A50F0"/>
    <w:rsid w:val="007A5FB1"/>
    <w:rsid w:val="007A6BF0"/>
    <w:rsid w:val="007A7BF5"/>
    <w:rsid w:val="007B00C6"/>
    <w:rsid w:val="007B09B4"/>
    <w:rsid w:val="007B229F"/>
    <w:rsid w:val="007B3A8F"/>
    <w:rsid w:val="007B41A8"/>
    <w:rsid w:val="007B42B9"/>
    <w:rsid w:val="007B595F"/>
    <w:rsid w:val="007B725E"/>
    <w:rsid w:val="007C0DF3"/>
    <w:rsid w:val="007C12F6"/>
    <w:rsid w:val="007C1C54"/>
    <w:rsid w:val="007C2AE7"/>
    <w:rsid w:val="007C3F13"/>
    <w:rsid w:val="007C433C"/>
    <w:rsid w:val="007C4773"/>
    <w:rsid w:val="007C5C01"/>
    <w:rsid w:val="007C6D55"/>
    <w:rsid w:val="007D09F8"/>
    <w:rsid w:val="007D144D"/>
    <w:rsid w:val="007D1DA8"/>
    <w:rsid w:val="007D22AE"/>
    <w:rsid w:val="007D27C5"/>
    <w:rsid w:val="007D2AE8"/>
    <w:rsid w:val="007D3569"/>
    <w:rsid w:val="007D3AFD"/>
    <w:rsid w:val="007D52A5"/>
    <w:rsid w:val="007D5DFB"/>
    <w:rsid w:val="007D7987"/>
    <w:rsid w:val="007E217D"/>
    <w:rsid w:val="007E28D4"/>
    <w:rsid w:val="007E3099"/>
    <w:rsid w:val="007E319E"/>
    <w:rsid w:val="007E42F5"/>
    <w:rsid w:val="007F13A9"/>
    <w:rsid w:val="007F1DD3"/>
    <w:rsid w:val="007F2480"/>
    <w:rsid w:val="007F3F3B"/>
    <w:rsid w:val="007F4183"/>
    <w:rsid w:val="007F41E4"/>
    <w:rsid w:val="007F4B2A"/>
    <w:rsid w:val="007F4F9E"/>
    <w:rsid w:val="007F5718"/>
    <w:rsid w:val="007F66D7"/>
    <w:rsid w:val="007F6811"/>
    <w:rsid w:val="007F739E"/>
    <w:rsid w:val="007F744E"/>
    <w:rsid w:val="007F756D"/>
    <w:rsid w:val="007F7ED8"/>
    <w:rsid w:val="007F7F0D"/>
    <w:rsid w:val="008014FE"/>
    <w:rsid w:val="00801862"/>
    <w:rsid w:val="00801A68"/>
    <w:rsid w:val="00801EEE"/>
    <w:rsid w:val="0080253F"/>
    <w:rsid w:val="0080272C"/>
    <w:rsid w:val="0080388D"/>
    <w:rsid w:val="008038D4"/>
    <w:rsid w:val="00803A1B"/>
    <w:rsid w:val="00803B61"/>
    <w:rsid w:val="008040BD"/>
    <w:rsid w:val="008057B7"/>
    <w:rsid w:val="008059D6"/>
    <w:rsid w:val="00805B4D"/>
    <w:rsid w:val="00806D42"/>
    <w:rsid w:val="00806FA6"/>
    <w:rsid w:val="00807A57"/>
    <w:rsid w:val="00807DCE"/>
    <w:rsid w:val="0081073E"/>
    <w:rsid w:val="008118BD"/>
    <w:rsid w:val="0081389D"/>
    <w:rsid w:val="00814DBF"/>
    <w:rsid w:val="0081616E"/>
    <w:rsid w:val="008163C4"/>
    <w:rsid w:val="0081700E"/>
    <w:rsid w:val="008171C7"/>
    <w:rsid w:val="0081752A"/>
    <w:rsid w:val="00820494"/>
    <w:rsid w:val="00820DF5"/>
    <w:rsid w:val="0082166E"/>
    <w:rsid w:val="00822226"/>
    <w:rsid w:val="0082299E"/>
    <w:rsid w:val="0082368B"/>
    <w:rsid w:val="00823946"/>
    <w:rsid w:val="008240F3"/>
    <w:rsid w:val="00824B1A"/>
    <w:rsid w:val="00824DC9"/>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831"/>
    <w:rsid w:val="00840503"/>
    <w:rsid w:val="008417A6"/>
    <w:rsid w:val="00843F12"/>
    <w:rsid w:val="00843FF0"/>
    <w:rsid w:val="008443AC"/>
    <w:rsid w:val="00844CDC"/>
    <w:rsid w:val="00846543"/>
    <w:rsid w:val="00846C2A"/>
    <w:rsid w:val="008479D2"/>
    <w:rsid w:val="00847FCE"/>
    <w:rsid w:val="00850077"/>
    <w:rsid w:val="00850124"/>
    <w:rsid w:val="00851429"/>
    <w:rsid w:val="00854849"/>
    <w:rsid w:val="008619A5"/>
    <w:rsid w:val="00864242"/>
    <w:rsid w:val="008643C1"/>
    <w:rsid w:val="0086462F"/>
    <w:rsid w:val="00864A1C"/>
    <w:rsid w:val="0086505A"/>
    <w:rsid w:val="0086678B"/>
    <w:rsid w:val="008667E1"/>
    <w:rsid w:val="00866B4A"/>
    <w:rsid w:val="00866C5D"/>
    <w:rsid w:val="00867F50"/>
    <w:rsid w:val="00867F76"/>
    <w:rsid w:val="00870978"/>
    <w:rsid w:val="00870C00"/>
    <w:rsid w:val="00871430"/>
    <w:rsid w:val="00871BB8"/>
    <w:rsid w:val="00872038"/>
    <w:rsid w:val="00872460"/>
    <w:rsid w:val="00873680"/>
    <w:rsid w:val="0087434E"/>
    <w:rsid w:val="008745F5"/>
    <w:rsid w:val="00874CCC"/>
    <w:rsid w:val="008760C6"/>
    <w:rsid w:val="00881F8E"/>
    <w:rsid w:val="00882389"/>
    <w:rsid w:val="00883B8B"/>
    <w:rsid w:val="0088469A"/>
    <w:rsid w:val="00884A53"/>
    <w:rsid w:val="00884F7B"/>
    <w:rsid w:val="00885041"/>
    <w:rsid w:val="00885544"/>
    <w:rsid w:val="00887E45"/>
    <w:rsid w:val="00890590"/>
    <w:rsid w:val="008913DC"/>
    <w:rsid w:val="008928E9"/>
    <w:rsid w:val="008929E1"/>
    <w:rsid w:val="0089615A"/>
    <w:rsid w:val="008963C6"/>
    <w:rsid w:val="008964F0"/>
    <w:rsid w:val="008966C4"/>
    <w:rsid w:val="0089690A"/>
    <w:rsid w:val="008A04C3"/>
    <w:rsid w:val="008A0545"/>
    <w:rsid w:val="008A0A05"/>
    <w:rsid w:val="008A2835"/>
    <w:rsid w:val="008A30AF"/>
    <w:rsid w:val="008A3305"/>
    <w:rsid w:val="008A59BD"/>
    <w:rsid w:val="008A6928"/>
    <w:rsid w:val="008A6A00"/>
    <w:rsid w:val="008A6C08"/>
    <w:rsid w:val="008A7AEA"/>
    <w:rsid w:val="008B065E"/>
    <w:rsid w:val="008B07FE"/>
    <w:rsid w:val="008B1ABA"/>
    <w:rsid w:val="008B1D2F"/>
    <w:rsid w:val="008B2AAE"/>
    <w:rsid w:val="008B4062"/>
    <w:rsid w:val="008B4A92"/>
    <w:rsid w:val="008B4AA3"/>
    <w:rsid w:val="008B6B7D"/>
    <w:rsid w:val="008B7987"/>
    <w:rsid w:val="008B7CBA"/>
    <w:rsid w:val="008C0B37"/>
    <w:rsid w:val="008C1BCA"/>
    <w:rsid w:val="008C1E97"/>
    <w:rsid w:val="008C2297"/>
    <w:rsid w:val="008C253F"/>
    <w:rsid w:val="008C286B"/>
    <w:rsid w:val="008C3011"/>
    <w:rsid w:val="008C38F9"/>
    <w:rsid w:val="008C47CA"/>
    <w:rsid w:val="008C540D"/>
    <w:rsid w:val="008C55AE"/>
    <w:rsid w:val="008C57F6"/>
    <w:rsid w:val="008C5EA0"/>
    <w:rsid w:val="008C60FA"/>
    <w:rsid w:val="008C71BB"/>
    <w:rsid w:val="008C7DDE"/>
    <w:rsid w:val="008C7E18"/>
    <w:rsid w:val="008D0DC9"/>
    <w:rsid w:val="008D33EB"/>
    <w:rsid w:val="008D3D31"/>
    <w:rsid w:val="008D4F7B"/>
    <w:rsid w:val="008D4F94"/>
    <w:rsid w:val="008D5537"/>
    <w:rsid w:val="008D6B75"/>
    <w:rsid w:val="008D7EDC"/>
    <w:rsid w:val="008E0393"/>
    <w:rsid w:val="008E22E3"/>
    <w:rsid w:val="008E25D6"/>
    <w:rsid w:val="008E40C4"/>
    <w:rsid w:val="008E5021"/>
    <w:rsid w:val="008E5B0F"/>
    <w:rsid w:val="008E5E48"/>
    <w:rsid w:val="008E63AD"/>
    <w:rsid w:val="008E756A"/>
    <w:rsid w:val="008E7781"/>
    <w:rsid w:val="008F0EC2"/>
    <w:rsid w:val="008F22EC"/>
    <w:rsid w:val="008F262E"/>
    <w:rsid w:val="008F28DB"/>
    <w:rsid w:val="008F36B2"/>
    <w:rsid w:val="008F698A"/>
    <w:rsid w:val="008F74EE"/>
    <w:rsid w:val="00900430"/>
    <w:rsid w:val="00900543"/>
    <w:rsid w:val="0090098E"/>
    <w:rsid w:val="00900F2E"/>
    <w:rsid w:val="009034B4"/>
    <w:rsid w:val="00905044"/>
    <w:rsid w:val="0090588D"/>
    <w:rsid w:val="00906B80"/>
    <w:rsid w:val="00906BCB"/>
    <w:rsid w:val="00907F8A"/>
    <w:rsid w:val="00913143"/>
    <w:rsid w:val="00913266"/>
    <w:rsid w:val="009138BF"/>
    <w:rsid w:val="00913972"/>
    <w:rsid w:val="0091472C"/>
    <w:rsid w:val="00914CEC"/>
    <w:rsid w:val="00914DE8"/>
    <w:rsid w:val="00915920"/>
    <w:rsid w:val="00915A6A"/>
    <w:rsid w:val="00915D10"/>
    <w:rsid w:val="00921727"/>
    <w:rsid w:val="00921E62"/>
    <w:rsid w:val="00922BCF"/>
    <w:rsid w:val="009237F5"/>
    <w:rsid w:val="00923BFE"/>
    <w:rsid w:val="00923D64"/>
    <w:rsid w:val="009244AF"/>
    <w:rsid w:val="00924CFD"/>
    <w:rsid w:val="009258C2"/>
    <w:rsid w:val="00925B20"/>
    <w:rsid w:val="00925C30"/>
    <w:rsid w:val="00926C65"/>
    <w:rsid w:val="009276E1"/>
    <w:rsid w:val="0092794E"/>
    <w:rsid w:val="00930619"/>
    <w:rsid w:val="009306D9"/>
    <w:rsid w:val="00930D5B"/>
    <w:rsid w:val="00930E42"/>
    <w:rsid w:val="00932BBE"/>
    <w:rsid w:val="0093326C"/>
    <w:rsid w:val="009335C2"/>
    <w:rsid w:val="00933E8C"/>
    <w:rsid w:val="00936DEE"/>
    <w:rsid w:val="0094026B"/>
    <w:rsid w:val="00941112"/>
    <w:rsid w:val="00941753"/>
    <w:rsid w:val="0094309D"/>
    <w:rsid w:val="0094314B"/>
    <w:rsid w:val="0094383D"/>
    <w:rsid w:val="00943B28"/>
    <w:rsid w:val="0094559D"/>
    <w:rsid w:val="009455A4"/>
    <w:rsid w:val="00951FFE"/>
    <w:rsid w:val="009525F7"/>
    <w:rsid w:val="00953DF7"/>
    <w:rsid w:val="00954580"/>
    <w:rsid w:val="00954DE6"/>
    <w:rsid w:val="0095555A"/>
    <w:rsid w:val="0095590D"/>
    <w:rsid w:val="00955D5B"/>
    <w:rsid w:val="00955DCA"/>
    <w:rsid w:val="00960D6D"/>
    <w:rsid w:val="00960E83"/>
    <w:rsid w:val="0096213A"/>
    <w:rsid w:val="009626E4"/>
    <w:rsid w:val="00962D33"/>
    <w:rsid w:val="009632E7"/>
    <w:rsid w:val="0096372C"/>
    <w:rsid w:val="00963D81"/>
    <w:rsid w:val="00964064"/>
    <w:rsid w:val="009644D5"/>
    <w:rsid w:val="009656F9"/>
    <w:rsid w:val="00965F68"/>
    <w:rsid w:val="00970386"/>
    <w:rsid w:val="0097152A"/>
    <w:rsid w:val="00971660"/>
    <w:rsid w:val="0097167A"/>
    <w:rsid w:val="00971884"/>
    <w:rsid w:val="00971894"/>
    <w:rsid w:val="0097201D"/>
    <w:rsid w:val="00974D6B"/>
    <w:rsid w:val="00976890"/>
    <w:rsid w:val="00976D60"/>
    <w:rsid w:val="0097721A"/>
    <w:rsid w:val="00977820"/>
    <w:rsid w:val="00977CFE"/>
    <w:rsid w:val="00977EC2"/>
    <w:rsid w:val="00980BFD"/>
    <w:rsid w:val="00981B36"/>
    <w:rsid w:val="00982124"/>
    <w:rsid w:val="00982911"/>
    <w:rsid w:val="00982A98"/>
    <w:rsid w:val="00982B12"/>
    <w:rsid w:val="00983AC7"/>
    <w:rsid w:val="00983CA4"/>
    <w:rsid w:val="009845FB"/>
    <w:rsid w:val="00986AA2"/>
    <w:rsid w:val="00987AA7"/>
    <w:rsid w:val="00991050"/>
    <w:rsid w:val="009910CB"/>
    <w:rsid w:val="00991E22"/>
    <w:rsid w:val="00991EB3"/>
    <w:rsid w:val="00995214"/>
    <w:rsid w:val="00995644"/>
    <w:rsid w:val="009957EA"/>
    <w:rsid w:val="0099586E"/>
    <w:rsid w:val="009A02E3"/>
    <w:rsid w:val="009A0432"/>
    <w:rsid w:val="009A2104"/>
    <w:rsid w:val="009A4D85"/>
    <w:rsid w:val="009A7676"/>
    <w:rsid w:val="009B0220"/>
    <w:rsid w:val="009B04B7"/>
    <w:rsid w:val="009B1A0B"/>
    <w:rsid w:val="009B2E06"/>
    <w:rsid w:val="009B321C"/>
    <w:rsid w:val="009B3D73"/>
    <w:rsid w:val="009B5631"/>
    <w:rsid w:val="009B6CC2"/>
    <w:rsid w:val="009B6F24"/>
    <w:rsid w:val="009B79CF"/>
    <w:rsid w:val="009C0B5D"/>
    <w:rsid w:val="009C1CDB"/>
    <w:rsid w:val="009C2E1F"/>
    <w:rsid w:val="009C2E77"/>
    <w:rsid w:val="009C2FF0"/>
    <w:rsid w:val="009C36D2"/>
    <w:rsid w:val="009C42AE"/>
    <w:rsid w:val="009C4984"/>
    <w:rsid w:val="009C4CF2"/>
    <w:rsid w:val="009C7A32"/>
    <w:rsid w:val="009D3A32"/>
    <w:rsid w:val="009D4054"/>
    <w:rsid w:val="009D4EAC"/>
    <w:rsid w:val="009D524D"/>
    <w:rsid w:val="009D649B"/>
    <w:rsid w:val="009D6A59"/>
    <w:rsid w:val="009D6C39"/>
    <w:rsid w:val="009D72B4"/>
    <w:rsid w:val="009D750E"/>
    <w:rsid w:val="009D7A7C"/>
    <w:rsid w:val="009E25D6"/>
    <w:rsid w:val="009E2C9D"/>
    <w:rsid w:val="009E3CC1"/>
    <w:rsid w:val="009E4470"/>
    <w:rsid w:val="009E4DEF"/>
    <w:rsid w:val="009E58B2"/>
    <w:rsid w:val="009E7230"/>
    <w:rsid w:val="009E7532"/>
    <w:rsid w:val="009E7C81"/>
    <w:rsid w:val="009E7F92"/>
    <w:rsid w:val="009F0A31"/>
    <w:rsid w:val="009F1CE7"/>
    <w:rsid w:val="009F26B1"/>
    <w:rsid w:val="009F3071"/>
    <w:rsid w:val="009F45A4"/>
    <w:rsid w:val="009F47FF"/>
    <w:rsid w:val="009F4FE1"/>
    <w:rsid w:val="009F5410"/>
    <w:rsid w:val="009F686F"/>
    <w:rsid w:val="009F6B89"/>
    <w:rsid w:val="009F6FC1"/>
    <w:rsid w:val="00A00C58"/>
    <w:rsid w:val="00A01098"/>
    <w:rsid w:val="00A02041"/>
    <w:rsid w:val="00A02A5E"/>
    <w:rsid w:val="00A02C79"/>
    <w:rsid w:val="00A02F73"/>
    <w:rsid w:val="00A03912"/>
    <w:rsid w:val="00A042B0"/>
    <w:rsid w:val="00A05A3D"/>
    <w:rsid w:val="00A0636E"/>
    <w:rsid w:val="00A063B4"/>
    <w:rsid w:val="00A06E58"/>
    <w:rsid w:val="00A11978"/>
    <w:rsid w:val="00A128DE"/>
    <w:rsid w:val="00A13209"/>
    <w:rsid w:val="00A13E43"/>
    <w:rsid w:val="00A150D1"/>
    <w:rsid w:val="00A15F8A"/>
    <w:rsid w:val="00A164FD"/>
    <w:rsid w:val="00A1671A"/>
    <w:rsid w:val="00A21AB0"/>
    <w:rsid w:val="00A21C66"/>
    <w:rsid w:val="00A239C3"/>
    <w:rsid w:val="00A23A23"/>
    <w:rsid w:val="00A23B28"/>
    <w:rsid w:val="00A23B30"/>
    <w:rsid w:val="00A256E7"/>
    <w:rsid w:val="00A2625C"/>
    <w:rsid w:val="00A27B5C"/>
    <w:rsid w:val="00A31DB2"/>
    <w:rsid w:val="00A33BCD"/>
    <w:rsid w:val="00A341C7"/>
    <w:rsid w:val="00A34A99"/>
    <w:rsid w:val="00A36864"/>
    <w:rsid w:val="00A37119"/>
    <w:rsid w:val="00A3788A"/>
    <w:rsid w:val="00A41188"/>
    <w:rsid w:val="00A421D2"/>
    <w:rsid w:val="00A42283"/>
    <w:rsid w:val="00A4355A"/>
    <w:rsid w:val="00A44184"/>
    <w:rsid w:val="00A44DEC"/>
    <w:rsid w:val="00A44FBC"/>
    <w:rsid w:val="00A4771D"/>
    <w:rsid w:val="00A50426"/>
    <w:rsid w:val="00A511AE"/>
    <w:rsid w:val="00A52503"/>
    <w:rsid w:val="00A52ECD"/>
    <w:rsid w:val="00A548AF"/>
    <w:rsid w:val="00A567A6"/>
    <w:rsid w:val="00A56B3B"/>
    <w:rsid w:val="00A57D4F"/>
    <w:rsid w:val="00A57FD0"/>
    <w:rsid w:val="00A627BC"/>
    <w:rsid w:val="00A62F7B"/>
    <w:rsid w:val="00A636F8"/>
    <w:rsid w:val="00A63D01"/>
    <w:rsid w:val="00A6545C"/>
    <w:rsid w:val="00A6574D"/>
    <w:rsid w:val="00A66435"/>
    <w:rsid w:val="00A66679"/>
    <w:rsid w:val="00A6679E"/>
    <w:rsid w:val="00A74978"/>
    <w:rsid w:val="00A754D4"/>
    <w:rsid w:val="00A8223A"/>
    <w:rsid w:val="00A82372"/>
    <w:rsid w:val="00A8373A"/>
    <w:rsid w:val="00A85177"/>
    <w:rsid w:val="00A86E04"/>
    <w:rsid w:val="00A92E1E"/>
    <w:rsid w:val="00A95473"/>
    <w:rsid w:val="00AA1E2B"/>
    <w:rsid w:val="00AA39C8"/>
    <w:rsid w:val="00AA5AD0"/>
    <w:rsid w:val="00AA5F9E"/>
    <w:rsid w:val="00AA6DB1"/>
    <w:rsid w:val="00AA7EA1"/>
    <w:rsid w:val="00AB07FD"/>
    <w:rsid w:val="00AB2A64"/>
    <w:rsid w:val="00AB2BAD"/>
    <w:rsid w:val="00AB4130"/>
    <w:rsid w:val="00AB5E8D"/>
    <w:rsid w:val="00AB6CDF"/>
    <w:rsid w:val="00AB766E"/>
    <w:rsid w:val="00AB7824"/>
    <w:rsid w:val="00AC0616"/>
    <w:rsid w:val="00AC2167"/>
    <w:rsid w:val="00AC250C"/>
    <w:rsid w:val="00AC37B2"/>
    <w:rsid w:val="00AC6634"/>
    <w:rsid w:val="00AC70F2"/>
    <w:rsid w:val="00AC7190"/>
    <w:rsid w:val="00AC78FE"/>
    <w:rsid w:val="00AC7BF7"/>
    <w:rsid w:val="00AD015E"/>
    <w:rsid w:val="00AD0D1C"/>
    <w:rsid w:val="00AD1B18"/>
    <w:rsid w:val="00AD1E7A"/>
    <w:rsid w:val="00AD21C7"/>
    <w:rsid w:val="00AD31A2"/>
    <w:rsid w:val="00AD3B37"/>
    <w:rsid w:val="00AD3FE1"/>
    <w:rsid w:val="00AD57FF"/>
    <w:rsid w:val="00AD76F3"/>
    <w:rsid w:val="00AD78BD"/>
    <w:rsid w:val="00AE19CA"/>
    <w:rsid w:val="00AE2736"/>
    <w:rsid w:val="00AE363A"/>
    <w:rsid w:val="00AE3C36"/>
    <w:rsid w:val="00AE5D13"/>
    <w:rsid w:val="00AE5EAE"/>
    <w:rsid w:val="00AE60E4"/>
    <w:rsid w:val="00AF034B"/>
    <w:rsid w:val="00AF0410"/>
    <w:rsid w:val="00AF0D2A"/>
    <w:rsid w:val="00AF289B"/>
    <w:rsid w:val="00AF2F99"/>
    <w:rsid w:val="00AF32C6"/>
    <w:rsid w:val="00AF3E7F"/>
    <w:rsid w:val="00AF3FBD"/>
    <w:rsid w:val="00AF4FC1"/>
    <w:rsid w:val="00AF716C"/>
    <w:rsid w:val="00B00BBF"/>
    <w:rsid w:val="00B0398C"/>
    <w:rsid w:val="00B03DDC"/>
    <w:rsid w:val="00B0451C"/>
    <w:rsid w:val="00B04A5E"/>
    <w:rsid w:val="00B10BD6"/>
    <w:rsid w:val="00B10C54"/>
    <w:rsid w:val="00B11778"/>
    <w:rsid w:val="00B117AD"/>
    <w:rsid w:val="00B11A7F"/>
    <w:rsid w:val="00B1333B"/>
    <w:rsid w:val="00B13612"/>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7E06"/>
    <w:rsid w:val="00B30DCB"/>
    <w:rsid w:val="00B347F7"/>
    <w:rsid w:val="00B34CB3"/>
    <w:rsid w:val="00B351D1"/>
    <w:rsid w:val="00B358D9"/>
    <w:rsid w:val="00B35E71"/>
    <w:rsid w:val="00B362E7"/>
    <w:rsid w:val="00B36B28"/>
    <w:rsid w:val="00B379AE"/>
    <w:rsid w:val="00B37F20"/>
    <w:rsid w:val="00B41280"/>
    <w:rsid w:val="00B4388C"/>
    <w:rsid w:val="00B454DC"/>
    <w:rsid w:val="00B45779"/>
    <w:rsid w:val="00B45880"/>
    <w:rsid w:val="00B4669C"/>
    <w:rsid w:val="00B46889"/>
    <w:rsid w:val="00B46DC0"/>
    <w:rsid w:val="00B50C81"/>
    <w:rsid w:val="00B5233A"/>
    <w:rsid w:val="00B528AA"/>
    <w:rsid w:val="00B52FA9"/>
    <w:rsid w:val="00B53429"/>
    <w:rsid w:val="00B5410D"/>
    <w:rsid w:val="00B54309"/>
    <w:rsid w:val="00B5671A"/>
    <w:rsid w:val="00B5743F"/>
    <w:rsid w:val="00B61C24"/>
    <w:rsid w:val="00B62E5E"/>
    <w:rsid w:val="00B66B49"/>
    <w:rsid w:val="00B67503"/>
    <w:rsid w:val="00B710D0"/>
    <w:rsid w:val="00B71476"/>
    <w:rsid w:val="00B71F4F"/>
    <w:rsid w:val="00B72B83"/>
    <w:rsid w:val="00B72BA3"/>
    <w:rsid w:val="00B73F36"/>
    <w:rsid w:val="00B7489F"/>
    <w:rsid w:val="00B74B81"/>
    <w:rsid w:val="00B80B45"/>
    <w:rsid w:val="00B81632"/>
    <w:rsid w:val="00B81A0F"/>
    <w:rsid w:val="00B82087"/>
    <w:rsid w:val="00B8225E"/>
    <w:rsid w:val="00B830C7"/>
    <w:rsid w:val="00B8460D"/>
    <w:rsid w:val="00B85206"/>
    <w:rsid w:val="00B85EE6"/>
    <w:rsid w:val="00B87C9D"/>
    <w:rsid w:val="00B917C4"/>
    <w:rsid w:val="00B92FA5"/>
    <w:rsid w:val="00B9315C"/>
    <w:rsid w:val="00B94AFB"/>
    <w:rsid w:val="00B95C00"/>
    <w:rsid w:val="00B96C1D"/>
    <w:rsid w:val="00B96E42"/>
    <w:rsid w:val="00B96EAF"/>
    <w:rsid w:val="00B97941"/>
    <w:rsid w:val="00BA0E57"/>
    <w:rsid w:val="00BA121A"/>
    <w:rsid w:val="00BA33DB"/>
    <w:rsid w:val="00BA619B"/>
    <w:rsid w:val="00BA79B1"/>
    <w:rsid w:val="00BB148D"/>
    <w:rsid w:val="00BB2EA7"/>
    <w:rsid w:val="00BB3C10"/>
    <w:rsid w:val="00BB3C6C"/>
    <w:rsid w:val="00BB4065"/>
    <w:rsid w:val="00BB407F"/>
    <w:rsid w:val="00BB4B11"/>
    <w:rsid w:val="00BB67D7"/>
    <w:rsid w:val="00BB7166"/>
    <w:rsid w:val="00BB743C"/>
    <w:rsid w:val="00BB7F61"/>
    <w:rsid w:val="00BC10DE"/>
    <w:rsid w:val="00BC14E5"/>
    <w:rsid w:val="00BC2098"/>
    <w:rsid w:val="00BC20E0"/>
    <w:rsid w:val="00BC3045"/>
    <w:rsid w:val="00BC4981"/>
    <w:rsid w:val="00BC4B17"/>
    <w:rsid w:val="00BC4B5F"/>
    <w:rsid w:val="00BC51D5"/>
    <w:rsid w:val="00BC5438"/>
    <w:rsid w:val="00BC672C"/>
    <w:rsid w:val="00BC6BA0"/>
    <w:rsid w:val="00BC6BAB"/>
    <w:rsid w:val="00BC70AB"/>
    <w:rsid w:val="00BD09BB"/>
    <w:rsid w:val="00BD3BC2"/>
    <w:rsid w:val="00BD56C7"/>
    <w:rsid w:val="00BD5CF0"/>
    <w:rsid w:val="00BE0067"/>
    <w:rsid w:val="00BE0608"/>
    <w:rsid w:val="00BE148B"/>
    <w:rsid w:val="00BE2280"/>
    <w:rsid w:val="00BE408D"/>
    <w:rsid w:val="00BE785B"/>
    <w:rsid w:val="00BF01B1"/>
    <w:rsid w:val="00BF08BE"/>
    <w:rsid w:val="00BF08CA"/>
    <w:rsid w:val="00BF119B"/>
    <w:rsid w:val="00BF138D"/>
    <w:rsid w:val="00BF197F"/>
    <w:rsid w:val="00BF1B76"/>
    <w:rsid w:val="00BF2336"/>
    <w:rsid w:val="00BF4140"/>
    <w:rsid w:val="00BF423E"/>
    <w:rsid w:val="00BF4ED0"/>
    <w:rsid w:val="00BF4F43"/>
    <w:rsid w:val="00BF6353"/>
    <w:rsid w:val="00BF689F"/>
    <w:rsid w:val="00BF68D6"/>
    <w:rsid w:val="00BF6916"/>
    <w:rsid w:val="00C00101"/>
    <w:rsid w:val="00C007E5"/>
    <w:rsid w:val="00C013FB"/>
    <w:rsid w:val="00C032BA"/>
    <w:rsid w:val="00C041F4"/>
    <w:rsid w:val="00C0469C"/>
    <w:rsid w:val="00C05013"/>
    <w:rsid w:val="00C05110"/>
    <w:rsid w:val="00C07B24"/>
    <w:rsid w:val="00C07B8A"/>
    <w:rsid w:val="00C10C16"/>
    <w:rsid w:val="00C11564"/>
    <w:rsid w:val="00C12DE5"/>
    <w:rsid w:val="00C1409E"/>
    <w:rsid w:val="00C14767"/>
    <w:rsid w:val="00C163CD"/>
    <w:rsid w:val="00C16721"/>
    <w:rsid w:val="00C17057"/>
    <w:rsid w:val="00C219C7"/>
    <w:rsid w:val="00C22D3A"/>
    <w:rsid w:val="00C23740"/>
    <w:rsid w:val="00C241C5"/>
    <w:rsid w:val="00C24D7A"/>
    <w:rsid w:val="00C26690"/>
    <w:rsid w:val="00C27CE9"/>
    <w:rsid w:val="00C304E0"/>
    <w:rsid w:val="00C308D5"/>
    <w:rsid w:val="00C30E50"/>
    <w:rsid w:val="00C31F07"/>
    <w:rsid w:val="00C321FC"/>
    <w:rsid w:val="00C32AA2"/>
    <w:rsid w:val="00C34939"/>
    <w:rsid w:val="00C36D37"/>
    <w:rsid w:val="00C40577"/>
    <w:rsid w:val="00C43A91"/>
    <w:rsid w:val="00C444DF"/>
    <w:rsid w:val="00C44E0D"/>
    <w:rsid w:val="00C4537D"/>
    <w:rsid w:val="00C4594F"/>
    <w:rsid w:val="00C46C29"/>
    <w:rsid w:val="00C47117"/>
    <w:rsid w:val="00C47326"/>
    <w:rsid w:val="00C473CE"/>
    <w:rsid w:val="00C47465"/>
    <w:rsid w:val="00C47714"/>
    <w:rsid w:val="00C47C23"/>
    <w:rsid w:val="00C50119"/>
    <w:rsid w:val="00C513E8"/>
    <w:rsid w:val="00C51492"/>
    <w:rsid w:val="00C51627"/>
    <w:rsid w:val="00C520A6"/>
    <w:rsid w:val="00C53348"/>
    <w:rsid w:val="00C54332"/>
    <w:rsid w:val="00C54414"/>
    <w:rsid w:val="00C54CD4"/>
    <w:rsid w:val="00C5595C"/>
    <w:rsid w:val="00C5615F"/>
    <w:rsid w:val="00C57E1E"/>
    <w:rsid w:val="00C60DE6"/>
    <w:rsid w:val="00C616A7"/>
    <w:rsid w:val="00C616B4"/>
    <w:rsid w:val="00C617B4"/>
    <w:rsid w:val="00C62AF3"/>
    <w:rsid w:val="00C6304C"/>
    <w:rsid w:val="00C6309C"/>
    <w:rsid w:val="00C63888"/>
    <w:rsid w:val="00C64E09"/>
    <w:rsid w:val="00C6725A"/>
    <w:rsid w:val="00C709A5"/>
    <w:rsid w:val="00C72825"/>
    <w:rsid w:val="00C7479A"/>
    <w:rsid w:val="00C74A39"/>
    <w:rsid w:val="00C75CCE"/>
    <w:rsid w:val="00C76139"/>
    <w:rsid w:val="00C77E95"/>
    <w:rsid w:val="00C80835"/>
    <w:rsid w:val="00C815B2"/>
    <w:rsid w:val="00C817F2"/>
    <w:rsid w:val="00C8232F"/>
    <w:rsid w:val="00C846D0"/>
    <w:rsid w:val="00C85D72"/>
    <w:rsid w:val="00C86C30"/>
    <w:rsid w:val="00C86E0C"/>
    <w:rsid w:val="00C86F1F"/>
    <w:rsid w:val="00C87093"/>
    <w:rsid w:val="00C877C0"/>
    <w:rsid w:val="00C87B94"/>
    <w:rsid w:val="00C90390"/>
    <w:rsid w:val="00C909CB"/>
    <w:rsid w:val="00C913DB"/>
    <w:rsid w:val="00C91481"/>
    <w:rsid w:val="00C93178"/>
    <w:rsid w:val="00C936C0"/>
    <w:rsid w:val="00C94BAB"/>
    <w:rsid w:val="00C95B73"/>
    <w:rsid w:val="00C9632E"/>
    <w:rsid w:val="00C96DEE"/>
    <w:rsid w:val="00C9727A"/>
    <w:rsid w:val="00CA04D7"/>
    <w:rsid w:val="00CA0D34"/>
    <w:rsid w:val="00CA1699"/>
    <w:rsid w:val="00CA3107"/>
    <w:rsid w:val="00CA3586"/>
    <w:rsid w:val="00CA3D73"/>
    <w:rsid w:val="00CA59D0"/>
    <w:rsid w:val="00CA6A0D"/>
    <w:rsid w:val="00CA74BF"/>
    <w:rsid w:val="00CA76EB"/>
    <w:rsid w:val="00CB0A0F"/>
    <w:rsid w:val="00CB12AD"/>
    <w:rsid w:val="00CB3BF8"/>
    <w:rsid w:val="00CB4184"/>
    <w:rsid w:val="00CB552F"/>
    <w:rsid w:val="00CB5FC8"/>
    <w:rsid w:val="00CB7D66"/>
    <w:rsid w:val="00CC0B76"/>
    <w:rsid w:val="00CC0FEC"/>
    <w:rsid w:val="00CC1492"/>
    <w:rsid w:val="00CC1C35"/>
    <w:rsid w:val="00CC1D1A"/>
    <w:rsid w:val="00CC22FC"/>
    <w:rsid w:val="00CC35CD"/>
    <w:rsid w:val="00CC429F"/>
    <w:rsid w:val="00CC500F"/>
    <w:rsid w:val="00CC63AB"/>
    <w:rsid w:val="00CC66F1"/>
    <w:rsid w:val="00CC6C0E"/>
    <w:rsid w:val="00CC6F25"/>
    <w:rsid w:val="00CC7A6C"/>
    <w:rsid w:val="00CD0990"/>
    <w:rsid w:val="00CD10DC"/>
    <w:rsid w:val="00CD291B"/>
    <w:rsid w:val="00CD36DC"/>
    <w:rsid w:val="00CD425F"/>
    <w:rsid w:val="00CD482B"/>
    <w:rsid w:val="00CD650B"/>
    <w:rsid w:val="00CD763C"/>
    <w:rsid w:val="00CD7901"/>
    <w:rsid w:val="00CE01D5"/>
    <w:rsid w:val="00CE422D"/>
    <w:rsid w:val="00CE4711"/>
    <w:rsid w:val="00CE5915"/>
    <w:rsid w:val="00CE69CA"/>
    <w:rsid w:val="00CE77B3"/>
    <w:rsid w:val="00CE7AE2"/>
    <w:rsid w:val="00CF0FE8"/>
    <w:rsid w:val="00CF158C"/>
    <w:rsid w:val="00CF2F79"/>
    <w:rsid w:val="00CF4DD3"/>
    <w:rsid w:val="00CF5E12"/>
    <w:rsid w:val="00CF7C19"/>
    <w:rsid w:val="00CF7D47"/>
    <w:rsid w:val="00D0041C"/>
    <w:rsid w:val="00D005DF"/>
    <w:rsid w:val="00D01238"/>
    <w:rsid w:val="00D01E43"/>
    <w:rsid w:val="00D0245E"/>
    <w:rsid w:val="00D04C90"/>
    <w:rsid w:val="00D05B7E"/>
    <w:rsid w:val="00D06B6F"/>
    <w:rsid w:val="00D07C4B"/>
    <w:rsid w:val="00D1117B"/>
    <w:rsid w:val="00D1141E"/>
    <w:rsid w:val="00D11743"/>
    <w:rsid w:val="00D13754"/>
    <w:rsid w:val="00D1429E"/>
    <w:rsid w:val="00D145F6"/>
    <w:rsid w:val="00D14E61"/>
    <w:rsid w:val="00D1695C"/>
    <w:rsid w:val="00D16BBD"/>
    <w:rsid w:val="00D17041"/>
    <w:rsid w:val="00D173F0"/>
    <w:rsid w:val="00D23C45"/>
    <w:rsid w:val="00D24764"/>
    <w:rsid w:val="00D24B34"/>
    <w:rsid w:val="00D25385"/>
    <w:rsid w:val="00D2573C"/>
    <w:rsid w:val="00D25764"/>
    <w:rsid w:val="00D25F07"/>
    <w:rsid w:val="00D26100"/>
    <w:rsid w:val="00D26B80"/>
    <w:rsid w:val="00D27F80"/>
    <w:rsid w:val="00D31481"/>
    <w:rsid w:val="00D320CF"/>
    <w:rsid w:val="00D33311"/>
    <w:rsid w:val="00D33871"/>
    <w:rsid w:val="00D34BC9"/>
    <w:rsid w:val="00D34EC7"/>
    <w:rsid w:val="00D3533F"/>
    <w:rsid w:val="00D358AD"/>
    <w:rsid w:val="00D35AB1"/>
    <w:rsid w:val="00D36799"/>
    <w:rsid w:val="00D36A3D"/>
    <w:rsid w:val="00D37DE2"/>
    <w:rsid w:val="00D41E4C"/>
    <w:rsid w:val="00D42924"/>
    <w:rsid w:val="00D42CBF"/>
    <w:rsid w:val="00D43AC8"/>
    <w:rsid w:val="00D44260"/>
    <w:rsid w:val="00D4510E"/>
    <w:rsid w:val="00D505A5"/>
    <w:rsid w:val="00D50AC3"/>
    <w:rsid w:val="00D50C3E"/>
    <w:rsid w:val="00D51D0C"/>
    <w:rsid w:val="00D52AB9"/>
    <w:rsid w:val="00D53E00"/>
    <w:rsid w:val="00D541CE"/>
    <w:rsid w:val="00D54C61"/>
    <w:rsid w:val="00D55D29"/>
    <w:rsid w:val="00D56E40"/>
    <w:rsid w:val="00D572E1"/>
    <w:rsid w:val="00D5746B"/>
    <w:rsid w:val="00D57975"/>
    <w:rsid w:val="00D57DDB"/>
    <w:rsid w:val="00D600BF"/>
    <w:rsid w:val="00D6016A"/>
    <w:rsid w:val="00D61FF0"/>
    <w:rsid w:val="00D64211"/>
    <w:rsid w:val="00D650F5"/>
    <w:rsid w:val="00D673C1"/>
    <w:rsid w:val="00D70F83"/>
    <w:rsid w:val="00D71817"/>
    <w:rsid w:val="00D720AB"/>
    <w:rsid w:val="00D72B0E"/>
    <w:rsid w:val="00D809B5"/>
    <w:rsid w:val="00D819A9"/>
    <w:rsid w:val="00D819E7"/>
    <w:rsid w:val="00D81C20"/>
    <w:rsid w:val="00D824C0"/>
    <w:rsid w:val="00D82A9F"/>
    <w:rsid w:val="00D83842"/>
    <w:rsid w:val="00D83BD7"/>
    <w:rsid w:val="00D83D19"/>
    <w:rsid w:val="00D8622D"/>
    <w:rsid w:val="00D86515"/>
    <w:rsid w:val="00D905BA"/>
    <w:rsid w:val="00D919CC"/>
    <w:rsid w:val="00D91A1F"/>
    <w:rsid w:val="00D938C8"/>
    <w:rsid w:val="00D94BE9"/>
    <w:rsid w:val="00D94DE4"/>
    <w:rsid w:val="00DA03A4"/>
    <w:rsid w:val="00DA0731"/>
    <w:rsid w:val="00DA1640"/>
    <w:rsid w:val="00DA2059"/>
    <w:rsid w:val="00DA2E38"/>
    <w:rsid w:val="00DA3688"/>
    <w:rsid w:val="00DA4444"/>
    <w:rsid w:val="00DA566D"/>
    <w:rsid w:val="00DA57A7"/>
    <w:rsid w:val="00DA5A4C"/>
    <w:rsid w:val="00DB157F"/>
    <w:rsid w:val="00DB23CB"/>
    <w:rsid w:val="00DB34B7"/>
    <w:rsid w:val="00DB4E2F"/>
    <w:rsid w:val="00DC1BFE"/>
    <w:rsid w:val="00DC475A"/>
    <w:rsid w:val="00DC515F"/>
    <w:rsid w:val="00DC5189"/>
    <w:rsid w:val="00DC5483"/>
    <w:rsid w:val="00DC753A"/>
    <w:rsid w:val="00DC772C"/>
    <w:rsid w:val="00DD0A79"/>
    <w:rsid w:val="00DD0BF6"/>
    <w:rsid w:val="00DD187C"/>
    <w:rsid w:val="00DD2CA0"/>
    <w:rsid w:val="00DD3031"/>
    <w:rsid w:val="00DD3877"/>
    <w:rsid w:val="00DD4DEE"/>
    <w:rsid w:val="00DD5D6D"/>
    <w:rsid w:val="00DD6281"/>
    <w:rsid w:val="00DD7902"/>
    <w:rsid w:val="00DD7A2E"/>
    <w:rsid w:val="00DD7B86"/>
    <w:rsid w:val="00DE0FAA"/>
    <w:rsid w:val="00DE1804"/>
    <w:rsid w:val="00DE1BBE"/>
    <w:rsid w:val="00DE2030"/>
    <w:rsid w:val="00DE2717"/>
    <w:rsid w:val="00DE29CD"/>
    <w:rsid w:val="00DE3D5F"/>
    <w:rsid w:val="00DE3F1D"/>
    <w:rsid w:val="00DE453F"/>
    <w:rsid w:val="00DE589B"/>
    <w:rsid w:val="00DE61D0"/>
    <w:rsid w:val="00DF0CD1"/>
    <w:rsid w:val="00DF13A6"/>
    <w:rsid w:val="00DF1876"/>
    <w:rsid w:val="00DF2618"/>
    <w:rsid w:val="00DF2FA6"/>
    <w:rsid w:val="00DF4455"/>
    <w:rsid w:val="00DF449C"/>
    <w:rsid w:val="00DF4F55"/>
    <w:rsid w:val="00DF6C92"/>
    <w:rsid w:val="00DF7733"/>
    <w:rsid w:val="00DF77E4"/>
    <w:rsid w:val="00E005BB"/>
    <w:rsid w:val="00E01855"/>
    <w:rsid w:val="00E0194E"/>
    <w:rsid w:val="00E031DE"/>
    <w:rsid w:val="00E03B88"/>
    <w:rsid w:val="00E03E50"/>
    <w:rsid w:val="00E05840"/>
    <w:rsid w:val="00E0650A"/>
    <w:rsid w:val="00E06EAB"/>
    <w:rsid w:val="00E0732F"/>
    <w:rsid w:val="00E07359"/>
    <w:rsid w:val="00E07ABF"/>
    <w:rsid w:val="00E1188C"/>
    <w:rsid w:val="00E11E59"/>
    <w:rsid w:val="00E1285B"/>
    <w:rsid w:val="00E12CFD"/>
    <w:rsid w:val="00E13E26"/>
    <w:rsid w:val="00E151E6"/>
    <w:rsid w:val="00E156AD"/>
    <w:rsid w:val="00E16E90"/>
    <w:rsid w:val="00E17165"/>
    <w:rsid w:val="00E174D1"/>
    <w:rsid w:val="00E174F2"/>
    <w:rsid w:val="00E17916"/>
    <w:rsid w:val="00E206CD"/>
    <w:rsid w:val="00E20758"/>
    <w:rsid w:val="00E21843"/>
    <w:rsid w:val="00E21D3C"/>
    <w:rsid w:val="00E21FA1"/>
    <w:rsid w:val="00E2278D"/>
    <w:rsid w:val="00E24714"/>
    <w:rsid w:val="00E26394"/>
    <w:rsid w:val="00E264B3"/>
    <w:rsid w:val="00E26B91"/>
    <w:rsid w:val="00E2739F"/>
    <w:rsid w:val="00E3088C"/>
    <w:rsid w:val="00E32B63"/>
    <w:rsid w:val="00E33A4C"/>
    <w:rsid w:val="00E3450A"/>
    <w:rsid w:val="00E3737A"/>
    <w:rsid w:val="00E4085C"/>
    <w:rsid w:val="00E40F6C"/>
    <w:rsid w:val="00E426FF"/>
    <w:rsid w:val="00E4326C"/>
    <w:rsid w:val="00E437A2"/>
    <w:rsid w:val="00E47E31"/>
    <w:rsid w:val="00E529E7"/>
    <w:rsid w:val="00E52A00"/>
    <w:rsid w:val="00E52E13"/>
    <w:rsid w:val="00E53127"/>
    <w:rsid w:val="00E54E55"/>
    <w:rsid w:val="00E54E63"/>
    <w:rsid w:val="00E5535A"/>
    <w:rsid w:val="00E5579E"/>
    <w:rsid w:val="00E564E5"/>
    <w:rsid w:val="00E5668B"/>
    <w:rsid w:val="00E56CD7"/>
    <w:rsid w:val="00E5779A"/>
    <w:rsid w:val="00E57897"/>
    <w:rsid w:val="00E614FC"/>
    <w:rsid w:val="00E61A87"/>
    <w:rsid w:val="00E61E7F"/>
    <w:rsid w:val="00E63CAB"/>
    <w:rsid w:val="00E6459D"/>
    <w:rsid w:val="00E6544E"/>
    <w:rsid w:val="00E65C20"/>
    <w:rsid w:val="00E66471"/>
    <w:rsid w:val="00E67DCE"/>
    <w:rsid w:val="00E70D3C"/>
    <w:rsid w:val="00E71F0D"/>
    <w:rsid w:val="00E73CE5"/>
    <w:rsid w:val="00E73EA2"/>
    <w:rsid w:val="00E754B3"/>
    <w:rsid w:val="00E76739"/>
    <w:rsid w:val="00E77C74"/>
    <w:rsid w:val="00E77D07"/>
    <w:rsid w:val="00E806CA"/>
    <w:rsid w:val="00E8112D"/>
    <w:rsid w:val="00E82EFD"/>
    <w:rsid w:val="00E841CC"/>
    <w:rsid w:val="00E8596B"/>
    <w:rsid w:val="00E85B32"/>
    <w:rsid w:val="00E86F41"/>
    <w:rsid w:val="00E87089"/>
    <w:rsid w:val="00E91B79"/>
    <w:rsid w:val="00E92E45"/>
    <w:rsid w:val="00E92F6D"/>
    <w:rsid w:val="00E95AEC"/>
    <w:rsid w:val="00E95E48"/>
    <w:rsid w:val="00E967C1"/>
    <w:rsid w:val="00E96BAA"/>
    <w:rsid w:val="00E96F49"/>
    <w:rsid w:val="00E970F6"/>
    <w:rsid w:val="00E97343"/>
    <w:rsid w:val="00E97DE0"/>
    <w:rsid w:val="00EA00D0"/>
    <w:rsid w:val="00EA0DB7"/>
    <w:rsid w:val="00EA0E42"/>
    <w:rsid w:val="00EA1276"/>
    <w:rsid w:val="00EA235C"/>
    <w:rsid w:val="00EA656D"/>
    <w:rsid w:val="00EA6583"/>
    <w:rsid w:val="00EA6789"/>
    <w:rsid w:val="00EA6C1F"/>
    <w:rsid w:val="00EB129D"/>
    <w:rsid w:val="00EB1910"/>
    <w:rsid w:val="00EB4694"/>
    <w:rsid w:val="00EB7896"/>
    <w:rsid w:val="00EC0C10"/>
    <w:rsid w:val="00EC1415"/>
    <w:rsid w:val="00EC1C96"/>
    <w:rsid w:val="00EC3A4F"/>
    <w:rsid w:val="00EC4449"/>
    <w:rsid w:val="00EC526D"/>
    <w:rsid w:val="00EC54DF"/>
    <w:rsid w:val="00EC5C50"/>
    <w:rsid w:val="00EC6F2B"/>
    <w:rsid w:val="00EC7D6B"/>
    <w:rsid w:val="00ED00B3"/>
    <w:rsid w:val="00ED2F59"/>
    <w:rsid w:val="00ED3320"/>
    <w:rsid w:val="00ED74B5"/>
    <w:rsid w:val="00EE1230"/>
    <w:rsid w:val="00EE1C46"/>
    <w:rsid w:val="00EE374F"/>
    <w:rsid w:val="00EE512F"/>
    <w:rsid w:val="00EE5A93"/>
    <w:rsid w:val="00EE6AD5"/>
    <w:rsid w:val="00EE6C8D"/>
    <w:rsid w:val="00EE70FA"/>
    <w:rsid w:val="00EE7F0C"/>
    <w:rsid w:val="00EF0081"/>
    <w:rsid w:val="00EF054D"/>
    <w:rsid w:val="00EF0B27"/>
    <w:rsid w:val="00EF1946"/>
    <w:rsid w:val="00EF2D7B"/>
    <w:rsid w:val="00EF3553"/>
    <w:rsid w:val="00EF408A"/>
    <w:rsid w:val="00EF40C9"/>
    <w:rsid w:val="00EF4FA2"/>
    <w:rsid w:val="00EF581E"/>
    <w:rsid w:val="00EF5CD1"/>
    <w:rsid w:val="00EF5F7D"/>
    <w:rsid w:val="00EF72A7"/>
    <w:rsid w:val="00F0002D"/>
    <w:rsid w:val="00F00055"/>
    <w:rsid w:val="00F00619"/>
    <w:rsid w:val="00F022C6"/>
    <w:rsid w:val="00F03BC2"/>
    <w:rsid w:val="00F047C9"/>
    <w:rsid w:val="00F053D6"/>
    <w:rsid w:val="00F0566E"/>
    <w:rsid w:val="00F05F43"/>
    <w:rsid w:val="00F06494"/>
    <w:rsid w:val="00F07769"/>
    <w:rsid w:val="00F07D5D"/>
    <w:rsid w:val="00F115F3"/>
    <w:rsid w:val="00F125AC"/>
    <w:rsid w:val="00F136AC"/>
    <w:rsid w:val="00F140A6"/>
    <w:rsid w:val="00F14494"/>
    <w:rsid w:val="00F14DD9"/>
    <w:rsid w:val="00F15000"/>
    <w:rsid w:val="00F15582"/>
    <w:rsid w:val="00F16CD4"/>
    <w:rsid w:val="00F17B7A"/>
    <w:rsid w:val="00F21D8A"/>
    <w:rsid w:val="00F23DEF"/>
    <w:rsid w:val="00F25CE7"/>
    <w:rsid w:val="00F27893"/>
    <w:rsid w:val="00F30AB4"/>
    <w:rsid w:val="00F3155E"/>
    <w:rsid w:val="00F327EA"/>
    <w:rsid w:val="00F32B6E"/>
    <w:rsid w:val="00F33FC1"/>
    <w:rsid w:val="00F3430A"/>
    <w:rsid w:val="00F35AC4"/>
    <w:rsid w:val="00F35BD0"/>
    <w:rsid w:val="00F368DB"/>
    <w:rsid w:val="00F40690"/>
    <w:rsid w:val="00F44324"/>
    <w:rsid w:val="00F451C1"/>
    <w:rsid w:val="00F4661E"/>
    <w:rsid w:val="00F46E89"/>
    <w:rsid w:val="00F46FCC"/>
    <w:rsid w:val="00F509EE"/>
    <w:rsid w:val="00F50B1D"/>
    <w:rsid w:val="00F512B3"/>
    <w:rsid w:val="00F515C5"/>
    <w:rsid w:val="00F518EF"/>
    <w:rsid w:val="00F52E4A"/>
    <w:rsid w:val="00F52EA2"/>
    <w:rsid w:val="00F5363F"/>
    <w:rsid w:val="00F53B41"/>
    <w:rsid w:val="00F5422E"/>
    <w:rsid w:val="00F543A5"/>
    <w:rsid w:val="00F55450"/>
    <w:rsid w:val="00F56165"/>
    <w:rsid w:val="00F561A1"/>
    <w:rsid w:val="00F568ED"/>
    <w:rsid w:val="00F57D5C"/>
    <w:rsid w:val="00F57F0E"/>
    <w:rsid w:val="00F61A75"/>
    <w:rsid w:val="00F61EE1"/>
    <w:rsid w:val="00F620D7"/>
    <w:rsid w:val="00F62172"/>
    <w:rsid w:val="00F635D4"/>
    <w:rsid w:val="00F64BDD"/>
    <w:rsid w:val="00F666BF"/>
    <w:rsid w:val="00F66FB8"/>
    <w:rsid w:val="00F676B6"/>
    <w:rsid w:val="00F705F8"/>
    <w:rsid w:val="00F734CC"/>
    <w:rsid w:val="00F752E1"/>
    <w:rsid w:val="00F76179"/>
    <w:rsid w:val="00F84202"/>
    <w:rsid w:val="00F84398"/>
    <w:rsid w:val="00F84E39"/>
    <w:rsid w:val="00F84FCD"/>
    <w:rsid w:val="00F85844"/>
    <w:rsid w:val="00F87498"/>
    <w:rsid w:val="00F87675"/>
    <w:rsid w:val="00F878E8"/>
    <w:rsid w:val="00F9002B"/>
    <w:rsid w:val="00F9015F"/>
    <w:rsid w:val="00F918B4"/>
    <w:rsid w:val="00F92D7A"/>
    <w:rsid w:val="00F940F2"/>
    <w:rsid w:val="00F95920"/>
    <w:rsid w:val="00FA0705"/>
    <w:rsid w:val="00FA2F86"/>
    <w:rsid w:val="00FA5D69"/>
    <w:rsid w:val="00FA7DF6"/>
    <w:rsid w:val="00FB0E04"/>
    <w:rsid w:val="00FB1713"/>
    <w:rsid w:val="00FB1D18"/>
    <w:rsid w:val="00FB25D7"/>
    <w:rsid w:val="00FB39F4"/>
    <w:rsid w:val="00FB50BD"/>
    <w:rsid w:val="00FB5587"/>
    <w:rsid w:val="00FB61E4"/>
    <w:rsid w:val="00FB6389"/>
    <w:rsid w:val="00FB6906"/>
    <w:rsid w:val="00FB6A9B"/>
    <w:rsid w:val="00FC0D54"/>
    <w:rsid w:val="00FC127C"/>
    <w:rsid w:val="00FC2C82"/>
    <w:rsid w:val="00FC2CB6"/>
    <w:rsid w:val="00FC4288"/>
    <w:rsid w:val="00FC48D2"/>
    <w:rsid w:val="00FC4FB1"/>
    <w:rsid w:val="00FC5EF2"/>
    <w:rsid w:val="00FC5F0A"/>
    <w:rsid w:val="00FC61B7"/>
    <w:rsid w:val="00FC7E33"/>
    <w:rsid w:val="00FD1438"/>
    <w:rsid w:val="00FD40E1"/>
    <w:rsid w:val="00FD5777"/>
    <w:rsid w:val="00FD5E21"/>
    <w:rsid w:val="00FD76AE"/>
    <w:rsid w:val="00FD76DD"/>
    <w:rsid w:val="00FD7E60"/>
    <w:rsid w:val="00FE05DE"/>
    <w:rsid w:val="00FE179C"/>
    <w:rsid w:val="00FE2F2E"/>
    <w:rsid w:val="00FE4BC2"/>
    <w:rsid w:val="00FE4BC6"/>
    <w:rsid w:val="00FE6426"/>
    <w:rsid w:val="00FE6567"/>
    <w:rsid w:val="00FF04F4"/>
    <w:rsid w:val="00FF128C"/>
    <w:rsid w:val="00FF3095"/>
    <w:rsid w:val="00FF6B98"/>
    <w:rsid w:val="00FF6C25"/>
    <w:rsid w:val="00FF705E"/>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617310-A7F5-48D0-8DED-FC477B3E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uiPriority w:val="99"/>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uiPriority w:val="99"/>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987"/>
    <w:rPr>
      <w:color w:val="0000FF"/>
      <w:u w:val="single"/>
    </w:rPr>
  </w:style>
  <w:style w:type="character" w:styleId="CommentReference">
    <w:name w:val="annotation reference"/>
    <w:basedOn w:val="DefaultParagraphFont"/>
    <w:uiPriority w:val="99"/>
    <w:semiHidden/>
    <w:unhideWhenUsed/>
    <w:rsid w:val="00E76739"/>
    <w:rPr>
      <w:sz w:val="16"/>
      <w:szCs w:val="16"/>
    </w:rPr>
  </w:style>
  <w:style w:type="paragraph" w:styleId="CommentText">
    <w:name w:val="annotation text"/>
    <w:basedOn w:val="Normal"/>
    <w:link w:val="CommentTextChar"/>
    <w:uiPriority w:val="99"/>
    <w:unhideWhenUsed/>
    <w:rsid w:val="00E76739"/>
    <w:pPr>
      <w:spacing w:line="240" w:lineRule="auto"/>
    </w:pPr>
    <w:rPr>
      <w:sz w:val="20"/>
      <w:szCs w:val="20"/>
    </w:rPr>
  </w:style>
  <w:style w:type="character" w:customStyle="1" w:styleId="CommentTextChar">
    <w:name w:val="Comment Text Char"/>
    <w:basedOn w:val="DefaultParagraphFont"/>
    <w:link w:val="CommentText"/>
    <w:uiPriority w:val="99"/>
    <w:rsid w:val="00E76739"/>
    <w:rPr>
      <w:sz w:val="20"/>
      <w:szCs w:val="20"/>
      <w:lang w:val="en-GB"/>
    </w:rPr>
  </w:style>
  <w:style w:type="paragraph" w:styleId="NoSpacing">
    <w:name w:val="No Spacing"/>
    <w:uiPriority w:val="1"/>
    <w:qFormat/>
    <w:rsid w:val="00B34CB3"/>
    <w:pPr>
      <w:spacing w:after="0" w:line="240" w:lineRule="auto"/>
    </w:pPr>
    <w:rPr>
      <w:rFonts w:ascii="Times New Roman" w:hAnsi="Times New Roman" w:cs="Times New Roman"/>
      <w:sz w:val="24"/>
      <w:szCs w:val="24"/>
    </w:rPr>
  </w:style>
  <w:style w:type="character" w:customStyle="1" w:styleId="fontstyle01">
    <w:name w:val="fontstyle01"/>
    <w:rsid w:val="00C6304C"/>
    <w:rPr>
      <w:rFonts w:ascii="Times New Roman" w:hAnsi="Times New Roman"/>
      <w:color w:val="000000"/>
      <w:sz w:val="28"/>
    </w:rPr>
  </w:style>
  <w:style w:type="paragraph" w:customStyle="1" w:styleId="Normal11">
    <w:name w:val="Normal11"/>
    <w:basedOn w:val="Normal"/>
    <w:uiPriority w:val="99"/>
    <w:rsid w:val="00E13E26"/>
    <w:pPr>
      <w:spacing w:before="100" w:beforeAutospacing="1" w:after="100" w:afterAutospacing="1"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1515">
      <w:bodyDiv w:val="1"/>
      <w:marLeft w:val="0"/>
      <w:marRight w:val="0"/>
      <w:marTop w:val="0"/>
      <w:marBottom w:val="0"/>
      <w:divBdr>
        <w:top w:val="none" w:sz="0" w:space="0" w:color="auto"/>
        <w:left w:val="none" w:sz="0" w:space="0" w:color="auto"/>
        <w:bottom w:val="none" w:sz="0" w:space="0" w:color="auto"/>
        <w:right w:val="none" w:sz="0" w:space="0" w:color="auto"/>
      </w:divBdr>
    </w:div>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698701146">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587419092">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so.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E42C5-096B-4448-A423-2988A59C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7545</Words>
  <Characters>27825</Characters>
  <Application>Microsoft Office Word</Application>
  <DocSecurity>0</DocSecurity>
  <Lines>231</Lines>
  <Paragraphs>70</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35300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Phạm Tiến Nam</cp:lastModifiedBy>
  <cp:revision>2</cp:revision>
  <cp:lastPrinted>2022-06-28T10:44:00Z</cp:lastPrinted>
  <dcterms:created xsi:type="dcterms:W3CDTF">2022-06-29T01:28:00Z</dcterms:created>
  <dcterms:modified xsi:type="dcterms:W3CDTF">2022-06-29T01:28:00Z</dcterms:modified>
</cp:coreProperties>
</file>