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ayout w:type="fixed"/>
        <w:tblLook w:val="0000" w:firstRow="0" w:lastRow="0" w:firstColumn="0" w:lastColumn="0" w:noHBand="0" w:noVBand="0"/>
      </w:tblPr>
      <w:tblGrid>
        <w:gridCol w:w="3438"/>
        <w:gridCol w:w="5776"/>
      </w:tblGrid>
      <w:tr w:rsidR="00856D2E" w:rsidRPr="00DC0CA9" w14:paraId="668D8121" w14:textId="77777777" w:rsidTr="00B9073C">
        <w:trPr>
          <w:jc w:val="center"/>
        </w:trPr>
        <w:tc>
          <w:tcPr>
            <w:tcW w:w="3438" w:type="dxa"/>
          </w:tcPr>
          <w:p w14:paraId="609D2F00" w14:textId="77777777" w:rsidR="00791FF1" w:rsidRPr="00DC0CA9" w:rsidRDefault="00791FF1" w:rsidP="00B9073C">
            <w:pPr>
              <w:spacing w:after="0" w:line="240" w:lineRule="auto"/>
              <w:ind w:left="-558" w:right="-115" w:firstLine="360"/>
              <w:jc w:val="center"/>
              <w:rPr>
                <w:rFonts w:ascii="Times New Roman" w:hAnsi="Times New Roman" w:cs="Times New Roman"/>
                <w:spacing w:val="-6"/>
                <w:sz w:val="26"/>
                <w:szCs w:val="26"/>
              </w:rPr>
            </w:pPr>
            <w:bookmarkStart w:id="0" w:name="_GoBack"/>
            <w:bookmarkEnd w:id="0"/>
            <w:r w:rsidRPr="00DC0CA9">
              <w:rPr>
                <w:rFonts w:ascii="Times New Roman" w:hAnsi="Times New Roman" w:cs="Times New Roman"/>
                <w:spacing w:val="-6"/>
                <w:sz w:val="26"/>
                <w:szCs w:val="26"/>
              </w:rPr>
              <w:t>BỘ KẾ HOẠCH VÀ ĐẦU TƯ</w:t>
            </w:r>
          </w:p>
          <w:p w14:paraId="09210199" w14:textId="77777777" w:rsidR="00791FF1" w:rsidRPr="00DC0CA9" w:rsidRDefault="00791FF1" w:rsidP="00B9073C">
            <w:pPr>
              <w:spacing w:after="0" w:line="240" w:lineRule="auto"/>
              <w:ind w:right="-115"/>
              <w:rPr>
                <w:rFonts w:ascii="Times New Roman" w:hAnsi="Times New Roman" w:cs="Times New Roman"/>
                <w:b/>
                <w:bCs/>
                <w:spacing w:val="-6"/>
                <w:sz w:val="28"/>
                <w:szCs w:val="28"/>
              </w:rPr>
            </w:pPr>
            <w:r w:rsidRPr="00DC0CA9">
              <w:rPr>
                <w:rFonts w:ascii="Times New Roman" w:hAnsi="Times New Roman" w:cs="Times New Roman"/>
                <w:b/>
                <w:bCs/>
                <w:spacing w:val="-6"/>
                <w:sz w:val="26"/>
                <w:szCs w:val="26"/>
              </w:rPr>
              <w:t xml:space="preserve">  TỔNG CỤC THỐNG KÊ</w:t>
            </w:r>
          </w:p>
          <w:p w14:paraId="524701F4" w14:textId="77777777" w:rsidR="00791FF1" w:rsidRPr="00DC0CA9" w:rsidRDefault="00791FF1" w:rsidP="00B9073C">
            <w:pPr>
              <w:spacing w:before="360" w:after="0" w:line="252" w:lineRule="auto"/>
              <w:ind w:hanging="272"/>
              <w:jc w:val="center"/>
              <w:rPr>
                <w:rFonts w:ascii="Times New Roman" w:hAnsi="Times New Roman" w:cs="Times New Roman"/>
                <w:sz w:val="28"/>
                <w:szCs w:val="28"/>
              </w:rPr>
            </w:pPr>
            <w:r w:rsidRPr="00DC0CA9">
              <w:rPr>
                <w:rFonts w:ascii="Times New Roman" w:hAnsi="Times New Roman" w:cs="Times New Roman"/>
                <w:noProof/>
                <w:lang w:eastAsia="en-GB"/>
              </w:rPr>
              <mc:AlternateContent>
                <mc:Choice Requires="wps">
                  <w:drawing>
                    <wp:anchor distT="0" distB="0" distL="114300" distR="114300" simplePos="0" relativeHeight="251662336" behindDoc="0" locked="0" layoutInCell="1" allowOverlap="1" wp14:anchorId="007AEFA7" wp14:editId="07488A4D">
                      <wp:simplePos x="0" y="0"/>
                      <wp:positionH relativeFrom="column">
                        <wp:posOffset>463550</wp:posOffset>
                      </wp:positionH>
                      <wp:positionV relativeFrom="paragraph">
                        <wp:posOffset>38100</wp:posOffset>
                      </wp:positionV>
                      <wp:extent cx="971550" cy="0"/>
                      <wp:effectExtent l="13335" t="6350" r="1524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7C13691"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3pt" to="1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Xt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" strokeweight="1pt"/>
                  </w:pict>
                </mc:Fallback>
              </mc:AlternateContent>
            </w:r>
          </w:p>
        </w:tc>
        <w:tc>
          <w:tcPr>
            <w:tcW w:w="5776" w:type="dxa"/>
          </w:tcPr>
          <w:p w14:paraId="0922D066" w14:textId="78C52618" w:rsidR="00791FF1" w:rsidRPr="00DC0CA9" w:rsidRDefault="00791FF1" w:rsidP="00B9073C">
            <w:pPr>
              <w:spacing w:after="0" w:line="240" w:lineRule="auto"/>
              <w:jc w:val="center"/>
              <w:rPr>
                <w:rFonts w:ascii="Times New Roman" w:hAnsi="Times New Roman" w:cs="Times New Roman"/>
                <w:b/>
                <w:bCs/>
                <w:sz w:val="26"/>
                <w:szCs w:val="26"/>
              </w:rPr>
            </w:pPr>
            <w:r w:rsidRPr="00DC0CA9">
              <w:rPr>
                <w:rFonts w:ascii="Times New Roman" w:hAnsi="Times New Roman" w:cs="Times New Roman"/>
                <w:b/>
                <w:bCs/>
                <w:sz w:val="26"/>
                <w:szCs w:val="26"/>
              </w:rPr>
              <w:t xml:space="preserve">CỘNG </w:t>
            </w:r>
            <w:r w:rsidR="00B43BE5" w:rsidRPr="00DC0CA9">
              <w:rPr>
                <w:rFonts w:ascii="Times New Roman" w:hAnsi="Times New Roman" w:cs="Times New Roman"/>
                <w:b/>
                <w:bCs/>
                <w:sz w:val="26"/>
                <w:szCs w:val="26"/>
              </w:rPr>
              <w:t>HÒA</w:t>
            </w:r>
            <w:r w:rsidRPr="00DC0CA9">
              <w:rPr>
                <w:rFonts w:ascii="Times New Roman" w:hAnsi="Times New Roman" w:cs="Times New Roman"/>
                <w:b/>
                <w:bCs/>
                <w:sz w:val="26"/>
                <w:szCs w:val="26"/>
              </w:rPr>
              <w:t xml:space="preserve"> XÃ HỘI CHỦ NGHĨA VIỆT NAM</w:t>
            </w:r>
          </w:p>
          <w:p w14:paraId="17A19BF8" w14:textId="77777777" w:rsidR="00791FF1" w:rsidRPr="00DC0CA9" w:rsidRDefault="00791FF1" w:rsidP="00B9073C">
            <w:pPr>
              <w:spacing w:after="0" w:line="240" w:lineRule="auto"/>
              <w:jc w:val="center"/>
              <w:rPr>
                <w:rFonts w:ascii="Times New Roman" w:hAnsi="Times New Roman" w:cs="Times New Roman"/>
                <w:b/>
                <w:bCs/>
                <w:sz w:val="26"/>
                <w:szCs w:val="26"/>
              </w:rPr>
            </w:pPr>
            <w:r w:rsidRPr="00DC0CA9">
              <w:rPr>
                <w:rFonts w:ascii="Times New Roman" w:hAnsi="Times New Roman" w:cs="Times New Roman"/>
                <w:b/>
                <w:bCs/>
                <w:sz w:val="28"/>
                <w:szCs w:val="28"/>
              </w:rPr>
              <w:t>Độc lập - Tự do - Hạnh phúc</w:t>
            </w:r>
          </w:p>
          <w:p w14:paraId="2DE93470" w14:textId="128C514E" w:rsidR="00791FF1" w:rsidRPr="00DC0CA9" w:rsidRDefault="00791FF1" w:rsidP="00856D2E">
            <w:pPr>
              <w:spacing w:before="240" w:after="0" w:line="252" w:lineRule="auto"/>
              <w:ind w:firstLine="391"/>
              <w:rPr>
                <w:rFonts w:ascii="Times New Roman" w:hAnsi="Times New Roman" w:cs="Times New Roman"/>
                <w:b/>
                <w:bCs/>
                <w:i/>
                <w:iCs/>
                <w:sz w:val="28"/>
                <w:szCs w:val="28"/>
              </w:rPr>
            </w:pPr>
            <w:r w:rsidRPr="00DC0CA9">
              <w:rPr>
                <w:rFonts w:ascii="Times New Roman" w:hAnsi="Times New Roman" w:cs="Times New Roman"/>
                <w:noProof/>
                <w:lang w:eastAsia="en-GB"/>
              </w:rPr>
              <mc:AlternateContent>
                <mc:Choice Requires="wps">
                  <w:drawing>
                    <wp:anchor distT="0" distB="0" distL="114300" distR="114300" simplePos="0" relativeHeight="251663360" behindDoc="0" locked="0" layoutInCell="1" allowOverlap="1" wp14:anchorId="04EE5B08" wp14:editId="27C6CC7C">
                      <wp:simplePos x="0" y="0"/>
                      <wp:positionH relativeFrom="column">
                        <wp:posOffset>704215</wp:posOffset>
                      </wp:positionH>
                      <wp:positionV relativeFrom="paragraph">
                        <wp:posOffset>34513</wp:posOffset>
                      </wp:positionV>
                      <wp:extent cx="2137340" cy="6350"/>
                      <wp:effectExtent l="0" t="0" r="34925" b="317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340" cy="6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78FE6"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2.7pt" to="223.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W/FwIAACw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" strokeweight="1pt"/>
                  </w:pict>
                </mc:Fallback>
              </mc:AlternateContent>
            </w:r>
            <w:r w:rsidRPr="00DC0CA9">
              <w:rPr>
                <w:rFonts w:ascii="Times New Roman" w:hAnsi="Times New Roman" w:cs="Times New Roman"/>
                <w:i/>
                <w:iCs/>
                <w:sz w:val="28"/>
                <w:szCs w:val="28"/>
              </w:rPr>
              <w:t xml:space="preserve">      Hà Nội, ngày 2</w:t>
            </w:r>
            <w:r w:rsidR="00856D2E" w:rsidRPr="00DC0CA9">
              <w:rPr>
                <w:rFonts w:ascii="Times New Roman" w:hAnsi="Times New Roman" w:cs="Times New Roman"/>
                <w:i/>
                <w:iCs/>
                <w:sz w:val="28"/>
                <w:szCs w:val="28"/>
              </w:rPr>
              <w:t>9</w:t>
            </w:r>
            <w:r w:rsidRPr="00DC0CA9">
              <w:rPr>
                <w:rFonts w:ascii="Times New Roman" w:hAnsi="Times New Roman" w:cs="Times New Roman"/>
                <w:i/>
                <w:iCs/>
                <w:sz w:val="28"/>
                <w:szCs w:val="28"/>
              </w:rPr>
              <w:t xml:space="preserve"> tháng </w:t>
            </w:r>
            <w:r w:rsidR="00400F16" w:rsidRPr="00DC0CA9">
              <w:rPr>
                <w:rFonts w:ascii="Times New Roman" w:hAnsi="Times New Roman" w:cs="Times New Roman"/>
                <w:i/>
                <w:iCs/>
                <w:sz w:val="28"/>
                <w:szCs w:val="28"/>
              </w:rPr>
              <w:t>12</w:t>
            </w:r>
            <w:r w:rsidRPr="00DC0CA9">
              <w:rPr>
                <w:rFonts w:ascii="Times New Roman" w:hAnsi="Times New Roman" w:cs="Times New Roman"/>
                <w:i/>
                <w:iCs/>
                <w:sz w:val="28"/>
                <w:szCs w:val="28"/>
              </w:rPr>
              <w:t xml:space="preserve"> năm 20</w:t>
            </w:r>
            <w:r w:rsidR="00B43BE5" w:rsidRPr="00DC0CA9">
              <w:rPr>
                <w:rFonts w:ascii="Times New Roman" w:hAnsi="Times New Roman" w:cs="Times New Roman"/>
                <w:i/>
                <w:iCs/>
                <w:sz w:val="28"/>
                <w:szCs w:val="28"/>
              </w:rPr>
              <w:t>2</w:t>
            </w:r>
            <w:r w:rsidR="00856D2E" w:rsidRPr="00DC0CA9">
              <w:rPr>
                <w:rFonts w:ascii="Times New Roman" w:hAnsi="Times New Roman" w:cs="Times New Roman"/>
                <w:i/>
                <w:iCs/>
                <w:sz w:val="28"/>
                <w:szCs w:val="28"/>
              </w:rPr>
              <w:t>1</w:t>
            </w:r>
          </w:p>
        </w:tc>
      </w:tr>
    </w:tbl>
    <w:p w14:paraId="180E4F15" w14:textId="77777777" w:rsidR="00456DAE" w:rsidRPr="00DC0CA9" w:rsidRDefault="00456DAE" w:rsidP="00F76179">
      <w:pPr>
        <w:spacing w:after="0" w:line="245" w:lineRule="auto"/>
        <w:jc w:val="center"/>
        <w:rPr>
          <w:rFonts w:ascii="Times New Roman" w:hAnsi="Times New Roman" w:cs="Times New Roman"/>
          <w:b/>
          <w:bCs/>
          <w:szCs w:val="30"/>
          <w:lang w:val="pt-BR"/>
        </w:rPr>
      </w:pPr>
    </w:p>
    <w:p w14:paraId="55300FBE" w14:textId="77777777" w:rsidR="00B54309" w:rsidRPr="00DC0CA9" w:rsidRDefault="00F676B6" w:rsidP="00F76179">
      <w:pPr>
        <w:spacing w:after="0" w:line="245" w:lineRule="auto"/>
        <w:jc w:val="center"/>
        <w:rPr>
          <w:rFonts w:ascii="Times New Roman" w:hAnsi="Times New Roman" w:cs="Times New Roman"/>
          <w:b/>
          <w:bCs/>
          <w:sz w:val="30"/>
          <w:szCs w:val="30"/>
          <w:lang w:val="pt-BR"/>
        </w:rPr>
      </w:pPr>
      <w:r w:rsidRPr="00DC0CA9">
        <w:rPr>
          <w:rFonts w:ascii="Times New Roman" w:hAnsi="Times New Roman" w:cs="Times New Roman"/>
          <w:b/>
          <w:bCs/>
          <w:sz w:val="30"/>
          <w:szCs w:val="30"/>
          <w:lang w:val="pt-BR"/>
        </w:rPr>
        <w:t>THÔNG CÁO BÁO CHÍ</w:t>
      </w:r>
    </w:p>
    <w:p w14:paraId="2FD8C5A4" w14:textId="08878A1A" w:rsidR="004D1EA5" w:rsidRPr="00DC0CA9" w:rsidRDefault="00F676B6" w:rsidP="004D1EA5">
      <w:pPr>
        <w:spacing w:after="0" w:line="245" w:lineRule="auto"/>
        <w:jc w:val="center"/>
        <w:rPr>
          <w:rFonts w:ascii="Times New Roman" w:hAnsi="Times New Roman" w:cs="Times New Roman"/>
          <w:b/>
          <w:bCs/>
          <w:sz w:val="30"/>
          <w:szCs w:val="30"/>
          <w:lang w:val="pt-BR"/>
        </w:rPr>
      </w:pPr>
      <w:r w:rsidRPr="00DC0CA9">
        <w:rPr>
          <w:rFonts w:ascii="Times New Roman" w:hAnsi="Times New Roman" w:cs="Times New Roman"/>
          <w:b/>
          <w:bCs/>
          <w:sz w:val="30"/>
          <w:szCs w:val="30"/>
          <w:lang w:val="pt-BR"/>
        </w:rPr>
        <w:t>Về tình hình kinh tế - xã hội quý I</w:t>
      </w:r>
      <w:r w:rsidR="00400F16" w:rsidRPr="00DC0CA9">
        <w:rPr>
          <w:rFonts w:ascii="Times New Roman" w:hAnsi="Times New Roman" w:cs="Times New Roman"/>
          <w:b/>
          <w:bCs/>
          <w:sz w:val="30"/>
          <w:szCs w:val="30"/>
          <w:lang w:val="pt-BR"/>
        </w:rPr>
        <w:t>V</w:t>
      </w:r>
      <w:r w:rsidRPr="00DC0CA9">
        <w:rPr>
          <w:rFonts w:ascii="Times New Roman" w:hAnsi="Times New Roman" w:cs="Times New Roman"/>
          <w:b/>
          <w:bCs/>
          <w:sz w:val="30"/>
          <w:szCs w:val="30"/>
          <w:lang w:val="pt-BR"/>
        </w:rPr>
        <w:t xml:space="preserve"> và năm 20</w:t>
      </w:r>
      <w:r w:rsidR="00B43BE5" w:rsidRPr="00DC0CA9">
        <w:rPr>
          <w:rFonts w:ascii="Times New Roman" w:hAnsi="Times New Roman" w:cs="Times New Roman"/>
          <w:b/>
          <w:bCs/>
          <w:sz w:val="30"/>
          <w:szCs w:val="30"/>
          <w:lang w:val="pt-BR"/>
        </w:rPr>
        <w:t>2</w:t>
      </w:r>
      <w:r w:rsidR="00856D2E" w:rsidRPr="00DC0CA9">
        <w:rPr>
          <w:rFonts w:ascii="Times New Roman" w:hAnsi="Times New Roman" w:cs="Times New Roman"/>
          <w:b/>
          <w:bCs/>
          <w:sz w:val="30"/>
          <w:szCs w:val="30"/>
          <w:lang w:val="pt-BR"/>
        </w:rPr>
        <w:t>1</w:t>
      </w:r>
      <w:r w:rsidR="007D7987" w:rsidRPr="00DC0CA9">
        <w:rPr>
          <w:rStyle w:val="FootnoteReference"/>
          <w:rFonts w:ascii="Times New Roman" w:hAnsi="Times New Roman"/>
          <w:b/>
          <w:bCs/>
          <w:sz w:val="30"/>
          <w:szCs w:val="30"/>
          <w:lang w:val="pt-BR"/>
        </w:rPr>
        <w:footnoteReference w:id="1"/>
      </w:r>
    </w:p>
    <w:p w14:paraId="2A22E159" w14:textId="77777777" w:rsidR="004D1EA5" w:rsidRPr="00DC0CA9" w:rsidRDefault="00332170" w:rsidP="004D1EA5">
      <w:pPr>
        <w:spacing w:after="0" w:line="245" w:lineRule="auto"/>
        <w:jc w:val="center"/>
        <w:rPr>
          <w:rFonts w:ascii="Times New Roman" w:hAnsi="Times New Roman" w:cs="Times New Roman"/>
          <w:b/>
          <w:bCs/>
          <w:sz w:val="34"/>
          <w:szCs w:val="34"/>
          <w:lang w:val="pt-BR"/>
        </w:rPr>
      </w:pPr>
      <w:r w:rsidRPr="00DC0CA9">
        <w:rPr>
          <w:rFonts w:ascii="Times New Roman" w:hAnsi="Times New Roman" w:cs="Times New Roman"/>
          <w:b/>
          <w:bCs/>
          <w:noProof/>
          <w:sz w:val="28"/>
          <w:szCs w:val="28"/>
          <w:lang w:eastAsia="en-GB"/>
        </w:rPr>
        <mc:AlternateContent>
          <mc:Choice Requires="wps">
            <w:drawing>
              <wp:anchor distT="0" distB="0" distL="114300" distR="114300" simplePos="0" relativeHeight="251660288" behindDoc="0" locked="0" layoutInCell="1" allowOverlap="1" wp14:anchorId="3EC139C4" wp14:editId="7E1975D6">
                <wp:simplePos x="0" y="0"/>
                <wp:positionH relativeFrom="column">
                  <wp:posOffset>2120265</wp:posOffset>
                </wp:positionH>
                <wp:positionV relativeFrom="paragraph">
                  <wp:posOffset>24765</wp:posOffset>
                </wp:positionV>
                <wp:extent cx="155275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71746FB" id="_x0000_t32" coordsize="21600,21600" o:spt="32" o:oned="t" path="m,l21600,21600e" filled="f">
                <v:path arrowok="t" fillok="f" o:connecttype="none"/>
                <o:lock v:ext="edit" shapetype="t"/>
              </v:shapetype>
              <v:shape id="AutoShape 4" o:spid="_x0000_s1026" type="#_x0000_t32" style="position:absolute;margin-left:166.95pt;margin-top:1.95pt;width:12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hf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"/>
            </w:pict>
          </mc:Fallback>
        </mc:AlternateContent>
      </w:r>
    </w:p>
    <w:p w14:paraId="172BD2B9" w14:textId="77777777" w:rsidR="00B67503" w:rsidRPr="00DC0CA9" w:rsidRDefault="00B67503" w:rsidP="00B67503">
      <w:pPr>
        <w:keepNext/>
        <w:spacing w:after="40" w:line="240" w:lineRule="auto"/>
        <w:ind w:firstLine="567"/>
        <w:jc w:val="both"/>
        <w:outlineLvl w:val="1"/>
        <w:rPr>
          <w:rFonts w:ascii="Times New Roman" w:hAnsi="Times New Roman" w:cs="Times New Roman"/>
          <w:b/>
          <w:bCs/>
          <w:sz w:val="16"/>
          <w:szCs w:val="28"/>
          <w:lang w:val="de-DE"/>
        </w:rPr>
      </w:pPr>
    </w:p>
    <w:p w14:paraId="0B677E2D" w14:textId="276CA5DB" w:rsidR="00ED463D" w:rsidRPr="00DC0CA9" w:rsidRDefault="00ED463D" w:rsidP="002850E5">
      <w:pPr>
        <w:keepNext/>
        <w:spacing w:after="40"/>
        <w:ind w:firstLine="567"/>
        <w:jc w:val="both"/>
        <w:outlineLvl w:val="1"/>
        <w:rPr>
          <w:rFonts w:ascii="Times New Roman" w:hAnsi="Times New Roman" w:cs="Times New Roman"/>
          <w:b/>
          <w:bCs/>
          <w:sz w:val="28"/>
          <w:szCs w:val="28"/>
          <w:lang w:val="de-DE"/>
        </w:rPr>
      </w:pPr>
      <w:r w:rsidRPr="00DC0CA9">
        <w:rPr>
          <w:rFonts w:ascii="Times New Roman" w:hAnsi="Times New Roman" w:cs="Times New Roman"/>
          <w:b/>
          <w:bCs/>
          <w:sz w:val="28"/>
          <w:szCs w:val="28"/>
          <w:lang w:val="de-DE"/>
        </w:rPr>
        <w:t>BỐI CẢNH KINH TẾ THẾ GIỚI VÀ TRONG NƯỚC</w:t>
      </w:r>
    </w:p>
    <w:p w14:paraId="1FF8922C" w14:textId="77777777" w:rsidR="001412EC" w:rsidRPr="00DC0CA9" w:rsidRDefault="001412EC" w:rsidP="002850E5">
      <w:pPr>
        <w:spacing w:after="40"/>
        <w:ind w:firstLine="567"/>
        <w:jc w:val="both"/>
        <w:rPr>
          <w:rFonts w:ascii="Times New Roman" w:hAnsi="Times New Roman" w:cs="Times New Roman"/>
          <w:spacing w:val="-2"/>
          <w:sz w:val="8"/>
          <w:szCs w:val="28"/>
        </w:rPr>
      </w:pPr>
    </w:p>
    <w:p w14:paraId="75EC11FC" w14:textId="5971D1F9" w:rsidR="00856D2E" w:rsidRPr="001B09F2" w:rsidRDefault="00856D2E" w:rsidP="00FA1162">
      <w:pPr>
        <w:spacing w:after="60" w:line="264" w:lineRule="auto"/>
        <w:ind w:firstLine="567"/>
        <w:jc w:val="both"/>
        <w:rPr>
          <w:rFonts w:ascii="Times New Roman" w:hAnsi="Times New Roman" w:cs="Times New Roman"/>
          <w:spacing w:val="-2"/>
          <w:sz w:val="28"/>
        </w:rPr>
      </w:pPr>
      <w:r w:rsidRPr="001B09F2">
        <w:rPr>
          <w:rFonts w:ascii="Times New Roman" w:hAnsi="Times New Roman" w:cs="Times New Roman"/>
          <w:spacing w:val="-2"/>
          <w:sz w:val="28"/>
          <w:szCs w:val="28"/>
        </w:rPr>
        <w:t>Kinh tế - xã hội năm 2021 của nước ta diễn ra trong bối cảnh kinh tế thế giới có xu hướng phục hồi khi các nước đẩy mạnh chương trình tiêm chủng vắc - xin phòng chống dịch Covid-19 nhưng sự xuất hiện các biến chủng mới khiến quá trình phục hồi kinh tế có dấu hiệu chậm lại</w:t>
      </w:r>
      <w:r w:rsidRPr="003310DD">
        <w:rPr>
          <w:rFonts w:ascii="Times New Roman" w:hAnsi="Times New Roman" w:cs="Times New Roman"/>
          <w:spacing w:val="-2"/>
          <w:sz w:val="28"/>
          <w:szCs w:val="28"/>
          <w:vertAlign w:val="superscript"/>
        </w:rPr>
        <w:footnoteReference w:id="2"/>
      </w:r>
      <w:r w:rsidRPr="001B09F2">
        <w:rPr>
          <w:rFonts w:ascii="Times New Roman" w:hAnsi="Times New Roman" w:cs="Times New Roman"/>
          <w:spacing w:val="-2"/>
          <w:sz w:val="28"/>
          <w:szCs w:val="28"/>
        </w:rPr>
        <w:t>. Quỹ Tiền tệ Quốc tế dự báo kinh tế toàn cầu sẽ tăng trưởng 5,9% vào năm</w:t>
      </w:r>
      <w:r w:rsidRPr="001B09F2">
        <w:rPr>
          <w:rFonts w:ascii="Times New Roman" w:hAnsi="Times New Roman" w:cs="Times New Roman"/>
          <w:spacing w:val="-2"/>
          <w:sz w:val="28"/>
        </w:rPr>
        <w:t xml:space="preserve"> 2021. Tổ chức Hợp tác và Phát triển Kinh tế, Liên minh châu Âu, Fitch Ratings, Hội nghị Liên hợp quốc về Thương mại và Phát triển nhận định tăng trưởng kinh tế toàn cầu năm 2021 lần lượt đạt 5,6%,</w:t>
      </w:r>
      <w:r w:rsidR="00521621">
        <w:rPr>
          <w:rFonts w:ascii="Times New Roman" w:hAnsi="Times New Roman" w:cs="Times New Roman"/>
          <w:spacing w:val="-2"/>
          <w:sz w:val="28"/>
        </w:rPr>
        <w:t xml:space="preserve"> </w:t>
      </w:r>
      <w:r w:rsidRPr="001B09F2">
        <w:rPr>
          <w:rFonts w:ascii="Times New Roman" w:hAnsi="Times New Roman" w:cs="Times New Roman"/>
          <w:spacing w:val="-2"/>
          <w:sz w:val="28"/>
        </w:rPr>
        <w:t>5,8%, 5,7% và 5,3%</w:t>
      </w:r>
      <w:r w:rsidRPr="003310DD">
        <w:rPr>
          <w:rFonts w:ascii="Times New Roman" w:hAnsi="Times New Roman" w:cs="Times New Roman"/>
          <w:spacing w:val="-2"/>
          <w:sz w:val="28"/>
          <w:vertAlign w:val="superscript"/>
        </w:rPr>
        <w:footnoteReference w:id="3"/>
      </w:r>
      <w:r w:rsidRPr="001B09F2">
        <w:rPr>
          <w:rFonts w:ascii="Times New Roman" w:hAnsi="Times New Roman" w:cs="Times New Roman"/>
          <w:spacing w:val="-2"/>
          <w:sz w:val="28"/>
        </w:rPr>
        <w:t>. Giá nhiều mặt hàng tăng mạnh so với năm 2020, lạm phát gia tăng nhưng nhìn chung vẫn được kiểm soát trên toàn thế giới. Bên cạnh đó, đại dịch đã gây tắc nghẽn trong chuỗi giá trị toàn cầu làm tăng giá nguyên liệu sản xuất là thách thức không nhỏ cho hoạt động sản xuất kinh doanh của các quốc gia.</w:t>
      </w:r>
    </w:p>
    <w:p w14:paraId="7C7AE043" w14:textId="146182CB" w:rsidR="00856D2E" w:rsidRPr="001B09F2" w:rsidRDefault="00856D2E" w:rsidP="00FA1162">
      <w:pPr>
        <w:spacing w:after="60" w:line="264" w:lineRule="auto"/>
        <w:ind w:firstLine="567"/>
        <w:jc w:val="both"/>
        <w:rPr>
          <w:rFonts w:ascii="Times New Roman" w:hAnsi="Times New Roman" w:cs="Times New Roman"/>
          <w:spacing w:val="-2"/>
          <w:sz w:val="28"/>
        </w:rPr>
      </w:pPr>
      <w:r w:rsidRPr="001B09F2">
        <w:rPr>
          <w:rFonts w:ascii="Times New Roman" w:hAnsi="Times New Roman" w:cs="Times New Roman"/>
          <w:spacing w:val="-2"/>
          <w:sz w:val="28"/>
        </w:rPr>
        <w:t xml:space="preserve">Trong nước, làn sóng dịch Covid-19 bùng phát từ cuối tháng Tư với biến chủng mới có tốc độ lây lan nhanh chóng, nguy hiểm diễn biến phức tạp tại nhiều địa phương, đặc biệt tại các địa phương kinh tế trọng điểm như Hà Nội, Bắc Ninh, Bắc Giang, Đà Nẵng, Thành phố Hồ Chí Minh, Bình Dương, Đồng Nai, Long An, Cần Thơ... đã ảnh hưởng nghiêm trọng đến đời sống, an toàn của người dân và phát triển kinh tế - xã hội. </w:t>
      </w:r>
    </w:p>
    <w:p w14:paraId="10FA63F4" w14:textId="61402FA3" w:rsidR="00856D2E" w:rsidRPr="00FA1162" w:rsidRDefault="00856D2E" w:rsidP="00FA1162">
      <w:pPr>
        <w:spacing w:after="60" w:line="264" w:lineRule="auto"/>
        <w:ind w:firstLine="567"/>
        <w:jc w:val="both"/>
        <w:rPr>
          <w:rFonts w:ascii="Times New Roman" w:hAnsi="Times New Roman" w:cs="Times New Roman"/>
          <w:spacing w:val="-4"/>
          <w:sz w:val="28"/>
        </w:rPr>
      </w:pPr>
      <w:r w:rsidRPr="00FA1162">
        <w:rPr>
          <w:rFonts w:ascii="Times New Roman" w:hAnsi="Times New Roman" w:cs="Times New Roman"/>
          <w:spacing w:val="-4"/>
          <w:sz w:val="28"/>
        </w:rPr>
        <w:t>Trước tình hình đó, dưới sự lãnh đạo thống nhất của cả hệ thống chính trị và sự chỉ đạo, điều hành quyết liệt của Chính phủ, Thủ tướng Chính phủ</w:t>
      </w:r>
      <w:r w:rsidR="00A93CF8" w:rsidRPr="00FA1162">
        <w:rPr>
          <w:rFonts w:ascii="Times New Roman" w:hAnsi="Times New Roman" w:cs="Times New Roman"/>
          <w:spacing w:val="-4"/>
          <w:sz w:val="28"/>
        </w:rPr>
        <w:t xml:space="preserve"> đã</w:t>
      </w:r>
      <w:r w:rsidRPr="00FA1162">
        <w:rPr>
          <w:rFonts w:ascii="Times New Roman" w:hAnsi="Times New Roman" w:cs="Times New Roman"/>
          <w:spacing w:val="-4"/>
          <w:sz w:val="28"/>
        </w:rPr>
        <w:t xml:space="preserve"> ban hành những quyết sách kịp thời để phòng, chống dịch và phát triển kinh tế - xã hội. Đặc biệt</w:t>
      </w:r>
      <w:r w:rsidR="00A93CF8" w:rsidRPr="00FA1162">
        <w:rPr>
          <w:rFonts w:ascii="Times New Roman" w:hAnsi="Times New Roman" w:cs="Times New Roman"/>
          <w:spacing w:val="-4"/>
          <w:sz w:val="28"/>
        </w:rPr>
        <w:t>,</w:t>
      </w:r>
      <w:r w:rsidRPr="00FA1162">
        <w:rPr>
          <w:rFonts w:ascii="Times New Roman" w:hAnsi="Times New Roman" w:cs="Times New Roman"/>
          <w:spacing w:val="-4"/>
          <w:sz w:val="28"/>
        </w:rPr>
        <w:t xml:space="preserve"> Nghị quyết số 128/NQ-CP ngày 11/10/2021 về </w:t>
      </w:r>
      <w:bookmarkStart w:id="1" w:name="loai_1_name"/>
      <w:r w:rsidRPr="00FA1162">
        <w:rPr>
          <w:rFonts w:ascii="Times New Roman" w:hAnsi="Times New Roman" w:cs="Times New Roman"/>
          <w:spacing w:val="-4"/>
          <w:sz w:val="28"/>
        </w:rPr>
        <w:t>ban hành quy định tạm thời “thích ứng an toàn, linh hoạt, kiểm soát hiệu quả dịch Covid-19”</w:t>
      </w:r>
      <w:bookmarkEnd w:id="1"/>
      <w:r w:rsidRPr="00FA1162">
        <w:rPr>
          <w:rFonts w:ascii="Times New Roman" w:hAnsi="Times New Roman" w:cs="Times New Roman"/>
          <w:spacing w:val="-4"/>
          <w:sz w:val="28"/>
        </w:rPr>
        <w:t>, cùng với các chính sách bảo đảm an sinh xã hội; sự đồng lòng, nhất trí của các cấp, các ngành, các địa phương; sự đồng tình, ủng hộ, chia sẻ và tham gia tích cực của các tầng lớp nhân dân, cộng đồng doanh nghiệp, kinh tế - xã hội nước ta đã đạt được kết quả  đáng khích lệ. Kết quả đạt được của các ngành, lĩnh vực trong quý IV và năm 2021 như sau:</w:t>
      </w:r>
    </w:p>
    <w:p w14:paraId="073FD050" w14:textId="77777777" w:rsidR="004D1EA5" w:rsidRPr="00DC0CA9" w:rsidRDefault="00571CD4" w:rsidP="001B09F2">
      <w:pPr>
        <w:keepNext/>
        <w:spacing w:after="120" w:line="356" w:lineRule="exact"/>
        <w:ind w:firstLine="567"/>
        <w:jc w:val="both"/>
        <w:outlineLvl w:val="1"/>
        <w:rPr>
          <w:rFonts w:ascii="Times New Roman" w:hAnsi="Times New Roman" w:cs="Times New Roman"/>
          <w:b/>
          <w:bCs/>
          <w:sz w:val="28"/>
          <w:szCs w:val="28"/>
          <w:lang w:val="de-DE"/>
        </w:rPr>
      </w:pPr>
      <w:r w:rsidRPr="00DC0CA9">
        <w:rPr>
          <w:rFonts w:ascii="Times New Roman" w:hAnsi="Times New Roman" w:cs="Times New Roman"/>
          <w:b/>
          <w:bCs/>
          <w:sz w:val="28"/>
          <w:szCs w:val="28"/>
          <w:lang w:val="de-DE"/>
        </w:rPr>
        <w:lastRenderedPageBreak/>
        <w:t xml:space="preserve">I. </w:t>
      </w:r>
      <w:r w:rsidR="006670FB" w:rsidRPr="00DC0CA9">
        <w:rPr>
          <w:rFonts w:ascii="Times New Roman" w:hAnsi="Times New Roman" w:cs="Times New Roman"/>
          <w:b/>
          <w:bCs/>
          <w:sz w:val="28"/>
          <w:szCs w:val="28"/>
          <w:lang w:val="de-DE"/>
        </w:rPr>
        <w:t xml:space="preserve">TÌNH HÌNH </w:t>
      </w:r>
      <w:r w:rsidR="005B4899" w:rsidRPr="00DC0CA9">
        <w:rPr>
          <w:rFonts w:ascii="Times New Roman" w:hAnsi="Times New Roman" w:cs="Times New Roman"/>
          <w:b/>
          <w:bCs/>
          <w:sz w:val="28"/>
          <w:szCs w:val="28"/>
          <w:lang w:val="de-DE"/>
        </w:rPr>
        <w:t>KINH T</w:t>
      </w:r>
      <w:r w:rsidR="00C50119" w:rsidRPr="00DC0CA9">
        <w:rPr>
          <w:rFonts w:ascii="Times New Roman" w:hAnsi="Times New Roman" w:cs="Times New Roman"/>
          <w:b/>
          <w:bCs/>
          <w:sz w:val="28"/>
          <w:szCs w:val="28"/>
          <w:lang w:val="de-DE"/>
        </w:rPr>
        <w:t>Ế</w:t>
      </w:r>
    </w:p>
    <w:p w14:paraId="2A45AD4C" w14:textId="231CFF9D" w:rsidR="00856D2E" w:rsidRPr="00DC0CA9" w:rsidRDefault="00856D2E" w:rsidP="001B09F2">
      <w:pPr>
        <w:keepNext/>
        <w:spacing w:after="120" w:line="356" w:lineRule="exact"/>
        <w:ind w:firstLine="567"/>
        <w:jc w:val="both"/>
        <w:outlineLvl w:val="1"/>
        <w:rPr>
          <w:rFonts w:ascii="Times New Roman" w:hAnsi="Times New Roman" w:cs="Times New Roman"/>
          <w:b/>
          <w:i/>
          <w:sz w:val="28"/>
          <w:szCs w:val="28"/>
          <w:lang w:val="de-DE"/>
        </w:rPr>
      </w:pPr>
      <w:r w:rsidRPr="00DC0CA9">
        <w:rPr>
          <w:rFonts w:ascii="Times New Roman" w:hAnsi="Times New Roman" w:cs="Times New Roman"/>
          <w:b/>
          <w:i/>
          <w:sz w:val="28"/>
          <w:szCs w:val="28"/>
          <w:lang w:val="de-DE"/>
        </w:rPr>
        <w:t>1. Tổng sản phẩm trong nước (GDP) năm 2021 ước tính tăng 2,5</w:t>
      </w:r>
      <w:r w:rsidR="002577CA" w:rsidRPr="00DC0CA9">
        <w:rPr>
          <w:rFonts w:ascii="Times New Roman" w:hAnsi="Times New Roman" w:cs="Times New Roman"/>
          <w:b/>
          <w:i/>
          <w:sz w:val="28"/>
          <w:szCs w:val="28"/>
          <w:lang w:val="de-DE"/>
        </w:rPr>
        <w:t>8</w:t>
      </w:r>
      <w:r w:rsidRPr="00DC0CA9">
        <w:rPr>
          <w:rFonts w:ascii="Times New Roman" w:hAnsi="Times New Roman" w:cs="Times New Roman"/>
          <w:b/>
          <w:i/>
          <w:sz w:val="28"/>
          <w:szCs w:val="28"/>
          <w:lang w:val="de-DE"/>
        </w:rPr>
        <w:t xml:space="preserve">% so với cùng kỳ năm trước do dịch Covid-19 ảnh hưởng nghiêm trọng tới mọi lĩnh vực của nền kinh tế, </w:t>
      </w:r>
      <w:r w:rsidRPr="00DC0CA9">
        <w:rPr>
          <w:rFonts w:ascii="Times New Roman" w:hAnsi="Times New Roman" w:cs="Times New Roman"/>
          <w:b/>
          <w:i/>
          <w:spacing w:val="-2"/>
          <w:sz w:val="28"/>
          <w:szCs w:val="28"/>
          <w:lang w:val="de-DE"/>
        </w:rPr>
        <w:t>đặc biệt là trong quý III/2021 nhiều địa phương kinh tế trọng điểm phải thực hiện giãn cách xã hội kéo dài để phòng chống dịch bệnh, đây</w:t>
      </w:r>
      <w:r w:rsidRPr="00DC0CA9">
        <w:rPr>
          <w:rFonts w:ascii="Times New Roman" w:hAnsi="Times New Roman" w:cs="Times New Roman"/>
          <w:b/>
          <w:i/>
          <w:sz w:val="28"/>
          <w:szCs w:val="28"/>
          <w:lang w:val="de-DE"/>
        </w:rPr>
        <w:t xml:space="preserve"> là một thành công lớn của nước ta trong việc phòng chống dịch bệnh, duy trì sản xuất kinh doanh. </w:t>
      </w:r>
    </w:p>
    <w:p w14:paraId="6612F094" w14:textId="32B1DB8B" w:rsidR="002577CA" w:rsidRPr="00DC0CA9" w:rsidRDefault="002577CA" w:rsidP="001B09F2">
      <w:pPr>
        <w:spacing w:after="120" w:line="356" w:lineRule="exact"/>
        <w:ind w:firstLine="567"/>
        <w:jc w:val="both"/>
        <w:rPr>
          <w:rFonts w:ascii="Times New Roman" w:hAnsi="Times New Roman" w:cs="Times New Roman"/>
          <w:sz w:val="28"/>
          <w:szCs w:val="28"/>
          <w:lang w:val="de-DE"/>
        </w:rPr>
      </w:pPr>
      <w:r w:rsidRPr="00DC0CA9">
        <w:rPr>
          <w:rFonts w:ascii="Times New Roman" w:hAnsi="Times New Roman" w:cs="Times New Roman"/>
          <w:sz w:val="28"/>
          <w:szCs w:val="28"/>
          <w:lang w:val="de-DE"/>
        </w:rPr>
        <w:t xml:space="preserve">GDP quý IV/2021 ước tính tăng 5,22% so với cùng kỳ năm trước, tuy cao hơn tốc độ tăng 4,61% của năm 2020 nhưng thấp hơn tốc độ tăng của quý IV các năm 2011-2019. Trong đó, khu vực nông, lâm nghiệp và thủy sản tăng 3,16%; khu vực công nghiệp và xây dựng tăng 5,61%; khu vực dịch vụ tăng 5,42%. </w:t>
      </w:r>
      <w:r w:rsidRPr="00DC0CA9">
        <w:rPr>
          <w:rFonts w:ascii="Times New Roman" w:hAnsi="Times New Roman" w:cs="Times New Roman"/>
          <w:sz w:val="28"/>
          <w:szCs w:val="28"/>
          <w:shd w:val="clear" w:color="auto" w:fill="FFFFFF"/>
        </w:rPr>
        <w:t>Về sử dụng GDP quý IV/2021, tiêu dùng cuối cùng tăng 3,86% so với cùng kỳ năm trước; tích lũy tài sản tăng 3,37%; xuất khẩu hàng hóa và dịch vụ tăng 14,28%; nhập khẩu hàng hóa và dịch vụ tăng 11,36%.</w:t>
      </w:r>
    </w:p>
    <w:p w14:paraId="76614AB7" w14:textId="0D7C404D" w:rsidR="002577CA" w:rsidRPr="00DC0CA9" w:rsidRDefault="002577CA" w:rsidP="001B09F2">
      <w:pPr>
        <w:spacing w:after="120" w:line="356" w:lineRule="exact"/>
        <w:ind w:firstLine="567"/>
        <w:jc w:val="both"/>
        <w:rPr>
          <w:rFonts w:ascii="Times New Roman" w:hAnsi="Times New Roman" w:cs="Times New Roman"/>
          <w:spacing w:val="-2"/>
          <w:sz w:val="28"/>
          <w:szCs w:val="28"/>
          <w:lang w:val="de-DE"/>
        </w:rPr>
      </w:pPr>
      <w:r w:rsidRPr="00DC0CA9">
        <w:rPr>
          <w:rFonts w:ascii="Times New Roman" w:hAnsi="Times New Roman" w:cs="Times New Roman"/>
          <w:spacing w:val="-2"/>
          <w:sz w:val="28"/>
          <w:szCs w:val="28"/>
          <w:lang w:val="de-DE"/>
        </w:rPr>
        <w:t>Ước tính GDP năm 2021 tăng 2,58% (quý I tăng 4,72%; quý II tăng 6,73%; quý III giảm 6,02%; quý IV tăng 5,22%). Trong mức tăng chung của toàn nền kinh tế, khu vực nông, lâm nghiệp và thủy sản tăng 2,9%, đóng góp 13,97% vào tốc độ tăng tổng giá trị tăng thêm của toàn nền kinh tế; khu vực công nghiệp và xây dựng tăng 4,05%, đóng góp 63,80%; khu vực dịch vụ tăng 1,22%, đóng góp 22,23%.</w:t>
      </w:r>
    </w:p>
    <w:p w14:paraId="1D49FC24" w14:textId="46897DAA" w:rsidR="002577CA" w:rsidRPr="00DC0CA9" w:rsidRDefault="002577CA" w:rsidP="001B09F2">
      <w:pPr>
        <w:tabs>
          <w:tab w:val="left" w:pos="720"/>
        </w:tabs>
        <w:spacing w:after="120" w:line="356" w:lineRule="exact"/>
        <w:ind w:firstLine="567"/>
        <w:jc w:val="both"/>
        <w:rPr>
          <w:rFonts w:ascii="Times New Roman" w:hAnsi="Times New Roman" w:cs="Times New Roman"/>
          <w:sz w:val="28"/>
          <w:szCs w:val="28"/>
          <w:shd w:val="clear" w:color="auto" w:fill="FFFFFF"/>
          <w:lang w:val="de-DE"/>
        </w:rPr>
      </w:pPr>
      <w:r w:rsidRPr="00DC0CA9">
        <w:rPr>
          <w:rFonts w:ascii="Times New Roman" w:hAnsi="Times New Roman" w:cs="Times New Roman"/>
          <w:sz w:val="28"/>
          <w:szCs w:val="28"/>
          <w:shd w:val="clear" w:color="auto" w:fill="FFFFFF"/>
          <w:lang w:val="de-DE"/>
        </w:rPr>
        <w:t xml:space="preserve">Trong khu vực nông, lâm nghiệp và thủy sản, năng suất của phần lớn cây trồng đạt khá so với năm trước, chăn nuôi tăng trưởng ổn định, kim ngạch xuất khẩu một số nông sản năm 2021 tăng cao góp phần duy trì nhịp tăng trưởng của cả khu vực. Ngành nông nghiệp tăng 3,18%, đóng góp 0,29 điểm phần trăm vào tốc độ tăng tổng giá trị tăng thêm của toàn nền kinh tế; ngành lâm nghiệp tăng 3,88%, đóng góp 0,02 điểm phần trăm; ngành thủy sản tăng 1,73%, đóng góp 0,05 điểm phần trăm. </w:t>
      </w:r>
    </w:p>
    <w:p w14:paraId="6C7F606A" w14:textId="77777777" w:rsidR="002577CA" w:rsidRPr="00DC0CA9" w:rsidRDefault="002577CA" w:rsidP="001B09F2">
      <w:pPr>
        <w:tabs>
          <w:tab w:val="left" w:pos="720"/>
        </w:tabs>
        <w:spacing w:after="120" w:line="356" w:lineRule="exact"/>
        <w:ind w:firstLine="567"/>
        <w:jc w:val="both"/>
        <w:rPr>
          <w:rFonts w:ascii="Times New Roman" w:hAnsi="Times New Roman" w:cs="Times New Roman"/>
          <w:lang w:val="de-DE"/>
        </w:rPr>
      </w:pPr>
      <w:r w:rsidRPr="00DC0CA9">
        <w:rPr>
          <w:rFonts w:ascii="Times New Roman" w:hAnsi="Times New Roman" w:cs="Times New Roman"/>
          <w:sz w:val="28"/>
          <w:szCs w:val="28"/>
          <w:lang w:val="de-DE"/>
        </w:rPr>
        <w:t xml:space="preserve">Trong khu vực công nghiệp và xây dựng, </w:t>
      </w:r>
      <w:r w:rsidRPr="00DC0CA9">
        <w:rPr>
          <w:rFonts w:ascii="Times New Roman" w:hAnsi="Times New Roman" w:cs="Times New Roman"/>
          <w:sz w:val="28"/>
          <w:szCs w:val="28"/>
          <w:shd w:val="clear" w:color="auto" w:fill="FFFFFF"/>
          <w:lang w:val="de-DE"/>
        </w:rPr>
        <w:t xml:space="preserve">ngành công nghiệp chế biến, chế tạo tiếp tục là động lực tăng trưởng của toàn nền kinh tế với tốc độ tăng 6,37%, đóng góp 1,61 điểm phần trăm vào tốc độ tăng tổng giá trị tăng thêm của toàn nền kinh tế. Ngành sản xuất và phân phối điện tăng 5,24%, đóng góp 0,19 điểm phần trăm. Ngành khai khoáng giảm 6,21%, làm giảm 0,23 điểm phần trăm do sản lượng dầu mỏ thô khai thác giảm 5,7% và khí đốt thiên nhiên dạng khí giảm 19,4%. </w:t>
      </w:r>
      <w:r w:rsidRPr="00DC0CA9">
        <w:rPr>
          <w:rFonts w:ascii="Times New Roman" w:hAnsi="Times New Roman" w:cs="Times New Roman"/>
          <w:sz w:val="28"/>
          <w:szCs w:val="28"/>
          <w:lang w:val="de-DE"/>
        </w:rPr>
        <w:t>Ngành xây dựng tăng 0,63%, đóng góp 0,05 điểm phần trăm.</w:t>
      </w:r>
    </w:p>
    <w:p w14:paraId="17FAB31B" w14:textId="77777777" w:rsidR="002577CA" w:rsidRPr="00DC0CA9" w:rsidRDefault="002577CA" w:rsidP="001B09F2">
      <w:pPr>
        <w:tabs>
          <w:tab w:val="left" w:pos="720"/>
        </w:tabs>
        <w:spacing w:after="120" w:line="356" w:lineRule="exact"/>
        <w:ind w:firstLine="567"/>
        <w:jc w:val="both"/>
        <w:rPr>
          <w:rFonts w:ascii="Times New Roman" w:hAnsi="Times New Roman" w:cs="Times New Roman"/>
          <w:spacing w:val="-4"/>
          <w:sz w:val="28"/>
          <w:szCs w:val="28"/>
          <w:shd w:val="clear" w:color="auto" w:fill="FFFFFF"/>
          <w:lang w:val="de-DE"/>
        </w:rPr>
      </w:pPr>
      <w:r w:rsidRPr="00DC0CA9">
        <w:rPr>
          <w:rFonts w:ascii="Times New Roman" w:hAnsi="Times New Roman" w:cs="Times New Roman"/>
          <w:spacing w:val="-4"/>
          <w:sz w:val="28"/>
          <w:szCs w:val="28"/>
          <w:shd w:val="clear" w:color="auto" w:fill="FFFFFF"/>
          <w:lang w:val="de-DE"/>
        </w:rPr>
        <w:t xml:space="preserve">Dịch Covid-19 diễn biến phức tạp từ cuối tháng Tư đã ảnh hưởng nghiêm trọng đến hoạt động thương mại và dịch vụ. Tăng trưởng âm của một số ngành dịch vụ chiếm tỷ trọng lớn đã làm giảm mức tăng chung của khu vực dịch vụ và toàn bộ nền kinh tế. Ngành bán buôn, bán lẻ giảm 0,21% so với năm trước, làm giảm 0,02 điểm phần trăm trong tốc độ tăng tổng giá trị tăng thêm của toàn nền kinh tế; ngành vận tải kho bãi giảm 5,02%, làm giảm 0,3 điểm phần trăm; ngành dịch vụ lưu trú và ăn uống giảm mạnh 20,81%, làm giảm 0,51 điểm phần trăm. Ngành y tế và hoạt động </w:t>
      </w:r>
      <w:r w:rsidRPr="00DC0CA9">
        <w:rPr>
          <w:rFonts w:ascii="Times New Roman" w:hAnsi="Times New Roman" w:cs="Times New Roman"/>
          <w:spacing w:val="-4"/>
          <w:sz w:val="28"/>
          <w:szCs w:val="28"/>
          <w:shd w:val="clear" w:color="auto" w:fill="FFFFFF"/>
          <w:lang w:val="de-DE"/>
        </w:rPr>
        <w:lastRenderedPageBreak/>
        <w:t>trợ giúp xã hội đạt tốc độ tăng cao nhất trong khu vực dịch vụ với mức tăng 42,75%, đóng góp 0,55 điểm phần trăm; hoạt động tài chính, ngân hàng và bảo hiểm tăng 9,42%, đóng góp 0,52 điểm phần trăm; ngành thông tin và truyền thông tăng 5,97%, đóng góp 0,36 điểm phần trăm.</w:t>
      </w:r>
    </w:p>
    <w:p w14:paraId="132C87D0" w14:textId="77777777" w:rsidR="002577CA" w:rsidRPr="00DC0CA9" w:rsidRDefault="002577CA" w:rsidP="00FA1162">
      <w:pPr>
        <w:tabs>
          <w:tab w:val="left" w:pos="720"/>
        </w:tabs>
        <w:spacing w:after="120" w:line="264" w:lineRule="auto"/>
        <w:ind w:firstLine="567"/>
        <w:jc w:val="both"/>
        <w:rPr>
          <w:rFonts w:ascii="Times New Roman" w:hAnsi="Times New Roman" w:cs="Times New Roman"/>
          <w:spacing w:val="-2"/>
          <w:sz w:val="28"/>
          <w:szCs w:val="28"/>
          <w:shd w:val="clear" w:color="auto" w:fill="FFFFFF"/>
          <w:lang w:val="de-DE"/>
        </w:rPr>
      </w:pPr>
      <w:r w:rsidRPr="00DC0CA9">
        <w:rPr>
          <w:rFonts w:ascii="Times New Roman" w:hAnsi="Times New Roman" w:cs="Times New Roman"/>
          <w:spacing w:val="-2"/>
          <w:sz w:val="28"/>
          <w:szCs w:val="28"/>
          <w:shd w:val="clear" w:color="auto" w:fill="FFFFFF"/>
          <w:lang w:val="de-DE"/>
        </w:rPr>
        <w:t>Về cơ cấu nền kinh tế năm 2021, khu vực nông, lâm nghiệp và thủy sản chiếm tỷ trọng 12,36%; khu vực công nghiệp và xây dựng chiếm 37,86%; khu vực dịch vụ chiếm 40,95%; thuế sản phẩm trừ trợ cấp sản phẩm chiếm 8,83%.</w:t>
      </w:r>
    </w:p>
    <w:p w14:paraId="2E62FF52" w14:textId="77777777" w:rsidR="002577CA" w:rsidRPr="00DC0CA9" w:rsidRDefault="002577CA" w:rsidP="00FA1162">
      <w:pPr>
        <w:tabs>
          <w:tab w:val="left" w:pos="720"/>
        </w:tabs>
        <w:spacing w:after="120" w:line="264" w:lineRule="auto"/>
        <w:ind w:firstLine="567"/>
        <w:jc w:val="both"/>
        <w:rPr>
          <w:rFonts w:ascii="Times New Roman" w:hAnsi="Times New Roman" w:cs="Times New Roman"/>
          <w:spacing w:val="-2"/>
          <w:sz w:val="28"/>
          <w:szCs w:val="28"/>
          <w:shd w:val="clear" w:color="auto" w:fill="FFFFFF"/>
          <w:lang w:val="de-DE"/>
        </w:rPr>
      </w:pPr>
      <w:r w:rsidRPr="00DC0CA9">
        <w:rPr>
          <w:rFonts w:ascii="Times New Roman" w:hAnsi="Times New Roman" w:cs="Times New Roman"/>
          <w:spacing w:val="-2"/>
          <w:sz w:val="28"/>
          <w:szCs w:val="28"/>
          <w:shd w:val="clear" w:color="auto" w:fill="FFFFFF"/>
          <w:lang w:val="de-DE"/>
        </w:rPr>
        <w:t>Về sử dụng GDP năm 2021, tiêu dùng cuối cùng tăng 2,09% so với năm 2020; tích lũy tài sản tăng 3,96%; xuất khẩu hàng hóa và dịch vụ tăng 14,01%; nhập khẩu hàng hóa và dịch vụ tăng 16,16%.</w:t>
      </w:r>
    </w:p>
    <w:p w14:paraId="26E9AE94" w14:textId="77777777" w:rsidR="002577CA" w:rsidRPr="00DC0CA9" w:rsidRDefault="002577CA" w:rsidP="00FA1162">
      <w:pPr>
        <w:tabs>
          <w:tab w:val="left" w:pos="720"/>
        </w:tabs>
        <w:spacing w:after="120" w:line="264" w:lineRule="auto"/>
        <w:ind w:firstLine="567"/>
        <w:jc w:val="both"/>
        <w:rPr>
          <w:rFonts w:ascii="Times New Roman" w:hAnsi="Times New Roman" w:cs="Times New Roman"/>
          <w:spacing w:val="-2"/>
          <w:sz w:val="28"/>
          <w:szCs w:val="28"/>
          <w:shd w:val="clear" w:color="auto" w:fill="FFFFFF"/>
          <w:lang w:val="de-DE"/>
        </w:rPr>
      </w:pPr>
      <w:r w:rsidRPr="00DC0CA9">
        <w:rPr>
          <w:rFonts w:ascii="Times New Roman" w:hAnsi="Times New Roman" w:cs="Times New Roman"/>
          <w:sz w:val="28"/>
          <w:szCs w:val="28"/>
          <w:shd w:val="clear" w:color="auto" w:fill="FFFFFF"/>
          <w:lang w:val="de-DE"/>
        </w:rPr>
        <w:t xml:space="preserve">Năng suất lao động của toàn nền kinh tế theo giá hiện hành năm 2021 ước tính đạt 171,3 triệu đồng/lao động (tương đương 7.398 USD/lao động, tăng 538 USD so với năm 2020). Theo giá so sánh, năng suất lao động năm 2021 tăng 4,71% do trình độ của người lao động được cải thiện (tỷ lệ lao động qua đào tạo có bằng, chứng chỉ năm 2021 đạt 26,1%, cao hơn mức 25,3% của năm 2020).  </w:t>
      </w:r>
    </w:p>
    <w:p w14:paraId="7C5B6302" w14:textId="3ECA12EC" w:rsidR="006D20E9" w:rsidRPr="00DC0CA9" w:rsidRDefault="005D224D" w:rsidP="00FA1162">
      <w:pPr>
        <w:spacing w:after="120" w:line="264" w:lineRule="auto"/>
        <w:ind w:firstLine="567"/>
        <w:jc w:val="both"/>
        <w:rPr>
          <w:rStyle w:val="normalchar"/>
          <w:rFonts w:ascii="Times New Roman" w:hAnsi="Times New Roman"/>
          <w:b/>
          <w:i/>
          <w:spacing w:val="-2"/>
          <w:sz w:val="28"/>
          <w:szCs w:val="28"/>
          <w:lang w:val="fr-FR"/>
        </w:rPr>
      </w:pPr>
      <w:r w:rsidRPr="00DC0CA9">
        <w:rPr>
          <w:rFonts w:ascii="Times New Roman" w:hAnsi="Times New Roman" w:cs="Times New Roman"/>
          <w:b/>
          <w:i/>
          <w:sz w:val="28"/>
          <w:szCs w:val="28"/>
          <w:lang w:val="fr-FR"/>
        </w:rPr>
        <w:t xml:space="preserve">2. </w:t>
      </w:r>
      <w:r w:rsidR="006D20E9" w:rsidRPr="00DC0CA9">
        <w:rPr>
          <w:rFonts w:ascii="Times New Roman" w:hAnsi="Times New Roman" w:cs="Times New Roman"/>
          <w:b/>
          <w:i/>
          <w:spacing w:val="-2"/>
          <w:sz w:val="28"/>
          <w:szCs w:val="28"/>
          <w:lang w:val="fr-FR"/>
        </w:rPr>
        <w:t xml:space="preserve">Sản xuất nông, lâm nghiệp và thủy sản năm 2021 </w:t>
      </w:r>
      <w:r w:rsidR="006D20E9" w:rsidRPr="00DC0CA9">
        <w:rPr>
          <w:rFonts w:ascii="Times New Roman" w:hAnsi="Times New Roman" w:cs="Times New Roman"/>
          <w:b/>
          <w:i/>
          <w:spacing w:val="-2"/>
          <w:sz w:val="28"/>
          <w:szCs w:val="28"/>
          <w:shd w:val="clear" w:color="auto" w:fill="FFFFFF"/>
          <w:lang w:val="fr-FR"/>
        </w:rPr>
        <w:t xml:space="preserve">diễn ra trong điều kiện thời tiết tương đối thuận lợi, năng suất cây trồng và chăn nuôi đạt khá. </w:t>
      </w:r>
      <w:r w:rsidR="006D20E9" w:rsidRPr="00DC0CA9">
        <w:rPr>
          <w:rFonts w:ascii="Times New Roman" w:hAnsi="Times New Roman" w:cs="Times New Roman"/>
          <w:b/>
          <w:i/>
          <w:spacing w:val="-2"/>
          <w:sz w:val="28"/>
          <w:szCs w:val="28"/>
          <w:lang w:val="it-IT"/>
        </w:rPr>
        <w:t>Tuy nhiên,</w:t>
      </w:r>
      <w:r w:rsidR="006D20E9" w:rsidRPr="00DC0CA9">
        <w:rPr>
          <w:rFonts w:ascii="Times New Roman" w:hAnsi="Times New Roman" w:cs="Times New Roman"/>
          <w:b/>
          <w:i/>
          <w:spacing w:val="-2"/>
          <w:sz w:val="28"/>
          <w:szCs w:val="28"/>
          <w:lang w:val="fr-FR"/>
        </w:rPr>
        <w:t xml:space="preserve"> do</w:t>
      </w:r>
      <w:r w:rsidR="006D20E9" w:rsidRPr="00DC0CA9">
        <w:rPr>
          <w:rFonts w:ascii="Times New Roman" w:hAnsi="Times New Roman" w:cs="Times New Roman"/>
          <w:b/>
          <w:i/>
          <w:spacing w:val="-2"/>
          <w:sz w:val="28"/>
          <w:szCs w:val="28"/>
          <w:lang w:val="it-IT"/>
        </w:rPr>
        <w:t xml:space="preserve"> đại dịch Covid-19 diễn biến phức tạp, nhiều địa phương thực hiện giãn cách xã hội kéo dài làm</w:t>
      </w:r>
      <w:r w:rsidR="006D20E9" w:rsidRPr="00DC0CA9">
        <w:rPr>
          <w:rFonts w:ascii="Times New Roman" w:hAnsi="Times New Roman" w:cs="Times New Roman"/>
          <w:b/>
          <w:i/>
          <w:spacing w:val="-2"/>
          <w:sz w:val="28"/>
          <w:szCs w:val="28"/>
          <w:lang w:val="fr-FR"/>
        </w:rPr>
        <w:t xml:space="preserve"> ảnh hưởng tới chuỗi cung ứng sản xuất </w:t>
      </w:r>
      <w:r w:rsidR="006D20E9" w:rsidRPr="00DC0CA9">
        <w:rPr>
          <w:rFonts w:ascii="Times New Roman" w:hAnsi="Times New Roman" w:cs="Times New Roman"/>
          <w:b/>
          <w:i/>
          <w:spacing w:val="-2"/>
          <w:sz w:val="28"/>
          <w:szCs w:val="28"/>
          <w:lang w:val="sv-SE"/>
        </w:rPr>
        <w:t>-</w:t>
      </w:r>
      <w:r w:rsidR="006D20E9" w:rsidRPr="00DC0CA9">
        <w:rPr>
          <w:rFonts w:ascii="Times New Roman" w:hAnsi="Times New Roman" w:cs="Times New Roman"/>
          <w:b/>
          <w:i/>
          <w:spacing w:val="-2"/>
          <w:sz w:val="28"/>
          <w:szCs w:val="28"/>
          <w:lang w:val="fr-FR"/>
        </w:rPr>
        <w:t xml:space="preserve"> chế biến - tiêu thụ các sản phẩm nông, lâm nghiệp và thủy sản. Trước những thuận lợi và khó khăn đan xen, </w:t>
      </w:r>
      <w:r w:rsidR="006D20E9" w:rsidRPr="00DC0CA9">
        <w:rPr>
          <w:rFonts w:ascii="Times New Roman" w:hAnsi="Times New Roman" w:cs="Times New Roman"/>
          <w:b/>
          <w:i/>
          <w:spacing w:val="-2"/>
          <w:sz w:val="28"/>
          <w:szCs w:val="28"/>
          <w:lang w:val="it-IT"/>
        </w:rPr>
        <w:t xml:space="preserve">ngành </w:t>
      </w:r>
      <w:r w:rsidR="005C5CD6">
        <w:rPr>
          <w:rFonts w:ascii="Times New Roman" w:hAnsi="Times New Roman" w:cs="Times New Roman"/>
          <w:b/>
          <w:i/>
          <w:spacing w:val="-2"/>
          <w:sz w:val="28"/>
          <w:szCs w:val="28"/>
          <w:lang w:val="it-IT"/>
        </w:rPr>
        <w:t>N</w:t>
      </w:r>
      <w:r w:rsidR="006D20E9" w:rsidRPr="00DC0CA9">
        <w:rPr>
          <w:rFonts w:ascii="Times New Roman" w:hAnsi="Times New Roman" w:cs="Times New Roman"/>
          <w:b/>
          <w:i/>
          <w:spacing w:val="-2"/>
          <w:sz w:val="28"/>
          <w:szCs w:val="28"/>
          <w:lang w:val="it-IT"/>
        </w:rPr>
        <w:t xml:space="preserve">ông nghiệp có nhiều giải pháp </w:t>
      </w:r>
      <w:r w:rsidR="006D20E9" w:rsidRPr="00DC0CA9">
        <w:rPr>
          <w:rFonts w:ascii="Times New Roman" w:hAnsi="Times New Roman" w:cs="Times New Roman"/>
          <w:b/>
          <w:i/>
          <w:spacing w:val="-2"/>
          <w:sz w:val="28"/>
          <w:szCs w:val="28"/>
          <w:lang w:val="fr-FR"/>
        </w:rPr>
        <w:t>ứng phó kịp thời cùng với việc thực hiện hiệu quả</w:t>
      </w:r>
      <w:r w:rsidR="006D20E9" w:rsidRPr="00DC0CA9">
        <w:rPr>
          <w:rFonts w:ascii="Times New Roman" w:hAnsi="Times New Roman" w:cs="Times New Roman"/>
          <w:b/>
          <w:i/>
          <w:spacing w:val="-2"/>
          <w:sz w:val="28"/>
          <w:szCs w:val="28"/>
          <w:lang w:val="it-IT"/>
        </w:rPr>
        <w:t xml:space="preserve"> </w:t>
      </w:r>
      <w:r w:rsidR="006D20E9" w:rsidRPr="00DC0CA9">
        <w:rPr>
          <w:rFonts w:ascii="Times New Roman" w:eastAsia="Calibri" w:hAnsi="Times New Roman" w:cs="Times New Roman"/>
          <w:b/>
          <w:i/>
          <w:iCs/>
          <w:spacing w:val="-2"/>
          <w:sz w:val="28"/>
          <w:szCs w:val="28"/>
          <w:shd w:val="clear" w:color="auto" w:fill="FFFFFF"/>
          <w:lang w:val="fr-FR"/>
        </w:rPr>
        <w:t xml:space="preserve">Nghị quyết số 128/NQ-CP của Chính phủ </w:t>
      </w:r>
      <w:r w:rsidR="006D20E9" w:rsidRPr="00DC0CA9">
        <w:rPr>
          <w:rFonts w:ascii="Times New Roman" w:hAnsi="Times New Roman" w:cs="Times New Roman"/>
          <w:b/>
          <w:i/>
          <w:spacing w:val="-2"/>
          <w:sz w:val="28"/>
          <w:szCs w:val="28"/>
          <w:lang w:val="vi-VN"/>
        </w:rPr>
        <w:t>để</w:t>
      </w:r>
      <w:r w:rsidR="006D20E9" w:rsidRPr="00DC0CA9">
        <w:rPr>
          <w:rFonts w:ascii="Times New Roman" w:hAnsi="Times New Roman" w:cs="Times New Roman"/>
          <w:b/>
          <w:i/>
          <w:spacing w:val="-2"/>
          <w:sz w:val="28"/>
          <w:szCs w:val="28"/>
          <w:lang w:val="it-IT"/>
        </w:rPr>
        <w:t xml:space="preserve"> ổn định và phát triển sản xuất,</w:t>
      </w:r>
      <w:r w:rsidR="006D20E9" w:rsidRPr="00DC0CA9">
        <w:rPr>
          <w:rFonts w:ascii="Times New Roman" w:hAnsi="Times New Roman" w:cs="Times New Roman"/>
          <w:b/>
          <w:i/>
          <w:spacing w:val="-2"/>
          <w:sz w:val="28"/>
          <w:szCs w:val="28"/>
          <w:lang w:val="vi-VN"/>
        </w:rPr>
        <w:t xml:space="preserve"> đạt</w:t>
      </w:r>
      <w:r w:rsidR="006D20E9" w:rsidRPr="00DC0CA9">
        <w:rPr>
          <w:rFonts w:ascii="Times New Roman" w:hAnsi="Times New Roman" w:cs="Times New Roman"/>
          <w:b/>
          <w:i/>
          <w:spacing w:val="-2"/>
          <w:sz w:val="28"/>
          <w:szCs w:val="28"/>
          <w:lang w:val="it-IT"/>
        </w:rPr>
        <w:t xml:space="preserve"> mức tăng trưởng</w:t>
      </w:r>
      <w:r w:rsidR="006D20E9" w:rsidRPr="00DC0CA9">
        <w:rPr>
          <w:rFonts w:ascii="Times New Roman" w:hAnsi="Times New Roman" w:cs="Times New Roman"/>
          <w:b/>
          <w:i/>
          <w:spacing w:val="-2"/>
          <w:sz w:val="28"/>
          <w:szCs w:val="28"/>
          <w:lang w:val="vi-VN"/>
        </w:rPr>
        <w:t xml:space="preserve"> cao</w:t>
      </w:r>
      <w:r w:rsidR="006D20E9" w:rsidRPr="00DC0CA9">
        <w:rPr>
          <w:rFonts w:ascii="Times New Roman" w:hAnsi="Times New Roman" w:cs="Times New Roman"/>
          <w:b/>
          <w:i/>
          <w:spacing w:val="-2"/>
          <w:sz w:val="28"/>
          <w:szCs w:val="28"/>
          <w:lang w:val="it-IT"/>
        </w:rPr>
        <w:t xml:space="preserve">. </w:t>
      </w:r>
      <w:r w:rsidR="006D20E9" w:rsidRPr="00DC0CA9">
        <w:rPr>
          <w:rFonts w:ascii="Times New Roman" w:hAnsi="Times New Roman" w:cs="Times New Roman"/>
          <w:b/>
          <w:i/>
          <w:spacing w:val="-2"/>
          <w:sz w:val="28"/>
          <w:szCs w:val="28"/>
          <w:lang w:val="vi-VN"/>
        </w:rPr>
        <w:t xml:space="preserve">Kết quả hoạt động năm 2021 của ngành </w:t>
      </w:r>
      <w:r w:rsidR="005C5CD6">
        <w:rPr>
          <w:rFonts w:ascii="Times New Roman" w:hAnsi="Times New Roman" w:cs="Times New Roman"/>
          <w:b/>
          <w:i/>
          <w:spacing w:val="-2"/>
          <w:sz w:val="28"/>
          <w:szCs w:val="28"/>
        </w:rPr>
        <w:t>N</w:t>
      </w:r>
      <w:r w:rsidR="006D20E9" w:rsidRPr="00DC0CA9">
        <w:rPr>
          <w:rFonts w:ascii="Times New Roman" w:hAnsi="Times New Roman" w:cs="Times New Roman"/>
          <w:b/>
          <w:i/>
          <w:spacing w:val="-2"/>
          <w:sz w:val="28"/>
          <w:szCs w:val="28"/>
          <w:lang w:val="vi-VN"/>
        </w:rPr>
        <w:t>ông nghiệp đã</w:t>
      </w:r>
      <w:r w:rsidR="006D20E9" w:rsidRPr="00DC0CA9">
        <w:rPr>
          <w:rFonts w:ascii="Times New Roman" w:hAnsi="Times New Roman" w:cs="Times New Roman"/>
          <w:b/>
          <w:i/>
          <w:spacing w:val="-2"/>
          <w:sz w:val="28"/>
          <w:szCs w:val="28"/>
          <w:lang w:val="it-IT"/>
        </w:rPr>
        <w:t xml:space="preserve"> </w:t>
      </w:r>
      <w:r w:rsidR="006D20E9" w:rsidRPr="00DC0CA9">
        <w:rPr>
          <w:rFonts w:ascii="Times New Roman" w:hAnsi="Times New Roman" w:cs="Times New Roman"/>
          <w:b/>
          <w:i/>
          <w:spacing w:val="-2"/>
          <w:sz w:val="28"/>
          <w:szCs w:val="28"/>
          <w:lang w:val="fr-FR"/>
        </w:rPr>
        <w:t>thể hiện rõ vai trò bệ đỡ của nền kinh tế, bảo đảm nguồn cung lương thực, thực phẩm, hàng hóa thiết yếu, là cơ sở quan trọng để thực hiện an sinh, an dân trong đại dịch.</w:t>
      </w:r>
    </w:p>
    <w:p w14:paraId="177072AC" w14:textId="4BA46249" w:rsidR="005D224D" w:rsidRPr="00DC0CA9" w:rsidRDefault="005D224D" w:rsidP="00FA1162">
      <w:pPr>
        <w:spacing w:after="120" w:line="264" w:lineRule="auto"/>
        <w:ind w:firstLine="567"/>
        <w:jc w:val="both"/>
        <w:rPr>
          <w:rFonts w:ascii="Times New Roman" w:hAnsi="Times New Roman" w:cs="Times New Roman"/>
          <w:b/>
          <w:bCs/>
          <w:i/>
          <w:iCs/>
          <w:sz w:val="28"/>
          <w:szCs w:val="28"/>
          <w:lang w:val="de-DE"/>
        </w:rPr>
      </w:pPr>
      <w:r w:rsidRPr="00DC0CA9">
        <w:rPr>
          <w:rFonts w:ascii="Times New Roman" w:hAnsi="Times New Roman" w:cs="Times New Roman"/>
          <w:b/>
          <w:bCs/>
          <w:i/>
          <w:iCs/>
          <w:sz w:val="28"/>
          <w:szCs w:val="28"/>
          <w:lang w:val="de-DE"/>
        </w:rPr>
        <w:t>a) Nông nghiệp</w:t>
      </w:r>
    </w:p>
    <w:p w14:paraId="2312D2E2" w14:textId="1271F462" w:rsidR="006D20E9" w:rsidRPr="00DC0CA9" w:rsidRDefault="006D20E9" w:rsidP="00FA1162">
      <w:pPr>
        <w:pStyle w:val="Normal10"/>
        <w:spacing w:before="0" w:beforeAutospacing="0" w:after="120" w:afterAutospacing="0" w:line="264" w:lineRule="auto"/>
        <w:ind w:firstLine="567"/>
        <w:jc w:val="both"/>
        <w:rPr>
          <w:rFonts w:ascii="Times New Roman" w:hAnsi="Times New Roman" w:cs="Times New Roman"/>
          <w:spacing w:val="-4"/>
          <w:sz w:val="28"/>
          <w:szCs w:val="28"/>
          <w:lang w:val="de-DE"/>
        </w:rPr>
      </w:pPr>
      <w:r w:rsidRPr="00DC0CA9">
        <w:rPr>
          <w:rFonts w:ascii="Times New Roman" w:hAnsi="Times New Roman" w:cs="Times New Roman"/>
          <w:spacing w:val="-4"/>
          <w:sz w:val="28"/>
          <w:szCs w:val="28"/>
          <w:lang w:val="de-DE"/>
        </w:rPr>
        <w:t>Diện tích lúa năm 2021 ước đạt 7,24 triệu ha, giảm 38,3 nghìn ha so với năm trước d</w:t>
      </w:r>
      <w:r w:rsidRPr="00DC0CA9">
        <w:rPr>
          <w:rFonts w:ascii="Times New Roman" w:eastAsia="Calibri" w:hAnsi="Times New Roman" w:cs="Times New Roman"/>
          <w:spacing w:val="-4"/>
          <w:sz w:val="28"/>
          <w:szCs w:val="28"/>
          <w:lang w:val="fr-FR"/>
        </w:rPr>
        <w:t>o chuyển đổi cơ cấu sản xuất và mục đích sử dụng đất;</w:t>
      </w:r>
      <w:r w:rsidRPr="00DC0CA9">
        <w:rPr>
          <w:rFonts w:ascii="Times New Roman" w:hAnsi="Times New Roman" w:cs="Times New Roman"/>
          <w:spacing w:val="-4"/>
          <w:sz w:val="28"/>
          <w:szCs w:val="28"/>
          <w:lang w:val="de-DE"/>
        </w:rPr>
        <w:t xml:space="preserve"> năng suất lúa ước đạt 60,6 tạ/ha, </w:t>
      </w:r>
      <w:r w:rsidRPr="00DC0CA9">
        <w:rPr>
          <w:rFonts w:ascii="Times New Roman" w:eastAsia="Calibri" w:hAnsi="Times New Roman" w:cs="Times New Roman"/>
          <w:spacing w:val="-4"/>
          <w:sz w:val="28"/>
          <w:szCs w:val="28"/>
          <w:lang w:val="fr-FR"/>
        </w:rPr>
        <w:t xml:space="preserve">tăng 1,8 tạ/ha; </w:t>
      </w:r>
      <w:r w:rsidRPr="00DC0CA9">
        <w:rPr>
          <w:rFonts w:ascii="Times New Roman" w:hAnsi="Times New Roman" w:cs="Times New Roman"/>
          <w:spacing w:val="-4"/>
          <w:sz w:val="28"/>
          <w:szCs w:val="28"/>
          <w:lang w:val="de-DE"/>
        </w:rPr>
        <w:t xml:space="preserve">sản lượng lúa đạt </w:t>
      </w:r>
      <w:r w:rsidRPr="00DC0CA9">
        <w:rPr>
          <w:rFonts w:ascii="Times New Roman" w:eastAsia="Calibri" w:hAnsi="Times New Roman" w:cs="Times New Roman"/>
          <w:spacing w:val="-4"/>
          <w:sz w:val="28"/>
          <w:szCs w:val="28"/>
          <w:lang w:val="fr-FR"/>
        </w:rPr>
        <w:t>43,88 triệu tấn, tăng 1,1 triệu tấn</w:t>
      </w:r>
      <w:r w:rsidRPr="00DC0CA9">
        <w:rPr>
          <w:rFonts w:ascii="Times New Roman" w:hAnsi="Times New Roman" w:cs="Times New Roman"/>
          <w:spacing w:val="-4"/>
          <w:sz w:val="28"/>
          <w:szCs w:val="28"/>
          <w:lang w:val="de-DE"/>
        </w:rPr>
        <w:t xml:space="preserve">. </w:t>
      </w:r>
    </w:p>
    <w:p w14:paraId="06835378" w14:textId="1D21E5D5" w:rsidR="006D20E9" w:rsidRPr="00DC0CA9" w:rsidRDefault="006D20E9" w:rsidP="00FA1162">
      <w:pPr>
        <w:spacing w:after="120" w:line="264" w:lineRule="auto"/>
        <w:ind w:firstLine="567"/>
        <w:jc w:val="both"/>
        <w:rPr>
          <w:rFonts w:ascii="Times New Roman" w:hAnsi="Times New Roman" w:cs="Times New Roman"/>
          <w:spacing w:val="-2"/>
          <w:sz w:val="28"/>
          <w:szCs w:val="28"/>
          <w:lang w:val="de-DE"/>
        </w:rPr>
      </w:pPr>
      <w:r w:rsidRPr="00DC0CA9">
        <w:rPr>
          <w:rFonts w:ascii="Times New Roman" w:hAnsi="Times New Roman" w:cs="Times New Roman"/>
          <w:spacing w:val="-2"/>
          <w:sz w:val="28"/>
          <w:szCs w:val="28"/>
          <w:lang w:val="de-DE"/>
        </w:rPr>
        <w:t>Vụ đông xuân của cả nước năm nay tuy diện tích gieo trồng đạt 3.006,8 nghìn ha, giảm 17,2 nghìn ha so với năm 2020 nhưng năng suất đạt ở mức cao với 68,6 tạ/ha, tăng 2,9 tạ/ha; sản lượng đạt 20,63 triệu tấn, tăng 755,1 nghìn tấn.</w:t>
      </w:r>
    </w:p>
    <w:p w14:paraId="5C1FE3BC" w14:textId="77777777" w:rsidR="006D20E9" w:rsidRPr="00DC0CA9" w:rsidRDefault="006D20E9" w:rsidP="00FA1162">
      <w:pPr>
        <w:spacing w:after="120" w:line="264" w:lineRule="auto"/>
        <w:ind w:firstLine="567"/>
        <w:jc w:val="both"/>
        <w:rPr>
          <w:rFonts w:ascii="Times New Roman" w:hAnsi="Times New Roman" w:cs="Times New Roman"/>
          <w:spacing w:val="-4"/>
          <w:sz w:val="28"/>
          <w:szCs w:val="28"/>
          <w:lang w:val="de-DE"/>
        </w:rPr>
      </w:pPr>
      <w:r w:rsidRPr="00DC0CA9">
        <w:rPr>
          <w:rFonts w:ascii="Times New Roman" w:hAnsi="Times New Roman" w:cs="Times New Roman"/>
          <w:spacing w:val="-4"/>
          <w:sz w:val="28"/>
          <w:szCs w:val="28"/>
          <w:lang w:val="de-DE"/>
        </w:rPr>
        <w:t xml:space="preserve">Diện tích gieo trồng lúa hè thu cả nước năm nay đạt 1.954,2 nghìn ha, tăng 9,1 nghìn ha so với vụ hè thu năm 2020; năng suất đạt 57 tạ/ha, tăng 1,7 tạ/ha; sản lượng đạt 11,14 triệu tấn, tăng 389,1 nghìn tấn. </w:t>
      </w:r>
    </w:p>
    <w:p w14:paraId="08971A5D" w14:textId="13A7B6AE" w:rsidR="006D20E9" w:rsidRPr="00DC0CA9" w:rsidRDefault="006D20E9" w:rsidP="00FA1162">
      <w:pPr>
        <w:tabs>
          <w:tab w:val="left" w:pos="0"/>
        </w:tabs>
        <w:spacing w:after="100" w:line="264" w:lineRule="auto"/>
        <w:ind w:firstLine="567"/>
        <w:jc w:val="both"/>
        <w:rPr>
          <w:rFonts w:ascii="Times New Roman" w:hAnsi="Times New Roman" w:cs="Times New Roman"/>
          <w:spacing w:val="-2"/>
          <w:sz w:val="28"/>
          <w:szCs w:val="28"/>
          <w:lang w:val="de-DE"/>
        </w:rPr>
      </w:pPr>
      <w:r w:rsidRPr="00DC0CA9">
        <w:rPr>
          <w:rFonts w:ascii="Times New Roman" w:hAnsi="Times New Roman" w:cs="Times New Roman"/>
          <w:spacing w:val="-2"/>
          <w:sz w:val="28"/>
          <w:szCs w:val="28"/>
          <w:lang w:val="de-DE"/>
        </w:rPr>
        <w:t>Diện tích gieo trồng lúa thu đông ước đạt 719,7 nghìn ha, giảm 4,3 nghìn ha so với vụ thu đông năm trước</w:t>
      </w:r>
      <w:r w:rsidR="00E623D5" w:rsidRPr="00DC0CA9">
        <w:rPr>
          <w:rFonts w:ascii="Times New Roman" w:hAnsi="Times New Roman" w:cs="Times New Roman"/>
          <w:spacing w:val="-2"/>
          <w:sz w:val="28"/>
          <w:szCs w:val="28"/>
          <w:lang w:val="de-DE"/>
        </w:rPr>
        <w:t xml:space="preserve">; </w:t>
      </w:r>
      <w:r w:rsidR="00E623D5" w:rsidRPr="00DC0CA9">
        <w:rPr>
          <w:rFonts w:ascii="Times New Roman" w:hAnsi="Times New Roman" w:cs="Times New Roman"/>
          <w:sz w:val="28"/>
          <w:szCs w:val="28"/>
          <w:lang w:val="de-DE"/>
        </w:rPr>
        <w:t>n</w:t>
      </w:r>
      <w:r w:rsidRPr="00DC0CA9">
        <w:rPr>
          <w:rFonts w:ascii="Times New Roman" w:hAnsi="Times New Roman" w:cs="Times New Roman"/>
          <w:spacing w:val="-2"/>
          <w:sz w:val="28"/>
          <w:szCs w:val="28"/>
          <w:lang w:val="de-DE"/>
        </w:rPr>
        <w:t xml:space="preserve">ăng suất đạt 56,1 tạ/ha, tăng 0,5 tạ/ha; sản lượng đạt 4,04 triệu tấn, tăng 9,4 nghìn tấn. </w:t>
      </w:r>
    </w:p>
    <w:p w14:paraId="3E459E50" w14:textId="0584862D" w:rsidR="00E623D5" w:rsidRPr="00DC0CA9" w:rsidRDefault="00302530" w:rsidP="00FA1162">
      <w:pPr>
        <w:spacing w:after="120"/>
        <w:ind w:firstLine="567"/>
        <w:jc w:val="both"/>
        <w:rPr>
          <w:rFonts w:ascii="Times New Roman" w:hAnsi="Times New Roman" w:cs="Times New Roman"/>
          <w:sz w:val="28"/>
          <w:szCs w:val="28"/>
          <w:lang w:val="de-DE"/>
        </w:rPr>
      </w:pPr>
      <w:r w:rsidRPr="00DC0CA9">
        <w:rPr>
          <w:rFonts w:ascii="Times New Roman" w:hAnsi="Times New Roman" w:cs="Times New Roman"/>
          <w:sz w:val="28"/>
          <w:szCs w:val="28"/>
          <w:lang w:val="de-DE"/>
        </w:rPr>
        <w:lastRenderedPageBreak/>
        <w:t xml:space="preserve">Vụ mùa năm nay cả nước đã </w:t>
      </w:r>
      <w:r w:rsidR="006D20E9" w:rsidRPr="00DC0CA9">
        <w:rPr>
          <w:rFonts w:ascii="Times New Roman" w:hAnsi="Times New Roman" w:cs="Times New Roman"/>
          <w:sz w:val="28"/>
          <w:szCs w:val="28"/>
          <w:lang w:val="de-DE"/>
        </w:rPr>
        <w:t xml:space="preserve">gieo </w:t>
      </w:r>
      <w:r w:rsidRPr="00DC0CA9">
        <w:rPr>
          <w:rFonts w:ascii="Times New Roman" w:hAnsi="Times New Roman" w:cs="Times New Roman"/>
          <w:sz w:val="28"/>
          <w:szCs w:val="28"/>
          <w:lang w:val="de-DE"/>
        </w:rPr>
        <w:t xml:space="preserve">cấy được </w:t>
      </w:r>
      <w:r w:rsidR="006D20E9" w:rsidRPr="00DC0CA9">
        <w:rPr>
          <w:rFonts w:ascii="Times New Roman" w:hAnsi="Times New Roman" w:cs="Times New Roman"/>
          <w:sz w:val="28"/>
          <w:szCs w:val="28"/>
          <w:lang w:val="de-DE"/>
        </w:rPr>
        <w:t>1.559,7 nghìn ha, giảm 26,1 nghìn ha</w:t>
      </w:r>
      <w:r w:rsidR="00E623D5" w:rsidRPr="00DC0CA9">
        <w:rPr>
          <w:rFonts w:ascii="Times New Roman" w:hAnsi="Times New Roman" w:cs="Times New Roman"/>
          <w:sz w:val="28"/>
          <w:szCs w:val="28"/>
          <w:lang w:val="de-DE"/>
        </w:rPr>
        <w:t xml:space="preserve">; </w:t>
      </w:r>
      <w:r w:rsidR="006D20E9" w:rsidRPr="00DC0CA9">
        <w:rPr>
          <w:rFonts w:ascii="Times New Roman" w:hAnsi="Times New Roman" w:cs="Times New Roman"/>
          <w:sz w:val="28"/>
          <w:szCs w:val="28"/>
          <w:lang w:val="de-DE"/>
        </w:rPr>
        <w:t>năng suất đạt 51,7 tạ/ha, tăng 0,6 tạ/ha</w:t>
      </w:r>
      <w:r w:rsidR="00E623D5" w:rsidRPr="00DC0CA9">
        <w:rPr>
          <w:rFonts w:ascii="Times New Roman" w:hAnsi="Times New Roman" w:cs="Times New Roman"/>
          <w:sz w:val="28"/>
          <w:szCs w:val="28"/>
          <w:lang w:val="de-DE"/>
        </w:rPr>
        <w:t xml:space="preserve">; </w:t>
      </w:r>
      <w:r w:rsidR="006D20E9" w:rsidRPr="00DC0CA9">
        <w:rPr>
          <w:rFonts w:ascii="Times New Roman" w:hAnsi="Times New Roman" w:cs="Times New Roman"/>
          <w:sz w:val="28"/>
          <w:szCs w:val="28"/>
          <w:lang w:val="de-DE"/>
        </w:rPr>
        <w:t>sản lượng đạt 8,07 triệu tấn, giảm 36,2 nghìn tấn</w:t>
      </w:r>
      <w:r w:rsidR="00E623D5" w:rsidRPr="00DC0CA9">
        <w:rPr>
          <w:rFonts w:ascii="Times New Roman" w:hAnsi="Times New Roman" w:cs="Times New Roman"/>
          <w:sz w:val="28"/>
          <w:szCs w:val="28"/>
          <w:lang w:val="de-DE"/>
        </w:rPr>
        <w:t>.</w:t>
      </w:r>
    </w:p>
    <w:p w14:paraId="33758055" w14:textId="7377C783" w:rsidR="00685025" w:rsidRPr="002850E5" w:rsidRDefault="00685025" w:rsidP="00FA1162">
      <w:pPr>
        <w:pStyle w:val="BodyTextIndent2"/>
        <w:spacing w:line="276" w:lineRule="auto"/>
        <w:ind w:left="0" w:firstLine="567"/>
        <w:jc w:val="both"/>
        <w:rPr>
          <w:rFonts w:ascii="Times New Roman" w:hAnsi="Times New Roman" w:cs="Times New Roman"/>
          <w:spacing w:val="-4"/>
          <w:sz w:val="28"/>
          <w:szCs w:val="28"/>
          <w:lang w:val="de-DE"/>
        </w:rPr>
      </w:pPr>
      <w:r w:rsidRPr="002850E5">
        <w:rPr>
          <w:rFonts w:ascii="Times New Roman" w:hAnsi="Times New Roman" w:cs="Times New Roman"/>
          <w:spacing w:val="-4"/>
          <w:sz w:val="28"/>
          <w:szCs w:val="28"/>
          <w:shd w:val="clear" w:color="auto" w:fill="FFFFFF"/>
        </w:rPr>
        <w:t>S</w:t>
      </w:r>
      <w:r w:rsidR="005D224D" w:rsidRPr="002850E5">
        <w:rPr>
          <w:rFonts w:ascii="Times New Roman" w:hAnsi="Times New Roman" w:cs="Times New Roman"/>
          <w:spacing w:val="-4"/>
          <w:sz w:val="28"/>
          <w:szCs w:val="28"/>
          <w:lang w:val="de-DE"/>
        </w:rPr>
        <w:t xml:space="preserve">ản lượng ngô </w:t>
      </w:r>
      <w:r w:rsidRPr="002850E5">
        <w:rPr>
          <w:rFonts w:ascii="Times New Roman" w:hAnsi="Times New Roman" w:cs="Times New Roman"/>
          <w:spacing w:val="-4"/>
          <w:sz w:val="28"/>
          <w:szCs w:val="28"/>
          <w:lang w:val="de-DE"/>
        </w:rPr>
        <w:t xml:space="preserve">năm 2021 </w:t>
      </w:r>
      <w:r w:rsidR="005D224D" w:rsidRPr="002850E5">
        <w:rPr>
          <w:rFonts w:ascii="Times New Roman" w:hAnsi="Times New Roman" w:cs="Times New Roman"/>
          <w:spacing w:val="-4"/>
          <w:sz w:val="28"/>
          <w:szCs w:val="28"/>
          <w:lang w:val="de-DE"/>
        </w:rPr>
        <w:t>đạt 4,</w:t>
      </w:r>
      <w:r w:rsidR="00E623D5" w:rsidRPr="002850E5">
        <w:rPr>
          <w:rFonts w:ascii="Times New Roman" w:hAnsi="Times New Roman" w:cs="Times New Roman"/>
          <w:spacing w:val="-4"/>
          <w:sz w:val="28"/>
          <w:szCs w:val="28"/>
          <w:lang w:val="de-DE"/>
        </w:rPr>
        <w:t>43</w:t>
      </w:r>
      <w:r w:rsidR="005D224D" w:rsidRPr="002850E5">
        <w:rPr>
          <w:rFonts w:ascii="Times New Roman" w:hAnsi="Times New Roman" w:cs="Times New Roman"/>
          <w:spacing w:val="-4"/>
          <w:sz w:val="28"/>
          <w:szCs w:val="28"/>
          <w:lang w:val="de-DE"/>
        </w:rPr>
        <w:t xml:space="preserve"> triệu tấn, giảm </w:t>
      </w:r>
      <w:r w:rsidR="00E623D5" w:rsidRPr="002850E5">
        <w:rPr>
          <w:rFonts w:ascii="Times New Roman" w:hAnsi="Times New Roman" w:cs="Times New Roman"/>
          <w:spacing w:val="-4"/>
          <w:sz w:val="28"/>
          <w:szCs w:val="28"/>
          <w:lang w:val="de-DE"/>
        </w:rPr>
        <w:t xml:space="preserve">2,9% so với </w:t>
      </w:r>
      <w:r w:rsidR="005D224D" w:rsidRPr="002850E5">
        <w:rPr>
          <w:rFonts w:ascii="Times New Roman" w:hAnsi="Times New Roman" w:cs="Times New Roman"/>
          <w:spacing w:val="-4"/>
          <w:sz w:val="28"/>
          <w:szCs w:val="28"/>
          <w:lang w:val="de-DE"/>
        </w:rPr>
        <w:t>năm 20</w:t>
      </w:r>
      <w:r w:rsidR="00E623D5" w:rsidRPr="002850E5">
        <w:rPr>
          <w:rFonts w:ascii="Times New Roman" w:hAnsi="Times New Roman" w:cs="Times New Roman"/>
          <w:spacing w:val="-4"/>
          <w:sz w:val="28"/>
          <w:szCs w:val="28"/>
          <w:lang w:val="de-DE"/>
        </w:rPr>
        <w:t xml:space="preserve">20, </w:t>
      </w:r>
      <w:r w:rsidR="005D224D" w:rsidRPr="002850E5">
        <w:rPr>
          <w:rFonts w:ascii="Times New Roman" w:hAnsi="Times New Roman" w:cs="Times New Roman"/>
          <w:spacing w:val="-4"/>
          <w:sz w:val="28"/>
          <w:szCs w:val="28"/>
          <w:lang w:val="de-DE"/>
        </w:rPr>
        <w:t>lạc đạt 42</w:t>
      </w:r>
      <w:r w:rsidR="00E623D5" w:rsidRPr="002850E5">
        <w:rPr>
          <w:rFonts w:ascii="Times New Roman" w:hAnsi="Times New Roman" w:cs="Times New Roman"/>
          <w:spacing w:val="-4"/>
          <w:sz w:val="28"/>
          <w:szCs w:val="28"/>
          <w:lang w:val="de-DE"/>
        </w:rPr>
        <w:t>6</w:t>
      </w:r>
      <w:r w:rsidR="005D224D" w:rsidRPr="002850E5">
        <w:rPr>
          <w:rFonts w:ascii="Times New Roman" w:hAnsi="Times New Roman" w:cs="Times New Roman"/>
          <w:spacing w:val="-4"/>
          <w:sz w:val="28"/>
          <w:szCs w:val="28"/>
          <w:lang w:val="de-DE"/>
        </w:rPr>
        <w:t>,</w:t>
      </w:r>
      <w:r w:rsidR="00E623D5" w:rsidRPr="002850E5">
        <w:rPr>
          <w:rFonts w:ascii="Times New Roman" w:hAnsi="Times New Roman" w:cs="Times New Roman"/>
          <w:spacing w:val="-4"/>
          <w:sz w:val="28"/>
          <w:szCs w:val="28"/>
          <w:lang w:val="de-DE"/>
        </w:rPr>
        <w:t>9</w:t>
      </w:r>
      <w:r w:rsidR="005D224D" w:rsidRPr="002850E5">
        <w:rPr>
          <w:rFonts w:ascii="Times New Roman" w:hAnsi="Times New Roman" w:cs="Times New Roman"/>
          <w:spacing w:val="-4"/>
          <w:sz w:val="28"/>
          <w:szCs w:val="28"/>
          <w:lang w:val="de-DE"/>
        </w:rPr>
        <w:t xml:space="preserve"> nghìn tấn, </w:t>
      </w:r>
      <w:r w:rsidR="00E623D5" w:rsidRPr="002850E5">
        <w:rPr>
          <w:rFonts w:ascii="Times New Roman" w:hAnsi="Times New Roman" w:cs="Times New Roman"/>
          <w:spacing w:val="-4"/>
          <w:sz w:val="28"/>
          <w:szCs w:val="28"/>
          <w:lang w:val="de-DE"/>
        </w:rPr>
        <w:t>tăng 0,3%</w:t>
      </w:r>
      <w:r w:rsidR="005D224D" w:rsidRPr="002850E5">
        <w:rPr>
          <w:rFonts w:ascii="Times New Roman" w:hAnsi="Times New Roman" w:cs="Times New Roman"/>
          <w:spacing w:val="-4"/>
          <w:sz w:val="28"/>
          <w:szCs w:val="28"/>
          <w:lang w:val="de-DE"/>
        </w:rPr>
        <w:t xml:space="preserve">; đậu tương đạt </w:t>
      </w:r>
      <w:r w:rsidRPr="002850E5">
        <w:rPr>
          <w:rFonts w:ascii="Times New Roman" w:hAnsi="Times New Roman" w:cs="Times New Roman"/>
          <w:spacing w:val="-4"/>
          <w:sz w:val="28"/>
          <w:szCs w:val="28"/>
          <w:lang w:val="de-DE"/>
        </w:rPr>
        <w:t>59,2</w:t>
      </w:r>
      <w:r w:rsidR="005D224D" w:rsidRPr="002850E5">
        <w:rPr>
          <w:rFonts w:ascii="Times New Roman" w:hAnsi="Times New Roman" w:cs="Times New Roman"/>
          <w:spacing w:val="-4"/>
          <w:sz w:val="28"/>
          <w:szCs w:val="28"/>
          <w:lang w:val="de-DE"/>
        </w:rPr>
        <w:t xml:space="preserve"> nghìn tấn, giảm </w:t>
      </w:r>
      <w:r w:rsidRPr="002850E5">
        <w:rPr>
          <w:rFonts w:ascii="Times New Roman" w:hAnsi="Times New Roman" w:cs="Times New Roman"/>
          <w:spacing w:val="-4"/>
          <w:sz w:val="28"/>
          <w:szCs w:val="28"/>
          <w:lang w:val="de-DE"/>
        </w:rPr>
        <w:t>9,5%</w:t>
      </w:r>
      <w:r w:rsidR="005D224D" w:rsidRPr="002850E5">
        <w:rPr>
          <w:rFonts w:ascii="Times New Roman" w:hAnsi="Times New Roman" w:cs="Times New Roman"/>
          <w:spacing w:val="-4"/>
          <w:sz w:val="28"/>
          <w:szCs w:val="28"/>
          <w:lang w:val="de-DE"/>
        </w:rPr>
        <w:t xml:space="preserve">; </w:t>
      </w:r>
      <w:r w:rsidRPr="002850E5">
        <w:rPr>
          <w:rFonts w:ascii="Times New Roman" w:hAnsi="Times New Roman" w:cs="Times New Roman"/>
          <w:spacing w:val="-4"/>
          <w:sz w:val="28"/>
          <w:szCs w:val="28"/>
          <w:lang w:val="de-DE"/>
        </w:rPr>
        <w:t xml:space="preserve">khoai lang đạt 1,22 triệu tấn, giảm 11,2%; </w:t>
      </w:r>
      <w:r w:rsidR="005D224D" w:rsidRPr="002850E5">
        <w:rPr>
          <w:rFonts w:ascii="Times New Roman" w:hAnsi="Times New Roman" w:cs="Times New Roman"/>
          <w:spacing w:val="-4"/>
          <w:sz w:val="28"/>
          <w:szCs w:val="28"/>
          <w:lang w:val="de-DE"/>
        </w:rPr>
        <w:t>sản lượng rau</w:t>
      </w:r>
      <w:r w:rsidRPr="002850E5">
        <w:rPr>
          <w:rFonts w:ascii="Times New Roman" w:hAnsi="Times New Roman" w:cs="Times New Roman"/>
          <w:spacing w:val="-4"/>
          <w:sz w:val="28"/>
          <w:szCs w:val="28"/>
          <w:lang w:val="de-DE"/>
        </w:rPr>
        <w:t>, đậu</w:t>
      </w:r>
      <w:r w:rsidR="005D224D" w:rsidRPr="002850E5">
        <w:rPr>
          <w:rFonts w:ascii="Times New Roman" w:hAnsi="Times New Roman" w:cs="Times New Roman"/>
          <w:spacing w:val="-4"/>
          <w:sz w:val="28"/>
          <w:szCs w:val="28"/>
          <w:lang w:val="de-DE"/>
        </w:rPr>
        <w:t xml:space="preserve"> đạt 18,</w:t>
      </w:r>
      <w:r w:rsidRPr="002850E5">
        <w:rPr>
          <w:rFonts w:ascii="Times New Roman" w:hAnsi="Times New Roman" w:cs="Times New Roman"/>
          <w:spacing w:val="-4"/>
          <w:sz w:val="28"/>
          <w:szCs w:val="28"/>
          <w:lang w:val="de-DE"/>
        </w:rPr>
        <w:t>4</w:t>
      </w:r>
      <w:r w:rsidR="005D224D" w:rsidRPr="002850E5">
        <w:rPr>
          <w:rFonts w:ascii="Times New Roman" w:hAnsi="Times New Roman" w:cs="Times New Roman"/>
          <w:spacing w:val="-4"/>
          <w:sz w:val="28"/>
          <w:szCs w:val="28"/>
          <w:lang w:val="de-DE"/>
        </w:rPr>
        <w:t xml:space="preserve"> triệu tấn, tăng </w:t>
      </w:r>
      <w:r w:rsidRPr="002850E5">
        <w:rPr>
          <w:rFonts w:ascii="Times New Roman" w:hAnsi="Times New Roman" w:cs="Times New Roman"/>
          <w:spacing w:val="-4"/>
          <w:sz w:val="28"/>
          <w:szCs w:val="28"/>
          <w:lang w:val="de-DE"/>
        </w:rPr>
        <w:t>1,7%.</w:t>
      </w:r>
    </w:p>
    <w:p w14:paraId="587291F6" w14:textId="052B1C66" w:rsidR="00685025" w:rsidRPr="00DC0CA9" w:rsidRDefault="00685025" w:rsidP="00FA1162">
      <w:pPr>
        <w:pStyle w:val="BodyTextIndent2"/>
        <w:spacing w:line="276" w:lineRule="auto"/>
        <w:ind w:left="0" w:firstLine="567"/>
        <w:jc w:val="both"/>
        <w:rPr>
          <w:rFonts w:ascii="Times New Roman" w:hAnsi="Times New Roman" w:cs="Times New Roman"/>
          <w:sz w:val="28"/>
          <w:szCs w:val="28"/>
          <w:lang w:val="de-DE"/>
        </w:rPr>
      </w:pPr>
      <w:r w:rsidRPr="00DC0CA9">
        <w:rPr>
          <w:rFonts w:ascii="Times New Roman" w:hAnsi="Times New Roman" w:cs="Times New Roman"/>
          <w:spacing w:val="-4"/>
          <w:sz w:val="28"/>
          <w:szCs w:val="28"/>
          <w:lang w:val="en-IN"/>
        </w:rPr>
        <w:t xml:space="preserve">Diện tích trồng </w:t>
      </w:r>
      <w:r w:rsidRPr="00DC0CA9">
        <w:rPr>
          <w:rFonts w:ascii="Times New Roman" w:hAnsi="Times New Roman" w:cs="Times New Roman"/>
          <w:spacing w:val="-4"/>
          <w:sz w:val="28"/>
          <w:szCs w:val="28"/>
          <w:lang w:val="de-DE"/>
        </w:rPr>
        <w:t>cây công nghiệp đạt 2.209,9 nghìn ha, tăng 1,1% so với năm 2020, trong đó: C</w:t>
      </w:r>
      <w:r w:rsidRPr="00DC0CA9">
        <w:rPr>
          <w:rFonts w:ascii="Times New Roman" w:hAnsi="Times New Roman" w:cs="Times New Roman"/>
          <w:sz w:val="28"/>
          <w:szCs w:val="28"/>
          <w:lang w:val="de-DE"/>
        </w:rPr>
        <w:t>ao su đạt 938,8 nghìn ha, tăng 0,7%, sản lượng đạt 1.260,1 nghìn tấn, tăng 2,8%; cà phê đạt 705 nghìn ha, tăng 1,4%, sản lượng đạt 1.816 nghìn tấn, tăng 3%; điều đạt 314,6 nghìn ha, tăng 4%, sản lượng đạt 383,3 nghìn tấn, tăng 10%; hồ tiêu đạt 128,2 nghìn ha, giảm 2,7%, sản lượng đạt 280,3 nghìn tấn, tăng 3,7%; chè đạt 123,4 nghìn ha, giảm 0,2%, sản lượng chè búp đạt 1.087,2 nghìn tấn, tăng 2,1%.</w:t>
      </w:r>
    </w:p>
    <w:p w14:paraId="57B09F6C" w14:textId="77777777" w:rsidR="00685025" w:rsidRPr="00DC0CA9" w:rsidRDefault="00685025" w:rsidP="00FA1162">
      <w:pPr>
        <w:pStyle w:val="BodyTextIndent2"/>
        <w:spacing w:line="276" w:lineRule="auto"/>
        <w:ind w:left="0" w:firstLine="567"/>
        <w:jc w:val="both"/>
        <w:rPr>
          <w:rFonts w:ascii="Times New Roman" w:hAnsi="Times New Roman" w:cs="Times New Roman"/>
          <w:spacing w:val="-2"/>
          <w:sz w:val="28"/>
          <w:szCs w:val="28"/>
          <w:shd w:val="clear" w:color="auto" w:fill="FFFFFF"/>
          <w:lang w:val="de-DE"/>
        </w:rPr>
      </w:pPr>
      <w:r w:rsidRPr="00DC0CA9">
        <w:rPr>
          <w:rFonts w:ascii="Times New Roman" w:hAnsi="Times New Roman" w:cs="Times New Roman"/>
          <w:spacing w:val="-2"/>
          <w:sz w:val="28"/>
          <w:szCs w:val="28"/>
          <w:lang w:val="de-DE"/>
        </w:rPr>
        <w:t xml:space="preserve">Nhóm cây ăn quả đạt sản lượng thu hoạch khá ở hầu hết các loại cây. Sản lượng cam đạt 1.545,9 nghìn tấn, tăng 33,2% so với năm trước; bưởi đạt 1.006,9 nghìn tấn, tăng 8%; xoài đạt 938,2 nghìn tấn, tăng 4,9%; sầu riêng đạt 693,8 nghìn tấn, tăng 18%; </w:t>
      </w:r>
      <w:r w:rsidRPr="00DC0CA9">
        <w:rPr>
          <w:rFonts w:ascii="Times New Roman" w:hAnsi="Times New Roman" w:cs="Times New Roman"/>
          <w:spacing w:val="-2"/>
          <w:sz w:val="28"/>
          <w:szCs w:val="28"/>
          <w:shd w:val="clear" w:color="auto" w:fill="FFFFFF"/>
          <w:lang w:val="de-DE"/>
        </w:rPr>
        <w:t>vải đạt 386,6 nghìn tấn, tăng 22,6%; nhãn đạt 602,8 nghìn tấn, tăng 6,1%; dứa đạt 737,3 nghìn tấn, tăng 3,6%.</w:t>
      </w:r>
    </w:p>
    <w:p w14:paraId="0511A836" w14:textId="0C193ACC" w:rsidR="00685025" w:rsidRPr="00DC0CA9" w:rsidRDefault="00685025" w:rsidP="00FA1162">
      <w:pPr>
        <w:spacing w:after="120"/>
        <w:ind w:firstLine="567"/>
        <w:jc w:val="both"/>
        <w:rPr>
          <w:rFonts w:ascii="Times New Roman" w:eastAsia="Calibri" w:hAnsi="Times New Roman" w:cs="Times New Roman"/>
          <w:spacing w:val="-2"/>
          <w:sz w:val="28"/>
          <w:szCs w:val="28"/>
          <w:lang w:val="es-AR"/>
        </w:rPr>
      </w:pPr>
      <w:r w:rsidRPr="00DC0CA9">
        <w:rPr>
          <w:rFonts w:ascii="Times New Roman" w:hAnsi="Times New Roman" w:cs="Times New Roman"/>
          <w:iCs/>
          <w:spacing w:val="-2"/>
          <w:sz w:val="28"/>
          <w:szCs w:val="28"/>
          <w:lang w:val="es-AR"/>
        </w:rPr>
        <w:t xml:space="preserve">Chăn nuôi trâu, bò trên cả nước nhìn chung ổn định, dịch viêm da nổi cục cơ bản được kiểm soát. </w:t>
      </w:r>
      <w:r w:rsidRPr="00DC0CA9">
        <w:rPr>
          <w:rFonts w:ascii="Times New Roman" w:hAnsi="Times New Roman" w:cs="Times New Roman"/>
          <w:spacing w:val="-2"/>
          <w:sz w:val="28"/>
          <w:szCs w:val="28"/>
          <w:lang w:val="de-DE"/>
        </w:rPr>
        <w:t>Chăn nuôi lợn và gia cầm chịu ảnh hưởng của dịch Covid-19, nhiều chợ đầu mối, chợ truyền thống tạm ngưng hoạt độ</w:t>
      </w:r>
      <w:r w:rsidR="001412EC" w:rsidRPr="00DC0CA9">
        <w:rPr>
          <w:rFonts w:ascii="Times New Roman" w:hAnsi="Times New Roman" w:cs="Times New Roman"/>
          <w:spacing w:val="-2"/>
          <w:sz w:val="28"/>
          <w:szCs w:val="28"/>
          <w:lang w:val="de-DE"/>
        </w:rPr>
        <w:t>ng làm gián đoạn chuỗi cung ứng</w:t>
      </w:r>
      <w:r w:rsidRPr="00DC0CA9">
        <w:rPr>
          <w:rFonts w:ascii="Times New Roman" w:eastAsia="Calibri" w:hAnsi="Times New Roman" w:cs="Times New Roman"/>
          <w:spacing w:val="-2"/>
          <w:sz w:val="28"/>
          <w:szCs w:val="28"/>
          <w:lang w:val="es-AR"/>
        </w:rPr>
        <w:t xml:space="preserve">. Bên cạnh đó, chăn nuôi lợn gặp khó khăn do dịch tả lợn châu Phi tuy được kiểm soát nhưng vẫn tiềm ẩn nguy cơ bùng phát.  </w:t>
      </w:r>
    </w:p>
    <w:p w14:paraId="2492BE60" w14:textId="583BDCDD" w:rsidR="00685025" w:rsidRPr="00DC0CA9" w:rsidRDefault="00685025" w:rsidP="001412EC">
      <w:pPr>
        <w:spacing w:before="240" w:after="120" w:line="269" w:lineRule="auto"/>
        <w:jc w:val="center"/>
        <w:rPr>
          <w:rFonts w:ascii="Arial" w:eastAsiaTheme="minorEastAsia" w:hAnsi="Arial" w:cs="Arial"/>
          <w:b/>
          <w:bCs/>
          <w:sz w:val="24"/>
          <w:szCs w:val="24"/>
        </w:rPr>
      </w:pPr>
      <w:r w:rsidRPr="00DC0CA9">
        <w:rPr>
          <w:rFonts w:ascii="Arial" w:eastAsiaTheme="minorEastAsia" w:hAnsi="Arial" w:cs="Arial"/>
          <w:b/>
          <w:bCs/>
          <w:sz w:val="24"/>
          <w:szCs w:val="24"/>
        </w:rPr>
        <w:t>Sản lượng một số sản phẩm chăn nuôi chủ yếu</w:t>
      </w:r>
    </w:p>
    <w:tbl>
      <w:tblPr>
        <w:tblW w:w="8759" w:type="dxa"/>
        <w:jc w:val="center"/>
        <w:tblLook w:val="04A0" w:firstRow="1" w:lastRow="0" w:firstColumn="1" w:lastColumn="0" w:noHBand="0" w:noVBand="1"/>
      </w:tblPr>
      <w:tblGrid>
        <w:gridCol w:w="3912"/>
        <w:gridCol w:w="1060"/>
        <w:gridCol w:w="1060"/>
        <w:gridCol w:w="1366"/>
        <w:gridCol w:w="1361"/>
      </w:tblGrid>
      <w:tr w:rsidR="00DC0CA9" w:rsidRPr="00DC0CA9" w14:paraId="15D3C36A" w14:textId="77777777" w:rsidTr="001412EC">
        <w:trPr>
          <w:trHeight w:val="276"/>
          <w:jc w:val="center"/>
        </w:trPr>
        <w:tc>
          <w:tcPr>
            <w:tcW w:w="3912" w:type="dxa"/>
            <w:tcBorders>
              <w:top w:val="single" w:sz="8" w:space="0" w:color="auto"/>
              <w:left w:val="nil"/>
              <w:bottom w:val="nil"/>
              <w:right w:val="nil"/>
            </w:tcBorders>
            <w:shd w:val="clear" w:color="auto" w:fill="auto"/>
            <w:noWrap/>
            <w:vAlign w:val="center"/>
            <w:hideMark/>
          </w:tcPr>
          <w:p w14:paraId="2C9E1C34" w14:textId="77777777" w:rsidR="00685025" w:rsidRPr="00DC0CA9" w:rsidRDefault="00685025" w:rsidP="00C40363">
            <w:pPr>
              <w:spacing w:after="0" w:line="240" w:lineRule="auto"/>
              <w:rPr>
                <w:rFonts w:ascii="Arial" w:hAnsi="Arial" w:cs="Arial"/>
                <w:b/>
                <w:bCs/>
                <w:sz w:val="20"/>
                <w:szCs w:val="20"/>
                <w:lang w:eastAsia="en-GB"/>
              </w:rPr>
            </w:pPr>
            <w:r w:rsidRPr="00DC0CA9">
              <w:rPr>
                <w:rFonts w:ascii="Arial" w:hAnsi="Arial" w:cs="Arial"/>
                <w:b/>
                <w:bCs/>
                <w:sz w:val="20"/>
                <w:szCs w:val="20"/>
                <w:lang w:val="en-US" w:eastAsia="en-GB"/>
              </w:rPr>
              <w:t> </w:t>
            </w:r>
          </w:p>
        </w:tc>
        <w:tc>
          <w:tcPr>
            <w:tcW w:w="1060" w:type="dxa"/>
            <w:vMerge w:val="restart"/>
            <w:tcBorders>
              <w:top w:val="single" w:sz="8" w:space="0" w:color="auto"/>
              <w:left w:val="nil"/>
              <w:right w:val="nil"/>
            </w:tcBorders>
            <w:shd w:val="clear" w:color="auto" w:fill="auto"/>
            <w:vAlign w:val="center"/>
            <w:hideMark/>
          </w:tcPr>
          <w:p w14:paraId="48ACBAA0" w14:textId="77777777" w:rsidR="00685025" w:rsidRPr="00DC0CA9" w:rsidRDefault="00685025" w:rsidP="001412EC">
            <w:pPr>
              <w:spacing w:after="0" w:line="240" w:lineRule="auto"/>
              <w:jc w:val="center"/>
              <w:rPr>
                <w:rFonts w:ascii="Arial" w:hAnsi="Arial" w:cs="Arial"/>
                <w:sz w:val="20"/>
                <w:szCs w:val="20"/>
                <w:lang w:eastAsia="en-GB"/>
              </w:rPr>
            </w:pPr>
            <w:r w:rsidRPr="00DC0CA9">
              <w:rPr>
                <w:rFonts w:ascii="Arial" w:hAnsi="Arial" w:cs="Arial"/>
                <w:sz w:val="20"/>
                <w:szCs w:val="20"/>
                <w:lang w:val="en-US" w:eastAsia="en-GB"/>
              </w:rPr>
              <w:t>Ước tính</w:t>
            </w:r>
          </w:p>
          <w:p w14:paraId="4AFF78F4" w14:textId="2BA3F182" w:rsidR="00685025" w:rsidRPr="00DC0CA9" w:rsidRDefault="001412EC" w:rsidP="001412EC">
            <w:pPr>
              <w:spacing w:after="0" w:line="240" w:lineRule="auto"/>
              <w:jc w:val="center"/>
              <w:rPr>
                <w:rFonts w:ascii="Arial" w:hAnsi="Arial" w:cs="Arial"/>
                <w:sz w:val="20"/>
                <w:szCs w:val="20"/>
                <w:lang w:eastAsia="en-GB"/>
              </w:rPr>
            </w:pPr>
            <w:r w:rsidRPr="00DC0CA9">
              <w:rPr>
                <w:rFonts w:ascii="Arial" w:hAnsi="Arial" w:cs="Arial"/>
                <w:sz w:val="20"/>
                <w:szCs w:val="20"/>
                <w:lang w:eastAsia="en-GB"/>
              </w:rPr>
              <w:t>quý IV/2021</w:t>
            </w:r>
          </w:p>
        </w:tc>
        <w:tc>
          <w:tcPr>
            <w:tcW w:w="1060" w:type="dxa"/>
            <w:vMerge w:val="restart"/>
            <w:tcBorders>
              <w:top w:val="single" w:sz="8" w:space="0" w:color="auto"/>
              <w:left w:val="nil"/>
              <w:right w:val="nil"/>
            </w:tcBorders>
            <w:shd w:val="clear" w:color="auto" w:fill="auto"/>
            <w:vAlign w:val="center"/>
            <w:hideMark/>
          </w:tcPr>
          <w:p w14:paraId="45CFFB70" w14:textId="77777777" w:rsidR="00685025" w:rsidRPr="00DC0CA9" w:rsidRDefault="00685025" w:rsidP="001412EC">
            <w:pPr>
              <w:spacing w:after="0" w:line="240" w:lineRule="auto"/>
              <w:jc w:val="center"/>
              <w:rPr>
                <w:rFonts w:ascii="Arial" w:hAnsi="Arial" w:cs="Arial"/>
                <w:sz w:val="20"/>
                <w:szCs w:val="20"/>
                <w:lang w:eastAsia="en-GB"/>
              </w:rPr>
            </w:pPr>
            <w:r w:rsidRPr="00DC0CA9">
              <w:rPr>
                <w:rFonts w:ascii="Arial" w:hAnsi="Arial" w:cs="Arial"/>
                <w:sz w:val="20"/>
                <w:szCs w:val="20"/>
                <w:lang w:val="en-US" w:eastAsia="en-GB"/>
              </w:rPr>
              <w:t>Ước tính</w:t>
            </w:r>
          </w:p>
          <w:p w14:paraId="7AE56CB9" w14:textId="4B74DDB8" w:rsidR="00685025" w:rsidRPr="00DC0CA9" w:rsidRDefault="00685025" w:rsidP="001412EC">
            <w:pPr>
              <w:spacing w:after="0" w:line="240" w:lineRule="auto"/>
              <w:jc w:val="center"/>
              <w:rPr>
                <w:rFonts w:ascii="Arial" w:hAnsi="Arial" w:cs="Arial"/>
                <w:sz w:val="20"/>
                <w:szCs w:val="20"/>
                <w:lang w:eastAsia="en-GB"/>
              </w:rPr>
            </w:pPr>
            <w:r w:rsidRPr="00DC0CA9">
              <w:rPr>
                <w:rFonts w:ascii="Arial" w:hAnsi="Arial" w:cs="Arial"/>
                <w:sz w:val="20"/>
                <w:szCs w:val="20"/>
                <w:lang w:eastAsia="en-GB"/>
              </w:rPr>
              <w:t>năm 2021</w:t>
            </w:r>
          </w:p>
        </w:tc>
        <w:tc>
          <w:tcPr>
            <w:tcW w:w="2727" w:type="dxa"/>
            <w:gridSpan w:val="2"/>
            <w:vMerge w:val="restart"/>
            <w:tcBorders>
              <w:top w:val="single" w:sz="8" w:space="0" w:color="auto"/>
              <w:left w:val="nil"/>
              <w:bottom w:val="single" w:sz="4" w:space="0" w:color="auto"/>
              <w:right w:val="nil"/>
            </w:tcBorders>
            <w:shd w:val="clear" w:color="auto" w:fill="auto"/>
            <w:noWrap/>
            <w:vAlign w:val="center"/>
            <w:hideMark/>
          </w:tcPr>
          <w:p w14:paraId="4E88ECF1" w14:textId="77777777" w:rsidR="00685025" w:rsidRPr="00DC0CA9" w:rsidRDefault="00685025" w:rsidP="00C40363">
            <w:pPr>
              <w:spacing w:after="0" w:line="240" w:lineRule="auto"/>
              <w:jc w:val="center"/>
              <w:rPr>
                <w:rFonts w:ascii="Arial" w:hAnsi="Arial" w:cs="Arial"/>
                <w:sz w:val="20"/>
                <w:szCs w:val="20"/>
                <w:lang w:eastAsia="en-GB"/>
              </w:rPr>
            </w:pPr>
            <w:r w:rsidRPr="00DC0CA9">
              <w:rPr>
                <w:rFonts w:ascii="Arial" w:hAnsi="Arial" w:cs="Arial"/>
                <w:sz w:val="20"/>
                <w:szCs w:val="20"/>
                <w:lang w:val="en-US" w:eastAsia="en-GB"/>
              </w:rPr>
              <w:t xml:space="preserve">Tốc độ tăng/giảm so với  </w:t>
            </w:r>
          </w:p>
          <w:p w14:paraId="75F6BD94" w14:textId="77777777" w:rsidR="00685025" w:rsidRPr="00DC0CA9" w:rsidRDefault="00685025" w:rsidP="00C40363">
            <w:pPr>
              <w:spacing w:after="0" w:line="240" w:lineRule="auto"/>
              <w:jc w:val="center"/>
              <w:rPr>
                <w:rFonts w:ascii="Arial" w:hAnsi="Arial" w:cs="Arial"/>
                <w:sz w:val="20"/>
                <w:szCs w:val="20"/>
                <w:lang w:eastAsia="en-GB"/>
              </w:rPr>
            </w:pPr>
            <w:r w:rsidRPr="00DC0CA9">
              <w:rPr>
                <w:rFonts w:ascii="Arial" w:hAnsi="Arial" w:cs="Arial"/>
                <w:sz w:val="20"/>
                <w:szCs w:val="20"/>
                <w:lang w:val="en-US" w:eastAsia="en-GB"/>
              </w:rPr>
              <w:t>cùng kỳ năm trước (%)</w:t>
            </w:r>
          </w:p>
        </w:tc>
      </w:tr>
      <w:tr w:rsidR="00DC0CA9" w:rsidRPr="00DC0CA9" w14:paraId="52746489" w14:textId="77777777" w:rsidTr="00C40363">
        <w:trPr>
          <w:trHeight w:val="279"/>
          <w:jc w:val="center"/>
        </w:trPr>
        <w:tc>
          <w:tcPr>
            <w:tcW w:w="3912" w:type="dxa"/>
            <w:tcBorders>
              <w:top w:val="nil"/>
              <w:left w:val="nil"/>
              <w:bottom w:val="nil"/>
              <w:right w:val="nil"/>
            </w:tcBorders>
            <w:shd w:val="clear" w:color="auto" w:fill="auto"/>
            <w:noWrap/>
            <w:vAlign w:val="center"/>
            <w:hideMark/>
          </w:tcPr>
          <w:p w14:paraId="77FC7BAB" w14:textId="77777777" w:rsidR="00685025" w:rsidRPr="00DC0CA9" w:rsidRDefault="00685025" w:rsidP="00C40363">
            <w:pPr>
              <w:spacing w:after="0" w:line="240" w:lineRule="auto"/>
              <w:jc w:val="center"/>
              <w:rPr>
                <w:rFonts w:ascii="Arial" w:hAnsi="Arial" w:cs="Arial"/>
                <w:sz w:val="20"/>
                <w:szCs w:val="20"/>
                <w:lang w:eastAsia="en-GB"/>
              </w:rPr>
            </w:pPr>
          </w:p>
        </w:tc>
        <w:tc>
          <w:tcPr>
            <w:tcW w:w="1060" w:type="dxa"/>
            <w:vMerge/>
            <w:tcBorders>
              <w:left w:val="nil"/>
              <w:right w:val="nil"/>
            </w:tcBorders>
            <w:shd w:val="clear" w:color="auto" w:fill="auto"/>
            <w:vAlign w:val="center"/>
            <w:hideMark/>
          </w:tcPr>
          <w:p w14:paraId="2C2137DF" w14:textId="77777777" w:rsidR="00685025" w:rsidRPr="00DC0CA9" w:rsidRDefault="00685025" w:rsidP="00C40363">
            <w:pPr>
              <w:spacing w:after="0" w:line="240" w:lineRule="auto"/>
              <w:rPr>
                <w:rFonts w:ascii="Arial" w:hAnsi="Arial" w:cs="Arial"/>
                <w:sz w:val="20"/>
                <w:szCs w:val="20"/>
                <w:lang w:eastAsia="en-GB"/>
              </w:rPr>
            </w:pPr>
          </w:p>
        </w:tc>
        <w:tc>
          <w:tcPr>
            <w:tcW w:w="1060" w:type="dxa"/>
            <w:vMerge/>
            <w:tcBorders>
              <w:left w:val="nil"/>
              <w:right w:val="nil"/>
            </w:tcBorders>
            <w:shd w:val="clear" w:color="auto" w:fill="auto"/>
            <w:vAlign w:val="center"/>
            <w:hideMark/>
          </w:tcPr>
          <w:p w14:paraId="11693D75" w14:textId="77777777" w:rsidR="00685025" w:rsidRPr="00DC0CA9" w:rsidRDefault="00685025" w:rsidP="00C40363">
            <w:pPr>
              <w:spacing w:after="0" w:line="240" w:lineRule="auto"/>
              <w:rPr>
                <w:rFonts w:ascii="Arial" w:hAnsi="Arial" w:cs="Arial"/>
                <w:sz w:val="20"/>
                <w:szCs w:val="20"/>
                <w:lang w:eastAsia="en-GB"/>
              </w:rPr>
            </w:pPr>
          </w:p>
        </w:tc>
        <w:tc>
          <w:tcPr>
            <w:tcW w:w="2727" w:type="dxa"/>
            <w:gridSpan w:val="2"/>
            <w:vMerge/>
            <w:tcBorders>
              <w:left w:val="nil"/>
              <w:bottom w:val="single" w:sz="4" w:space="0" w:color="auto"/>
              <w:right w:val="nil"/>
            </w:tcBorders>
            <w:shd w:val="clear" w:color="auto" w:fill="auto"/>
            <w:noWrap/>
            <w:vAlign w:val="center"/>
            <w:hideMark/>
          </w:tcPr>
          <w:p w14:paraId="0D676402" w14:textId="77777777" w:rsidR="00685025" w:rsidRPr="00DC0CA9" w:rsidRDefault="00685025" w:rsidP="00C40363">
            <w:pPr>
              <w:spacing w:after="0" w:line="240" w:lineRule="auto"/>
              <w:jc w:val="center"/>
              <w:rPr>
                <w:rFonts w:ascii="Arial" w:hAnsi="Arial" w:cs="Arial"/>
                <w:sz w:val="20"/>
                <w:szCs w:val="20"/>
                <w:lang w:eastAsia="en-GB"/>
              </w:rPr>
            </w:pPr>
          </w:p>
        </w:tc>
      </w:tr>
      <w:tr w:rsidR="00DC0CA9" w:rsidRPr="00DC0CA9" w14:paraId="3C4C02DE" w14:textId="77777777" w:rsidTr="00C40363">
        <w:trPr>
          <w:trHeight w:val="301"/>
          <w:jc w:val="center"/>
        </w:trPr>
        <w:tc>
          <w:tcPr>
            <w:tcW w:w="3912" w:type="dxa"/>
            <w:tcBorders>
              <w:top w:val="nil"/>
              <w:left w:val="nil"/>
              <w:bottom w:val="nil"/>
              <w:right w:val="nil"/>
            </w:tcBorders>
            <w:shd w:val="clear" w:color="auto" w:fill="auto"/>
            <w:noWrap/>
            <w:vAlign w:val="center"/>
            <w:hideMark/>
          </w:tcPr>
          <w:p w14:paraId="5641C45E" w14:textId="77777777" w:rsidR="00685025" w:rsidRPr="00DC0CA9" w:rsidRDefault="00685025" w:rsidP="00C40363">
            <w:pPr>
              <w:spacing w:after="0" w:line="240" w:lineRule="auto"/>
              <w:jc w:val="center"/>
              <w:rPr>
                <w:rFonts w:ascii="Arial" w:hAnsi="Arial" w:cs="Arial"/>
                <w:sz w:val="20"/>
                <w:szCs w:val="20"/>
                <w:lang w:eastAsia="en-GB"/>
              </w:rPr>
            </w:pPr>
          </w:p>
        </w:tc>
        <w:tc>
          <w:tcPr>
            <w:tcW w:w="1060" w:type="dxa"/>
            <w:vMerge/>
            <w:tcBorders>
              <w:left w:val="nil"/>
              <w:bottom w:val="single" w:sz="8" w:space="0" w:color="000000"/>
              <w:right w:val="nil"/>
            </w:tcBorders>
            <w:shd w:val="clear" w:color="auto" w:fill="auto"/>
            <w:vAlign w:val="center"/>
            <w:hideMark/>
          </w:tcPr>
          <w:p w14:paraId="341739DE" w14:textId="77777777" w:rsidR="00685025" w:rsidRPr="00DC0CA9" w:rsidRDefault="00685025" w:rsidP="00C40363">
            <w:pPr>
              <w:spacing w:after="0" w:line="240" w:lineRule="auto"/>
              <w:rPr>
                <w:rFonts w:ascii="Arial" w:hAnsi="Arial" w:cs="Arial"/>
                <w:lang w:eastAsia="en-GB"/>
              </w:rPr>
            </w:pPr>
          </w:p>
        </w:tc>
        <w:tc>
          <w:tcPr>
            <w:tcW w:w="1060" w:type="dxa"/>
            <w:vMerge/>
            <w:tcBorders>
              <w:left w:val="nil"/>
              <w:bottom w:val="single" w:sz="8" w:space="0" w:color="000000"/>
              <w:right w:val="nil"/>
            </w:tcBorders>
            <w:shd w:val="clear" w:color="auto" w:fill="auto"/>
            <w:vAlign w:val="center"/>
            <w:hideMark/>
          </w:tcPr>
          <w:p w14:paraId="7A13CCD1" w14:textId="77777777" w:rsidR="00685025" w:rsidRPr="00DC0CA9" w:rsidRDefault="00685025" w:rsidP="00C40363">
            <w:pPr>
              <w:spacing w:after="0" w:line="240" w:lineRule="auto"/>
              <w:rPr>
                <w:rFonts w:ascii="Arial" w:hAnsi="Arial" w:cs="Arial"/>
                <w:lang w:eastAsia="en-GB"/>
              </w:rPr>
            </w:pPr>
          </w:p>
        </w:tc>
        <w:tc>
          <w:tcPr>
            <w:tcW w:w="1366" w:type="dxa"/>
            <w:tcBorders>
              <w:top w:val="single" w:sz="4" w:space="0" w:color="auto"/>
              <w:left w:val="nil"/>
              <w:bottom w:val="single" w:sz="8" w:space="0" w:color="auto"/>
              <w:right w:val="nil"/>
            </w:tcBorders>
            <w:shd w:val="clear" w:color="auto" w:fill="auto"/>
            <w:vAlign w:val="center"/>
            <w:hideMark/>
          </w:tcPr>
          <w:p w14:paraId="64A55F97" w14:textId="77777777" w:rsidR="00685025" w:rsidRPr="00DC0CA9" w:rsidRDefault="00685025" w:rsidP="00C40363">
            <w:pPr>
              <w:spacing w:after="0" w:line="240" w:lineRule="auto"/>
              <w:jc w:val="center"/>
              <w:rPr>
                <w:rFonts w:ascii="Arial" w:hAnsi="Arial" w:cs="Arial"/>
                <w:sz w:val="20"/>
                <w:szCs w:val="20"/>
                <w:lang w:eastAsia="en-GB"/>
              </w:rPr>
            </w:pPr>
            <w:r w:rsidRPr="00DC0CA9">
              <w:rPr>
                <w:rFonts w:ascii="Arial" w:hAnsi="Arial" w:cs="Arial"/>
                <w:sz w:val="20"/>
                <w:szCs w:val="20"/>
                <w:lang w:val="en-US" w:eastAsia="en-GB"/>
              </w:rPr>
              <w:t>Quý IV/2021</w:t>
            </w:r>
          </w:p>
        </w:tc>
        <w:tc>
          <w:tcPr>
            <w:tcW w:w="1361" w:type="dxa"/>
            <w:tcBorders>
              <w:top w:val="single" w:sz="4" w:space="0" w:color="auto"/>
              <w:left w:val="nil"/>
              <w:bottom w:val="single" w:sz="8" w:space="0" w:color="auto"/>
              <w:right w:val="nil"/>
            </w:tcBorders>
            <w:shd w:val="clear" w:color="auto" w:fill="auto"/>
            <w:vAlign w:val="center"/>
            <w:hideMark/>
          </w:tcPr>
          <w:p w14:paraId="375112D3" w14:textId="77777777" w:rsidR="00685025" w:rsidRPr="00DC0CA9" w:rsidRDefault="00685025" w:rsidP="00C40363">
            <w:pPr>
              <w:spacing w:after="0" w:line="240" w:lineRule="auto"/>
              <w:jc w:val="center"/>
              <w:rPr>
                <w:rFonts w:ascii="Arial" w:hAnsi="Arial" w:cs="Arial"/>
                <w:sz w:val="20"/>
                <w:szCs w:val="20"/>
                <w:lang w:eastAsia="en-GB"/>
              </w:rPr>
            </w:pPr>
            <w:r w:rsidRPr="00DC0CA9">
              <w:rPr>
                <w:rFonts w:ascii="Arial" w:hAnsi="Arial" w:cs="Arial"/>
                <w:sz w:val="20"/>
                <w:szCs w:val="20"/>
                <w:lang w:val="en-US" w:eastAsia="en-GB"/>
              </w:rPr>
              <w:t xml:space="preserve"> Năm 2021</w:t>
            </w:r>
          </w:p>
        </w:tc>
      </w:tr>
      <w:tr w:rsidR="00DC0CA9" w:rsidRPr="00DC0CA9" w14:paraId="1B321A30" w14:textId="77777777" w:rsidTr="00C40363">
        <w:trPr>
          <w:cantSplit/>
          <w:trHeight w:val="340"/>
          <w:jc w:val="center"/>
        </w:trPr>
        <w:tc>
          <w:tcPr>
            <w:tcW w:w="4972" w:type="dxa"/>
            <w:gridSpan w:val="2"/>
            <w:tcBorders>
              <w:top w:val="nil"/>
              <w:left w:val="nil"/>
              <w:bottom w:val="nil"/>
              <w:right w:val="nil"/>
            </w:tcBorders>
            <w:shd w:val="clear" w:color="auto" w:fill="auto"/>
            <w:noWrap/>
            <w:vAlign w:val="center"/>
            <w:hideMark/>
          </w:tcPr>
          <w:p w14:paraId="4B16CCCC" w14:textId="77777777" w:rsidR="00685025" w:rsidRPr="00DC0CA9" w:rsidRDefault="00685025" w:rsidP="00C40363">
            <w:pPr>
              <w:spacing w:before="80" w:after="80" w:line="240" w:lineRule="auto"/>
              <w:rPr>
                <w:rFonts w:ascii="Arial" w:hAnsi="Arial" w:cs="Arial"/>
                <w:sz w:val="20"/>
                <w:szCs w:val="20"/>
                <w:lang w:eastAsia="en-GB"/>
              </w:rPr>
            </w:pPr>
            <w:r w:rsidRPr="00DC0CA9">
              <w:rPr>
                <w:rFonts w:ascii="Arial" w:hAnsi="Arial" w:cs="Arial"/>
                <w:sz w:val="20"/>
                <w:szCs w:val="20"/>
                <w:lang w:val="en-US" w:eastAsia="en-GB"/>
              </w:rPr>
              <w:t>Sản lượng thịt hơi xuất chuồng (Nghìn tấn)</w:t>
            </w:r>
          </w:p>
        </w:tc>
        <w:tc>
          <w:tcPr>
            <w:tcW w:w="1060" w:type="dxa"/>
            <w:tcBorders>
              <w:top w:val="nil"/>
              <w:left w:val="nil"/>
              <w:bottom w:val="nil"/>
              <w:right w:val="nil"/>
            </w:tcBorders>
            <w:shd w:val="clear" w:color="auto" w:fill="auto"/>
            <w:vAlign w:val="bottom"/>
            <w:hideMark/>
          </w:tcPr>
          <w:p w14:paraId="44BB9942" w14:textId="77777777" w:rsidR="00685025" w:rsidRPr="00DC0CA9" w:rsidRDefault="00685025" w:rsidP="00C40363">
            <w:pPr>
              <w:spacing w:before="80" w:after="80" w:line="240" w:lineRule="auto"/>
              <w:rPr>
                <w:rFonts w:ascii="Arial" w:hAnsi="Arial" w:cs="Arial"/>
                <w:sz w:val="20"/>
                <w:szCs w:val="20"/>
                <w:lang w:eastAsia="en-GB"/>
              </w:rPr>
            </w:pPr>
          </w:p>
        </w:tc>
        <w:tc>
          <w:tcPr>
            <w:tcW w:w="1366" w:type="dxa"/>
            <w:tcBorders>
              <w:top w:val="nil"/>
              <w:left w:val="nil"/>
              <w:bottom w:val="nil"/>
              <w:right w:val="nil"/>
            </w:tcBorders>
            <w:shd w:val="clear" w:color="auto" w:fill="auto"/>
            <w:vAlign w:val="bottom"/>
            <w:hideMark/>
          </w:tcPr>
          <w:p w14:paraId="6BF34913" w14:textId="77777777" w:rsidR="00685025" w:rsidRPr="00DC0CA9" w:rsidRDefault="00685025" w:rsidP="00C40363">
            <w:pPr>
              <w:spacing w:before="80" w:after="80" w:line="240" w:lineRule="auto"/>
              <w:rPr>
                <w:rFonts w:cs="Times New Roman"/>
                <w:sz w:val="20"/>
                <w:szCs w:val="20"/>
                <w:lang w:eastAsia="en-GB"/>
              </w:rPr>
            </w:pPr>
          </w:p>
        </w:tc>
        <w:tc>
          <w:tcPr>
            <w:tcW w:w="1361" w:type="dxa"/>
            <w:tcBorders>
              <w:top w:val="nil"/>
              <w:left w:val="nil"/>
              <w:bottom w:val="nil"/>
              <w:right w:val="nil"/>
            </w:tcBorders>
            <w:shd w:val="clear" w:color="auto" w:fill="auto"/>
            <w:vAlign w:val="bottom"/>
            <w:hideMark/>
          </w:tcPr>
          <w:p w14:paraId="6F473E68" w14:textId="77777777" w:rsidR="00685025" w:rsidRPr="00DC0CA9" w:rsidRDefault="00685025" w:rsidP="00C40363">
            <w:pPr>
              <w:spacing w:before="80" w:after="80" w:line="240" w:lineRule="auto"/>
              <w:rPr>
                <w:rFonts w:cs="Times New Roman"/>
                <w:sz w:val="20"/>
                <w:szCs w:val="20"/>
                <w:lang w:eastAsia="en-GB"/>
              </w:rPr>
            </w:pPr>
          </w:p>
        </w:tc>
      </w:tr>
      <w:tr w:rsidR="00DC0CA9" w:rsidRPr="00DC0CA9" w14:paraId="296D6389" w14:textId="77777777" w:rsidTr="00C40363">
        <w:trPr>
          <w:cantSplit/>
          <w:trHeight w:val="340"/>
          <w:jc w:val="center"/>
        </w:trPr>
        <w:tc>
          <w:tcPr>
            <w:tcW w:w="3912" w:type="dxa"/>
            <w:tcBorders>
              <w:top w:val="nil"/>
              <w:left w:val="nil"/>
              <w:bottom w:val="nil"/>
              <w:right w:val="nil"/>
            </w:tcBorders>
            <w:shd w:val="clear" w:color="auto" w:fill="auto"/>
            <w:vAlign w:val="center"/>
            <w:hideMark/>
          </w:tcPr>
          <w:p w14:paraId="6C236765" w14:textId="77777777" w:rsidR="00685025" w:rsidRPr="00DC0CA9" w:rsidRDefault="00685025" w:rsidP="00C40363">
            <w:pPr>
              <w:spacing w:before="60" w:after="60" w:line="240" w:lineRule="auto"/>
              <w:ind w:firstLineChars="200" w:firstLine="400"/>
              <w:rPr>
                <w:rFonts w:ascii="Arial" w:hAnsi="Arial" w:cs="Arial"/>
                <w:sz w:val="20"/>
                <w:szCs w:val="20"/>
                <w:lang w:eastAsia="en-GB"/>
              </w:rPr>
            </w:pPr>
            <w:r w:rsidRPr="00DC0CA9">
              <w:rPr>
                <w:rFonts w:ascii="Arial" w:hAnsi="Arial" w:cs="Arial"/>
                <w:sz w:val="20"/>
                <w:szCs w:val="20"/>
                <w:lang w:val="en-US" w:eastAsia="en-GB"/>
              </w:rPr>
              <w:t>Thịt lợn</w:t>
            </w:r>
          </w:p>
        </w:tc>
        <w:tc>
          <w:tcPr>
            <w:tcW w:w="1060" w:type="dxa"/>
            <w:tcBorders>
              <w:top w:val="nil"/>
              <w:left w:val="nil"/>
              <w:bottom w:val="nil"/>
              <w:right w:val="nil"/>
            </w:tcBorders>
            <w:shd w:val="clear" w:color="auto" w:fill="auto"/>
            <w:noWrap/>
            <w:vAlign w:val="center"/>
            <w:hideMark/>
          </w:tcPr>
          <w:p w14:paraId="2542843B" w14:textId="77777777" w:rsidR="00685025" w:rsidRPr="00DC0CA9" w:rsidRDefault="00685025" w:rsidP="00C40363">
            <w:pPr>
              <w:spacing w:before="60" w:after="60" w:line="240" w:lineRule="auto"/>
              <w:ind w:left="-193" w:right="186"/>
              <w:jc w:val="right"/>
              <w:rPr>
                <w:rFonts w:ascii="Arial" w:hAnsi="Arial" w:cs="Arial"/>
                <w:sz w:val="20"/>
                <w:szCs w:val="20"/>
                <w:lang w:eastAsia="en-GB"/>
              </w:rPr>
            </w:pPr>
            <w:r w:rsidRPr="00DC0CA9">
              <w:rPr>
                <w:rFonts w:ascii="Arial" w:hAnsi="Arial" w:cs="Arial"/>
                <w:sz w:val="20"/>
                <w:szCs w:val="20"/>
                <w:lang w:val="en-US" w:eastAsia="en-GB"/>
              </w:rPr>
              <w:t>1.124,4</w:t>
            </w:r>
          </w:p>
        </w:tc>
        <w:tc>
          <w:tcPr>
            <w:tcW w:w="1060" w:type="dxa"/>
            <w:tcBorders>
              <w:top w:val="nil"/>
              <w:left w:val="nil"/>
              <w:bottom w:val="nil"/>
              <w:right w:val="nil"/>
            </w:tcBorders>
            <w:shd w:val="clear" w:color="auto" w:fill="auto"/>
            <w:noWrap/>
            <w:vAlign w:val="center"/>
            <w:hideMark/>
          </w:tcPr>
          <w:p w14:paraId="03D78CB3" w14:textId="77777777" w:rsidR="00685025" w:rsidRPr="00DC0CA9" w:rsidRDefault="00685025" w:rsidP="00C40363">
            <w:pPr>
              <w:spacing w:before="60" w:after="60" w:line="240" w:lineRule="auto"/>
              <w:ind w:left="-193" w:right="186"/>
              <w:jc w:val="right"/>
              <w:rPr>
                <w:rFonts w:ascii="Arial" w:hAnsi="Arial" w:cs="Arial"/>
                <w:sz w:val="20"/>
                <w:szCs w:val="20"/>
                <w:lang w:eastAsia="en-GB"/>
              </w:rPr>
            </w:pPr>
            <w:r w:rsidRPr="00DC0CA9">
              <w:rPr>
                <w:rFonts w:ascii="Arial" w:hAnsi="Arial" w:cs="Arial"/>
                <w:sz w:val="20"/>
                <w:szCs w:val="20"/>
                <w:lang w:val="en-US" w:eastAsia="en-GB"/>
              </w:rPr>
              <w:t>4.180,2</w:t>
            </w:r>
          </w:p>
        </w:tc>
        <w:tc>
          <w:tcPr>
            <w:tcW w:w="1366" w:type="dxa"/>
            <w:tcBorders>
              <w:top w:val="nil"/>
              <w:left w:val="nil"/>
              <w:bottom w:val="nil"/>
              <w:right w:val="nil"/>
            </w:tcBorders>
            <w:shd w:val="clear" w:color="auto" w:fill="auto"/>
            <w:noWrap/>
            <w:vAlign w:val="center"/>
            <w:hideMark/>
          </w:tcPr>
          <w:p w14:paraId="7F3D6A84" w14:textId="77777777" w:rsidR="00685025" w:rsidRPr="00DC0CA9" w:rsidRDefault="00685025" w:rsidP="00C40363">
            <w:pPr>
              <w:spacing w:before="60" w:after="60" w:line="240" w:lineRule="auto"/>
              <w:ind w:right="330"/>
              <w:jc w:val="right"/>
              <w:rPr>
                <w:rFonts w:ascii="Arial" w:hAnsi="Arial" w:cs="Arial"/>
                <w:sz w:val="20"/>
                <w:szCs w:val="20"/>
                <w:lang w:eastAsia="en-GB"/>
              </w:rPr>
            </w:pPr>
            <w:r w:rsidRPr="00DC0CA9">
              <w:rPr>
                <w:rFonts w:ascii="Arial" w:hAnsi="Arial" w:cs="Arial"/>
                <w:sz w:val="20"/>
                <w:szCs w:val="20"/>
                <w:lang w:val="en-US" w:eastAsia="en-GB"/>
              </w:rPr>
              <w:t>0,2</w:t>
            </w:r>
          </w:p>
        </w:tc>
        <w:tc>
          <w:tcPr>
            <w:tcW w:w="1361" w:type="dxa"/>
            <w:tcBorders>
              <w:top w:val="nil"/>
              <w:left w:val="nil"/>
              <w:bottom w:val="nil"/>
              <w:right w:val="nil"/>
            </w:tcBorders>
            <w:shd w:val="clear" w:color="auto" w:fill="auto"/>
            <w:noWrap/>
            <w:vAlign w:val="center"/>
            <w:hideMark/>
          </w:tcPr>
          <w:p w14:paraId="722C52B2" w14:textId="77777777" w:rsidR="00685025" w:rsidRPr="00DC0CA9" w:rsidRDefault="00685025" w:rsidP="00C40363">
            <w:pPr>
              <w:spacing w:before="60" w:after="60" w:line="240" w:lineRule="auto"/>
              <w:ind w:right="330"/>
              <w:jc w:val="right"/>
              <w:rPr>
                <w:rFonts w:ascii="Arial" w:hAnsi="Arial" w:cs="Arial"/>
                <w:sz w:val="20"/>
                <w:szCs w:val="20"/>
                <w:lang w:eastAsia="en-GB"/>
              </w:rPr>
            </w:pPr>
            <w:r w:rsidRPr="00DC0CA9">
              <w:rPr>
                <w:rFonts w:ascii="Arial" w:hAnsi="Arial" w:cs="Arial"/>
                <w:sz w:val="20"/>
                <w:szCs w:val="20"/>
                <w:lang w:val="en-US" w:eastAsia="en-GB"/>
              </w:rPr>
              <w:t>3,6</w:t>
            </w:r>
          </w:p>
        </w:tc>
      </w:tr>
      <w:tr w:rsidR="00DC0CA9" w:rsidRPr="00DC0CA9" w14:paraId="0EEA9F0F" w14:textId="77777777" w:rsidTr="00C40363">
        <w:trPr>
          <w:cantSplit/>
          <w:trHeight w:val="340"/>
          <w:jc w:val="center"/>
        </w:trPr>
        <w:tc>
          <w:tcPr>
            <w:tcW w:w="3912" w:type="dxa"/>
            <w:tcBorders>
              <w:top w:val="nil"/>
              <w:left w:val="nil"/>
              <w:bottom w:val="nil"/>
              <w:right w:val="nil"/>
            </w:tcBorders>
            <w:shd w:val="clear" w:color="auto" w:fill="auto"/>
            <w:vAlign w:val="center"/>
            <w:hideMark/>
          </w:tcPr>
          <w:p w14:paraId="649055C2" w14:textId="77777777" w:rsidR="00685025" w:rsidRPr="00DC0CA9" w:rsidRDefault="00685025" w:rsidP="00C40363">
            <w:pPr>
              <w:spacing w:before="60" w:after="60" w:line="240" w:lineRule="auto"/>
              <w:ind w:firstLineChars="200" w:firstLine="400"/>
              <w:rPr>
                <w:rFonts w:ascii="Arial" w:hAnsi="Arial" w:cs="Arial"/>
                <w:sz w:val="20"/>
                <w:szCs w:val="20"/>
                <w:lang w:eastAsia="en-GB"/>
              </w:rPr>
            </w:pPr>
            <w:r w:rsidRPr="00DC0CA9">
              <w:rPr>
                <w:rFonts w:ascii="Arial" w:hAnsi="Arial" w:cs="Arial"/>
                <w:sz w:val="20"/>
                <w:szCs w:val="20"/>
                <w:lang w:val="en-US" w:eastAsia="en-GB"/>
              </w:rPr>
              <w:t>Thịt gia cầm</w:t>
            </w:r>
          </w:p>
        </w:tc>
        <w:tc>
          <w:tcPr>
            <w:tcW w:w="1060" w:type="dxa"/>
            <w:tcBorders>
              <w:top w:val="nil"/>
              <w:left w:val="nil"/>
              <w:bottom w:val="nil"/>
              <w:right w:val="nil"/>
            </w:tcBorders>
            <w:shd w:val="clear" w:color="auto" w:fill="auto"/>
            <w:noWrap/>
            <w:vAlign w:val="center"/>
            <w:hideMark/>
          </w:tcPr>
          <w:p w14:paraId="1036EF43" w14:textId="77777777" w:rsidR="00685025" w:rsidRPr="00DC0CA9" w:rsidRDefault="00685025" w:rsidP="00C40363">
            <w:pPr>
              <w:spacing w:before="60" w:after="60" w:line="240" w:lineRule="auto"/>
              <w:ind w:left="-193" w:right="186"/>
              <w:jc w:val="right"/>
              <w:rPr>
                <w:rFonts w:ascii="Arial" w:hAnsi="Arial" w:cs="Arial"/>
                <w:sz w:val="20"/>
                <w:szCs w:val="20"/>
                <w:lang w:eastAsia="en-GB"/>
              </w:rPr>
            </w:pPr>
            <w:r w:rsidRPr="00DC0CA9">
              <w:rPr>
                <w:rFonts w:ascii="Arial" w:hAnsi="Arial" w:cs="Arial"/>
                <w:sz w:val="20"/>
                <w:szCs w:val="20"/>
                <w:lang w:val="en-US" w:eastAsia="en-GB"/>
              </w:rPr>
              <w:t>541,2</w:t>
            </w:r>
          </w:p>
        </w:tc>
        <w:tc>
          <w:tcPr>
            <w:tcW w:w="1060" w:type="dxa"/>
            <w:tcBorders>
              <w:top w:val="nil"/>
              <w:left w:val="nil"/>
              <w:bottom w:val="nil"/>
              <w:right w:val="nil"/>
            </w:tcBorders>
            <w:shd w:val="clear" w:color="auto" w:fill="auto"/>
            <w:noWrap/>
            <w:vAlign w:val="center"/>
            <w:hideMark/>
          </w:tcPr>
          <w:p w14:paraId="26859384" w14:textId="77777777" w:rsidR="00685025" w:rsidRPr="00DC0CA9" w:rsidRDefault="00685025" w:rsidP="00C40363">
            <w:pPr>
              <w:spacing w:before="60" w:after="60" w:line="240" w:lineRule="auto"/>
              <w:ind w:left="-193" w:right="186"/>
              <w:jc w:val="right"/>
              <w:rPr>
                <w:rFonts w:ascii="Arial" w:hAnsi="Arial" w:cs="Arial"/>
                <w:sz w:val="20"/>
                <w:szCs w:val="20"/>
                <w:lang w:eastAsia="en-GB"/>
              </w:rPr>
            </w:pPr>
            <w:r w:rsidRPr="00DC0CA9">
              <w:rPr>
                <w:rFonts w:ascii="Arial" w:hAnsi="Arial" w:cs="Arial"/>
                <w:sz w:val="20"/>
                <w:szCs w:val="20"/>
                <w:lang w:val="en-US" w:eastAsia="en-GB"/>
              </w:rPr>
              <w:t>1.940,9</w:t>
            </w:r>
          </w:p>
        </w:tc>
        <w:tc>
          <w:tcPr>
            <w:tcW w:w="1366" w:type="dxa"/>
            <w:tcBorders>
              <w:top w:val="nil"/>
              <w:left w:val="nil"/>
              <w:bottom w:val="nil"/>
              <w:right w:val="nil"/>
            </w:tcBorders>
            <w:shd w:val="clear" w:color="auto" w:fill="auto"/>
            <w:noWrap/>
            <w:vAlign w:val="center"/>
            <w:hideMark/>
          </w:tcPr>
          <w:p w14:paraId="6D78EEF0" w14:textId="77777777" w:rsidR="00685025" w:rsidRPr="00DC0CA9" w:rsidRDefault="00685025" w:rsidP="00C40363">
            <w:pPr>
              <w:spacing w:before="60" w:after="60" w:line="240" w:lineRule="auto"/>
              <w:ind w:right="330"/>
              <w:jc w:val="right"/>
              <w:rPr>
                <w:rFonts w:ascii="Arial" w:hAnsi="Arial" w:cs="Arial"/>
                <w:sz w:val="20"/>
                <w:szCs w:val="20"/>
                <w:lang w:eastAsia="en-GB"/>
              </w:rPr>
            </w:pPr>
            <w:r w:rsidRPr="00DC0CA9">
              <w:rPr>
                <w:rFonts w:ascii="Arial" w:hAnsi="Arial" w:cs="Arial"/>
                <w:sz w:val="20"/>
                <w:szCs w:val="20"/>
                <w:lang w:val="en-US" w:eastAsia="en-GB"/>
              </w:rPr>
              <w:t>0,9</w:t>
            </w:r>
          </w:p>
        </w:tc>
        <w:tc>
          <w:tcPr>
            <w:tcW w:w="1361" w:type="dxa"/>
            <w:tcBorders>
              <w:top w:val="nil"/>
              <w:left w:val="nil"/>
              <w:bottom w:val="nil"/>
              <w:right w:val="nil"/>
            </w:tcBorders>
            <w:shd w:val="clear" w:color="auto" w:fill="auto"/>
            <w:noWrap/>
            <w:vAlign w:val="center"/>
            <w:hideMark/>
          </w:tcPr>
          <w:p w14:paraId="53737209" w14:textId="77777777" w:rsidR="00685025" w:rsidRPr="00DC0CA9" w:rsidRDefault="00685025" w:rsidP="00C40363">
            <w:pPr>
              <w:spacing w:before="60" w:after="60" w:line="240" w:lineRule="auto"/>
              <w:ind w:right="330"/>
              <w:jc w:val="right"/>
              <w:rPr>
                <w:rFonts w:ascii="Arial" w:hAnsi="Arial" w:cs="Arial"/>
                <w:sz w:val="20"/>
                <w:szCs w:val="20"/>
                <w:lang w:eastAsia="en-GB"/>
              </w:rPr>
            </w:pPr>
            <w:r w:rsidRPr="00DC0CA9">
              <w:rPr>
                <w:rFonts w:ascii="Arial" w:hAnsi="Arial" w:cs="Arial"/>
                <w:sz w:val="20"/>
                <w:szCs w:val="20"/>
                <w:lang w:val="en-US" w:eastAsia="en-GB"/>
              </w:rPr>
              <w:t>3,2</w:t>
            </w:r>
          </w:p>
        </w:tc>
      </w:tr>
      <w:tr w:rsidR="00DC0CA9" w:rsidRPr="00DC0CA9" w14:paraId="300AA3FF" w14:textId="77777777" w:rsidTr="00C40363">
        <w:trPr>
          <w:cantSplit/>
          <w:trHeight w:val="340"/>
          <w:jc w:val="center"/>
        </w:trPr>
        <w:tc>
          <w:tcPr>
            <w:tcW w:w="3912" w:type="dxa"/>
            <w:tcBorders>
              <w:top w:val="nil"/>
              <w:left w:val="nil"/>
              <w:bottom w:val="nil"/>
              <w:right w:val="nil"/>
            </w:tcBorders>
            <w:shd w:val="clear" w:color="auto" w:fill="auto"/>
            <w:vAlign w:val="center"/>
            <w:hideMark/>
          </w:tcPr>
          <w:p w14:paraId="59E4C97B" w14:textId="77777777" w:rsidR="00685025" w:rsidRPr="00DC0CA9" w:rsidRDefault="00685025" w:rsidP="00C40363">
            <w:pPr>
              <w:spacing w:before="60" w:after="60" w:line="240" w:lineRule="auto"/>
              <w:ind w:firstLineChars="200" w:firstLine="400"/>
              <w:rPr>
                <w:rFonts w:ascii="Arial" w:hAnsi="Arial" w:cs="Arial"/>
                <w:sz w:val="20"/>
                <w:szCs w:val="20"/>
                <w:lang w:eastAsia="en-GB"/>
              </w:rPr>
            </w:pPr>
            <w:r w:rsidRPr="00DC0CA9">
              <w:rPr>
                <w:rFonts w:ascii="Arial" w:hAnsi="Arial" w:cs="Arial"/>
                <w:sz w:val="20"/>
                <w:szCs w:val="20"/>
                <w:lang w:val="en-US" w:eastAsia="en-GB"/>
              </w:rPr>
              <w:t>Thịt trâu</w:t>
            </w:r>
          </w:p>
        </w:tc>
        <w:tc>
          <w:tcPr>
            <w:tcW w:w="1060" w:type="dxa"/>
            <w:tcBorders>
              <w:top w:val="nil"/>
              <w:left w:val="nil"/>
              <w:bottom w:val="nil"/>
              <w:right w:val="nil"/>
            </w:tcBorders>
            <w:shd w:val="clear" w:color="auto" w:fill="auto"/>
            <w:noWrap/>
            <w:vAlign w:val="center"/>
            <w:hideMark/>
          </w:tcPr>
          <w:p w14:paraId="39125504" w14:textId="77777777" w:rsidR="00685025" w:rsidRPr="00DC0CA9" w:rsidRDefault="00685025" w:rsidP="00C40363">
            <w:pPr>
              <w:spacing w:before="60" w:after="60" w:line="240" w:lineRule="auto"/>
              <w:ind w:left="-193" w:right="186"/>
              <w:jc w:val="right"/>
              <w:rPr>
                <w:rFonts w:ascii="Arial" w:hAnsi="Arial" w:cs="Arial"/>
                <w:sz w:val="20"/>
                <w:szCs w:val="20"/>
                <w:lang w:eastAsia="en-GB"/>
              </w:rPr>
            </w:pPr>
            <w:r w:rsidRPr="00DC0CA9">
              <w:rPr>
                <w:rFonts w:ascii="Arial" w:hAnsi="Arial" w:cs="Arial"/>
                <w:sz w:val="20"/>
                <w:szCs w:val="20"/>
                <w:lang w:val="en-US" w:eastAsia="en-GB"/>
              </w:rPr>
              <w:t>34,5</w:t>
            </w:r>
          </w:p>
        </w:tc>
        <w:tc>
          <w:tcPr>
            <w:tcW w:w="1060" w:type="dxa"/>
            <w:tcBorders>
              <w:top w:val="nil"/>
              <w:left w:val="nil"/>
              <w:bottom w:val="nil"/>
              <w:right w:val="nil"/>
            </w:tcBorders>
            <w:shd w:val="clear" w:color="auto" w:fill="auto"/>
            <w:noWrap/>
            <w:vAlign w:val="center"/>
            <w:hideMark/>
          </w:tcPr>
          <w:p w14:paraId="0F54526C" w14:textId="77777777" w:rsidR="00685025" w:rsidRPr="00DC0CA9" w:rsidRDefault="00685025" w:rsidP="00C40363">
            <w:pPr>
              <w:spacing w:before="60" w:after="60" w:line="240" w:lineRule="auto"/>
              <w:ind w:left="-193" w:right="186"/>
              <w:jc w:val="right"/>
              <w:rPr>
                <w:rFonts w:ascii="Arial" w:hAnsi="Arial" w:cs="Arial"/>
                <w:sz w:val="20"/>
                <w:szCs w:val="20"/>
                <w:lang w:eastAsia="en-GB"/>
              </w:rPr>
            </w:pPr>
            <w:r w:rsidRPr="00DC0CA9">
              <w:rPr>
                <w:rFonts w:ascii="Arial" w:hAnsi="Arial" w:cs="Arial"/>
                <w:sz w:val="20"/>
                <w:szCs w:val="20"/>
                <w:lang w:val="en-US" w:eastAsia="en-GB"/>
              </w:rPr>
              <w:t>120,9</w:t>
            </w:r>
          </w:p>
        </w:tc>
        <w:tc>
          <w:tcPr>
            <w:tcW w:w="1366" w:type="dxa"/>
            <w:tcBorders>
              <w:top w:val="nil"/>
              <w:left w:val="nil"/>
              <w:bottom w:val="nil"/>
              <w:right w:val="nil"/>
            </w:tcBorders>
            <w:shd w:val="clear" w:color="auto" w:fill="auto"/>
            <w:noWrap/>
            <w:vAlign w:val="center"/>
            <w:hideMark/>
          </w:tcPr>
          <w:p w14:paraId="30EAB627" w14:textId="77777777" w:rsidR="00685025" w:rsidRPr="00DC0CA9" w:rsidRDefault="00685025" w:rsidP="00C40363">
            <w:pPr>
              <w:spacing w:before="60" w:after="60" w:line="240" w:lineRule="auto"/>
              <w:ind w:right="330"/>
              <w:jc w:val="right"/>
              <w:rPr>
                <w:rFonts w:ascii="Arial" w:hAnsi="Arial" w:cs="Arial"/>
                <w:sz w:val="20"/>
                <w:szCs w:val="20"/>
                <w:lang w:eastAsia="en-GB"/>
              </w:rPr>
            </w:pPr>
            <w:r w:rsidRPr="00DC0CA9">
              <w:rPr>
                <w:rFonts w:ascii="Arial" w:hAnsi="Arial" w:cs="Arial"/>
                <w:sz w:val="20"/>
                <w:szCs w:val="20"/>
                <w:lang w:val="en-US" w:eastAsia="en-GB"/>
              </w:rPr>
              <w:t>3,5</w:t>
            </w:r>
          </w:p>
        </w:tc>
        <w:tc>
          <w:tcPr>
            <w:tcW w:w="1361" w:type="dxa"/>
            <w:tcBorders>
              <w:top w:val="nil"/>
              <w:left w:val="nil"/>
              <w:bottom w:val="nil"/>
              <w:right w:val="nil"/>
            </w:tcBorders>
            <w:shd w:val="clear" w:color="auto" w:fill="auto"/>
            <w:noWrap/>
            <w:vAlign w:val="center"/>
            <w:hideMark/>
          </w:tcPr>
          <w:p w14:paraId="375AC37F" w14:textId="77777777" w:rsidR="00685025" w:rsidRPr="00DC0CA9" w:rsidRDefault="00685025" w:rsidP="00C40363">
            <w:pPr>
              <w:spacing w:before="60" w:after="60" w:line="240" w:lineRule="auto"/>
              <w:ind w:right="330"/>
              <w:jc w:val="right"/>
              <w:rPr>
                <w:rFonts w:ascii="Arial" w:hAnsi="Arial" w:cs="Arial"/>
                <w:sz w:val="20"/>
                <w:szCs w:val="20"/>
                <w:lang w:eastAsia="en-GB"/>
              </w:rPr>
            </w:pPr>
            <w:r w:rsidRPr="00DC0CA9">
              <w:rPr>
                <w:rFonts w:ascii="Arial" w:hAnsi="Arial" w:cs="Arial"/>
                <w:sz w:val="20"/>
                <w:szCs w:val="20"/>
                <w:lang w:val="en-US" w:eastAsia="en-GB"/>
              </w:rPr>
              <w:t>0,5</w:t>
            </w:r>
          </w:p>
        </w:tc>
      </w:tr>
      <w:tr w:rsidR="00DC0CA9" w:rsidRPr="00DC0CA9" w14:paraId="465A0D90" w14:textId="77777777" w:rsidTr="00C40363">
        <w:trPr>
          <w:cantSplit/>
          <w:trHeight w:val="340"/>
          <w:jc w:val="center"/>
        </w:trPr>
        <w:tc>
          <w:tcPr>
            <w:tcW w:w="3912" w:type="dxa"/>
            <w:tcBorders>
              <w:top w:val="nil"/>
              <w:left w:val="nil"/>
              <w:bottom w:val="nil"/>
              <w:right w:val="nil"/>
            </w:tcBorders>
            <w:shd w:val="clear" w:color="auto" w:fill="auto"/>
            <w:vAlign w:val="center"/>
            <w:hideMark/>
          </w:tcPr>
          <w:p w14:paraId="234244B5" w14:textId="77777777" w:rsidR="00685025" w:rsidRPr="00DC0CA9" w:rsidRDefault="00685025" w:rsidP="00C40363">
            <w:pPr>
              <w:spacing w:before="60" w:after="60" w:line="240" w:lineRule="auto"/>
              <w:ind w:firstLineChars="200" w:firstLine="400"/>
              <w:rPr>
                <w:rFonts w:ascii="Arial" w:hAnsi="Arial" w:cs="Arial"/>
                <w:sz w:val="20"/>
                <w:szCs w:val="20"/>
                <w:lang w:eastAsia="en-GB"/>
              </w:rPr>
            </w:pPr>
            <w:r w:rsidRPr="00DC0CA9">
              <w:rPr>
                <w:rFonts w:ascii="Arial" w:hAnsi="Arial" w:cs="Arial"/>
                <w:sz w:val="20"/>
                <w:szCs w:val="20"/>
                <w:lang w:val="en-US" w:eastAsia="en-GB"/>
              </w:rPr>
              <w:t>Thịt bò</w:t>
            </w:r>
          </w:p>
        </w:tc>
        <w:tc>
          <w:tcPr>
            <w:tcW w:w="1060" w:type="dxa"/>
            <w:tcBorders>
              <w:top w:val="nil"/>
              <w:left w:val="nil"/>
              <w:bottom w:val="nil"/>
              <w:right w:val="nil"/>
            </w:tcBorders>
            <w:shd w:val="clear" w:color="auto" w:fill="auto"/>
            <w:noWrap/>
            <w:vAlign w:val="center"/>
            <w:hideMark/>
          </w:tcPr>
          <w:p w14:paraId="405289C7" w14:textId="77777777" w:rsidR="00685025" w:rsidRPr="00DC0CA9" w:rsidRDefault="00685025" w:rsidP="00C40363">
            <w:pPr>
              <w:spacing w:before="60" w:after="60" w:line="240" w:lineRule="auto"/>
              <w:ind w:left="-193" w:right="186"/>
              <w:jc w:val="right"/>
              <w:rPr>
                <w:rFonts w:ascii="Arial" w:hAnsi="Arial" w:cs="Arial"/>
                <w:sz w:val="20"/>
                <w:szCs w:val="20"/>
                <w:lang w:eastAsia="en-GB"/>
              </w:rPr>
            </w:pPr>
            <w:r w:rsidRPr="00DC0CA9">
              <w:rPr>
                <w:rFonts w:ascii="Arial" w:hAnsi="Arial" w:cs="Arial"/>
                <w:sz w:val="20"/>
                <w:szCs w:val="20"/>
                <w:lang w:val="en-US" w:eastAsia="en-GB"/>
              </w:rPr>
              <w:t>123,2</w:t>
            </w:r>
          </w:p>
        </w:tc>
        <w:tc>
          <w:tcPr>
            <w:tcW w:w="1060" w:type="dxa"/>
            <w:tcBorders>
              <w:top w:val="nil"/>
              <w:left w:val="nil"/>
              <w:bottom w:val="nil"/>
              <w:right w:val="nil"/>
            </w:tcBorders>
            <w:shd w:val="clear" w:color="auto" w:fill="auto"/>
            <w:noWrap/>
            <w:vAlign w:val="center"/>
            <w:hideMark/>
          </w:tcPr>
          <w:p w14:paraId="397C6FB6" w14:textId="77777777" w:rsidR="00685025" w:rsidRPr="00DC0CA9" w:rsidRDefault="00685025" w:rsidP="00C40363">
            <w:pPr>
              <w:spacing w:before="60" w:after="60" w:line="240" w:lineRule="auto"/>
              <w:ind w:left="-193" w:right="186"/>
              <w:jc w:val="right"/>
              <w:rPr>
                <w:rFonts w:ascii="Arial" w:hAnsi="Arial" w:cs="Arial"/>
                <w:sz w:val="20"/>
                <w:szCs w:val="20"/>
                <w:lang w:eastAsia="en-GB"/>
              </w:rPr>
            </w:pPr>
            <w:r w:rsidRPr="00DC0CA9">
              <w:rPr>
                <w:rFonts w:ascii="Arial" w:hAnsi="Arial" w:cs="Arial"/>
                <w:sz w:val="20"/>
                <w:szCs w:val="20"/>
                <w:lang w:val="en-US" w:eastAsia="en-GB"/>
              </w:rPr>
              <w:t>458,3</w:t>
            </w:r>
          </w:p>
        </w:tc>
        <w:tc>
          <w:tcPr>
            <w:tcW w:w="1366" w:type="dxa"/>
            <w:tcBorders>
              <w:top w:val="nil"/>
              <w:left w:val="nil"/>
              <w:bottom w:val="nil"/>
              <w:right w:val="nil"/>
            </w:tcBorders>
            <w:shd w:val="clear" w:color="auto" w:fill="auto"/>
            <w:noWrap/>
            <w:vAlign w:val="center"/>
            <w:hideMark/>
          </w:tcPr>
          <w:p w14:paraId="75D6597A" w14:textId="77777777" w:rsidR="00685025" w:rsidRPr="00DC0CA9" w:rsidRDefault="00685025" w:rsidP="00C40363">
            <w:pPr>
              <w:spacing w:before="60" w:after="60" w:line="240" w:lineRule="auto"/>
              <w:ind w:right="330"/>
              <w:jc w:val="right"/>
              <w:rPr>
                <w:rFonts w:ascii="Arial" w:hAnsi="Arial" w:cs="Arial"/>
                <w:sz w:val="20"/>
                <w:szCs w:val="20"/>
                <w:lang w:eastAsia="en-GB"/>
              </w:rPr>
            </w:pPr>
            <w:r w:rsidRPr="00DC0CA9">
              <w:rPr>
                <w:rFonts w:ascii="Arial" w:hAnsi="Arial" w:cs="Arial"/>
                <w:sz w:val="20"/>
                <w:szCs w:val="20"/>
                <w:lang w:val="en-US" w:eastAsia="en-GB"/>
              </w:rPr>
              <w:t>5,4</w:t>
            </w:r>
          </w:p>
        </w:tc>
        <w:tc>
          <w:tcPr>
            <w:tcW w:w="1361" w:type="dxa"/>
            <w:tcBorders>
              <w:top w:val="nil"/>
              <w:left w:val="nil"/>
              <w:bottom w:val="nil"/>
              <w:right w:val="nil"/>
            </w:tcBorders>
            <w:shd w:val="clear" w:color="auto" w:fill="auto"/>
            <w:noWrap/>
            <w:vAlign w:val="center"/>
            <w:hideMark/>
          </w:tcPr>
          <w:p w14:paraId="3B339EA6" w14:textId="77777777" w:rsidR="00685025" w:rsidRPr="00DC0CA9" w:rsidRDefault="00685025" w:rsidP="00C40363">
            <w:pPr>
              <w:spacing w:before="60" w:after="60" w:line="240" w:lineRule="auto"/>
              <w:ind w:right="330"/>
              <w:jc w:val="right"/>
              <w:rPr>
                <w:rFonts w:ascii="Arial" w:hAnsi="Arial" w:cs="Arial"/>
                <w:sz w:val="20"/>
                <w:szCs w:val="20"/>
                <w:lang w:eastAsia="en-GB"/>
              </w:rPr>
            </w:pPr>
            <w:r w:rsidRPr="00DC0CA9">
              <w:rPr>
                <w:rFonts w:ascii="Arial" w:hAnsi="Arial" w:cs="Arial"/>
                <w:sz w:val="20"/>
                <w:szCs w:val="20"/>
                <w:lang w:val="en-US" w:eastAsia="en-GB"/>
              </w:rPr>
              <w:t>3,8</w:t>
            </w:r>
          </w:p>
        </w:tc>
      </w:tr>
      <w:tr w:rsidR="00DC0CA9" w:rsidRPr="00DC0CA9" w14:paraId="37DD15B4" w14:textId="77777777" w:rsidTr="00C40363">
        <w:trPr>
          <w:cantSplit/>
          <w:trHeight w:val="340"/>
          <w:jc w:val="center"/>
        </w:trPr>
        <w:tc>
          <w:tcPr>
            <w:tcW w:w="3912" w:type="dxa"/>
            <w:tcBorders>
              <w:top w:val="nil"/>
              <w:left w:val="nil"/>
              <w:bottom w:val="nil"/>
              <w:right w:val="nil"/>
            </w:tcBorders>
            <w:shd w:val="clear" w:color="auto" w:fill="auto"/>
            <w:noWrap/>
            <w:vAlign w:val="center"/>
            <w:hideMark/>
          </w:tcPr>
          <w:p w14:paraId="07C71D31" w14:textId="77777777" w:rsidR="00685025" w:rsidRPr="00DC0CA9" w:rsidRDefault="00685025" w:rsidP="00C40363">
            <w:pPr>
              <w:spacing w:before="60" w:after="60" w:line="240" w:lineRule="auto"/>
              <w:rPr>
                <w:rFonts w:ascii="Arial" w:hAnsi="Arial" w:cs="Arial"/>
                <w:sz w:val="20"/>
                <w:szCs w:val="20"/>
                <w:lang w:eastAsia="en-GB"/>
              </w:rPr>
            </w:pPr>
            <w:r w:rsidRPr="00DC0CA9">
              <w:rPr>
                <w:rFonts w:ascii="Arial" w:hAnsi="Arial" w:cs="Arial"/>
                <w:sz w:val="20"/>
                <w:szCs w:val="20"/>
                <w:lang w:val="en-US" w:eastAsia="en-GB"/>
              </w:rPr>
              <w:t>Trứng (Triệu quả)</w:t>
            </w:r>
          </w:p>
        </w:tc>
        <w:tc>
          <w:tcPr>
            <w:tcW w:w="1060" w:type="dxa"/>
            <w:tcBorders>
              <w:top w:val="nil"/>
              <w:left w:val="nil"/>
              <w:bottom w:val="nil"/>
              <w:right w:val="nil"/>
            </w:tcBorders>
            <w:shd w:val="clear" w:color="auto" w:fill="auto"/>
            <w:noWrap/>
            <w:vAlign w:val="center"/>
            <w:hideMark/>
          </w:tcPr>
          <w:p w14:paraId="7CB78609" w14:textId="77777777" w:rsidR="00685025" w:rsidRPr="00DC0CA9" w:rsidRDefault="00685025" w:rsidP="00C40363">
            <w:pPr>
              <w:spacing w:before="60" w:after="60" w:line="240" w:lineRule="auto"/>
              <w:ind w:left="-193" w:right="186"/>
              <w:jc w:val="right"/>
              <w:rPr>
                <w:rFonts w:ascii="Arial" w:hAnsi="Arial" w:cs="Arial"/>
                <w:sz w:val="20"/>
                <w:szCs w:val="20"/>
                <w:lang w:eastAsia="en-GB"/>
              </w:rPr>
            </w:pPr>
            <w:r w:rsidRPr="00DC0CA9">
              <w:rPr>
                <w:rFonts w:ascii="Arial" w:hAnsi="Arial" w:cs="Arial"/>
                <w:sz w:val="20"/>
                <w:szCs w:val="20"/>
                <w:lang w:val="en-US" w:eastAsia="en-GB"/>
              </w:rPr>
              <w:t>4.686,8</w:t>
            </w:r>
          </w:p>
        </w:tc>
        <w:tc>
          <w:tcPr>
            <w:tcW w:w="1060" w:type="dxa"/>
            <w:tcBorders>
              <w:top w:val="nil"/>
              <w:left w:val="nil"/>
              <w:bottom w:val="nil"/>
              <w:right w:val="nil"/>
            </w:tcBorders>
            <w:shd w:val="clear" w:color="auto" w:fill="auto"/>
            <w:noWrap/>
            <w:vAlign w:val="center"/>
            <w:hideMark/>
          </w:tcPr>
          <w:p w14:paraId="279E120A" w14:textId="77777777" w:rsidR="00685025" w:rsidRPr="00DC0CA9" w:rsidRDefault="00685025" w:rsidP="00C40363">
            <w:pPr>
              <w:spacing w:before="60" w:after="60" w:line="240" w:lineRule="auto"/>
              <w:ind w:left="-193" w:right="186"/>
              <w:jc w:val="right"/>
              <w:rPr>
                <w:rFonts w:ascii="Arial" w:hAnsi="Arial" w:cs="Arial"/>
                <w:sz w:val="20"/>
                <w:szCs w:val="20"/>
                <w:lang w:eastAsia="en-GB"/>
              </w:rPr>
            </w:pPr>
            <w:r w:rsidRPr="00DC0CA9">
              <w:rPr>
                <w:rFonts w:ascii="Arial" w:hAnsi="Arial" w:cs="Arial"/>
                <w:sz w:val="20"/>
                <w:szCs w:val="20"/>
                <w:lang w:val="en-US" w:eastAsia="en-GB"/>
              </w:rPr>
              <w:t>17.530,4</w:t>
            </w:r>
          </w:p>
        </w:tc>
        <w:tc>
          <w:tcPr>
            <w:tcW w:w="1366" w:type="dxa"/>
            <w:tcBorders>
              <w:top w:val="nil"/>
              <w:left w:val="nil"/>
              <w:bottom w:val="nil"/>
              <w:right w:val="nil"/>
            </w:tcBorders>
            <w:shd w:val="clear" w:color="auto" w:fill="auto"/>
            <w:noWrap/>
            <w:vAlign w:val="center"/>
            <w:hideMark/>
          </w:tcPr>
          <w:p w14:paraId="7626CC64" w14:textId="77777777" w:rsidR="00685025" w:rsidRPr="00DC0CA9" w:rsidRDefault="00685025" w:rsidP="00C40363">
            <w:pPr>
              <w:spacing w:before="60" w:after="60" w:line="240" w:lineRule="auto"/>
              <w:ind w:right="330"/>
              <w:jc w:val="right"/>
              <w:rPr>
                <w:rFonts w:ascii="Arial" w:hAnsi="Arial" w:cs="Arial"/>
                <w:sz w:val="20"/>
                <w:szCs w:val="20"/>
                <w:lang w:eastAsia="en-GB"/>
              </w:rPr>
            </w:pPr>
            <w:r w:rsidRPr="00DC0CA9">
              <w:rPr>
                <w:rFonts w:ascii="Arial" w:hAnsi="Arial" w:cs="Arial"/>
                <w:sz w:val="20"/>
                <w:szCs w:val="20"/>
                <w:lang w:val="en-US" w:eastAsia="en-GB"/>
              </w:rPr>
              <w:t>7,4</w:t>
            </w:r>
          </w:p>
        </w:tc>
        <w:tc>
          <w:tcPr>
            <w:tcW w:w="1361" w:type="dxa"/>
            <w:tcBorders>
              <w:top w:val="nil"/>
              <w:left w:val="nil"/>
              <w:bottom w:val="nil"/>
              <w:right w:val="nil"/>
            </w:tcBorders>
            <w:shd w:val="clear" w:color="auto" w:fill="auto"/>
            <w:noWrap/>
            <w:vAlign w:val="center"/>
            <w:hideMark/>
          </w:tcPr>
          <w:p w14:paraId="497C1276" w14:textId="77777777" w:rsidR="00685025" w:rsidRPr="00DC0CA9" w:rsidRDefault="00685025" w:rsidP="00C40363">
            <w:pPr>
              <w:spacing w:before="60" w:after="60" w:line="240" w:lineRule="auto"/>
              <w:ind w:right="330"/>
              <w:jc w:val="right"/>
              <w:rPr>
                <w:rFonts w:ascii="Arial" w:hAnsi="Arial" w:cs="Arial"/>
                <w:sz w:val="20"/>
                <w:szCs w:val="20"/>
                <w:lang w:eastAsia="en-GB"/>
              </w:rPr>
            </w:pPr>
            <w:r w:rsidRPr="00DC0CA9">
              <w:rPr>
                <w:rFonts w:ascii="Arial" w:hAnsi="Arial" w:cs="Arial"/>
                <w:sz w:val="20"/>
                <w:szCs w:val="20"/>
                <w:lang w:val="en-US" w:eastAsia="en-GB"/>
              </w:rPr>
              <w:t>5,1</w:t>
            </w:r>
          </w:p>
        </w:tc>
      </w:tr>
      <w:tr w:rsidR="00DC0CA9" w:rsidRPr="00DC0CA9" w14:paraId="6EE3F219" w14:textId="77777777" w:rsidTr="00C40363">
        <w:trPr>
          <w:cantSplit/>
          <w:trHeight w:val="340"/>
          <w:jc w:val="center"/>
        </w:trPr>
        <w:tc>
          <w:tcPr>
            <w:tcW w:w="3912" w:type="dxa"/>
            <w:tcBorders>
              <w:top w:val="nil"/>
              <w:left w:val="nil"/>
              <w:bottom w:val="single" w:sz="8" w:space="0" w:color="auto"/>
              <w:right w:val="nil"/>
            </w:tcBorders>
            <w:shd w:val="clear" w:color="auto" w:fill="auto"/>
            <w:noWrap/>
            <w:vAlign w:val="center"/>
            <w:hideMark/>
          </w:tcPr>
          <w:p w14:paraId="37967641" w14:textId="77777777" w:rsidR="00685025" w:rsidRPr="00DC0CA9" w:rsidRDefault="00685025" w:rsidP="00C40363">
            <w:pPr>
              <w:spacing w:before="60" w:after="60" w:line="240" w:lineRule="auto"/>
              <w:rPr>
                <w:rFonts w:ascii="Arial" w:hAnsi="Arial" w:cs="Arial"/>
                <w:sz w:val="20"/>
                <w:szCs w:val="20"/>
                <w:lang w:eastAsia="en-GB"/>
              </w:rPr>
            </w:pPr>
            <w:r w:rsidRPr="00DC0CA9">
              <w:rPr>
                <w:rFonts w:ascii="Arial" w:hAnsi="Arial" w:cs="Arial"/>
                <w:sz w:val="20"/>
                <w:szCs w:val="20"/>
                <w:lang w:val="en-US" w:eastAsia="en-GB"/>
              </w:rPr>
              <w:t>Sữa (Nghìn tấn)</w:t>
            </w:r>
          </w:p>
        </w:tc>
        <w:tc>
          <w:tcPr>
            <w:tcW w:w="1060" w:type="dxa"/>
            <w:tcBorders>
              <w:top w:val="nil"/>
              <w:left w:val="nil"/>
              <w:bottom w:val="single" w:sz="8" w:space="0" w:color="auto"/>
              <w:right w:val="nil"/>
            </w:tcBorders>
            <w:shd w:val="clear" w:color="auto" w:fill="auto"/>
            <w:noWrap/>
            <w:vAlign w:val="center"/>
            <w:hideMark/>
          </w:tcPr>
          <w:p w14:paraId="2243699E" w14:textId="77777777" w:rsidR="00685025" w:rsidRPr="00DC0CA9" w:rsidRDefault="00685025" w:rsidP="00C40363">
            <w:pPr>
              <w:spacing w:before="60" w:after="60" w:line="240" w:lineRule="auto"/>
              <w:ind w:left="-193" w:right="186"/>
              <w:jc w:val="right"/>
              <w:rPr>
                <w:rFonts w:ascii="Arial" w:hAnsi="Arial" w:cs="Arial"/>
                <w:sz w:val="20"/>
                <w:szCs w:val="20"/>
                <w:lang w:eastAsia="en-GB"/>
              </w:rPr>
            </w:pPr>
            <w:r w:rsidRPr="00DC0CA9">
              <w:rPr>
                <w:rFonts w:ascii="Arial" w:hAnsi="Arial" w:cs="Arial"/>
                <w:sz w:val="20"/>
                <w:szCs w:val="20"/>
                <w:lang w:val="en-US" w:eastAsia="en-GB"/>
              </w:rPr>
              <w:t>314,2</w:t>
            </w:r>
          </w:p>
        </w:tc>
        <w:tc>
          <w:tcPr>
            <w:tcW w:w="1060" w:type="dxa"/>
            <w:tcBorders>
              <w:top w:val="nil"/>
              <w:left w:val="nil"/>
              <w:bottom w:val="single" w:sz="8" w:space="0" w:color="auto"/>
              <w:right w:val="nil"/>
            </w:tcBorders>
            <w:shd w:val="clear" w:color="auto" w:fill="auto"/>
            <w:noWrap/>
            <w:vAlign w:val="center"/>
            <w:hideMark/>
          </w:tcPr>
          <w:p w14:paraId="0F378940" w14:textId="77777777" w:rsidR="00685025" w:rsidRPr="00DC0CA9" w:rsidRDefault="00685025" w:rsidP="00C40363">
            <w:pPr>
              <w:spacing w:before="60" w:after="60" w:line="240" w:lineRule="auto"/>
              <w:ind w:left="-193" w:right="186"/>
              <w:jc w:val="right"/>
              <w:rPr>
                <w:rFonts w:ascii="Arial" w:hAnsi="Arial" w:cs="Arial"/>
                <w:sz w:val="20"/>
                <w:szCs w:val="20"/>
                <w:lang w:eastAsia="en-GB"/>
              </w:rPr>
            </w:pPr>
            <w:r w:rsidRPr="00DC0CA9">
              <w:rPr>
                <w:rFonts w:ascii="Arial" w:hAnsi="Arial" w:cs="Arial"/>
                <w:sz w:val="20"/>
                <w:szCs w:val="20"/>
                <w:lang w:val="en-US" w:eastAsia="en-GB"/>
              </w:rPr>
              <w:t>1.159,3</w:t>
            </w:r>
          </w:p>
        </w:tc>
        <w:tc>
          <w:tcPr>
            <w:tcW w:w="1366" w:type="dxa"/>
            <w:tcBorders>
              <w:top w:val="nil"/>
              <w:left w:val="nil"/>
              <w:bottom w:val="single" w:sz="8" w:space="0" w:color="auto"/>
              <w:right w:val="nil"/>
            </w:tcBorders>
            <w:shd w:val="clear" w:color="auto" w:fill="auto"/>
            <w:noWrap/>
            <w:vAlign w:val="center"/>
            <w:hideMark/>
          </w:tcPr>
          <w:p w14:paraId="60990E3A" w14:textId="77777777" w:rsidR="00685025" w:rsidRPr="00DC0CA9" w:rsidRDefault="00685025" w:rsidP="00C40363">
            <w:pPr>
              <w:spacing w:before="60" w:after="60" w:line="240" w:lineRule="auto"/>
              <w:ind w:right="330"/>
              <w:jc w:val="right"/>
              <w:rPr>
                <w:rFonts w:ascii="Arial" w:hAnsi="Arial" w:cs="Arial"/>
                <w:sz w:val="20"/>
                <w:szCs w:val="20"/>
                <w:lang w:eastAsia="en-GB"/>
              </w:rPr>
            </w:pPr>
            <w:r w:rsidRPr="00DC0CA9">
              <w:rPr>
                <w:rFonts w:ascii="Arial" w:hAnsi="Arial" w:cs="Arial"/>
                <w:sz w:val="20"/>
                <w:szCs w:val="20"/>
                <w:lang w:val="en-US" w:eastAsia="en-GB"/>
              </w:rPr>
              <w:t>13,3</w:t>
            </w:r>
          </w:p>
        </w:tc>
        <w:tc>
          <w:tcPr>
            <w:tcW w:w="1361" w:type="dxa"/>
            <w:tcBorders>
              <w:top w:val="nil"/>
              <w:left w:val="nil"/>
              <w:bottom w:val="single" w:sz="8" w:space="0" w:color="auto"/>
              <w:right w:val="nil"/>
            </w:tcBorders>
            <w:shd w:val="clear" w:color="auto" w:fill="auto"/>
            <w:noWrap/>
            <w:vAlign w:val="center"/>
            <w:hideMark/>
          </w:tcPr>
          <w:p w14:paraId="6AC3A6D4" w14:textId="77777777" w:rsidR="00685025" w:rsidRPr="00DC0CA9" w:rsidRDefault="00685025" w:rsidP="00C40363">
            <w:pPr>
              <w:spacing w:before="60" w:after="60" w:line="240" w:lineRule="auto"/>
              <w:ind w:right="330"/>
              <w:jc w:val="right"/>
              <w:rPr>
                <w:rFonts w:ascii="Arial" w:hAnsi="Arial" w:cs="Arial"/>
                <w:sz w:val="20"/>
                <w:szCs w:val="20"/>
                <w:lang w:eastAsia="en-GB"/>
              </w:rPr>
            </w:pPr>
            <w:r w:rsidRPr="00DC0CA9">
              <w:rPr>
                <w:rFonts w:ascii="Arial" w:hAnsi="Arial" w:cs="Arial"/>
                <w:sz w:val="20"/>
                <w:szCs w:val="20"/>
                <w:lang w:val="en-US" w:eastAsia="en-GB"/>
              </w:rPr>
              <w:t>10,5</w:t>
            </w:r>
          </w:p>
        </w:tc>
      </w:tr>
    </w:tbl>
    <w:p w14:paraId="39CB962E" w14:textId="77777777" w:rsidR="00685025" w:rsidRPr="00DC0CA9" w:rsidRDefault="00685025" w:rsidP="001B09F2">
      <w:pPr>
        <w:spacing w:before="200" w:after="60" w:line="360" w:lineRule="exact"/>
        <w:ind w:firstLine="567"/>
        <w:jc w:val="both"/>
        <w:rPr>
          <w:rFonts w:ascii="Times New Roman" w:hAnsi="Times New Roman" w:cs="Times New Roman"/>
          <w:sz w:val="28"/>
          <w:szCs w:val="28"/>
        </w:rPr>
      </w:pPr>
      <w:r w:rsidRPr="00DC0CA9">
        <w:rPr>
          <w:rFonts w:ascii="Times New Roman" w:eastAsiaTheme="minorEastAsia" w:hAnsi="Times New Roman" w:cs="Times New Roman"/>
          <w:bCs/>
          <w:sz w:val="28"/>
          <w:szCs w:val="28"/>
        </w:rPr>
        <w:t>Tính đến ngày 22/12/2021, cả nước không còn dịch lợn tai xanh và dịch lở mồm long móng; d</w:t>
      </w:r>
      <w:r w:rsidRPr="00DC0CA9">
        <w:rPr>
          <w:rFonts w:ascii="Times New Roman" w:hAnsi="Times New Roman" w:cs="Times New Roman"/>
          <w:sz w:val="28"/>
          <w:szCs w:val="28"/>
        </w:rPr>
        <w:t xml:space="preserve">ịch cúm gia cầm còn ở </w:t>
      </w:r>
      <w:r w:rsidRPr="00DC0CA9">
        <w:rPr>
          <w:rFonts w:ascii="Times New Roman" w:hAnsi="Times New Roman"/>
          <w:sz w:val="28"/>
          <w:szCs w:val="28"/>
          <w:lang w:val="sv-SE"/>
        </w:rPr>
        <w:t>Quảng Ninh, Nam Định, Ninh Bình, Quảng Trị, Quảng Nam, Quảng Ngãi và Bình Phước</w:t>
      </w:r>
      <w:r w:rsidRPr="00DC0CA9">
        <w:rPr>
          <w:rFonts w:ascii="Times New Roman" w:hAnsi="Times New Roman" w:cs="Times New Roman"/>
          <w:sz w:val="28"/>
          <w:szCs w:val="28"/>
        </w:rPr>
        <w:t>; dịch tả lợn châu Phi còn ở 41</w:t>
      </w:r>
      <w:r w:rsidRPr="00DC0CA9">
        <w:rPr>
          <w:rFonts w:ascii="Times New Roman" w:hAnsi="Times New Roman" w:cs="Times New Roman"/>
          <w:bCs/>
          <w:sz w:val="28"/>
          <w:szCs w:val="28"/>
        </w:rPr>
        <w:t xml:space="preserve"> địa phương và dịch viêm da nổi cục còn ở 7 địa phương chưa qua 21 ngày.</w:t>
      </w:r>
    </w:p>
    <w:p w14:paraId="4B69EE9C" w14:textId="1D2692AB" w:rsidR="005D224D" w:rsidRPr="00DC0CA9" w:rsidRDefault="005D224D" w:rsidP="00FA1162">
      <w:pPr>
        <w:spacing w:after="60" w:line="252" w:lineRule="auto"/>
        <w:ind w:firstLine="567"/>
        <w:jc w:val="both"/>
        <w:rPr>
          <w:rFonts w:ascii="Times New Roman" w:hAnsi="Times New Roman" w:cs="Times New Roman"/>
          <w:b/>
          <w:bCs/>
          <w:i/>
          <w:sz w:val="28"/>
          <w:szCs w:val="28"/>
          <w:lang w:val="de-DE"/>
        </w:rPr>
      </w:pPr>
      <w:r w:rsidRPr="00DC0CA9">
        <w:rPr>
          <w:rFonts w:ascii="Times New Roman" w:hAnsi="Times New Roman" w:cs="Times New Roman"/>
          <w:b/>
          <w:bCs/>
          <w:i/>
          <w:sz w:val="28"/>
          <w:szCs w:val="28"/>
          <w:lang w:val="de-DE"/>
        </w:rPr>
        <w:t>b) Lâm nghiệp</w:t>
      </w:r>
    </w:p>
    <w:p w14:paraId="0095E2BA" w14:textId="2EB73953" w:rsidR="001412EC" w:rsidRPr="00DC0CA9" w:rsidRDefault="001412EC" w:rsidP="00FA1162">
      <w:pPr>
        <w:shd w:val="clear" w:color="auto" w:fill="FFFFFF"/>
        <w:spacing w:after="60" w:line="252" w:lineRule="auto"/>
        <w:ind w:firstLine="567"/>
        <w:jc w:val="both"/>
        <w:rPr>
          <w:rFonts w:ascii="Times New Roman" w:hAnsi="Times New Roman" w:cs="Times New Roman"/>
          <w:sz w:val="28"/>
          <w:szCs w:val="28"/>
          <w:lang w:val="de-DE"/>
        </w:rPr>
      </w:pPr>
      <w:r w:rsidRPr="00DC0CA9">
        <w:rPr>
          <w:rFonts w:ascii="Times New Roman" w:hAnsi="Times New Roman" w:cs="Times New Roman"/>
          <w:spacing w:val="-4"/>
          <w:sz w:val="28"/>
          <w:szCs w:val="28"/>
          <w:lang w:val="de-DE"/>
        </w:rPr>
        <w:t>Năm 2021, diện tích rừng trồng mới tập trung cả nước ước tính đạt 277,8 nghìn ha, tăng 2,8% so với năm trước (</w:t>
      </w:r>
      <w:r w:rsidRPr="00DC0CA9">
        <w:rPr>
          <w:rFonts w:ascii="Times New Roman" w:hAnsi="Times New Roman" w:cs="Times New Roman"/>
          <w:sz w:val="28"/>
          <w:szCs w:val="28"/>
          <w:lang w:val="de-DE"/>
        </w:rPr>
        <w:t xml:space="preserve">quý IV/2021 đạt 101,9 nghìn ha, tăng 3%); </w:t>
      </w:r>
      <w:r w:rsidRPr="00DC0CA9">
        <w:rPr>
          <w:rFonts w:ascii="Times New Roman" w:hAnsi="Times New Roman" w:cs="Times New Roman"/>
          <w:spacing w:val="-4"/>
          <w:sz w:val="28"/>
          <w:szCs w:val="28"/>
          <w:lang w:val="de-DE"/>
        </w:rPr>
        <w:t xml:space="preserve">số cây lâm nghiệp trồng phân tán đạt 99 triệu cây, tăng 3% ( quý IV </w:t>
      </w:r>
      <w:r w:rsidRPr="00DC0CA9">
        <w:rPr>
          <w:rFonts w:ascii="Times New Roman" w:hAnsi="Times New Roman" w:cs="Times New Roman"/>
          <w:sz w:val="28"/>
          <w:szCs w:val="28"/>
          <w:lang w:val="de-DE"/>
        </w:rPr>
        <w:t xml:space="preserve">đạt 33,9 triệu cây, tăng 4,3%); </w:t>
      </w:r>
      <w:r w:rsidRPr="00DC0CA9">
        <w:rPr>
          <w:rFonts w:ascii="Times New Roman" w:hAnsi="Times New Roman" w:cs="Times New Roman"/>
          <w:spacing w:val="-4"/>
          <w:sz w:val="28"/>
          <w:szCs w:val="28"/>
          <w:lang w:val="de-DE"/>
        </w:rPr>
        <w:t>sản lượng gỗ khai thác đạt 18</w:t>
      </w:r>
      <w:r w:rsidRPr="00DC0CA9">
        <w:rPr>
          <w:rFonts w:ascii="Times New Roman" w:hAnsi="Times New Roman" w:cs="Times New Roman"/>
          <w:spacing w:val="-4"/>
          <w:sz w:val="28"/>
          <w:szCs w:val="28"/>
          <w:lang w:val="vi-VN"/>
        </w:rPr>
        <w:t>,1</w:t>
      </w:r>
      <w:r w:rsidRPr="00DC0CA9">
        <w:rPr>
          <w:rFonts w:ascii="Times New Roman" w:hAnsi="Times New Roman" w:cs="Times New Roman"/>
          <w:spacing w:val="-4"/>
          <w:sz w:val="28"/>
          <w:szCs w:val="28"/>
          <w:lang w:val="de-DE"/>
        </w:rPr>
        <w:t xml:space="preserve"> triệu m</w:t>
      </w:r>
      <w:r w:rsidRPr="00DC0CA9">
        <w:rPr>
          <w:rFonts w:ascii="Times New Roman" w:hAnsi="Times New Roman" w:cs="Times New Roman"/>
          <w:spacing w:val="-4"/>
          <w:sz w:val="28"/>
          <w:szCs w:val="28"/>
          <w:vertAlign w:val="superscript"/>
          <w:lang w:val="de-DE"/>
        </w:rPr>
        <w:t>3</w:t>
      </w:r>
      <w:r w:rsidRPr="00DC0CA9">
        <w:rPr>
          <w:rFonts w:ascii="Times New Roman" w:hAnsi="Times New Roman" w:cs="Times New Roman"/>
          <w:spacing w:val="-4"/>
          <w:sz w:val="28"/>
          <w:szCs w:val="28"/>
          <w:lang w:val="de-DE"/>
        </w:rPr>
        <w:t xml:space="preserve">, tăng 5,4% (quý IV </w:t>
      </w:r>
      <w:r w:rsidRPr="00DC0CA9">
        <w:rPr>
          <w:rFonts w:ascii="Times New Roman" w:hAnsi="Times New Roman" w:cs="Times New Roman"/>
          <w:sz w:val="28"/>
          <w:szCs w:val="28"/>
          <w:lang w:val="de-DE"/>
        </w:rPr>
        <w:t>đạt 5.245,2 nghìn m</w:t>
      </w:r>
      <w:r w:rsidRPr="00DC0CA9">
        <w:rPr>
          <w:rFonts w:ascii="Times New Roman" w:hAnsi="Times New Roman" w:cs="Times New Roman"/>
          <w:sz w:val="28"/>
          <w:szCs w:val="28"/>
          <w:vertAlign w:val="superscript"/>
          <w:lang w:val="de-DE"/>
        </w:rPr>
        <w:t>3</w:t>
      </w:r>
      <w:r w:rsidRPr="00DC0CA9">
        <w:rPr>
          <w:rFonts w:ascii="Times New Roman" w:hAnsi="Times New Roman" w:cs="Times New Roman"/>
          <w:sz w:val="28"/>
          <w:szCs w:val="28"/>
          <w:lang w:val="de-DE"/>
        </w:rPr>
        <w:t xml:space="preserve">, tăng 8,1%); </w:t>
      </w:r>
      <w:r w:rsidRPr="00DC0CA9">
        <w:rPr>
          <w:rFonts w:ascii="Times New Roman" w:hAnsi="Times New Roman" w:cs="Times New Roman"/>
          <w:spacing w:val="-4"/>
          <w:sz w:val="28"/>
          <w:szCs w:val="28"/>
          <w:lang w:val="de-DE"/>
        </w:rPr>
        <w:t xml:space="preserve">sản lượng củi khai thác đạt 18,8 triệu ste, giảm 1,6% (quý IV </w:t>
      </w:r>
      <w:r w:rsidRPr="00DC0CA9">
        <w:rPr>
          <w:rFonts w:ascii="Times New Roman" w:hAnsi="Times New Roman" w:cs="Times New Roman"/>
          <w:sz w:val="28"/>
          <w:szCs w:val="28"/>
          <w:lang w:val="de-DE"/>
        </w:rPr>
        <w:t>đạt 4,5 triệu ste, giảm 3,8%).</w:t>
      </w:r>
    </w:p>
    <w:p w14:paraId="2853015E" w14:textId="77777777" w:rsidR="001412EC" w:rsidRPr="00DC0CA9" w:rsidRDefault="001412EC" w:rsidP="00FA1162">
      <w:pPr>
        <w:spacing w:after="60" w:line="252" w:lineRule="auto"/>
        <w:ind w:firstLine="567"/>
        <w:jc w:val="both"/>
        <w:rPr>
          <w:rFonts w:ascii="Times New Roman" w:hAnsi="Times New Roman" w:cs="Times New Roman"/>
          <w:spacing w:val="-4"/>
          <w:sz w:val="28"/>
          <w:szCs w:val="28"/>
          <w:lang w:val="vi-VN"/>
        </w:rPr>
      </w:pPr>
      <w:r w:rsidRPr="00DC0CA9">
        <w:rPr>
          <w:rFonts w:ascii="Times New Roman" w:hAnsi="Times New Roman" w:cs="Times New Roman"/>
          <w:spacing w:val="-4"/>
          <w:sz w:val="28"/>
          <w:szCs w:val="28"/>
          <w:lang w:val="vi-VN"/>
        </w:rPr>
        <w:t>Diện tích rừng bị thiệt hại</w:t>
      </w:r>
      <w:r w:rsidRPr="00DC0CA9">
        <w:rPr>
          <w:rStyle w:val="FootnoteReference"/>
          <w:rFonts w:ascii="Times New Roman" w:hAnsi="Times New Roman"/>
          <w:spacing w:val="-4"/>
          <w:sz w:val="28"/>
          <w:szCs w:val="28"/>
        </w:rPr>
        <w:footnoteReference w:id="4"/>
      </w:r>
      <w:r w:rsidRPr="00DC0CA9">
        <w:rPr>
          <w:rFonts w:ascii="Times New Roman" w:hAnsi="Times New Roman" w:cs="Times New Roman"/>
          <w:spacing w:val="-4"/>
          <w:sz w:val="28"/>
          <w:szCs w:val="28"/>
          <w:lang w:val="vi-VN"/>
        </w:rPr>
        <w:t xml:space="preserve"> năm 2021</w:t>
      </w:r>
      <w:r w:rsidRPr="00DC0CA9">
        <w:rPr>
          <w:rFonts w:ascii="Times New Roman" w:hAnsi="Times New Roman" w:cs="Times New Roman"/>
          <w:spacing w:val="-4"/>
          <w:sz w:val="28"/>
          <w:szCs w:val="28"/>
          <w:lang w:val="en-IN"/>
        </w:rPr>
        <w:t xml:space="preserve"> là </w:t>
      </w:r>
      <w:r w:rsidRPr="00DC0CA9">
        <w:rPr>
          <w:rFonts w:ascii="Times New Roman" w:hAnsi="Times New Roman" w:cs="Times New Roman"/>
          <w:spacing w:val="-4"/>
          <w:sz w:val="28"/>
          <w:szCs w:val="28"/>
          <w:lang w:val="vi-VN"/>
        </w:rPr>
        <w:t>2.081 ha, tăng 29,3% so với năm trước, trong đó diện tích rừng bị cháy là 1.229 ha, gấp 1,7 lần; diện tích rừng bị chặt, phá là 852 ha, giảm 6,2%.</w:t>
      </w:r>
    </w:p>
    <w:p w14:paraId="421132D7" w14:textId="77777777" w:rsidR="005D224D" w:rsidRPr="00DC0CA9" w:rsidRDefault="005D224D" w:rsidP="00FA1162">
      <w:pPr>
        <w:pStyle w:val="Normal10"/>
        <w:spacing w:before="0" w:beforeAutospacing="0" w:after="60" w:afterAutospacing="0" w:line="252" w:lineRule="auto"/>
        <w:ind w:firstLine="567"/>
        <w:jc w:val="both"/>
        <w:rPr>
          <w:rFonts w:ascii="Times New Roman" w:hAnsi="Times New Roman" w:cs="Times New Roman"/>
          <w:i/>
          <w:sz w:val="28"/>
          <w:szCs w:val="28"/>
          <w:lang w:val="de-DE"/>
        </w:rPr>
      </w:pPr>
      <w:r w:rsidRPr="00DC0CA9">
        <w:rPr>
          <w:rFonts w:ascii="Times New Roman" w:hAnsi="Times New Roman" w:cs="Times New Roman"/>
          <w:b/>
          <w:bCs/>
          <w:i/>
          <w:sz w:val="28"/>
          <w:szCs w:val="28"/>
          <w:lang w:val="de-DE"/>
        </w:rPr>
        <w:t>c) Thủy sản</w:t>
      </w:r>
    </w:p>
    <w:p w14:paraId="6942B0CA" w14:textId="71D94AA4" w:rsidR="00C712D9" w:rsidRPr="00DC0CA9" w:rsidRDefault="008D4B96" w:rsidP="00FA1162">
      <w:pPr>
        <w:spacing w:after="60" w:line="252" w:lineRule="auto"/>
        <w:ind w:firstLine="567"/>
        <w:jc w:val="both"/>
        <w:rPr>
          <w:rFonts w:ascii="Times New Roman" w:hAnsi="Times New Roman" w:cs="Times New Roman"/>
          <w:noProof/>
          <w:sz w:val="28"/>
          <w:szCs w:val="28"/>
          <w:lang w:val="de-DE"/>
        </w:rPr>
      </w:pPr>
      <w:r w:rsidRPr="00DC0CA9">
        <w:rPr>
          <w:rFonts w:ascii="Times New Roman" w:hAnsi="Times New Roman" w:cs="Times New Roman"/>
          <w:sz w:val="28"/>
          <w:szCs w:val="28"/>
          <w:lang w:val="de-DE"/>
        </w:rPr>
        <w:t>Tổng sản lượng thủy sản năm 202</w:t>
      </w:r>
      <w:r w:rsidR="00C712D9" w:rsidRPr="00DC0CA9">
        <w:rPr>
          <w:rFonts w:ascii="Times New Roman" w:hAnsi="Times New Roman" w:cs="Times New Roman"/>
          <w:sz w:val="28"/>
          <w:szCs w:val="28"/>
          <w:lang w:val="de-DE"/>
        </w:rPr>
        <w:t>1</w:t>
      </w:r>
      <w:r w:rsidRPr="00DC0CA9">
        <w:rPr>
          <w:rFonts w:ascii="Times New Roman" w:hAnsi="Times New Roman" w:cs="Times New Roman"/>
          <w:sz w:val="28"/>
          <w:szCs w:val="28"/>
          <w:lang w:val="de-DE"/>
        </w:rPr>
        <w:t xml:space="preserve"> ước tính đạt </w:t>
      </w:r>
      <w:r w:rsidR="00C712D9" w:rsidRPr="00DC0CA9">
        <w:rPr>
          <w:rFonts w:ascii="Times New Roman" w:hAnsi="Times New Roman" w:cs="Times New Roman"/>
          <w:sz w:val="28"/>
          <w:szCs w:val="28"/>
          <w:lang w:val="de-DE"/>
        </w:rPr>
        <w:t>8.726,6 nghìn tấn, tăng</w:t>
      </w:r>
      <w:r w:rsidR="00C712D9" w:rsidRPr="00DC0CA9">
        <w:rPr>
          <w:rFonts w:ascii="Times New Roman" w:hAnsi="Times New Roman" w:cs="Times New Roman"/>
          <w:sz w:val="28"/>
          <w:szCs w:val="28"/>
          <w:lang w:val="vi-VN"/>
        </w:rPr>
        <w:t xml:space="preserve"> 1</w:t>
      </w:r>
      <w:r w:rsidR="00C712D9" w:rsidRPr="00DC0CA9">
        <w:rPr>
          <w:rFonts w:ascii="Times New Roman" w:hAnsi="Times New Roman" w:cs="Times New Roman"/>
          <w:sz w:val="28"/>
          <w:szCs w:val="28"/>
          <w:lang w:val="de-DE"/>
        </w:rPr>
        <w:t>% so với năm trước (quý IV/2021 đạt 2</w:t>
      </w:r>
      <w:r w:rsidR="00C712D9" w:rsidRPr="00DC0CA9">
        <w:rPr>
          <w:rFonts w:ascii="Times New Roman" w:hAnsi="Times New Roman" w:cs="Times New Roman"/>
          <w:sz w:val="28"/>
          <w:szCs w:val="28"/>
          <w:lang w:val="vi-VN"/>
        </w:rPr>
        <w:t>.316</w:t>
      </w:r>
      <w:r w:rsidR="00C712D9" w:rsidRPr="00DC0CA9">
        <w:rPr>
          <w:rFonts w:ascii="Times New Roman" w:hAnsi="Times New Roman" w:cs="Times New Roman"/>
          <w:sz w:val="28"/>
          <w:szCs w:val="28"/>
          <w:lang w:val="de-DE"/>
        </w:rPr>
        <w:t>,3 nghìn tấn, tăng</w:t>
      </w:r>
      <w:r w:rsidR="00C712D9" w:rsidRPr="00DC0CA9">
        <w:rPr>
          <w:rFonts w:ascii="Times New Roman" w:hAnsi="Times New Roman" w:cs="Times New Roman"/>
          <w:sz w:val="28"/>
          <w:szCs w:val="28"/>
          <w:lang w:val="vi-VN"/>
        </w:rPr>
        <w:t xml:space="preserve"> 2,8</w:t>
      </w:r>
      <w:r w:rsidR="00C712D9" w:rsidRPr="00DC0CA9">
        <w:rPr>
          <w:rFonts w:ascii="Times New Roman" w:hAnsi="Times New Roman" w:cs="Times New Roman"/>
          <w:sz w:val="28"/>
          <w:szCs w:val="28"/>
          <w:lang w:val="de-DE"/>
        </w:rPr>
        <w:t>%), bao gồm: Cá đạt 6.295,2 nghìn tấn, tăng 0,1%; tôm đạt 1</w:t>
      </w:r>
      <w:r w:rsidR="00C712D9" w:rsidRPr="00DC0CA9">
        <w:rPr>
          <w:rFonts w:ascii="Times New Roman" w:hAnsi="Times New Roman" w:cs="Times New Roman"/>
          <w:sz w:val="28"/>
          <w:szCs w:val="28"/>
          <w:lang w:val="vi-VN"/>
        </w:rPr>
        <w:t xml:space="preserve">.136,4 </w:t>
      </w:r>
      <w:r w:rsidR="00C712D9" w:rsidRPr="00DC0CA9">
        <w:rPr>
          <w:rFonts w:ascii="Times New Roman" w:hAnsi="Times New Roman" w:cs="Times New Roman"/>
          <w:sz w:val="28"/>
          <w:szCs w:val="28"/>
          <w:lang w:val="de-DE"/>
        </w:rPr>
        <w:t>nghìn tấn, tăng 4,3%; thủy sản khác đạt 1</w:t>
      </w:r>
      <w:r w:rsidR="00C712D9" w:rsidRPr="00DC0CA9">
        <w:rPr>
          <w:rFonts w:ascii="Times New Roman" w:hAnsi="Times New Roman" w:cs="Times New Roman"/>
          <w:sz w:val="28"/>
          <w:szCs w:val="28"/>
          <w:lang w:val="vi-VN"/>
        </w:rPr>
        <w:t>.295</w:t>
      </w:r>
      <w:r w:rsidR="00C712D9" w:rsidRPr="00DC0CA9">
        <w:rPr>
          <w:rFonts w:ascii="Times New Roman" w:hAnsi="Times New Roman" w:cs="Times New Roman"/>
          <w:sz w:val="28"/>
          <w:szCs w:val="28"/>
          <w:lang w:val="de-DE"/>
        </w:rPr>
        <w:t xml:space="preserve"> nghìn tấn, tăng 2,6%.</w:t>
      </w:r>
    </w:p>
    <w:p w14:paraId="47CFF438" w14:textId="3FF7BEBB" w:rsidR="00FF7AB5" w:rsidRPr="00DC0CA9" w:rsidRDefault="00C712D9" w:rsidP="00FA1162">
      <w:pPr>
        <w:spacing w:after="60" w:line="252" w:lineRule="auto"/>
        <w:ind w:firstLine="567"/>
        <w:jc w:val="both"/>
        <w:rPr>
          <w:rFonts w:ascii="Times New Roman" w:hAnsi="Times New Roman" w:cs="Times New Roman"/>
          <w:sz w:val="28"/>
          <w:szCs w:val="28"/>
          <w:lang w:val="de-DE"/>
        </w:rPr>
      </w:pPr>
      <w:r w:rsidRPr="00DC0CA9">
        <w:rPr>
          <w:rFonts w:ascii="Times New Roman" w:hAnsi="Times New Roman" w:cs="Times New Roman"/>
          <w:sz w:val="28"/>
          <w:szCs w:val="28"/>
          <w:lang w:val="de-DE"/>
        </w:rPr>
        <w:t>S</w:t>
      </w:r>
      <w:r w:rsidR="00FF7AB5" w:rsidRPr="00DC0CA9">
        <w:rPr>
          <w:rFonts w:ascii="Times New Roman" w:hAnsi="Times New Roman" w:cs="Times New Roman"/>
          <w:sz w:val="28"/>
          <w:szCs w:val="28"/>
          <w:lang w:val="de-DE"/>
        </w:rPr>
        <w:t xml:space="preserve">ản lượng thủy sản nuôi trồng </w:t>
      </w:r>
      <w:r w:rsidRPr="00DC0CA9">
        <w:rPr>
          <w:rFonts w:ascii="Times New Roman" w:hAnsi="Times New Roman" w:cs="Times New Roman"/>
          <w:sz w:val="28"/>
          <w:szCs w:val="28"/>
          <w:lang w:val="de-DE"/>
        </w:rPr>
        <w:t xml:space="preserve">năm nay </w:t>
      </w:r>
      <w:r w:rsidR="00FF7AB5" w:rsidRPr="00DC0CA9">
        <w:rPr>
          <w:rFonts w:ascii="Times New Roman" w:hAnsi="Times New Roman" w:cs="Times New Roman"/>
          <w:sz w:val="28"/>
          <w:szCs w:val="28"/>
          <w:lang w:val="de-DE"/>
        </w:rPr>
        <w:t>ước đạt 4.805,8 nghìn tấn, tăng 1,0% so với năm trước</w:t>
      </w:r>
      <w:r w:rsidRPr="00DC0CA9">
        <w:rPr>
          <w:rFonts w:ascii="Times New Roman" w:hAnsi="Times New Roman" w:cs="Times New Roman"/>
          <w:sz w:val="28"/>
          <w:szCs w:val="28"/>
          <w:lang w:val="de-DE"/>
        </w:rPr>
        <w:t xml:space="preserve"> (quý IV/2021 đạt 1</w:t>
      </w:r>
      <w:r w:rsidRPr="00DC0CA9">
        <w:rPr>
          <w:rFonts w:ascii="Times New Roman" w:hAnsi="Times New Roman" w:cs="Times New Roman"/>
          <w:sz w:val="28"/>
          <w:szCs w:val="28"/>
          <w:lang w:val="vi-VN"/>
        </w:rPr>
        <w:t xml:space="preserve">.452,7 </w:t>
      </w:r>
      <w:r w:rsidRPr="00DC0CA9">
        <w:rPr>
          <w:rFonts w:ascii="Times New Roman" w:hAnsi="Times New Roman" w:cs="Times New Roman"/>
          <w:sz w:val="28"/>
          <w:szCs w:val="28"/>
          <w:lang w:val="de-DE"/>
        </w:rPr>
        <w:t>nghìn tấn, tăng 3,5%)</w:t>
      </w:r>
      <w:r w:rsidR="00FF7AB5" w:rsidRPr="00DC0CA9">
        <w:rPr>
          <w:rFonts w:ascii="Times New Roman" w:hAnsi="Times New Roman" w:cs="Times New Roman"/>
          <w:sz w:val="28"/>
          <w:szCs w:val="28"/>
          <w:lang w:val="de-DE"/>
        </w:rPr>
        <w:t>, bao gồm: Cá đạt 3.259,1 nghìn tấn, giảm 0,8%; tôm đạt 987,5 nghìn tấn, tăng 4,7%; thủy sản khác đạt 559,2 nghìn tấn, tăng 5,4%.</w:t>
      </w:r>
    </w:p>
    <w:p w14:paraId="319300A8" w14:textId="30340F10" w:rsidR="00FF7AB5" w:rsidRPr="00DC0CA9" w:rsidRDefault="00C712D9" w:rsidP="00FA1162">
      <w:pPr>
        <w:shd w:val="clear" w:color="auto" w:fill="FFFFFF"/>
        <w:spacing w:after="60" w:line="252" w:lineRule="auto"/>
        <w:ind w:firstLine="567"/>
        <w:jc w:val="both"/>
        <w:rPr>
          <w:rFonts w:ascii="Times New Roman" w:hAnsi="Times New Roman" w:cs="Times New Roman"/>
          <w:spacing w:val="-2"/>
          <w:sz w:val="28"/>
          <w:szCs w:val="28"/>
          <w:lang w:val="de-DE"/>
        </w:rPr>
      </w:pPr>
      <w:r w:rsidRPr="00DC0CA9">
        <w:rPr>
          <w:rFonts w:ascii="Times New Roman" w:hAnsi="Times New Roman" w:cs="Times New Roman"/>
          <w:spacing w:val="-2"/>
          <w:sz w:val="28"/>
          <w:szCs w:val="28"/>
          <w:lang w:val="de-DE"/>
        </w:rPr>
        <w:t>S</w:t>
      </w:r>
      <w:r w:rsidR="00FF7AB5" w:rsidRPr="00DC0CA9">
        <w:rPr>
          <w:rFonts w:ascii="Times New Roman" w:hAnsi="Times New Roman" w:cs="Times New Roman"/>
          <w:spacing w:val="-2"/>
          <w:sz w:val="28"/>
          <w:szCs w:val="28"/>
          <w:lang w:val="de-DE"/>
        </w:rPr>
        <w:t>ản lượng thủy sản khai thác ước tính đạt 3.920,8 nghìn tấn, tăng 0,9% so với năm trước</w:t>
      </w:r>
      <w:r w:rsidRPr="00DC0CA9">
        <w:rPr>
          <w:rFonts w:ascii="Times New Roman" w:hAnsi="Times New Roman" w:cs="Times New Roman"/>
          <w:spacing w:val="-2"/>
          <w:sz w:val="28"/>
          <w:szCs w:val="28"/>
          <w:lang w:val="de-DE"/>
        </w:rPr>
        <w:t xml:space="preserve"> (quý IV/2021 ước đạt 863,6 nghìn tấn, tăng</w:t>
      </w:r>
      <w:r w:rsidRPr="00DC0CA9">
        <w:rPr>
          <w:rFonts w:ascii="Times New Roman" w:hAnsi="Times New Roman" w:cs="Times New Roman"/>
          <w:spacing w:val="-2"/>
          <w:sz w:val="28"/>
          <w:szCs w:val="28"/>
          <w:lang w:val="vi-VN"/>
        </w:rPr>
        <w:t xml:space="preserve"> 1,7</w:t>
      </w:r>
      <w:r w:rsidRPr="00DC0CA9">
        <w:rPr>
          <w:rFonts w:ascii="Times New Roman" w:hAnsi="Times New Roman" w:cs="Times New Roman"/>
          <w:spacing w:val="-2"/>
          <w:sz w:val="28"/>
          <w:szCs w:val="28"/>
          <w:lang w:val="de-DE"/>
        </w:rPr>
        <w:t xml:space="preserve">%), </w:t>
      </w:r>
      <w:r w:rsidR="00FF7AB5" w:rsidRPr="00DC0CA9">
        <w:rPr>
          <w:rFonts w:ascii="Times New Roman" w:hAnsi="Times New Roman" w:cs="Times New Roman"/>
          <w:spacing w:val="-2"/>
          <w:sz w:val="28"/>
          <w:szCs w:val="28"/>
          <w:lang w:val="de-DE"/>
        </w:rPr>
        <w:t>bao gồm: Cá đạt 3</w:t>
      </w:r>
      <w:r w:rsidR="00FF7AB5" w:rsidRPr="00DC0CA9">
        <w:rPr>
          <w:rFonts w:ascii="Times New Roman" w:hAnsi="Times New Roman" w:cs="Times New Roman"/>
          <w:spacing w:val="-2"/>
          <w:sz w:val="28"/>
          <w:szCs w:val="28"/>
          <w:lang w:val="vi-VN"/>
        </w:rPr>
        <w:t xml:space="preserve">.036,1 </w:t>
      </w:r>
      <w:r w:rsidR="00FF7AB5" w:rsidRPr="00DC0CA9">
        <w:rPr>
          <w:rFonts w:ascii="Times New Roman" w:hAnsi="Times New Roman" w:cs="Times New Roman"/>
          <w:spacing w:val="-2"/>
          <w:sz w:val="28"/>
          <w:szCs w:val="28"/>
          <w:lang w:val="de-DE"/>
        </w:rPr>
        <w:t>nghìn tấn, tăng 1%; tôm đạt 148,9 nghìn tấn, tăng</w:t>
      </w:r>
      <w:r w:rsidR="00FF7AB5" w:rsidRPr="00DC0CA9">
        <w:rPr>
          <w:rFonts w:ascii="Times New Roman" w:hAnsi="Times New Roman" w:cs="Times New Roman"/>
          <w:spacing w:val="-2"/>
          <w:sz w:val="28"/>
          <w:szCs w:val="28"/>
          <w:lang w:val="vi-VN"/>
        </w:rPr>
        <w:t xml:space="preserve"> 1,2</w:t>
      </w:r>
      <w:r w:rsidR="00FF7AB5" w:rsidRPr="00DC0CA9">
        <w:rPr>
          <w:rFonts w:ascii="Times New Roman" w:hAnsi="Times New Roman" w:cs="Times New Roman"/>
          <w:spacing w:val="-2"/>
          <w:sz w:val="28"/>
          <w:szCs w:val="28"/>
          <w:lang w:val="de-DE"/>
        </w:rPr>
        <w:t>%; thủy sản khác đạt 735</w:t>
      </w:r>
      <w:r w:rsidR="00FF7AB5" w:rsidRPr="00DC0CA9">
        <w:rPr>
          <w:rFonts w:ascii="Times New Roman" w:hAnsi="Times New Roman" w:cs="Times New Roman"/>
          <w:spacing w:val="-2"/>
          <w:sz w:val="28"/>
          <w:szCs w:val="28"/>
          <w:lang w:val="vi-VN"/>
        </w:rPr>
        <w:t xml:space="preserve">,8 </w:t>
      </w:r>
      <w:r w:rsidR="00FF7AB5" w:rsidRPr="00DC0CA9">
        <w:rPr>
          <w:rFonts w:ascii="Times New Roman" w:hAnsi="Times New Roman" w:cs="Times New Roman"/>
          <w:spacing w:val="-2"/>
          <w:sz w:val="28"/>
          <w:szCs w:val="28"/>
          <w:lang w:val="de-DE"/>
        </w:rPr>
        <w:t>nghìn tấn, tăng 0</w:t>
      </w:r>
      <w:r w:rsidR="00FF7AB5" w:rsidRPr="00DC0CA9">
        <w:rPr>
          <w:rFonts w:ascii="Times New Roman" w:hAnsi="Times New Roman" w:cs="Times New Roman"/>
          <w:spacing w:val="-2"/>
          <w:sz w:val="28"/>
          <w:szCs w:val="28"/>
          <w:lang w:val="vi-VN"/>
        </w:rPr>
        <w:t>,6</w:t>
      </w:r>
      <w:r w:rsidR="00FF7AB5" w:rsidRPr="00DC0CA9">
        <w:rPr>
          <w:rFonts w:ascii="Times New Roman" w:hAnsi="Times New Roman" w:cs="Times New Roman"/>
          <w:spacing w:val="-2"/>
          <w:sz w:val="28"/>
          <w:szCs w:val="28"/>
          <w:lang w:val="de-DE"/>
        </w:rPr>
        <w:t>%.</w:t>
      </w:r>
      <w:r w:rsidRPr="00DC0CA9">
        <w:rPr>
          <w:rFonts w:ascii="Times New Roman" w:hAnsi="Times New Roman" w:cs="Times New Roman"/>
          <w:spacing w:val="-2"/>
          <w:sz w:val="28"/>
          <w:szCs w:val="28"/>
          <w:lang w:val="de-DE"/>
        </w:rPr>
        <w:t xml:space="preserve"> </w:t>
      </w:r>
      <w:r w:rsidR="00FF7AB5" w:rsidRPr="00DC0CA9">
        <w:rPr>
          <w:rFonts w:ascii="Times New Roman" w:hAnsi="Times New Roman" w:cs="Times New Roman"/>
          <w:spacing w:val="-2"/>
          <w:sz w:val="28"/>
          <w:szCs w:val="28"/>
          <w:lang w:val="de-DE"/>
        </w:rPr>
        <w:t>Sản lượng thủy sản khai thác biển ước đạt 3</w:t>
      </w:r>
      <w:r w:rsidR="00FF7AB5" w:rsidRPr="00DC0CA9">
        <w:rPr>
          <w:rFonts w:ascii="Times New Roman" w:hAnsi="Times New Roman" w:cs="Times New Roman"/>
          <w:spacing w:val="-2"/>
          <w:sz w:val="28"/>
          <w:szCs w:val="28"/>
          <w:lang w:val="vi-VN"/>
        </w:rPr>
        <w:t xml:space="preserve">.726 </w:t>
      </w:r>
      <w:r w:rsidR="00FF7AB5" w:rsidRPr="00DC0CA9">
        <w:rPr>
          <w:rFonts w:ascii="Times New Roman" w:hAnsi="Times New Roman" w:cs="Times New Roman"/>
          <w:spacing w:val="-2"/>
          <w:sz w:val="28"/>
          <w:szCs w:val="28"/>
          <w:lang w:val="de-DE"/>
        </w:rPr>
        <w:t>nghìn tấn, tăng 0,9%, trong đó: Cá đạt 2.903,5 nghìn tấn, tăng 1%; tôm đạt 138,7 nghìn tấn, tăng</w:t>
      </w:r>
      <w:r w:rsidR="00FF7AB5" w:rsidRPr="00DC0CA9">
        <w:rPr>
          <w:rFonts w:ascii="Times New Roman" w:hAnsi="Times New Roman" w:cs="Times New Roman"/>
          <w:spacing w:val="-2"/>
          <w:sz w:val="28"/>
          <w:szCs w:val="28"/>
          <w:lang w:val="vi-VN"/>
        </w:rPr>
        <w:t xml:space="preserve"> 1,2</w:t>
      </w:r>
      <w:r w:rsidR="00FF7AB5" w:rsidRPr="00DC0CA9">
        <w:rPr>
          <w:rFonts w:ascii="Times New Roman" w:hAnsi="Times New Roman" w:cs="Times New Roman"/>
          <w:spacing w:val="-2"/>
          <w:sz w:val="28"/>
          <w:szCs w:val="28"/>
          <w:lang w:val="de-DE"/>
        </w:rPr>
        <w:t>%.</w:t>
      </w:r>
    </w:p>
    <w:p w14:paraId="3123D868" w14:textId="6E41A9CA" w:rsidR="00B25F59" w:rsidRPr="00DC0CA9" w:rsidRDefault="00A64DB3" w:rsidP="00FA1162">
      <w:pPr>
        <w:shd w:val="clear" w:color="auto" w:fill="FFFFFF"/>
        <w:spacing w:after="60" w:line="252" w:lineRule="auto"/>
        <w:ind w:firstLine="567"/>
        <w:jc w:val="both"/>
        <w:rPr>
          <w:rFonts w:ascii="Times New Roman" w:hAnsi="Times New Roman" w:cs="Times New Roman"/>
          <w:b/>
          <w:i/>
          <w:spacing w:val="-4"/>
          <w:sz w:val="28"/>
          <w:szCs w:val="28"/>
          <w:lang w:val="de-DE"/>
        </w:rPr>
      </w:pPr>
      <w:r w:rsidRPr="00DC0CA9">
        <w:rPr>
          <w:rFonts w:ascii="Times New Roman" w:hAnsi="Times New Roman" w:cs="Times New Roman"/>
          <w:b/>
          <w:i/>
          <w:iCs/>
          <w:sz w:val="28"/>
          <w:szCs w:val="28"/>
        </w:rPr>
        <w:t xml:space="preserve">3. </w:t>
      </w:r>
      <w:r w:rsidR="00B25F59" w:rsidRPr="00DC0CA9">
        <w:rPr>
          <w:rFonts w:ascii="Times New Roman" w:hAnsi="Times New Roman" w:cs="Times New Roman"/>
          <w:b/>
          <w:i/>
          <w:sz w:val="28"/>
          <w:szCs w:val="28"/>
          <w:lang w:val="de-DE"/>
        </w:rPr>
        <w:t xml:space="preserve">Sản xuất công nghiệp trong quý IV/2021 khởi sắc ngay sau khi các địa phương trên cả nước thực hiện Nghị quyết số 128/NQ-CP ngày 11/10/2021 của Chính phủ với tốc độ tăng giá trị tăng thêm đạt 6,52% so với cùng kỳ năm trước. </w:t>
      </w:r>
      <w:r w:rsidR="00B25F59" w:rsidRPr="00DC0CA9">
        <w:rPr>
          <w:rFonts w:ascii="Times New Roman" w:hAnsi="Times New Roman" w:cs="Times New Roman"/>
          <w:b/>
          <w:i/>
          <w:spacing w:val="-4"/>
          <w:sz w:val="28"/>
          <w:szCs w:val="28"/>
          <w:lang w:val="de-DE"/>
        </w:rPr>
        <w:t>Tính chung cả năm 2021, giá trị tăng thêm ngành công nghiệp tăng 4,82% so với năm 2020, trong đó công nghiệp chế biến, chế tạo tăng 6,37%.</w:t>
      </w:r>
    </w:p>
    <w:p w14:paraId="4772BDE5" w14:textId="0C52F53A" w:rsidR="00B135BE" w:rsidRPr="00DC0CA9" w:rsidRDefault="00B135BE" w:rsidP="00FA1162">
      <w:pPr>
        <w:shd w:val="clear" w:color="auto" w:fill="FFFFFF"/>
        <w:spacing w:after="60" w:line="252" w:lineRule="auto"/>
        <w:ind w:firstLine="567"/>
        <w:jc w:val="both"/>
        <w:rPr>
          <w:rFonts w:ascii="Times New Roman" w:hAnsi="Times New Roman" w:cs="Times New Roman"/>
          <w:sz w:val="28"/>
          <w:szCs w:val="28"/>
          <w:lang w:val="de-DE"/>
        </w:rPr>
      </w:pPr>
      <w:r w:rsidRPr="00DC0CA9">
        <w:rPr>
          <w:rFonts w:ascii="Times New Roman" w:hAnsi="Times New Roman" w:cs="Times New Roman"/>
          <w:sz w:val="28"/>
          <w:szCs w:val="28"/>
          <w:lang w:val="de-DE"/>
        </w:rPr>
        <w:t xml:space="preserve">Giá trị tăng thêm toàn ngành công nghiệp năm 2021 ước tính tăng 4,82% so với năm trước (quý I tăng 6,44%; quý II tăng 11,18%; quý III giảm 4,4%; quý IV tăng 6,52%). Trong đó, ngành công nghiệp chế biến, chế tạo tăng 6,37%; ngành sản xuất và phân phối điện tăng 5,24%; ngành cung </w:t>
      </w:r>
      <w:r w:rsidRPr="00DC0CA9">
        <w:rPr>
          <w:rFonts w:ascii="Times New Roman" w:hAnsi="Times New Roman" w:cs="Times New Roman"/>
          <w:sz w:val="28"/>
          <w:szCs w:val="28"/>
          <w:lang w:val="pl-PL"/>
        </w:rPr>
        <w:t>cấp nước, hoạt động quản lý và xử lý rác thải, nước thải</w:t>
      </w:r>
      <w:r w:rsidRPr="00DC0CA9">
        <w:rPr>
          <w:rFonts w:ascii="Times New Roman" w:hAnsi="Times New Roman" w:cs="Times New Roman"/>
          <w:sz w:val="28"/>
          <w:szCs w:val="28"/>
          <w:lang w:val="de-DE"/>
        </w:rPr>
        <w:t> tăng 4%; ngành khai khoáng giảm 6,21% do sản lượng khai thác dầu thô giảm 5,7% và khí đốt tự nhiên giảm 19,4%).</w:t>
      </w:r>
    </w:p>
    <w:p w14:paraId="5D422463" w14:textId="37D074F5" w:rsidR="00B135BE" w:rsidRPr="00DC0CA9" w:rsidRDefault="00B135BE" w:rsidP="00FA1162">
      <w:pPr>
        <w:shd w:val="clear" w:color="auto" w:fill="FFFFFF"/>
        <w:spacing w:after="60" w:line="252" w:lineRule="auto"/>
        <w:ind w:firstLine="567"/>
        <w:jc w:val="both"/>
        <w:rPr>
          <w:rFonts w:ascii="Times New Roman" w:hAnsi="Times New Roman" w:cs="Times New Roman"/>
          <w:spacing w:val="-6"/>
          <w:sz w:val="28"/>
          <w:szCs w:val="28"/>
          <w:lang w:val="pl-PL"/>
        </w:rPr>
      </w:pPr>
      <w:r w:rsidRPr="00DC0CA9">
        <w:rPr>
          <w:rFonts w:ascii="Times New Roman" w:hAnsi="Times New Roman" w:cs="Times New Roman"/>
          <w:sz w:val="28"/>
          <w:szCs w:val="28"/>
          <w:lang w:val="pl-PL"/>
        </w:rPr>
        <w:t xml:space="preserve">Chỉ số tiêu thụ toàn ngành công nghiệp chế biến, chế tạo năm 2021 tăng 4,5% so với năm trước. </w:t>
      </w:r>
      <w:r w:rsidRPr="00DC0CA9">
        <w:rPr>
          <w:rFonts w:ascii="Times New Roman" w:hAnsi="Times New Roman" w:cs="Times New Roman"/>
          <w:spacing w:val="-6"/>
          <w:sz w:val="28"/>
          <w:szCs w:val="28"/>
          <w:lang w:val="pl-PL"/>
        </w:rPr>
        <w:t xml:space="preserve">Chỉ số tồn kho toàn ngành công nghiệp chế biến, chế tạo ước tính tại thời điểm 31/12/2021 tăng 21,9% so với cùng thời điểm năm trước (cùng thời điểm năm trước tăng 25,3%). Tỷ lệ tồn kho toàn ngành chế biến, chế tạo bình quân năm 2021 là 79,1% (năm 2020 là 71,9%). </w:t>
      </w:r>
    </w:p>
    <w:p w14:paraId="481C32DB" w14:textId="77777777" w:rsidR="00302530" w:rsidRPr="00DC0CA9" w:rsidRDefault="00571CD4" w:rsidP="00FA1162">
      <w:pPr>
        <w:spacing w:after="120" w:line="259" w:lineRule="auto"/>
        <w:ind w:firstLine="567"/>
        <w:jc w:val="both"/>
        <w:rPr>
          <w:rFonts w:ascii="Times New Roman" w:hAnsi="Times New Roman" w:cs="Times New Roman"/>
          <w:b/>
          <w:i/>
          <w:sz w:val="28"/>
          <w:szCs w:val="28"/>
          <w:lang w:val="it-IT"/>
        </w:rPr>
      </w:pPr>
      <w:r w:rsidRPr="00DC0CA9">
        <w:rPr>
          <w:rFonts w:ascii="Times New Roman" w:hAnsi="Times New Roman" w:cs="Times New Roman"/>
          <w:b/>
          <w:bCs/>
          <w:i/>
          <w:sz w:val="28"/>
          <w:szCs w:val="28"/>
        </w:rPr>
        <w:t xml:space="preserve">4. </w:t>
      </w:r>
      <w:r w:rsidR="00154D42" w:rsidRPr="00DC0CA9">
        <w:rPr>
          <w:rFonts w:ascii="Times New Roman" w:hAnsi="Times New Roman" w:cs="Times New Roman"/>
          <w:b/>
          <w:i/>
          <w:sz w:val="28"/>
          <w:szCs w:val="28"/>
          <w:lang w:val="it-IT"/>
        </w:rPr>
        <w:t xml:space="preserve">Năm 2021, sự bùng phát mạnh của làn sóng Covid-19 lần thứ tư cùng với các đợt phong tỏa nghiêm ngặt, giãn cách kéo dài (đặc biệt là quý III/2021) đã </w:t>
      </w:r>
      <w:r w:rsidR="00154D42" w:rsidRPr="00DC0CA9">
        <w:rPr>
          <w:rFonts w:ascii="Times New Roman" w:hAnsi="Times New Roman" w:cs="Times New Roman"/>
          <w:b/>
          <w:i/>
          <w:sz w:val="28"/>
          <w:szCs w:val="28"/>
          <w:lang w:val="vi-VN"/>
        </w:rPr>
        <w:t>tác động tiêu cực đến</w:t>
      </w:r>
      <w:r w:rsidR="00154D42" w:rsidRPr="00DC0CA9">
        <w:rPr>
          <w:rFonts w:ascii="Times New Roman" w:hAnsi="Times New Roman" w:cs="Times New Roman"/>
          <w:b/>
          <w:i/>
          <w:sz w:val="28"/>
          <w:szCs w:val="28"/>
          <w:lang w:val="it-IT"/>
        </w:rPr>
        <w:t xml:space="preserve"> </w:t>
      </w:r>
      <w:r w:rsidR="00154D42" w:rsidRPr="00DC0CA9">
        <w:rPr>
          <w:rFonts w:ascii="Times New Roman" w:hAnsi="Times New Roman" w:cs="Times New Roman"/>
          <w:b/>
          <w:i/>
          <w:sz w:val="28"/>
          <w:szCs w:val="28"/>
          <w:lang w:val="vi-VN"/>
        </w:rPr>
        <w:t>gia tăng số lượng doanh nghiệp</w:t>
      </w:r>
      <w:r w:rsidR="00154D42" w:rsidRPr="00DC0CA9">
        <w:rPr>
          <w:rFonts w:ascii="Times New Roman" w:hAnsi="Times New Roman" w:cs="Times New Roman"/>
          <w:b/>
          <w:i/>
          <w:sz w:val="28"/>
          <w:szCs w:val="28"/>
          <w:lang w:val="it-IT"/>
        </w:rPr>
        <w:t xml:space="preserve">. Tổng số doanh nghiệp gia nhập và tái gia nhập thị trường trong năm 2021 đạt gần 160 nghìn doanh nghiệp, giảm 10,7% so với năm 2020; 119,8 nghìn doanh nghiệp rút lui khỏi thị trường, tăng 17,8%, trong đó phần lớn là các doanh nghiệp thành lập dưới 5 năm, quy mô vốn nhỏ. </w:t>
      </w:r>
    </w:p>
    <w:p w14:paraId="6E483CDF" w14:textId="7EB260C4" w:rsidR="00154D42" w:rsidRPr="00FA1162" w:rsidRDefault="00154D42" w:rsidP="00FA1162">
      <w:pPr>
        <w:spacing w:after="120" w:line="259" w:lineRule="auto"/>
        <w:ind w:firstLine="567"/>
        <w:jc w:val="both"/>
        <w:rPr>
          <w:rFonts w:ascii="Times New Roman" w:hAnsi="Times New Roman" w:cs="Times New Roman"/>
          <w:b/>
          <w:i/>
          <w:spacing w:val="-4"/>
          <w:sz w:val="28"/>
          <w:szCs w:val="28"/>
          <w:lang w:val="it-IT"/>
        </w:rPr>
      </w:pPr>
      <w:r w:rsidRPr="00FA1162">
        <w:rPr>
          <w:rFonts w:ascii="Times New Roman" w:hAnsi="Times New Roman" w:cs="Times New Roman"/>
          <w:b/>
          <w:i/>
          <w:spacing w:val="-4"/>
          <w:sz w:val="28"/>
          <w:szCs w:val="28"/>
          <w:lang w:val="it-IT"/>
        </w:rPr>
        <w:t>Việc ban hành và triển khai kịp thời Nghị quyết số 128/NQ-CP ngày 11/10/2021 đã góp phần quan trọng trong khôi phục sản xuất và thúc đẩy thị trường, từng bước tạo niềm tin cho các doanh nghiệp. Kết quả điều tra xu hướng kinh doanh của các doanh nghiệp ngành công nghiệp chế biến, chế tạo cho thấy doanh nghiệp lạc quan về tình hình sản xuất kinh doanh trong quý I/2022 với 81,7% doanh nghiệp đánh giá sẽ ổn định và tốt hơn so với quý IV/2021.</w:t>
      </w:r>
    </w:p>
    <w:p w14:paraId="242BDA8C" w14:textId="68900D84" w:rsidR="00154D42" w:rsidRPr="00DC0CA9" w:rsidRDefault="00154D42" w:rsidP="00FA1162">
      <w:pPr>
        <w:spacing w:after="120" w:line="259" w:lineRule="auto"/>
        <w:ind w:firstLine="567"/>
        <w:jc w:val="both"/>
        <w:rPr>
          <w:rFonts w:ascii="Times New Roman" w:hAnsi="Times New Roman" w:cs="Times New Roman"/>
          <w:i/>
          <w:sz w:val="28"/>
          <w:szCs w:val="28"/>
          <w:lang w:val="it-IT"/>
        </w:rPr>
      </w:pPr>
      <w:r w:rsidRPr="00DC0CA9">
        <w:rPr>
          <w:rFonts w:ascii="Times New Roman" w:hAnsi="Times New Roman" w:cs="Times New Roman"/>
          <w:b/>
          <w:bCs/>
          <w:i/>
          <w:sz w:val="28"/>
          <w:szCs w:val="28"/>
          <w:lang w:val="it-IT"/>
        </w:rPr>
        <w:t xml:space="preserve">a) </w:t>
      </w:r>
      <w:r w:rsidRPr="00DC0CA9">
        <w:rPr>
          <w:rFonts w:ascii="Times New Roman" w:hAnsi="Times New Roman" w:cs="Times New Roman"/>
          <w:b/>
          <w:i/>
          <w:sz w:val="28"/>
          <w:szCs w:val="28"/>
          <w:lang w:val="it-IT"/>
        </w:rPr>
        <w:t>Tình hình đăng ký doanh nghiệp</w:t>
      </w:r>
      <w:r w:rsidRPr="00DC0CA9">
        <w:rPr>
          <w:rFonts w:ascii="Times New Roman" w:hAnsi="Times New Roman" w:cs="Times New Roman"/>
          <w:bCs/>
          <w:i/>
          <w:sz w:val="28"/>
          <w:szCs w:val="28"/>
          <w:vertAlign w:val="superscript"/>
        </w:rPr>
        <w:footnoteReference w:id="5"/>
      </w:r>
    </w:p>
    <w:p w14:paraId="0316C593" w14:textId="332604AD" w:rsidR="00154D42" w:rsidRPr="00DC0CA9" w:rsidRDefault="00154D42" w:rsidP="00FA1162">
      <w:pPr>
        <w:spacing w:after="120" w:line="259" w:lineRule="auto"/>
        <w:ind w:firstLine="567"/>
        <w:jc w:val="both"/>
        <w:rPr>
          <w:rFonts w:ascii="Times New Roman" w:hAnsi="Times New Roman" w:cs="Times New Roman"/>
          <w:sz w:val="28"/>
          <w:szCs w:val="28"/>
          <w:lang w:val="it-IT"/>
        </w:rPr>
      </w:pPr>
      <w:r w:rsidRPr="00DC0CA9">
        <w:rPr>
          <w:rFonts w:ascii="Times New Roman" w:hAnsi="Times New Roman" w:cs="Times New Roman"/>
          <w:sz w:val="28"/>
          <w:szCs w:val="28"/>
          <w:lang w:val="it-IT"/>
        </w:rPr>
        <w:t>Quý IV/2021, số doanh nghiệp đăng ký thành lập mới đạt 31,4 nghìn doanh nghiệp với số vốn đăng ký 415,3 nghìn tỷ đồng và số lao động đăng ký là 205,1 nghìn lao động, tăng 70,4% về số doanh nghiệp, tăng 64,1% về số vốn đăng ký và tăng 24,7% về số lao động so với quý III/2021. Như vậy chỉ sau hơn hai tháng thực hiện Nghị quyết số 128/NQ-CP, tình hình đăng ký kinh doanh của doanh nghiệp trong những tháng cuối năm 2021 đã khởi sắc rõ nét.</w:t>
      </w:r>
    </w:p>
    <w:p w14:paraId="1BA6406B" w14:textId="32985C5B" w:rsidR="00154D42" w:rsidRPr="00DC0CA9" w:rsidRDefault="00154D42" w:rsidP="00FA1162">
      <w:pPr>
        <w:spacing w:after="120" w:line="259" w:lineRule="auto"/>
        <w:ind w:firstLine="567"/>
        <w:jc w:val="both"/>
        <w:rPr>
          <w:rFonts w:ascii="Times New Roman" w:hAnsi="Times New Roman" w:cs="Times New Roman"/>
          <w:sz w:val="28"/>
          <w:szCs w:val="28"/>
          <w:lang w:val="it-IT"/>
        </w:rPr>
      </w:pPr>
      <w:r w:rsidRPr="00DC0CA9">
        <w:rPr>
          <w:rFonts w:ascii="Times New Roman" w:hAnsi="Times New Roman" w:cs="Times New Roman"/>
          <w:sz w:val="28"/>
          <w:szCs w:val="28"/>
          <w:lang w:val="it-IT"/>
        </w:rPr>
        <w:t>Tính chung năm 2021, cả nước có 116,8 nghìn doanh nghiệp đăng ký thành lập mới với tổng số vốn đăng ký là 1.611,1 nghìn tỷ đồng và tổng số lao động đăng ký gần 854 nghìn lao động, giảm 13,4% về số doanh nghiệp, giảm 27,9% về vốn đăng ký và giảm 18,1% về số lao động so với năm trước. Vốn đăng ký bình quân một doanh nghiệp thành lập mới trong năm 2021 đạt 13,8 tỷ đồng, giảm 16,8% so với năm trước. Nếu tính cả 2.524,9 nghìn tỷ đồng vốn đăng ký tăng thêm của 43,5 nghìn doanh nghiệp tăng vốn, tổng số vốn đăng ký bổ sung vào nền kinh tế trong năm nay là 4.136 nghìn tỷ đồng, giảm 25,8% so với năm trước. Bên cạnh đó, còn có 43,1 nghìn doanh nghiệp quay trở lại hoạt động (giảm 2,2% so với năm 2020), nâng tổng số doanh nghiệp thành lập mới và doanh nghiệp quay trở lại hoạt động năm 2021 lên gần 160 nghìn doanh nghiệp, giảm 10,7% so với năm trước. Bình quân một tháng có 13,3 nghìn doanh nghiệp thành lập mới và quay trở lại hoạt động.</w:t>
      </w:r>
    </w:p>
    <w:p w14:paraId="4B1C6649" w14:textId="342A2AD1" w:rsidR="009F326B" w:rsidRPr="00DC0CA9" w:rsidRDefault="009F326B" w:rsidP="00FA1162">
      <w:pPr>
        <w:spacing w:after="120" w:line="259" w:lineRule="auto"/>
        <w:ind w:firstLine="567"/>
        <w:jc w:val="both"/>
        <w:rPr>
          <w:rFonts w:ascii="Times New Roman" w:hAnsi="Times New Roman" w:cs="Times New Roman"/>
          <w:spacing w:val="-2"/>
          <w:sz w:val="28"/>
          <w:szCs w:val="28"/>
          <w:lang w:val="it-IT"/>
        </w:rPr>
      </w:pPr>
      <w:r w:rsidRPr="00DC0CA9">
        <w:rPr>
          <w:rFonts w:ascii="Times New Roman" w:hAnsi="Times New Roman" w:cs="Times New Roman"/>
          <w:spacing w:val="-2"/>
          <w:sz w:val="28"/>
          <w:szCs w:val="28"/>
          <w:lang w:val="it-IT"/>
        </w:rPr>
        <w:t>Năm 2021, số doanh nghiệp tạm ngừng kinh doanh có thời hạn gần 55 nghìn doanh nghiệp, tăng 18% so với năm trước; 48,1 nghìn doanh nghiệp ngừng hoạt động chờ làm thủ tục giải thể, tăng 27,8%; 16,7 nghìn doanh nghiệp hoàn tất thủ tục giải thể, giảm 4,1%, trong đó có 14,8 nghìn doanh nghiệp có quy mô vốn dưới 10 tỷ đồng, giảm 4%; 211 doanh nghiệp có quy mô vốn trên 100 tỷ đồng, giảm 20,7%. Bình quân một tháng có gần 10 nghìn doanh nghiệp rút lui khỏi thị trường.</w:t>
      </w:r>
    </w:p>
    <w:p w14:paraId="176491D3" w14:textId="77777777" w:rsidR="00B50557" w:rsidRPr="00DC0CA9" w:rsidRDefault="00B50557" w:rsidP="00F877BF">
      <w:pPr>
        <w:spacing w:after="120" w:line="340" w:lineRule="exact"/>
        <w:ind w:firstLine="567"/>
        <w:jc w:val="both"/>
        <w:rPr>
          <w:rFonts w:ascii="Times New Roman" w:hAnsi="Times New Roman" w:cs="Times New Roman"/>
          <w:b/>
          <w:bCs/>
          <w:i/>
          <w:sz w:val="28"/>
          <w:szCs w:val="28"/>
          <w:lang w:val="en-US"/>
        </w:rPr>
      </w:pPr>
      <w:r w:rsidRPr="00DC0CA9">
        <w:rPr>
          <w:rFonts w:ascii="Times New Roman" w:hAnsi="Times New Roman" w:cs="Times New Roman"/>
          <w:b/>
          <w:bCs/>
          <w:i/>
          <w:sz w:val="28"/>
          <w:szCs w:val="28"/>
          <w:lang w:val="en-US"/>
        </w:rPr>
        <w:t>b) Xu hướng kinh doanh của doanh nghiệp</w:t>
      </w:r>
    </w:p>
    <w:p w14:paraId="70DBD5BA" w14:textId="77777777" w:rsidR="009F326B" w:rsidRPr="00FA1162" w:rsidRDefault="009F326B" w:rsidP="00FA1162">
      <w:pPr>
        <w:spacing w:after="120" w:line="262" w:lineRule="auto"/>
        <w:ind w:firstLine="567"/>
        <w:jc w:val="both"/>
        <w:rPr>
          <w:rFonts w:ascii="Times New Roman" w:hAnsi="Times New Roman" w:cs="Times New Roman"/>
          <w:spacing w:val="-2"/>
          <w:sz w:val="28"/>
          <w:szCs w:val="28"/>
          <w:lang w:val="it-IT"/>
        </w:rPr>
      </w:pPr>
      <w:r w:rsidRPr="00FA1162">
        <w:rPr>
          <w:rFonts w:ascii="Times New Roman" w:hAnsi="Times New Roman" w:cs="Times New Roman"/>
          <w:spacing w:val="-2"/>
          <w:sz w:val="28"/>
          <w:szCs w:val="28"/>
          <w:lang w:val="it-IT"/>
        </w:rPr>
        <w:t>Kết quả điều tra xu hướng kinh doanh của các doanh nghiệp ngành công nghiệp chế biến, chế tạo trong quý IV/2021 cho thấy: Có 44% số doanh nghiệp đánh giá</w:t>
      </w:r>
      <w:r w:rsidRPr="00FA1162">
        <w:rPr>
          <w:rFonts w:ascii="Times New Roman" w:hAnsi="Times New Roman" w:cs="Times New Roman"/>
          <w:spacing w:val="-2"/>
          <w:sz w:val="28"/>
          <w:szCs w:val="28"/>
          <w:lang w:val="vi-VN"/>
        </w:rPr>
        <w:t xml:space="preserve"> tình hình sản xuất kinh doanh</w:t>
      </w:r>
      <w:r w:rsidRPr="00FA1162">
        <w:rPr>
          <w:rFonts w:ascii="Times New Roman" w:hAnsi="Times New Roman" w:cs="Times New Roman"/>
          <w:spacing w:val="-2"/>
          <w:sz w:val="28"/>
          <w:szCs w:val="28"/>
          <w:lang w:val="it-IT"/>
        </w:rPr>
        <w:t xml:space="preserve"> tốt hơn so với quý III/2021; 31,1% số doanh nghiệp cho rằng tình hình sản xuất kinh doanh ổn định và 24,9% số doanh nghiệp đánh giá gặp khó khăn</w:t>
      </w:r>
      <w:r w:rsidRPr="00FA1162">
        <w:rPr>
          <w:rFonts w:ascii="Times New Roman" w:hAnsi="Times New Roman" w:cs="Times New Roman"/>
          <w:spacing w:val="-2"/>
          <w:sz w:val="28"/>
          <w:szCs w:val="28"/>
          <w:vertAlign w:val="superscript"/>
        </w:rPr>
        <w:footnoteReference w:id="6"/>
      </w:r>
      <w:r w:rsidRPr="00FA1162">
        <w:rPr>
          <w:rFonts w:ascii="Times New Roman" w:hAnsi="Times New Roman" w:cs="Times New Roman"/>
          <w:spacing w:val="-2"/>
          <w:sz w:val="28"/>
          <w:szCs w:val="28"/>
          <w:lang w:val="it-IT"/>
        </w:rPr>
        <w:t xml:space="preserve">. Dự kiến quý I/2022, có 45,6% số doanh nghiệp đánh giá xu hướng sẽ tốt lên so với quý IV/2021; 36,1% số doanh nghiệp cho rằng tình hình sản xuất kinh doanh sẽ ổn định và 18,3% số doanh nghiệp dự báo khó khăn hơn. </w:t>
      </w:r>
    </w:p>
    <w:p w14:paraId="68914CE2" w14:textId="5239EA9A" w:rsidR="008D3E7A" w:rsidRPr="00DC0CA9" w:rsidRDefault="00501DB8" w:rsidP="00FA1162">
      <w:pPr>
        <w:shd w:val="clear" w:color="auto" w:fill="FFFFFF"/>
        <w:spacing w:after="120" w:line="262" w:lineRule="auto"/>
        <w:ind w:firstLine="567"/>
        <w:jc w:val="both"/>
        <w:rPr>
          <w:rFonts w:ascii="Times New Roman" w:hAnsi="Times New Roman" w:cs="Times New Roman"/>
          <w:b/>
          <w:i/>
          <w:spacing w:val="-2"/>
          <w:sz w:val="28"/>
          <w:szCs w:val="28"/>
          <w:lang w:val="en-IN"/>
        </w:rPr>
      </w:pPr>
      <w:r w:rsidRPr="00DC0CA9">
        <w:rPr>
          <w:rFonts w:ascii="Times New Roman" w:hAnsi="Times New Roman" w:cs="Times New Roman"/>
          <w:b/>
          <w:i/>
          <w:iCs/>
          <w:spacing w:val="-2"/>
          <w:sz w:val="28"/>
          <w:szCs w:val="28"/>
        </w:rPr>
        <w:t>5.</w:t>
      </w:r>
      <w:r w:rsidR="00A40119" w:rsidRPr="00DC0CA9">
        <w:rPr>
          <w:rFonts w:ascii="Times New Roman" w:hAnsi="Times New Roman" w:cs="Times New Roman"/>
          <w:b/>
          <w:i/>
          <w:iCs/>
          <w:spacing w:val="-2"/>
          <w:sz w:val="28"/>
          <w:szCs w:val="28"/>
        </w:rPr>
        <w:t xml:space="preserve"> </w:t>
      </w:r>
      <w:r w:rsidR="00302530" w:rsidRPr="00DC0CA9">
        <w:rPr>
          <w:rFonts w:ascii="Times New Roman" w:hAnsi="Times New Roman" w:cs="Times New Roman"/>
          <w:b/>
          <w:i/>
          <w:iCs/>
          <w:spacing w:val="-2"/>
          <w:sz w:val="28"/>
          <w:szCs w:val="28"/>
        </w:rPr>
        <w:t>Thực hiện</w:t>
      </w:r>
      <w:r w:rsidR="00A40119" w:rsidRPr="00DC0CA9">
        <w:rPr>
          <w:rFonts w:ascii="Times New Roman" w:hAnsi="Times New Roman" w:cs="Times New Roman"/>
          <w:b/>
          <w:i/>
          <w:iCs/>
          <w:spacing w:val="-2"/>
          <w:sz w:val="28"/>
          <w:szCs w:val="28"/>
        </w:rPr>
        <w:t xml:space="preserve"> </w:t>
      </w:r>
      <w:r w:rsidR="00A40119" w:rsidRPr="00DC0CA9">
        <w:rPr>
          <w:rFonts w:ascii="Times New Roman" w:hAnsi="Times New Roman" w:cs="Times New Roman"/>
          <w:b/>
          <w:i/>
          <w:spacing w:val="-2"/>
          <w:sz w:val="28"/>
          <w:szCs w:val="28"/>
          <w:lang w:val="fr-FR"/>
        </w:rPr>
        <w:t>Nghị quyết số 128/NQ-CP ngày 11/10/2021 của Chính phủ, hoạt động thương mại, vận tải trong nước, khách du lịch quốc tế dần khôi phục trở lại.</w:t>
      </w:r>
      <w:r w:rsidRPr="00DC0CA9">
        <w:rPr>
          <w:rFonts w:ascii="Times New Roman" w:hAnsi="Times New Roman" w:cs="Times New Roman"/>
          <w:b/>
          <w:i/>
          <w:iCs/>
          <w:spacing w:val="-2"/>
          <w:sz w:val="28"/>
          <w:szCs w:val="28"/>
        </w:rPr>
        <w:t xml:space="preserve"> </w:t>
      </w:r>
      <w:r w:rsidR="008D3E7A" w:rsidRPr="00DC0CA9">
        <w:rPr>
          <w:rFonts w:ascii="Times New Roman" w:hAnsi="Times New Roman" w:cs="Times New Roman"/>
          <w:b/>
          <w:i/>
          <w:iCs/>
          <w:spacing w:val="-2"/>
          <w:sz w:val="28"/>
          <w:szCs w:val="28"/>
        </w:rPr>
        <w:t>Quý IV/2021 so với quý III/2021, t</w:t>
      </w:r>
      <w:r w:rsidR="009F326B" w:rsidRPr="00DC0CA9">
        <w:rPr>
          <w:rFonts w:ascii="Times New Roman" w:hAnsi="Times New Roman" w:cs="Times New Roman"/>
          <w:b/>
          <w:i/>
          <w:spacing w:val="-2"/>
          <w:sz w:val="28"/>
          <w:szCs w:val="28"/>
          <w:lang w:val="it-IT"/>
        </w:rPr>
        <w:t>ổng mức bán lẻ hàng hóa và doanh thu dịch vụ tiêu dùng tăng 28,1%</w:t>
      </w:r>
      <w:r w:rsidR="008D3E7A" w:rsidRPr="00DC0CA9">
        <w:rPr>
          <w:rFonts w:ascii="Times New Roman" w:hAnsi="Times New Roman" w:cs="Times New Roman"/>
          <w:b/>
          <w:i/>
          <w:spacing w:val="-2"/>
          <w:sz w:val="28"/>
          <w:szCs w:val="28"/>
          <w:lang w:val="it-IT"/>
        </w:rPr>
        <w:t xml:space="preserve">; </w:t>
      </w:r>
      <w:r w:rsidR="00A40119" w:rsidRPr="00DC0CA9">
        <w:rPr>
          <w:rFonts w:ascii="Times New Roman" w:hAnsi="Times New Roman" w:cs="Times New Roman"/>
          <w:b/>
          <w:i/>
          <w:spacing w:val="-2"/>
          <w:sz w:val="28"/>
          <w:szCs w:val="28"/>
          <w:lang w:val="fr-FR"/>
        </w:rPr>
        <w:t>vận chuyển hành khách tăng 48,4%, luân chuyển hành khách tăng 51,3% và vận chuyển hàng hóa tăng 31,8%, luân chuyển hàng hóa tăng 28,4%</w:t>
      </w:r>
      <w:r w:rsidR="008D3E7A" w:rsidRPr="00DC0CA9">
        <w:rPr>
          <w:rFonts w:ascii="Times New Roman" w:hAnsi="Times New Roman" w:cs="Times New Roman"/>
          <w:b/>
          <w:i/>
          <w:spacing w:val="-2"/>
          <w:sz w:val="28"/>
          <w:szCs w:val="28"/>
          <w:lang w:val="fr-FR"/>
        </w:rPr>
        <w:t>; k</w:t>
      </w:r>
      <w:r w:rsidR="00A40119" w:rsidRPr="00DC0CA9">
        <w:rPr>
          <w:rFonts w:ascii="Times New Roman" w:hAnsi="Times New Roman" w:cs="Times New Roman"/>
          <w:b/>
          <w:i/>
          <w:spacing w:val="-2"/>
          <w:sz w:val="28"/>
          <w:szCs w:val="28"/>
          <w:lang w:val="vi-VN"/>
        </w:rPr>
        <w:t xml:space="preserve">hách quốc tế đến nước ta </w:t>
      </w:r>
      <w:r w:rsidR="008D3E7A" w:rsidRPr="00DC0CA9">
        <w:rPr>
          <w:rFonts w:ascii="Times New Roman" w:hAnsi="Times New Roman" w:cs="Times New Roman"/>
          <w:b/>
          <w:i/>
          <w:spacing w:val="-2"/>
          <w:sz w:val="28"/>
          <w:szCs w:val="28"/>
          <w:lang w:val="vi-VN"/>
        </w:rPr>
        <w:t>tăng 62,7%</w:t>
      </w:r>
      <w:r w:rsidR="008D3E7A" w:rsidRPr="00DC0CA9">
        <w:rPr>
          <w:rFonts w:ascii="Times New Roman" w:hAnsi="Times New Roman" w:cs="Times New Roman"/>
          <w:b/>
          <w:i/>
          <w:spacing w:val="-2"/>
          <w:sz w:val="28"/>
          <w:szCs w:val="28"/>
          <w:lang w:val="en-IN"/>
        </w:rPr>
        <w:t>.</w:t>
      </w:r>
    </w:p>
    <w:p w14:paraId="3DCAF1F4" w14:textId="4B912258" w:rsidR="006E57A7" w:rsidRPr="00DC0CA9" w:rsidRDefault="00A40119" w:rsidP="00FA1162">
      <w:pPr>
        <w:spacing w:after="120" w:line="262" w:lineRule="auto"/>
        <w:ind w:firstLine="567"/>
        <w:jc w:val="both"/>
        <w:rPr>
          <w:rFonts w:ascii="Times New Roman" w:hAnsi="Times New Roman" w:cs="Times New Roman"/>
          <w:b/>
          <w:bCs/>
          <w:sz w:val="28"/>
          <w:szCs w:val="28"/>
          <w:lang w:val="it-IT"/>
        </w:rPr>
      </w:pPr>
      <w:r w:rsidRPr="00DC0CA9">
        <w:rPr>
          <w:rFonts w:ascii="Times New Roman" w:hAnsi="Times New Roman" w:cs="Times New Roman"/>
          <w:bCs/>
          <w:sz w:val="28"/>
          <w:szCs w:val="28"/>
          <w:lang w:val="it-IT"/>
        </w:rPr>
        <w:t>T</w:t>
      </w:r>
      <w:r w:rsidRPr="00DC0CA9">
        <w:rPr>
          <w:rFonts w:ascii="Times New Roman" w:hAnsi="Times New Roman" w:cs="Times New Roman"/>
          <w:bCs/>
          <w:sz w:val="28"/>
          <w:szCs w:val="28"/>
          <w:lang w:val="vi-VN"/>
        </w:rPr>
        <w:t xml:space="preserve">ổng mức bán lẻ </w:t>
      </w:r>
      <w:r w:rsidRPr="00DC0CA9">
        <w:rPr>
          <w:rFonts w:ascii="Times New Roman" w:hAnsi="Times New Roman" w:cs="Times New Roman"/>
          <w:bCs/>
          <w:sz w:val="28"/>
          <w:szCs w:val="28"/>
          <w:lang w:val="it-IT"/>
        </w:rPr>
        <w:t xml:space="preserve">hàng hóa </w:t>
      </w:r>
      <w:r w:rsidRPr="00DC0CA9">
        <w:rPr>
          <w:rFonts w:ascii="Times New Roman" w:hAnsi="Times New Roman" w:cs="Times New Roman"/>
          <w:bCs/>
          <w:sz w:val="28"/>
          <w:szCs w:val="28"/>
          <w:lang w:val="vi-VN"/>
        </w:rPr>
        <w:t xml:space="preserve">và doanh thu dịch vụ tiêu dùng tháng </w:t>
      </w:r>
      <w:r w:rsidRPr="00DC0CA9">
        <w:rPr>
          <w:rFonts w:ascii="Times New Roman" w:hAnsi="Times New Roman" w:cs="Times New Roman"/>
          <w:bCs/>
          <w:sz w:val="28"/>
          <w:szCs w:val="28"/>
          <w:lang w:val="it-IT"/>
        </w:rPr>
        <w:t xml:space="preserve">Mười Hai năm 2021 </w:t>
      </w:r>
      <w:r w:rsidRPr="00DC0CA9">
        <w:rPr>
          <w:rFonts w:ascii="Times New Roman" w:hAnsi="Times New Roman" w:cs="Times New Roman"/>
          <w:bCs/>
          <w:sz w:val="28"/>
          <w:szCs w:val="28"/>
          <w:lang w:val="vi-VN"/>
        </w:rPr>
        <w:t xml:space="preserve">ước đạt </w:t>
      </w:r>
      <w:r w:rsidRPr="00DC0CA9">
        <w:rPr>
          <w:rFonts w:ascii="Times New Roman" w:hAnsi="Times New Roman" w:cs="Times New Roman"/>
          <w:bCs/>
          <w:sz w:val="28"/>
          <w:szCs w:val="28"/>
          <w:lang w:val="it-IT"/>
        </w:rPr>
        <w:t>458,5</w:t>
      </w:r>
      <w:r w:rsidRPr="00DC0CA9">
        <w:rPr>
          <w:rFonts w:ascii="Times New Roman" w:hAnsi="Times New Roman" w:cs="Times New Roman"/>
          <w:bCs/>
          <w:sz w:val="28"/>
          <w:szCs w:val="28"/>
          <w:lang w:val="vi-VN"/>
        </w:rPr>
        <w:t xml:space="preserve"> nghìn tỷ đồng</w:t>
      </w:r>
      <w:r w:rsidRPr="00DC0CA9">
        <w:rPr>
          <w:rFonts w:ascii="Times New Roman" w:hAnsi="Times New Roman" w:cs="Times New Roman"/>
          <w:bCs/>
          <w:sz w:val="28"/>
          <w:szCs w:val="28"/>
          <w:lang w:val="it-IT"/>
        </w:rPr>
        <w:t>, tăng 4,6% so với tháng trước và tăng 1,1% so với cùng kỳ năm trước</w:t>
      </w:r>
      <w:r w:rsidR="006E57A7" w:rsidRPr="00DC0CA9">
        <w:rPr>
          <w:rFonts w:ascii="Times New Roman" w:hAnsi="Times New Roman" w:cs="Times New Roman"/>
          <w:bCs/>
          <w:sz w:val="28"/>
          <w:szCs w:val="28"/>
          <w:lang w:val="it-IT"/>
        </w:rPr>
        <w:t xml:space="preserve">; </w:t>
      </w:r>
      <w:r w:rsidRPr="00DC0CA9">
        <w:rPr>
          <w:rFonts w:ascii="Times New Roman" w:hAnsi="Times New Roman" w:cs="Times New Roman"/>
          <w:bCs/>
          <w:sz w:val="28"/>
          <w:szCs w:val="28"/>
          <w:lang w:val="it-IT"/>
        </w:rPr>
        <w:t>quý IV/2021</w:t>
      </w:r>
      <w:r w:rsidR="006E57A7" w:rsidRPr="00DC0CA9">
        <w:rPr>
          <w:rFonts w:ascii="Times New Roman" w:hAnsi="Times New Roman" w:cs="Times New Roman"/>
          <w:bCs/>
          <w:sz w:val="28"/>
          <w:szCs w:val="28"/>
          <w:lang w:val="it-IT"/>
        </w:rPr>
        <w:t xml:space="preserve"> </w:t>
      </w:r>
      <w:r w:rsidRPr="00DC0CA9">
        <w:rPr>
          <w:rFonts w:ascii="Times New Roman" w:hAnsi="Times New Roman" w:cs="Times New Roman"/>
          <w:bCs/>
          <w:sz w:val="28"/>
          <w:szCs w:val="28"/>
          <w:lang w:val="it-IT"/>
        </w:rPr>
        <w:t>đạt 1.312,6 nghìn tỷ đồng, tăng 28,1% so với quý trước và giảm 2,8% so với cùng kỳ năm trước</w:t>
      </w:r>
      <w:r w:rsidR="006E57A7" w:rsidRPr="00DC0CA9">
        <w:rPr>
          <w:rFonts w:ascii="Times New Roman" w:hAnsi="Times New Roman" w:cs="Times New Roman"/>
          <w:bCs/>
          <w:sz w:val="28"/>
          <w:szCs w:val="28"/>
          <w:lang w:val="it-IT"/>
        </w:rPr>
        <w:t>. Tính chung cả năm 2021, tổng mức bán lẻ hàng hóa và doanh thu dịch vụ tiêu dùng ước đạt 4.789,5 nghìn tỷ đồng</w:t>
      </w:r>
      <w:r w:rsidR="006E57A7" w:rsidRPr="00DC0CA9">
        <w:rPr>
          <w:rFonts w:ascii="Times New Roman" w:hAnsi="Times New Roman" w:cs="Times New Roman"/>
          <w:bCs/>
          <w:sz w:val="28"/>
          <w:szCs w:val="28"/>
          <w:lang w:val="vi-VN"/>
        </w:rPr>
        <w:t xml:space="preserve">, </w:t>
      </w:r>
      <w:r w:rsidR="006E57A7" w:rsidRPr="00DC0CA9">
        <w:rPr>
          <w:rFonts w:ascii="Times New Roman" w:hAnsi="Times New Roman" w:cs="Times New Roman"/>
          <w:bCs/>
          <w:sz w:val="28"/>
          <w:szCs w:val="28"/>
          <w:lang w:val="it-IT"/>
        </w:rPr>
        <w:t>giảm 3,8</w:t>
      </w:r>
      <w:r w:rsidR="006E57A7" w:rsidRPr="00DC0CA9">
        <w:rPr>
          <w:rFonts w:ascii="Times New Roman" w:hAnsi="Times New Roman" w:cs="Times New Roman"/>
          <w:bCs/>
          <w:sz w:val="28"/>
          <w:szCs w:val="28"/>
          <w:lang w:val="vi-VN"/>
        </w:rPr>
        <w:t xml:space="preserve">% so với năm </w:t>
      </w:r>
      <w:r w:rsidR="006E57A7" w:rsidRPr="00DC0CA9">
        <w:rPr>
          <w:rFonts w:ascii="Times New Roman" w:hAnsi="Times New Roman" w:cs="Times New Roman"/>
          <w:bCs/>
          <w:sz w:val="28"/>
          <w:szCs w:val="28"/>
          <w:lang w:val="it-IT"/>
        </w:rPr>
        <w:t>trước, nếu loại trừ yếu tố giá giảm 6,2</w:t>
      </w:r>
      <w:r w:rsidR="006E57A7" w:rsidRPr="00DC0CA9">
        <w:rPr>
          <w:rFonts w:ascii="Times New Roman" w:hAnsi="Times New Roman" w:cs="Times New Roman"/>
          <w:sz w:val="28"/>
          <w:szCs w:val="28"/>
          <w:lang w:val="nl-NL"/>
        </w:rPr>
        <w:t>% (năm 2020 giảm 3%)</w:t>
      </w:r>
      <w:r w:rsidR="006E57A7" w:rsidRPr="00DC0CA9">
        <w:rPr>
          <w:rFonts w:ascii="Times New Roman" w:hAnsi="Times New Roman" w:cs="Times New Roman"/>
          <w:bCs/>
          <w:sz w:val="28"/>
          <w:szCs w:val="28"/>
          <w:lang w:val="it-IT"/>
        </w:rPr>
        <w:t>.</w:t>
      </w:r>
    </w:p>
    <w:p w14:paraId="63FECAE2" w14:textId="4E576A52" w:rsidR="00A40119" w:rsidRPr="00DC0CA9" w:rsidRDefault="00A40119" w:rsidP="00A40119">
      <w:pPr>
        <w:tabs>
          <w:tab w:val="left" w:pos="2835"/>
        </w:tabs>
        <w:spacing w:before="120" w:after="60" w:line="312" w:lineRule="auto"/>
        <w:jc w:val="center"/>
        <w:rPr>
          <w:rFonts w:ascii="Arial" w:hAnsi="Arial" w:cs="Arial"/>
          <w:b/>
          <w:bCs/>
          <w:spacing w:val="-6"/>
          <w:sz w:val="24"/>
          <w:szCs w:val="20"/>
          <w:lang w:val="it-IT"/>
        </w:rPr>
      </w:pPr>
      <w:r w:rsidRPr="00DC0CA9">
        <w:rPr>
          <w:rFonts w:ascii="Arial" w:hAnsi="Arial" w:cs="Arial"/>
          <w:b/>
          <w:bCs/>
          <w:spacing w:val="-6"/>
          <w:sz w:val="24"/>
          <w:szCs w:val="20"/>
          <w:lang w:val="it-IT"/>
        </w:rPr>
        <w:t>Tổng mức bán lẻ hàng hóa và doanh thu dịch vụ tiêu dùng</w:t>
      </w:r>
    </w:p>
    <w:p w14:paraId="40BA3810" w14:textId="77777777" w:rsidR="00A40119" w:rsidRPr="00DC0CA9" w:rsidRDefault="00A40119" w:rsidP="00A40119">
      <w:pPr>
        <w:tabs>
          <w:tab w:val="left" w:pos="2835"/>
        </w:tabs>
        <w:spacing w:after="0" w:line="264" w:lineRule="auto"/>
        <w:ind w:right="140" w:firstLine="567"/>
        <w:jc w:val="right"/>
        <w:rPr>
          <w:rFonts w:ascii="Arial" w:hAnsi="Arial" w:cs="Arial"/>
          <w:b/>
          <w:bCs/>
          <w:i/>
          <w:spacing w:val="-6"/>
          <w:sz w:val="10"/>
          <w:szCs w:val="20"/>
          <w:lang w:val="it-IT"/>
        </w:rPr>
      </w:pPr>
    </w:p>
    <w:p w14:paraId="4305903C" w14:textId="77777777" w:rsidR="00A40119" w:rsidRPr="00DC0CA9" w:rsidRDefault="00A40119" w:rsidP="00A40119">
      <w:pPr>
        <w:tabs>
          <w:tab w:val="left" w:pos="2835"/>
        </w:tabs>
        <w:spacing w:after="0" w:line="264" w:lineRule="auto"/>
        <w:ind w:right="140" w:firstLine="567"/>
        <w:jc w:val="right"/>
        <w:rPr>
          <w:rFonts w:ascii="Arial" w:hAnsi="Arial" w:cs="Arial"/>
          <w:b/>
          <w:bCs/>
          <w:i/>
          <w:spacing w:val="-6"/>
          <w:sz w:val="20"/>
          <w:szCs w:val="20"/>
        </w:rPr>
      </w:pPr>
      <w:r w:rsidRPr="00DC0CA9">
        <w:rPr>
          <w:rFonts w:ascii="Arial" w:hAnsi="Arial" w:cs="Arial"/>
          <w:b/>
          <w:bCs/>
          <w:i/>
          <w:spacing w:val="-6"/>
          <w:sz w:val="20"/>
          <w:szCs w:val="20"/>
        </w:rPr>
        <w:t>Nghìn tỷ đồng</w:t>
      </w:r>
    </w:p>
    <w:tbl>
      <w:tblPr>
        <w:tblStyle w:val="TableGrid"/>
        <w:tblW w:w="874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1004"/>
        <w:gridCol w:w="992"/>
        <w:gridCol w:w="992"/>
        <w:gridCol w:w="1102"/>
        <w:gridCol w:w="1166"/>
        <w:gridCol w:w="827"/>
      </w:tblGrid>
      <w:tr w:rsidR="00DC0CA9" w:rsidRPr="00DC0CA9" w14:paraId="1EA527AA" w14:textId="77777777" w:rsidTr="006E57A7">
        <w:trPr>
          <w:cantSplit/>
          <w:trHeight w:hRule="exact" w:val="606"/>
          <w:jc w:val="center"/>
        </w:trPr>
        <w:tc>
          <w:tcPr>
            <w:tcW w:w="2661" w:type="dxa"/>
            <w:vMerge w:val="restart"/>
          </w:tcPr>
          <w:p w14:paraId="477B2025" w14:textId="77777777" w:rsidR="00A40119" w:rsidRPr="00DC0CA9" w:rsidRDefault="00A40119" w:rsidP="00C40363">
            <w:pPr>
              <w:spacing w:before="160" w:after="120"/>
              <w:rPr>
                <w:rFonts w:ascii="Arial" w:hAnsi="Arial" w:cs="Arial"/>
                <w:b/>
                <w:bCs/>
                <w:sz w:val="19"/>
                <w:szCs w:val="19"/>
              </w:rPr>
            </w:pPr>
          </w:p>
        </w:tc>
        <w:tc>
          <w:tcPr>
            <w:tcW w:w="1004" w:type="dxa"/>
            <w:vMerge w:val="restart"/>
            <w:tcBorders>
              <w:top w:val="single" w:sz="4" w:space="0" w:color="auto"/>
              <w:bottom w:val="nil"/>
            </w:tcBorders>
            <w:vAlign w:val="center"/>
          </w:tcPr>
          <w:p w14:paraId="598CF6D1" w14:textId="77777777" w:rsidR="00A40119" w:rsidRPr="00DC0CA9" w:rsidRDefault="00A40119" w:rsidP="006E57A7">
            <w:pPr>
              <w:spacing w:before="60" w:after="20"/>
              <w:jc w:val="center"/>
              <w:rPr>
                <w:rFonts w:ascii="Arial" w:hAnsi="Arial" w:cs="Arial"/>
                <w:b/>
                <w:bCs/>
                <w:sz w:val="19"/>
                <w:szCs w:val="19"/>
              </w:rPr>
            </w:pPr>
            <w:r w:rsidRPr="00DC0CA9">
              <w:rPr>
                <w:rFonts w:ascii="Arial" w:hAnsi="Arial" w:cs="Arial"/>
                <w:bCs/>
                <w:sz w:val="19"/>
                <w:szCs w:val="19"/>
              </w:rPr>
              <w:t>Ước tính tháng 12 năm 2021</w:t>
            </w:r>
          </w:p>
        </w:tc>
        <w:tc>
          <w:tcPr>
            <w:tcW w:w="992" w:type="dxa"/>
            <w:vMerge w:val="restart"/>
            <w:tcBorders>
              <w:top w:val="single" w:sz="4" w:space="0" w:color="auto"/>
              <w:bottom w:val="nil"/>
            </w:tcBorders>
            <w:vAlign w:val="center"/>
          </w:tcPr>
          <w:p w14:paraId="0FE5A5CB" w14:textId="77777777" w:rsidR="00A40119" w:rsidRPr="00DC0CA9" w:rsidRDefault="00A40119" w:rsidP="006E57A7">
            <w:pPr>
              <w:spacing w:before="60" w:after="20"/>
              <w:jc w:val="center"/>
              <w:rPr>
                <w:rFonts w:ascii="Arial" w:hAnsi="Arial" w:cs="Arial"/>
                <w:b/>
                <w:bCs/>
                <w:sz w:val="19"/>
                <w:szCs w:val="19"/>
              </w:rPr>
            </w:pPr>
            <w:r w:rsidRPr="00DC0CA9">
              <w:rPr>
                <w:rFonts w:ascii="Arial" w:hAnsi="Arial" w:cs="Arial"/>
                <w:bCs/>
                <w:sz w:val="19"/>
                <w:szCs w:val="19"/>
              </w:rPr>
              <w:t>Ước tính quý IV năm 2021</w:t>
            </w:r>
          </w:p>
        </w:tc>
        <w:tc>
          <w:tcPr>
            <w:tcW w:w="992" w:type="dxa"/>
            <w:vMerge w:val="restart"/>
            <w:tcBorders>
              <w:top w:val="single" w:sz="4" w:space="0" w:color="auto"/>
              <w:bottom w:val="nil"/>
            </w:tcBorders>
            <w:vAlign w:val="center"/>
          </w:tcPr>
          <w:p w14:paraId="78160581" w14:textId="77777777" w:rsidR="00A40119" w:rsidRPr="00DC0CA9" w:rsidRDefault="00A40119" w:rsidP="006E57A7">
            <w:pPr>
              <w:spacing w:before="60" w:after="20"/>
              <w:jc w:val="center"/>
              <w:rPr>
                <w:rFonts w:ascii="Arial" w:hAnsi="Arial" w:cs="Arial"/>
                <w:b/>
                <w:bCs/>
                <w:sz w:val="19"/>
                <w:szCs w:val="19"/>
              </w:rPr>
            </w:pPr>
            <w:r w:rsidRPr="00DC0CA9">
              <w:rPr>
                <w:rFonts w:ascii="Arial" w:hAnsi="Arial" w:cs="Arial"/>
                <w:bCs/>
                <w:sz w:val="19"/>
                <w:szCs w:val="19"/>
              </w:rPr>
              <w:t>Ước  tính  năm 2021</w:t>
            </w:r>
          </w:p>
        </w:tc>
        <w:tc>
          <w:tcPr>
            <w:tcW w:w="3095" w:type="dxa"/>
            <w:gridSpan w:val="3"/>
            <w:tcBorders>
              <w:top w:val="single" w:sz="4" w:space="0" w:color="auto"/>
              <w:bottom w:val="single" w:sz="4" w:space="0" w:color="auto"/>
            </w:tcBorders>
            <w:vAlign w:val="center"/>
          </w:tcPr>
          <w:p w14:paraId="7FDE1EDE" w14:textId="77777777" w:rsidR="00A40119" w:rsidRPr="00DC0CA9" w:rsidRDefault="00A40119" w:rsidP="006E57A7">
            <w:pPr>
              <w:spacing w:before="120"/>
              <w:ind w:right="96"/>
              <w:jc w:val="center"/>
              <w:rPr>
                <w:rFonts w:ascii="Arial" w:hAnsi="Arial" w:cs="Arial"/>
                <w:bCs/>
                <w:sz w:val="19"/>
                <w:szCs w:val="19"/>
              </w:rPr>
            </w:pPr>
            <w:r w:rsidRPr="00DC0CA9">
              <w:rPr>
                <w:rFonts w:ascii="Arial" w:hAnsi="Arial" w:cs="Arial"/>
                <w:bCs/>
                <w:sz w:val="19"/>
                <w:szCs w:val="19"/>
              </w:rPr>
              <w:t>Tốc độ tăng/giảm so với</w:t>
            </w:r>
          </w:p>
          <w:p w14:paraId="07533857" w14:textId="77777777" w:rsidR="00A40119" w:rsidRPr="00DC0CA9" w:rsidRDefault="00A40119" w:rsidP="006E57A7">
            <w:pPr>
              <w:spacing w:after="120"/>
              <w:ind w:right="96"/>
              <w:jc w:val="center"/>
              <w:rPr>
                <w:rFonts w:ascii="Arial" w:hAnsi="Arial" w:cs="Arial"/>
                <w:bCs/>
                <w:sz w:val="19"/>
                <w:szCs w:val="19"/>
              </w:rPr>
            </w:pPr>
            <w:r w:rsidRPr="00DC0CA9">
              <w:rPr>
                <w:rFonts w:ascii="Arial" w:hAnsi="Arial" w:cs="Arial"/>
                <w:bCs/>
                <w:sz w:val="19"/>
                <w:szCs w:val="19"/>
              </w:rPr>
              <w:t>cùng kỳ năm trước (%)</w:t>
            </w:r>
          </w:p>
        </w:tc>
      </w:tr>
      <w:tr w:rsidR="00DC0CA9" w:rsidRPr="00DC0CA9" w14:paraId="7A3EACB1" w14:textId="77777777" w:rsidTr="006E57A7">
        <w:trPr>
          <w:cantSplit/>
          <w:trHeight w:hRule="exact" w:val="564"/>
          <w:jc w:val="center"/>
        </w:trPr>
        <w:tc>
          <w:tcPr>
            <w:tcW w:w="2661" w:type="dxa"/>
            <w:vMerge/>
          </w:tcPr>
          <w:p w14:paraId="40EF783A" w14:textId="77777777" w:rsidR="00A40119" w:rsidRPr="00DC0CA9" w:rsidRDefault="00A40119" w:rsidP="00C40363">
            <w:pPr>
              <w:spacing w:before="160" w:after="120"/>
              <w:rPr>
                <w:rFonts w:ascii="Arial" w:hAnsi="Arial" w:cs="Arial"/>
                <w:b/>
                <w:bCs/>
                <w:sz w:val="19"/>
                <w:szCs w:val="19"/>
              </w:rPr>
            </w:pPr>
          </w:p>
        </w:tc>
        <w:tc>
          <w:tcPr>
            <w:tcW w:w="1004" w:type="dxa"/>
            <w:vMerge/>
            <w:tcBorders>
              <w:top w:val="nil"/>
              <w:bottom w:val="single" w:sz="4" w:space="0" w:color="auto"/>
            </w:tcBorders>
            <w:vAlign w:val="center"/>
          </w:tcPr>
          <w:p w14:paraId="3DE4303F" w14:textId="77777777" w:rsidR="00A40119" w:rsidRPr="00DC0CA9" w:rsidRDefault="00A40119" w:rsidP="006E57A7">
            <w:pPr>
              <w:spacing w:before="160" w:after="120"/>
              <w:jc w:val="center"/>
              <w:rPr>
                <w:rFonts w:ascii="Arial" w:hAnsi="Arial" w:cs="Arial"/>
                <w:b/>
                <w:bCs/>
                <w:sz w:val="19"/>
                <w:szCs w:val="19"/>
              </w:rPr>
            </w:pPr>
          </w:p>
        </w:tc>
        <w:tc>
          <w:tcPr>
            <w:tcW w:w="992" w:type="dxa"/>
            <w:vMerge/>
            <w:tcBorders>
              <w:top w:val="nil"/>
              <w:bottom w:val="single" w:sz="4" w:space="0" w:color="auto"/>
            </w:tcBorders>
            <w:vAlign w:val="center"/>
          </w:tcPr>
          <w:p w14:paraId="761BBF4B" w14:textId="77777777" w:rsidR="00A40119" w:rsidRPr="00DC0CA9" w:rsidRDefault="00A40119" w:rsidP="006E57A7">
            <w:pPr>
              <w:spacing w:before="160" w:after="120"/>
              <w:jc w:val="center"/>
              <w:rPr>
                <w:rFonts w:ascii="Arial" w:hAnsi="Arial" w:cs="Arial"/>
                <w:b/>
                <w:bCs/>
                <w:sz w:val="19"/>
                <w:szCs w:val="19"/>
              </w:rPr>
            </w:pPr>
          </w:p>
        </w:tc>
        <w:tc>
          <w:tcPr>
            <w:tcW w:w="992" w:type="dxa"/>
            <w:vMerge/>
            <w:tcBorders>
              <w:top w:val="nil"/>
              <w:bottom w:val="single" w:sz="4" w:space="0" w:color="auto"/>
            </w:tcBorders>
            <w:vAlign w:val="center"/>
          </w:tcPr>
          <w:p w14:paraId="21869B5B" w14:textId="77777777" w:rsidR="00A40119" w:rsidRPr="00DC0CA9" w:rsidRDefault="00A40119" w:rsidP="006E57A7">
            <w:pPr>
              <w:spacing w:before="160" w:after="120"/>
              <w:jc w:val="center"/>
              <w:rPr>
                <w:rFonts w:ascii="Arial" w:hAnsi="Arial" w:cs="Arial"/>
                <w:b/>
                <w:bCs/>
                <w:sz w:val="19"/>
                <w:szCs w:val="19"/>
              </w:rPr>
            </w:pPr>
          </w:p>
        </w:tc>
        <w:tc>
          <w:tcPr>
            <w:tcW w:w="1102" w:type="dxa"/>
            <w:tcBorders>
              <w:top w:val="single" w:sz="4" w:space="0" w:color="auto"/>
              <w:bottom w:val="single" w:sz="4" w:space="0" w:color="auto"/>
            </w:tcBorders>
            <w:vAlign w:val="center"/>
          </w:tcPr>
          <w:p w14:paraId="4402B651" w14:textId="77777777" w:rsidR="00A40119" w:rsidRPr="00DC0CA9" w:rsidRDefault="00A40119" w:rsidP="006E57A7">
            <w:pPr>
              <w:spacing w:before="60" w:after="20"/>
              <w:jc w:val="center"/>
              <w:rPr>
                <w:rFonts w:ascii="Arial" w:hAnsi="Arial" w:cs="Arial"/>
                <w:b/>
                <w:bCs/>
                <w:sz w:val="19"/>
                <w:szCs w:val="19"/>
              </w:rPr>
            </w:pPr>
            <w:r w:rsidRPr="00DC0CA9">
              <w:rPr>
                <w:rFonts w:ascii="Arial" w:hAnsi="Arial" w:cs="Arial"/>
                <w:bCs/>
                <w:sz w:val="18"/>
              </w:rPr>
              <w:t>Tháng 12 năm 2021</w:t>
            </w:r>
          </w:p>
        </w:tc>
        <w:tc>
          <w:tcPr>
            <w:tcW w:w="1166" w:type="dxa"/>
            <w:tcBorders>
              <w:top w:val="single" w:sz="4" w:space="0" w:color="auto"/>
              <w:bottom w:val="single" w:sz="4" w:space="0" w:color="auto"/>
            </w:tcBorders>
            <w:vAlign w:val="center"/>
          </w:tcPr>
          <w:p w14:paraId="37192D79" w14:textId="77777777" w:rsidR="00A40119" w:rsidRPr="00DC0CA9" w:rsidRDefault="00A40119" w:rsidP="006E57A7">
            <w:pPr>
              <w:spacing w:before="60" w:after="20"/>
              <w:jc w:val="center"/>
              <w:rPr>
                <w:rFonts w:ascii="Arial" w:hAnsi="Arial" w:cs="Arial"/>
                <w:b/>
                <w:bCs/>
                <w:sz w:val="19"/>
                <w:szCs w:val="19"/>
              </w:rPr>
            </w:pPr>
            <w:r w:rsidRPr="00DC0CA9">
              <w:rPr>
                <w:rFonts w:ascii="Arial" w:hAnsi="Arial" w:cs="Arial"/>
                <w:bCs/>
                <w:sz w:val="18"/>
              </w:rPr>
              <w:t>Quý IV năm 2021</w:t>
            </w:r>
          </w:p>
        </w:tc>
        <w:tc>
          <w:tcPr>
            <w:tcW w:w="827" w:type="dxa"/>
            <w:tcBorders>
              <w:top w:val="single" w:sz="4" w:space="0" w:color="auto"/>
              <w:bottom w:val="single" w:sz="4" w:space="0" w:color="auto"/>
            </w:tcBorders>
            <w:vAlign w:val="center"/>
          </w:tcPr>
          <w:p w14:paraId="5BF251F3" w14:textId="77777777" w:rsidR="00A40119" w:rsidRPr="00DC0CA9" w:rsidRDefault="00A40119" w:rsidP="006E57A7">
            <w:pPr>
              <w:spacing w:before="60" w:after="20"/>
              <w:ind w:right="96"/>
              <w:jc w:val="center"/>
              <w:rPr>
                <w:rFonts w:ascii="Arial" w:hAnsi="Arial" w:cs="Arial"/>
                <w:b/>
                <w:bCs/>
                <w:sz w:val="19"/>
                <w:szCs w:val="19"/>
              </w:rPr>
            </w:pPr>
            <w:r w:rsidRPr="00DC0CA9">
              <w:rPr>
                <w:rFonts w:ascii="Arial" w:hAnsi="Arial" w:cs="Arial"/>
                <w:bCs/>
                <w:sz w:val="18"/>
              </w:rPr>
              <w:t>Năm 2021</w:t>
            </w:r>
          </w:p>
        </w:tc>
      </w:tr>
      <w:tr w:rsidR="00DC0CA9" w:rsidRPr="00DC0CA9" w14:paraId="5544F11C" w14:textId="77777777" w:rsidTr="00C40363">
        <w:trPr>
          <w:cantSplit/>
          <w:trHeight w:hRule="exact" w:val="454"/>
          <w:jc w:val="center"/>
        </w:trPr>
        <w:tc>
          <w:tcPr>
            <w:tcW w:w="2661" w:type="dxa"/>
          </w:tcPr>
          <w:p w14:paraId="51740533" w14:textId="77777777" w:rsidR="00A40119" w:rsidRPr="00DC0CA9" w:rsidRDefault="00A40119" w:rsidP="00C40363">
            <w:pPr>
              <w:spacing w:before="160" w:after="120"/>
              <w:rPr>
                <w:rFonts w:ascii="Arial" w:hAnsi="Arial" w:cs="Arial"/>
                <w:bCs/>
                <w:sz w:val="19"/>
                <w:szCs w:val="19"/>
              </w:rPr>
            </w:pPr>
            <w:r w:rsidRPr="00DC0CA9">
              <w:rPr>
                <w:rFonts w:ascii="Arial" w:hAnsi="Arial" w:cs="Arial"/>
                <w:b/>
                <w:bCs/>
                <w:sz w:val="19"/>
                <w:szCs w:val="19"/>
              </w:rPr>
              <w:t>Tổng số</w:t>
            </w:r>
          </w:p>
        </w:tc>
        <w:tc>
          <w:tcPr>
            <w:tcW w:w="1004" w:type="dxa"/>
            <w:tcBorders>
              <w:top w:val="single" w:sz="4" w:space="0" w:color="auto"/>
            </w:tcBorders>
          </w:tcPr>
          <w:p w14:paraId="6AF85BF4" w14:textId="77777777" w:rsidR="00A40119" w:rsidRPr="00DC0CA9" w:rsidRDefault="00A40119" w:rsidP="00C40363">
            <w:pPr>
              <w:spacing w:before="160" w:after="120"/>
              <w:jc w:val="right"/>
              <w:rPr>
                <w:rFonts w:ascii="Arial" w:hAnsi="Arial" w:cs="Arial"/>
                <w:b/>
                <w:bCs/>
                <w:sz w:val="19"/>
                <w:szCs w:val="19"/>
              </w:rPr>
            </w:pPr>
            <w:r w:rsidRPr="00DC0CA9">
              <w:rPr>
                <w:rFonts w:ascii="Arial" w:hAnsi="Arial" w:cs="Arial"/>
                <w:b/>
                <w:bCs/>
                <w:sz w:val="19"/>
                <w:szCs w:val="19"/>
              </w:rPr>
              <w:t>458,5</w:t>
            </w:r>
          </w:p>
        </w:tc>
        <w:tc>
          <w:tcPr>
            <w:tcW w:w="992" w:type="dxa"/>
            <w:tcBorders>
              <w:top w:val="single" w:sz="4" w:space="0" w:color="auto"/>
            </w:tcBorders>
          </w:tcPr>
          <w:p w14:paraId="54EC8518" w14:textId="77777777" w:rsidR="00A40119" w:rsidRPr="00DC0CA9" w:rsidRDefault="00A40119" w:rsidP="00C40363">
            <w:pPr>
              <w:spacing w:before="160" w:after="120"/>
              <w:jc w:val="right"/>
              <w:rPr>
                <w:rFonts w:ascii="Arial" w:hAnsi="Arial" w:cs="Arial"/>
                <w:b/>
                <w:bCs/>
                <w:sz w:val="19"/>
                <w:szCs w:val="19"/>
              </w:rPr>
            </w:pPr>
            <w:r w:rsidRPr="00DC0CA9">
              <w:rPr>
                <w:rFonts w:ascii="Arial" w:hAnsi="Arial" w:cs="Arial"/>
                <w:b/>
                <w:bCs/>
                <w:sz w:val="19"/>
                <w:szCs w:val="19"/>
              </w:rPr>
              <w:t>1.312,6</w:t>
            </w:r>
          </w:p>
        </w:tc>
        <w:tc>
          <w:tcPr>
            <w:tcW w:w="992" w:type="dxa"/>
            <w:tcBorders>
              <w:top w:val="single" w:sz="4" w:space="0" w:color="auto"/>
            </w:tcBorders>
          </w:tcPr>
          <w:p w14:paraId="10BAC177" w14:textId="77777777" w:rsidR="00A40119" w:rsidRPr="00DC0CA9" w:rsidRDefault="00A40119" w:rsidP="00C40363">
            <w:pPr>
              <w:spacing w:before="160" w:after="120"/>
              <w:jc w:val="right"/>
              <w:rPr>
                <w:rFonts w:ascii="Arial" w:hAnsi="Arial" w:cs="Arial"/>
                <w:b/>
                <w:bCs/>
                <w:sz w:val="19"/>
                <w:szCs w:val="19"/>
              </w:rPr>
            </w:pPr>
            <w:r w:rsidRPr="00DC0CA9">
              <w:rPr>
                <w:rFonts w:ascii="Arial" w:hAnsi="Arial" w:cs="Arial"/>
                <w:b/>
                <w:bCs/>
                <w:sz w:val="19"/>
                <w:szCs w:val="19"/>
              </w:rPr>
              <w:t>4.789,5</w:t>
            </w:r>
          </w:p>
        </w:tc>
        <w:tc>
          <w:tcPr>
            <w:tcW w:w="1102" w:type="dxa"/>
            <w:tcBorders>
              <w:top w:val="single" w:sz="4" w:space="0" w:color="auto"/>
            </w:tcBorders>
          </w:tcPr>
          <w:p w14:paraId="679C9A3D" w14:textId="77777777" w:rsidR="00A40119" w:rsidRPr="00DC0CA9" w:rsidRDefault="00A40119" w:rsidP="00C40363">
            <w:pPr>
              <w:spacing w:before="160" w:after="120"/>
              <w:ind w:left="-250" w:right="285"/>
              <w:jc w:val="right"/>
              <w:rPr>
                <w:rFonts w:ascii="Arial" w:hAnsi="Arial" w:cs="Arial"/>
                <w:b/>
                <w:bCs/>
                <w:sz w:val="19"/>
                <w:szCs w:val="19"/>
              </w:rPr>
            </w:pPr>
            <w:r w:rsidRPr="00DC0CA9">
              <w:rPr>
                <w:rFonts w:ascii="Arial" w:hAnsi="Arial" w:cs="Arial"/>
                <w:b/>
                <w:bCs/>
                <w:sz w:val="19"/>
                <w:szCs w:val="19"/>
              </w:rPr>
              <w:t>1,1</w:t>
            </w:r>
          </w:p>
        </w:tc>
        <w:tc>
          <w:tcPr>
            <w:tcW w:w="1166" w:type="dxa"/>
            <w:tcBorders>
              <w:top w:val="single" w:sz="4" w:space="0" w:color="auto"/>
            </w:tcBorders>
          </w:tcPr>
          <w:p w14:paraId="7DD61636" w14:textId="77777777" w:rsidR="00A40119" w:rsidRPr="00DC0CA9" w:rsidRDefault="00A40119" w:rsidP="00C40363">
            <w:pPr>
              <w:spacing w:before="160" w:after="120"/>
              <w:ind w:left="-250" w:right="285"/>
              <w:jc w:val="right"/>
              <w:rPr>
                <w:rFonts w:ascii="Arial" w:hAnsi="Arial" w:cs="Arial"/>
                <w:b/>
                <w:bCs/>
                <w:sz w:val="19"/>
                <w:szCs w:val="19"/>
              </w:rPr>
            </w:pPr>
            <w:r w:rsidRPr="00DC0CA9">
              <w:rPr>
                <w:rFonts w:ascii="Arial" w:hAnsi="Arial" w:cs="Arial"/>
                <w:b/>
                <w:bCs/>
                <w:sz w:val="19"/>
                <w:szCs w:val="19"/>
              </w:rPr>
              <w:t>-2,8</w:t>
            </w:r>
          </w:p>
        </w:tc>
        <w:tc>
          <w:tcPr>
            <w:tcW w:w="827" w:type="dxa"/>
            <w:tcBorders>
              <w:top w:val="single" w:sz="4" w:space="0" w:color="auto"/>
            </w:tcBorders>
          </w:tcPr>
          <w:p w14:paraId="191EFFB8" w14:textId="77777777" w:rsidR="00A40119" w:rsidRPr="00DC0CA9" w:rsidRDefault="00A40119" w:rsidP="00C40363">
            <w:pPr>
              <w:spacing w:before="160" w:after="120"/>
              <w:ind w:right="98"/>
              <w:jc w:val="right"/>
              <w:rPr>
                <w:rFonts w:ascii="Arial" w:hAnsi="Arial" w:cs="Arial"/>
                <w:b/>
                <w:bCs/>
                <w:sz w:val="19"/>
                <w:szCs w:val="19"/>
              </w:rPr>
            </w:pPr>
            <w:r w:rsidRPr="00DC0CA9">
              <w:rPr>
                <w:rFonts w:ascii="Arial" w:hAnsi="Arial" w:cs="Arial"/>
                <w:b/>
                <w:bCs/>
                <w:sz w:val="19"/>
                <w:szCs w:val="19"/>
              </w:rPr>
              <w:t>-3,8</w:t>
            </w:r>
          </w:p>
        </w:tc>
      </w:tr>
      <w:tr w:rsidR="00DC0CA9" w:rsidRPr="00DC0CA9" w14:paraId="247E0BF9" w14:textId="77777777" w:rsidTr="00C40363">
        <w:trPr>
          <w:cantSplit/>
          <w:trHeight w:hRule="exact" w:val="454"/>
          <w:jc w:val="center"/>
        </w:trPr>
        <w:tc>
          <w:tcPr>
            <w:tcW w:w="2661" w:type="dxa"/>
          </w:tcPr>
          <w:p w14:paraId="50E2B303" w14:textId="77777777" w:rsidR="00A40119" w:rsidRPr="00DC0CA9" w:rsidRDefault="00A40119" w:rsidP="00C40363">
            <w:pPr>
              <w:spacing w:before="100" w:after="100"/>
              <w:ind w:firstLine="214"/>
              <w:rPr>
                <w:rFonts w:ascii="Arial" w:hAnsi="Arial" w:cs="Arial"/>
                <w:bCs/>
                <w:sz w:val="19"/>
                <w:szCs w:val="19"/>
              </w:rPr>
            </w:pPr>
            <w:r w:rsidRPr="00DC0CA9">
              <w:rPr>
                <w:rFonts w:ascii="Arial" w:hAnsi="Arial" w:cs="Arial"/>
                <w:bCs/>
                <w:sz w:val="19"/>
                <w:szCs w:val="19"/>
              </w:rPr>
              <w:t>Bán lẻ hàng hóa</w:t>
            </w:r>
          </w:p>
        </w:tc>
        <w:tc>
          <w:tcPr>
            <w:tcW w:w="1004" w:type="dxa"/>
          </w:tcPr>
          <w:p w14:paraId="23FA4CE3" w14:textId="77777777" w:rsidR="00A40119" w:rsidRPr="00DC0CA9" w:rsidRDefault="00A40119" w:rsidP="00C40363">
            <w:pPr>
              <w:spacing w:before="100" w:after="100"/>
              <w:jc w:val="right"/>
              <w:rPr>
                <w:rFonts w:ascii="Arial" w:hAnsi="Arial" w:cs="Arial"/>
                <w:bCs/>
                <w:sz w:val="19"/>
                <w:szCs w:val="19"/>
              </w:rPr>
            </w:pPr>
            <w:r w:rsidRPr="00DC0CA9">
              <w:rPr>
                <w:rFonts w:ascii="Arial" w:hAnsi="Arial" w:cs="Arial"/>
                <w:bCs/>
                <w:sz w:val="19"/>
                <w:szCs w:val="19"/>
              </w:rPr>
              <w:t>371,7</w:t>
            </w:r>
          </w:p>
        </w:tc>
        <w:tc>
          <w:tcPr>
            <w:tcW w:w="992" w:type="dxa"/>
          </w:tcPr>
          <w:p w14:paraId="54646F4A" w14:textId="77777777" w:rsidR="00A40119" w:rsidRPr="00DC0CA9" w:rsidRDefault="00A40119" w:rsidP="00C40363">
            <w:pPr>
              <w:spacing w:before="100" w:after="100"/>
              <w:jc w:val="right"/>
              <w:rPr>
                <w:rFonts w:ascii="Arial" w:hAnsi="Arial" w:cs="Arial"/>
                <w:bCs/>
                <w:sz w:val="19"/>
                <w:szCs w:val="19"/>
              </w:rPr>
            </w:pPr>
            <w:r w:rsidRPr="00DC0CA9">
              <w:rPr>
                <w:rFonts w:ascii="Arial" w:hAnsi="Arial" w:cs="Arial"/>
                <w:bCs/>
                <w:sz w:val="19"/>
                <w:szCs w:val="19"/>
              </w:rPr>
              <w:t>1.076,4</w:t>
            </w:r>
          </w:p>
        </w:tc>
        <w:tc>
          <w:tcPr>
            <w:tcW w:w="992" w:type="dxa"/>
          </w:tcPr>
          <w:p w14:paraId="2C0E4705" w14:textId="77777777" w:rsidR="00A40119" w:rsidRPr="00DC0CA9" w:rsidRDefault="00A40119" w:rsidP="00C40363">
            <w:pPr>
              <w:spacing w:before="100" w:after="100"/>
              <w:jc w:val="right"/>
              <w:rPr>
                <w:rFonts w:ascii="Arial" w:hAnsi="Arial" w:cs="Arial"/>
                <w:bCs/>
                <w:sz w:val="19"/>
                <w:szCs w:val="19"/>
              </w:rPr>
            </w:pPr>
            <w:r w:rsidRPr="00DC0CA9">
              <w:rPr>
                <w:rFonts w:ascii="Arial" w:hAnsi="Arial" w:cs="Arial"/>
                <w:bCs/>
                <w:sz w:val="19"/>
                <w:szCs w:val="19"/>
              </w:rPr>
              <w:t>3.950,9</w:t>
            </w:r>
          </w:p>
        </w:tc>
        <w:tc>
          <w:tcPr>
            <w:tcW w:w="1102" w:type="dxa"/>
          </w:tcPr>
          <w:p w14:paraId="3AC75C30" w14:textId="77777777" w:rsidR="00A40119" w:rsidRPr="00DC0CA9" w:rsidRDefault="00A40119" w:rsidP="00C40363">
            <w:pPr>
              <w:spacing w:before="100" w:after="100"/>
              <w:ind w:left="-250" w:right="285"/>
              <w:jc w:val="right"/>
              <w:rPr>
                <w:rFonts w:ascii="Arial" w:hAnsi="Arial" w:cs="Arial"/>
                <w:bCs/>
                <w:sz w:val="19"/>
                <w:szCs w:val="19"/>
              </w:rPr>
            </w:pPr>
            <w:r w:rsidRPr="00DC0CA9">
              <w:rPr>
                <w:rFonts w:ascii="Arial" w:hAnsi="Arial" w:cs="Arial"/>
                <w:bCs/>
                <w:sz w:val="19"/>
                <w:szCs w:val="19"/>
              </w:rPr>
              <w:t>3,7</w:t>
            </w:r>
          </w:p>
        </w:tc>
        <w:tc>
          <w:tcPr>
            <w:tcW w:w="1166" w:type="dxa"/>
          </w:tcPr>
          <w:p w14:paraId="0D288152" w14:textId="77777777" w:rsidR="00A40119" w:rsidRPr="00DC0CA9" w:rsidRDefault="00A40119" w:rsidP="00C40363">
            <w:pPr>
              <w:spacing w:before="100" w:after="100"/>
              <w:ind w:left="-250" w:right="285"/>
              <w:jc w:val="right"/>
              <w:rPr>
                <w:rFonts w:ascii="Arial" w:hAnsi="Arial" w:cs="Arial"/>
                <w:bCs/>
                <w:sz w:val="19"/>
                <w:szCs w:val="19"/>
              </w:rPr>
            </w:pPr>
            <w:r w:rsidRPr="00DC0CA9">
              <w:rPr>
                <w:rFonts w:ascii="Arial" w:hAnsi="Arial" w:cs="Arial"/>
                <w:bCs/>
                <w:sz w:val="19"/>
                <w:szCs w:val="19"/>
              </w:rPr>
              <w:t>0,8</w:t>
            </w:r>
          </w:p>
        </w:tc>
        <w:tc>
          <w:tcPr>
            <w:tcW w:w="827" w:type="dxa"/>
          </w:tcPr>
          <w:p w14:paraId="65F5DF22" w14:textId="77777777" w:rsidR="00A40119" w:rsidRPr="00DC0CA9" w:rsidRDefault="00A40119" w:rsidP="00C40363">
            <w:pPr>
              <w:spacing w:before="100" w:after="100"/>
              <w:ind w:right="98"/>
              <w:jc w:val="right"/>
              <w:rPr>
                <w:rFonts w:ascii="Arial" w:hAnsi="Arial" w:cs="Arial"/>
                <w:bCs/>
                <w:sz w:val="19"/>
                <w:szCs w:val="19"/>
              </w:rPr>
            </w:pPr>
            <w:r w:rsidRPr="00DC0CA9">
              <w:rPr>
                <w:rFonts w:ascii="Arial" w:hAnsi="Arial" w:cs="Arial"/>
                <w:bCs/>
                <w:sz w:val="19"/>
                <w:szCs w:val="19"/>
              </w:rPr>
              <w:t>0,2</w:t>
            </w:r>
          </w:p>
        </w:tc>
      </w:tr>
      <w:tr w:rsidR="00DC0CA9" w:rsidRPr="00DC0CA9" w14:paraId="08BD66E3" w14:textId="77777777" w:rsidTr="00C40363">
        <w:trPr>
          <w:cantSplit/>
          <w:trHeight w:hRule="exact" w:val="454"/>
          <w:jc w:val="center"/>
        </w:trPr>
        <w:tc>
          <w:tcPr>
            <w:tcW w:w="2661" w:type="dxa"/>
          </w:tcPr>
          <w:p w14:paraId="129E0329" w14:textId="77777777" w:rsidR="00A40119" w:rsidRPr="00DC0CA9" w:rsidRDefault="00A40119" w:rsidP="00C40363">
            <w:pPr>
              <w:spacing w:before="100" w:after="100"/>
              <w:ind w:firstLine="214"/>
              <w:rPr>
                <w:rFonts w:ascii="Arial" w:hAnsi="Arial" w:cs="Arial"/>
                <w:bCs/>
                <w:sz w:val="19"/>
                <w:szCs w:val="19"/>
              </w:rPr>
            </w:pPr>
            <w:r w:rsidRPr="00DC0CA9">
              <w:rPr>
                <w:rFonts w:ascii="Arial" w:hAnsi="Arial" w:cs="Arial"/>
                <w:bCs/>
                <w:sz w:val="19"/>
                <w:szCs w:val="19"/>
              </w:rPr>
              <w:t>Dịch vụ lưu trú, ăn uống</w:t>
            </w:r>
          </w:p>
          <w:p w14:paraId="52EBFC1B" w14:textId="77777777" w:rsidR="00A40119" w:rsidRPr="00DC0CA9" w:rsidRDefault="00A40119" w:rsidP="00C40363">
            <w:pPr>
              <w:spacing w:before="100" w:after="100"/>
              <w:ind w:firstLine="214"/>
              <w:rPr>
                <w:rFonts w:ascii="Arial" w:hAnsi="Arial" w:cs="Arial"/>
                <w:bCs/>
                <w:sz w:val="19"/>
                <w:szCs w:val="19"/>
              </w:rPr>
            </w:pPr>
          </w:p>
          <w:p w14:paraId="42338B33" w14:textId="77777777" w:rsidR="00A40119" w:rsidRPr="00DC0CA9" w:rsidRDefault="00A40119" w:rsidP="00C40363">
            <w:pPr>
              <w:spacing w:before="100" w:after="100"/>
              <w:ind w:firstLine="214"/>
              <w:rPr>
                <w:rFonts w:ascii="Arial" w:hAnsi="Arial" w:cs="Arial"/>
                <w:bCs/>
                <w:sz w:val="19"/>
                <w:szCs w:val="19"/>
              </w:rPr>
            </w:pPr>
          </w:p>
          <w:p w14:paraId="4E6FF2E0" w14:textId="77777777" w:rsidR="00A40119" w:rsidRPr="00DC0CA9" w:rsidRDefault="00A40119" w:rsidP="00C40363">
            <w:pPr>
              <w:spacing w:before="100" w:after="100"/>
              <w:ind w:firstLine="214"/>
              <w:rPr>
                <w:rFonts w:ascii="Arial" w:hAnsi="Arial" w:cs="Arial"/>
                <w:bCs/>
                <w:sz w:val="19"/>
                <w:szCs w:val="19"/>
              </w:rPr>
            </w:pPr>
            <w:r w:rsidRPr="00DC0CA9">
              <w:rPr>
                <w:rFonts w:ascii="Arial" w:hAnsi="Arial" w:cs="Arial"/>
                <w:bCs/>
                <w:sz w:val="19"/>
                <w:szCs w:val="19"/>
              </w:rPr>
              <w:t>upuống</w:t>
            </w:r>
          </w:p>
        </w:tc>
        <w:tc>
          <w:tcPr>
            <w:tcW w:w="1004" w:type="dxa"/>
          </w:tcPr>
          <w:p w14:paraId="37C562ED" w14:textId="77777777" w:rsidR="00A40119" w:rsidRPr="00DC0CA9" w:rsidRDefault="00A40119" w:rsidP="00C40363">
            <w:pPr>
              <w:spacing w:before="100" w:after="100"/>
              <w:jc w:val="right"/>
              <w:rPr>
                <w:rFonts w:ascii="Arial" w:hAnsi="Arial" w:cs="Arial"/>
                <w:bCs/>
                <w:sz w:val="19"/>
                <w:szCs w:val="19"/>
              </w:rPr>
            </w:pPr>
            <w:r w:rsidRPr="00DC0CA9">
              <w:rPr>
                <w:rFonts w:ascii="Arial" w:hAnsi="Arial" w:cs="Arial"/>
                <w:bCs/>
                <w:sz w:val="19"/>
                <w:szCs w:val="19"/>
              </w:rPr>
              <w:t>40,8</w:t>
            </w:r>
          </w:p>
        </w:tc>
        <w:tc>
          <w:tcPr>
            <w:tcW w:w="992" w:type="dxa"/>
          </w:tcPr>
          <w:p w14:paraId="2A70F8FD" w14:textId="77777777" w:rsidR="00A40119" w:rsidRPr="00DC0CA9" w:rsidRDefault="00A40119" w:rsidP="00C40363">
            <w:pPr>
              <w:spacing w:before="100" w:after="100"/>
              <w:jc w:val="right"/>
              <w:rPr>
                <w:rFonts w:ascii="Arial" w:hAnsi="Arial" w:cs="Arial"/>
                <w:bCs/>
                <w:sz w:val="19"/>
                <w:szCs w:val="19"/>
              </w:rPr>
            </w:pPr>
            <w:r w:rsidRPr="00DC0CA9">
              <w:rPr>
                <w:rFonts w:ascii="Arial" w:hAnsi="Arial" w:cs="Arial"/>
                <w:bCs/>
                <w:sz w:val="19"/>
                <w:szCs w:val="19"/>
              </w:rPr>
              <w:t>107,7</w:t>
            </w:r>
          </w:p>
        </w:tc>
        <w:tc>
          <w:tcPr>
            <w:tcW w:w="992" w:type="dxa"/>
          </w:tcPr>
          <w:p w14:paraId="4B0CC20C" w14:textId="77777777" w:rsidR="00A40119" w:rsidRPr="00DC0CA9" w:rsidRDefault="00A40119" w:rsidP="00C40363">
            <w:pPr>
              <w:spacing w:before="100" w:after="100"/>
              <w:jc w:val="right"/>
              <w:rPr>
                <w:rFonts w:ascii="Arial" w:hAnsi="Arial" w:cs="Arial"/>
                <w:bCs/>
                <w:sz w:val="19"/>
                <w:szCs w:val="19"/>
              </w:rPr>
            </w:pPr>
            <w:r w:rsidRPr="00DC0CA9">
              <w:rPr>
                <w:rFonts w:ascii="Arial" w:hAnsi="Arial" w:cs="Arial"/>
                <w:bCs/>
                <w:sz w:val="19"/>
                <w:szCs w:val="19"/>
              </w:rPr>
              <w:t>398,0</w:t>
            </w:r>
          </w:p>
        </w:tc>
        <w:tc>
          <w:tcPr>
            <w:tcW w:w="1102" w:type="dxa"/>
          </w:tcPr>
          <w:p w14:paraId="437D32C8" w14:textId="77777777" w:rsidR="00A40119" w:rsidRPr="00DC0CA9" w:rsidRDefault="00A40119" w:rsidP="00C40363">
            <w:pPr>
              <w:spacing w:before="100" w:after="100"/>
              <w:ind w:left="-250" w:right="285"/>
              <w:jc w:val="right"/>
              <w:rPr>
                <w:rFonts w:ascii="Arial" w:hAnsi="Arial" w:cs="Arial"/>
                <w:bCs/>
                <w:sz w:val="19"/>
                <w:szCs w:val="19"/>
              </w:rPr>
            </w:pPr>
            <w:r w:rsidRPr="00DC0CA9">
              <w:rPr>
                <w:rFonts w:ascii="Arial" w:hAnsi="Arial" w:cs="Arial"/>
                <w:bCs/>
                <w:sz w:val="19"/>
                <w:szCs w:val="19"/>
              </w:rPr>
              <w:t>-10,0</w:t>
            </w:r>
          </w:p>
        </w:tc>
        <w:tc>
          <w:tcPr>
            <w:tcW w:w="1166" w:type="dxa"/>
          </w:tcPr>
          <w:p w14:paraId="3511F621" w14:textId="77777777" w:rsidR="00A40119" w:rsidRPr="00DC0CA9" w:rsidRDefault="00A40119" w:rsidP="00C40363">
            <w:pPr>
              <w:spacing w:before="100" w:after="100"/>
              <w:ind w:left="-250" w:right="285"/>
              <w:jc w:val="right"/>
              <w:rPr>
                <w:rFonts w:ascii="Arial" w:hAnsi="Arial" w:cs="Arial"/>
                <w:bCs/>
                <w:sz w:val="19"/>
                <w:szCs w:val="19"/>
              </w:rPr>
            </w:pPr>
            <w:r w:rsidRPr="00DC0CA9">
              <w:rPr>
                <w:rFonts w:ascii="Arial" w:hAnsi="Arial" w:cs="Arial"/>
                <w:bCs/>
                <w:sz w:val="19"/>
                <w:szCs w:val="19"/>
              </w:rPr>
              <w:t>-19,8</w:t>
            </w:r>
          </w:p>
        </w:tc>
        <w:tc>
          <w:tcPr>
            <w:tcW w:w="827" w:type="dxa"/>
          </w:tcPr>
          <w:p w14:paraId="0D1C10CE" w14:textId="77777777" w:rsidR="00A40119" w:rsidRPr="00DC0CA9" w:rsidRDefault="00A40119" w:rsidP="00C40363">
            <w:pPr>
              <w:spacing w:before="100" w:after="100"/>
              <w:ind w:right="98"/>
              <w:jc w:val="right"/>
              <w:rPr>
                <w:rFonts w:ascii="Arial" w:hAnsi="Arial" w:cs="Arial"/>
                <w:bCs/>
                <w:sz w:val="19"/>
                <w:szCs w:val="19"/>
              </w:rPr>
            </w:pPr>
            <w:r w:rsidRPr="00DC0CA9">
              <w:rPr>
                <w:rFonts w:ascii="Arial" w:hAnsi="Arial" w:cs="Arial"/>
                <w:bCs/>
                <w:sz w:val="19"/>
                <w:szCs w:val="19"/>
              </w:rPr>
              <w:t>-19,3</w:t>
            </w:r>
          </w:p>
        </w:tc>
      </w:tr>
      <w:tr w:rsidR="00DC0CA9" w:rsidRPr="00DC0CA9" w14:paraId="5255242A" w14:textId="77777777" w:rsidTr="00C40363">
        <w:trPr>
          <w:cantSplit/>
          <w:trHeight w:hRule="exact" w:val="454"/>
          <w:jc w:val="center"/>
        </w:trPr>
        <w:tc>
          <w:tcPr>
            <w:tcW w:w="2661" w:type="dxa"/>
          </w:tcPr>
          <w:p w14:paraId="6520C0D8" w14:textId="77777777" w:rsidR="00A40119" w:rsidRPr="00DC0CA9" w:rsidRDefault="00A40119" w:rsidP="00C40363">
            <w:pPr>
              <w:spacing w:before="100" w:after="100"/>
              <w:ind w:firstLine="214"/>
              <w:jc w:val="both"/>
              <w:rPr>
                <w:rFonts w:ascii="Arial" w:hAnsi="Arial" w:cs="Arial"/>
                <w:bCs/>
                <w:sz w:val="19"/>
                <w:szCs w:val="19"/>
              </w:rPr>
            </w:pPr>
            <w:r w:rsidRPr="00DC0CA9">
              <w:rPr>
                <w:rFonts w:ascii="Arial" w:hAnsi="Arial" w:cs="Arial"/>
                <w:bCs/>
                <w:sz w:val="19"/>
                <w:szCs w:val="19"/>
              </w:rPr>
              <w:t>Du lịch lữ hành</w:t>
            </w:r>
          </w:p>
        </w:tc>
        <w:tc>
          <w:tcPr>
            <w:tcW w:w="1004" w:type="dxa"/>
          </w:tcPr>
          <w:p w14:paraId="34930905" w14:textId="77777777" w:rsidR="00A40119" w:rsidRPr="00DC0CA9" w:rsidRDefault="00A40119" w:rsidP="00C40363">
            <w:pPr>
              <w:spacing w:before="100" w:after="100"/>
              <w:jc w:val="right"/>
              <w:rPr>
                <w:rFonts w:ascii="Arial" w:hAnsi="Arial" w:cs="Arial"/>
                <w:bCs/>
                <w:sz w:val="19"/>
                <w:szCs w:val="19"/>
              </w:rPr>
            </w:pPr>
            <w:r w:rsidRPr="00DC0CA9">
              <w:rPr>
                <w:rFonts w:ascii="Arial" w:hAnsi="Arial" w:cs="Arial"/>
                <w:bCs/>
                <w:sz w:val="19"/>
                <w:szCs w:val="19"/>
              </w:rPr>
              <w:t>0,9</w:t>
            </w:r>
          </w:p>
        </w:tc>
        <w:tc>
          <w:tcPr>
            <w:tcW w:w="992" w:type="dxa"/>
          </w:tcPr>
          <w:p w14:paraId="07CDC389" w14:textId="77777777" w:rsidR="00A40119" w:rsidRPr="00DC0CA9" w:rsidRDefault="00A40119" w:rsidP="00C40363">
            <w:pPr>
              <w:spacing w:before="100" w:after="100"/>
              <w:jc w:val="right"/>
              <w:rPr>
                <w:rFonts w:ascii="Arial" w:hAnsi="Arial" w:cs="Arial"/>
                <w:bCs/>
                <w:sz w:val="19"/>
                <w:szCs w:val="19"/>
              </w:rPr>
            </w:pPr>
            <w:r w:rsidRPr="00DC0CA9">
              <w:rPr>
                <w:rFonts w:ascii="Arial" w:hAnsi="Arial" w:cs="Arial"/>
                <w:bCs/>
                <w:sz w:val="19"/>
                <w:szCs w:val="19"/>
              </w:rPr>
              <w:t>1,9</w:t>
            </w:r>
          </w:p>
        </w:tc>
        <w:tc>
          <w:tcPr>
            <w:tcW w:w="992" w:type="dxa"/>
          </w:tcPr>
          <w:p w14:paraId="7BD31384" w14:textId="77777777" w:rsidR="00A40119" w:rsidRPr="00DC0CA9" w:rsidRDefault="00A40119" w:rsidP="00C40363">
            <w:pPr>
              <w:spacing w:before="100" w:after="100"/>
              <w:jc w:val="right"/>
              <w:rPr>
                <w:rFonts w:ascii="Arial" w:hAnsi="Arial" w:cs="Arial"/>
                <w:bCs/>
                <w:sz w:val="19"/>
                <w:szCs w:val="19"/>
              </w:rPr>
            </w:pPr>
            <w:r w:rsidRPr="00DC0CA9">
              <w:rPr>
                <w:rFonts w:ascii="Arial" w:hAnsi="Arial" w:cs="Arial"/>
                <w:bCs/>
                <w:sz w:val="19"/>
                <w:szCs w:val="19"/>
              </w:rPr>
              <w:t>6,5</w:t>
            </w:r>
          </w:p>
        </w:tc>
        <w:tc>
          <w:tcPr>
            <w:tcW w:w="1102" w:type="dxa"/>
          </w:tcPr>
          <w:p w14:paraId="6BA0AA5C" w14:textId="77777777" w:rsidR="00A40119" w:rsidRPr="00DC0CA9" w:rsidRDefault="00A40119" w:rsidP="00C40363">
            <w:pPr>
              <w:spacing w:before="100" w:after="100"/>
              <w:ind w:left="-250" w:right="285"/>
              <w:jc w:val="right"/>
              <w:rPr>
                <w:rFonts w:ascii="Arial" w:hAnsi="Arial" w:cs="Arial"/>
                <w:bCs/>
                <w:sz w:val="19"/>
                <w:szCs w:val="19"/>
              </w:rPr>
            </w:pPr>
            <w:r w:rsidRPr="00DC0CA9">
              <w:rPr>
                <w:rFonts w:ascii="Arial" w:hAnsi="Arial" w:cs="Arial"/>
                <w:bCs/>
                <w:sz w:val="19"/>
                <w:szCs w:val="19"/>
              </w:rPr>
              <w:t>-34,7</w:t>
            </w:r>
          </w:p>
        </w:tc>
        <w:tc>
          <w:tcPr>
            <w:tcW w:w="1166" w:type="dxa"/>
          </w:tcPr>
          <w:p w14:paraId="0DB46B8F" w14:textId="77777777" w:rsidR="00A40119" w:rsidRPr="00DC0CA9" w:rsidRDefault="00A40119" w:rsidP="00C40363">
            <w:pPr>
              <w:spacing w:before="100" w:after="100"/>
              <w:ind w:left="-250" w:right="285"/>
              <w:jc w:val="right"/>
              <w:rPr>
                <w:rFonts w:ascii="Arial" w:hAnsi="Arial" w:cs="Arial"/>
                <w:bCs/>
                <w:sz w:val="19"/>
                <w:szCs w:val="19"/>
              </w:rPr>
            </w:pPr>
            <w:r w:rsidRPr="00DC0CA9">
              <w:rPr>
                <w:rFonts w:ascii="Arial" w:hAnsi="Arial" w:cs="Arial"/>
                <w:bCs/>
                <w:sz w:val="19"/>
                <w:szCs w:val="19"/>
              </w:rPr>
              <w:t>-45,2</w:t>
            </w:r>
          </w:p>
        </w:tc>
        <w:tc>
          <w:tcPr>
            <w:tcW w:w="827" w:type="dxa"/>
          </w:tcPr>
          <w:p w14:paraId="5D8F0239" w14:textId="77777777" w:rsidR="00A40119" w:rsidRPr="00DC0CA9" w:rsidRDefault="00A40119" w:rsidP="00C40363">
            <w:pPr>
              <w:spacing w:before="100" w:after="100"/>
              <w:ind w:right="98"/>
              <w:jc w:val="right"/>
              <w:rPr>
                <w:rFonts w:ascii="Arial" w:hAnsi="Arial" w:cs="Arial"/>
                <w:bCs/>
                <w:sz w:val="19"/>
                <w:szCs w:val="19"/>
              </w:rPr>
            </w:pPr>
            <w:r w:rsidRPr="00DC0CA9">
              <w:rPr>
                <w:rFonts w:ascii="Arial" w:hAnsi="Arial" w:cs="Arial"/>
                <w:bCs/>
                <w:sz w:val="19"/>
                <w:szCs w:val="19"/>
              </w:rPr>
              <w:t>-59,9</w:t>
            </w:r>
          </w:p>
        </w:tc>
      </w:tr>
      <w:tr w:rsidR="006E57A7" w:rsidRPr="00DC0CA9" w14:paraId="3D3C6D4F" w14:textId="77777777" w:rsidTr="00C40363">
        <w:trPr>
          <w:cantSplit/>
          <w:trHeight w:hRule="exact" w:val="454"/>
          <w:jc w:val="center"/>
        </w:trPr>
        <w:tc>
          <w:tcPr>
            <w:tcW w:w="2661" w:type="dxa"/>
          </w:tcPr>
          <w:p w14:paraId="275948D5" w14:textId="77777777" w:rsidR="00A40119" w:rsidRPr="00DC0CA9" w:rsidRDefault="00A40119" w:rsidP="00C40363">
            <w:pPr>
              <w:spacing w:before="100" w:after="100"/>
              <w:ind w:firstLine="214"/>
              <w:jc w:val="both"/>
              <w:rPr>
                <w:rFonts w:ascii="Arial" w:hAnsi="Arial" w:cs="Arial"/>
                <w:bCs/>
                <w:sz w:val="19"/>
                <w:szCs w:val="19"/>
              </w:rPr>
            </w:pPr>
            <w:r w:rsidRPr="00DC0CA9">
              <w:rPr>
                <w:rFonts w:ascii="Arial" w:hAnsi="Arial" w:cs="Arial"/>
                <w:bCs/>
                <w:sz w:val="19"/>
                <w:szCs w:val="19"/>
              </w:rPr>
              <w:t>Dịch vụ khác</w:t>
            </w:r>
          </w:p>
        </w:tc>
        <w:tc>
          <w:tcPr>
            <w:tcW w:w="1004" w:type="dxa"/>
          </w:tcPr>
          <w:p w14:paraId="274BEA99" w14:textId="77777777" w:rsidR="00A40119" w:rsidRPr="00DC0CA9" w:rsidRDefault="00A40119" w:rsidP="00C40363">
            <w:pPr>
              <w:spacing w:before="100" w:after="100"/>
              <w:jc w:val="right"/>
              <w:rPr>
                <w:rFonts w:ascii="Arial" w:hAnsi="Arial" w:cs="Arial"/>
                <w:bCs/>
                <w:sz w:val="19"/>
                <w:szCs w:val="19"/>
              </w:rPr>
            </w:pPr>
            <w:r w:rsidRPr="00DC0CA9">
              <w:rPr>
                <w:rFonts w:ascii="Arial" w:hAnsi="Arial" w:cs="Arial"/>
                <w:bCs/>
                <w:sz w:val="19"/>
                <w:szCs w:val="19"/>
              </w:rPr>
              <w:t>45,1</w:t>
            </w:r>
          </w:p>
        </w:tc>
        <w:tc>
          <w:tcPr>
            <w:tcW w:w="992" w:type="dxa"/>
          </w:tcPr>
          <w:p w14:paraId="2673B38B" w14:textId="77777777" w:rsidR="00A40119" w:rsidRPr="00DC0CA9" w:rsidRDefault="00A40119" w:rsidP="00C40363">
            <w:pPr>
              <w:spacing w:before="100" w:after="100"/>
              <w:jc w:val="right"/>
              <w:rPr>
                <w:rFonts w:ascii="Arial" w:hAnsi="Arial" w:cs="Arial"/>
                <w:bCs/>
                <w:sz w:val="19"/>
                <w:szCs w:val="19"/>
              </w:rPr>
            </w:pPr>
            <w:r w:rsidRPr="00DC0CA9">
              <w:rPr>
                <w:rFonts w:ascii="Arial" w:hAnsi="Arial" w:cs="Arial"/>
                <w:bCs/>
                <w:sz w:val="19"/>
                <w:szCs w:val="19"/>
              </w:rPr>
              <w:t>126,6</w:t>
            </w:r>
          </w:p>
        </w:tc>
        <w:tc>
          <w:tcPr>
            <w:tcW w:w="992" w:type="dxa"/>
          </w:tcPr>
          <w:p w14:paraId="3FBBABAB" w14:textId="77777777" w:rsidR="00A40119" w:rsidRPr="00DC0CA9" w:rsidRDefault="00A40119" w:rsidP="00C40363">
            <w:pPr>
              <w:spacing w:before="100" w:after="100"/>
              <w:jc w:val="right"/>
              <w:rPr>
                <w:rFonts w:ascii="Arial" w:hAnsi="Arial" w:cs="Arial"/>
                <w:bCs/>
                <w:sz w:val="19"/>
                <w:szCs w:val="19"/>
              </w:rPr>
            </w:pPr>
            <w:r w:rsidRPr="00DC0CA9">
              <w:rPr>
                <w:rFonts w:ascii="Arial" w:hAnsi="Arial" w:cs="Arial"/>
                <w:bCs/>
                <w:sz w:val="19"/>
                <w:szCs w:val="19"/>
              </w:rPr>
              <w:t>434,1</w:t>
            </w:r>
          </w:p>
        </w:tc>
        <w:tc>
          <w:tcPr>
            <w:tcW w:w="1102" w:type="dxa"/>
          </w:tcPr>
          <w:p w14:paraId="1DB5A699" w14:textId="77777777" w:rsidR="00A40119" w:rsidRPr="00DC0CA9" w:rsidRDefault="00A40119" w:rsidP="00C40363">
            <w:pPr>
              <w:spacing w:before="100" w:after="100"/>
              <w:ind w:left="-250" w:right="285"/>
              <w:jc w:val="right"/>
              <w:rPr>
                <w:rFonts w:ascii="Arial" w:hAnsi="Arial" w:cs="Arial"/>
                <w:bCs/>
                <w:sz w:val="19"/>
                <w:szCs w:val="19"/>
              </w:rPr>
            </w:pPr>
            <w:r w:rsidRPr="00DC0CA9">
              <w:rPr>
                <w:rFonts w:ascii="Arial" w:hAnsi="Arial" w:cs="Arial"/>
                <w:bCs/>
                <w:sz w:val="19"/>
                <w:szCs w:val="19"/>
              </w:rPr>
              <w:t>-7,2</w:t>
            </w:r>
          </w:p>
        </w:tc>
        <w:tc>
          <w:tcPr>
            <w:tcW w:w="1166" w:type="dxa"/>
          </w:tcPr>
          <w:p w14:paraId="5CC50F80" w14:textId="77777777" w:rsidR="00A40119" w:rsidRPr="00DC0CA9" w:rsidRDefault="00A40119" w:rsidP="00C40363">
            <w:pPr>
              <w:spacing w:before="100" w:after="100"/>
              <w:ind w:left="-250" w:right="285"/>
              <w:jc w:val="right"/>
              <w:rPr>
                <w:rFonts w:ascii="Arial" w:hAnsi="Arial" w:cs="Arial"/>
                <w:bCs/>
                <w:sz w:val="19"/>
                <w:szCs w:val="19"/>
              </w:rPr>
            </w:pPr>
            <w:r w:rsidRPr="00DC0CA9">
              <w:rPr>
                <w:rFonts w:ascii="Arial" w:hAnsi="Arial" w:cs="Arial"/>
                <w:bCs/>
                <w:sz w:val="19"/>
                <w:szCs w:val="19"/>
              </w:rPr>
              <w:t>-12,7</w:t>
            </w:r>
          </w:p>
        </w:tc>
        <w:tc>
          <w:tcPr>
            <w:tcW w:w="827" w:type="dxa"/>
          </w:tcPr>
          <w:p w14:paraId="0EF08C20" w14:textId="77777777" w:rsidR="00A40119" w:rsidRPr="00DC0CA9" w:rsidRDefault="00A40119" w:rsidP="00C40363">
            <w:pPr>
              <w:spacing w:before="100" w:after="100"/>
              <w:ind w:right="98"/>
              <w:jc w:val="right"/>
              <w:rPr>
                <w:rFonts w:ascii="Arial" w:hAnsi="Arial" w:cs="Arial"/>
                <w:bCs/>
                <w:sz w:val="19"/>
                <w:szCs w:val="19"/>
              </w:rPr>
            </w:pPr>
            <w:r w:rsidRPr="00DC0CA9">
              <w:rPr>
                <w:rFonts w:ascii="Arial" w:hAnsi="Arial" w:cs="Arial"/>
                <w:bCs/>
                <w:sz w:val="19"/>
                <w:szCs w:val="19"/>
              </w:rPr>
              <w:t>-16,8</w:t>
            </w:r>
          </w:p>
        </w:tc>
      </w:tr>
    </w:tbl>
    <w:p w14:paraId="523A46B1" w14:textId="77777777" w:rsidR="00A40119" w:rsidRPr="00DC0CA9" w:rsidRDefault="00A40119" w:rsidP="00A40119">
      <w:pPr>
        <w:tabs>
          <w:tab w:val="left" w:pos="2552"/>
          <w:tab w:val="left" w:pos="2835"/>
          <w:tab w:val="left" w:pos="3402"/>
        </w:tabs>
        <w:spacing w:before="40" w:after="40" w:line="247" w:lineRule="auto"/>
        <w:ind w:firstLine="567"/>
        <w:jc w:val="both"/>
        <w:rPr>
          <w:rFonts w:ascii="Times New Roman" w:hAnsi="Times New Roman" w:cs="Times New Roman"/>
          <w:bCs/>
          <w:spacing w:val="2"/>
          <w:sz w:val="16"/>
          <w:szCs w:val="16"/>
        </w:rPr>
      </w:pPr>
    </w:p>
    <w:p w14:paraId="1FA52C47" w14:textId="77777777" w:rsidR="00CB4A70" w:rsidRPr="00DC0CA9" w:rsidRDefault="00CB4A70" w:rsidP="00FA1162">
      <w:pPr>
        <w:spacing w:after="120" w:line="262" w:lineRule="auto"/>
        <w:ind w:firstLine="567"/>
        <w:jc w:val="both"/>
        <w:rPr>
          <w:rFonts w:ascii="Times New Roman" w:hAnsi="Times New Roman" w:cs="Times New Roman"/>
          <w:bCs/>
          <w:iCs/>
          <w:sz w:val="28"/>
          <w:szCs w:val="28"/>
          <w:lang w:val="fr-FR"/>
        </w:rPr>
      </w:pPr>
      <w:r w:rsidRPr="00DC0CA9">
        <w:rPr>
          <w:rFonts w:ascii="Times New Roman" w:hAnsi="Times New Roman" w:cs="Times New Roman"/>
          <w:spacing w:val="-4"/>
          <w:sz w:val="28"/>
          <w:szCs w:val="28"/>
          <w:lang w:val="fr-FR"/>
        </w:rPr>
        <w:t xml:space="preserve">Năm 2021, vận tải hành khách đạt 2.387,3 triệu lượt khách vận chuyển, giảm 33% so với năm trước (năm 2020 giảm 29,6%) và luân chuyển 94,7 tỷ lượt khách.km, giảm 42% (năm 2020 giảm 34,1%). </w:t>
      </w:r>
      <w:r w:rsidRPr="00DC0CA9">
        <w:rPr>
          <w:rFonts w:ascii="Times New Roman" w:hAnsi="Times New Roman" w:cs="Times New Roman"/>
          <w:bCs/>
          <w:iCs/>
          <w:spacing w:val="-4"/>
          <w:sz w:val="28"/>
          <w:szCs w:val="28"/>
          <w:lang w:val="fr-FR"/>
        </w:rPr>
        <w:t>V</w:t>
      </w:r>
      <w:r w:rsidRPr="00DC0CA9">
        <w:rPr>
          <w:rFonts w:ascii="Times New Roman" w:hAnsi="Times New Roman" w:cs="Times New Roman"/>
          <w:bCs/>
          <w:iCs/>
          <w:sz w:val="28"/>
          <w:szCs w:val="28"/>
          <w:lang w:val="fr-FR"/>
        </w:rPr>
        <w:t xml:space="preserve">ận tải hàng hóa ước đạt 1.620,5 triệu tấn hàng hóa vận chuyển, giảm 8,7% so với năm trước (năm 2020 giảm 5,2%) và luân chuyển 333,4 tỷ tấn.km, giảm 1,8% (năm trước giảm 6,7%). </w:t>
      </w:r>
    </w:p>
    <w:p w14:paraId="1F9E2081" w14:textId="337C5CD1" w:rsidR="00CB4A70" w:rsidRPr="00DC0CA9" w:rsidRDefault="00CB4A70" w:rsidP="00FA1162">
      <w:pPr>
        <w:spacing w:after="120" w:line="360" w:lineRule="exact"/>
        <w:ind w:firstLine="567"/>
        <w:jc w:val="both"/>
        <w:rPr>
          <w:rFonts w:ascii="Times New Roman" w:eastAsia="Calibri" w:hAnsi="Times New Roman" w:cs="Times New Roman"/>
          <w:sz w:val="28"/>
          <w:szCs w:val="28"/>
          <w:lang w:val="vi-VN"/>
        </w:rPr>
      </w:pPr>
      <w:r w:rsidRPr="00DC0CA9">
        <w:rPr>
          <w:rFonts w:ascii="Times New Roman" w:eastAsia="Calibri" w:hAnsi="Times New Roman" w:cs="Times New Roman"/>
          <w:sz w:val="28"/>
          <w:szCs w:val="28"/>
          <w:lang w:val="vi-VN"/>
        </w:rPr>
        <w:t xml:space="preserve">Doanh thu hoạt động viễn thông </w:t>
      </w:r>
      <w:r w:rsidRPr="00DC0CA9">
        <w:rPr>
          <w:rFonts w:ascii="Times New Roman" w:hAnsi="Times New Roman" w:cs="Times New Roman"/>
          <w:sz w:val="28"/>
          <w:szCs w:val="28"/>
          <w:lang w:val="vi-VN"/>
        </w:rPr>
        <w:t>năm 2021</w:t>
      </w:r>
      <w:r w:rsidRPr="00DC0CA9">
        <w:rPr>
          <w:rFonts w:ascii="Times New Roman" w:hAnsi="Times New Roman" w:cs="Times New Roman"/>
          <w:sz w:val="28"/>
          <w:szCs w:val="28"/>
          <w:lang w:val="en-IN"/>
        </w:rPr>
        <w:t xml:space="preserve"> </w:t>
      </w:r>
      <w:r w:rsidRPr="00DC0CA9">
        <w:rPr>
          <w:rFonts w:ascii="Times New Roman" w:hAnsi="Times New Roman" w:cs="Times New Roman"/>
          <w:sz w:val="28"/>
          <w:szCs w:val="28"/>
          <w:lang w:val="vi-VN"/>
        </w:rPr>
        <w:t>đạt 314,8 nghìn tỷ đồng, giảm 0,1% so với năm trước (nếu loại trừ yếu tố giá tăng 0,3%).</w:t>
      </w:r>
      <w:r w:rsidRPr="00DC0CA9">
        <w:rPr>
          <w:rFonts w:ascii="Times New Roman" w:hAnsi="Times New Roman" w:cs="Times New Roman"/>
          <w:sz w:val="28"/>
          <w:szCs w:val="28"/>
          <w:lang w:val="en-IN"/>
        </w:rPr>
        <w:t xml:space="preserve"> T</w:t>
      </w:r>
      <w:r w:rsidRPr="00DC0CA9">
        <w:rPr>
          <w:rFonts w:ascii="Times New Roman" w:eastAsia="Calibri" w:hAnsi="Times New Roman" w:cs="Times New Roman"/>
          <w:sz w:val="28"/>
          <w:szCs w:val="28"/>
          <w:lang w:val="vi-VN"/>
        </w:rPr>
        <w:t>ại thời điểm cuối tháng 12/2021</w:t>
      </w:r>
      <w:r w:rsidRPr="00DC0CA9">
        <w:rPr>
          <w:rFonts w:ascii="Times New Roman" w:eastAsia="Calibri" w:hAnsi="Times New Roman" w:cs="Times New Roman"/>
          <w:sz w:val="28"/>
          <w:szCs w:val="28"/>
          <w:lang w:val="en-IN"/>
        </w:rPr>
        <w:t xml:space="preserve">, </w:t>
      </w:r>
      <w:r w:rsidRPr="00DC0CA9">
        <w:rPr>
          <w:rFonts w:ascii="Times New Roman" w:eastAsia="Calibri" w:hAnsi="Times New Roman" w:cs="Times New Roman"/>
          <w:sz w:val="28"/>
          <w:szCs w:val="28"/>
          <w:lang w:val="vi-VN"/>
        </w:rPr>
        <w:t>tổng số thuê bao điện thoại ước đạt 130,3 triệu thuê bao, tăng 2,7% so với cùng thời điểm năm trước, trong đó thuê bao di động đạt 127,2 triệu thuê bao, tăng 2,8%</w:t>
      </w:r>
      <w:r w:rsidR="00302530" w:rsidRPr="00DC0CA9">
        <w:rPr>
          <w:rFonts w:ascii="Times New Roman" w:eastAsia="Calibri" w:hAnsi="Times New Roman" w:cs="Times New Roman"/>
          <w:sz w:val="28"/>
          <w:szCs w:val="28"/>
          <w:lang w:val="en-IN"/>
        </w:rPr>
        <w:t>; s</w:t>
      </w:r>
      <w:r w:rsidRPr="00DC0CA9">
        <w:rPr>
          <w:rFonts w:ascii="Times New Roman" w:eastAsia="Calibri" w:hAnsi="Times New Roman" w:cs="Times New Roman"/>
          <w:sz w:val="28"/>
          <w:szCs w:val="28"/>
          <w:lang w:val="vi-VN"/>
        </w:rPr>
        <w:t>ố t</w:t>
      </w:r>
      <w:r w:rsidRPr="00DC0CA9">
        <w:rPr>
          <w:rFonts w:ascii="Times New Roman" w:hAnsi="Times New Roman" w:cs="Times New Roman"/>
          <w:sz w:val="28"/>
          <w:szCs w:val="28"/>
          <w:lang w:val="vi-VN"/>
        </w:rPr>
        <w:t xml:space="preserve">huê bao truy nhập Internet băng rộng cố định ước </w:t>
      </w:r>
      <w:r w:rsidRPr="00DC0CA9">
        <w:rPr>
          <w:rFonts w:ascii="Times New Roman" w:eastAsia="Calibri" w:hAnsi="Times New Roman" w:cs="Times New Roman"/>
          <w:sz w:val="28"/>
          <w:szCs w:val="28"/>
          <w:lang w:val="vi-VN"/>
        </w:rPr>
        <w:t>đạt 19,3 triệu thuê bao, tăng 15,6%</w:t>
      </w:r>
      <w:r w:rsidRPr="00DC0CA9">
        <w:rPr>
          <w:rFonts w:ascii="Times New Roman" w:hAnsi="Times New Roman" w:cs="Times New Roman"/>
          <w:sz w:val="28"/>
          <w:szCs w:val="28"/>
          <w:lang w:val="vi-VN"/>
        </w:rPr>
        <w:t>.</w:t>
      </w:r>
    </w:p>
    <w:p w14:paraId="54C37C2F" w14:textId="75A2B966" w:rsidR="008D3E7A" w:rsidRPr="003D381C" w:rsidRDefault="00A6375E" w:rsidP="00FA1162">
      <w:pPr>
        <w:shd w:val="clear" w:color="auto" w:fill="FFFFFF"/>
        <w:spacing w:after="120" w:line="360" w:lineRule="exact"/>
        <w:ind w:firstLine="567"/>
        <w:jc w:val="both"/>
        <w:rPr>
          <w:rFonts w:ascii="Times New Roman" w:hAnsi="Times New Roman" w:cs="Times New Roman"/>
          <w:sz w:val="28"/>
          <w:szCs w:val="28"/>
          <w:lang w:val="vi-VN"/>
        </w:rPr>
      </w:pPr>
      <w:r w:rsidRPr="00DC0CA9">
        <w:rPr>
          <w:rFonts w:ascii="Times New Roman" w:hAnsi="Times New Roman" w:cs="Times New Roman"/>
          <w:sz w:val="28"/>
          <w:szCs w:val="28"/>
        </w:rPr>
        <w:t>Khách quốc tế đến nước ta năm 202</w:t>
      </w:r>
      <w:r w:rsidR="008D3E7A" w:rsidRPr="00DC0CA9">
        <w:rPr>
          <w:rFonts w:ascii="Times New Roman" w:hAnsi="Times New Roman" w:cs="Times New Roman"/>
          <w:sz w:val="28"/>
          <w:szCs w:val="28"/>
        </w:rPr>
        <w:t>1</w:t>
      </w:r>
      <w:r w:rsidR="00D82700" w:rsidRPr="00DC0CA9">
        <w:rPr>
          <w:rFonts w:ascii="Times New Roman" w:hAnsi="Times New Roman" w:cs="Times New Roman"/>
          <w:sz w:val="28"/>
          <w:szCs w:val="28"/>
        </w:rPr>
        <w:t xml:space="preserve"> </w:t>
      </w:r>
      <w:r w:rsidRPr="00DC0CA9">
        <w:rPr>
          <w:rFonts w:ascii="Times New Roman" w:hAnsi="Times New Roman" w:cs="Times New Roman"/>
          <w:sz w:val="28"/>
          <w:szCs w:val="28"/>
        </w:rPr>
        <w:t xml:space="preserve">ước tính đạt </w:t>
      </w:r>
      <w:r w:rsidR="008D3E7A" w:rsidRPr="00DC0CA9">
        <w:rPr>
          <w:rFonts w:ascii="Times New Roman" w:hAnsi="Times New Roman" w:cs="Times New Roman"/>
          <w:sz w:val="28"/>
          <w:szCs w:val="28"/>
          <w:lang w:val="vi-VN"/>
        </w:rPr>
        <w:t>157,3 nghìn lượt người, giảm 95,9% so với năm trước. Trong đó, khách đến bằng đường hàng không đạt 111,1 nghìn lượt người, chiếm 70,6% lượng khách quốc tế đến Việt Nam, giảm 96,4% so với năm trước; bằng đường bộ đạt 45,6 nghìn lượt người, chiếm 29,0% và giảm 92,5%; bằng đường biển đạt 614 lượt người, chiếm 0,4% và giảm 99,6%.</w:t>
      </w:r>
      <w:r w:rsidR="008D3E7A" w:rsidRPr="00DC0CA9">
        <w:rPr>
          <w:rFonts w:ascii="Times New Roman" w:hAnsi="Times New Roman" w:cs="Times New Roman"/>
          <w:sz w:val="28"/>
          <w:szCs w:val="28"/>
          <w:lang w:val="en-IN"/>
        </w:rPr>
        <w:t xml:space="preserve"> </w:t>
      </w:r>
      <w:r w:rsidR="008D3E7A" w:rsidRPr="00DC0CA9">
        <w:rPr>
          <w:rFonts w:ascii="Times New Roman" w:hAnsi="Times New Roman" w:cs="Times New Roman"/>
          <w:sz w:val="28"/>
          <w:szCs w:val="28"/>
          <w:lang w:val="vi-VN"/>
        </w:rPr>
        <w:t xml:space="preserve">Khách đến từ châu Á đạt </w:t>
      </w:r>
      <w:r w:rsidR="008D3E7A" w:rsidRPr="00DC0CA9">
        <w:rPr>
          <w:rFonts w:ascii="Times New Roman" w:hAnsi="Times New Roman" w:cs="Times New Roman"/>
          <w:sz w:val="28"/>
          <w:szCs w:val="28"/>
          <w:lang w:val="en-IN"/>
        </w:rPr>
        <w:t xml:space="preserve">132,8 nghìn </w:t>
      </w:r>
      <w:r w:rsidR="008D3E7A" w:rsidRPr="00DC0CA9">
        <w:rPr>
          <w:rFonts w:ascii="Times New Roman" w:hAnsi="Times New Roman" w:cs="Times New Roman"/>
          <w:sz w:val="28"/>
          <w:szCs w:val="28"/>
          <w:lang w:val="vi-VN"/>
        </w:rPr>
        <w:t>lượt người, chiếm 8</w:t>
      </w:r>
      <w:r w:rsidR="008D3E7A" w:rsidRPr="00DC0CA9">
        <w:rPr>
          <w:rFonts w:ascii="Times New Roman" w:hAnsi="Times New Roman" w:cs="Times New Roman"/>
          <w:sz w:val="28"/>
          <w:szCs w:val="28"/>
          <w:lang w:val="en-IN"/>
        </w:rPr>
        <w:t>4,5</w:t>
      </w:r>
      <w:r w:rsidR="008D3E7A" w:rsidRPr="00DC0CA9">
        <w:rPr>
          <w:rFonts w:ascii="Times New Roman" w:hAnsi="Times New Roman" w:cs="Times New Roman"/>
          <w:sz w:val="28"/>
          <w:szCs w:val="28"/>
          <w:lang w:val="vi-VN"/>
        </w:rPr>
        <w:t>% tổng số khách quốc tế đến nước ta, giảm 95</w:t>
      </w:r>
      <w:r w:rsidR="008D3E7A" w:rsidRPr="00DC0CA9">
        <w:rPr>
          <w:rFonts w:ascii="Times New Roman" w:hAnsi="Times New Roman" w:cs="Times New Roman"/>
          <w:sz w:val="28"/>
          <w:szCs w:val="28"/>
          <w:lang w:val="en-IN"/>
        </w:rPr>
        <w:t>,3</w:t>
      </w:r>
      <w:r w:rsidR="008D3E7A" w:rsidRPr="00DC0CA9">
        <w:rPr>
          <w:rFonts w:ascii="Times New Roman" w:hAnsi="Times New Roman" w:cs="Times New Roman"/>
          <w:sz w:val="28"/>
          <w:szCs w:val="28"/>
          <w:lang w:val="vi-VN"/>
        </w:rPr>
        <w:t xml:space="preserve">% so với năm trước; khách đến từ châu Âu đạt </w:t>
      </w:r>
      <w:r w:rsidR="008D3E7A" w:rsidRPr="00DC0CA9">
        <w:rPr>
          <w:rFonts w:ascii="Times New Roman" w:hAnsi="Times New Roman" w:cs="Times New Roman"/>
          <w:sz w:val="28"/>
          <w:szCs w:val="28"/>
          <w:lang w:val="en-IN"/>
        </w:rPr>
        <w:t xml:space="preserve">16,0 nghìn </w:t>
      </w:r>
      <w:r w:rsidR="008D3E7A" w:rsidRPr="00DC0CA9">
        <w:rPr>
          <w:rFonts w:ascii="Times New Roman" w:hAnsi="Times New Roman" w:cs="Times New Roman"/>
          <w:sz w:val="28"/>
          <w:szCs w:val="28"/>
          <w:lang w:val="vi-VN"/>
        </w:rPr>
        <w:t>lượt người, giảm 9</w:t>
      </w:r>
      <w:r w:rsidR="008D3E7A" w:rsidRPr="00DC0CA9">
        <w:rPr>
          <w:rFonts w:ascii="Times New Roman" w:hAnsi="Times New Roman" w:cs="Times New Roman"/>
          <w:sz w:val="28"/>
          <w:szCs w:val="28"/>
          <w:lang w:val="en-IN"/>
        </w:rPr>
        <w:t>7,6</w:t>
      </w:r>
      <w:r w:rsidR="008D3E7A" w:rsidRPr="00DC0CA9">
        <w:rPr>
          <w:rFonts w:ascii="Times New Roman" w:hAnsi="Times New Roman" w:cs="Times New Roman"/>
          <w:sz w:val="28"/>
          <w:szCs w:val="28"/>
          <w:lang w:val="vi-VN"/>
        </w:rPr>
        <w:t xml:space="preserve">%; khách đến từ châu Mỹ đạt </w:t>
      </w:r>
      <w:r w:rsidR="008D3E7A" w:rsidRPr="00DC0CA9">
        <w:rPr>
          <w:rFonts w:ascii="Times New Roman" w:hAnsi="Times New Roman" w:cs="Times New Roman"/>
          <w:sz w:val="28"/>
          <w:szCs w:val="28"/>
          <w:lang w:val="en-IN"/>
        </w:rPr>
        <w:t xml:space="preserve">5,8 nghìn </w:t>
      </w:r>
      <w:r w:rsidR="008D3E7A" w:rsidRPr="00DC0CA9">
        <w:rPr>
          <w:rFonts w:ascii="Times New Roman" w:hAnsi="Times New Roman" w:cs="Times New Roman"/>
          <w:sz w:val="28"/>
          <w:szCs w:val="28"/>
          <w:lang w:val="vi-VN"/>
        </w:rPr>
        <w:t>lượt người, giảm 9</w:t>
      </w:r>
      <w:r w:rsidR="008D3E7A" w:rsidRPr="00DC0CA9">
        <w:rPr>
          <w:rFonts w:ascii="Times New Roman" w:hAnsi="Times New Roman" w:cs="Times New Roman"/>
          <w:sz w:val="28"/>
          <w:szCs w:val="28"/>
          <w:lang w:val="en-IN"/>
        </w:rPr>
        <w:t>7,6</w:t>
      </w:r>
      <w:r w:rsidR="008D3E7A" w:rsidRPr="00DC0CA9">
        <w:rPr>
          <w:rFonts w:ascii="Times New Roman" w:hAnsi="Times New Roman" w:cs="Times New Roman"/>
          <w:sz w:val="28"/>
          <w:szCs w:val="28"/>
          <w:lang w:val="vi-VN"/>
        </w:rPr>
        <w:t xml:space="preserve">%; khách đến từ châu Úc đạt </w:t>
      </w:r>
      <w:r w:rsidR="008D3E7A" w:rsidRPr="00DC0CA9">
        <w:rPr>
          <w:rFonts w:ascii="Times New Roman" w:hAnsi="Times New Roman" w:cs="Times New Roman"/>
          <w:sz w:val="28"/>
          <w:szCs w:val="28"/>
          <w:lang w:val="en-IN"/>
        </w:rPr>
        <w:t xml:space="preserve">1,3 nghìn </w:t>
      </w:r>
      <w:r w:rsidR="008D3E7A" w:rsidRPr="00DC0CA9">
        <w:rPr>
          <w:rFonts w:ascii="Times New Roman" w:hAnsi="Times New Roman" w:cs="Times New Roman"/>
          <w:sz w:val="28"/>
          <w:szCs w:val="28"/>
          <w:lang w:val="vi-VN"/>
        </w:rPr>
        <w:t>lượt người, giảm 9</w:t>
      </w:r>
      <w:r w:rsidR="008D3E7A" w:rsidRPr="00DC0CA9">
        <w:rPr>
          <w:rFonts w:ascii="Times New Roman" w:hAnsi="Times New Roman" w:cs="Times New Roman"/>
          <w:sz w:val="28"/>
          <w:szCs w:val="28"/>
          <w:lang w:val="en-IN"/>
        </w:rPr>
        <w:t>8,8</w:t>
      </w:r>
      <w:r w:rsidR="008D3E7A" w:rsidRPr="00DC0CA9">
        <w:rPr>
          <w:rFonts w:ascii="Times New Roman" w:hAnsi="Times New Roman" w:cs="Times New Roman"/>
          <w:sz w:val="28"/>
          <w:szCs w:val="28"/>
          <w:lang w:val="vi-VN"/>
        </w:rPr>
        <w:t xml:space="preserve">%; khách đến </w:t>
      </w:r>
      <w:r w:rsidR="008D3E7A" w:rsidRPr="003D381C">
        <w:rPr>
          <w:rFonts w:ascii="Times New Roman" w:hAnsi="Times New Roman" w:cs="Times New Roman"/>
          <w:sz w:val="28"/>
          <w:szCs w:val="28"/>
          <w:lang w:val="vi-VN"/>
        </w:rPr>
        <w:t xml:space="preserve">từ châu Phi đạt </w:t>
      </w:r>
      <w:r w:rsidR="008D3E7A" w:rsidRPr="003D381C">
        <w:rPr>
          <w:rFonts w:ascii="Times New Roman" w:hAnsi="Times New Roman" w:cs="Times New Roman"/>
          <w:sz w:val="28"/>
          <w:szCs w:val="28"/>
          <w:lang w:val="en-IN"/>
        </w:rPr>
        <w:t>1,4 nghìn</w:t>
      </w:r>
      <w:r w:rsidR="008D3E7A" w:rsidRPr="003D381C">
        <w:rPr>
          <w:rFonts w:ascii="Times New Roman" w:hAnsi="Times New Roman" w:cs="Times New Roman"/>
          <w:sz w:val="28"/>
          <w:szCs w:val="28"/>
          <w:lang w:val="vi-VN"/>
        </w:rPr>
        <w:t xml:space="preserve"> lượt người, giảm </w:t>
      </w:r>
      <w:r w:rsidR="008D3E7A" w:rsidRPr="003D381C">
        <w:rPr>
          <w:rFonts w:ascii="Times New Roman" w:hAnsi="Times New Roman" w:cs="Times New Roman"/>
          <w:sz w:val="28"/>
          <w:szCs w:val="28"/>
          <w:lang w:val="en-IN"/>
        </w:rPr>
        <w:t>88,6</w:t>
      </w:r>
      <w:r w:rsidR="008D3E7A" w:rsidRPr="003D381C">
        <w:rPr>
          <w:rFonts w:ascii="Times New Roman" w:hAnsi="Times New Roman" w:cs="Times New Roman"/>
          <w:sz w:val="28"/>
          <w:szCs w:val="28"/>
          <w:lang w:val="vi-VN"/>
        </w:rPr>
        <w:t>%.</w:t>
      </w:r>
    </w:p>
    <w:p w14:paraId="69068A9C" w14:textId="1AFC450D" w:rsidR="00A24D42" w:rsidRPr="00A24D42" w:rsidRDefault="00CE3C6E" w:rsidP="00FA1162">
      <w:pPr>
        <w:shd w:val="clear" w:color="auto" w:fill="FFFFFF"/>
        <w:spacing w:after="120" w:line="360" w:lineRule="exact"/>
        <w:ind w:firstLine="567"/>
        <w:jc w:val="both"/>
        <w:rPr>
          <w:rFonts w:ascii="Times New Roman" w:hAnsi="Times New Roman" w:cs="Times New Roman"/>
          <w:b/>
          <w:i/>
          <w:sz w:val="28"/>
          <w:szCs w:val="28"/>
          <w:lang w:val="pl-PL"/>
        </w:rPr>
      </w:pPr>
      <w:r w:rsidRPr="003D381C">
        <w:rPr>
          <w:rFonts w:ascii="Times New Roman" w:hAnsi="Times New Roman" w:cs="Times New Roman"/>
          <w:b/>
          <w:bCs/>
          <w:i/>
          <w:sz w:val="28"/>
          <w:szCs w:val="28"/>
        </w:rPr>
        <w:t xml:space="preserve">6. </w:t>
      </w:r>
      <w:r w:rsidR="00A24D42" w:rsidRPr="003D381C">
        <w:rPr>
          <w:rFonts w:ascii="Times New Roman" w:hAnsi="Times New Roman" w:cs="Times New Roman"/>
          <w:b/>
          <w:i/>
          <w:sz w:val="28"/>
          <w:szCs w:val="28"/>
          <w:lang w:val="pl-PL"/>
        </w:rPr>
        <w:t>Năm 2021, trong bối cảnh nền kinh tế gặp nhiều khó khăn do ảnh hưởng của dịch Covid-19, Ngân hàng Nhà nước Việt Nam đã điều hành lãi suất phù</w:t>
      </w:r>
      <w:r w:rsidR="00A24D42" w:rsidRPr="00A24D42">
        <w:rPr>
          <w:rFonts w:ascii="Times New Roman" w:hAnsi="Times New Roman" w:cs="Times New Roman"/>
          <w:b/>
          <w:i/>
          <w:sz w:val="28"/>
          <w:szCs w:val="28"/>
          <w:lang w:val="pl-PL"/>
        </w:rPr>
        <w:t xml:space="preserve"> hợp, </w:t>
      </w:r>
      <w:r w:rsidR="00A24D42" w:rsidRPr="00A24D42">
        <w:rPr>
          <w:rFonts w:ascii="Times New Roman" w:hAnsi="Times New Roman" w:cs="Times New Roman"/>
          <w:b/>
          <w:i/>
          <w:iCs/>
          <w:sz w:val="28"/>
          <w:szCs w:val="28"/>
          <w:lang w:val="pl-PL"/>
        </w:rPr>
        <w:t>tạo điều kiện để các tổ chức tín dụng tiếp tục giảm lãi suất cho vay, hỗ trợ nền kinh tế phục hồi</w:t>
      </w:r>
      <w:r w:rsidR="00A24D42" w:rsidRPr="00A24D42">
        <w:rPr>
          <w:rFonts w:ascii="Times New Roman" w:hAnsi="Times New Roman" w:cs="Times New Roman"/>
          <w:b/>
          <w:i/>
          <w:sz w:val="28"/>
          <w:szCs w:val="28"/>
          <w:lang w:val="pl-PL"/>
        </w:rPr>
        <w:t xml:space="preserve">. Hoạt động kinh doanh bảo hiểm ổn định; thị trường chứng khoán phát triển mạnh mẽ với mức vốn hóa thị trường cổ phiếu năm 2021 tăng 45,5% so với </w:t>
      </w:r>
      <w:r w:rsidR="0055715A">
        <w:rPr>
          <w:rFonts w:ascii="Times New Roman" w:hAnsi="Times New Roman" w:cs="Times New Roman"/>
          <w:b/>
          <w:i/>
          <w:sz w:val="28"/>
          <w:szCs w:val="28"/>
          <w:lang w:val="pl-PL"/>
        </w:rPr>
        <w:t xml:space="preserve">cuối </w:t>
      </w:r>
      <w:r w:rsidR="00A24D42" w:rsidRPr="00A24D42">
        <w:rPr>
          <w:rFonts w:ascii="Times New Roman" w:hAnsi="Times New Roman" w:cs="Times New Roman"/>
          <w:b/>
          <w:i/>
          <w:sz w:val="28"/>
          <w:szCs w:val="28"/>
          <w:lang w:val="pl-PL"/>
        </w:rPr>
        <w:t>năm trước.</w:t>
      </w:r>
    </w:p>
    <w:p w14:paraId="75A267C2" w14:textId="77777777" w:rsidR="005F46AF" w:rsidRDefault="000F775A" w:rsidP="00FA1162">
      <w:pPr>
        <w:shd w:val="clear" w:color="auto" w:fill="FFFFFF"/>
        <w:spacing w:after="120" w:line="360" w:lineRule="exact"/>
        <w:ind w:firstLine="567"/>
        <w:jc w:val="both"/>
        <w:rPr>
          <w:rFonts w:ascii="Times New Roman" w:hAnsi="Times New Roman" w:cs="Times New Roman"/>
          <w:spacing w:val="-4"/>
          <w:sz w:val="28"/>
          <w:szCs w:val="28"/>
          <w:lang w:val="pl-PL"/>
        </w:rPr>
      </w:pPr>
      <w:r w:rsidRPr="00DC0CA9">
        <w:rPr>
          <w:rFonts w:ascii="Times New Roman" w:hAnsi="Times New Roman" w:cs="Times New Roman"/>
          <w:spacing w:val="-4"/>
          <w:sz w:val="28"/>
          <w:szCs w:val="28"/>
          <w:lang w:val="pl-PL"/>
        </w:rPr>
        <w:t>Tính đến thời điểm 2</w:t>
      </w:r>
      <w:r w:rsidR="005F46AF">
        <w:rPr>
          <w:rFonts w:ascii="Times New Roman" w:hAnsi="Times New Roman" w:cs="Times New Roman"/>
          <w:spacing w:val="-4"/>
          <w:sz w:val="28"/>
          <w:szCs w:val="28"/>
          <w:lang w:val="pl-PL"/>
        </w:rPr>
        <w:t>4</w:t>
      </w:r>
      <w:r w:rsidRPr="00DC0CA9">
        <w:rPr>
          <w:rFonts w:ascii="Times New Roman" w:hAnsi="Times New Roman" w:cs="Times New Roman"/>
          <w:spacing w:val="-4"/>
          <w:sz w:val="28"/>
          <w:szCs w:val="28"/>
          <w:lang w:val="pl-PL"/>
        </w:rPr>
        <w:t>/12/2021, tổng phương tiện thanh toán tăng 8,</w:t>
      </w:r>
      <w:r w:rsidR="005F46AF">
        <w:rPr>
          <w:rFonts w:ascii="Times New Roman" w:hAnsi="Times New Roman" w:cs="Times New Roman"/>
          <w:spacing w:val="-4"/>
          <w:sz w:val="28"/>
          <w:szCs w:val="28"/>
          <w:lang w:val="pl-PL"/>
        </w:rPr>
        <w:t>9</w:t>
      </w:r>
      <w:r w:rsidRPr="00DC0CA9">
        <w:rPr>
          <w:rFonts w:ascii="Times New Roman" w:hAnsi="Times New Roman" w:cs="Times New Roman"/>
          <w:spacing w:val="-4"/>
          <w:sz w:val="28"/>
          <w:szCs w:val="28"/>
          <w:lang w:val="pl-PL"/>
        </w:rPr>
        <w:t xml:space="preserve">3% so với cuối năm 2020; huy động vốn của các tổ chức tín dụng tăng </w:t>
      </w:r>
      <w:r w:rsidR="005F46AF">
        <w:rPr>
          <w:rFonts w:ascii="Times New Roman" w:hAnsi="Times New Roman" w:cs="Times New Roman"/>
          <w:spacing w:val="-4"/>
          <w:sz w:val="28"/>
          <w:szCs w:val="28"/>
          <w:lang w:val="pl-PL"/>
        </w:rPr>
        <w:t>8,44</w:t>
      </w:r>
      <w:r w:rsidRPr="00DC0CA9">
        <w:rPr>
          <w:rFonts w:ascii="Times New Roman" w:hAnsi="Times New Roman" w:cs="Times New Roman"/>
          <w:spacing w:val="-4"/>
          <w:sz w:val="28"/>
          <w:szCs w:val="28"/>
          <w:lang w:val="pl-PL"/>
        </w:rPr>
        <w:t>%; tăng trưởng tín dụng của nền kinh tế đạt 12,</w:t>
      </w:r>
      <w:r w:rsidR="005F46AF">
        <w:rPr>
          <w:rFonts w:ascii="Times New Roman" w:hAnsi="Times New Roman" w:cs="Times New Roman"/>
          <w:spacing w:val="-4"/>
          <w:sz w:val="28"/>
          <w:szCs w:val="28"/>
          <w:lang w:val="pl-PL"/>
        </w:rPr>
        <w:t>97</w:t>
      </w:r>
      <w:r w:rsidRPr="00DC0CA9">
        <w:rPr>
          <w:rFonts w:ascii="Times New Roman" w:hAnsi="Times New Roman" w:cs="Times New Roman"/>
          <w:spacing w:val="-4"/>
          <w:sz w:val="28"/>
          <w:szCs w:val="28"/>
          <w:lang w:val="pl-PL"/>
        </w:rPr>
        <w:t>%</w:t>
      </w:r>
      <w:r w:rsidR="005F46AF">
        <w:rPr>
          <w:rFonts w:ascii="Times New Roman" w:hAnsi="Times New Roman" w:cs="Times New Roman"/>
          <w:spacing w:val="-4"/>
          <w:sz w:val="28"/>
          <w:szCs w:val="28"/>
          <w:lang w:val="pl-PL"/>
        </w:rPr>
        <w:t>.</w:t>
      </w:r>
    </w:p>
    <w:p w14:paraId="31404A86" w14:textId="77777777" w:rsidR="000F775A" w:rsidRPr="00DC0CA9" w:rsidRDefault="000F775A" w:rsidP="00FA1162">
      <w:pPr>
        <w:shd w:val="clear" w:color="auto" w:fill="FFFFFF"/>
        <w:spacing w:after="120" w:line="360" w:lineRule="exact"/>
        <w:ind w:firstLine="567"/>
        <w:jc w:val="both"/>
        <w:rPr>
          <w:rFonts w:ascii="Times New Roman" w:hAnsi="Times New Roman" w:cs="Times New Roman"/>
          <w:spacing w:val="-6"/>
          <w:sz w:val="28"/>
          <w:szCs w:val="28"/>
          <w:lang w:val="it-IT"/>
        </w:rPr>
      </w:pPr>
      <w:r w:rsidRPr="00DC0CA9">
        <w:rPr>
          <w:rFonts w:ascii="Times New Roman" w:hAnsi="Times New Roman" w:cs="Times New Roman"/>
          <w:spacing w:val="-6"/>
          <w:sz w:val="28"/>
          <w:szCs w:val="28"/>
          <w:lang w:val="it-IT"/>
        </w:rPr>
        <w:t>Doanh thu phí toàn thị trường bảo hiểm năm 2021 tăng 15,6% so với năm trước, trong đó doanh thu phí bảo hiểm lĩnh vực nhân thọ tăng 21,7%; lĩnh vực bảo hiểm phi nhân thọ tăng 1,7% (quý IV/2021 ước tính tăng 14,8% so với cùng kỳ năm trước, trong đó doanh thu phí bảo hiểm lĩnh vực nhân thọ tăng 20,9%, lĩnh vực bảo hiểm phi nhân thọ giảm 2,6%).</w:t>
      </w:r>
    </w:p>
    <w:p w14:paraId="7F44ED08" w14:textId="1DAD57F0" w:rsidR="003D381C" w:rsidRDefault="003D381C" w:rsidP="00FA1162">
      <w:pPr>
        <w:spacing w:after="120" w:line="360" w:lineRule="exact"/>
        <w:ind w:firstLine="567"/>
        <w:jc w:val="both"/>
        <w:rPr>
          <w:rFonts w:ascii="Times New Roman" w:hAnsi="Times New Roman" w:cs="Times New Roman"/>
          <w:sz w:val="28"/>
          <w:szCs w:val="28"/>
          <w:lang w:val="sv-SE"/>
        </w:rPr>
      </w:pPr>
      <w:r w:rsidRPr="00473DCE">
        <w:rPr>
          <w:rFonts w:ascii="Times New Roman" w:hAnsi="Times New Roman" w:cs="Times New Roman"/>
          <w:spacing w:val="-4"/>
          <w:sz w:val="28"/>
          <w:szCs w:val="28"/>
          <w:lang w:val="sv-SE"/>
        </w:rPr>
        <w:t xml:space="preserve">Thị trường chứng khoán phát triển mạnh mẽ </w:t>
      </w:r>
      <w:r>
        <w:rPr>
          <w:rFonts w:ascii="Times New Roman" w:hAnsi="Times New Roman" w:cs="Times New Roman"/>
          <w:spacing w:val="-4"/>
          <w:sz w:val="28"/>
          <w:szCs w:val="28"/>
          <w:lang w:val="sv-SE"/>
        </w:rPr>
        <w:t>mặc dù</w:t>
      </w:r>
      <w:r w:rsidRPr="00473DCE">
        <w:rPr>
          <w:rFonts w:ascii="Times New Roman" w:hAnsi="Times New Roman" w:cs="Times New Roman"/>
          <w:spacing w:val="-4"/>
          <w:sz w:val="28"/>
          <w:szCs w:val="28"/>
          <w:lang w:val="sv-SE"/>
        </w:rPr>
        <w:t xml:space="preserve"> dịch Covid-19 diễn biến phức tạp. Năm 2021, thị trường chứng khoán Việt Nam ghi nhận nhiều kỷ lục mới</w:t>
      </w:r>
      <w:r w:rsidRPr="00473DCE">
        <w:rPr>
          <w:rFonts w:ascii="Times New Roman" w:hAnsi="Times New Roman" w:cs="Times New Roman"/>
          <w:spacing w:val="-4"/>
          <w:sz w:val="28"/>
          <w:szCs w:val="28"/>
          <w:lang w:val="vi-VN"/>
        </w:rPr>
        <w:t>:</w:t>
      </w:r>
      <w:r w:rsidRPr="00473DCE">
        <w:rPr>
          <w:rFonts w:ascii="Times New Roman" w:hAnsi="Times New Roman" w:cs="Times New Roman"/>
          <w:spacing w:val="-4"/>
          <w:sz w:val="28"/>
          <w:szCs w:val="28"/>
          <w:lang w:val="sv-SE"/>
        </w:rPr>
        <w:t xml:space="preserve"> </w:t>
      </w:r>
      <w:r w:rsidRPr="00473DCE">
        <w:rPr>
          <w:rFonts w:ascii="Times New Roman" w:hAnsi="Times New Roman" w:cs="Times New Roman"/>
          <w:spacing w:val="-4"/>
          <w:sz w:val="28"/>
          <w:szCs w:val="28"/>
          <w:lang w:val="vi-VN"/>
        </w:rPr>
        <w:t>C</w:t>
      </w:r>
      <w:r w:rsidRPr="00473DCE">
        <w:rPr>
          <w:rFonts w:ascii="Times New Roman" w:hAnsi="Times New Roman" w:cs="Times New Roman"/>
          <w:spacing w:val="-4"/>
          <w:sz w:val="28"/>
          <w:szCs w:val="28"/>
          <w:lang w:val="sv-SE"/>
        </w:rPr>
        <w:t>hỉ số VNIndex chạm mốc 1.500 điểm; làn sóng gia nhập của nhà đầu tư tăng cao (đến cuối tháng 11/2021, số lượng tài khoản của nhà đầu tư đạt 4,08 triệu tài khoản, tăng 47,3% so với cuối năm 2020).</w:t>
      </w:r>
      <w:r>
        <w:rPr>
          <w:rFonts w:ascii="Times New Roman" w:hAnsi="Times New Roman" w:cs="Times New Roman"/>
          <w:spacing w:val="-4"/>
          <w:sz w:val="28"/>
          <w:szCs w:val="28"/>
          <w:lang w:val="sv-SE"/>
        </w:rPr>
        <w:t xml:space="preserve"> </w:t>
      </w:r>
      <w:r w:rsidRPr="003D381C">
        <w:rPr>
          <w:rFonts w:ascii="Times New Roman" w:hAnsi="Times New Roman" w:cs="Times New Roman"/>
          <w:sz w:val="28"/>
          <w:szCs w:val="28"/>
          <w:lang w:val="sv-SE"/>
        </w:rPr>
        <w:t>T</w:t>
      </w:r>
      <w:r w:rsidRPr="0037715F">
        <w:rPr>
          <w:rFonts w:ascii="Times New Roman" w:hAnsi="Times New Roman" w:cs="Times New Roman"/>
          <w:sz w:val="28"/>
          <w:szCs w:val="28"/>
          <w:lang w:val="sv-SE"/>
        </w:rPr>
        <w:t xml:space="preserve">ính đến ngày 27/12/2021, chỉ số VNIndex đạt 1.488,88 điểm, tăng 34,9% so với cuối năm 2020; mức vốn hóa thị trường </w:t>
      </w:r>
      <w:r w:rsidR="008A18EA">
        <w:rPr>
          <w:rFonts w:ascii="Times New Roman" w:hAnsi="Times New Roman" w:cs="Times New Roman"/>
          <w:sz w:val="28"/>
          <w:szCs w:val="28"/>
          <w:lang w:val="sv-SE"/>
        </w:rPr>
        <w:t xml:space="preserve">cổ phiếu </w:t>
      </w:r>
      <w:r w:rsidRPr="0037715F">
        <w:rPr>
          <w:rFonts w:ascii="Times New Roman" w:hAnsi="Times New Roman" w:cs="Times New Roman"/>
          <w:sz w:val="28"/>
          <w:szCs w:val="28"/>
          <w:lang w:val="sv-SE"/>
        </w:rPr>
        <w:t xml:space="preserve">đạt 7.702 nghìn tỷ đồng, tăng 45,5%; giá trị giao dịch bình quân từ đầu năm đến nay (tính đến ngày </w:t>
      </w:r>
      <w:r w:rsidRPr="0037715F">
        <w:rPr>
          <w:rFonts w:ascii="Times New Roman" w:hAnsi="Times New Roman" w:cs="Times New Roman"/>
          <w:color w:val="000000" w:themeColor="text1"/>
          <w:sz w:val="28"/>
          <w:szCs w:val="28"/>
          <w:lang w:val="sv-SE"/>
        </w:rPr>
        <w:t xml:space="preserve">27/12/2021) </w:t>
      </w:r>
      <w:r w:rsidRPr="0037715F">
        <w:rPr>
          <w:rFonts w:ascii="Times New Roman" w:hAnsi="Times New Roman" w:cs="Times New Roman"/>
          <w:sz w:val="28"/>
          <w:szCs w:val="28"/>
          <w:lang w:val="sv-SE"/>
        </w:rPr>
        <w:t xml:space="preserve">đạt 26.526 tỷ đồng/phiên, tăng 257,5% so với bình quân năm trước. </w:t>
      </w:r>
      <w:r w:rsidRPr="003D381C">
        <w:rPr>
          <w:rFonts w:ascii="Times New Roman" w:hAnsi="Times New Roman" w:cs="Times New Roman"/>
          <w:sz w:val="28"/>
          <w:szCs w:val="28"/>
          <w:lang w:val="sv-SE"/>
        </w:rPr>
        <w:t>Trên thị trường trái phiếu,</w:t>
      </w:r>
      <w:r w:rsidRPr="0037715F">
        <w:rPr>
          <w:rFonts w:ascii="Times New Roman" w:hAnsi="Times New Roman" w:cs="Times New Roman"/>
          <w:sz w:val="28"/>
          <w:szCs w:val="28"/>
          <w:lang w:val="sv-SE"/>
        </w:rPr>
        <w:t xml:space="preserve"> có 430 mã trái phiếu niêm yết với giá trị niêm yết đạt hơn 1.511 nghìn tỷ đồng, tăng 8,9% so với cuối năm 2020. </w:t>
      </w:r>
      <w:r w:rsidR="008A18EA">
        <w:rPr>
          <w:rFonts w:ascii="Times New Roman" w:hAnsi="Times New Roman" w:cs="Times New Roman"/>
          <w:sz w:val="28"/>
          <w:szCs w:val="28"/>
          <w:lang w:val="sv-SE"/>
        </w:rPr>
        <w:t xml:space="preserve">Tính chung từ đầu năm đến ngày 27/12/2021, giá trị giao dịch bình quân đạt 11.421 tỷ đồng/phiên, tăng 9,9% so với bình quân năm 2020. </w:t>
      </w:r>
      <w:r w:rsidRPr="003D381C">
        <w:rPr>
          <w:rFonts w:ascii="Times New Roman" w:hAnsi="Times New Roman" w:cs="Times New Roman"/>
          <w:sz w:val="28"/>
          <w:szCs w:val="28"/>
          <w:lang w:val="sv-SE"/>
        </w:rPr>
        <w:t xml:space="preserve">Trên thị trường chứng khoán phái sinh, </w:t>
      </w:r>
      <w:r>
        <w:rPr>
          <w:rFonts w:ascii="Times New Roman" w:hAnsi="Times New Roman" w:cs="Times New Roman"/>
          <w:sz w:val="28"/>
          <w:szCs w:val="28"/>
          <w:lang w:val="sv-SE"/>
        </w:rPr>
        <w:t>khối lượng giao dịch bình quân hợp đồng tương lai trên chỉ số VN30 đạt 189.923 hợp đồng/phiên, tăng 21% so với năm trước.</w:t>
      </w:r>
    </w:p>
    <w:p w14:paraId="49C6CAC2" w14:textId="6A85B10D" w:rsidR="004115BC" w:rsidRPr="00DC0CA9" w:rsidRDefault="004115BC" w:rsidP="00FA1162">
      <w:pPr>
        <w:spacing w:after="120" w:line="360" w:lineRule="exact"/>
        <w:ind w:firstLine="567"/>
        <w:jc w:val="both"/>
        <w:rPr>
          <w:rFonts w:ascii="Times New Roman" w:hAnsi="Times New Roman" w:cs="Times New Roman"/>
          <w:b/>
          <w:i/>
          <w:spacing w:val="-4"/>
          <w:sz w:val="28"/>
          <w:szCs w:val="28"/>
          <w:lang w:val="de-DE"/>
        </w:rPr>
      </w:pPr>
      <w:r w:rsidRPr="00DC0CA9">
        <w:rPr>
          <w:rFonts w:ascii="Times New Roman" w:hAnsi="Times New Roman" w:cs="Times New Roman"/>
          <w:b/>
          <w:i/>
          <w:spacing w:val="-4"/>
          <w:sz w:val="28"/>
          <w:szCs w:val="28"/>
          <w:lang w:val="de-DE"/>
        </w:rPr>
        <w:t>7. Vốn đầu tư thực hiện toàn xã hội theo giá hiện hành năm 2021 tăng 3,2% so với năm trước, tuy đây là mức tăng thấp nhất trong nhiều năm qua</w:t>
      </w:r>
      <w:r w:rsidRPr="00DC0CA9">
        <w:rPr>
          <w:rStyle w:val="FootnoteReference"/>
          <w:rFonts w:ascii="Times New Roman" w:hAnsi="Times New Roman"/>
          <w:b/>
          <w:i/>
          <w:spacing w:val="-4"/>
          <w:sz w:val="28"/>
          <w:szCs w:val="28"/>
          <w:lang w:val="de-DE"/>
        </w:rPr>
        <w:footnoteReference w:id="7"/>
      </w:r>
      <w:r w:rsidRPr="00DC0CA9">
        <w:rPr>
          <w:rFonts w:ascii="Times New Roman" w:hAnsi="Times New Roman" w:cs="Times New Roman"/>
          <w:b/>
          <w:i/>
          <w:spacing w:val="-4"/>
          <w:sz w:val="28"/>
          <w:szCs w:val="28"/>
          <w:lang w:val="de-DE"/>
        </w:rPr>
        <w:t xml:space="preserve"> nhưng là kết quả khả quan trong bối cảnh đại dịch Covid-19 diễn biến phức tạp </w:t>
      </w:r>
      <w:r w:rsidRPr="00DC0CA9">
        <w:rPr>
          <w:rFonts w:ascii="Times New Roman" w:hAnsi="Times New Roman" w:cs="Times New Roman"/>
          <w:b/>
          <w:i/>
          <w:spacing w:val="-4"/>
          <w:sz w:val="28"/>
          <w:szCs w:val="28"/>
          <w:lang w:val="vi-VN"/>
        </w:rPr>
        <w:t xml:space="preserve">trong nước và </w:t>
      </w:r>
      <w:r w:rsidRPr="00DC0CA9">
        <w:rPr>
          <w:rFonts w:ascii="Times New Roman" w:hAnsi="Times New Roman" w:cs="Times New Roman"/>
          <w:b/>
          <w:i/>
          <w:spacing w:val="-4"/>
          <w:sz w:val="28"/>
          <w:szCs w:val="28"/>
          <w:lang w:val="de-DE"/>
        </w:rPr>
        <w:t>trên</w:t>
      </w:r>
      <w:r w:rsidRPr="00DC0CA9">
        <w:rPr>
          <w:rFonts w:ascii="Times New Roman" w:hAnsi="Times New Roman" w:cs="Times New Roman"/>
          <w:b/>
          <w:i/>
          <w:spacing w:val="-4"/>
          <w:sz w:val="28"/>
          <w:szCs w:val="28"/>
          <w:lang w:val="vi-VN"/>
        </w:rPr>
        <w:t xml:space="preserve"> thế giới</w:t>
      </w:r>
      <w:r w:rsidRPr="00DC0CA9">
        <w:rPr>
          <w:rFonts w:ascii="Times New Roman" w:hAnsi="Times New Roman" w:cs="Times New Roman"/>
          <w:b/>
          <w:i/>
          <w:spacing w:val="-4"/>
          <w:sz w:val="28"/>
          <w:szCs w:val="28"/>
          <w:lang w:val="de-DE"/>
        </w:rPr>
        <w:t>. Thu hút vốn đầu tư trực tiếp nước ngoài (FDI) phục hồi, vốn đăng ký mới và</w:t>
      </w:r>
      <w:r w:rsidRPr="00DC0CA9">
        <w:rPr>
          <w:rFonts w:ascii="Times New Roman" w:hAnsi="Times New Roman" w:cs="Times New Roman"/>
          <w:b/>
          <w:i/>
          <w:spacing w:val="-4"/>
          <w:sz w:val="28"/>
          <w:szCs w:val="28"/>
          <w:lang w:val="vi-VN"/>
        </w:rPr>
        <w:t xml:space="preserve"> vốn đăng ký</w:t>
      </w:r>
      <w:r w:rsidRPr="00DC0CA9">
        <w:rPr>
          <w:rFonts w:ascii="Times New Roman" w:hAnsi="Times New Roman" w:cs="Times New Roman"/>
          <w:b/>
          <w:i/>
          <w:spacing w:val="-4"/>
          <w:sz w:val="28"/>
          <w:szCs w:val="28"/>
          <w:lang w:val="de-DE"/>
        </w:rPr>
        <w:t xml:space="preserve"> tăng thêm tăng</w:t>
      </w:r>
      <w:r w:rsidRPr="00DC0CA9">
        <w:rPr>
          <w:rFonts w:ascii="Times New Roman" w:hAnsi="Times New Roman" w:cs="Times New Roman"/>
          <w:b/>
          <w:i/>
          <w:spacing w:val="-4"/>
          <w:sz w:val="28"/>
          <w:szCs w:val="28"/>
          <w:lang w:val="vi-VN"/>
        </w:rPr>
        <w:t xml:space="preserve"> trở lại</w:t>
      </w:r>
      <w:r w:rsidRPr="00DC0CA9">
        <w:rPr>
          <w:rFonts w:ascii="Times New Roman" w:hAnsi="Times New Roman" w:cs="Times New Roman"/>
          <w:b/>
          <w:i/>
          <w:spacing w:val="-4"/>
          <w:sz w:val="28"/>
          <w:szCs w:val="28"/>
          <w:lang w:val="de-DE"/>
        </w:rPr>
        <w:t xml:space="preserve"> cho thấy nhà đầu tư nước ngoài tiếp tục tin tưởng vào môi trường đầu tư Việt Nam.</w:t>
      </w:r>
    </w:p>
    <w:p w14:paraId="0A049D3E" w14:textId="566C65F0" w:rsidR="004115BC" w:rsidRPr="00DC0CA9" w:rsidRDefault="004115BC" w:rsidP="00FA1162">
      <w:pPr>
        <w:spacing w:after="120" w:line="360" w:lineRule="exact"/>
        <w:ind w:firstLine="567"/>
        <w:jc w:val="both"/>
        <w:rPr>
          <w:rFonts w:ascii="Times New Roman" w:hAnsi="Times New Roman" w:cs="Times New Roman"/>
          <w:iCs/>
          <w:sz w:val="28"/>
          <w:szCs w:val="28"/>
          <w:lang w:val="de-DE"/>
        </w:rPr>
      </w:pPr>
      <w:r w:rsidRPr="00DC0CA9">
        <w:rPr>
          <w:rFonts w:ascii="Times New Roman" w:hAnsi="Times New Roman" w:cs="Times New Roman"/>
          <w:iCs/>
          <w:sz w:val="28"/>
          <w:szCs w:val="28"/>
          <w:lang w:val="de-DE"/>
        </w:rPr>
        <w:t>Vốn đầu tư toàn xã hội thực hiện theo giá hiện hành năm 202</w:t>
      </w:r>
      <w:r w:rsidR="00292003" w:rsidRPr="00DC0CA9">
        <w:rPr>
          <w:rFonts w:ascii="Times New Roman" w:hAnsi="Times New Roman" w:cs="Times New Roman"/>
          <w:iCs/>
          <w:sz w:val="28"/>
          <w:szCs w:val="28"/>
          <w:lang w:val="de-DE"/>
        </w:rPr>
        <w:t>1</w:t>
      </w:r>
      <w:r w:rsidRPr="00DC0CA9">
        <w:rPr>
          <w:rFonts w:ascii="Times New Roman" w:hAnsi="Times New Roman" w:cs="Times New Roman"/>
          <w:iCs/>
          <w:sz w:val="28"/>
          <w:szCs w:val="28"/>
          <w:lang w:val="de-DE"/>
        </w:rPr>
        <w:t xml:space="preserve"> ước đạt 2.</w:t>
      </w:r>
      <w:r w:rsidR="00292003" w:rsidRPr="00DC0CA9">
        <w:rPr>
          <w:rFonts w:ascii="Times New Roman" w:hAnsi="Times New Roman" w:cs="Times New Roman"/>
          <w:iCs/>
          <w:sz w:val="28"/>
          <w:szCs w:val="28"/>
          <w:lang w:val="de-DE"/>
        </w:rPr>
        <w:t>89</w:t>
      </w:r>
      <w:r w:rsidRPr="00DC0CA9">
        <w:rPr>
          <w:rFonts w:ascii="Times New Roman" w:hAnsi="Times New Roman" w:cs="Times New Roman"/>
          <w:iCs/>
          <w:sz w:val="28"/>
          <w:szCs w:val="28"/>
          <w:lang w:val="de-DE"/>
        </w:rPr>
        <w:t>1</w:t>
      </w:r>
      <w:r w:rsidR="00292003" w:rsidRPr="00DC0CA9">
        <w:rPr>
          <w:rFonts w:ascii="Times New Roman" w:hAnsi="Times New Roman" w:cs="Times New Roman"/>
          <w:iCs/>
          <w:sz w:val="28"/>
          <w:szCs w:val="28"/>
          <w:lang w:val="de-DE"/>
        </w:rPr>
        <w:t>,9</w:t>
      </w:r>
      <w:r w:rsidRPr="00DC0CA9">
        <w:rPr>
          <w:rFonts w:ascii="Times New Roman" w:hAnsi="Times New Roman" w:cs="Times New Roman"/>
          <w:iCs/>
          <w:sz w:val="28"/>
          <w:szCs w:val="28"/>
          <w:lang w:val="de-DE"/>
        </w:rPr>
        <w:t xml:space="preserve"> nghìn tỷ đồng, tăng </w:t>
      </w:r>
      <w:r w:rsidR="00292003" w:rsidRPr="00DC0CA9">
        <w:rPr>
          <w:rFonts w:ascii="Times New Roman" w:hAnsi="Times New Roman" w:cs="Times New Roman"/>
          <w:iCs/>
          <w:sz w:val="28"/>
          <w:szCs w:val="28"/>
          <w:lang w:val="de-DE"/>
        </w:rPr>
        <w:t>3,2</w:t>
      </w:r>
      <w:r w:rsidRPr="00DC0CA9">
        <w:rPr>
          <w:rFonts w:ascii="Times New Roman" w:hAnsi="Times New Roman" w:cs="Times New Roman"/>
          <w:iCs/>
          <w:sz w:val="28"/>
          <w:szCs w:val="28"/>
          <w:lang w:val="de-DE"/>
        </w:rPr>
        <w:t xml:space="preserve">% so với năm trước (quý IV đạt </w:t>
      </w:r>
      <w:r w:rsidR="00292003" w:rsidRPr="00DC0CA9">
        <w:rPr>
          <w:rFonts w:ascii="Times New Roman" w:hAnsi="Times New Roman" w:cs="Times New Roman"/>
          <w:iCs/>
          <w:sz w:val="28"/>
          <w:szCs w:val="28"/>
          <w:lang w:val="de-DE"/>
        </w:rPr>
        <w:t>999,8</w:t>
      </w:r>
      <w:r w:rsidRPr="00DC0CA9">
        <w:rPr>
          <w:rFonts w:ascii="Times New Roman" w:hAnsi="Times New Roman" w:cs="Times New Roman"/>
          <w:iCs/>
          <w:sz w:val="28"/>
          <w:szCs w:val="28"/>
          <w:lang w:val="de-DE"/>
        </w:rPr>
        <w:t xml:space="preserve"> nghìn tỷ đồng, tăng </w:t>
      </w:r>
      <w:r w:rsidR="00292003" w:rsidRPr="00DC0CA9">
        <w:rPr>
          <w:rFonts w:ascii="Times New Roman" w:hAnsi="Times New Roman" w:cs="Times New Roman"/>
          <w:iCs/>
          <w:sz w:val="28"/>
          <w:szCs w:val="28"/>
          <w:lang w:val="de-DE"/>
        </w:rPr>
        <w:t>6,2</w:t>
      </w:r>
      <w:r w:rsidRPr="00DC0CA9">
        <w:rPr>
          <w:rFonts w:ascii="Times New Roman" w:hAnsi="Times New Roman" w:cs="Times New Roman"/>
          <w:iCs/>
          <w:sz w:val="28"/>
          <w:szCs w:val="28"/>
          <w:lang w:val="de-DE"/>
        </w:rPr>
        <w:t>%), bao gồm: Vốn khu vực Nhà nước đạt 7</w:t>
      </w:r>
      <w:r w:rsidR="00292003" w:rsidRPr="00DC0CA9">
        <w:rPr>
          <w:rFonts w:ascii="Times New Roman" w:hAnsi="Times New Roman" w:cs="Times New Roman"/>
          <w:iCs/>
          <w:sz w:val="28"/>
          <w:szCs w:val="28"/>
          <w:lang w:val="de-DE"/>
        </w:rPr>
        <w:t>13,6</w:t>
      </w:r>
      <w:r w:rsidRPr="00DC0CA9">
        <w:rPr>
          <w:rFonts w:ascii="Times New Roman" w:hAnsi="Times New Roman" w:cs="Times New Roman"/>
          <w:iCs/>
          <w:sz w:val="28"/>
          <w:szCs w:val="28"/>
          <w:lang w:val="de-DE"/>
        </w:rPr>
        <w:t xml:space="preserve"> nghìn tỷ đồng, chiếm </w:t>
      </w:r>
      <w:r w:rsidR="00AF7A25" w:rsidRPr="00DC0CA9">
        <w:rPr>
          <w:rFonts w:ascii="Times New Roman" w:hAnsi="Times New Roman" w:cs="Times New Roman"/>
          <w:iCs/>
          <w:sz w:val="28"/>
          <w:szCs w:val="28"/>
          <w:lang w:val="de-DE"/>
        </w:rPr>
        <w:t>24</w:t>
      </w:r>
      <w:r w:rsidRPr="00DC0CA9">
        <w:rPr>
          <w:rFonts w:ascii="Times New Roman" w:hAnsi="Times New Roman" w:cs="Times New Roman"/>
          <w:iCs/>
          <w:sz w:val="28"/>
          <w:szCs w:val="28"/>
          <w:lang w:val="de-DE"/>
        </w:rPr>
        <w:t xml:space="preserve">,7% tổng vốn và </w:t>
      </w:r>
      <w:r w:rsidR="00292003" w:rsidRPr="00DC0CA9">
        <w:rPr>
          <w:rFonts w:ascii="Times New Roman" w:hAnsi="Times New Roman" w:cs="Times New Roman"/>
          <w:iCs/>
          <w:sz w:val="28"/>
          <w:szCs w:val="28"/>
          <w:lang w:val="de-DE"/>
        </w:rPr>
        <w:t>giảm 2,9</w:t>
      </w:r>
      <w:r w:rsidRPr="00DC0CA9">
        <w:rPr>
          <w:rFonts w:ascii="Times New Roman" w:hAnsi="Times New Roman" w:cs="Times New Roman"/>
          <w:iCs/>
          <w:sz w:val="28"/>
          <w:szCs w:val="28"/>
          <w:lang w:val="de-DE"/>
        </w:rPr>
        <w:t xml:space="preserve">%; khu vực ngoài Nhà nước đạt </w:t>
      </w:r>
      <w:r w:rsidR="00292003" w:rsidRPr="00DC0CA9">
        <w:rPr>
          <w:rFonts w:ascii="Times New Roman" w:hAnsi="Times New Roman" w:cs="Times New Roman"/>
          <w:iCs/>
          <w:sz w:val="28"/>
          <w:szCs w:val="28"/>
          <w:lang w:val="de-DE"/>
        </w:rPr>
        <w:t>1.720,2</w:t>
      </w:r>
      <w:r w:rsidRPr="00DC0CA9">
        <w:rPr>
          <w:rFonts w:ascii="Times New Roman" w:hAnsi="Times New Roman" w:cs="Times New Roman"/>
          <w:iCs/>
          <w:sz w:val="28"/>
          <w:szCs w:val="28"/>
          <w:lang w:val="de-DE"/>
        </w:rPr>
        <w:t xml:space="preserve"> nghìn tỷ đồng, bằng </w:t>
      </w:r>
      <w:r w:rsidR="00AF7A25" w:rsidRPr="00DC0CA9">
        <w:rPr>
          <w:rFonts w:ascii="Times New Roman" w:hAnsi="Times New Roman" w:cs="Times New Roman"/>
          <w:iCs/>
          <w:sz w:val="28"/>
          <w:szCs w:val="28"/>
          <w:lang w:val="de-DE"/>
        </w:rPr>
        <w:t>59,5</w:t>
      </w:r>
      <w:r w:rsidRPr="00DC0CA9">
        <w:rPr>
          <w:rFonts w:ascii="Times New Roman" w:hAnsi="Times New Roman" w:cs="Times New Roman"/>
          <w:iCs/>
          <w:sz w:val="28"/>
          <w:szCs w:val="28"/>
          <w:lang w:val="de-DE"/>
        </w:rPr>
        <w:t xml:space="preserve">% và tăng </w:t>
      </w:r>
      <w:r w:rsidR="00292003" w:rsidRPr="00DC0CA9">
        <w:rPr>
          <w:rFonts w:ascii="Times New Roman" w:hAnsi="Times New Roman" w:cs="Times New Roman"/>
          <w:iCs/>
          <w:sz w:val="28"/>
          <w:szCs w:val="28"/>
          <w:lang w:val="de-DE"/>
        </w:rPr>
        <w:t>7,2</w:t>
      </w:r>
      <w:r w:rsidRPr="00DC0CA9">
        <w:rPr>
          <w:rFonts w:ascii="Times New Roman" w:hAnsi="Times New Roman" w:cs="Times New Roman"/>
          <w:iCs/>
          <w:sz w:val="28"/>
          <w:szCs w:val="28"/>
          <w:lang w:val="de-DE"/>
        </w:rPr>
        <w:t>%; khu vực có vốn đầu tư trực tiếp nước ngoài đạt 4</w:t>
      </w:r>
      <w:r w:rsidR="00292003" w:rsidRPr="00DC0CA9">
        <w:rPr>
          <w:rFonts w:ascii="Times New Roman" w:hAnsi="Times New Roman" w:cs="Times New Roman"/>
          <w:iCs/>
          <w:sz w:val="28"/>
          <w:szCs w:val="28"/>
          <w:lang w:val="de-DE"/>
        </w:rPr>
        <w:t>58,1</w:t>
      </w:r>
      <w:r w:rsidRPr="00DC0CA9">
        <w:rPr>
          <w:rFonts w:ascii="Times New Roman" w:hAnsi="Times New Roman" w:cs="Times New Roman"/>
          <w:iCs/>
          <w:sz w:val="28"/>
          <w:szCs w:val="28"/>
          <w:lang w:val="de-DE"/>
        </w:rPr>
        <w:t xml:space="preserve"> nghìn tỷ đồng, bằng </w:t>
      </w:r>
      <w:r w:rsidR="00AF7A25" w:rsidRPr="00DC0CA9">
        <w:rPr>
          <w:rFonts w:ascii="Times New Roman" w:hAnsi="Times New Roman" w:cs="Times New Roman"/>
          <w:iCs/>
          <w:sz w:val="28"/>
          <w:szCs w:val="28"/>
          <w:lang w:val="de-DE"/>
        </w:rPr>
        <w:t>15,8</w:t>
      </w:r>
      <w:r w:rsidRPr="00DC0CA9">
        <w:rPr>
          <w:rFonts w:ascii="Times New Roman" w:hAnsi="Times New Roman" w:cs="Times New Roman"/>
          <w:iCs/>
          <w:sz w:val="28"/>
          <w:szCs w:val="28"/>
          <w:lang w:val="de-DE"/>
        </w:rPr>
        <w:t>% và giảm 1,</w:t>
      </w:r>
      <w:r w:rsidR="00292003" w:rsidRPr="00DC0CA9">
        <w:rPr>
          <w:rFonts w:ascii="Times New Roman" w:hAnsi="Times New Roman" w:cs="Times New Roman"/>
          <w:iCs/>
          <w:sz w:val="28"/>
          <w:szCs w:val="28"/>
          <w:lang w:val="de-DE"/>
        </w:rPr>
        <w:t>1</w:t>
      </w:r>
      <w:r w:rsidRPr="00DC0CA9">
        <w:rPr>
          <w:rFonts w:ascii="Times New Roman" w:hAnsi="Times New Roman" w:cs="Times New Roman"/>
          <w:iCs/>
          <w:sz w:val="28"/>
          <w:szCs w:val="28"/>
          <w:lang w:val="de-DE"/>
        </w:rPr>
        <w:t>%.</w:t>
      </w:r>
    </w:p>
    <w:p w14:paraId="74F3B241" w14:textId="77777777" w:rsidR="00A2027E" w:rsidRPr="00DC0CA9" w:rsidRDefault="00A2027E" w:rsidP="00FA1162">
      <w:pPr>
        <w:spacing w:after="120" w:line="360" w:lineRule="exact"/>
        <w:ind w:firstLine="567"/>
        <w:jc w:val="both"/>
        <w:rPr>
          <w:rFonts w:ascii="Times New Roman" w:hAnsi="Times New Roman" w:cs="Times New Roman"/>
          <w:sz w:val="28"/>
          <w:szCs w:val="28"/>
          <w:lang w:val="en-US"/>
        </w:rPr>
      </w:pPr>
      <w:r w:rsidRPr="00DC0CA9">
        <w:rPr>
          <w:rFonts w:ascii="Times New Roman" w:hAnsi="Times New Roman" w:cs="Times New Roman"/>
          <w:iCs/>
          <w:sz w:val="28"/>
          <w:szCs w:val="28"/>
          <w:lang w:val="vi-VN"/>
        </w:rPr>
        <w:t>Tổng vốn đầu tư nước ngoài đăng ký vào Việt Nam</w:t>
      </w:r>
      <w:r w:rsidRPr="00DC0CA9">
        <w:rPr>
          <w:rStyle w:val="FootnoteReference"/>
          <w:rFonts w:ascii="Times New Roman" w:hAnsi="Times New Roman"/>
          <w:iCs/>
          <w:sz w:val="28"/>
          <w:szCs w:val="28"/>
          <w:lang w:val="de-DE"/>
        </w:rPr>
        <w:footnoteReference w:id="8"/>
      </w:r>
      <w:r w:rsidRPr="00DC0CA9">
        <w:rPr>
          <w:rFonts w:ascii="Times New Roman" w:hAnsi="Times New Roman" w:cs="Times New Roman"/>
          <w:i/>
          <w:iCs/>
          <w:sz w:val="28"/>
          <w:szCs w:val="28"/>
          <w:lang w:val="en-IN"/>
        </w:rPr>
        <w:t xml:space="preserve"> </w:t>
      </w:r>
      <w:r w:rsidRPr="00DC0CA9">
        <w:rPr>
          <w:rFonts w:ascii="Times New Roman" w:hAnsi="Times New Roman" w:cs="Times New Roman"/>
          <w:iCs/>
          <w:sz w:val="28"/>
          <w:szCs w:val="28"/>
          <w:lang w:val="en-IN"/>
        </w:rPr>
        <w:t>t</w:t>
      </w:r>
      <w:r w:rsidRPr="00DC0CA9">
        <w:rPr>
          <w:rFonts w:ascii="Times New Roman" w:hAnsi="Times New Roman" w:cs="Times New Roman"/>
          <w:sz w:val="28"/>
          <w:szCs w:val="28"/>
          <w:lang w:val="vi-VN"/>
        </w:rPr>
        <w:t>ính đến ngày 20/12/2021 bao gồm vốn đăng ký cấp mới, vốn đăng ký điều chỉnh và giá trị góp vốn, mua cổ phần của nhà đầu tư nước ngoài đạt 31,15 tỷ USD, tăng 9,2% so với năm 2020.</w:t>
      </w:r>
      <w:r w:rsidRPr="00DC0CA9">
        <w:rPr>
          <w:rFonts w:ascii="Times New Roman" w:hAnsi="Times New Roman" w:cs="Times New Roman"/>
          <w:sz w:val="28"/>
          <w:szCs w:val="28"/>
          <w:lang w:val="en-IN"/>
        </w:rPr>
        <w:t xml:space="preserve"> </w:t>
      </w:r>
      <w:r w:rsidRPr="00DC0CA9">
        <w:rPr>
          <w:rFonts w:ascii="Times New Roman" w:hAnsi="Times New Roman" w:cs="Times New Roman"/>
          <w:iCs/>
          <w:sz w:val="28"/>
          <w:szCs w:val="28"/>
          <w:lang w:val="de-DE"/>
        </w:rPr>
        <w:t xml:space="preserve">Trong tổng số lượt góp vốn, mua cổ phần của nhà đầu tư nước ngoài có </w:t>
      </w:r>
      <w:r w:rsidRPr="00DC0CA9">
        <w:rPr>
          <w:rFonts w:ascii="Times New Roman" w:hAnsi="Times New Roman" w:cs="Times New Roman"/>
          <w:sz w:val="28"/>
          <w:szCs w:val="28"/>
          <w:lang w:val="en-US"/>
        </w:rPr>
        <w:t>1.535 lượt góp vốn, mua cổ phần làm tăng vốn điều lệ của doanh nghiệp với giá trị góp vốn là 5,03 tỷ USD và 2.262 lượt nhà đầu tư nước ngoài mua lại cổ phần trong nước mà không làm tăng vốn điều lệ với giá trị 1,86 tỷ USD.</w:t>
      </w:r>
    </w:p>
    <w:p w14:paraId="40E8D85D" w14:textId="5197E53B" w:rsidR="00A2027E" w:rsidRPr="00DC0CA9" w:rsidRDefault="00A2027E" w:rsidP="00FA1162">
      <w:pPr>
        <w:spacing w:before="160" w:after="40" w:line="240" w:lineRule="auto"/>
        <w:jc w:val="center"/>
        <w:rPr>
          <w:rFonts w:ascii="Arial" w:hAnsi="Arial" w:cs="Arial"/>
          <w:b/>
          <w:bCs/>
          <w:sz w:val="24"/>
          <w:lang w:val="vi-VN"/>
        </w:rPr>
      </w:pPr>
      <w:r w:rsidRPr="00DC0CA9">
        <w:rPr>
          <w:rFonts w:ascii="Arial" w:hAnsi="Arial" w:cs="Arial"/>
          <w:b/>
          <w:bCs/>
          <w:sz w:val="24"/>
          <w:lang w:val="de-DE"/>
        </w:rPr>
        <w:t xml:space="preserve">Đầu tư nước ngoài vào Việt Nam </w:t>
      </w:r>
      <w:r w:rsidRPr="00DC0CA9">
        <w:rPr>
          <w:rFonts w:ascii="Arial" w:hAnsi="Arial" w:cs="Arial"/>
          <w:b/>
          <w:bCs/>
          <w:sz w:val="24"/>
          <w:lang w:val="vi-VN"/>
        </w:rPr>
        <w:t>tính đến 20/</w:t>
      </w:r>
      <w:r w:rsidRPr="00DC0CA9">
        <w:rPr>
          <w:rFonts w:ascii="Arial" w:hAnsi="Arial" w:cs="Arial"/>
          <w:b/>
          <w:bCs/>
          <w:sz w:val="24"/>
          <w:lang w:val="en-IN"/>
        </w:rPr>
        <w:t>12</w:t>
      </w:r>
      <w:r w:rsidRPr="00DC0CA9">
        <w:rPr>
          <w:rFonts w:ascii="Arial" w:hAnsi="Arial" w:cs="Arial"/>
          <w:b/>
          <w:bCs/>
          <w:sz w:val="24"/>
          <w:lang w:val="vi-VN"/>
        </w:rPr>
        <w:t xml:space="preserve"> hằng năm</w:t>
      </w:r>
    </w:p>
    <w:p w14:paraId="3FC15089" w14:textId="77777777" w:rsidR="00A2027E" w:rsidRPr="00DC0CA9" w:rsidRDefault="00A2027E" w:rsidP="00A2027E">
      <w:pPr>
        <w:spacing w:before="120" w:after="0" w:line="240" w:lineRule="auto"/>
        <w:ind w:right="424" w:firstLine="720"/>
        <w:jc w:val="right"/>
        <w:rPr>
          <w:rFonts w:ascii="Arial" w:hAnsi="Arial" w:cs="Arial"/>
          <w:b/>
          <w:bCs/>
          <w:i/>
          <w:sz w:val="2"/>
          <w:szCs w:val="20"/>
          <w:lang w:val="vi-VN"/>
        </w:rPr>
      </w:pPr>
    </w:p>
    <w:p w14:paraId="763B6F0F" w14:textId="77777777" w:rsidR="00A2027E" w:rsidRPr="00DC0CA9" w:rsidRDefault="00A2027E" w:rsidP="00A2027E">
      <w:pPr>
        <w:spacing w:before="120" w:after="0" w:line="240" w:lineRule="auto"/>
        <w:ind w:right="424" w:firstLine="720"/>
        <w:jc w:val="right"/>
        <w:rPr>
          <w:rFonts w:ascii="Arial" w:hAnsi="Arial" w:cs="Arial"/>
          <w:b/>
          <w:bCs/>
          <w:i/>
          <w:sz w:val="20"/>
          <w:szCs w:val="20"/>
          <w:lang w:val="pt-BR"/>
        </w:rPr>
      </w:pPr>
      <w:r w:rsidRPr="00DC0CA9">
        <w:rPr>
          <w:rFonts w:ascii="Arial" w:hAnsi="Arial" w:cs="Arial"/>
          <w:b/>
          <w:bCs/>
          <w:i/>
          <w:sz w:val="20"/>
          <w:szCs w:val="20"/>
          <w:lang w:val="pt-BR"/>
        </w:rPr>
        <w:t>Tỷ USD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964"/>
        <w:gridCol w:w="964"/>
        <w:gridCol w:w="964"/>
        <w:gridCol w:w="964"/>
        <w:gridCol w:w="964"/>
      </w:tblGrid>
      <w:tr w:rsidR="00DC0CA9" w:rsidRPr="00DC0CA9" w14:paraId="36CAABD1" w14:textId="77777777" w:rsidTr="00A66630">
        <w:trPr>
          <w:trHeight w:val="270"/>
          <w:jc w:val="center"/>
        </w:trPr>
        <w:tc>
          <w:tcPr>
            <w:tcW w:w="3430" w:type="dxa"/>
            <w:tcBorders>
              <w:top w:val="single" w:sz="4" w:space="0" w:color="auto"/>
            </w:tcBorders>
          </w:tcPr>
          <w:p w14:paraId="612083BD" w14:textId="77777777" w:rsidR="00A2027E" w:rsidRPr="00FA1162" w:rsidRDefault="00A2027E" w:rsidP="00A66630">
            <w:pPr>
              <w:spacing w:before="60" w:after="60"/>
              <w:jc w:val="both"/>
              <w:rPr>
                <w:rFonts w:ascii="Arial" w:hAnsi="Arial" w:cs="Arial"/>
                <w:iCs/>
                <w:sz w:val="20"/>
                <w:szCs w:val="20"/>
                <w:lang w:val="de-DE"/>
              </w:rPr>
            </w:pPr>
          </w:p>
        </w:tc>
        <w:tc>
          <w:tcPr>
            <w:tcW w:w="964" w:type="dxa"/>
            <w:tcBorders>
              <w:top w:val="single" w:sz="4" w:space="0" w:color="auto"/>
              <w:bottom w:val="single" w:sz="4" w:space="0" w:color="auto"/>
            </w:tcBorders>
            <w:vAlign w:val="center"/>
          </w:tcPr>
          <w:p w14:paraId="376ADC14" w14:textId="77777777" w:rsidR="00A2027E" w:rsidRPr="00FA1162" w:rsidRDefault="00A2027E" w:rsidP="00A66630">
            <w:pPr>
              <w:spacing w:before="60" w:after="60"/>
              <w:ind w:right="18"/>
              <w:jc w:val="right"/>
              <w:rPr>
                <w:rFonts w:ascii="Arial" w:hAnsi="Arial" w:cs="Arial"/>
                <w:iCs/>
                <w:sz w:val="20"/>
                <w:szCs w:val="20"/>
                <w:lang w:val="de-DE"/>
              </w:rPr>
            </w:pPr>
            <w:r w:rsidRPr="00FA1162">
              <w:rPr>
                <w:rFonts w:ascii="Arial" w:hAnsi="Arial" w:cs="Arial"/>
                <w:iCs/>
                <w:sz w:val="20"/>
                <w:szCs w:val="20"/>
                <w:lang w:val="de-DE"/>
              </w:rPr>
              <w:t>2017</w:t>
            </w:r>
          </w:p>
        </w:tc>
        <w:tc>
          <w:tcPr>
            <w:tcW w:w="964" w:type="dxa"/>
            <w:tcBorders>
              <w:top w:val="single" w:sz="4" w:space="0" w:color="auto"/>
              <w:bottom w:val="single" w:sz="4" w:space="0" w:color="auto"/>
            </w:tcBorders>
            <w:vAlign w:val="center"/>
          </w:tcPr>
          <w:p w14:paraId="1989ACC1" w14:textId="77777777" w:rsidR="00A2027E" w:rsidRPr="00FA1162" w:rsidRDefault="00A2027E" w:rsidP="00A66630">
            <w:pPr>
              <w:spacing w:before="60" w:after="60"/>
              <w:ind w:right="18"/>
              <w:jc w:val="right"/>
              <w:rPr>
                <w:rFonts w:ascii="Arial" w:hAnsi="Arial" w:cs="Arial"/>
                <w:iCs/>
                <w:sz w:val="20"/>
                <w:szCs w:val="20"/>
                <w:lang w:val="de-DE"/>
              </w:rPr>
            </w:pPr>
            <w:r w:rsidRPr="00FA1162">
              <w:rPr>
                <w:rFonts w:ascii="Arial" w:hAnsi="Arial" w:cs="Arial"/>
                <w:iCs/>
                <w:sz w:val="20"/>
                <w:szCs w:val="20"/>
                <w:lang w:val="de-DE"/>
              </w:rPr>
              <w:t>2018</w:t>
            </w:r>
          </w:p>
        </w:tc>
        <w:tc>
          <w:tcPr>
            <w:tcW w:w="964" w:type="dxa"/>
            <w:tcBorders>
              <w:top w:val="single" w:sz="4" w:space="0" w:color="auto"/>
              <w:bottom w:val="single" w:sz="4" w:space="0" w:color="auto"/>
            </w:tcBorders>
            <w:vAlign w:val="center"/>
          </w:tcPr>
          <w:p w14:paraId="51B53883" w14:textId="77777777" w:rsidR="00A2027E" w:rsidRPr="00FA1162" w:rsidRDefault="00A2027E" w:rsidP="00A66630">
            <w:pPr>
              <w:spacing w:before="60" w:after="60"/>
              <w:ind w:right="18"/>
              <w:jc w:val="right"/>
              <w:rPr>
                <w:rFonts w:ascii="Arial" w:hAnsi="Arial" w:cs="Arial"/>
                <w:iCs/>
                <w:sz w:val="20"/>
                <w:szCs w:val="20"/>
                <w:lang w:val="de-DE"/>
              </w:rPr>
            </w:pPr>
            <w:r w:rsidRPr="00FA1162">
              <w:rPr>
                <w:rFonts w:ascii="Arial" w:hAnsi="Arial" w:cs="Arial"/>
                <w:iCs/>
                <w:sz w:val="20"/>
                <w:szCs w:val="20"/>
                <w:lang w:val="de-DE"/>
              </w:rPr>
              <w:t>2019</w:t>
            </w:r>
          </w:p>
        </w:tc>
        <w:tc>
          <w:tcPr>
            <w:tcW w:w="964" w:type="dxa"/>
            <w:tcBorders>
              <w:top w:val="single" w:sz="4" w:space="0" w:color="auto"/>
              <w:bottom w:val="single" w:sz="4" w:space="0" w:color="auto"/>
            </w:tcBorders>
            <w:vAlign w:val="center"/>
          </w:tcPr>
          <w:p w14:paraId="3045CF9C" w14:textId="77777777" w:rsidR="00A2027E" w:rsidRPr="00FA1162" w:rsidRDefault="00A2027E" w:rsidP="00A66630">
            <w:pPr>
              <w:spacing w:before="60" w:after="60"/>
              <w:ind w:right="18"/>
              <w:jc w:val="right"/>
              <w:rPr>
                <w:rFonts w:ascii="Arial" w:hAnsi="Arial" w:cs="Arial"/>
                <w:iCs/>
                <w:sz w:val="20"/>
                <w:szCs w:val="20"/>
                <w:lang w:val="de-DE"/>
              </w:rPr>
            </w:pPr>
            <w:r w:rsidRPr="00FA1162">
              <w:rPr>
                <w:rFonts w:ascii="Arial" w:hAnsi="Arial" w:cs="Arial"/>
                <w:iCs/>
                <w:sz w:val="20"/>
                <w:szCs w:val="20"/>
                <w:lang w:val="de-DE"/>
              </w:rPr>
              <w:t>2020</w:t>
            </w:r>
          </w:p>
        </w:tc>
        <w:tc>
          <w:tcPr>
            <w:tcW w:w="964" w:type="dxa"/>
            <w:tcBorders>
              <w:top w:val="single" w:sz="4" w:space="0" w:color="auto"/>
              <w:bottom w:val="single" w:sz="4" w:space="0" w:color="auto"/>
            </w:tcBorders>
            <w:vAlign w:val="center"/>
          </w:tcPr>
          <w:p w14:paraId="013A5B3C" w14:textId="77777777" w:rsidR="00A2027E" w:rsidRPr="00FA1162" w:rsidRDefault="00A2027E" w:rsidP="00A66630">
            <w:pPr>
              <w:spacing w:before="60" w:after="60"/>
              <w:ind w:right="18"/>
              <w:jc w:val="right"/>
              <w:rPr>
                <w:rFonts w:ascii="Arial" w:hAnsi="Arial" w:cs="Arial"/>
                <w:iCs/>
                <w:sz w:val="20"/>
                <w:szCs w:val="20"/>
                <w:lang w:val="de-DE"/>
              </w:rPr>
            </w:pPr>
            <w:r w:rsidRPr="00FA1162">
              <w:rPr>
                <w:rFonts w:ascii="Arial" w:hAnsi="Arial" w:cs="Arial"/>
                <w:iCs/>
                <w:sz w:val="20"/>
                <w:szCs w:val="20"/>
                <w:lang w:val="de-DE"/>
              </w:rPr>
              <w:t>2021</w:t>
            </w:r>
          </w:p>
        </w:tc>
      </w:tr>
      <w:tr w:rsidR="00DC0CA9" w:rsidRPr="00DC0CA9" w14:paraId="7C4E2D49" w14:textId="77777777" w:rsidTr="00A66630">
        <w:trPr>
          <w:jc w:val="center"/>
        </w:trPr>
        <w:tc>
          <w:tcPr>
            <w:tcW w:w="3430" w:type="dxa"/>
          </w:tcPr>
          <w:p w14:paraId="182E5269" w14:textId="77777777" w:rsidR="00A2027E" w:rsidRPr="00FA1162" w:rsidRDefault="00A2027E" w:rsidP="00A66630">
            <w:pPr>
              <w:spacing w:before="240" w:after="100"/>
              <w:jc w:val="both"/>
              <w:rPr>
                <w:rFonts w:ascii="Arial" w:hAnsi="Arial" w:cs="Arial"/>
                <w:b/>
                <w:bCs/>
                <w:iCs/>
                <w:sz w:val="20"/>
                <w:szCs w:val="20"/>
                <w:lang w:val="de-DE"/>
              </w:rPr>
            </w:pPr>
            <w:r w:rsidRPr="00FA1162">
              <w:rPr>
                <w:rFonts w:ascii="Arial" w:hAnsi="Arial" w:cs="Arial"/>
                <w:b/>
                <w:bCs/>
                <w:iCs/>
                <w:sz w:val="20"/>
                <w:szCs w:val="20"/>
                <w:lang w:val="de-DE"/>
              </w:rPr>
              <w:t>Vốn đăng ký</w:t>
            </w:r>
          </w:p>
        </w:tc>
        <w:tc>
          <w:tcPr>
            <w:tcW w:w="964" w:type="dxa"/>
            <w:tcBorders>
              <w:top w:val="single" w:sz="4" w:space="0" w:color="auto"/>
            </w:tcBorders>
            <w:vAlign w:val="center"/>
          </w:tcPr>
          <w:p w14:paraId="441C5126" w14:textId="7FC19FFA" w:rsidR="00A2027E" w:rsidRPr="00FA1162" w:rsidRDefault="00A2027E" w:rsidP="00A2027E">
            <w:pPr>
              <w:spacing w:before="240" w:after="100"/>
              <w:ind w:right="18"/>
              <w:jc w:val="right"/>
              <w:rPr>
                <w:rFonts w:ascii="Arial" w:hAnsi="Arial" w:cs="Arial"/>
                <w:b/>
                <w:bCs/>
                <w:sz w:val="20"/>
                <w:szCs w:val="20"/>
                <w:lang w:val="en-US"/>
              </w:rPr>
            </w:pPr>
            <w:r w:rsidRPr="00FA1162">
              <w:rPr>
                <w:rFonts w:ascii="Arial" w:hAnsi="Arial" w:cs="Arial"/>
                <w:b/>
                <w:bCs/>
                <w:sz w:val="20"/>
                <w:szCs w:val="20"/>
                <w:lang w:val="en-US"/>
              </w:rPr>
              <w:t>35,88</w:t>
            </w:r>
          </w:p>
        </w:tc>
        <w:tc>
          <w:tcPr>
            <w:tcW w:w="964" w:type="dxa"/>
            <w:tcBorders>
              <w:top w:val="single" w:sz="4" w:space="0" w:color="auto"/>
            </w:tcBorders>
            <w:vAlign w:val="center"/>
          </w:tcPr>
          <w:p w14:paraId="0D61F1D4" w14:textId="78C98936" w:rsidR="00A2027E" w:rsidRPr="00FA1162" w:rsidRDefault="00302530" w:rsidP="00A2027E">
            <w:pPr>
              <w:spacing w:before="240" w:after="100"/>
              <w:ind w:right="18"/>
              <w:jc w:val="right"/>
              <w:rPr>
                <w:rFonts w:ascii="Arial" w:hAnsi="Arial" w:cs="Arial"/>
                <w:b/>
                <w:bCs/>
                <w:sz w:val="20"/>
                <w:szCs w:val="20"/>
                <w:lang w:val="en-US"/>
              </w:rPr>
            </w:pPr>
            <w:r w:rsidRPr="00FA1162">
              <w:rPr>
                <w:rFonts w:ascii="Arial" w:hAnsi="Arial" w:cs="Arial"/>
                <w:b/>
                <w:bCs/>
                <w:sz w:val="20"/>
                <w:szCs w:val="20"/>
                <w:lang w:val="en-US"/>
              </w:rPr>
              <w:t>35,47</w:t>
            </w:r>
          </w:p>
        </w:tc>
        <w:tc>
          <w:tcPr>
            <w:tcW w:w="964" w:type="dxa"/>
            <w:tcBorders>
              <w:top w:val="single" w:sz="4" w:space="0" w:color="auto"/>
            </w:tcBorders>
            <w:vAlign w:val="center"/>
          </w:tcPr>
          <w:p w14:paraId="01870F63" w14:textId="5EAE409E" w:rsidR="00A2027E" w:rsidRPr="00FA1162" w:rsidRDefault="00A2027E" w:rsidP="00A2027E">
            <w:pPr>
              <w:spacing w:before="240" w:after="100"/>
              <w:ind w:right="18"/>
              <w:jc w:val="right"/>
              <w:rPr>
                <w:rFonts w:ascii="Arial" w:hAnsi="Arial" w:cs="Arial"/>
                <w:b/>
                <w:bCs/>
                <w:sz w:val="20"/>
                <w:szCs w:val="20"/>
                <w:lang w:val="en-US"/>
              </w:rPr>
            </w:pPr>
            <w:r w:rsidRPr="00FA1162">
              <w:rPr>
                <w:rFonts w:ascii="Arial" w:hAnsi="Arial" w:cs="Arial"/>
                <w:b/>
                <w:bCs/>
                <w:sz w:val="20"/>
                <w:szCs w:val="20"/>
                <w:lang w:val="en-US"/>
              </w:rPr>
              <w:t>38,02</w:t>
            </w:r>
          </w:p>
        </w:tc>
        <w:tc>
          <w:tcPr>
            <w:tcW w:w="964" w:type="dxa"/>
            <w:tcBorders>
              <w:top w:val="single" w:sz="4" w:space="0" w:color="auto"/>
            </w:tcBorders>
            <w:vAlign w:val="center"/>
          </w:tcPr>
          <w:p w14:paraId="3565F360" w14:textId="29BB05BE" w:rsidR="00A2027E" w:rsidRPr="00FA1162" w:rsidRDefault="00A2027E" w:rsidP="00A2027E">
            <w:pPr>
              <w:spacing w:before="240" w:after="100"/>
              <w:ind w:right="18"/>
              <w:jc w:val="right"/>
              <w:rPr>
                <w:rFonts w:ascii="Arial" w:hAnsi="Arial" w:cs="Arial"/>
                <w:b/>
                <w:bCs/>
                <w:sz w:val="20"/>
                <w:szCs w:val="20"/>
                <w:lang w:val="en-US"/>
              </w:rPr>
            </w:pPr>
            <w:r w:rsidRPr="00FA1162">
              <w:rPr>
                <w:rFonts w:ascii="Arial" w:hAnsi="Arial" w:cs="Arial"/>
                <w:b/>
                <w:bCs/>
                <w:sz w:val="20"/>
                <w:szCs w:val="20"/>
                <w:lang w:val="en-US"/>
              </w:rPr>
              <w:t>28,53</w:t>
            </w:r>
          </w:p>
        </w:tc>
        <w:tc>
          <w:tcPr>
            <w:tcW w:w="964" w:type="dxa"/>
            <w:tcBorders>
              <w:top w:val="single" w:sz="4" w:space="0" w:color="auto"/>
            </w:tcBorders>
            <w:vAlign w:val="center"/>
          </w:tcPr>
          <w:p w14:paraId="23367C60" w14:textId="5D7D3502" w:rsidR="00A2027E" w:rsidRPr="00FA1162" w:rsidRDefault="00A2027E" w:rsidP="00A2027E">
            <w:pPr>
              <w:spacing w:before="240" w:after="100"/>
              <w:ind w:right="18"/>
              <w:jc w:val="right"/>
              <w:rPr>
                <w:rFonts w:ascii="Arial" w:hAnsi="Arial" w:cs="Arial"/>
                <w:b/>
                <w:bCs/>
                <w:sz w:val="20"/>
                <w:szCs w:val="20"/>
                <w:lang w:val="en-US"/>
              </w:rPr>
            </w:pPr>
            <w:r w:rsidRPr="00FA1162">
              <w:rPr>
                <w:rFonts w:ascii="Arial" w:hAnsi="Arial" w:cs="Arial"/>
                <w:b/>
                <w:bCs/>
                <w:sz w:val="20"/>
                <w:szCs w:val="20"/>
                <w:lang w:val="en-US"/>
              </w:rPr>
              <w:t>31,15</w:t>
            </w:r>
          </w:p>
        </w:tc>
      </w:tr>
      <w:tr w:rsidR="00DC0CA9" w:rsidRPr="00DC0CA9" w14:paraId="0EE36391" w14:textId="77777777" w:rsidTr="00A66630">
        <w:trPr>
          <w:jc w:val="center"/>
        </w:trPr>
        <w:tc>
          <w:tcPr>
            <w:tcW w:w="3430" w:type="dxa"/>
          </w:tcPr>
          <w:p w14:paraId="5E2C557C" w14:textId="77777777" w:rsidR="00A2027E" w:rsidRPr="00FA1162" w:rsidRDefault="00A2027E" w:rsidP="00A66630">
            <w:pPr>
              <w:spacing w:before="100" w:after="100"/>
              <w:ind w:firstLine="176"/>
              <w:jc w:val="both"/>
              <w:rPr>
                <w:rFonts w:ascii="Arial" w:hAnsi="Arial" w:cs="Arial"/>
                <w:iCs/>
                <w:sz w:val="20"/>
                <w:szCs w:val="20"/>
                <w:lang w:val="de-DE"/>
              </w:rPr>
            </w:pPr>
            <w:r w:rsidRPr="00FA1162">
              <w:rPr>
                <w:rFonts w:ascii="Arial" w:hAnsi="Arial" w:cs="Arial"/>
                <w:iCs/>
                <w:sz w:val="20"/>
                <w:szCs w:val="20"/>
                <w:lang w:val="de-DE"/>
              </w:rPr>
              <w:t>Đăng ký cấp mới</w:t>
            </w:r>
          </w:p>
        </w:tc>
        <w:tc>
          <w:tcPr>
            <w:tcW w:w="964" w:type="dxa"/>
            <w:vAlign w:val="center"/>
          </w:tcPr>
          <w:p w14:paraId="65D85B93" w14:textId="25842E82" w:rsidR="00A2027E" w:rsidRPr="00FA1162" w:rsidRDefault="00A2027E" w:rsidP="00A2027E">
            <w:pPr>
              <w:spacing w:before="100" w:after="100"/>
              <w:ind w:right="18"/>
              <w:jc w:val="right"/>
              <w:rPr>
                <w:rFonts w:ascii="Arial" w:hAnsi="Arial" w:cs="Arial"/>
                <w:sz w:val="20"/>
                <w:szCs w:val="20"/>
                <w:lang w:val="en-US"/>
              </w:rPr>
            </w:pPr>
            <w:r w:rsidRPr="00FA1162">
              <w:rPr>
                <w:rFonts w:ascii="Arial" w:hAnsi="Arial" w:cs="Arial"/>
                <w:sz w:val="20"/>
                <w:szCs w:val="20"/>
                <w:lang w:val="en-US"/>
              </w:rPr>
              <w:t>21,28</w:t>
            </w:r>
          </w:p>
        </w:tc>
        <w:tc>
          <w:tcPr>
            <w:tcW w:w="964" w:type="dxa"/>
            <w:vAlign w:val="center"/>
          </w:tcPr>
          <w:p w14:paraId="383DF4F6" w14:textId="06972A49" w:rsidR="00A2027E" w:rsidRPr="00FA1162" w:rsidRDefault="00A2027E" w:rsidP="00A2027E">
            <w:pPr>
              <w:spacing w:before="100" w:after="100"/>
              <w:ind w:right="18"/>
              <w:jc w:val="right"/>
              <w:rPr>
                <w:rFonts w:ascii="Arial" w:hAnsi="Arial" w:cs="Arial"/>
                <w:sz w:val="20"/>
                <w:szCs w:val="20"/>
                <w:lang w:val="en-US"/>
              </w:rPr>
            </w:pPr>
            <w:r w:rsidRPr="00FA1162">
              <w:rPr>
                <w:rFonts w:ascii="Arial" w:hAnsi="Arial" w:cs="Arial"/>
                <w:sz w:val="20"/>
                <w:szCs w:val="20"/>
                <w:lang w:val="en-US"/>
              </w:rPr>
              <w:t>17,98</w:t>
            </w:r>
          </w:p>
        </w:tc>
        <w:tc>
          <w:tcPr>
            <w:tcW w:w="964" w:type="dxa"/>
            <w:vAlign w:val="center"/>
          </w:tcPr>
          <w:p w14:paraId="3BEB640C" w14:textId="7A018E19" w:rsidR="00A2027E" w:rsidRPr="00FA1162" w:rsidRDefault="00A2027E" w:rsidP="00A2027E">
            <w:pPr>
              <w:spacing w:before="100" w:after="100"/>
              <w:ind w:right="18"/>
              <w:jc w:val="right"/>
              <w:rPr>
                <w:rFonts w:ascii="Arial" w:hAnsi="Arial" w:cs="Arial"/>
                <w:sz w:val="20"/>
                <w:szCs w:val="20"/>
                <w:lang w:val="en-US"/>
              </w:rPr>
            </w:pPr>
            <w:r w:rsidRPr="00FA1162">
              <w:rPr>
                <w:rFonts w:ascii="Arial" w:hAnsi="Arial" w:cs="Arial"/>
                <w:sz w:val="20"/>
                <w:szCs w:val="20"/>
                <w:lang w:val="en-US"/>
              </w:rPr>
              <w:t>16,75</w:t>
            </w:r>
          </w:p>
        </w:tc>
        <w:tc>
          <w:tcPr>
            <w:tcW w:w="964" w:type="dxa"/>
            <w:vAlign w:val="center"/>
          </w:tcPr>
          <w:p w14:paraId="506A02AA" w14:textId="1DBAC8BB" w:rsidR="00A2027E" w:rsidRPr="00FA1162" w:rsidRDefault="00A2027E" w:rsidP="00A2027E">
            <w:pPr>
              <w:spacing w:before="100" w:after="100"/>
              <w:ind w:right="18"/>
              <w:jc w:val="right"/>
              <w:rPr>
                <w:rFonts w:ascii="Arial" w:hAnsi="Arial" w:cs="Arial"/>
                <w:sz w:val="20"/>
                <w:szCs w:val="20"/>
                <w:lang w:val="en-US"/>
              </w:rPr>
            </w:pPr>
            <w:r w:rsidRPr="00FA1162">
              <w:rPr>
                <w:rFonts w:ascii="Arial" w:hAnsi="Arial" w:cs="Arial"/>
                <w:sz w:val="20"/>
                <w:szCs w:val="20"/>
                <w:lang w:val="en-US"/>
              </w:rPr>
              <w:t>14,65</w:t>
            </w:r>
          </w:p>
        </w:tc>
        <w:tc>
          <w:tcPr>
            <w:tcW w:w="964" w:type="dxa"/>
            <w:vAlign w:val="center"/>
          </w:tcPr>
          <w:p w14:paraId="0DF51997" w14:textId="55259F73" w:rsidR="00A2027E" w:rsidRPr="00FA1162" w:rsidRDefault="00A2027E" w:rsidP="00A2027E">
            <w:pPr>
              <w:spacing w:before="100" w:after="100"/>
              <w:ind w:right="18"/>
              <w:jc w:val="right"/>
              <w:rPr>
                <w:rFonts w:ascii="Arial" w:hAnsi="Arial" w:cs="Arial"/>
                <w:sz w:val="20"/>
                <w:szCs w:val="20"/>
                <w:lang w:val="en-US"/>
              </w:rPr>
            </w:pPr>
            <w:r w:rsidRPr="00FA1162">
              <w:rPr>
                <w:rFonts w:ascii="Arial" w:hAnsi="Arial" w:cs="Arial"/>
                <w:sz w:val="20"/>
                <w:szCs w:val="20"/>
                <w:lang w:val="en-US"/>
              </w:rPr>
              <w:t>15,25</w:t>
            </w:r>
          </w:p>
        </w:tc>
      </w:tr>
      <w:tr w:rsidR="00DC0CA9" w:rsidRPr="00DC0CA9" w14:paraId="772E5980" w14:textId="77777777" w:rsidTr="00A66630">
        <w:trPr>
          <w:jc w:val="center"/>
        </w:trPr>
        <w:tc>
          <w:tcPr>
            <w:tcW w:w="3430" w:type="dxa"/>
          </w:tcPr>
          <w:p w14:paraId="446F5D82" w14:textId="77777777" w:rsidR="00A2027E" w:rsidRPr="00FA1162" w:rsidRDefault="00A2027E" w:rsidP="00A66630">
            <w:pPr>
              <w:spacing w:before="100" w:after="100"/>
              <w:ind w:firstLine="176"/>
              <w:jc w:val="both"/>
              <w:rPr>
                <w:rFonts w:ascii="Arial" w:hAnsi="Arial" w:cs="Arial"/>
                <w:iCs/>
                <w:sz w:val="20"/>
                <w:szCs w:val="20"/>
                <w:lang w:val="de-DE"/>
              </w:rPr>
            </w:pPr>
            <w:r w:rsidRPr="00FA1162">
              <w:rPr>
                <w:rFonts w:ascii="Arial" w:hAnsi="Arial" w:cs="Arial"/>
                <w:iCs/>
                <w:sz w:val="20"/>
                <w:szCs w:val="20"/>
                <w:lang w:val="de-DE"/>
              </w:rPr>
              <w:t>Đăng ký điều chỉnh</w:t>
            </w:r>
          </w:p>
        </w:tc>
        <w:tc>
          <w:tcPr>
            <w:tcW w:w="964" w:type="dxa"/>
            <w:vAlign w:val="center"/>
          </w:tcPr>
          <w:p w14:paraId="7F632807" w14:textId="5D32F696" w:rsidR="00A2027E" w:rsidRPr="00FA1162" w:rsidRDefault="00A2027E" w:rsidP="00A2027E">
            <w:pPr>
              <w:spacing w:before="100" w:after="100"/>
              <w:ind w:right="18"/>
              <w:jc w:val="right"/>
              <w:rPr>
                <w:rFonts w:ascii="Arial" w:hAnsi="Arial" w:cs="Arial"/>
                <w:sz w:val="20"/>
                <w:szCs w:val="20"/>
                <w:lang w:val="en-US"/>
              </w:rPr>
            </w:pPr>
            <w:r w:rsidRPr="00FA1162">
              <w:rPr>
                <w:rFonts w:ascii="Arial" w:hAnsi="Arial" w:cs="Arial"/>
                <w:sz w:val="20"/>
                <w:szCs w:val="20"/>
                <w:lang w:val="en-US"/>
              </w:rPr>
              <w:t>8,42</w:t>
            </w:r>
          </w:p>
        </w:tc>
        <w:tc>
          <w:tcPr>
            <w:tcW w:w="964" w:type="dxa"/>
            <w:vAlign w:val="center"/>
          </w:tcPr>
          <w:p w14:paraId="1A0392A6" w14:textId="4E5AD10B" w:rsidR="00A2027E" w:rsidRPr="00FA1162" w:rsidRDefault="00A2027E" w:rsidP="00A2027E">
            <w:pPr>
              <w:spacing w:before="100" w:after="100"/>
              <w:ind w:right="18"/>
              <w:jc w:val="right"/>
              <w:rPr>
                <w:rFonts w:ascii="Arial" w:hAnsi="Arial" w:cs="Arial"/>
                <w:sz w:val="20"/>
                <w:szCs w:val="20"/>
                <w:lang w:val="en-US"/>
              </w:rPr>
            </w:pPr>
            <w:r w:rsidRPr="00FA1162">
              <w:rPr>
                <w:rFonts w:ascii="Arial" w:hAnsi="Arial" w:cs="Arial"/>
                <w:sz w:val="20"/>
                <w:szCs w:val="20"/>
                <w:lang w:val="en-US"/>
              </w:rPr>
              <w:t>7,60</w:t>
            </w:r>
          </w:p>
        </w:tc>
        <w:tc>
          <w:tcPr>
            <w:tcW w:w="964" w:type="dxa"/>
            <w:vAlign w:val="center"/>
          </w:tcPr>
          <w:p w14:paraId="161DB8C2" w14:textId="72CCB8D1" w:rsidR="00A2027E" w:rsidRPr="00FA1162" w:rsidRDefault="00A2027E" w:rsidP="00A2027E">
            <w:pPr>
              <w:spacing w:before="100" w:after="100"/>
              <w:ind w:right="18"/>
              <w:jc w:val="right"/>
              <w:rPr>
                <w:rFonts w:ascii="Arial" w:hAnsi="Arial" w:cs="Arial"/>
                <w:sz w:val="20"/>
                <w:szCs w:val="20"/>
                <w:lang w:val="en-US"/>
              </w:rPr>
            </w:pPr>
            <w:r w:rsidRPr="00FA1162">
              <w:rPr>
                <w:rFonts w:ascii="Arial" w:hAnsi="Arial" w:cs="Arial"/>
                <w:sz w:val="20"/>
                <w:szCs w:val="20"/>
                <w:lang w:val="en-US"/>
              </w:rPr>
              <w:t>5,80</w:t>
            </w:r>
          </w:p>
        </w:tc>
        <w:tc>
          <w:tcPr>
            <w:tcW w:w="964" w:type="dxa"/>
            <w:vAlign w:val="center"/>
          </w:tcPr>
          <w:p w14:paraId="0D45A4C6" w14:textId="0BFCACE0" w:rsidR="00A2027E" w:rsidRPr="00FA1162" w:rsidRDefault="00A2027E" w:rsidP="00A2027E">
            <w:pPr>
              <w:spacing w:before="100" w:after="100"/>
              <w:ind w:right="18"/>
              <w:jc w:val="right"/>
              <w:rPr>
                <w:rFonts w:ascii="Arial" w:hAnsi="Arial" w:cs="Arial"/>
                <w:sz w:val="20"/>
                <w:szCs w:val="20"/>
                <w:lang w:val="en-US"/>
              </w:rPr>
            </w:pPr>
            <w:r w:rsidRPr="00FA1162">
              <w:rPr>
                <w:rFonts w:ascii="Arial" w:hAnsi="Arial" w:cs="Arial"/>
                <w:sz w:val="20"/>
                <w:szCs w:val="20"/>
                <w:lang w:val="en-US"/>
              </w:rPr>
              <w:t>6,41</w:t>
            </w:r>
          </w:p>
        </w:tc>
        <w:tc>
          <w:tcPr>
            <w:tcW w:w="964" w:type="dxa"/>
            <w:vAlign w:val="center"/>
          </w:tcPr>
          <w:p w14:paraId="43CEFF8B" w14:textId="3A161A96" w:rsidR="00A2027E" w:rsidRPr="00FA1162" w:rsidRDefault="00A2027E" w:rsidP="00A2027E">
            <w:pPr>
              <w:spacing w:before="100" w:after="100"/>
              <w:ind w:right="18"/>
              <w:jc w:val="right"/>
              <w:rPr>
                <w:rFonts w:ascii="Arial" w:hAnsi="Arial" w:cs="Arial"/>
                <w:sz w:val="20"/>
                <w:szCs w:val="20"/>
                <w:lang w:val="en-US"/>
              </w:rPr>
            </w:pPr>
            <w:r w:rsidRPr="00FA1162">
              <w:rPr>
                <w:rFonts w:ascii="Arial" w:hAnsi="Arial" w:cs="Arial"/>
                <w:sz w:val="20"/>
                <w:szCs w:val="20"/>
                <w:lang w:val="en-US"/>
              </w:rPr>
              <w:t>9,01</w:t>
            </w:r>
          </w:p>
        </w:tc>
      </w:tr>
      <w:tr w:rsidR="00DC0CA9" w:rsidRPr="00DC0CA9" w14:paraId="2181E765" w14:textId="77777777" w:rsidTr="00A66630">
        <w:trPr>
          <w:jc w:val="center"/>
        </w:trPr>
        <w:tc>
          <w:tcPr>
            <w:tcW w:w="3430" w:type="dxa"/>
          </w:tcPr>
          <w:p w14:paraId="482C73D1" w14:textId="77777777" w:rsidR="00A2027E" w:rsidRPr="00FA1162" w:rsidRDefault="00A2027E" w:rsidP="00A66630">
            <w:pPr>
              <w:spacing w:before="100" w:after="100"/>
              <w:ind w:firstLine="176"/>
              <w:jc w:val="both"/>
              <w:rPr>
                <w:rFonts w:ascii="Arial" w:hAnsi="Arial" w:cs="Arial"/>
                <w:iCs/>
                <w:sz w:val="20"/>
                <w:szCs w:val="20"/>
                <w:lang w:val="de-DE"/>
              </w:rPr>
            </w:pPr>
            <w:r w:rsidRPr="00FA1162">
              <w:rPr>
                <w:rFonts w:ascii="Arial" w:hAnsi="Arial" w:cs="Arial"/>
                <w:iCs/>
                <w:spacing w:val="-4"/>
                <w:sz w:val="20"/>
                <w:szCs w:val="20"/>
                <w:lang w:val="de-DE"/>
              </w:rPr>
              <w:t>Góp vốn, mua cổ phần</w:t>
            </w:r>
          </w:p>
        </w:tc>
        <w:tc>
          <w:tcPr>
            <w:tcW w:w="964" w:type="dxa"/>
            <w:vAlign w:val="center"/>
          </w:tcPr>
          <w:p w14:paraId="6C63FD8D" w14:textId="6583CF40" w:rsidR="00A2027E" w:rsidRPr="00FA1162" w:rsidRDefault="00A2027E" w:rsidP="00A2027E">
            <w:pPr>
              <w:spacing w:before="100" w:after="100"/>
              <w:ind w:right="18"/>
              <w:jc w:val="right"/>
              <w:rPr>
                <w:rFonts w:ascii="Arial" w:hAnsi="Arial" w:cs="Arial"/>
                <w:sz w:val="20"/>
                <w:szCs w:val="20"/>
                <w:lang w:val="en-US"/>
              </w:rPr>
            </w:pPr>
            <w:r w:rsidRPr="00FA1162">
              <w:rPr>
                <w:rFonts w:ascii="Arial" w:hAnsi="Arial" w:cs="Arial"/>
                <w:sz w:val="20"/>
                <w:szCs w:val="20"/>
                <w:lang w:val="en-US"/>
              </w:rPr>
              <w:t>6,19</w:t>
            </w:r>
          </w:p>
        </w:tc>
        <w:tc>
          <w:tcPr>
            <w:tcW w:w="964" w:type="dxa"/>
            <w:vAlign w:val="center"/>
          </w:tcPr>
          <w:p w14:paraId="53030840" w14:textId="635DFD1E" w:rsidR="00A2027E" w:rsidRPr="00FA1162" w:rsidRDefault="00A2027E" w:rsidP="00A2027E">
            <w:pPr>
              <w:spacing w:before="100" w:after="100"/>
              <w:ind w:right="18"/>
              <w:jc w:val="right"/>
              <w:rPr>
                <w:rFonts w:ascii="Arial" w:hAnsi="Arial" w:cs="Arial"/>
                <w:sz w:val="20"/>
                <w:szCs w:val="20"/>
                <w:lang w:val="en-US"/>
              </w:rPr>
            </w:pPr>
            <w:r w:rsidRPr="00FA1162">
              <w:rPr>
                <w:rFonts w:ascii="Arial" w:hAnsi="Arial" w:cs="Arial"/>
                <w:sz w:val="20"/>
                <w:szCs w:val="20"/>
                <w:lang w:val="en-US"/>
              </w:rPr>
              <w:t>9,89</w:t>
            </w:r>
          </w:p>
        </w:tc>
        <w:tc>
          <w:tcPr>
            <w:tcW w:w="964" w:type="dxa"/>
            <w:vAlign w:val="center"/>
          </w:tcPr>
          <w:p w14:paraId="36606D2C" w14:textId="7FC109E2" w:rsidR="00A2027E" w:rsidRPr="00FA1162" w:rsidRDefault="00A2027E" w:rsidP="00A2027E">
            <w:pPr>
              <w:spacing w:before="100" w:after="100"/>
              <w:ind w:right="18"/>
              <w:jc w:val="right"/>
              <w:rPr>
                <w:rFonts w:ascii="Arial" w:hAnsi="Arial" w:cs="Arial"/>
                <w:sz w:val="20"/>
                <w:szCs w:val="20"/>
                <w:lang w:val="en-US"/>
              </w:rPr>
            </w:pPr>
            <w:r w:rsidRPr="00FA1162">
              <w:rPr>
                <w:rFonts w:ascii="Arial" w:hAnsi="Arial" w:cs="Arial"/>
                <w:sz w:val="20"/>
                <w:szCs w:val="20"/>
                <w:lang w:val="en-US"/>
              </w:rPr>
              <w:t>15,47</w:t>
            </w:r>
          </w:p>
        </w:tc>
        <w:tc>
          <w:tcPr>
            <w:tcW w:w="964" w:type="dxa"/>
            <w:vAlign w:val="center"/>
          </w:tcPr>
          <w:p w14:paraId="2C48F65F" w14:textId="335CFAFB" w:rsidR="00A2027E" w:rsidRPr="00FA1162" w:rsidRDefault="00FF4EC4" w:rsidP="00FF4EC4">
            <w:pPr>
              <w:spacing w:before="100" w:after="100"/>
              <w:ind w:right="18"/>
              <w:jc w:val="right"/>
              <w:rPr>
                <w:rFonts w:ascii="Arial" w:hAnsi="Arial" w:cs="Arial"/>
                <w:sz w:val="20"/>
                <w:szCs w:val="20"/>
                <w:lang w:val="en-US"/>
              </w:rPr>
            </w:pPr>
            <w:r w:rsidRPr="00FA1162">
              <w:rPr>
                <w:rFonts w:ascii="Arial" w:hAnsi="Arial" w:cs="Arial"/>
                <w:sz w:val="20"/>
                <w:szCs w:val="20"/>
                <w:lang w:val="en-US"/>
              </w:rPr>
              <w:t>7,47</w:t>
            </w:r>
          </w:p>
        </w:tc>
        <w:tc>
          <w:tcPr>
            <w:tcW w:w="964" w:type="dxa"/>
            <w:vAlign w:val="center"/>
          </w:tcPr>
          <w:p w14:paraId="062055A2" w14:textId="7B38FC9D" w:rsidR="00A2027E" w:rsidRPr="00FA1162" w:rsidRDefault="00FF4EC4" w:rsidP="00FF4EC4">
            <w:pPr>
              <w:spacing w:before="100" w:after="100"/>
              <w:ind w:right="18"/>
              <w:jc w:val="right"/>
              <w:rPr>
                <w:rFonts w:ascii="Arial" w:hAnsi="Arial" w:cs="Arial"/>
                <w:sz w:val="20"/>
                <w:szCs w:val="20"/>
                <w:lang w:val="en-US"/>
              </w:rPr>
            </w:pPr>
            <w:r w:rsidRPr="00FA1162">
              <w:rPr>
                <w:rFonts w:ascii="Arial" w:hAnsi="Arial" w:cs="Arial"/>
                <w:sz w:val="20"/>
                <w:szCs w:val="20"/>
                <w:lang w:val="en-US"/>
              </w:rPr>
              <w:t>6,89</w:t>
            </w:r>
          </w:p>
        </w:tc>
      </w:tr>
      <w:tr w:rsidR="002D37A8" w:rsidRPr="00DC0CA9" w14:paraId="7F21D7EA" w14:textId="77777777" w:rsidTr="00A66630">
        <w:trPr>
          <w:jc w:val="center"/>
        </w:trPr>
        <w:tc>
          <w:tcPr>
            <w:tcW w:w="3430" w:type="dxa"/>
            <w:tcBorders>
              <w:bottom w:val="single" w:sz="4" w:space="0" w:color="auto"/>
            </w:tcBorders>
          </w:tcPr>
          <w:p w14:paraId="0F96C25F" w14:textId="77777777" w:rsidR="00A2027E" w:rsidRPr="00FA1162" w:rsidRDefault="00A2027E" w:rsidP="00A66630">
            <w:pPr>
              <w:spacing w:before="100" w:after="100"/>
              <w:jc w:val="both"/>
              <w:rPr>
                <w:rFonts w:ascii="Arial" w:hAnsi="Arial" w:cs="Arial"/>
                <w:b/>
                <w:bCs/>
                <w:iCs/>
                <w:sz w:val="20"/>
                <w:szCs w:val="20"/>
                <w:lang w:val="de-DE"/>
              </w:rPr>
            </w:pPr>
            <w:r w:rsidRPr="00FA1162">
              <w:rPr>
                <w:rFonts w:ascii="Arial" w:hAnsi="Arial" w:cs="Arial"/>
                <w:b/>
                <w:bCs/>
                <w:iCs/>
                <w:sz w:val="20"/>
                <w:szCs w:val="20"/>
                <w:lang w:val="de-DE"/>
              </w:rPr>
              <w:t>Vốn thực hiện</w:t>
            </w:r>
          </w:p>
        </w:tc>
        <w:tc>
          <w:tcPr>
            <w:tcW w:w="964" w:type="dxa"/>
            <w:tcBorders>
              <w:bottom w:val="single" w:sz="4" w:space="0" w:color="auto"/>
            </w:tcBorders>
            <w:vAlign w:val="center"/>
          </w:tcPr>
          <w:p w14:paraId="25AB5E3A" w14:textId="6DFCF9E6" w:rsidR="00A2027E" w:rsidRPr="00FA1162" w:rsidRDefault="00A2027E" w:rsidP="00FF4EC4">
            <w:pPr>
              <w:spacing w:before="100" w:after="100"/>
              <w:ind w:right="18"/>
              <w:jc w:val="right"/>
              <w:rPr>
                <w:rFonts w:ascii="Arial" w:hAnsi="Arial" w:cs="Arial"/>
                <w:b/>
                <w:bCs/>
                <w:sz w:val="20"/>
                <w:szCs w:val="20"/>
                <w:lang w:val="en-US"/>
              </w:rPr>
            </w:pPr>
            <w:r w:rsidRPr="00FA1162">
              <w:rPr>
                <w:rFonts w:ascii="Arial" w:hAnsi="Arial" w:cs="Arial"/>
                <w:b/>
                <w:bCs/>
                <w:sz w:val="20"/>
                <w:szCs w:val="20"/>
                <w:lang w:val="en-US"/>
              </w:rPr>
              <w:t>1</w:t>
            </w:r>
            <w:r w:rsidR="00FF4EC4" w:rsidRPr="00FA1162">
              <w:rPr>
                <w:rFonts w:ascii="Arial" w:hAnsi="Arial" w:cs="Arial"/>
                <w:b/>
                <w:bCs/>
                <w:sz w:val="20"/>
                <w:szCs w:val="20"/>
                <w:lang w:val="en-US"/>
              </w:rPr>
              <w:t>7,50</w:t>
            </w:r>
          </w:p>
        </w:tc>
        <w:tc>
          <w:tcPr>
            <w:tcW w:w="964" w:type="dxa"/>
            <w:tcBorders>
              <w:bottom w:val="single" w:sz="4" w:space="0" w:color="auto"/>
            </w:tcBorders>
            <w:vAlign w:val="center"/>
          </w:tcPr>
          <w:p w14:paraId="3A4A94E3" w14:textId="776A2E10" w:rsidR="00A2027E" w:rsidRPr="00FA1162" w:rsidRDefault="00A2027E" w:rsidP="00FF4EC4">
            <w:pPr>
              <w:spacing w:before="100" w:after="100"/>
              <w:ind w:right="18"/>
              <w:jc w:val="right"/>
              <w:rPr>
                <w:rFonts w:ascii="Arial" w:hAnsi="Arial" w:cs="Arial"/>
                <w:b/>
                <w:bCs/>
                <w:sz w:val="20"/>
                <w:szCs w:val="20"/>
                <w:lang w:val="en-US"/>
              </w:rPr>
            </w:pPr>
            <w:r w:rsidRPr="00FA1162">
              <w:rPr>
                <w:rFonts w:ascii="Arial" w:hAnsi="Arial" w:cs="Arial"/>
                <w:b/>
                <w:bCs/>
                <w:sz w:val="20"/>
                <w:szCs w:val="20"/>
                <w:lang w:val="en-US"/>
              </w:rPr>
              <w:t>1</w:t>
            </w:r>
            <w:r w:rsidR="00FF4EC4" w:rsidRPr="00FA1162">
              <w:rPr>
                <w:rFonts w:ascii="Arial" w:hAnsi="Arial" w:cs="Arial"/>
                <w:b/>
                <w:bCs/>
                <w:sz w:val="20"/>
                <w:szCs w:val="20"/>
                <w:lang w:val="en-US"/>
              </w:rPr>
              <w:t>9,10</w:t>
            </w:r>
          </w:p>
        </w:tc>
        <w:tc>
          <w:tcPr>
            <w:tcW w:w="964" w:type="dxa"/>
            <w:tcBorders>
              <w:bottom w:val="single" w:sz="4" w:space="0" w:color="auto"/>
            </w:tcBorders>
            <w:vAlign w:val="center"/>
          </w:tcPr>
          <w:p w14:paraId="5A3E9CAF" w14:textId="021334E0" w:rsidR="00A2027E" w:rsidRPr="00FA1162" w:rsidRDefault="00FF4EC4" w:rsidP="00FF4EC4">
            <w:pPr>
              <w:spacing w:before="100" w:after="100"/>
              <w:ind w:right="18"/>
              <w:jc w:val="right"/>
              <w:rPr>
                <w:rFonts w:ascii="Arial" w:hAnsi="Arial" w:cs="Arial"/>
                <w:b/>
                <w:bCs/>
                <w:sz w:val="20"/>
                <w:szCs w:val="20"/>
                <w:lang w:val="en-US"/>
              </w:rPr>
            </w:pPr>
            <w:r w:rsidRPr="00FA1162">
              <w:rPr>
                <w:rFonts w:ascii="Arial" w:hAnsi="Arial" w:cs="Arial"/>
                <w:b/>
                <w:bCs/>
                <w:sz w:val="20"/>
                <w:szCs w:val="20"/>
                <w:lang w:val="en-US"/>
              </w:rPr>
              <w:t>20,38</w:t>
            </w:r>
          </w:p>
        </w:tc>
        <w:tc>
          <w:tcPr>
            <w:tcW w:w="964" w:type="dxa"/>
            <w:tcBorders>
              <w:bottom w:val="single" w:sz="4" w:space="0" w:color="auto"/>
            </w:tcBorders>
            <w:vAlign w:val="center"/>
          </w:tcPr>
          <w:p w14:paraId="2F0DC5B5" w14:textId="14D811D4" w:rsidR="00A2027E" w:rsidRPr="00FA1162" w:rsidRDefault="00A2027E" w:rsidP="00FF4EC4">
            <w:pPr>
              <w:spacing w:before="100" w:after="100"/>
              <w:ind w:right="18"/>
              <w:jc w:val="right"/>
              <w:rPr>
                <w:rFonts w:ascii="Arial" w:hAnsi="Arial" w:cs="Arial"/>
                <w:b/>
                <w:bCs/>
                <w:sz w:val="20"/>
                <w:szCs w:val="20"/>
                <w:lang w:val="en-US"/>
              </w:rPr>
            </w:pPr>
            <w:r w:rsidRPr="00FA1162">
              <w:rPr>
                <w:rFonts w:ascii="Arial" w:hAnsi="Arial" w:cs="Arial"/>
                <w:b/>
                <w:bCs/>
                <w:sz w:val="20"/>
                <w:szCs w:val="20"/>
                <w:lang w:val="en-US"/>
              </w:rPr>
              <w:t>1</w:t>
            </w:r>
            <w:r w:rsidR="00FF4EC4" w:rsidRPr="00FA1162">
              <w:rPr>
                <w:rFonts w:ascii="Arial" w:hAnsi="Arial" w:cs="Arial"/>
                <w:b/>
                <w:bCs/>
                <w:sz w:val="20"/>
                <w:szCs w:val="20"/>
                <w:lang w:val="en-US"/>
              </w:rPr>
              <w:t>9,98</w:t>
            </w:r>
          </w:p>
        </w:tc>
        <w:tc>
          <w:tcPr>
            <w:tcW w:w="964" w:type="dxa"/>
            <w:tcBorders>
              <w:bottom w:val="single" w:sz="4" w:space="0" w:color="auto"/>
            </w:tcBorders>
            <w:vAlign w:val="center"/>
          </w:tcPr>
          <w:p w14:paraId="3E668C51" w14:textId="09D70424" w:rsidR="00A2027E" w:rsidRPr="00FA1162" w:rsidRDefault="00A2027E" w:rsidP="00FF4EC4">
            <w:pPr>
              <w:spacing w:before="100" w:after="100"/>
              <w:ind w:right="18"/>
              <w:jc w:val="right"/>
              <w:rPr>
                <w:rFonts w:ascii="Arial" w:hAnsi="Arial" w:cs="Arial"/>
                <w:b/>
                <w:bCs/>
                <w:sz w:val="20"/>
                <w:szCs w:val="20"/>
                <w:lang w:val="en-US"/>
              </w:rPr>
            </w:pPr>
            <w:r w:rsidRPr="00FA1162">
              <w:rPr>
                <w:rFonts w:ascii="Arial" w:hAnsi="Arial" w:cs="Arial"/>
                <w:b/>
                <w:bCs/>
                <w:sz w:val="20"/>
                <w:szCs w:val="20"/>
                <w:lang w:val="en-US"/>
              </w:rPr>
              <w:t>1</w:t>
            </w:r>
            <w:r w:rsidR="00FF4EC4" w:rsidRPr="00FA1162">
              <w:rPr>
                <w:rFonts w:ascii="Arial" w:hAnsi="Arial" w:cs="Arial"/>
                <w:b/>
                <w:bCs/>
                <w:sz w:val="20"/>
                <w:szCs w:val="20"/>
                <w:lang w:val="en-US"/>
              </w:rPr>
              <w:t>9,74</w:t>
            </w:r>
          </w:p>
        </w:tc>
      </w:tr>
    </w:tbl>
    <w:p w14:paraId="5CA56109" w14:textId="77777777" w:rsidR="00A2027E" w:rsidRPr="00DC0CA9" w:rsidRDefault="00A2027E" w:rsidP="00A2027E">
      <w:pPr>
        <w:spacing w:before="40" w:after="40" w:line="283" w:lineRule="auto"/>
        <w:ind w:firstLine="567"/>
        <w:jc w:val="both"/>
        <w:rPr>
          <w:rFonts w:ascii="Times New Roman" w:hAnsi="Times New Roman" w:cs="Times New Roman"/>
          <w:sz w:val="14"/>
          <w:szCs w:val="28"/>
          <w:lang w:val="en-US"/>
        </w:rPr>
      </w:pPr>
    </w:p>
    <w:p w14:paraId="694AC210" w14:textId="349A2E81" w:rsidR="00A2027E" w:rsidRPr="00DC0CA9" w:rsidRDefault="00A2027E" w:rsidP="00F877BF">
      <w:pPr>
        <w:spacing w:after="120" w:line="340" w:lineRule="exact"/>
        <w:ind w:firstLine="567"/>
        <w:jc w:val="both"/>
        <w:rPr>
          <w:rFonts w:ascii="Times New Roman" w:hAnsi="Times New Roman" w:cs="Times New Roman"/>
          <w:iCs/>
          <w:sz w:val="28"/>
          <w:szCs w:val="28"/>
          <w:lang w:val="de-DE"/>
        </w:rPr>
      </w:pPr>
      <w:r w:rsidRPr="00DC0CA9">
        <w:rPr>
          <w:rFonts w:ascii="Times New Roman" w:hAnsi="Times New Roman" w:cs="Times New Roman"/>
          <w:iCs/>
          <w:sz w:val="28"/>
          <w:szCs w:val="28"/>
          <w:lang w:val="en-US"/>
        </w:rPr>
        <w:t>Đầu tư của Việt Nam ra nước ngoài</w:t>
      </w:r>
      <w:r w:rsidR="00FF4EC4" w:rsidRPr="00DC0CA9">
        <w:rPr>
          <w:rFonts w:ascii="Times New Roman" w:hAnsi="Times New Roman" w:cs="Times New Roman"/>
          <w:iCs/>
          <w:sz w:val="28"/>
          <w:szCs w:val="28"/>
          <w:lang w:val="en-US"/>
        </w:rPr>
        <w:t xml:space="preserve"> </w:t>
      </w:r>
      <w:r w:rsidRPr="00DC0CA9">
        <w:rPr>
          <w:rFonts w:ascii="Times New Roman" w:hAnsi="Times New Roman" w:cs="Times New Roman"/>
          <w:sz w:val="28"/>
          <w:szCs w:val="28"/>
          <w:lang w:val="en-US"/>
        </w:rPr>
        <w:t xml:space="preserve">năm 2021 </w:t>
      </w:r>
      <w:r w:rsidRPr="00DC0CA9">
        <w:rPr>
          <w:rFonts w:ascii="Times New Roman" w:hAnsi="Times New Roman" w:cs="Times New Roman"/>
          <w:sz w:val="28"/>
          <w:szCs w:val="28"/>
          <w:lang w:val="vi-VN"/>
        </w:rPr>
        <w:t>c</w:t>
      </w:r>
      <w:r w:rsidRPr="00DC0CA9">
        <w:rPr>
          <w:rFonts w:ascii="Times New Roman" w:hAnsi="Times New Roman" w:cs="Times New Roman"/>
          <w:sz w:val="28"/>
          <w:szCs w:val="28"/>
          <w:lang w:val="en-US"/>
        </w:rPr>
        <w:t xml:space="preserve">ó 61 dự án được cấp mới giấy chứng nhận đầu tư với tổng số vốn của phía Việt Nam là 409,1 triệu USD, tăng 28,6% so với năm trước; có 22 lượt dự án điều chỉnh vốn đầu tư với tổng vốn điều chỉnh giảm 776 triệu USD. </w:t>
      </w:r>
      <w:r w:rsidRPr="00DC0CA9">
        <w:rPr>
          <w:rFonts w:ascii="Times New Roman" w:hAnsi="Times New Roman" w:cs="Times New Roman"/>
          <w:sz w:val="28"/>
          <w:szCs w:val="28"/>
          <w:lang w:val="vi-VN"/>
        </w:rPr>
        <w:t xml:space="preserve"> </w:t>
      </w:r>
    </w:p>
    <w:p w14:paraId="13148ACC" w14:textId="77777777" w:rsidR="001105C0" w:rsidRPr="00DC0CA9" w:rsidRDefault="00CE7E51" w:rsidP="00FA1162">
      <w:pPr>
        <w:spacing w:after="80" w:line="254" w:lineRule="auto"/>
        <w:ind w:firstLine="567"/>
        <w:jc w:val="both"/>
        <w:rPr>
          <w:rFonts w:ascii="Times New Roman" w:hAnsi="Times New Roman" w:cs="Times New Roman"/>
          <w:i/>
          <w:sz w:val="28"/>
          <w:szCs w:val="28"/>
          <w:lang w:val="it-IT"/>
        </w:rPr>
      </w:pPr>
      <w:r w:rsidRPr="00DC0CA9">
        <w:rPr>
          <w:rFonts w:ascii="Times New Roman" w:hAnsi="Times New Roman" w:cs="Times New Roman"/>
          <w:b/>
          <w:i/>
          <w:sz w:val="28"/>
          <w:szCs w:val="28"/>
        </w:rPr>
        <w:t xml:space="preserve">8. </w:t>
      </w:r>
      <w:r w:rsidR="001105C0" w:rsidRPr="00DC0CA9">
        <w:rPr>
          <w:rFonts w:ascii="Times New Roman" w:hAnsi="Times New Roman" w:cs="Times New Roman"/>
          <w:b/>
          <w:i/>
          <w:sz w:val="28"/>
          <w:szCs w:val="28"/>
          <w:lang w:val="nl-NL"/>
        </w:rPr>
        <w:t xml:space="preserve">Hoạt động sản xuất kinh doanh của nền kinh tế tiếp tục phục hồi giúp cho thu ngân sách Nhà nước ước tính cả năm 2021 đạt 1.523,4 nghìn tỷ đồng và vượt dự toán năm. </w:t>
      </w:r>
      <w:r w:rsidR="001105C0" w:rsidRPr="00DC0CA9">
        <w:rPr>
          <w:rFonts w:ascii="Times New Roman" w:hAnsi="Times New Roman" w:cs="Times New Roman"/>
          <w:b/>
          <w:i/>
          <w:sz w:val="28"/>
          <w:szCs w:val="28"/>
          <w:lang w:val="vi-VN"/>
        </w:rPr>
        <w:t xml:space="preserve">Chi ngân sách Nhà nước </w:t>
      </w:r>
      <w:r w:rsidR="001105C0" w:rsidRPr="00DC0CA9">
        <w:rPr>
          <w:rFonts w:ascii="Times New Roman" w:hAnsi="Times New Roman" w:cs="Times New Roman"/>
          <w:b/>
          <w:i/>
          <w:sz w:val="28"/>
          <w:szCs w:val="28"/>
          <w:lang w:val="it-IT"/>
        </w:rPr>
        <w:t>tập trung ưu tiên cho công tác phòng, chống dịch Covid-19, khắc phục thiên tai, đảm bảo quốc phòng, an ninh và hỗ trợ người dân gặp khó khăn do ảnh hưởng của dịch bệnh.</w:t>
      </w:r>
    </w:p>
    <w:p w14:paraId="05763291" w14:textId="10E41A3F" w:rsidR="001105C0" w:rsidRPr="00DC0CA9" w:rsidRDefault="001105C0" w:rsidP="00FA1162">
      <w:pPr>
        <w:spacing w:after="80" w:line="254" w:lineRule="auto"/>
        <w:ind w:firstLine="567"/>
        <w:jc w:val="both"/>
        <w:rPr>
          <w:rFonts w:ascii="Times New Roman" w:hAnsi="Times New Roman" w:cs="Times New Roman"/>
          <w:spacing w:val="2"/>
          <w:sz w:val="28"/>
          <w:szCs w:val="28"/>
          <w:lang w:val="nl-NL"/>
        </w:rPr>
      </w:pPr>
      <w:r w:rsidRPr="00DC0CA9">
        <w:rPr>
          <w:rFonts w:ascii="Times New Roman" w:hAnsi="Times New Roman" w:cs="Times New Roman"/>
          <w:sz w:val="28"/>
          <w:szCs w:val="28"/>
          <w:lang w:val="it-IT"/>
        </w:rPr>
        <w:t xml:space="preserve">Tổng thu ngân sách Nhà nước ước tính năm 2021 đạt 1.523,4 nghìn tỷ đồng, bằng 113,4% dự toán năm (tăng 180,1 nghìn tỷ đồng), trong đó: </w:t>
      </w:r>
      <w:r w:rsidRPr="00DC0CA9">
        <w:rPr>
          <w:rFonts w:ascii="Times New Roman" w:hAnsi="Times New Roman" w:cs="Times New Roman"/>
          <w:spacing w:val="-4"/>
          <w:sz w:val="28"/>
          <w:szCs w:val="28"/>
          <w:lang w:val="nl-NL"/>
        </w:rPr>
        <w:t>Thu nội địa bằng 110,4% so với dự toán năm (tăng gần 118 nghìn tỷ đồng); t</w:t>
      </w:r>
      <w:r w:rsidRPr="00DC0CA9">
        <w:rPr>
          <w:rFonts w:ascii="Times New Roman" w:hAnsi="Times New Roman" w:cs="Times New Roman"/>
          <w:sz w:val="28"/>
          <w:szCs w:val="28"/>
          <w:lang w:val="nl-NL"/>
        </w:rPr>
        <w:t>hu từ dầu thô bằng 197,4% (tăng 22,6 nghìn tỷ đồng); t</w:t>
      </w:r>
      <w:r w:rsidRPr="00DC0CA9">
        <w:rPr>
          <w:rFonts w:ascii="Times New Roman" w:hAnsi="Times New Roman" w:cs="Times New Roman"/>
          <w:spacing w:val="2"/>
          <w:sz w:val="28"/>
          <w:szCs w:val="28"/>
          <w:lang w:val="nl-NL"/>
        </w:rPr>
        <w:t>hu cân đối từ hoạt động xuất, nhập khẩu bằng 122,1% (tăng 39,5 nghìn tỷ đồng).</w:t>
      </w:r>
    </w:p>
    <w:p w14:paraId="4B8062B1" w14:textId="22E326E4" w:rsidR="001105C0" w:rsidRPr="00DC0CA9" w:rsidRDefault="001105C0" w:rsidP="00FA1162">
      <w:pPr>
        <w:spacing w:after="80" w:line="254" w:lineRule="auto"/>
        <w:ind w:firstLine="567"/>
        <w:jc w:val="both"/>
        <w:rPr>
          <w:lang w:val="nl-NL"/>
        </w:rPr>
      </w:pPr>
      <w:r w:rsidRPr="00DC0CA9">
        <w:rPr>
          <w:rFonts w:ascii="Times New Roman" w:hAnsi="Times New Roman" w:cs="Times New Roman"/>
          <w:sz w:val="28"/>
          <w:szCs w:val="28"/>
          <w:lang w:val="nl-NL"/>
        </w:rPr>
        <w:t>Tổng chi ngân sách Nhà nước năm 2021 ước tính đạt 1.839,2 nghìn tỷ đồng, bằng 109% dự toán năm, trong đó: Chi thường xuyên bằng 102,3%; chi đầu tư phát triển bằng 106,4%; chi trả nợ lãi bằng 96,2%.</w:t>
      </w:r>
    </w:p>
    <w:p w14:paraId="7113DC32" w14:textId="3151BDEB" w:rsidR="00FF4EC4" w:rsidRPr="00DC0CA9" w:rsidRDefault="00CE7E51" w:rsidP="00FA1162">
      <w:pPr>
        <w:spacing w:after="80" w:line="254" w:lineRule="auto"/>
        <w:ind w:firstLine="567"/>
        <w:jc w:val="both"/>
        <w:rPr>
          <w:rFonts w:ascii="Times New Roman" w:hAnsi="Times New Roman" w:cs="Times New Roman"/>
          <w:b/>
          <w:i/>
          <w:spacing w:val="-2"/>
          <w:sz w:val="28"/>
          <w:szCs w:val="28"/>
          <w:lang w:val="es-NI"/>
        </w:rPr>
      </w:pPr>
      <w:r w:rsidRPr="00DC0CA9">
        <w:rPr>
          <w:rFonts w:ascii="Times New Roman" w:hAnsi="Times New Roman" w:cs="Times New Roman"/>
          <w:b/>
          <w:bCs/>
          <w:i/>
          <w:iCs/>
          <w:sz w:val="28"/>
          <w:szCs w:val="28"/>
        </w:rPr>
        <w:t xml:space="preserve">9. </w:t>
      </w:r>
      <w:r w:rsidR="00FF4EC4" w:rsidRPr="00DC0CA9">
        <w:rPr>
          <w:rFonts w:ascii="Times New Roman" w:hAnsi="Times New Roman" w:cs="Times New Roman"/>
          <w:b/>
          <w:i/>
          <w:spacing w:val="-2"/>
          <w:sz w:val="28"/>
          <w:szCs w:val="28"/>
          <w:lang w:val="de-DE"/>
        </w:rPr>
        <w:t>Trong tháng 12/2021, hoạt động xuất, nhập khẩu hàng hóa tiếp tục là điểm sáng của nền kinh tế với t</w:t>
      </w:r>
      <w:r w:rsidR="00FF4EC4" w:rsidRPr="00DC0CA9">
        <w:rPr>
          <w:rFonts w:ascii="Times New Roman" w:hAnsi="Times New Roman" w:cs="Times New Roman"/>
          <w:b/>
          <w:i/>
          <w:spacing w:val="-2"/>
          <w:sz w:val="28"/>
          <w:szCs w:val="28"/>
          <w:lang w:val="es-NI"/>
        </w:rPr>
        <w:t>ổng kim ngạch xuất, nhập khẩu hàng hóa</w:t>
      </w:r>
      <w:r w:rsidR="00FF4EC4" w:rsidRPr="00DC0CA9">
        <w:rPr>
          <w:rFonts w:ascii="Times New Roman" w:hAnsi="Times New Roman" w:cs="Times New Roman"/>
          <w:b/>
          <w:i/>
          <w:spacing w:val="-2"/>
          <w:sz w:val="28"/>
          <w:szCs w:val="28"/>
          <w:lang w:val="vi-VN"/>
        </w:rPr>
        <w:t xml:space="preserve"> </w:t>
      </w:r>
      <w:r w:rsidR="00FF4EC4" w:rsidRPr="00DC0CA9">
        <w:rPr>
          <w:rFonts w:ascii="Times New Roman" w:hAnsi="Times New Roman" w:cs="Times New Roman"/>
          <w:b/>
          <w:i/>
          <w:spacing w:val="-2"/>
          <w:sz w:val="28"/>
          <w:szCs w:val="28"/>
          <w:lang w:val="es-NI"/>
        </w:rPr>
        <w:t>ước tính đạt 6</w:t>
      </w:r>
      <w:r w:rsidR="00D85221">
        <w:rPr>
          <w:rFonts w:ascii="Times New Roman" w:hAnsi="Times New Roman" w:cs="Times New Roman"/>
          <w:b/>
          <w:i/>
          <w:spacing w:val="-2"/>
          <w:sz w:val="28"/>
          <w:szCs w:val="28"/>
          <w:lang w:val="es-NI"/>
        </w:rPr>
        <w:t>6</w:t>
      </w:r>
      <w:r w:rsidR="00FF4EC4" w:rsidRPr="00DC0CA9">
        <w:rPr>
          <w:rFonts w:ascii="Times New Roman" w:hAnsi="Times New Roman" w:cs="Times New Roman"/>
          <w:b/>
          <w:i/>
          <w:spacing w:val="-2"/>
          <w:sz w:val="28"/>
          <w:szCs w:val="28"/>
          <w:lang w:val="de-DE"/>
        </w:rPr>
        <w:t>,5</w:t>
      </w:r>
      <w:r w:rsidR="00FF4EC4" w:rsidRPr="00DC0CA9">
        <w:rPr>
          <w:rFonts w:ascii="Times New Roman" w:hAnsi="Times New Roman" w:cs="Times New Roman"/>
          <w:b/>
          <w:i/>
          <w:spacing w:val="-2"/>
          <w:sz w:val="28"/>
          <w:szCs w:val="28"/>
          <w:lang w:val="es-NI"/>
        </w:rPr>
        <w:t xml:space="preserve"> tỷ USD,</w:t>
      </w:r>
      <w:r w:rsidR="00FF4EC4" w:rsidRPr="00DC0CA9">
        <w:rPr>
          <w:rFonts w:ascii="Times New Roman" w:hAnsi="Times New Roman" w:cs="Times New Roman"/>
          <w:b/>
          <w:i/>
          <w:spacing w:val="-2"/>
          <w:sz w:val="28"/>
          <w:szCs w:val="28"/>
          <w:lang w:val="de-DE"/>
        </w:rPr>
        <w:t xml:space="preserve"> tăng </w:t>
      </w:r>
      <w:r w:rsidR="00D85221">
        <w:rPr>
          <w:rFonts w:ascii="Times New Roman" w:hAnsi="Times New Roman" w:cs="Times New Roman"/>
          <w:b/>
          <w:i/>
          <w:spacing w:val="-2"/>
          <w:sz w:val="28"/>
          <w:szCs w:val="28"/>
          <w:lang w:val="de-DE"/>
        </w:rPr>
        <w:t>6,4</w:t>
      </w:r>
      <w:r w:rsidR="00FF4EC4" w:rsidRPr="00DC0CA9">
        <w:rPr>
          <w:rFonts w:ascii="Times New Roman" w:hAnsi="Times New Roman" w:cs="Times New Roman"/>
          <w:b/>
          <w:i/>
          <w:spacing w:val="-2"/>
          <w:sz w:val="28"/>
          <w:szCs w:val="28"/>
          <w:lang w:val="de-DE"/>
        </w:rPr>
        <w:t>% so với tháng trước và</w:t>
      </w:r>
      <w:r w:rsidR="00FF4EC4" w:rsidRPr="00DC0CA9">
        <w:rPr>
          <w:rFonts w:ascii="Times New Roman" w:hAnsi="Times New Roman" w:cs="Times New Roman"/>
          <w:b/>
          <w:i/>
          <w:spacing w:val="-2"/>
          <w:sz w:val="28"/>
          <w:szCs w:val="28"/>
          <w:lang w:val="es-NI"/>
        </w:rPr>
        <w:t xml:space="preserve"> tăng 19</w:t>
      </w:r>
      <w:r w:rsidR="00D85221">
        <w:rPr>
          <w:rFonts w:ascii="Times New Roman" w:hAnsi="Times New Roman" w:cs="Times New Roman"/>
          <w:b/>
          <w:i/>
          <w:spacing w:val="-2"/>
          <w:sz w:val="28"/>
          <w:szCs w:val="28"/>
          <w:lang w:val="es-NI"/>
        </w:rPr>
        <w:t>,7</w:t>
      </w:r>
      <w:r w:rsidR="00FF4EC4" w:rsidRPr="00DC0CA9">
        <w:rPr>
          <w:rFonts w:ascii="Times New Roman" w:hAnsi="Times New Roman" w:cs="Times New Roman"/>
          <w:b/>
          <w:i/>
          <w:spacing w:val="-2"/>
          <w:sz w:val="28"/>
          <w:szCs w:val="28"/>
          <w:lang w:val="es-NI"/>
        </w:rPr>
        <w:t>% so với cùng kỳ năm trước. Tính chung cả năm 2021, tổng kim ngạch xuất, nhập khẩu hàng hóa đạt 66</w:t>
      </w:r>
      <w:r w:rsidR="00D85221">
        <w:rPr>
          <w:rFonts w:ascii="Times New Roman" w:hAnsi="Times New Roman" w:cs="Times New Roman"/>
          <w:b/>
          <w:i/>
          <w:spacing w:val="-2"/>
          <w:sz w:val="28"/>
          <w:szCs w:val="28"/>
          <w:lang w:val="es-NI"/>
        </w:rPr>
        <w:t>8</w:t>
      </w:r>
      <w:r w:rsidR="00FF4EC4" w:rsidRPr="00DC0CA9">
        <w:rPr>
          <w:rFonts w:ascii="Times New Roman" w:hAnsi="Times New Roman" w:cs="Times New Roman"/>
          <w:b/>
          <w:i/>
          <w:spacing w:val="-2"/>
          <w:sz w:val="28"/>
          <w:szCs w:val="28"/>
          <w:lang w:val="es-NI"/>
        </w:rPr>
        <w:t>,5 tỷ USD, tăng 22,</w:t>
      </w:r>
      <w:r w:rsidR="00983BDC">
        <w:rPr>
          <w:rFonts w:ascii="Times New Roman" w:hAnsi="Times New Roman" w:cs="Times New Roman"/>
          <w:b/>
          <w:i/>
          <w:spacing w:val="-2"/>
          <w:sz w:val="28"/>
          <w:szCs w:val="28"/>
          <w:lang w:val="es-NI"/>
        </w:rPr>
        <w:t>6</w:t>
      </w:r>
      <w:r w:rsidR="00FF4EC4" w:rsidRPr="00DC0CA9">
        <w:rPr>
          <w:rFonts w:ascii="Times New Roman" w:hAnsi="Times New Roman" w:cs="Times New Roman"/>
          <w:b/>
          <w:i/>
          <w:spacing w:val="-2"/>
          <w:sz w:val="28"/>
          <w:szCs w:val="28"/>
          <w:lang w:val="es-NI"/>
        </w:rPr>
        <w:t>% so với năm trước, trong đó xuất khẩu tăng 1</w:t>
      </w:r>
      <w:r w:rsidR="00D85221">
        <w:rPr>
          <w:rFonts w:ascii="Times New Roman" w:hAnsi="Times New Roman" w:cs="Times New Roman"/>
          <w:b/>
          <w:i/>
          <w:spacing w:val="-2"/>
          <w:sz w:val="28"/>
          <w:szCs w:val="28"/>
          <w:lang w:val="es-NI"/>
        </w:rPr>
        <w:t>9</w:t>
      </w:r>
      <w:r w:rsidR="00FF4EC4" w:rsidRPr="00DC0CA9">
        <w:rPr>
          <w:rFonts w:ascii="Times New Roman" w:hAnsi="Times New Roman" w:cs="Times New Roman"/>
          <w:b/>
          <w:i/>
          <w:spacing w:val="-2"/>
          <w:sz w:val="28"/>
          <w:szCs w:val="28"/>
          <w:lang w:val="es-NI"/>
        </w:rPr>
        <w:t>%; nhập khẩu tăng 26,5%</w:t>
      </w:r>
      <w:r w:rsidR="00FF4EC4" w:rsidRPr="00DC0CA9">
        <w:rPr>
          <w:rStyle w:val="FootnoteReference"/>
          <w:rFonts w:ascii="Times New Roman" w:hAnsi="Times New Roman"/>
          <w:b/>
          <w:i/>
          <w:spacing w:val="-2"/>
          <w:sz w:val="28"/>
          <w:szCs w:val="28"/>
          <w:lang w:val="es-NI"/>
        </w:rPr>
        <w:footnoteReference w:id="9"/>
      </w:r>
      <w:r w:rsidR="00FF4EC4" w:rsidRPr="00DC0CA9">
        <w:rPr>
          <w:rFonts w:ascii="Times New Roman" w:hAnsi="Times New Roman" w:cs="Times New Roman"/>
          <w:b/>
          <w:i/>
          <w:spacing w:val="-2"/>
          <w:sz w:val="28"/>
          <w:szCs w:val="28"/>
          <w:lang w:val="es-NI"/>
        </w:rPr>
        <w:t>.</w:t>
      </w:r>
    </w:p>
    <w:p w14:paraId="5221D4E3" w14:textId="77777777" w:rsidR="00BE0E5A" w:rsidRPr="00DC0CA9" w:rsidRDefault="00BE0E5A" w:rsidP="00FA1162">
      <w:pPr>
        <w:tabs>
          <w:tab w:val="left" w:pos="900"/>
          <w:tab w:val="left" w:pos="9475"/>
        </w:tabs>
        <w:spacing w:after="80" w:line="254" w:lineRule="auto"/>
        <w:ind w:firstLine="567"/>
        <w:jc w:val="both"/>
        <w:rPr>
          <w:rStyle w:val="Strong"/>
          <w:rFonts w:ascii="Times New Roman" w:hAnsi="Times New Roman"/>
          <w:i/>
          <w:iCs/>
          <w:sz w:val="28"/>
          <w:szCs w:val="28"/>
          <w:lang w:val="de-DE"/>
        </w:rPr>
      </w:pPr>
      <w:bookmarkStart w:id="2" w:name="_Hlk54593811"/>
      <w:r w:rsidRPr="00DC0CA9">
        <w:rPr>
          <w:rStyle w:val="Strong"/>
          <w:rFonts w:ascii="Times New Roman" w:hAnsi="Times New Roman"/>
          <w:i/>
          <w:iCs/>
          <w:sz w:val="28"/>
          <w:szCs w:val="28"/>
          <w:lang w:val="de-DE"/>
        </w:rPr>
        <w:t>a) Xuất nhập khẩu hàng hóa</w:t>
      </w:r>
      <w:r w:rsidRPr="00DC0CA9">
        <w:rPr>
          <w:rStyle w:val="FootnoteReference"/>
          <w:rFonts w:ascii="Times New Roman" w:hAnsi="Times New Roman"/>
          <w:i/>
          <w:iCs/>
          <w:sz w:val="28"/>
          <w:szCs w:val="28"/>
          <w:lang w:val="de-DE"/>
        </w:rPr>
        <w:footnoteReference w:id="10"/>
      </w:r>
    </w:p>
    <w:bookmarkEnd w:id="2"/>
    <w:p w14:paraId="2E65F9D4" w14:textId="3A498996" w:rsidR="00BE0E5A" w:rsidRPr="00DC0CA9" w:rsidRDefault="00BE0E5A" w:rsidP="00FA1162">
      <w:pPr>
        <w:tabs>
          <w:tab w:val="num" w:pos="0"/>
          <w:tab w:val="left" w:pos="9475"/>
        </w:tabs>
        <w:spacing w:after="80" w:line="254" w:lineRule="auto"/>
        <w:ind w:firstLine="567"/>
        <w:jc w:val="both"/>
        <w:rPr>
          <w:rFonts w:ascii="Times New Roman" w:hAnsi="Times New Roman" w:cs="Times New Roman"/>
          <w:b/>
          <w:bCs/>
          <w:spacing w:val="-4"/>
          <w:sz w:val="28"/>
          <w:szCs w:val="28"/>
          <w:lang w:val="es-NI"/>
        </w:rPr>
      </w:pPr>
      <w:r w:rsidRPr="00DC0CA9">
        <w:rPr>
          <w:rFonts w:ascii="Times New Roman" w:hAnsi="Times New Roman" w:cs="Times New Roman"/>
          <w:bCs/>
          <w:sz w:val="28"/>
          <w:szCs w:val="28"/>
          <w:lang w:val="de-DE"/>
        </w:rPr>
        <w:t>Kim ngạch xuất khẩu hàng hóa tháng 12/2021 ước đạt 3</w:t>
      </w:r>
      <w:r w:rsidR="00D85221">
        <w:rPr>
          <w:rFonts w:ascii="Times New Roman" w:hAnsi="Times New Roman" w:cs="Times New Roman"/>
          <w:bCs/>
          <w:sz w:val="28"/>
          <w:szCs w:val="28"/>
          <w:lang w:val="de-DE"/>
        </w:rPr>
        <w:t>4</w:t>
      </w:r>
      <w:r w:rsidRPr="00DC0CA9">
        <w:rPr>
          <w:rFonts w:ascii="Times New Roman" w:hAnsi="Times New Roman" w:cs="Times New Roman"/>
          <w:bCs/>
          <w:sz w:val="28"/>
          <w:szCs w:val="28"/>
          <w:lang w:val="de-DE"/>
        </w:rPr>
        <w:t xml:space="preserve">,5 tỷ USD, tăng </w:t>
      </w:r>
      <w:r w:rsidR="00D85221">
        <w:rPr>
          <w:rFonts w:ascii="Times New Roman" w:hAnsi="Times New Roman" w:cs="Times New Roman"/>
          <w:bCs/>
          <w:sz w:val="28"/>
          <w:szCs w:val="28"/>
          <w:lang w:val="de-DE"/>
        </w:rPr>
        <w:t>8,3</w:t>
      </w:r>
      <w:r w:rsidRPr="00DC0CA9">
        <w:rPr>
          <w:rFonts w:ascii="Times New Roman" w:hAnsi="Times New Roman" w:cs="Times New Roman"/>
          <w:bCs/>
          <w:sz w:val="28"/>
          <w:szCs w:val="28"/>
          <w:lang w:val="de-DE"/>
        </w:rPr>
        <w:t>% so với tháng trước</w:t>
      </w:r>
      <w:r w:rsidRPr="00DC0CA9">
        <w:rPr>
          <w:rFonts w:ascii="Times New Roman" w:hAnsi="Times New Roman" w:cs="Times New Roman"/>
          <w:bCs/>
          <w:sz w:val="28"/>
          <w:szCs w:val="28"/>
          <w:lang w:val="vi-VN"/>
        </w:rPr>
        <w:t>.</w:t>
      </w:r>
      <w:r w:rsidRPr="00DC0CA9">
        <w:rPr>
          <w:rFonts w:ascii="Times New Roman" w:hAnsi="Times New Roman" w:cs="Times New Roman"/>
          <w:bCs/>
          <w:sz w:val="28"/>
          <w:szCs w:val="28"/>
          <w:lang w:val="de-DE"/>
        </w:rPr>
        <w:t xml:space="preserve"> </w:t>
      </w:r>
      <w:r w:rsidRPr="00DC0CA9">
        <w:rPr>
          <w:rFonts w:ascii="Times New Roman" w:hAnsi="Times New Roman" w:cs="Times New Roman"/>
          <w:spacing w:val="-4"/>
          <w:sz w:val="28"/>
          <w:szCs w:val="28"/>
          <w:lang w:val="de-DE"/>
        </w:rPr>
        <w:t>Trong quý IV/2021, kim ngạch xuất khẩu ước đạt 9</w:t>
      </w:r>
      <w:r w:rsidR="00D85221">
        <w:rPr>
          <w:rFonts w:ascii="Times New Roman" w:hAnsi="Times New Roman" w:cs="Times New Roman"/>
          <w:spacing w:val="-4"/>
          <w:sz w:val="28"/>
          <w:szCs w:val="28"/>
          <w:lang w:val="de-DE"/>
        </w:rPr>
        <w:t>5</w:t>
      </w:r>
      <w:r w:rsidRPr="00DC0CA9">
        <w:rPr>
          <w:rFonts w:ascii="Times New Roman" w:hAnsi="Times New Roman" w:cs="Times New Roman"/>
          <w:spacing w:val="-4"/>
          <w:sz w:val="28"/>
          <w:szCs w:val="28"/>
          <w:lang w:val="de-DE"/>
        </w:rPr>
        <w:t>,6 tỷ USD, tăng</w:t>
      </w:r>
      <w:r w:rsidR="00B00998">
        <w:rPr>
          <w:rFonts w:ascii="Times New Roman" w:hAnsi="Times New Roman" w:cs="Times New Roman"/>
          <w:spacing w:val="-4"/>
          <w:sz w:val="28"/>
          <w:szCs w:val="28"/>
          <w:lang w:val="de-DE"/>
        </w:rPr>
        <w:t xml:space="preserve"> </w:t>
      </w:r>
      <w:r w:rsidRPr="00DC0CA9">
        <w:rPr>
          <w:rFonts w:ascii="Times New Roman" w:hAnsi="Times New Roman" w:cs="Times New Roman"/>
          <w:spacing w:val="-4"/>
          <w:sz w:val="28"/>
          <w:szCs w:val="28"/>
          <w:lang w:val="de-DE"/>
        </w:rPr>
        <w:t>1</w:t>
      </w:r>
      <w:r w:rsidR="00D85221">
        <w:rPr>
          <w:rFonts w:ascii="Times New Roman" w:hAnsi="Times New Roman" w:cs="Times New Roman"/>
          <w:spacing w:val="-4"/>
          <w:sz w:val="28"/>
          <w:szCs w:val="28"/>
          <w:lang w:val="de-DE"/>
        </w:rPr>
        <w:t>9,4</w:t>
      </w:r>
      <w:r w:rsidRPr="00DC0CA9">
        <w:rPr>
          <w:rFonts w:ascii="Times New Roman" w:hAnsi="Times New Roman" w:cs="Times New Roman"/>
          <w:spacing w:val="-4"/>
          <w:sz w:val="28"/>
          <w:szCs w:val="28"/>
          <w:lang w:val="de-DE"/>
        </w:rPr>
        <w:t>% so với cùng kỳ năm trước và tăng 1</w:t>
      </w:r>
      <w:r w:rsidR="00D85221">
        <w:rPr>
          <w:rFonts w:ascii="Times New Roman" w:hAnsi="Times New Roman" w:cs="Times New Roman"/>
          <w:spacing w:val="-4"/>
          <w:sz w:val="28"/>
          <w:szCs w:val="28"/>
          <w:lang w:val="de-DE"/>
        </w:rPr>
        <w:t>6,4</w:t>
      </w:r>
      <w:r w:rsidRPr="00DC0CA9">
        <w:rPr>
          <w:rFonts w:ascii="Times New Roman" w:hAnsi="Times New Roman" w:cs="Times New Roman"/>
          <w:spacing w:val="-4"/>
          <w:sz w:val="28"/>
          <w:szCs w:val="28"/>
          <w:lang w:val="de-DE"/>
        </w:rPr>
        <w:t>% so với quý III/2021 (tăng 1</w:t>
      </w:r>
      <w:r w:rsidR="00D85221">
        <w:rPr>
          <w:rFonts w:ascii="Times New Roman" w:hAnsi="Times New Roman" w:cs="Times New Roman"/>
          <w:spacing w:val="-4"/>
          <w:sz w:val="28"/>
          <w:szCs w:val="28"/>
          <w:lang w:val="de-DE"/>
        </w:rPr>
        <w:t>9,5</w:t>
      </w:r>
      <w:r w:rsidRPr="00DC0CA9">
        <w:rPr>
          <w:rFonts w:ascii="Times New Roman" w:hAnsi="Times New Roman" w:cs="Times New Roman"/>
          <w:spacing w:val="-4"/>
          <w:sz w:val="28"/>
          <w:szCs w:val="28"/>
          <w:lang w:val="de-DE"/>
        </w:rPr>
        <w:t>% so với quý II/2021 và tăng 2</w:t>
      </w:r>
      <w:r w:rsidR="00D85221">
        <w:rPr>
          <w:rFonts w:ascii="Times New Roman" w:hAnsi="Times New Roman" w:cs="Times New Roman"/>
          <w:spacing w:val="-4"/>
          <w:sz w:val="28"/>
          <w:szCs w:val="28"/>
          <w:lang w:val="de-DE"/>
        </w:rPr>
        <w:t>1,9</w:t>
      </w:r>
      <w:r w:rsidRPr="00DC0CA9">
        <w:rPr>
          <w:rFonts w:ascii="Times New Roman" w:hAnsi="Times New Roman" w:cs="Times New Roman"/>
          <w:spacing w:val="-4"/>
          <w:sz w:val="28"/>
          <w:szCs w:val="28"/>
          <w:lang w:val="de-DE"/>
        </w:rPr>
        <w:t xml:space="preserve">% so với quý I/2021). </w:t>
      </w:r>
      <w:r w:rsidRPr="00DC0CA9">
        <w:rPr>
          <w:rFonts w:ascii="Times New Roman" w:hAnsi="Times New Roman" w:cs="Times New Roman"/>
          <w:iCs/>
          <w:spacing w:val="-4"/>
          <w:sz w:val="28"/>
          <w:szCs w:val="28"/>
          <w:lang w:val="de-DE"/>
        </w:rPr>
        <w:t>Tính chung năm 2021, kim ngạch xuất khẩu hàng hóa ước đạt 33</w:t>
      </w:r>
      <w:r w:rsidR="00D85221">
        <w:rPr>
          <w:rFonts w:ascii="Times New Roman" w:hAnsi="Times New Roman" w:cs="Times New Roman"/>
          <w:iCs/>
          <w:spacing w:val="-4"/>
          <w:sz w:val="28"/>
          <w:szCs w:val="28"/>
          <w:lang w:val="de-DE"/>
        </w:rPr>
        <w:t>6</w:t>
      </w:r>
      <w:r w:rsidRPr="00DC0CA9">
        <w:rPr>
          <w:rFonts w:ascii="Times New Roman" w:hAnsi="Times New Roman" w:cs="Times New Roman"/>
          <w:iCs/>
          <w:spacing w:val="-4"/>
          <w:sz w:val="28"/>
          <w:szCs w:val="28"/>
          <w:lang w:val="de-DE"/>
        </w:rPr>
        <w:t>,2</w:t>
      </w:r>
      <w:r w:rsidR="00D85221">
        <w:rPr>
          <w:rFonts w:ascii="Times New Roman" w:hAnsi="Times New Roman" w:cs="Times New Roman"/>
          <w:iCs/>
          <w:spacing w:val="-4"/>
          <w:sz w:val="28"/>
          <w:szCs w:val="28"/>
          <w:lang w:val="de-DE"/>
        </w:rPr>
        <w:t>5</w:t>
      </w:r>
      <w:r w:rsidRPr="00DC0CA9">
        <w:rPr>
          <w:rFonts w:ascii="Times New Roman" w:hAnsi="Times New Roman" w:cs="Times New Roman"/>
          <w:iCs/>
          <w:spacing w:val="-4"/>
          <w:sz w:val="28"/>
          <w:szCs w:val="28"/>
          <w:lang w:val="de-DE"/>
        </w:rPr>
        <w:t xml:space="preserve"> tỷ USD, tăng 1</w:t>
      </w:r>
      <w:r w:rsidR="00D85221">
        <w:rPr>
          <w:rFonts w:ascii="Times New Roman" w:hAnsi="Times New Roman" w:cs="Times New Roman"/>
          <w:iCs/>
          <w:spacing w:val="-4"/>
          <w:sz w:val="28"/>
          <w:szCs w:val="28"/>
          <w:lang w:val="de-DE"/>
        </w:rPr>
        <w:t>9</w:t>
      </w:r>
      <w:r w:rsidRPr="00DC0CA9">
        <w:rPr>
          <w:rFonts w:ascii="Times New Roman" w:hAnsi="Times New Roman" w:cs="Times New Roman"/>
          <w:iCs/>
          <w:spacing w:val="-4"/>
          <w:sz w:val="28"/>
          <w:szCs w:val="28"/>
          <w:lang w:val="de-DE"/>
        </w:rPr>
        <w:t>% so với năm trước</w:t>
      </w:r>
      <w:r w:rsidRPr="00DC0CA9">
        <w:rPr>
          <w:rFonts w:ascii="Times New Roman" w:hAnsi="Times New Roman" w:cs="Times New Roman"/>
          <w:iCs/>
          <w:spacing w:val="-4"/>
          <w:sz w:val="28"/>
          <w:szCs w:val="28"/>
          <w:lang w:val="vi-VN"/>
        </w:rPr>
        <w:t>. T</w:t>
      </w:r>
      <w:r w:rsidRPr="00DC0CA9">
        <w:rPr>
          <w:rFonts w:ascii="Times New Roman" w:hAnsi="Times New Roman" w:cs="Times New Roman"/>
          <w:iCs/>
          <w:spacing w:val="-4"/>
          <w:sz w:val="28"/>
          <w:szCs w:val="28"/>
          <w:lang w:val="de-DE"/>
        </w:rPr>
        <w:t>rong đó</w:t>
      </w:r>
      <w:r w:rsidRPr="00DC0CA9">
        <w:rPr>
          <w:rFonts w:ascii="Times New Roman" w:hAnsi="Times New Roman" w:cs="Times New Roman"/>
          <w:iCs/>
          <w:spacing w:val="-4"/>
          <w:sz w:val="28"/>
          <w:szCs w:val="28"/>
          <w:lang w:val="vi-VN"/>
        </w:rPr>
        <w:t>,</w:t>
      </w:r>
      <w:r w:rsidRPr="00DC0CA9">
        <w:rPr>
          <w:rFonts w:ascii="Times New Roman" w:hAnsi="Times New Roman" w:cs="Times New Roman"/>
          <w:iCs/>
          <w:spacing w:val="-4"/>
          <w:sz w:val="28"/>
          <w:szCs w:val="28"/>
          <w:lang w:val="de-DE"/>
        </w:rPr>
        <w:t xml:space="preserve"> khu vực kinh tế trong nước đạt 88,</w:t>
      </w:r>
      <w:r w:rsidR="00D85221">
        <w:rPr>
          <w:rFonts w:ascii="Times New Roman" w:hAnsi="Times New Roman" w:cs="Times New Roman"/>
          <w:iCs/>
          <w:spacing w:val="-4"/>
          <w:sz w:val="28"/>
          <w:szCs w:val="28"/>
          <w:lang w:val="de-DE"/>
        </w:rPr>
        <w:t>71</w:t>
      </w:r>
      <w:r w:rsidRPr="00DC0CA9">
        <w:rPr>
          <w:rFonts w:ascii="Times New Roman" w:hAnsi="Times New Roman" w:cs="Times New Roman"/>
          <w:iCs/>
          <w:spacing w:val="-4"/>
          <w:sz w:val="28"/>
          <w:szCs w:val="28"/>
          <w:lang w:val="de-DE"/>
        </w:rPr>
        <w:t xml:space="preserve"> tỷ USD, tăng 13,</w:t>
      </w:r>
      <w:r w:rsidR="00D85221">
        <w:rPr>
          <w:rFonts w:ascii="Times New Roman" w:hAnsi="Times New Roman" w:cs="Times New Roman"/>
          <w:iCs/>
          <w:spacing w:val="-4"/>
          <w:sz w:val="28"/>
          <w:szCs w:val="28"/>
          <w:lang w:val="de-DE"/>
        </w:rPr>
        <w:t>4</w:t>
      </w:r>
      <w:r w:rsidRPr="00DC0CA9">
        <w:rPr>
          <w:rFonts w:ascii="Times New Roman" w:hAnsi="Times New Roman" w:cs="Times New Roman"/>
          <w:iCs/>
          <w:spacing w:val="-4"/>
          <w:sz w:val="28"/>
          <w:szCs w:val="28"/>
          <w:lang w:val="de-DE"/>
        </w:rPr>
        <w:t>%, chiếm 26,4% tổng kim ngạch xuất khẩu; khu vực có vốn đầu tư nước ngoài (kể cả dầu thô) đạt 247</w:t>
      </w:r>
      <w:r w:rsidR="00D85221">
        <w:rPr>
          <w:rFonts w:ascii="Times New Roman" w:hAnsi="Times New Roman" w:cs="Times New Roman"/>
          <w:iCs/>
          <w:spacing w:val="-4"/>
          <w:sz w:val="28"/>
          <w:szCs w:val="28"/>
          <w:lang w:val="de-DE"/>
        </w:rPr>
        <w:t>,5</w:t>
      </w:r>
      <w:r w:rsidRPr="00DC0CA9">
        <w:rPr>
          <w:rFonts w:ascii="Times New Roman" w:hAnsi="Times New Roman" w:cs="Times New Roman"/>
          <w:iCs/>
          <w:spacing w:val="-4"/>
          <w:sz w:val="28"/>
          <w:szCs w:val="28"/>
          <w:lang w:val="de-DE"/>
        </w:rPr>
        <w:t>4 tỷ USD, tăng 2</w:t>
      </w:r>
      <w:r w:rsidR="00D85221">
        <w:rPr>
          <w:rFonts w:ascii="Times New Roman" w:hAnsi="Times New Roman" w:cs="Times New Roman"/>
          <w:iCs/>
          <w:spacing w:val="-4"/>
          <w:sz w:val="28"/>
          <w:szCs w:val="28"/>
          <w:lang w:val="de-DE"/>
        </w:rPr>
        <w:t>1,1</w:t>
      </w:r>
      <w:r w:rsidRPr="00DC0CA9">
        <w:rPr>
          <w:rFonts w:ascii="Times New Roman" w:hAnsi="Times New Roman" w:cs="Times New Roman"/>
          <w:iCs/>
          <w:spacing w:val="-4"/>
          <w:sz w:val="28"/>
          <w:szCs w:val="28"/>
          <w:lang w:val="de-DE"/>
        </w:rPr>
        <w:t xml:space="preserve">%, chiếm 73,6%. </w:t>
      </w:r>
      <w:r w:rsidRPr="00DC0CA9">
        <w:rPr>
          <w:rFonts w:ascii="Times New Roman" w:hAnsi="Times New Roman" w:cs="Times New Roman"/>
          <w:spacing w:val="-4"/>
          <w:sz w:val="28"/>
          <w:szCs w:val="28"/>
          <w:lang w:val="de-DE"/>
        </w:rPr>
        <w:t xml:space="preserve">Trong năm 2021 có 35 mặt hàng đạt kim ngạch xuất khẩu trên 1 tỷ USD, chiếm 93,8% tổng kim ngạch xuất khẩu (có 8 mặt hàng xuất khẩu trên 10 tỷ USD, chiếm 69,7%). </w:t>
      </w:r>
    </w:p>
    <w:p w14:paraId="4B496E39" w14:textId="32300A46" w:rsidR="00BE0E5A" w:rsidRPr="002850E5" w:rsidRDefault="00BE0E5A" w:rsidP="00FA1162">
      <w:pPr>
        <w:tabs>
          <w:tab w:val="num" w:pos="0"/>
          <w:tab w:val="left" w:pos="9475"/>
        </w:tabs>
        <w:spacing w:after="80" w:line="254" w:lineRule="auto"/>
        <w:ind w:firstLine="567"/>
        <w:jc w:val="both"/>
        <w:rPr>
          <w:rFonts w:ascii="Arial" w:hAnsi="Arial" w:cs="Arial"/>
          <w:b/>
          <w:sz w:val="24"/>
          <w:szCs w:val="20"/>
          <w:lang w:val="pl-PL"/>
        </w:rPr>
      </w:pPr>
      <w:r w:rsidRPr="002850E5">
        <w:rPr>
          <w:rFonts w:ascii="Times New Roman" w:hAnsi="Times New Roman" w:cs="Times New Roman"/>
          <w:bCs/>
          <w:sz w:val="28"/>
          <w:szCs w:val="28"/>
          <w:lang w:val="de-DE"/>
        </w:rPr>
        <w:t>Kim ngạch nhập khẩu hàng hóa tháng 12/2021 ước đạt 32 tỷ USD, tăng 4,5% so với tháng trước</w:t>
      </w:r>
      <w:r w:rsidRPr="002850E5">
        <w:rPr>
          <w:rFonts w:ascii="Times New Roman" w:hAnsi="Times New Roman" w:cs="Times New Roman"/>
          <w:bCs/>
          <w:sz w:val="28"/>
          <w:szCs w:val="28"/>
          <w:lang w:val="vi-VN"/>
        </w:rPr>
        <w:t>.</w:t>
      </w:r>
      <w:r w:rsidRPr="002850E5">
        <w:rPr>
          <w:rFonts w:ascii="Times New Roman" w:hAnsi="Times New Roman" w:cs="Times New Roman"/>
          <w:bCs/>
          <w:sz w:val="28"/>
          <w:szCs w:val="28"/>
          <w:lang w:val="de-DE"/>
        </w:rPr>
        <w:t xml:space="preserve"> </w:t>
      </w:r>
      <w:r w:rsidRPr="002850E5">
        <w:rPr>
          <w:rFonts w:ascii="Times New Roman" w:hAnsi="Times New Roman" w:cs="Times New Roman"/>
          <w:sz w:val="28"/>
          <w:szCs w:val="28"/>
          <w:lang w:val="de-DE"/>
        </w:rPr>
        <w:t>Trong quý IV/2021, kim ngạch nhập khẩu ước đạt 89,0</w:t>
      </w:r>
      <w:r w:rsidR="00D85221">
        <w:rPr>
          <w:rFonts w:ascii="Times New Roman" w:hAnsi="Times New Roman" w:cs="Times New Roman"/>
          <w:sz w:val="28"/>
          <w:szCs w:val="28"/>
          <w:lang w:val="de-DE"/>
        </w:rPr>
        <w:t>7</w:t>
      </w:r>
      <w:r w:rsidRPr="002850E5">
        <w:rPr>
          <w:rFonts w:ascii="Times New Roman" w:hAnsi="Times New Roman" w:cs="Times New Roman"/>
          <w:sz w:val="28"/>
          <w:szCs w:val="28"/>
          <w:lang w:val="de-DE"/>
        </w:rPr>
        <w:t xml:space="preserve"> tỷ USD, tăng</w:t>
      </w:r>
      <w:r w:rsidR="00B00998">
        <w:rPr>
          <w:rFonts w:ascii="Times New Roman" w:hAnsi="Times New Roman" w:cs="Times New Roman"/>
          <w:sz w:val="28"/>
          <w:szCs w:val="28"/>
          <w:lang w:val="de-DE"/>
        </w:rPr>
        <w:t xml:space="preserve"> </w:t>
      </w:r>
      <w:r w:rsidRPr="002850E5">
        <w:rPr>
          <w:rFonts w:ascii="Times New Roman" w:hAnsi="Times New Roman" w:cs="Times New Roman"/>
          <w:sz w:val="28"/>
          <w:szCs w:val="28"/>
          <w:lang w:val="de-DE"/>
        </w:rPr>
        <w:t>16% so với cùng kỳ năm trước và tăng 6,2% so với quý III/2021 (tăng 6,5% so với quý II/2021 và tăng 17,</w:t>
      </w:r>
      <w:r w:rsidR="00D85221">
        <w:rPr>
          <w:rFonts w:ascii="Times New Roman" w:hAnsi="Times New Roman" w:cs="Times New Roman"/>
          <w:sz w:val="28"/>
          <w:szCs w:val="28"/>
          <w:lang w:val="de-DE"/>
        </w:rPr>
        <w:t>6</w:t>
      </w:r>
      <w:r w:rsidRPr="002850E5">
        <w:rPr>
          <w:rFonts w:ascii="Times New Roman" w:hAnsi="Times New Roman" w:cs="Times New Roman"/>
          <w:sz w:val="28"/>
          <w:szCs w:val="28"/>
          <w:lang w:val="de-DE"/>
        </w:rPr>
        <w:t>% so với quý I/2021). Tính chung năm 2021, kim ngạch nhập khẩu hàng hóa ước đạt 332,2</w:t>
      </w:r>
      <w:r w:rsidR="00D85221">
        <w:rPr>
          <w:rFonts w:ascii="Times New Roman" w:hAnsi="Times New Roman" w:cs="Times New Roman"/>
          <w:sz w:val="28"/>
          <w:szCs w:val="28"/>
          <w:lang w:val="de-DE"/>
        </w:rPr>
        <w:t>5</w:t>
      </w:r>
      <w:r w:rsidRPr="002850E5">
        <w:rPr>
          <w:rFonts w:ascii="Times New Roman" w:hAnsi="Times New Roman" w:cs="Times New Roman"/>
          <w:sz w:val="28"/>
          <w:szCs w:val="28"/>
          <w:lang w:val="de-DE"/>
        </w:rPr>
        <w:t xml:space="preserve"> tỷ USD, tăng 26,5% so với năm trước</w:t>
      </w:r>
      <w:r w:rsidRPr="002850E5">
        <w:rPr>
          <w:rFonts w:ascii="Times New Roman" w:hAnsi="Times New Roman" w:cs="Times New Roman"/>
          <w:bCs/>
          <w:sz w:val="28"/>
          <w:szCs w:val="28"/>
          <w:lang w:val="de-DE"/>
        </w:rPr>
        <w:t>, trong đó khu vực kinh tế trong nước đạt 11</w:t>
      </w:r>
      <w:r w:rsidR="00D85221">
        <w:rPr>
          <w:rFonts w:ascii="Times New Roman" w:hAnsi="Times New Roman" w:cs="Times New Roman"/>
          <w:bCs/>
          <w:sz w:val="28"/>
          <w:szCs w:val="28"/>
          <w:lang w:val="de-DE"/>
        </w:rPr>
        <w:t>4</w:t>
      </w:r>
      <w:r w:rsidRPr="002850E5">
        <w:rPr>
          <w:rFonts w:ascii="Times New Roman" w:hAnsi="Times New Roman" w:cs="Times New Roman"/>
          <w:bCs/>
          <w:sz w:val="28"/>
          <w:szCs w:val="28"/>
          <w:lang w:val="de-DE"/>
        </w:rPr>
        <w:t>,</w:t>
      </w:r>
      <w:r w:rsidR="00D85221">
        <w:rPr>
          <w:rFonts w:ascii="Times New Roman" w:hAnsi="Times New Roman" w:cs="Times New Roman"/>
          <w:bCs/>
          <w:sz w:val="28"/>
          <w:szCs w:val="28"/>
          <w:lang w:val="de-DE"/>
        </w:rPr>
        <w:t>07</w:t>
      </w:r>
      <w:r w:rsidRPr="002850E5">
        <w:rPr>
          <w:rFonts w:ascii="Times New Roman" w:hAnsi="Times New Roman" w:cs="Times New Roman"/>
          <w:bCs/>
          <w:sz w:val="28"/>
          <w:szCs w:val="28"/>
          <w:lang w:val="de-DE"/>
        </w:rPr>
        <w:t xml:space="preserve"> tỷ USD, tăng 21,</w:t>
      </w:r>
      <w:r w:rsidR="00D85221">
        <w:rPr>
          <w:rFonts w:ascii="Times New Roman" w:hAnsi="Times New Roman" w:cs="Times New Roman"/>
          <w:bCs/>
          <w:sz w:val="28"/>
          <w:szCs w:val="28"/>
          <w:lang w:val="de-DE"/>
        </w:rPr>
        <w:t>8</w:t>
      </w:r>
      <w:r w:rsidRPr="002850E5">
        <w:rPr>
          <w:rFonts w:ascii="Times New Roman" w:hAnsi="Times New Roman" w:cs="Times New Roman"/>
          <w:bCs/>
          <w:sz w:val="28"/>
          <w:szCs w:val="28"/>
          <w:lang w:val="de-DE"/>
        </w:rPr>
        <w:t>%; khu vực có vốn đầu tư nước ngoài đạt 218,</w:t>
      </w:r>
      <w:r w:rsidR="00D85221">
        <w:rPr>
          <w:rFonts w:ascii="Times New Roman" w:hAnsi="Times New Roman" w:cs="Times New Roman"/>
          <w:bCs/>
          <w:sz w:val="28"/>
          <w:szCs w:val="28"/>
          <w:lang w:val="de-DE"/>
        </w:rPr>
        <w:t>1</w:t>
      </w:r>
      <w:r w:rsidRPr="002850E5">
        <w:rPr>
          <w:rFonts w:ascii="Times New Roman" w:hAnsi="Times New Roman" w:cs="Times New Roman"/>
          <w:bCs/>
          <w:sz w:val="28"/>
          <w:szCs w:val="28"/>
          <w:lang w:val="de-DE"/>
        </w:rPr>
        <w:t>8 tỷ USD, tăng 29,</w:t>
      </w:r>
      <w:r w:rsidR="00D85221">
        <w:rPr>
          <w:rFonts w:ascii="Times New Roman" w:hAnsi="Times New Roman" w:cs="Times New Roman"/>
          <w:bCs/>
          <w:sz w:val="28"/>
          <w:szCs w:val="28"/>
          <w:lang w:val="de-DE"/>
        </w:rPr>
        <w:t>1</w:t>
      </w:r>
      <w:r w:rsidRPr="002850E5">
        <w:rPr>
          <w:rFonts w:ascii="Times New Roman" w:hAnsi="Times New Roman" w:cs="Times New Roman"/>
          <w:bCs/>
          <w:sz w:val="28"/>
          <w:szCs w:val="28"/>
          <w:lang w:val="de-DE"/>
        </w:rPr>
        <w:t xml:space="preserve">%. </w:t>
      </w:r>
      <w:r w:rsidRPr="002850E5">
        <w:rPr>
          <w:rFonts w:ascii="Times New Roman" w:hAnsi="Times New Roman" w:cs="Times New Roman"/>
          <w:sz w:val="28"/>
          <w:szCs w:val="28"/>
          <w:lang w:val="de-DE"/>
        </w:rPr>
        <w:t>Trong năm 2021 c</w:t>
      </w:r>
      <w:r w:rsidRPr="002850E5">
        <w:rPr>
          <w:rStyle w:val="Strong"/>
          <w:rFonts w:ascii="Times New Roman" w:hAnsi="Times New Roman"/>
          <w:b w:val="0"/>
          <w:bCs w:val="0"/>
          <w:sz w:val="28"/>
          <w:szCs w:val="28"/>
          <w:lang w:val="de-DE"/>
        </w:rPr>
        <w:t>ó 47 mặt hàng nhập khẩu đạt trị giá trên 1 tỷ USD, chiếm tỷ trọng 94,1% tổng kim ngạch nhập khẩu.</w:t>
      </w:r>
    </w:p>
    <w:p w14:paraId="110CE926" w14:textId="77777777" w:rsidR="00CE7E51" w:rsidRPr="00DC0CA9" w:rsidRDefault="00CE7E51" w:rsidP="000104CA">
      <w:pPr>
        <w:spacing w:after="120" w:line="350" w:lineRule="exact"/>
        <w:ind w:firstLine="567"/>
        <w:jc w:val="both"/>
        <w:rPr>
          <w:rFonts w:ascii="Times New Roman" w:hAnsi="Times New Roman" w:cs="Times New Roman"/>
          <w:b/>
          <w:bCs/>
          <w:i/>
          <w:iCs/>
          <w:sz w:val="28"/>
          <w:szCs w:val="28"/>
        </w:rPr>
      </w:pPr>
      <w:r w:rsidRPr="00DC0CA9">
        <w:rPr>
          <w:rFonts w:ascii="Times New Roman" w:hAnsi="Times New Roman" w:cs="Times New Roman"/>
          <w:b/>
          <w:bCs/>
          <w:i/>
          <w:iCs/>
          <w:sz w:val="28"/>
          <w:szCs w:val="28"/>
        </w:rPr>
        <w:t>b) Xuất, nhập khẩu dịch vụ</w:t>
      </w:r>
    </w:p>
    <w:p w14:paraId="04936CD5" w14:textId="48B8AFC3" w:rsidR="00BE0E5A" w:rsidRPr="00DC0CA9" w:rsidRDefault="00BE0E5A" w:rsidP="000104CA">
      <w:pPr>
        <w:tabs>
          <w:tab w:val="num" w:pos="0"/>
        </w:tabs>
        <w:spacing w:after="120" w:line="350" w:lineRule="exact"/>
        <w:ind w:firstLine="567"/>
        <w:jc w:val="both"/>
        <w:rPr>
          <w:rStyle w:val="Strong"/>
          <w:rFonts w:ascii="Times New Roman" w:hAnsi="Times New Roman"/>
          <w:i/>
          <w:iCs/>
          <w:sz w:val="28"/>
          <w:szCs w:val="28"/>
          <w:lang w:val="de-DE"/>
        </w:rPr>
      </w:pPr>
      <w:r w:rsidRPr="00DC0CA9">
        <w:rPr>
          <w:rFonts w:ascii="Times New Roman" w:hAnsi="Times New Roman" w:cs="Times New Roman"/>
          <w:sz w:val="28"/>
          <w:szCs w:val="28"/>
        </w:rPr>
        <w:t>Trong năm 202</w:t>
      </w:r>
      <w:r w:rsidRPr="00DC0CA9">
        <w:rPr>
          <w:rFonts w:ascii="Times New Roman" w:hAnsi="Times New Roman" w:cs="Times New Roman"/>
          <w:sz w:val="28"/>
          <w:szCs w:val="28"/>
          <w:lang w:val="en-US"/>
        </w:rPr>
        <w:t>1</w:t>
      </w:r>
      <w:r w:rsidRPr="00DC0CA9">
        <w:rPr>
          <w:rFonts w:ascii="Times New Roman" w:hAnsi="Times New Roman" w:cs="Times New Roman"/>
          <w:sz w:val="28"/>
          <w:szCs w:val="28"/>
        </w:rPr>
        <w:t xml:space="preserve">, kim ngạch xuất khẩu dịch vụ ước đạt </w:t>
      </w:r>
      <w:r w:rsidRPr="00DC0CA9">
        <w:rPr>
          <w:rFonts w:ascii="Times New Roman" w:hAnsi="Times New Roman" w:cs="Times New Roman"/>
          <w:sz w:val="28"/>
          <w:szCs w:val="28"/>
          <w:lang w:val="en-US"/>
        </w:rPr>
        <w:t>3</w:t>
      </w:r>
      <w:r w:rsidRPr="00DC0CA9">
        <w:rPr>
          <w:rFonts w:ascii="Times New Roman" w:hAnsi="Times New Roman" w:cs="Times New Roman"/>
          <w:sz w:val="28"/>
          <w:szCs w:val="28"/>
        </w:rPr>
        <w:t>,</w:t>
      </w:r>
      <w:r w:rsidRPr="00DC0CA9">
        <w:rPr>
          <w:rFonts w:ascii="Times New Roman" w:hAnsi="Times New Roman" w:cs="Times New Roman"/>
          <w:sz w:val="28"/>
          <w:szCs w:val="28"/>
          <w:lang w:val="en-US"/>
        </w:rPr>
        <w:t>67</w:t>
      </w:r>
      <w:r w:rsidRPr="00DC0CA9">
        <w:rPr>
          <w:rFonts w:ascii="Times New Roman" w:hAnsi="Times New Roman" w:cs="Times New Roman"/>
          <w:sz w:val="28"/>
          <w:szCs w:val="28"/>
        </w:rPr>
        <w:t xml:space="preserve"> tỷ USD, giảm </w:t>
      </w:r>
      <w:r w:rsidRPr="00DC0CA9">
        <w:rPr>
          <w:rFonts w:ascii="Times New Roman" w:hAnsi="Times New Roman" w:cs="Times New Roman"/>
          <w:sz w:val="28"/>
          <w:szCs w:val="28"/>
          <w:lang w:val="en-US"/>
        </w:rPr>
        <w:t>51</w:t>
      </w:r>
      <w:r w:rsidRPr="00DC0CA9">
        <w:rPr>
          <w:rFonts w:ascii="Times New Roman" w:hAnsi="Times New Roman" w:cs="Times New Roman"/>
          <w:sz w:val="28"/>
          <w:szCs w:val="28"/>
        </w:rPr>
        <w:t>,</w:t>
      </w:r>
      <w:r w:rsidRPr="00DC0CA9">
        <w:rPr>
          <w:rFonts w:ascii="Times New Roman" w:hAnsi="Times New Roman" w:cs="Times New Roman"/>
          <w:sz w:val="28"/>
          <w:szCs w:val="28"/>
          <w:lang w:val="en-US"/>
        </w:rPr>
        <w:t>7</w:t>
      </w:r>
      <w:r w:rsidRPr="00DC0CA9">
        <w:rPr>
          <w:rFonts w:ascii="Times New Roman" w:hAnsi="Times New Roman" w:cs="Times New Roman"/>
          <w:sz w:val="28"/>
          <w:szCs w:val="28"/>
        </w:rPr>
        <w:t>% so với năm 20</w:t>
      </w:r>
      <w:r w:rsidRPr="00DC0CA9">
        <w:rPr>
          <w:rFonts w:ascii="Times New Roman" w:hAnsi="Times New Roman" w:cs="Times New Roman"/>
          <w:sz w:val="28"/>
          <w:szCs w:val="28"/>
          <w:lang w:val="en-US"/>
        </w:rPr>
        <w:t>20</w:t>
      </w:r>
      <w:r w:rsidR="00AD2EEC" w:rsidRPr="00DC0CA9">
        <w:rPr>
          <w:rFonts w:ascii="Times New Roman" w:hAnsi="Times New Roman" w:cs="Times New Roman"/>
          <w:sz w:val="28"/>
          <w:szCs w:val="28"/>
          <w:lang w:val="en-US"/>
        </w:rPr>
        <w:t xml:space="preserve"> (</w:t>
      </w:r>
      <w:r w:rsidR="00AD2EEC" w:rsidRPr="00DC0CA9">
        <w:rPr>
          <w:rFonts w:ascii="Times New Roman" w:hAnsi="Times New Roman" w:cs="Times New Roman"/>
          <w:sz w:val="28"/>
          <w:szCs w:val="28"/>
        </w:rPr>
        <w:t>quý IV/202</w:t>
      </w:r>
      <w:r w:rsidR="00AD2EEC" w:rsidRPr="00DC0CA9">
        <w:rPr>
          <w:rFonts w:ascii="Times New Roman" w:hAnsi="Times New Roman" w:cs="Times New Roman"/>
          <w:sz w:val="28"/>
          <w:szCs w:val="28"/>
          <w:lang w:val="en-US"/>
        </w:rPr>
        <w:t xml:space="preserve">1 </w:t>
      </w:r>
      <w:r w:rsidR="00AD2EEC" w:rsidRPr="00DC0CA9">
        <w:rPr>
          <w:rFonts w:ascii="Times New Roman" w:hAnsi="Times New Roman" w:cs="Times New Roman"/>
          <w:sz w:val="28"/>
          <w:szCs w:val="28"/>
        </w:rPr>
        <w:t xml:space="preserve">ước đạt </w:t>
      </w:r>
      <w:r w:rsidR="00AD2EEC" w:rsidRPr="00DC0CA9">
        <w:rPr>
          <w:rFonts w:ascii="Times New Roman" w:hAnsi="Times New Roman" w:cs="Times New Roman"/>
          <w:sz w:val="28"/>
          <w:szCs w:val="28"/>
          <w:lang w:val="en-US"/>
        </w:rPr>
        <w:t>985</w:t>
      </w:r>
      <w:r w:rsidR="00AD2EEC" w:rsidRPr="00DC0CA9">
        <w:rPr>
          <w:rFonts w:ascii="Times New Roman" w:hAnsi="Times New Roman" w:cs="Times New Roman"/>
          <w:sz w:val="28"/>
          <w:szCs w:val="28"/>
        </w:rPr>
        <w:t xml:space="preserve"> triệu USD, giảm </w:t>
      </w:r>
      <w:r w:rsidR="00AD2EEC" w:rsidRPr="00DC0CA9">
        <w:rPr>
          <w:rFonts w:ascii="Times New Roman" w:hAnsi="Times New Roman" w:cs="Times New Roman"/>
          <w:sz w:val="28"/>
          <w:szCs w:val="28"/>
          <w:lang w:val="en-US"/>
        </w:rPr>
        <w:t>3</w:t>
      </w:r>
      <w:r w:rsidR="00AD2EEC" w:rsidRPr="00DC0CA9">
        <w:rPr>
          <w:rFonts w:ascii="Times New Roman" w:hAnsi="Times New Roman" w:cs="Times New Roman"/>
          <w:sz w:val="28"/>
          <w:szCs w:val="28"/>
        </w:rPr>
        <w:t>,</w:t>
      </w:r>
      <w:r w:rsidR="00AD2EEC" w:rsidRPr="00DC0CA9">
        <w:rPr>
          <w:rFonts w:ascii="Times New Roman" w:hAnsi="Times New Roman" w:cs="Times New Roman"/>
          <w:sz w:val="28"/>
          <w:szCs w:val="28"/>
          <w:lang w:val="en-US"/>
        </w:rPr>
        <w:t>3</w:t>
      </w:r>
      <w:r w:rsidR="00AD2EEC" w:rsidRPr="00DC0CA9">
        <w:rPr>
          <w:rFonts w:ascii="Times New Roman" w:hAnsi="Times New Roman" w:cs="Times New Roman"/>
          <w:sz w:val="28"/>
          <w:szCs w:val="28"/>
        </w:rPr>
        <w:t>%)</w:t>
      </w:r>
      <w:r w:rsidRPr="00DC0CA9">
        <w:rPr>
          <w:rFonts w:ascii="Times New Roman" w:hAnsi="Times New Roman" w:cs="Times New Roman"/>
          <w:sz w:val="28"/>
          <w:szCs w:val="28"/>
        </w:rPr>
        <w:t>,</w:t>
      </w:r>
      <w:r w:rsidR="00AD2EEC" w:rsidRPr="00DC0CA9">
        <w:rPr>
          <w:rFonts w:ascii="Times New Roman" w:hAnsi="Times New Roman" w:cs="Times New Roman"/>
          <w:sz w:val="28"/>
          <w:szCs w:val="28"/>
        </w:rPr>
        <w:t xml:space="preserve"> </w:t>
      </w:r>
      <w:r w:rsidRPr="00DC0CA9">
        <w:rPr>
          <w:rFonts w:ascii="Times New Roman" w:hAnsi="Times New Roman" w:cs="Times New Roman"/>
          <w:sz w:val="28"/>
          <w:szCs w:val="28"/>
        </w:rPr>
        <w:t>trong đó</w:t>
      </w:r>
      <w:r w:rsidR="00AD2EEC" w:rsidRPr="00DC0CA9">
        <w:rPr>
          <w:rFonts w:ascii="Times New Roman" w:hAnsi="Times New Roman" w:cs="Times New Roman"/>
          <w:sz w:val="28"/>
          <w:szCs w:val="28"/>
        </w:rPr>
        <w:t>: D</w:t>
      </w:r>
      <w:r w:rsidRPr="00DC0CA9">
        <w:rPr>
          <w:rFonts w:ascii="Times New Roman" w:hAnsi="Times New Roman" w:cs="Times New Roman"/>
          <w:sz w:val="28"/>
          <w:szCs w:val="28"/>
        </w:rPr>
        <w:t xml:space="preserve">ịch vụ du lịch đạt </w:t>
      </w:r>
      <w:r w:rsidRPr="00DC0CA9">
        <w:rPr>
          <w:rFonts w:ascii="Times New Roman" w:hAnsi="Times New Roman" w:cs="Times New Roman"/>
          <w:sz w:val="28"/>
          <w:szCs w:val="28"/>
          <w:lang w:val="en-US"/>
        </w:rPr>
        <w:t>149 triệu</w:t>
      </w:r>
      <w:r w:rsidRPr="00DC0CA9">
        <w:rPr>
          <w:rFonts w:ascii="Times New Roman" w:hAnsi="Times New Roman" w:cs="Times New Roman"/>
          <w:sz w:val="28"/>
          <w:szCs w:val="28"/>
        </w:rPr>
        <w:t xml:space="preserve"> USD (chiếm </w:t>
      </w:r>
      <w:r w:rsidRPr="00DC0CA9">
        <w:rPr>
          <w:rFonts w:ascii="Times New Roman" w:hAnsi="Times New Roman" w:cs="Times New Roman"/>
          <w:sz w:val="28"/>
          <w:szCs w:val="28"/>
          <w:lang w:val="en-US"/>
        </w:rPr>
        <w:t>4,1</w:t>
      </w:r>
      <w:r w:rsidRPr="00DC0CA9">
        <w:rPr>
          <w:rFonts w:ascii="Times New Roman" w:hAnsi="Times New Roman" w:cs="Times New Roman"/>
          <w:sz w:val="28"/>
          <w:szCs w:val="28"/>
        </w:rPr>
        <w:t xml:space="preserve">% tổng kim ngạch), giảm </w:t>
      </w:r>
      <w:r w:rsidRPr="00DC0CA9">
        <w:rPr>
          <w:rFonts w:ascii="Times New Roman" w:hAnsi="Times New Roman" w:cs="Times New Roman"/>
          <w:sz w:val="28"/>
          <w:szCs w:val="28"/>
          <w:lang w:val="en-US"/>
        </w:rPr>
        <w:t>95,4</w:t>
      </w:r>
      <w:r w:rsidRPr="00DC0CA9">
        <w:rPr>
          <w:rFonts w:ascii="Times New Roman" w:hAnsi="Times New Roman" w:cs="Times New Roman"/>
          <w:sz w:val="28"/>
          <w:szCs w:val="28"/>
        </w:rPr>
        <w:t xml:space="preserve">%; dịch vụ vận tải đạt </w:t>
      </w:r>
      <w:r w:rsidRPr="00DC0CA9">
        <w:rPr>
          <w:rFonts w:ascii="Times New Roman" w:hAnsi="Times New Roman" w:cs="Times New Roman"/>
          <w:sz w:val="28"/>
          <w:szCs w:val="28"/>
          <w:lang w:val="en-US"/>
        </w:rPr>
        <w:t>446</w:t>
      </w:r>
      <w:r w:rsidRPr="00DC0CA9">
        <w:rPr>
          <w:rFonts w:ascii="Times New Roman" w:hAnsi="Times New Roman" w:cs="Times New Roman"/>
          <w:sz w:val="28"/>
          <w:szCs w:val="28"/>
        </w:rPr>
        <w:t xml:space="preserve"> triệu USD (chiếm 1</w:t>
      </w:r>
      <w:r w:rsidRPr="00DC0CA9">
        <w:rPr>
          <w:rFonts w:ascii="Times New Roman" w:hAnsi="Times New Roman" w:cs="Times New Roman"/>
          <w:sz w:val="28"/>
          <w:szCs w:val="28"/>
          <w:lang w:val="en-US"/>
        </w:rPr>
        <w:t>2</w:t>
      </w:r>
      <w:r w:rsidRPr="00DC0CA9">
        <w:rPr>
          <w:rFonts w:ascii="Times New Roman" w:hAnsi="Times New Roman" w:cs="Times New Roman"/>
          <w:sz w:val="28"/>
          <w:szCs w:val="28"/>
        </w:rPr>
        <w:t>,</w:t>
      </w:r>
      <w:r w:rsidRPr="00DC0CA9">
        <w:rPr>
          <w:rFonts w:ascii="Times New Roman" w:hAnsi="Times New Roman" w:cs="Times New Roman"/>
          <w:sz w:val="28"/>
          <w:szCs w:val="28"/>
          <w:lang w:val="en-US"/>
        </w:rPr>
        <w:t>1</w:t>
      </w:r>
      <w:r w:rsidRPr="00DC0CA9">
        <w:rPr>
          <w:rFonts w:ascii="Times New Roman" w:hAnsi="Times New Roman" w:cs="Times New Roman"/>
          <w:sz w:val="28"/>
          <w:szCs w:val="28"/>
        </w:rPr>
        <w:t xml:space="preserve">%), giảm </w:t>
      </w:r>
      <w:r w:rsidRPr="00DC0CA9">
        <w:rPr>
          <w:rFonts w:ascii="Times New Roman" w:hAnsi="Times New Roman" w:cs="Times New Roman"/>
          <w:sz w:val="28"/>
          <w:szCs w:val="28"/>
          <w:lang w:val="en-US"/>
        </w:rPr>
        <w:t>61</w:t>
      </w:r>
      <w:r w:rsidRPr="00DC0CA9">
        <w:rPr>
          <w:rFonts w:ascii="Times New Roman" w:hAnsi="Times New Roman" w:cs="Times New Roman"/>
          <w:sz w:val="28"/>
          <w:szCs w:val="28"/>
        </w:rPr>
        <w:t>,4%.</w:t>
      </w:r>
      <w:r w:rsidR="00AD2EEC" w:rsidRPr="00DC0CA9">
        <w:rPr>
          <w:rFonts w:ascii="Times New Roman" w:hAnsi="Times New Roman" w:cs="Times New Roman"/>
          <w:sz w:val="28"/>
          <w:szCs w:val="28"/>
        </w:rPr>
        <w:t xml:space="preserve"> </w:t>
      </w:r>
      <w:r w:rsidRPr="00DC0CA9">
        <w:rPr>
          <w:rFonts w:ascii="Times New Roman" w:hAnsi="Times New Roman" w:cs="Times New Roman"/>
          <w:sz w:val="28"/>
          <w:szCs w:val="28"/>
        </w:rPr>
        <w:t>Kim ngạch nhập khẩu dịch vụ năm nay ước đạt 1</w:t>
      </w:r>
      <w:r w:rsidRPr="00DC0CA9">
        <w:rPr>
          <w:rFonts w:ascii="Times New Roman" w:hAnsi="Times New Roman" w:cs="Times New Roman"/>
          <w:sz w:val="28"/>
          <w:szCs w:val="28"/>
          <w:lang w:val="en-US"/>
        </w:rPr>
        <w:t>9</w:t>
      </w:r>
      <w:r w:rsidRPr="00DC0CA9">
        <w:rPr>
          <w:rFonts w:ascii="Times New Roman" w:hAnsi="Times New Roman" w:cs="Times New Roman"/>
          <w:sz w:val="28"/>
          <w:szCs w:val="28"/>
        </w:rPr>
        <w:t>,</w:t>
      </w:r>
      <w:r w:rsidRPr="00DC0CA9">
        <w:rPr>
          <w:rFonts w:ascii="Times New Roman" w:hAnsi="Times New Roman" w:cs="Times New Roman"/>
          <w:sz w:val="28"/>
          <w:szCs w:val="28"/>
          <w:lang w:val="en-US"/>
        </w:rPr>
        <w:t>41</w:t>
      </w:r>
      <w:r w:rsidRPr="00DC0CA9">
        <w:rPr>
          <w:rFonts w:ascii="Times New Roman" w:hAnsi="Times New Roman" w:cs="Times New Roman"/>
          <w:sz w:val="28"/>
          <w:szCs w:val="28"/>
        </w:rPr>
        <w:t xml:space="preserve"> tỷ USD, </w:t>
      </w:r>
      <w:r w:rsidRPr="00DC0CA9">
        <w:rPr>
          <w:rFonts w:ascii="Times New Roman" w:hAnsi="Times New Roman" w:cs="Times New Roman"/>
          <w:sz w:val="28"/>
          <w:szCs w:val="28"/>
          <w:lang w:val="en-US"/>
        </w:rPr>
        <w:t>tăng 8</w:t>
      </w:r>
      <w:r w:rsidRPr="00DC0CA9">
        <w:rPr>
          <w:rFonts w:ascii="Times New Roman" w:hAnsi="Times New Roman" w:cs="Times New Roman"/>
          <w:sz w:val="28"/>
          <w:szCs w:val="28"/>
        </w:rPr>
        <w:t>,5% so với năm trước</w:t>
      </w:r>
      <w:r w:rsidR="00AD2EEC" w:rsidRPr="00DC0CA9">
        <w:rPr>
          <w:rFonts w:ascii="Times New Roman" w:hAnsi="Times New Roman" w:cs="Times New Roman"/>
          <w:sz w:val="28"/>
          <w:szCs w:val="28"/>
        </w:rPr>
        <w:t xml:space="preserve"> (quý IV </w:t>
      </w:r>
      <w:r w:rsidR="00AD2EEC" w:rsidRPr="00DC0CA9">
        <w:rPr>
          <w:rFonts w:ascii="Times New Roman" w:hAnsi="Times New Roman" w:cs="Times New Roman"/>
          <w:sz w:val="28"/>
          <w:szCs w:val="28"/>
          <w:lang w:val="en-US"/>
        </w:rPr>
        <w:t xml:space="preserve">ước </w:t>
      </w:r>
      <w:r w:rsidR="00AD2EEC" w:rsidRPr="00DC0CA9">
        <w:rPr>
          <w:rFonts w:ascii="Times New Roman" w:hAnsi="Times New Roman" w:cs="Times New Roman"/>
          <w:sz w:val="28"/>
          <w:szCs w:val="28"/>
        </w:rPr>
        <w:t xml:space="preserve">đạt </w:t>
      </w:r>
      <w:r w:rsidR="00AD2EEC" w:rsidRPr="00DC0CA9">
        <w:rPr>
          <w:rFonts w:ascii="Times New Roman" w:hAnsi="Times New Roman" w:cs="Times New Roman"/>
          <w:sz w:val="28"/>
          <w:szCs w:val="28"/>
          <w:lang w:val="en-US"/>
        </w:rPr>
        <w:t>5</w:t>
      </w:r>
      <w:r w:rsidR="00AD2EEC" w:rsidRPr="00DC0CA9">
        <w:rPr>
          <w:rFonts w:ascii="Times New Roman" w:hAnsi="Times New Roman" w:cs="Times New Roman"/>
          <w:sz w:val="28"/>
          <w:szCs w:val="28"/>
        </w:rPr>
        <w:t>,</w:t>
      </w:r>
      <w:r w:rsidR="00AD2EEC" w:rsidRPr="00DC0CA9">
        <w:rPr>
          <w:rFonts w:ascii="Times New Roman" w:hAnsi="Times New Roman" w:cs="Times New Roman"/>
          <w:sz w:val="28"/>
          <w:szCs w:val="28"/>
          <w:lang w:val="en-US"/>
        </w:rPr>
        <w:t>1</w:t>
      </w:r>
      <w:r w:rsidR="00AD2EEC" w:rsidRPr="00DC0CA9">
        <w:rPr>
          <w:rFonts w:ascii="Times New Roman" w:hAnsi="Times New Roman" w:cs="Times New Roman"/>
          <w:sz w:val="28"/>
          <w:szCs w:val="28"/>
        </w:rPr>
        <w:t xml:space="preserve"> tỷ USD, </w:t>
      </w:r>
      <w:r w:rsidR="00AD2EEC" w:rsidRPr="00DC0CA9">
        <w:rPr>
          <w:rFonts w:ascii="Times New Roman" w:hAnsi="Times New Roman" w:cs="Times New Roman"/>
          <w:sz w:val="28"/>
          <w:szCs w:val="28"/>
          <w:lang w:val="en-US"/>
        </w:rPr>
        <w:t>tăng 12,4</w:t>
      </w:r>
      <w:r w:rsidR="00AD2EEC" w:rsidRPr="00DC0CA9">
        <w:rPr>
          <w:rFonts w:ascii="Times New Roman" w:hAnsi="Times New Roman" w:cs="Times New Roman"/>
          <w:sz w:val="28"/>
          <w:szCs w:val="28"/>
        </w:rPr>
        <w:t xml:space="preserve">%), </w:t>
      </w:r>
      <w:r w:rsidRPr="00DC0CA9">
        <w:rPr>
          <w:rFonts w:ascii="Times New Roman" w:hAnsi="Times New Roman" w:cs="Times New Roman"/>
          <w:sz w:val="28"/>
          <w:szCs w:val="28"/>
          <w:lang w:val="en-US"/>
        </w:rPr>
        <w:t>trong đó d</w:t>
      </w:r>
      <w:r w:rsidRPr="00DC0CA9">
        <w:rPr>
          <w:rFonts w:ascii="Times New Roman" w:hAnsi="Times New Roman" w:cs="Times New Roman"/>
          <w:sz w:val="28"/>
          <w:szCs w:val="28"/>
        </w:rPr>
        <w:t xml:space="preserve">ịch vụ vận tải đạt </w:t>
      </w:r>
      <w:r w:rsidRPr="00DC0CA9">
        <w:rPr>
          <w:rFonts w:ascii="Times New Roman" w:hAnsi="Times New Roman" w:cs="Times New Roman"/>
          <w:sz w:val="28"/>
          <w:szCs w:val="28"/>
          <w:lang w:val="en-US"/>
        </w:rPr>
        <w:t>9,99</w:t>
      </w:r>
      <w:r w:rsidRPr="00DC0CA9">
        <w:rPr>
          <w:rFonts w:ascii="Times New Roman" w:hAnsi="Times New Roman" w:cs="Times New Roman"/>
          <w:sz w:val="28"/>
          <w:szCs w:val="28"/>
        </w:rPr>
        <w:t xml:space="preserve"> tỷ USD (chiếm 5</w:t>
      </w:r>
      <w:r w:rsidRPr="00DC0CA9">
        <w:rPr>
          <w:rFonts w:ascii="Times New Roman" w:hAnsi="Times New Roman" w:cs="Times New Roman"/>
          <w:sz w:val="28"/>
          <w:szCs w:val="28"/>
          <w:lang w:val="en-US"/>
        </w:rPr>
        <w:t>1</w:t>
      </w:r>
      <w:r w:rsidRPr="00DC0CA9">
        <w:rPr>
          <w:rFonts w:ascii="Times New Roman" w:hAnsi="Times New Roman" w:cs="Times New Roman"/>
          <w:sz w:val="28"/>
          <w:szCs w:val="28"/>
        </w:rPr>
        <w:t>,</w:t>
      </w:r>
      <w:r w:rsidRPr="00DC0CA9">
        <w:rPr>
          <w:rFonts w:ascii="Times New Roman" w:hAnsi="Times New Roman" w:cs="Times New Roman"/>
          <w:sz w:val="28"/>
          <w:szCs w:val="28"/>
          <w:lang w:val="en-US"/>
        </w:rPr>
        <w:t>5</w:t>
      </w:r>
      <w:r w:rsidRPr="00DC0CA9">
        <w:rPr>
          <w:rFonts w:ascii="Times New Roman" w:hAnsi="Times New Roman" w:cs="Times New Roman"/>
          <w:sz w:val="28"/>
          <w:szCs w:val="28"/>
        </w:rPr>
        <w:t>% tổng kim ngạch</w:t>
      </w:r>
      <w:r w:rsidRPr="00DC0CA9">
        <w:rPr>
          <w:rFonts w:ascii="Times New Roman" w:hAnsi="Times New Roman" w:cs="Times New Roman"/>
          <w:sz w:val="28"/>
          <w:szCs w:val="28"/>
          <w:lang w:val="en-US"/>
        </w:rPr>
        <w:t>)</w:t>
      </w:r>
      <w:r w:rsidRPr="00DC0CA9">
        <w:rPr>
          <w:rFonts w:ascii="Times New Roman" w:hAnsi="Times New Roman" w:cs="Times New Roman"/>
          <w:sz w:val="28"/>
          <w:szCs w:val="28"/>
        </w:rPr>
        <w:t>, tăng 3</w:t>
      </w:r>
      <w:r w:rsidRPr="00DC0CA9">
        <w:rPr>
          <w:rFonts w:ascii="Times New Roman" w:hAnsi="Times New Roman" w:cs="Times New Roman"/>
          <w:sz w:val="28"/>
          <w:szCs w:val="28"/>
          <w:lang w:val="en-US"/>
        </w:rPr>
        <w:t>4</w:t>
      </w:r>
      <w:r w:rsidRPr="00DC0CA9">
        <w:rPr>
          <w:rFonts w:ascii="Times New Roman" w:hAnsi="Times New Roman" w:cs="Times New Roman"/>
          <w:sz w:val="28"/>
          <w:szCs w:val="28"/>
        </w:rPr>
        <w:t>,</w:t>
      </w:r>
      <w:r w:rsidRPr="00DC0CA9">
        <w:rPr>
          <w:rFonts w:ascii="Times New Roman" w:hAnsi="Times New Roman" w:cs="Times New Roman"/>
          <w:sz w:val="28"/>
          <w:szCs w:val="28"/>
          <w:lang w:val="en-US"/>
        </w:rPr>
        <w:t>2</w:t>
      </w:r>
      <w:r w:rsidRPr="00DC0CA9">
        <w:rPr>
          <w:rFonts w:ascii="Times New Roman" w:hAnsi="Times New Roman" w:cs="Times New Roman"/>
          <w:sz w:val="28"/>
          <w:szCs w:val="28"/>
        </w:rPr>
        <w:t xml:space="preserve">%; dịch vụ du lịch đạt </w:t>
      </w:r>
      <w:r w:rsidRPr="00DC0CA9">
        <w:rPr>
          <w:rFonts w:ascii="Times New Roman" w:hAnsi="Times New Roman" w:cs="Times New Roman"/>
          <w:sz w:val="28"/>
          <w:szCs w:val="28"/>
          <w:lang w:val="en-US"/>
        </w:rPr>
        <w:t>3,63</w:t>
      </w:r>
      <w:r w:rsidRPr="00DC0CA9">
        <w:rPr>
          <w:rFonts w:ascii="Times New Roman" w:hAnsi="Times New Roman" w:cs="Times New Roman"/>
          <w:sz w:val="28"/>
          <w:szCs w:val="28"/>
        </w:rPr>
        <w:t xml:space="preserve"> tỷ USD (chiếm </w:t>
      </w:r>
      <w:r w:rsidRPr="00DC0CA9">
        <w:rPr>
          <w:rFonts w:ascii="Times New Roman" w:hAnsi="Times New Roman" w:cs="Times New Roman"/>
          <w:sz w:val="28"/>
          <w:szCs w:val="28"/>
          <w:lang w:val="en-US"/>
        </w:rPr>
        <w:t>18,7</w:t>
      </w:r>
      <w:r w:rsidRPr="00DC0CA9">
        <w:rPr>
          <w:rFonts w:ascii="Times New Roman" w:hAnsi="Times New Roman" w:cs="Times New Roman"/>
          <w:sz w:val="28"/>
          <w:szCs w:val="28"/>
        </w:rPr>
        <w:t xml:space="preserve">%), giảm </w:t>
      </w:r>
      <w:r w:rsidRPr="00DC0CA9">
        <w:rPr>
          <w:rFonts w:ascii="Times New Roman" w:hAnsi="Times New Roman" w:cs="Times New Roman"/>
          <w:sz w:val="28"/>
          <w:szCs w:val="28"/>
          <w:lang w:val="en-US"/>
        </w:rPr>
        <w:t>21,3</w:t>
      </w:r>
      <w:r w:rsidRPr="00DC0CA9">
        <w:rPr>
          <w:rFonts w:ascii="Times New Roman" w:hAnsi="Times New Roman" w:cs="Times New Roman"/>
          <w:sz w:val="28"/>
          <w:szCs w:val="28"/>
        </w:rPr>
        <w:t xml:space="preserve">%. </w:t>
      </w:r>
      <w:r w:rsidRPr="00DC0CA9">
        <w:rPr>
          <w:rFonts w:ascii="Times New Roman" w:hAnsi="Times New Roman" w:cs="Times New Roman"/>
          <w:sz w:val="28"/>
          <w:szCs w:val="28"/>
          <w:lang w:val="es-NI"/>
        </w:rPr>
        <w:t>Nhập siêu dịch vụ năm 2021 là 15,73 tỷ USD (</w:t>
      </w:r>
      <w:r w:rsidRPr="00DC0CA9">
        <w:rPr>
          <w:rFonts w:ascii="Times New Roman" w:hAnsi="Times New Roman" w:cs="Times New Roman"/>
          <w:sz w:val="28"/>
          <w:szCs w:val="28"/>
          <w:lang w:val="en-US"/>
        </w:rPr>
        <w:t>trong đó phí dịch vụ vận tải và bảo hiểm hàng hóa nhập khẩu là 8,24 tỷ USD</w:t>
      </w:r>
      <w:r w:rsidRPr="00DC0CA9">
        <w:rPr>
          <w:rFonts w:ascii="Times New Roman" w:hAnsi="Times New Roman" w:cs="Times New Roman"/>
          <w:sz w:val="28"/>
          <w:szCs w:val="28"/>
          <w:lang w:val="es-NI"/>
        </w:rPr>
        <w:t>).</w:t>
      </w:r>
    </w:p>
    <w:p w14:paraId="3D2F2C63" w14:textId="2E765EF7" w:rsidR="00527635" w:rsidRPr="00DC0CA9" w:rsidRDefault="00334CD3" w:rsidP="000104CA">
      <w:pPr>
        <w:pStyle w:val="NormalWeb"/>
        <w:spacing w:before="0" w:beforeAutospacing="0" w:after="120" w:afterAutospacing="0" w:line="350" w:lineRule="exact"/>
        <w:ind w:firstLine="567"/>
        <w:jc w:val="both"/>
        <w:rPr>
          <w:rFonts w:ascii="Times New Roman Italic" w:hAnsi="Times New Roman Italic" w:cs="Times New Roman"/>
          <w:i/>
          <w:spacing w:val="-4"/>
          <w:sz w:val="28"/>
          <w:szCs w:val="28"/>
          <w:lang w:val="nl-NL"/>
        </w:rPr>
      </w:pPr>
      <w:r w:rsidRPr="00DC0CA9">
        <w:rPr>
          <w:rFonts w:ascii="Times New Roman" w:hAnsi="Times New Roman" w:cs="Times New Roman"/>
          <w:b/>
          <w:bCs/>
          <w:i/>
          <w:sz w:val="28"/>
          <w:szCs w:val="28"/>
        </w:rPr>
        <w:t xml:space="preserve">10. </w:t>
      </w:r>
      <w:r w:rsidR="00AD2EEC" w:rsidRPr="00DC0CA9">
        <w:rPr>
          <w:rFonts w:ascii="Times New Roman" w:hAnsi="Times New Roman" w:cs="Times New Roman"/>
          <w:b/>
          <w:i/>
          <w:sz w:val="28"/>
          <w:szCs w:val="28"/>
        </w:rPr>
        <w:t>Giá xăng dầu, giá gas trong tháng giảm theo giá nhiên liệu thế giới; dịch bệnh Covid-19 diễn biến phức tạp trên phạm vi cả nước; học phí học kỳ I năm học 2021-2022 tiếp tục được miễn, giảm tại một số địa phương là các nguyên nhân chính làm chỉ số giá tiêu dùng (CPI) tháng 12/2021 giảm 0,18% so với tháng trước và tăng 1,81% so với tháng 12/2020. Bình quân năm 2021, CPI tăng 1,84% so với năm trước, mức tăng thấp nhất kể từ năm 2016</w:t>
      </w:r>
      <w:r w:rsidR="00AD2EEC" w:rsidRPr="00DC0CA9">
        <w:rPr>
          <w:rStyle w:val="FootnoteReference"/>
          <w:rFonts w:ascii="Times New Roman" w:hAnsi="Times New Roman"/>
          <w:b/>
          <w:i/>
          <w:sz w:val="28"/>
          <w:szCs w:val="28"/>
        </w:rPr>
        <w:footnoteReference w:id="11"/>
      </w:r>
      <w:r w:rsidR="00AD2EEC" w:rsidRPr="00DC0CA9">
        <w:rPr>
          <w:rFonts w:ascii="Times New Roman" w:hAnsi="Times New Roman" w:cs="Times New Roman"/>
          <w:b/>
          <w:i/>
          <w:sz w:val="28"/>
          <w:szCs w:val="28"/>
        </w:rPr>
        <w:t>. Lạm phát cơ bản 12 tháng tăng 0,81%.</w:t>
      </w:r>
      <w:r w:rsidR="00527635" w:rsidRPr="00DC0CA9">
        <w:rPr>
          <w:rFonts w:ascii="Times New Roman" w:hAnsi="Times New Roman" w:cs="Times New Roman"/>
          <w:b/>
          <w:i/>
          <w:sz w:val="28"/>
          <w:szCs w:val="28"/>
        </w:rPr>
        <w:t xml:space="preserve"> </w:t>
      </w:r>
      <w:r w:rsidR="00527635" w:rsidRPr="00DC0CA9">
        <w:rPr>
          <w:rFonts w:ascii="Times New Roman" w:hAnsi="Times New Roman" w:cs="Times New Roman"/>
          <w:b/>
          <w:i/>
          <w:spacing w:val="-4"/>
          <w:sz w:val="28"/>
          <w:szCs w:val="28"/>
          <w:lang w:val="nl-NL"/>
        </w:rPr>
        <w:t>Chỉ số giá sản xuất, chỉ số giá nguyên nhiên vật liệu dùng cho sản xuất, chỉ số giá xuất khẩu và nhập khẩu năm 2021 tăng so với năm trước. Tỷ giá thương mại hàng hóa năm 2021 giảm 2,49% so với năm 2020, phản ánh giá xuất khẩu hàng hóa ra nước ngoài không thuận lợi so với giá nhập khẩu hàng hóa từ nước ngoài về Việt Nam.</w:t>
      </w:r>
    </w:p>
    <w:p w14:paraId="3E6A5A49" w14:textId="3EDCBFF5" w:rsidR="005271A6" w:rsidRPr="00DC0CA9" w:rsidRDefault="005271A6" w:rsidP="000104CA">
      <w:pPr>
        <w:shd w:val="clear" w:color="auto" w:fill="FFFFFF"/>
        <w:spacing w:after="120" w:line="350" w:lineRule="exact"/>
        <w:ind w:firstLine="567"/>
        <w:jc w:val="both"/>
        <w:rPr>
          <w:rFonts w:ascii="Times New Roman" w:hAnsi="Times New Roman" w:cs="Times New Roman"/>
          <w:b/>
          <w:bCs/>
          <w:i/>
          <w:iCs/>
          <w:sz w:val="28"/>
          <w:szCs w:val="28"/>
        </w:rPr>
      </w:pPr>
      <w:r w:rsidRPr="00DC0CA9">
        <w:rPr>
          <w:rFonts w:ascii="Times New Roman" w:hAnsi="Times New Roman" w:cs="Times New Roman"/>
          <w:b/>
          <w:bCs/>
          <w:i/>
          <w:iCs/>
          <w:sz w:val="28"/>
          <w:szCs w:val="28"/>
        </w:rPr>
        <w:t xml:space="preserve">a) Chỉ số giá tiêu dùng </w:t>
      </w:r>
    </w:p>
    <w:p w14:paraId="532A0E42" w14:textId="4A540D93" w:rsidR="00AD2EEC" w:rsidRPr="00DC0CA9" w:rsidRDefault="00AD2EEC" w:rsidP="000104CA">
      <w:pPr>
        <w:pStyle w:val="FootnoteText"/>
        <w:spacing w:after="120" w:line="350" w:lineRule="exact"/>
        <w:ind w:firstLine="567"/>
        <w:jc w:val="both"/>
        <w:rPr>
          <w:rStyle w:val="normalchar"/>
          <w:rFonts w:ascii="Times New Roman" w:hAnsi="Times New Roman"/>
          <w:sz w:val="28"/>
          <w:szCs w:val="28"/>
          <w:lang w:val="nl-NL"/>
        </w:rPr>
      </w:pPr>
      <w:r w:rsidRPr="00DC0CA9">
        <w:rPr>
          <w:rStyle w:val="normalchar"/>
          <w:rFonts w:ascii="Times New Roman" w:hAnsi="Times New Roman"/>
          <w:sz w:val="28"/>
          <w:szCs w:val="28"/>
          <w:lang w:val="nl-NL"/>
        </w:rPr>
        <w:t>CPI tháng 12/2021 giảm 0,18% so với tháng trước</w:t>
      </w:r>
      <w:r w:rsidRPr="00DC0CA9">
        <w:rPr>
          <w:rFonts w:ascii="Times New Roman" w:hAnsi="Times New Roman" w:cs="Times New Roman"/>
          <w:sz w:val="28"/>
          <w:szCs w:val="28"/>
          <w:lang w:val="es-NI"/>
        </w:rPr>
        <w:t>, trong đó: 4 nhóm hàng hóa và dịch vụ có chỉ số giá giảm và 7 nhóm có chỉ số giá tăng, trong đó n</w:t>
      </w:r>
      <w:r w:rsidRPr="00DC0CA9">
        <w:rPr>
          <w:rFonts w:ascii="Times New Roman" w:hAnsi="Times New Roman" w:cs="Times New Roman"/>
          <w:spacing w:val="-2"/>
          <w:sz w:val="28"/>
          <w:szCs w:val="28"/>
          <w:lang w:val="es-NI"/>
        </w:rPr>
        <w:t xml:space="preserve">hóm giao thông </w:t>
      </w:r>
      <w:r w:rsidRPr="00DC0CA9">
        <w:rPr>
          <w:rFonts w:ascii="Times New Roman" w:hAnsi="Times New Roman" w:cs="Times New Roman"/>
          <w:spacing w:val="-2"/>
          <w:sz w:val="28"/>
          <w:szCs w:val="28"/>
          <w:lang w:val="nl-NL"/>
        </w:rPr>
        <w:t>có mức giảm nhiều nhất với 1,71%; n</w:t>
      </w:r>
      <w:r w:rsidRPr="00DC0CA9">
        <w:rPr>
          <w:rStyle w:val="normalchar"/>
          <w:rFonts w:ascii="Times New Roman" w:hAnsi="Times New Roman"/>
          <w:spacing w:val="-6"/>
          <w:sz w:val="28"/>
          <w:szCs w:val="28"/>
          <w:lang w:val="nl-NL"/>
        </w:rPr>
        <w:t xml:space="preserve">hóm may mặc, mũ nón, giày dép </w:t>
      </w:r>
      <w:r w:rsidRPr="00DC0CA9">
        <w:rPr>
          <w:rFonts w:ascii="Times New Roman" w:hAnsi="Times New Roman" w:cs="Times New Roman"/>
          <w:sz w:val="28"/>
          <w:szCs w:val="28"/>
          <w:lang w:val="es-NI"/>
        </w:rPr>
        <w:t>có mức tăng cao nhất với</w:t>
      </w:r>
      <w:r w:rsidRPr="00DC0CA9">
        <w:rPr>
          <w:rFonts w:ascii="Times New Roman" w:hAnsi="Times New Roman" w:cs="Times New Roman"/>
          <w:spacing w:val="-6"/>
          <w:sz w:val="28"/>
          <w:szCs w:val="28"/>
          <w:lang w:val="es-NI"/>
        </w:rPr>
        <w:t xml:space="preserve"> 0,22%. </w:t>
      </w:r>
      <w:r w:rsidRPr="00DC0CA9">
        <w:rPr>
          <w:rStyle w:val="normalchar"/>
          <w:rFonts w:ascii="Times New Roman" w:hAnsi="Times New Roman"/>
          <w:sz w:val="28"/>
          <w:szCs w:val="28"/>
          <w:lang w:val="nl-NL"/>
        </w:rPr>
        <w:t>Quý IV/2021, CPI giảm 0,38% so với quý trước và tăng 1,89% so với cùng kỳ năm 2020</w:t>
      </w:r>
      <w:r w:rsidRPr="00DC0CA9">
        <w:rPr>
          <w:rStyle w:val="normalchar"/>
          <w:rFonts w:ascii="Times New Roman" w:hAnsi="Times New Roman"/>
          <w:sz w:val="28"/>
          <w:szCs w:val="28"/>
          <w:lang w:val="vi-VN"/>
        </w:rPr>
        <w:t>.</w:t>
      </w:r>
      <w:r w:rsidRPr="00DC0CA9">
        <w:rPr>
          <w:rStyle w:val="normalchar"/>
          <w:rFonts w:ascii="Times New Roman" w:hAnsi="Times New Roman"/>
          <w:sz w:val="28"/>
          <w:szCs w:val="28"/>
          <w:lang w:val="nl-NL"/>
        </w:rPr>
        <w:t xml:space="preserve"> Bình quân năm 2021 CPI tăng 1,84% so với bình quân năm 2020, mức tăng bình quân năm thấp nhất kể từ năm 2016. Lạm phát cơ bản bình quân năm 2021 tăng 0,81% so với bình quân năm 2020.</w:t>
      </w:r>
    </w:p>
    <w:p w14:paraId="3DC1C2E4" w14:textId="77777777" w:rsidR="005271A6" w:rsidRPr="00DC0CA9" w:rsidRDefault="005271A6" w:rsidP="000104CA">
      <w:pPr>
        <w:spacing w:after="120" w:line="350" w:lineRule="exact"/>
        <w:ind w:firstLine="567"/>
        <w:jc w:val="both"/>
        <w:rPr>
          <w:rStyle w:val="a21"/>
          <w:rFonts w:ascii="Times New Roman" w:hAnsi="Times New Roman" w:cs="Times New Roman"/>
          <w:b/>
          <w:i/>
          <w:sz w:val="28"/>
          <w:szCs w:val="28"/>
        </w:rPr>
      </w:pPr>
      <w:r w:rsidRPr="00DC0CA9">
        <w:rPr>
          <w:rStyle w:val="a21"/>
          <w:rFonts w:ascii="Times New Roman" w:hAnsi="Times New Roman" w:cs="Times New Roman"/>
          <w:b/>
          <w:i/>
          <w:sz w:val="28"/>
          <w:szCs w:val="28"/>
        </w:rPr>
        <w:t>b) Chỉ số giá vàng và đô la Mỹ</w:t>
      </w:r>
    </w:p>
    <w:p w14:paraId="6B0BBC4D" w14:textId="77777777" w:rsidR="00AD2EEC" w:rsidRPr="00DC0CA9" w:rsidRDefault="00AD2EEC" w:rsidP="000104CA">
      <w:pPr>
        <w:spacing w:after="120" w:line="350" w:lineRule="exact"/>
        <w:ind w:firstLine="567"/>
        <w:jc w:val="both"/>
        <w:rPr>
          <w:rStyle w:val="a21"/>
          <w:rFonts w:ascii="Times New Roman" w:hAnsi="Times New Roman" w:cs="Times New Roman"/>
          <w:spacing w:val="-4"/>
          <w:sz w:val="28"/>
          <w:szCs w:val="28"/>
          <w:lang w:val="nl-NL"/>
        </w:rPr>
      </w:pPr>
      <w:r w:rsidRPr="00DC0CA9">
        <w:rPr>
          <w:rStyle w:val="a21"/>
          <w:rFonts w:ascii="Times New Roman" w:hAnsi="Times New Roman" w:cs="Times New Roman"/>
          <w:spacing w:val="-4"/>
          <w:sz w:val="28"/>
          <w:szCs w:val="28"/>
          <w:lang w:val="nl-NL"/>
        </w:rPr>
        <w:t>Giá vàng trong nước biến động trái chiều với giá vàng thế giới. Bình quân giá vàng thế giới đến ngày 25/12/2021 giảm 1,8% so với tháng 11/2021</w:t>
      </w:r>
      <w:r w:rsidRPr="00DC0CA9">
        <w:rPr>
          <w:rFonts w:ascii="Times New Roman" w:hAnsi="Times New Roman" w:cs="Times New Roman"/>
          <w:spacing w:val="-4"/>
          <w:sz w:val="28"/>
          <w:szCs w:val="28"/>
        </w:rPr>
        <w:t xml:space="preserve"> </w:t>
      </w:r>
      <w:r w:rsidRPr="00DC0CA9">
        <w:rPr>
          <w:rStyle w:val="a21"/>
          <w:rFonts w:ascii="Times New Roman" w:hAnsi="Times New Roman" w:cs="Times New Roman"/>
          <w:spacing w:val="-4"/>
          <w:sz w:val="28"/>
          <w:szCs w:val="28"/>
          <w:lang w:val="nl-NL"/>
        </w:rPr>
        <w:t xml:space="preserve">do đồng đô la và lợi suất trái phiếu Mỹ tăng theo kỳ vọng lãi suất Mỹ năm sau tăng lên. Trong nước, chỉ số giá vàng tháng 12/2021 tăng 0,25% so với tháng trước; tăng 1% so với tháng 12/2020 và bình quân năm 2021 tăng 8,67% so với năm trước. </w:t>
      </w:r>
    </w:p>
    <w:p w14:paraId="3C43D25B" w14:textId="77777777" w:rsidR="00AD2EEC" w:rsidRPr="00DC0CA9" w:rsidRDefault="00AD2EEC" w:rsidP="000104CA">
      <w:pPr>
        <w:spacing w:after="120" w:line="350" w:lineRule="exact"/>
        <w:ind w:firstLine="567"/>
        <w:jc w:val="both"/>
        <w:rPr>
          <w:rStyle w:val="a21"/>
          <w:rFonts w:ascii="Times New Roman" w:hAnsi="Times New Roman" w:cs="Times New Roman"/>
          <w:sz w:val="28"/>
          <w:szCs w:val="28"/>
          <w:lang w:val="nl-NL"/>
        </w:rPr>
      </w:pPr>
      <w:r w:rsidRPr="00DC0CA9">
        <w:rPr>
          <w:rStyle w:val="a21"/>
          <w:rFonts w:ascii="Times New Roman" w:hAnsi="Times New Roman" w:cs="Times New Roman"/>
          <w:sz w:val="28"/>
          <w:szCs w:val="28"/>
          <w:lang w:val="nl-NL"/>
        </w:rPr>
        <w:t>Đồng đô la Mỹ trên thị trường thế giới tăng trong bối cảnh lạm phát Mỹ tăng cao, do các nhà đầu tư có động thái rút khỏi những loại tiền tệ rủi ro hơn sau khi các ngân hàng trung ương đưa ra quyết định về việc tăng lãi suất cũng như lo ngại khả năng lây lan của biến chủng Omicron. Trong nước, do nhu cầu mua ngoại tệ của các ngân hàng tăng làm chỉ số giá đô la Mỹ tháng 12/2021 tăng 0,84% so với tháng trước; giảm 0,58% so với tháng 12/2020 và bình quân năm 2021 giảm 0,97% so với năm trước.</w:t>
      </w:r>
    </w:p>
    <w:p w14:paraId="30D6A3D0" w14:textId="6AE698EE" w:rsidR="00936819" w:rsidRPr="00DC0CA9" w:rsidRDefault="00B979B2" w:rsidP="00F877BF">
      <w:pPr>
        <w:tabs>
          <w:tab w:val="left" w:pos="720"/>
        </w:tabs>
        <w:spacing w:after="120" w:line="340" w:lineRule="exact"/>
        <w:ind w:firstLine="567"/>
        <w:jc w:val="both"/>
        <w:rPr>
          <w:rFonts w:ascii="Times New Roman" w:hAnsi="Times New Roman" w:cs="Times New Roman"/>
          <w:b/>
          <w:i/>
          <w:spacing w:val="-4"/>
          <w:sz w:val="28"/>
          <w:szCs w:val="28"/>
          <w:lang w:val="de-DE"/>
        </w:rPr>
      </w:pPr>
      <w:r w:rsidRPr="00DC0CA9">
        <w:rPr>
          <w:rFonts w:ascii="Times New Roman" w:hAnsi="Times New Roman" w:cs="Times New Roman"/>
          <w:b/>
          <w:i/>
          <w:spacing w:val="-4"/>
          <w:sz w:val="28"/>
          <w:szCs w:val="28"/>
        </w:rPr>
        <w:t xml:space="preserve">c) </w:t>
      </w:r>
      <w:r w:rsidRPr="00DC0CA9">
        <w:rPr>
          <w:rFonts w:ascii="Times New Roman" w:hAnsi="Times New Roman" w:cs="Times New Roman"/>
          <w:b/>
          <w:i/>
          <w:spacing w:val="-4"/>
          <w:sz w:val="28"/>
          <w:szCs w:val="28"/>
          <w:lang w:val="vi-VN"/>
        </w:rPr>
        <w:t>Chỉ số giá sản xuất</w:t>
      </w:r>
      <w:r w:rsidRPr="00DC0CA9">
        <w:rPr>
          <w:rFonts w:ascii="Times New Roman" w:hAnsi="Times New Roman" w:cs="Times New Roman"/>
          <w:b/>
          <w:i/>
          <w:spacing w:val="-4"/>
          <w:sz w:val="28"/>
          <w:szCs w:val="28"/>
          <w:lang w:val="en-US"/>
        </w:rPr>
        <w:t xml:space="preserve"> và </w:t>
      </w:r>
      <w:r w:rsidR="00936819" w:rsidRPr="00DC0CA9">
        <w:rPr>
          <w:rFonts w:ascii="Times New Roman" w:hAnsi="Times New Roman" w:cs="Times New Roman"/>
          <w:b/>
          <w:i/>
          <w:spacing w:val="-4"/>
          <w:sz w:val="28"/>
          <w:szCs w:val="28"/>
          <w:lang w:val="en-US"/>
        </w:rPr>
        <w:t>c</w:t>
      </w:r>
      <w:r w:rsidR="00936819" w:rsidRPr="00DC0CA9">
        <w:rPr>
          <w:rFonts w:ascii="Times New Roman" w:hAnsi="Times New Roman" w:cs="Times New Roman"/>
          <w:b/>
          <w:i/>
          <w:spacing w:val="-4"/>
          <w:sz w:val="28"/>
          <w:szCs w:val="28"/>
          <w:lang w:val="vi-VN"/>
        </w:rPr>
        <w:t>hỉ số giá nguyên nhiên vật liệu dùng cho sản xuất</w:t>
      </w:r>
    </w:p>
    <w:p w14:paraId="691A2E69" w14:textId="04313C18" w:rsidR="00936819" w:rsidRPr="00DC0CA9" w:rsidRDefault="00527635" w:rsidP="00F877BF">
      <w:pPr>
        <w:spacing w:after="120" w:line="340" w:lineRule="exact"/>
        <w:ind w:firstLine="567"/>
        <w:jc w:val="both"/>
        <w:rPr>
          <w:rFonts w:ascii="Times New Roman" w:hAnsi="Times New Roman" w:cs="Times New Roman"/>
          <w:sz w:val="28"/>
          <w:szCs w:val="28"/>
          <w:lang w:val="de-DE"/>
        </w:rPr>
      </w:pPr>
      <w:r w:rsidRPr="00DC0CA9">
        <w:rPr>
          <w:rFonts w:ascii="Times New Roman" w:hAnsi="Times New Roman" w:cs="Times New Roman"/>
          <w:sz w:val="28"/>
          <w:szCs w:val="28"/>
          <w:lang w:val="vi-VN"/>
        </w:rPr>
        <w:t xml:space="preserve">Chỉ số giá sản xuất </w:t>
      </w:r>
      <w:r w:rsidRPr="00DC0CA9">
        <w:rPr>
          <w:rFonts w:ascii="Times New Roman" w:hAnsi="Times New Roman" w:cs="Times New Roman"/>
          <w:sz w:val="28"/>
          <w:szCs w:val="28"/>
          <w:lang w:val="nl-NL"/>
        </w:rPr>
        <w:t xml:space="preserve">sản phẩm </w:t>
      </w:r>
      <w:r w:rsidRPr="00DC0CA9">
        <w:rPr>
          <w:rFonts w:ascii="Times New Roman" w:hAnsi="Times New Roman" w:cs="Times New Roman"/>
          <w:sz w:val="28"/>
          <w:szCs w:val="28"/>
          <w:lang w:val="vi-VN"/>
        </w:rPr>
        <w:t xml:space="preserve">nông, lâm nghiệp và thủy sản </w:t>
      </w:r>
      <w:r w:rsidRPr="00DC0CA9">
        <w:rPr>
          <w:rFonts w:ascii="Times New Roman" w:hAnsi="Times New Roman" w:cs="Times New Roman"/>
          <w:sz w:val="28"/>
          <w:szCs w:val="28"/>
          <w:lang w:val="nl-NL"/>
        </w:rPr>
        <w:t xml:space="preserve">quý IV/2021 tăng 0,78% </w:t>
      </w:r>
      <w:r w:rsidRPr="00DC0CA9">
        <w:rPr>
          <w:rFonts w:ascii="Times New Roman" w:hAnsi="Times New Roman" w:cs="Times New Roman"/>
          <w:sz w:val="28"/>
          <w:szCs w:val="28"/>
          <w:lang w:val="vi-VN"/>
        </w:rPr>
        <w:t xml:space="preserve">so với </w:t>
      </w:r>
      <w:r w:rsidRPr="00DC0CA9">
        <w:rPr>
          <w:rFonts w:ascii="Times New Roman" w:hAnsi="Times New Roman" w:cs="Times New Roman"/>
          <w:sz w:val="28"/>
          <w:szCs w:val="28"/>
          <w:lang w:val="nl-NL"/>
        </w:rPr>
        <w:t>quý trước và tăng 0,07% so với cùng kỳ năm trước</w:t>
      </w:r>
      <w:r w:rsidR="00F2639B" w:rsidRPr="00DC0CA9">
        <w:rPr>
          <w:rFonts w:ascii="Times New Roman" w:hAnsi="Times New Roman" w:cs="Times New Roman"/>
          <w:sz w:val="28"/>
          <w:szCs w:val="28"/>
          <w:lang w:val="nl-NL"/>
        </w:rPr>
        <w:t xml:space="preserve">; tương tự, </w:t>
      </w:r>
      <w:r w:rsidR="00936819" w:rsidRPr="00DC0CA9">
        <w:rPr>
          <w:rFonts w:ascii="Times New Roman" w:hAnsi="Times New Roman" w:cs="Times New Roman"/>
          <w:sz w:val="28"/>
          <w:szCs w:val="28"/>
          <w:lang w:val="nl-NL"/>
        </w:rPr>
        <w:t>c</w:t>
      </w:r>
      <w:r w:rsidR="00936819" w:rsidRPr="00DC0CA9">
        <w:rPr>
          <w:rFonts w:ascii="Times New Roman" w:hAnsi="Times New Roman" w:cs="Times New Roman"/>
          <w:spacing w:val="-4"/>
          <w:sz w:val="28"/>
          <w:szCs w:val="28"/>
          <w:lang w:val="vi-VN"/>
        </w:rPr>
        <w:t>hỉ số giá sản xuất sản phẩm công nghiệp tăng 0,71% và tăng 4,33%</w:t>
      </w:r>
      <w:r w:rsidR="00936819" w:rsidRPr="00DC0CA9">
        <w:rPr>
          <w:rFonts w:ascii="Times New Roman" w:hAnsi="Times New Roman" w:cs="Times New Roman"/>
          <w:spacing w:val="-4"/>
          <w:sz w:val="28"/>
          <w:szCs w:val="28"/>
          <w:lang w:val="en-IN"/>
        </w:rPr>
        <w:t>; c</w:t>
      </w:r>
      <w:r w:rsidR="00936819" w:rsidRPr="00DC0CA9">
        <w:rPr>
          <w:rFonts w:ascii="Times New Roman" w:hAnsi="Times New Roman" w:cs="Times New Roman"/>
          <w:sz w:val="28"/>
          <w:szCs w:val="28"/>
          <w:lang w:val="de-DE"/>
        </w:rPr>
        <w:t xml:space="preserve">hỉ số giá sản xuất dịch vụ tăng 0,54% và tăng 1,24%. </w:t>
      </w:r>
      <w:r w:rsidRPr="00DC0CA9">
        <w:rPr>
          <w:rFonts w:ascii="Times New Roman" w:hAnsi="Times New Roman" w:cs="Times New Roman"/>
          <w:sz w:val="28"/>
          <w:szCs w:val="28"/>
          <w:lang w:val="nl-NL"/>
        </w:rPr>
        <w:t>Tính chung năm 2021, chỉ số giá sản xuất sản phẩm nông, lâm nghiệp và thủy sản tăng 2,12% so với năm 2020</w:t>
      </w:r>
      <w:r w:rsidR="00936819" w:rsidRPr="00DC0CA9">
        <w:rPr>
          <w:rFonts w:ascii="Times New Roman" w:hAnsi="Times New Roman" w:cs="Times New Roman"/>
          <w:sz w:val="28"/>
          <w:szCs w:val="28"/>
          <w:lang w:val="nl-NL"/>
        </w:rPr>
        <w:t>;</w:t>
      </w:r>
      <w:r w:rsidRPr="00DC0CA9">
        <w:rPr>
          <w:rFonts w:ascii="Times New Roman" w:hAnsi="Times New Roman" w:cs="Times New Roman"/>
          <w:sz w:val="28"/>
          <w:szCs w:val="28"/>
          <w:lang w:val="de-DE"/>
        </w:rPr>
        <w:t xml:space="preserve"> </w:t>
      </w:r>
      <w:r w:rsidRPr="00DC0CA9">
        <w:rPr>
          <w:rFonts w:ascii="Times New Roman" w:hAnsi="Times New Roman" w:cs="Times New Roman"/>
          <w:spacing w:val="-2"/>
          <w:sz w:val="28"/>
          <w:szCs w:val="28"/>
          <w:lang w:val="nl-NL"/>
        </w:rPr>
        <w:t xml:space="preserve">chỉ </w:t>
      </w:r>
      <w:r w:rsidRPr="00DC0CA9">
        <w:rPr>
          <w:rFonts w:ascii="Times New Roman" w:hAnsi="Times New Roman" w:cs="Times New Roman"/>
          <w:spacing w:val="-2"/>
          <w:sz w:val="28"/>
          <w:szCs w:val="28"/>
          <w:lang w:val="vi-VN"/>
        </w:rPr>
        <w:t xml:space="preserve">số giá sản xuất </w:t>
      </w:r>
      <w:r w:rsidRPr="00DC0CA9">
        <w:rPr>
          <w:rFonts w:ascii="Times New Roman" w:hAnsi="Times New Roman" w:cs="Times New Roman"/>
          <w:spacing w:val="-2"/>
          <w:sz w:val="28"/>
          <w:szCs w:val="28"/>
          <w:lang w:val="nl-NL"/>
        </w:rPr>
        <w:t xml:space="preserve">sản phẩm </w:t>
      </w:r>
      <w:r w:rsidRPr="00DC0CA9">
        <w:rPr>
          <w:rFonts w:ascii="Times New Roman" w:hAnsi="Times New Roman" w:cs="Times New Roman"/>
          <w:spacing w:val="-2"/>
          <w:sz w:val="28"/>
          <w:szCs w:val="28"/>
          <w:lang w:val="vi-VN"/>
        </w:rPr>
        <w:t>công nghiệp</w:t>
      </w:r>
      <w:r w:rsidRPr="00DC0CA9">
        <w:rPr>
          <w:rFonts w:ascii="Times New Roman" w:hAnsi="Times New Roman" w:cs="Times New Roman"/>
          <w:spacing w:val="-2"/>
          <w:sz w:val="28"/>
          <w:szCs w:val="28"/>
          <w:lang w:val="nl-NL"/>
        </w:rPr>
        <w:t xml:space="preserve"> tăng 2,91%</w:t>
      </w:r>
      <w:r w:rsidR="00936819" w:rsidRPr="00DC0CA9">
        <w:rPr>
          <w:rFonts w:ascii="Times New Roman" w:hAnsi="Times New Roman" w:cs="Times New Roman"/>
          <w:spacing w:val="-2"/>
          <w:sz w:val="28"/>
          <w:szCs w:val="28"/>
          <w:lang w:val="nl-NL"/>
        </w:rPr>
        <w:t xml:space="preserve">; </w:t>
      </w:r>
      <w:r w:rsidRPr="00DC0CA9">
        <w:rPr>
          <w:rFonts w:ascii="Times New Roman" w:hAnsi="Times New Roman" w:cs="Times New Roman"/>
          <w:sz w:val="28"/>
          <w:szCs w:val="28"/>
          <w:lang w:val="de-DE"/>
        </w:rPr>
        <w:t>chỉ số giá sản xuất dịch vụ tăng 0,95%</w:t>
      </w:r>
      <w:r w:rsidR="00936819" w:rsidRPr="00DC0CA9">
        <w:rPr>
          <w:rFonts w:ascii="Times New Roman" w:hAnsi="Times New Roman" w:cs="Times New Roman"/>
          <w:sz w:val="28"/>
          <w:szCs w:val="28"/>
          <w:lang w:val="de-DE"/>
        </w:rPr>
        <w:t>.</w:t>
      </w:r>
    </w:p>
    <w:p w14:paraId="12FD3132" w14:textId="7739EC75" w:rsidR="00527635" w:rsidRPr="00DC0CA9" w:rsidRDefault="00527635" w:rsidP="00F877BF">
      <w:pPr>
        <w:spacing w:after="120" w:line="340" w:lineRule="exact"/>
        <w:ind w:firstLine="567"/>
        <w:jc w:val="both"/>
        <w:rPr>
          <w:rFonts w:ascii="Times New Roman" w:hAnsi="Times New Roman" w:cs="Times New Roman"/>
          <w:sz w:val="28"/>
          <w:szCs w:val="28"/>
          <w:lang w:val="de-DE"/>
        </w:rPr>
      </w:pPr>
      <w:r w:rsidRPr="00DC0CA9">
        <w:rPr>
          <w:rFonts w:ascii="Times New Roman" w:hAnsi="Times New Roman" w:cs="Times New Roman"/>
          <w:sz w:val="28"/>
          <w:szCs w:val="28"/>
          <w:lang w:val="de-DE"/>
        </w:rPr>
        <w:t>Chỉ số giá nguyên nhiên vật liệu dùng cho sản xuất quý IV/2021 tăng 1,1</w:t>
      </w:r>
      <w:r w:rsidR="00C4060A" w:rsidRPr="00DC0CA9">
        <w:rPr>
          <w:rFonts w:ascii="Times New Roman" w:hAnsi="Times New Roman" w:cs="Times New Roman"/>
          <w:sz w:val="28"/>
          <w:szCs w:val="28"/>
          <w:lang w:val="de-DE"/>
        </w:rPr>
        <w:t>8</w:t>
      </w:r>
      <w:r w:rsidRPr="00DC0CA9">
        <w:rPr>
          <w:rFonts w:ascii="Times New Roman" w:hAnsi="Times New Roman" w:cs="Times New Roman"/>
          <w:sz w:val="28"/>
          <w:szCs w:val="28"/>
          <w:lang w:val="de-DE"/>
        </w:rPr>
        <w:t xml:space="preserve">% so với quý trước và tăng </w:t>
      </w:r>
      <w:r w:rsidR="00C4060A" w:rsidRPr="00DC0CA9">
        <w:rPr>
          <w:rFonts w:ascii="Times New Roman" w:hAnsi="Times New Roman" w:cs="Times New Roman"/>
          <w:sz w:val="28"/>
          <w:szCs w:val="28"/>
          <w:lang w:val="de-DE"/>
        </w:rPr>
        <w:t>6,43</w:t>
      </w:r>
      <w:r w:rsidRPr="00DC0CA9">
        <w:rPr>
          <w:rFonts w:ascii="Times New Roman" w:hAnsi="Times New Roman" w:cs="Times New Roman"/>
          <w:sz w:val="28"/>
          <w:szCs w:val="28"/>
          <w:lang w:val="de-DE"/>
        </w:rPr>
        <w:t>% so với cùng kỳ năm trước.</w:t>
      </w:r>
      <w:r w:rsidR="005679DD" w:rsidRPr="00DC0CA9">
        <w:rPr>
          <w:rFonts w:ascii="Times New Roman" w:hAnsi="Times New Roman" w:cs="Times New Roman"/>
          <w:sz w:val="28"/>
          <w:szCs w:val="28"/>
          <w:lang w:val="de-DE"/>
        </w:rPr>
        <w:t xml:space="preserve"> </w:t>
      </w:r>
      <w:r w:rsidRPr="00DC0CA9">
        <w:rPr>
          <w:rFonts w:ascii="Times New Roman" w:hAnsi="Times New Roman" w:cs="Times New Roman"/>
          <w:sz w:val="28"/>
          <w:szCs w:val="28"/>
          <w:lang w:val="de-DE"/>
        </w:rPr>
        <w:t>Tính chung năm 2021, chỉ số giá nguyên nhiên vật liệu dùng cho sản xuất tăng 5,51%  so với năm trước, trong đó chỉ số giá nguyên nhiên vật liệu dùng cho sản xuất nông, lâm nghiệp và thủy sản tăng 7,22%; dùng cho sản xuất công nghiệp chế biến, chế tạo tăng 5,42%; dùng cho xây dựng tăng 6,4%.</w:t>
      </w:r>
    </w:p>
    <w:p w14:paraId="1654F67A" w14:textId="5FB3D6F2" w:rsidR="00527635" w:rsidRPr="00DC0CA9" w:rsidRDefault="005679DD" w:rsidP="00F877BF">
      <w:pPr>
        <w:spacing w:after="120" w:line="340" w:lineRule="exact"/>
        <w:ind w:firstLine="567"/>
        <w:jc w:val="both"/>
        <w:rPr>
          <w:rFonts w:ascii="Times New Roman" w:hAnsi="Times New Roman" w:cs="Times New Roman"/>
          <w:b/>
          <w:i/>
          <w:sz w:val="28"/>
          <w:szCs w:val="28"/>
          <w:lang w:val="de-DE"/>
        </w:rPr>
      </w:pPr>
      <w:r w:rsidRPr="00DC0CA9">
        <w:rPr>
          <w:rFonts w:ascii="Times New Roman" w:hAnsi="Times New Roman" w:cs="Times New Roman"/>
          <w:b/>
          <w:i/>
          <w:sz w:val="28"/>
          <w:szCs w:val="28"/>
          <w:lang w:val="de-DE"/>
        </w:rPr>
        <w:t>d</w:t>
      </w:r>
      <w:r w:rsidR="00527635" w:rsidRPr="00DC0CA9">
        <w:rPr>
          <w:rFonts w:ascii="Times New Roman" w:hAnsi="Times New Roman" w:cs="Times New Roman"/>
          <w:b/>
          <w:i/>
          <w:sz w:val="28"/>
          <w:szCs w:val="28"/>
          <w:lang w:val="de-DE"/>
        </w:rPr>
        <w:t>) Chỉ số giá xuất, nhập khẩu hàng hóa</w:t>
      </w:r>
    </w:p>
    <w:p w14:paraId="01CCF185" w14:textId="77777777" w:rsidR="005679DD" w:rsidRPr="00DC0CA9" w:rsidRDefault="005679DD" w:rsidP="00F877BF">
      <w:pPr>
        <w:spacing w:after="120" w:line="340" w:lineRule="exact"/>
        <w:ind w:firstLine="567"/>
        <w:jc w:val="both"/>
        <w:rPr>
          <w:rFonts w:ascii="Times New Roman" w:hAnsi="Times New Roman" w:cs="Times New Roman"/>
          <w:spacing w:val="2"/>
          <w:sz w:val="28"/>
          <w:szCs w:val="28"/>
          <w:lang w:val="en-IN"/>
        </w:rPr>
      </w:pPr>
      <w:r w:rsidRPr="00DC0CA9">
        <w:rPr>
          <w:rFonts w:ascii="Times New Roman" w:hAnsi="Times New Roman" w:cs="Times New Roman"/>
          <w:spacing w:val="2"/>
          <w:sz w:val="28"/>
          <w:szCs w:val="28"/>
          <w:lang w:val="de-DE"/>
        </w:rPr>
        <w:t>Quý IV/2021, c</w:t>
      </w:r>
      <w:r w:rsidR="00527635" w:rsidRPr="00DC0CA9">
        <w:rPr>
          <w:rFonts w:ascii="Times New Roman" w:hAnsi="Times New Roman" w:cs="Times New Roman"/>
          <w:spacing w:val="2"/>
          <w:sz w:val="28"/>
          <w:szCs w:val="28"/>
          <w:lang w:val="de-DE"/>
        </w:rPr>
        <w:t>hỉ số giá xuất khẩu hàng hoá tăng 1,62% so với quý trước và tăng 5,13% so với cùng kỳ năm trước</w:t>
      </w:r>
      <w:r w:rsidRPr="00DC0CA9">
        <w:rPr>
          <w:rFonts w:ascii="Times New Roman" w:hAnsi="Times New Roman" w:cs="Times New Roman"/>
          <w:spacing w:val="2"/>
          <w:sz w:val="28"/>
          <w:szCs w:val="28"/>
          <w:lang w:val="de-DE"/>
        </w:rPr>
        <w:t>; c</w:t>
      </w:r>
      <w:r w:rsidRPr="00DC0CA9">
        <w:rPr>
          <w:rFonts w:ascii="Times New Roman" w:hAnsi="Times New Roman" w:cs="Times New Roman"/>
          <w:spacing w:val="2"/>
          <w:sz w:val="28"/>
          <w:szCs w:val="28"/>
          <w:lang w:val="vi-VN"/>
        </w:rPr>
        <w:t xml:space="preserve">hỉ số giá nhập khẩu hàng hoá </w:t>
      </w:r>
      <w:r w:rsidRPr="00DC0CA9">
        <w:rPr>
          <w:rFonts w:ascii="Times New Roman" w:hAnsi="Times New Roman" w:cs="Times New Roman"/>
          <w:spacing w:val="2"/>
          <w:sz w:val="28"/>
          <w:szCs w:val="28"/>
          <w:lang w:val="fr-FR"/>
        </w:rPr>
        <w:t xml:space="preserve">tăng 3,83% và tăng 9,96% ; </w:t>
      </w:r>
      <w:r w:rsidRPr="00DC0CA9">
        <w:rPr>
          <w:rFonts w:ascii="Times New Roman" w:hAnsi="Times New Roman" w:cs="Times New Roman"/>
          <w:spacing w:val="2"/>
          <w:sz w:val="28"/>
          <w:szCs w:val="28"/>
          <w:lang w:val="vi-VN"/>
        </w:rPr>
        <w:t>tỷ giá thương mại hàng hóa</w:t>
      </w:r>
      <w:r w:rsidRPr="00DC0CA9">
        <w:rPr>
          <w:rFonts w:ascii="Times New Roman" w:hAnsi="Times New Roman" w:cs="Times New Roman"/>
          <w:spacing w:val="2"/>
          <w:sz w:val="28"/>
          <w:szCs w:val="28"/>
          <w:vertAlign w:val="superscript"/>
          <w:lang w:val="vi-VN"/>
        </w:rPr>
        <w:footnoteReference w:id="12"/>
      </w:r>
      <w:r w:rsidRPr="00DC0CA9">
        <w:rPr>
          <w:rFonts w:ascii="Times New Roman" w:hAnsi="Times New Roman" w:cs="Times New Roman"/>
          <w:spacing w:val="2"/>
          <w:sz w:val="28"/>
          <w:szCs w:val="28"/>
          <w:lang w:val="vi-VN"/>
        </w:rPr>
        <w:t xml:space="preserve"> giảm 2</w:t>
      </w:r>
      <w:r w:rsidRPr="00DC0CA9">
        <w:rPr>
          <w:rFonts w:ascii="Times New Roman" w:hAnsi="Times New Roman" w:cs="Times New Roman"/>
          <w:spacing w:val="2"/>
          <w:sz w:val="28"/>
          <w:szCs w:val="28"/>
          <w:lang w:val="en-US"/>
        </w:rPr>
        <w:t>,</w:t>
      </w:r>
      <w:r w:rsidRPr="00DC0CA9">
        <w:rPr>
          <w:rFonts w:ascii="Times New Roman" w:hAnsi="Times New Roman" w:cs="Times New Roman"/>
          <w:spacing w:val="2"/>
          <w:sz w:val="28"/>
          <w:szCs w:val="28"/>
          <w:lang w:val="vi-VN"/>
        </w:rPr>
        <w:t>13% và giảm 4</w:t>
      </w:r>
      <w:r w:rsidRPr="00DC0CA9">
        <w:rPr>
          <w:rFonts w:ascii="Times New Roman" w:hAnsi="Times New Roman" w:cs="Times New Roman"/>
          <w:spacing w:val="2"/>
          <w:sz w:val="28"/>
          <w:szCs w:val="28"/>
          <w:lang w:val="en-US"/>
        </w:rPr>
        <w:t>,</w:t>
      </w:r>
      <w:r w:rsidRPr="00DC0CA9">
        <w:rPr>
          <w:rFonts w:ascii="Times New Roman" w:hAnsi="Times New Roman" w:cs="Times New Roman"/>
          <w:spacing w:val="2"/>
          <w:sz w:val="28"/>
          <w:szCs w:val="28"/>
          <w:lang w:val="vi-VN"/>
        </w:rPr>
        <w:t>39%.</w:t>
      </w:r>
      <w:r w:rsidRPr="00DC0CA9">
        <w:rPr>
          <w:rFonts w:ascii="Times New Roman" w:hAnsi="Times New Roman" w:cs="Times New Roman"/>
          <w:spacing w:val="2"/>
          <w:sz w:val="28"/>
          <w:szCs w:val="28"/>
          <w:lang w:val="en-IN"/>
        </w:rPr>
        <w:t xml:space="preserve"> </w:t>
      </w:r>
      <w:r w:rsidR="00527635" w:rsidRPr="00DC0CA9">
        <w:rPr>
          <w:rFonts w:ascii="Times New Roman" w:hAnsi="Times New Roman" w:cs="Times New Roman"/>
          <w:spacing w:val="2"/>
          <w:sz w:val="28"/>
          <w:szCs w:val="28"/>
          <w:lang w:val="de-DE"/>
        </w:rPr>
        <w:t>Tính chung năm 2021, chỉ số giá xuất khẩu hàng hóa tăng 2,86% so với năm trước</w:t>
      </w:r>
      <w:r w:rsidRPr="00DC0CA9">
        <w:rPr>
          <w:rFonts w:ascii="Times New Roman" w:hAnsi="Times New Roman" w:cs="Times New Roman"/>
          <w:spacing w:val="2"/>
          <w:sz w:val="28"/>
          <w:szCs w:val="28"/>
          <w:lang w:val="de-DE"/>
        </w:rPr>
        <w:t xml:space="preserve">; </w:t>
      </w:r>
      <w:r w:rsidR="00527635" w:rsidRPr="00DC0CA9">
        <w:rPr>
          <w:rFonts w:ascii="Times New Roman" w:hAnsi="Times New Roman" w:cs="Times New Roman"/>
          <w:spacing w:val="2"/>
          <w:sz w:val="28"/>
          <w:szCs w:val="28"/>
          <w:lang w:val="vi-VN"/>
        </w:rPr>
        <w:t xml:space="preserve">chỉ số giá nhập khẩu hàng hoá </w:t>
      </w:r>
      <w:r w:rsidR="00527635" w:rsidRPr="00DC0CA9">
        <w:rPr>
          <w:rFonts w:ascii="Times New Roman" w:hAnsi="Times New Roman" w:cs="Times New Roman"/>
          <w:spacing w:val="2"/>
          <w:sz w:val="28"/>
          <w:szCs w:val="28"/>
          <w:lang w:val="fr-FR"/>
        </w:rPr>
        <w:t>tăng 5,49%</w:t>
      </w:r>
      <w:r w:rsidRPr="00DC0CA9">
        <w:rPr>
          <w:rFonts w:ascii="Times New Roman" w:hAnsi="Times New Roman" w:cs="Times New Roman"/>
          <w:spacing w:val="2"/>
          <w:sz w:val="28"/>
          <w:szCs w:val="28"/>
          <w:lang w:val="fr-FR"/>
        </w:rPr>
        <w:t xml:space="preserve">; </w:t>
      </w:r>
      <w:r w:rsidR="00527635" w:rsidRPr="00DC0CA9">
        <w:rPr>
          <w:rFonts w:ascii="Times New Roman" w:hAnsi="Times New Roman" w:cs="Times New Roman"/>
          <w:spacing w:val="2"/>
          <w:sz w:val="28"/>
          <w:szCs w:val="28"/>
          <w:lang w:val="vi-VN"/>
        </w:rPr>
        <w:t>tỷ giá thương mại hàng hoá giảm 2,</w:t>
      </w:r>
      <w:r w:rsidR="00527635" w:rsidRPr="00DC0CA9">
        <w:rPr>
          <w:rFonts w:ascii="Times New Roman" w:hAnsi="Times New Roman" w:cs="Times New Roman"/>
          <w:spacing w:val="2"/>
          <w:sz w:val="28"/>
          <w:szCs w:val="28"/>
          <w:lang w:val="en-US"/>
        </w:rPr>
        <w:t>4</w:t>
      </w:r>
      <w:r w:rsidR="00527635" w:rsidRPr="00DC0CA9">
        <w:rPr>
          <w:rFonts w:ascii="Times New Roman" w:hAnsi="Times New Roman" w:cs="Times New Roman"/>
          <w:spacing w:val="2"/>
          <w:sz w:val="28"/>
          <w:szCs w:val="28"/>
          <w:lang w:val="vi-VN"/>
        </w:rPr>
        <w:t>9%</w:t>
      </w:r>
      <w:r w:rsidRPr="00DC0CA9">
        <w:rPr>
          <w:rFonts w:ascii="Times New Roman" w:hAnsi="Times New Roman" w:cs="Times New Roman"/>
          <w:spacing w:val="2"/>
          <w:sz w:val="28"/>
          <w:szCs w:val="28"/>
          <w:lang w:val="en-IN"/>
        </w:rPr>
        <w:t>.</w:t>
      </w:r>
    </w:p>
    <w:p w14:paraId="71071AD1" w14:textId="6C96117D" w:rsidR="00B54309" w:rsidRPr="00DC0CA9" w:rsidRDefault="00B53429" w:rsidP="00F877BF">
      <w:pPr>
        <w:spacing w:after="120" w:line="340" w:lineRule="exact"/>
        <w:ind w:firstLine="567"/>
        <w:jc w:val="both"/>
        <w:rPr>
          <w:rFonts w:ascii="Times New Roman" w:hAnsi="Times New Roman" w:cs="Times New Roman"/>
          <w:b/>
          <w:sz w:val="28"/>
          <w:szCs w:val="28"/>
        </w:rPr>
      </w:pPr>
      <w:r w:rsidRPr="00DC0CA9">
        <w:rPr>
          <w:rFonts w:ascii="Times New Roman" w:hAnsi="Times New Roman" w:cs="Times New Roman"/>
          <w:b/>
          <w:sz w:val="28"/>
          <w:szCs w:val="28"/>
        </w:rPr>
        <w:t xml:space="preserve">II. </w:t>
      </w:r>
      <w:r w:rsidR="00357E6A" w:rsidRPr="00DC0CA9">
        <w:rPr>
          <w:rFonts w:ascii="Times New Roman" w:hAnsi="Times New Roman" w:cs="Times New Roman"/>
          <w:b/>
          <w:sz w:val="28"/>
          <w:szCs w:val="28"/>
        </w:rPr>
        <w:t xml:space="preserve">MỘT SỐ VẤN ĐỀ </w:t>
      </w:r>
      <w:r w:rsidR="006670FB" w:rsidRPr="00DC0CA9">
        <w:rPr>
          <w:rFonts w:ascii="Times New Roman" w:hAnsi="Times New Roman" w:cs="Times New Roman"/>
          <w:b/>
          <w:sz w:val="28"/>
          <w:szCs w:val="28"/>
        </w:rPr>
        <w:t>XÃ HỘI</w:t>
      </w:r>
    </w:p>
    <w:p w14:paraId="041BB320" w14:textId="77777777" w:rsidR="001105C0" w:rsidRPr="00DC0CA9" w:rsidRDefault="005C2F8B" w:rsidP="00F877BF">
      <w:pPr>
        <w:pStyle w:val="BodyTextIndent3"/>
        <w:spacing w:line="340" w:lineRule="exact"/>
        <w:ind w:left="0" w:firstLine="567"/>
        <w:jc w:val="both"/>
        <w:rPr>
          <w:rFonts w:ascii="Times New Roman" w:hAnsi="Times New Roman" w:cs="Times New Roman"/>
          <w:b/>
          <w:i/>
          <w:spacing w:val="-2"/>
          <w:sz w:val="28"/>
          <w:szCs w:val="28"/>
          <w:lang w:val="vi-VN"/>
        </w:rPr>
      </w:pPr>
      <w:r w:rsidRPr="00DC0CA9">
        <w:rPr>
          <w:rFonts w:ascii="Times New Roman" w:hAnsi="Times New Roman" w:cs="Times New Roman"/>
          <w:b/>
          <w:i/>
          <w:iCs/>
          <w:sz w:val="28"/>
          <w:szCs w:val="28"/>
        </w:rPr>
        <w:t xml:space="preserve">1. </w:t>
      </w:r>
      <w:r w:rsidR="001105C0" w:rsidRPr="00DC0CA9">
        <w:rPr>
          <w:rFonts w:ascii="Times New Roman" w:hAnsi="Times New Roman" w:cs="Times New Roman"/>
          <w:b/>
          <w:i/>
          <w:spacing w:val="-2"/>
          <w:sz w:val="28"/>
          <w:szCs w:val="28"/>
          <w:lang w:val="vi-VN"/>
        </w:rPr>
        <w:t>Dân số trung bình của Việt Nam năm 2021 là 98,51 triệu người. Chất lượng dân số được cải thiện, mức sinh giảm và duy trì mức sinh thay thế từ năm 2005 trở lại đây. Bên cạnh đó, tỷ lệ tử vong vẫn duy trì ở mức thấp, tuổi thọ trung bình ngày càng tăng. Tình hình lao động, việc làm quý IV/2021 khởi sắc so với quý trước nhưng do ảnh hưởng của dịch Covid-19 nên tỷ lệ thất nghiệp và tỷ lệ thiếu việc làm tính chung năm 2021 cao hơn năm trước trong khi số người có việc làm, thu nhập của người làm công hưởng lương thấp hơn năm trước.</w:t>
      </w:r>
    </w:p>
    <w:p w14:paraId="259F2B7D" w14:textId="14292DC3" w:rsidR="001105C0" w:rsidRPr="00DC0CA9" w:rsidRDefault="001105C0" w:rsidP="00F877BF">
      <w:pPr>
        <w:pStyle w:val="BodyTextIndent3"/>
        <w:spacing w:line="340" w:lineRule="exact"/>
        <w:ind w:left="0" w:firstLine="567"/>
        <w:jc w:val="both"/>
        <w:rPr>
          <w:rFonts w:ascii="Times New Roman" w:hAnsi="Times New Roman" w:cs="Times New Roman"/>
          <w:spacing w:val="-4"/>
          <w:sz w:val="28"/>
          <w:szCs w:val="28"/>
          <w:lang w:val="vi-VN"/>
        </w:rPr>
      </w:pPr>
      <w:r w:rsidRPr="00DC0CA9">
        <w:rPr>
          <w:rFonts w:ascii="Times New Roman" w:hAnsi="Times New Roman" w:cs="Times New Roman"/>
          <w:spacing w:val="-4"/>
          <w:sz w:val="28"/>
          <w:szCs w:val="28"/>
          <w:lang w:val="vi-VN"/>
        </w:rPr>
        <w:t>Dân số trung bình năm 2021 của cả nước ước tính 98,51 triệu người, tăng 922,7 nghìn người, tương đương tăng 0,95% so với năm 2020</w:t>
      </w:r>
      <w:r w:rsidRPr="00DC0CA9">
        <w:rPr>
          <w:rFonts w:ascii="Times New Roman" w:hAnsi="Times New Roman" w:cs="Times New Roman"/>
          <w:spacing w:val="-4"/>
          <w:sz w:val="28"/>
          <w:szCs w:val="28"/>
          <w:lang w:val="en-IN"/>
        </w:rPr>
        <w:t>, trong đó: D</w:t>
      </w:r>
      <w:r w:rsidRPr="00DC0CA9">
        <w:rPr>
          <w:rFonts w:ascii="Times New Roman" w:hAnsi="Times New Roman" w:cs="Times New Roman"/>
          <w:spacing w:val="-4"/>
          <w:sz w:val="28"/>
          <w:szCs w:val="28"/>
          <w:lang w:val="vi-VN"/>
        </w:rPr>
        <w:t>ân số thành thị 36,57 triệu người, chiếm 37,1%; dân số nông thôn 61,94 triệu người, chiếm 62,9%; nam 49,1 triệu người, chiếm 49,8%; nữ 49,41 triệu người, chiếm 50,2%. Tỷ số giới tính của dân số năm 2021 là 99,4 nam/100 nữ.</w:t>
      </w:r>
    </w:p>
    <w:p w14:paraId="434EFBFF" w14:textId="305FF72D" w:rsidR="001105C0" w:rsidRPr="00DC0CA9" w:rsidRDefault="001105C0" w:rsidP="00F877BF">
      <w:pPr>
        <w:pStyle w:val="BodyTextIndent3"/>
        <w:spacing w:line="340" w:lineRule="exact"/>
        <w:ind w:left="0" w:firstLine="567"/>
        <w:jc w:val="both"/>
        <w:rPr>
          <w:rFonts w:ascii="Times New Roman" w:hAnsi="Times New Roman" w:cs="Times New Roman"/>
          <w:sz w:val="28"/>
          <w:szCs w:val="28"/>
          <w:lang w:val="vi-VN"/>
        </w:rPr>
      </w:pPr>
      <w:r w:rsidRPr="00DC0CA9">
        <w:rPr>
          <w:rFonts w:ascii="Times New Roman" w:hAnsi="Times New Roman" w:cs="Times New Roman"/>
          <w:sz w:val="28"/>
          <w:szCs w:val="28"/>
          <w:lang w:val="vi-VN"/>
        </w:rPr>
        <w:t>Theo kết quả tổng hợp nhanh báo cáo của tỉnh, thành phố trực thuộc Trung ương, t</w:t>
      </w:r>
      <w:r w:rsidRPr="00DC0CA9">
        <w:rPr>
          <w:rFonts w:ascii="Times New Roman" w:hAnsi="Times New Roman" w:cs="Times New Roman"/>
          <w:sz w:val="28"/>
          <w:szCs w:val="28"/>
          <w:lang w:val="en-US"/>
        </w:rPr>
        <w:t xml:space="preserve">ính đến ngày 15/12/2021, cả nước có khoảng 2,2 triệu người trở về địa phương do ảnh hưởng của đợt dịch Covid-19 lần thứ </w:t>
      </w:r>
      <w:r w:rsidR="00302530" w:rsidRPr="00DC0CA9">
        <w:rPr>
          <w:rFonts w:ascii="Times New Roman" w:hAnsi="Times New Roman" w:cs="Times New Roman"/>
          <w:sz w:val="28"/>
          <w:szCs w:val="28"/>
          <w:lang w:val="en-US"/>
        </w:rPr>
        <w:t>t</w:t>
      </w:r>
      <w:r w:rsidRPr="00DC0CA9">
        <w:rPr>
          <w:rFonts w:ascii="Times New Roman" w:hAnsi="Times New Roman" w:cs="Times New Roman"/>
          <w:sz w:val="28"/>
          <w:szCs w:val="28"/>
          <w:lang w:val="en-US"/>
        </w:rPr>
        <w:t>ư. Trong tổng số người di cư, nữ là 839,5 nghìn người, chiếm 37,5% tổng số; người từ 15 tuổi trở lên là gần 1,6 triệu người, chiếm 70,9%. Số người về các tỉnh, thành phố từ Hà Nội là 447,1 nghìn người; từ Thành phố Hồ Chí Minh là 524 nghìn người; từ các tỉnh phía Nam là 594 nghìn người và từ các tỉnh, thành phố khác là 676 nghìn người.</w:t>
      </w:r>
    </w:p>
    <w:p w14:paraId="2600F34F" w14:textId="76AFDC63" w:rsidR="001105C0" w:rsidRPr="00DC0CA9" w:rsidRDefault="001105C0" w:rsidP="00F877BF">
      <w:pPr>
        <w:pStyle w:val="BodyTextIndent3"/>
        <w:spacing w:line="340" w:lineRule="exact"/>
        <w:ind w:left="0" w:firstLine="567"/>
        <w:jc w:val="both"/>
        <w:rPr>
          <w:rFonts w:ascii="Times New Roman" w:hAnsi="Times New Roman" w:cs="Times New Roman"/>
          <w:spacing w:val="-4"/>
          <w:sz w:val="28"/>
          <w:szCs w:val="28"/>
          <w:lang w:val="vi-VN"/>
        </w:rPr>
      </w:pPr>
      <w:r w:rsidRPr="00DC0CA9">
        <w:rPr>
          <w:rFonts w:ascii="Times New Roman" w:hAnsi="Times New Roman" w:cs="Times New Roman"/>
          <w:sz w:val="28"/>
          <w:szCs w:val="28"/>
        </w:rPr>
        <w:t>Lực lượng lao động từ 15 tuổi trở lên năm 2021 là 50,5 triệu người, giảm 0,8% so với năm trước; lực lượng lao động trong độ tuổi lao động là 44,6 triệu người, giảm 1,5%; l</w:t>
      </w:r>
      <w:r w:rsidRPr="00DC0CA9">
        <w:rPr>
          <w:rFonts w:ascii="Times New Roman" w:hAnsi="Times New Roman" w:cs="Times New Roman"/>
          <w:sz w:val="28"/>
          <w:szCs w:val="28"/>
          <w:lang w:val="vi-VN"/>
        </w:rPr>
        <w:t xml:space="preserve">ao động 15 tuổi trở lên đang làm việc là </w:t>
      </w:r>
      <w:r w:rsidRPr="00DC0CA9">
        <w:rPr>
          <w:rFonts w:ascii="Times New Roman" w:hAnsi="Times New Roman" w:cs="Times New Roman"/>
          <w:sz w:val="28"/>
          <w:szCs w:val="28"/>
          <w:lang w:val="en-IN"/>
        </w:rPr>
        <w:t>49</w:t>
      </w:r>
      <w:r w:rsidRPr="00DC0CA9">
        <w:rPr>
          <w:rFonts w:ascii="Times New Roman" w:hAnsi="Times New Roman" w:cs="Times New Roman"/>
          <w:sz w:val="28"/>
          <w:szCs w:val="28"/>
          <w:lang w:val="vi-VN"/>
        </w:rPr>
        <w:t xml:space="preserve"> triệu người</w:t>
      </w:r>
      <w:r w:rsidRPr="00DC0CA9">
        <w:rPr>
          <w:rFonts w:ascii="Times New Roman" w:hAnsi="Times New Roman" w:cs="Times New Roman"/>
          <w:sz w:val="28"/>
          <w:szCs w:val="28"/>
          <w:lang w:val="en-US"/>
        </w:rPr>
        <w:t>.</w:t>
      </w:r>
      <w:r w:rsidRPr="00DC0CA9">
        <w:rPr>
          <w:rFonts w:ascii="Times New Roman" w:hAnsi="Times New Roman" w:cs="Times New Roman"/>
          <w:spacing w:val="-4"/>
          <w:sz w:val="28"/>
          <w:szCs w:val="28"/>
          <w:lang w:val="vi-VN"/>
        </w:rPr>
        <w:t xml:space="preserve"> </w:t>
      </w:r>
    </w:p>
    <w:p w14:paraId="01B8C3BB" w14:textId="2C20110F" w:rsidR="00191953" w:rsidRPr="00DC0CA9" w:rsidRDefault="005C2F8B" w:rsidP="00F877BF">
      <w:pPr>
        <w:spacing w:after="120" w:line="340" w:lineRule="exact"/>
        <w:ind w:firstLine="567"/>
        <w:jc w:val="both"/>
        <w:rPr>
          <w:rFonts w:ascii="Times New Roman" w:hAnsi="Times New Roman" w:cs="Times New Roman"/>
          <w:sz w:val="28"/>
          <w:szCs w:val="28"/>
          <w:lang w:val="vi-VN"/>
        </w:rPr>
      </w:pPr>
      <w:r w:rsidRPr="00DC0CA9">
        <w:rPr>
          <w:rFonts w:ascii="Times New Roman" w:hAnsi="Times New Roman" w:cs="Times New Roman"/>
          <w:sz w:val="28"/>
          <w:szCs w:val="28"/>
          <w:lang w:val="vi-VN"/>
        </w:rPr>
        <w:t xml:space="preserve">Tỷ lệ thất nghiệp </w:t>
      </w:r>
      <w:r w:rsidR="00302530" w:rsidRPr="00DC0CA9">
        <w:rPr>
          <w:rFonts w:ascii="Times New Roman" w:hAnsi="Times New Roman" w:cs="Times New Roman"/>
          <w:sz w:val="28"/>
          <w:szCs w:val="28"/>
          <w:lang w:val="en-IN"/>
        </w:rPr>
        <w:t xml:space="preserve">trong độ tuổi lao động </w:t>
      </w:r>
      <w:r w:rsidR="00191953" w:rsidRPr="00DC0CA9">
        <w:rPr>
          <w:rFonts w:ascii="Times New Roman" w:hAnsi="Times New Roman" w:cs="Times New Roman"/>
          <w:sz w:val="28"/>
          <w:szCs w:val="28"/>
          <w:lang w:val="en-US"/>
        </w:rPr>
        <w:t>cả nước năm 202</w:t>
      </w:r>
      <w:r w:rsidR="001105C0" w:rsidRPr="00DC0CA9">
        <w:rPr>
          <w:rFonts w:ascii="Times New Roman" w:hAnsi="Times New Roman" w:cs="Times New Roman"/>
          <w:sz w:val="28"/>
          <w:szCs w:val="28"/>
          <w:lang w:val="en-US"/>
        </w:rPr>
        <w:t>1</w:t>
      </w:r>
      <w:r w:rsidR="00191953" w:rsidRPr="00DC0CA9">
        <w:rPr>
          <w:rFonts w:ascii="Times New Roman" w:hAnsi="Times New Roman" w:cs="Times New Roman"/>
          <w:sz w:val="28"/>
          <w:szCs w:val="28"/>
          <w:lang w:val="en-US"/>
        </w:rPr>
        <w:t xml:space="preserve"> </w:t>
      </w:r>
      <w:r w:rsidRPr="00DC0CA9">
        <w:rPr>
          <w:rFonts w:ascii="Times New Roman" w:hAnsi="Times New Roman" w:cs="Times New Roman"/>
          <w:sz w:val="28"/>
          <w:szCs w:val="28"/>
          <w:lang w:val="vi-VN"/>
        </w:rPr>
        <w:t xml:space="preserve">ước tính là </w:t>
      </w:r>
      <w:r w:rsidR="001105C0" w:rsidRPr="00DC0CA9">
        <w:rPr>
          <w:rFonts w:ascii="Times New Roman" w:hAnsi="Times New Roman" w:cs="Times New Roman"/>
          <w:sz w:val="28"/>
          <w:szCs w:val="28"/>
          <w:lang w:val="en-IN"/>
        </w:rPr>
        <w:t>3,22</w:t>
      </w:r>
      <w:r w:rsidRPr="00DC0CA9">
        <w:rPr>
          <w:rFonts w:ascii="Times New Roman" w:hAnsi="Times New Roman" w:cs="Times New Roman"/>
          <w:sz w:val="28"/>
          <w:szCs w:val="28"/>
          <w:lang w:val="vi-VN"/>
        </w:rPr>
        <w:t xml:space="preserve">%, trong đó tỷ lệ thất nghiệp khu vực thành thị là </w:t>
      </w:r>
      <w:r w:rsidR="001105C0" w:rsidRPr="00DC0CA9">
        <w:rPr>
          <w:rFonts w:ascii="Times New Roman" w:hAnsi="Times New Roman" w:cs="Times New Roman"/>
          <w:sz w:val="28"/>
          <w:szCs w:val="28"/>
          <w:lang w:val="en-IN"/>
        </w:rPr>
        <w:t>4,42</w:t>
      </w:r>
      <w:r w:rsidRPr="00DC0CA9">
        <w:rPr>
          <w:rFonts w:ascii="Times New Roman" w:hAnsi="Times New Roman" w:cs="Times New Roman"/>
          <w:sz w:val="28"/>
          <w:szCs w:val="28"/>
          <w:lang w:val="vi-VN"/>
        </w:rPr>
        <w:t xml:space="preserve">%; khu vực nông thôn là </w:t>
      </w:r>
      <w:r w:rsidR="001105C0" w:rsidRPr="00DC0CA9">
        <w:rPr>
          <w:rFonts w:ascii="Times New Roman" w:hAnsi="Times New Roman" w:cs="Times New Roman"/>
          <w:sz w:val="28"/>
          <w:szCs w:val="28"/>
          <w:lang w:val="en-IN"/>
        </w:rPr>
        <w:t>2,48</w:t>
      </w:r>
      <w:r w:rsidRPr="00DC0CA9">
        <w:rPr>
          <w:rFonts w:ascii="Times New Roman" w:hAnsi="Times New Roman" w:cs="Times New Roman"/>
          <w:sz w:val="28"/>
          <w:szCs w:val="28"/>
          <w:lang w:val="vi-VN"/>
        </w:rPr>
        <w:t>%.</w:t>
      </w:r>
    </w:p>
    <w:p w14:paraId="266E6FD2" w14:textId="31BA1953" w:rsidR="00191953" w:rsidRPr="00DC0CA9" w:rsidRDefault="005C2F8B" w:rsidP="00F877BF">
      <w:pPr>
        <w:spacing w:after="120" w:line="340" w:lineRule="exact"/>
        <w:ind w:firstLine="567"/>
        <w:jc w:val="both"/>
        <w:rPr>
          <w:rFonts w:ascii="Times New Roman" w:hAnsi="Times New Roman" w:cs="Times New Roman"/>
          <w:sz w:val="28"/>
          <w:szCs w:val="28"/>
          <w:lang w:val="en-US"/>
        </w:rPr>
      </w:pPr>
      <w:r w:rsidRPr="00DC0CA9">
        <w:rPr>
          <w:rFonts w:ascii="Times New Roman" w:hAnsi="Times New Roman" w:cs="Times New Roman"/>
          <w:sz w:val="28"/>
          <w:szCs w:val="28"/>
          <w:lang w:val="vi-VN"/>
        </w:rPr>
        <w:t>Tỷ lệ thiếu việc làm của lao động trong độ tuổi năm 202</w:t>
      </w:r>
      <w:r w:rsidR="001105C0" w:rsidRPr="00DC0CA9">
        <w:rPr>
          <w:rFonts w:ascii="Times New Roman" w:hAnsi="Times New Roman" w:cs="Times New Roman"/>
          <w:sz w:val="28"/>
          <w:szCs w:val="28"/>
          <w:lang w:val="en-IN"/>
        </w:rPr>
        <w:t>1</w:t>
      </w:r>
      <w:r w:rsidR="00191953" w:rsidRPr="00DC0CA9">
        <w:rPr>
          <w:rFonts w:ascii="Times New Roman" w:hAnsi="Times New Roman" w:cs="Times New Roman"/>
          <w:sz w:val="28"/>
          <w:szCs w:val="28"/>
          <w:lang w:val="en-US"/>
        </w:rPr>
        <w:t xml:space="preserve"> </w:t>
      </w:r>
      <w:r w:rsidRPr="00DC0CA9">
        <w:rPr>
          <w:rFonts w:ascii="Times New Roman" w:hAnsi="Times New Roman" w:cs="Times New Roman"/>
          <w:sz w:val="28"/>
          <w:szCs w:val="28"/>
          <w:lang w:val="vi-VN"/>
        </w:rPr>
        <w:t xml:space="preserve">là </w:t>
      </w:r>
      <w:r w:rsidR="001105C0" w:rsidRPr="00DC0CA9">
        <w:rPr>
          <w:rFonts w:ascii="Times New Roman" w:hAnsi="Times New Roman" w:cs="Times New Roman"/>
          <w:sz w:val="28"/>
          <w:szCs w:val="28"/>
          <w:lang w:val="en-IN"/>
        </w:rPr>
        <w:t>3,1</w:t>
      </w:r>
      <w:r w:rsidRPr="00DC0CA9">
        <w:rPr>
          <w:rFonts w:ascii="Times New Roman" w:hAnsi="Times New Roman" w:cs="Times New Roman"/>
          <w:sz w:val="28"/>
          <w:szCs w:val="28"/>
          <w:lang w:val="vi-VN"/>
        </w:rPr>
        <w:t xml:space="preserve">%, trong đó tỷ lệ thiếu việc làm khu vực thành thị là </w:t>
      </w:r>
      <w:r w:rsidR="001105C0" w:rsidRPr="00DC0CA9">
        <w:rPr>
          <w:rFonts w:ascii="Times New Roman" w:hAnsi="Times New Roman" w:cs="Times New Roman"/>
          <w:sz w:val="28"/>
          <w:szCs w:val="28"/>
          <w:lang w:val="en-IN"/>
        </w:rPr>
        <w:t>3,33</w:t>
      </w:r>
      <w:r w:rsidRPr="00DC0CA9">
        <w:rPr>
          <w:rFonts w:ascii="Times New Roman" w:hAnsi="Times New Roman" w:cs="Times New Roman"/>
          <w:sz w:val="28"/>
          <w:szCs w:val="28"/>
          <w:lang w:val="vi-VN"/>
        </w:rPr>
        <w:t xml:space="preserve">%; tỷ lệ thiếu việc làm khu vực nông thôn là </w:t>
      </w:r>
      <w:r w:rsidRPr="00DC0CA9">
        <w:rPr>
          <w:rFonts w:ascii="Times New Roman" w:hAnsi="Times New Roman" w:cs="Times New Roman"/>
          <w:sz w:val="28"/>
          <w:szCs w:val="28"/>
          <w:lang w:val="en-US"/>
        </w:rPr>
        <w:t>2,9</w:t>
      </w:r>
      <w:r w:rsidR="001105C0" w:rsidRPr="00DC0CA9">
        <w:rPr>
          <w:rFonts w:ascii="Times New Roman" w:hAnsi="Times New Roman" w:cs="Times New Roman"/>
          <w:sz w:val="28"/>
          <w:szCs w:val="28"/>
          <w:lang w:val="en-US"/>
        </w:rPr>
        <w:t>6</w:t>
      </w:r>
      <w:r w:rsidRPr="00DC0CA9">
        <w:rPr>
          <w:rFonts w:ascii="Times New Roman" w:hAnsi="Times New Roman" w:cs="Times New Roman"/>
          <w:sz w:val="28"/>
          <w:szCs w:val="28"/>
          <w:lang w:val="vi-VN"/>
        </w:rPr>
        <w:t>%</w:t>
      </w:r>
      <w:r w:rsidR="00191953" w:rsidRPr="00DC0CA9">
        <w:rPr>
          <w:rFonts w:ascii="Times New Roman" w:hAnsi="Times New Roman" w:cs="Times New Roman"/>
          <w:sz w:val="28"/>
          <w:szCs w:val="28"/>
          <w:lang w:val="en-US"/>
        </w:rPr>
        <w:t>.</w:t>
      </w:r>
    </w:p>
    <w:p w14:paraId="6C4073F7" w14:textId="77777777" w:rsidR="007A300F" w:rsidRPr="00DC0CA9" w:rsidRDefault="006C21AD" w:rsidP="00F877BF">
      <w:pPr>
        <w:widowControl w:val="0"/>
        <w:spacing w:after="120" w:line="340" w:lineRule="exact"/>
        <w:ind w:firstLine="567"/>
        <w:jc w:val="both"/>
        <w:rPr>
          <w:rFonts w:ascii="Times New Roman" w:hAnsi="Times New Roman" w:cs="Times New Roman"/>
          <w:b/>
          <w:i/>
          <w:spacing w:val="-2"/>
          <w:sz w:val="28"/>
          <w:szCs w:val="28"/>
          <w:lang w:val="nl-NL"/>
        </w:rPr>
      </w:pPr>
      <w:r w:rsidRPr="00DC0CA9">
        <w:rPr>
          <w:rFonts w:ascii="Times New Roman" w:hAnsi="Times New Roman" w:cs="Times New Roman"/>
          <w:b/>
          <w:bCs/>
          <w:i/>
          <w:iCs/>
          <w:sz w:val="28"/>
          <w:szCs w:val="28"/>
        </w:rPr>
        <w:t>2</w:t>
      </w:r>
      <w:r w:rsidR="007A4625" w:rsidRPr="00DC0CA9">
        <w:rPr>
          <w:rFonts w:ascii="Times New Roman" w:hAnsi="Times New Roman" w:cs="Times New Roman"/>
          <w:b/>
          <w:bCs/>
          <w:i/>
          <w:iCs/>
          <w:sz w:val="28"/>
          <w:szCs w:val="28"/>
        </w:rPr>
        <w:t>. Năm 202</w:t>
      </w:r>
      <w:r w:rsidR="001105C0" w:rsidRPr="00DC0CA9">
        <w:rPr>
          <w:rFonts w:ascii="Times New Roman" w:hAnsi="Times New Roman" w:cs="Times New Roman"/>
          <w:b/>
          <w:bCs/>
          <w:i/>
          <w:iCs/>
          <w:sz w:val="28"/>
          <w:szCs w:val="28"/>
        </w:rPr>
        <w:t>1</w:t>
      </w:r>
      <w:r w:rsidR="007A4625" w:rsidRPr="00DC0CA9">
        <w:rPr>
          <w:rFonts w:ascii="Times New Roman" w:hAnsi="Times New Roman" w:cs="Times New Roman"/>
          <w:b/>
          <w:bCs/>
          <w:i/>
          <w:iCs/>
          <w:sz w:val="28"/>
          <w:szCs w:val="28"/>
        </w:rPr>
        <w:t xml:space="preserve">, </w:t>
      </w:r>
      <w:r w:rsidR="001105C0" w:rsidRPr="00DC0CA9">
        <w:rPr>
          <w:rFonts w:ascii="Times New Roman" w:hAnsi="Times New Roman" w:cs="Times New Roman"/>
          <w:b/>
          <w:i/>
          <w:spacing w:val="-2"/>
          <w:sz w:val="28"/>
          <w:szCs w:val="28"/>
          <w:lang w:val="nl-NL"/>
        </w:rPr>
        <w:t xml:space="preserve">tình hình dịch Covid-19 diễn biến phức tạp và kéo dài đã ảnh hưởng không nhỏ tới đời sống dân cư. Chính phủ, Thủ tướng Chính phủ đã chỉ đạo các Bộ, ngành, địa phương </w:t>
      </w:r>
      <w:r w:rsidR="001105C0" w:rsidRPr="00DC0CA9">
        <w:rPr>
          <w:rFonts w:ascii="Times New Roman" w:hAnsi="Times New Roman" w:cs="Times New Roman"/>
          <w:b/>
          <w:bCs/>
          <w:i/>
          <w:spacing w:val="-2"/>
          <w:sz w:val="28"/>
          <w:szCs w:val="28"/>
          <w:lang w:val="nl-NL"/>
        </w:rPr>
        <w:t>ưu tiên cho công tác phòng chống, kiểm soát dịch</w:t>
      </w:r>
      <w:r w:rsidR="001105C0" w:rsidRPr="00DC0CA9">
        <w:rPr>
          <w:rFonts w:ascii="Times New Roman" w:hAnsi="Times New Roman" w:cs="Times New Roman"/>
          <w:b/>
          <w:i/>
          <w:spacing w:val="-2"/>
          <w:sz w:val="28"/>
          <w:szCs w:val="28"/>
          <w:lang w:val="nl-NL"/>
        </w:rPr>
        <w:t xml:space="preserve"> bệnh với nhiệm vụ trọng tâm là bảo đảm công tác an sinh xã hội và đời sống của người dân, nhất là người dân ở các địa phương thực hiện giãn cách xã hội, bảo đảm người dân có đủ ăn, đủ mặc. </w:t>
      </w:r>
    </w:p>
    <w:p w14:paraId="19C987CB" w14:textId="7FADBB45" w:rsidR="001105C0" w:rsidRPr="00DC0CA9" w:rsidRDefault="001105C0" w:rsidP="00F877BF">
      <w:pPr>
        <w:widowControl w:val="0"/>
        <w:spacing w:after="120" w:line="340" w:lineRule="exact"/>
        <w:ind w:firstLine="567"/>
        <w:jc w:val="both"/>
        <w:rPr>
          <w:rFonts w:ascii="Times New Roman" w:hAnsi="Times New Roman" w:cs="Times New Roman"/>
          <w:spacing w:val="-2"/>
          <w:sz w:val="28"/>
          <w:szCs w:val="28"/>
          <w:lang w:val="nl-NL"/>
        </w:rPr>
      </w:pPr>
      <w:r w:rsidRPr="00DC0CA9">
        <w:rPr>
          <w:rFonts w:ascii="Times New Roman" w:hAnsi="Times New Roman" w:cs="Times New Roman"/>
          <w:spacing w:val="-2"/>
          <w:sz w:val="28"/>
          <w:szCs w:val="28"/>
          <w:lang w:val="nl-NL"/>
        </w:rPr>
        <w:t>Theo kết quả sơ bộ từ Khảo sát mức sống dân cư năm 2021, ước tính thu nhập bình quân 1 người 1 tháng năm 2021 theo giá hiện hành đạt khoảng 4,2 triệu đồng, giảm 73 nghìn đồng so với năm 2020; tỷ lệ nghèo tiếp cận đa chiều ước khoảng 4,4%, giảm 0,4 điểm phần trăm so với năm 2020.</w:t>
      </w:r>
    </w:p>
    <w:p w14:paraId="5D577743" w14:textId="23C6E015" w:rsidR="007A300F" w:rsidRPr="00DC0CA9" w:rsidRDefault="007A300F" w:rsidP="00F877BF">
      <w:pPr>
        <w:spacing w:after="120" w:line="340" w:lineRule="exact"/>
        <w:ind w:firstLine="567"/>
        <w:jc w:val="both"/>
        <w:rPr>
          <w:rStyle w:val="fontstyle01"/>
          <w:rFonts w:cs="Times New Roman"/>
          <w:color w:val="auto"/>
          <w:szCs w:val="28"/>
          <w:lang w:val="nl-NL"/>
        </w:rPr>
      </w:pPr>
      <w:r w:rsidRPr="00DC0CA9">
        <w:rPr>
          <w:rFonts w:ascii="Times New Roman" w:hAnsi="Times New Roman" w:cs="Times New Roman"/>
          <w:bCs/>
          <w:sz w:val="28"/>
          <w:szCs w:val="28"/>
          <w:lang w:val="nl-NL"/>
        </w:rPr>
        <w:t>Theo Bộ Lao động - Thương binh và Xã hội, t</w:t>
      </w:r>
      <w:r w:rsidRPr="00DC0CA9">
        <w:rPr>
          <w:rStyle w:val="fontstyle01"/>
          <w:rFonts w:cs="Times New Roman"/>
          <w:color w:val="auto"/>
          <w:szCs w:val="28"/>
          <w:lang w:val="nl-NL"/>
        </w:rPr>
        <w:t>ính đến ngày 15/12/2021 tổng kinh phí từ nguồn ngân sách Trung ương đã hỗ trợ</w:t>
      </w:r>
      <w:r w:rsidRPr="00DC0CA9">
        <w:rPr>
          <w:rFonts w:ascii="Times New Roman" w:hAnsi="Times New Roman" w:cs="Times New Roman"/>
          <w:sz w:val="28"/>
          <w:szCs w:val="28"/>
          <w:lang w:val="nl-NL"/>
        </w:rPr>
        <w:t xml:space="preserve"> theo </w:t>
      </w:r>
      <w:r w:rsidRPr="00DC0CA9">
        <w:rPr>
          <w:rFonts w:ascii="Times New Roman" w:hAnsi="Times New Roman" w:cs="Times New Roman"/>
          <w:bCs/>
          <w:sz w:val="28"/>
          <w:szCs w:val="28"/>
          <w:lang w:val="nl-NL"/>
        </w:rPr>
        <w:t xml:space="preserve">Nghị quyết số 68/NQ-CP ngày 01/7/2021; </w:t>
      </w:r>
      <w:r w:rsidRPr="00DC0CA9">
        <w:rPr>
          <w:rFonts w:ascii="Times New Roman" w:hAnsi="Times New Roman" w:cs="Times New Roman"/>
          <w:sz w:val="28"/>
          <w:szCs w:val="28"/>
          <w:lang w:val="nl-NL"/>
        </w:rPr>
        <w:t xml:space="preserve">Nghị quyết số 86/NQ-CP ngày 06/8/2021 </w:t>
      </w:r>
      <w:r w:rsidR="00207A9A" w:rsidRPr="00DC0CA9">
        <w:rPr>
          <w:rFonts w:ascii="Times New Roman" w:hAnsi="Times New Roman" w:cs="Times New Roman"/>
          <w:sz w:val="28"/>
          <w:szCs w:val="28"/>
          <w:lang w:val="nl-NL"/>
        </w:rPr>
        <w:t xml:space="preserve">và </w:t>
      </w:r>
      <w:r w:rsidR="00207A9A" w:rsidRPr="00DC0CA9">
        <w:rPr>
          <w:rFonts w:ascii="Times New Roman" w:hAnsi="Times New Roman" w:cs="Times New Roman"/>
          <w:bCs/>
          <w:sz w:val="28"/>
          <w:szCs w:val="28"/>
          <w:lang w:val="nl-NL"/>
        </w:rPr>
        <w:t xml:space="preserve">Nghị quyết số 126/NQ-CP ngày 08/10/2021 </w:t>
      </w:r>
      <w:r w:rsidRPr="00DC0CA9">
        <w:rPr>
          <w:rFonts w:ascii="Times New Roman" w:hAnsi="Times New Roman" w:cs="Times New Roman"/>
          <w:sz w:val="28"/>
          <w:szCs w:val="28"/>
          <w:lang w:val="nl-NL"/>
        </w:rPr>
        <w:t>của Chính phủ;</w:t>
      </w:r>
      <w:r w:rsidRPr="00DC0CA9">
        <w:rPr>
          <w:rStyle w:val="fontstyle01"/>
          <w:rFonts w:cs="Times New Roman"/>
          <w:color w:val="auto"/>
          <w:szCs w:val="28"/>
          <w:lang w:val="nl-NL"/>
        </w:rPr>
        <w:t xml:space="preserve"> Quyết định số 23/2021/QĐ-TTg</w:t>
      </w:r>
      <w:r w:rsidRPr="00DC0CA9">
        <w:rPr>
          <w:rFonts w:ascii="Times New Roman" w:hAnsi="Times New Roman" w:cs="Times New Roman"/>
          <w:sz w:val="28"/>
          <w:szCs w:val="28"/>
          <w:lang w:val="nl-NL"/>
        </w:rPr>
        <w:t xml:space="preserve"> </w:t>
      </w:r>
      <w:r w:rsidR="00207A9A" w:rsidRPr="00DC0CA9">
        <w:rPr>
          <w:rFonts w:ascii="Times New Roman" w:hAnsi="Times New Roman" w:cs="Times New Roman"/>
          <w:sz w:val="28"/>
          <w:szCs w:val="28"/>
          <w:lang w:val="nl-NL"/>
        </w:rPr>
        <w:t xml:space="preserve">ngày 07/7/2021 </w:t>
      </w:r>
      <w:r w:rsidRPr="00DC0CA9">
        <w:rPr>
          <w:rFonts w:ascii="Times New Roman" w:hAnsi="Times New Roman" w:cs="Times New Roman"/>
          <w:sz w:val="28"/>
          <w:szCs w:val="28"/>
          <w:lang w:val="nl-NL"/>
        </w:rPr>
        <w:t>của</w:t>
      </w:r>
      <w:r w:rsidRPr="00DC0CA9">
        <w:rPr>
          <w:rFonts w:ascii="Times New Roman" w:hAnsi="Times New Roman" w:cs="Times New Roman"/>
          <w:bCs/>
          <w:sz w:val="28"/>
          <w:szCs w:val="28"/>
          <w:lang w:val="nl-NL"/>
        </w:rPr>
        <w:t xml:space="preserve"> </w:t>
      </w:r>
      <w:r w:rsidRPr="00DC0CA9">
        <w:rPr>
          <w:rStyle w:val="fontstyle01"/>
          <w:rFonts w:cs="Times New Roman"/>
          <w:color w:val="auto"/>
          <w:szCs w:val="28"/>
          <w:lang w:val="nl-NL"/>
        </w:rPr>
        <w:t>Thủ tướng Chính phủ</w:t>
      </w:r>
      <w:r w:rsidRPr="00DC0CA9">
        <w:rPr>
          <w:rFonts w:ascii="Times New Roman" w:hAnsi="Times New Roman" w:cs="Times New Roman"/>
          <w:bCs/>
          <w:sz w:val="28"/>
          <w:szCs w:val="28"/>
          <w:lang w:val="nl-NL"/>
        </w:rPr>
        <w:t xml:space="preserve"> </w:t>
      </w:r>
      <w:r w:rsidRPr="00DC0CA9">
        <w:rPr>
          <w:rStyle w:val="fontstyle01"/>
          <w:rFonts w:cs="Times New Roman"/>
          <w:color w:val="auto"/>
          <w:szCs w:val="28"/>
          <w:lang w:val="nl-NL"/>
        </w:rPr>
        <w:t>là gần 31,4 nghìn tỷ đồng cho 28,8 triệu</w:t>
      </w:r>
      <w:r w:rsidR="00302530" w:rsidRPr="00DC0CA9">
        <w:rPr>
          <w:rStyle w:val="fontstyle01"/>
          <w:rFonts w:cs="Times New Roman"/>
          <w:color w:val="auto"/>
          <w:szCs w:val="28"/>
          <w:lang w:val="nl-NL"/>
        </w:rPr>
        <w:t xml:space="preserve"> lượt người</w:t>
      </w:r>
      <w:r w:rsidRPr="00DC0CA9">
        <w:rPr>
          <w:rStyle w:val="fontstyle01"/>
          <w:rFonts w:cs="Times New Roman"/>
          <w:color w:val="auto"/>
          <w:szCs w:val="28"/>
          <w:lang w:val="nl-NL"/>
        </w:rPr>
        <w:t xml:space="preserve"> và 337,9 nghìn đơn vị sử dụng lao động/hộ kinh doanh. Bên cạnh đó, theo Nghị quyết 116/NQ-CP ngày 24/9/2021 của Chính phủ đã hỗ trợ </w:t>
      </w:r>
      <w:r w:rsidRPr="00DC0CA9">
        <w:rPr>
          <w:rFonts w:ascii="Times New Roman" w:hAnsi="Times New Roman" w:cs="Times New Roman"/>
          <w:sz w:val="28"/>
          <w:szCs w:val="28"/>
          <w:lang w:val="nl-NL"/>
        </w:rPr>
        <w:t xml:space="preserve">37,5 nghìn tỷ đồng cho gần 22,3 triệu lượt người và 363,6 nghìn đơn vị sử dụng lao động/hộ kinh doanh. Tính đến ngày 23/12/2021 đã </w:t>
      </w:r>
      <w:r w:rsidRPr="00DC0CA9">
        <w:rPr>
          <w:rStyle w:val="fontstyle01"/>
          <w:rFonts w:cs="Times New Roman"/>
          <w:color w:val="auto"/>
          <w:szCs w:val="28"/>
          <w:lang w:val="nl-NL"/>
        </w:rPr>
        <w:t xml:space="preserve">hỗ trợ gần 149,1 nghìn tấn gạo cho 2,5 triệu lượt hộ với gần 9,9 triệu lượt nhân khẩu thiếu đói do giáp hạt, ảnh hưởng dịch bệnh và thiên tai. </w:t>
      </w:r>
    </w:p>
    <w:p w14:paraId="7F846534" w14:textId="6A44E79D" w:rsidR="007A300F" w:rsidRPr="00DC0CA9" w:rsidRDefault="007A300F" w:rsidP="00F877BF">
      <w:pPr>
        <w:spacing w:after="120" w:line="340" w:lineRule="exact"/>
        <w:ind w:firstLine="567"/>
        <w:jc w:val="both"/>
        <w:rPr>
          <w:rFonts w:ascii="Times New Roman" w:hAnsi="Times New Roman" w:cs="Times New Roman"/>
          <w:bCs/>
          <w:spacing w:val="-2"/>
          <w:sz w:val="28"/>
          <w:szCs w:val="28"/>
          <w:lang w:val="vi-VN"/>
        </w:rPr>
      </w:pPr>
      <w:r w:rsidRPr="00DC0CA9">
        <w:rPr>
          <w:rFonts w:ascii="Times New Roman" w:hAnsi="Times New Roman" w:cs="Times New Roman"/>
          <w:bCs/>
          <w:spacing w:val="-2"/>
          <w:sz w:val="28"/>
          <w:szCs w:val="28"/>
          <w:lang w:val="nl-NL"/>
        </w:rPr>
        <w:t>Công tác an sinh xã hội định kỳ và</w:t>
      </w:r>
      <w:r w:rsidRPr="00DC0CA9">
        <w:rPr>
          <w:rFonts w:ascii="Times New Roman" w:hAnsi="Times New Roman" w:cs="Times New Roman"/>
          <w:bCs/>
          <w:spacing w:val="-2"/>
          <w:sz w:val="28"/>
          <w:szCs w:val="28"/>
          <w:lang w:val="vi-VN"/>
        </w:rPr>
        <w:t xml:space="preserve"> </w:t>
      </w:r>
      <w:r w:rsidRPr="00DC0CA9">
        <w:rPr>
          <w:rStyle w:val="fontstyle01"/>
          <w:rFonts w:cs="Times New Roman"/>
          <w:bCs/>
          <w:color w:val="auto"/>
          <w:spacing w:val="-2"/>
          <w:szCs w:val="28"/>
          <w:lang w:val="nl-NL"/>
        </w:rPr>
        <w:t>công tác giảm nghèo bền vững</w:t>
      </w:r>
      <w:r w:rsidRPr="00DC0CA9">
        <w:rPr>
          <w:rStyle w:val="fontstyle01"/>
          <w:rFonts w:cs="Times New Roman"/>
          <w:color w:val="auto"/>
          <w:spacing w:val="-2"/>
          <w:szCs w:val="28"/>
          <w:lang w:val="nl-NL"/>
        </w:rPr>
        <w:t xml:space="preserve"> tiếp tục được quan tâm, chỉ đạo. </w:t>
      </w:r>
      <w:r w:rsidRPr="00DC0CA9">
        <w:rPr>
          <w:rFonts w:ascii="Times New Roman" w:hAnsi="Times New Roman" w:cs="Times New Roman"/>
          <w:bCs/>
          <w:spacing w:val="-2"/>
          <w:sz w:val="28"/>
          <w:szCs w:val="28"/>
          <w:lang w:val="nl-NL"/>
        </w:rPr>
        <w:t xml:space="preserve">Trong </w:t>
      </w:r>
      <w:r w:rsidRPr="00DC0CA9">
        <w:rPr>
          <w:rFonts w:ascii="Times New Roman" w:hAnsi="Times New Roman" w:cs="Times New Roman"/>
          <w:bCs/>
          <w:spacing w:val="-2"/>
          <w:sz w:val="28"/>
          <w:szCs w:val="28"/>
          <w:lang w:val="vi-VN"/>
        </w:rPr>
        <w:t>năm 202</w:t>
      </w:r>
      <w:r w:rsidRPr="00DC0CA9">
        <w:rPr>
          <w:rFonts w:ascii="Times New Roman" w:hAnsi="Times New Roman" w:cs="Times New Roman"/>
          <w:bCs/>
          <w:spacing w:val="-2"/>
          <w:sz w:val="28"/>
          <w:szCs w:val="28"/>
          <w:lang w:val="nl-NL"/>
        </w:rPr>
        <w:t>1,</w:t>
      </w:r>
      <w:r w:rsidRPr="00DC0CA9">
        <w:rPr>
          <w:rFonts w:ascii="Times New Roman" w:hAnsi="Times New Roman" w:cs="Times New Roman"/>
          <w:bCs/>
          <w:spacing w:val="-2"/>
          <w:sz w:val="28"/>
          <w:szCs w:val="28"/>
          <w:lang w:val="vi-VN"/>
        </w:rPr>
        <w:t xml:space="preserve"> </w:t>
      </w:r>
      <w:r w:rsidRPr="00DC0CA9">
        <w:rPr>
          <w:rFonts w:ascii="Times New Roman" w:hAnsi="Times New Roman" w:cs="Times New Roman"/>
          <w:bCs/>
          <w:spacing w:val="-2"/>
          <w:sz w:val="28"/>
          <w:szCs w:val="28"/>
          <w:lang w:val="nl-NL"/>
        </w:rPr>
        <w:t>tổng trị giá tiền và quà hỗ trợ</w:t>
      </w:r>
      <w:r w:rsidRPr="00DC0CA9">
        <w:rPr>
          <w:rFonts w:ascii="Times New Roman" w:hAnsi="Times New Roman" w:cs="Times New Roman"/>
          <w:bCs/>
          <w:spacing w:val="-2"/>
          <w:sz w:val="28"/>
          <w:szCs w:val="28"/>
          <w:lang w:val="vi-VN"/>
        </w:rPr>
        <w:t xml:space="preserve"> cho các đối tượng</w:t>
      </w:r>
      <w:r w:rsidRPr="00DC0CA9">
        <w:rPr>
          <w:rFonts w:ascii="Times New Roman" w:hAnsi="Times New Roman" w:cs="Times New Roman"/>
          <w:bCs/>
          <w:spacing w:val="-2"/>
          <w:sz w:val="28"/>
          <w:szCs w:val="28"/>
          <w:lang w:val="nl-NL"/>
        </w:rPr>
        <w:t xml:space="preserve"> là 9,7 nghìn tỷ đồng, trong đó, hỗ trợ cho các đối tượng người có công, thân nhân người có công là 4,4 nghìn tỷ đồng, hỗ trợ cho hộ nghèo, hộ cận nghèo là 2,8 nghìn tỷ đồng; hỗ trợ cứu đói các đối tượng bảo trợ xã hội và đối tượng khác là 2,5 tỷ đồng</w:t>
      </w:r>
      <w:r w:rsidRPr="00DC0CA9">
        <w:rPr>
          <w:rStyle w:val="fontstyle01"/>
          <w:rFonts w:cs="Times New Roman"/>
          <w:color w:val="auto"/>
          <w:spacing w:val="-2"/>
          <w:szCs w:val="28"/>
          <w:lang w:val="nl-NL"/>
        </w:rPr>
        <w:t>.</w:t>
      </w:r>
      <w:r w:rsidRPr="00DC0CA9">
        <w:rPr>
          <w:rFonts w:ascii="Times New Roman" w:hAnsi="Times New Roman" w:cs="Times New Roman"/>
          <w:bCs/>
          <w:spacing w:val="-2"/>
          <w:sz w:val="28"/>
          <w:szCs w:val="28"/>
          <w:lang w:val="nl-NL"/>
        </w:rPr>
        <w:t xml:space="preserve"> Có </w:t>
      </w:r>
      <w:r w:rsidRPr="00DC0CA9">
        <w:rPr>
          <w:rStyle w:val="fontstyle01"/>
          <w:rFonts w:cs="Times New Roman"/>
          <w:color w:val="auto"/>
          <w:spacing w:val="-2"/>
          <w:szCs w:val="28"/>
          <w:lang w:val="nl-NL"/>
        </w:rPr>
        <w:t xml:space="preserve">gần 29,1 </w:t>
      </w:r>
      <w:r w:rsidRPr="00DC0CA9">
        <w:rPr>
          <w:rFonts w:ascii="Times New Roman" w:hAnsi="Times New Roman" w:cs="Times New Roman"/>
          <w:bCs/>
          <w:spacing w:val="-2"/>
          <w:sz w:val="28"/>
          <w:szCs w:val="28"/>
          <w:lang w:val="vi-VN"/>
        </w:rPr>
        <w:t xml:space="preserve">triệu thẻ </w:t>
      </w:r>
      <w:r w:rsidRPr="00DC0CA9">
        <w:rPr>
          <w:rFonts w:ascii="Times New Roman" w:hAnsi="Times New Roman" w:cs="Times New Roman"/>
          <w:bCs/>
          <w:spacing w:val="-2"/>
          <w:sz w:val="28"/>
          <w:szCs w:val="28"/>
          <w:lang w:val="nl-NL"/>
        </w:rPr>
        <w:t>bảo hiểm xã hội</w:t>
      </w:r>
      <w:r w:rsidRPr="00DC0CA9">
        <w:rPr>
          <w:rFonts w:ascii="Times New Roman" w:hAnsi="Times New Roman" w:cs="Times New Roman"/>
          <w:bCs/>
          <w:spacing w:val="-2"/>
          <w:sz w:val="28"/>
          <w:szCs w:val="28"/>
          <w:lang w:val="vi-VN"/>
        </w:rPr>
        <w:t>/sổ/thẻ khám chữa bệnh miễn phí được phát, tặng cho các đối tượng thụ hưởng.</w:t>
      </w:r>
    </w:p>
    <w:p w14:paraId="70766965" w14:textId="77777777" w:rsidR="007A300F" w:rsidRPr="00DC0CA9" w:rsidRDefault="007A300F" w:rsidP="00FA1162">
      <w:pPr>
        <w:spacing w:after="120" w:line="266" w:lineRule="auto"/>
        <w:ind w:firstLine="567"/>
        <w:jc w:val="both"/>
        <w:rPr>
          <w:rFonts w:ascii="Times New Roman" w:hAnsi="Times New Roman" w:cs="Times New Roman"/>
          <w:bCs/>
          <w:sz w:val="28"/>
          <w:szCs w:val="28"/>
          <w:lang w:val="de-DE"/>
        </w:rPr>
      </w:pPr>
      <w:r w:rsidRPr="00DC0CA9">
        <w:rPr>
          <w:rFonts w:ascii="Times New Roman" w:hAnsi="Times New Roman" w:cs="Times New Roman"/>
          <w:bCs/>
          <w:sz w:val="28"/>
          <w:szCs w:val="28"/>
          <w:lang w:val="de-DE"/>
        </w:rPr>
        <w:t xml:space="preserve">Theo Bộ Nông nghiệp và Phát triển nông thôn, đến tháng 11/2021, cả nước có </w:t>
      </w:r>
      <w:r w:rsidRPr="00DC0CA9">
        <w:rPr>
          <w:rFonts w:ascii="Times New Roman" w:hAnsi="Times New Roman" w:cs="Times New Roman"/>
          <w:sz w:val="28"/>
          <w:szCs w:val="28"/>
          <w:lang w:val="de-DE"/>
        </w:rPr>
        <w:t xml:space="preserve">5.392 </w:t>
      </w:r>
      <w:r w:rsidRPr="00DC0CA9">
        <w:rPr>
          <w:rFonts w:ascii="Times New Roman" w:hAnsi="Times New Roman" w:cs="Times New Roman"/>
          <w:bCs/>
          <w:sz w:val="28"/>
          <w:szCs w:val="28"/>
          <w:lang w:val="de-DE"/>
        </w:rPr>
        <w:t xml:space="preserve">xã đạt chuẩn nông thôn mới (đạt 65,5%), ước tính đến hết tháng 12/2021 đạt 68% (tăng 5,6% so với năm 2020). </w:t>
      </w:r>
    </w:p>
    <w:p w14:paraId="55AB8C30" w14:textId="71D3E949" w:rsidR="00942996" w:rsidRPr="00DC0CA9" w:rsidRDefault="006C21AD" w:rsidP="00FA1162">
      <w:pPr>
        <w:pStyle w:val="Normal2"/>
        <w:spacing w:before="0" w:beforeAutospacing="0" w:after="120" w:afterAutospacing="0" w:line="266" w:lineRule="auto"/>
        <w:ind w:firstLine="567"/>
        <w:jc w:val="both"/>
        <w:rPr>
          <w:rFonts w:ascii="Times New Roman" w:hAnsi="Times New Roman" w:cs="Times New Roman"/>
          <w:b/>
          <w:i/>
          <w:sz w:val="28"/>
          <w:szCs w:val="28"/>
        </w:rPr>
      </w:pPr>
      <w:r w:rsidRPr="00DC0CA9">
        <w:rPr>
          <w:rStyle w:val="normalchar"/>
          <w:rFonts w:ascii="Times New Roman" w:hAnsi="Times New Roman"/>
          <w:b/>
          <w:i/>
          <w:iCs/>
          <w:sz w:val="28"/>
          <w:szCs w:val="28"/>
          <w:lang w:val="nl-NL"/>
        </w:rPr>
        <w:t>3</w:t>
      </w:r>
      <w:r w:rsidR="00942996" w:rsidRPr="00DC0CA9">
        <w:rPr>
          <w:rStyle w:val="normalchar"/>
          <w:rFonts w:ascii="Times New Roman" w:hAnsi="Times New Roman"/>
          <w:b/>
          <w:i/>
          <w:iCs/>
          <w:sz w:val="28"/>
          <w:szCs w:val="28"/>
          <w:lang w:val="nl-NL"/>
        </w:rPr>
        <w:t xml:space="preserve">. Công tác giáo dục, đào tạo bị </w:t>
      </w:r>
      <w:r w:rsidR="00942996" w:rsidRPr="00DC0CA9">
        <w:rPr>
          <w:rFonts w:ascii="Times New Roman" w:hAnsi="Times New Roman" w:cs="Times New Roman"/>
          <w:b/>
          <w:i/>
          <w:iCs/>
          <w:sz w:val="28"/>
          <w:szCs w:val="28"/>
        </w:rPr>
        <w:t xml:space="preserve">ảnh hưởng của dịch Covid-19, tuy nhiên ngành Giáo dục đã </w:t>
      </w:r>
      <w:r w:rsidR="00942996" w:rsidRPr="00DC0CA9">
        <w:rPr>
          <w:rFonts w:ascii="Times New Roman" w:hAnsi="Times New Roman" w:cs="Times New Roman"/>
          <w:b/>
          <w:i/>
          <w:sz w:val="28"/>
          <w:szCs w:val="28"/>
        </w:rPr>
        <w:t xml:space="preserve">kịp thời đưa ra các phương án ứng phó; những chỉ đạo, hướng dẫn phù hợp để vừa đảm bảo an toàn cho học sinh, giáo viên vừa thực hiện kế hoạch năm học. </w:t>
      </w:r>
    </w:p>
    <w:p w14:paraId="28FAD7F5" w14:textId="784F28A4" w:rsidR="007A300F" w:rsidRPr="00DC0CA9" w:rsidRDefault="007A300F" w:rsidP="00FA1162">
      <w:pPr>
        <w:spacing w:after="120" w:line="266" w:lineRule="auto"/>
        <w:ind w:firstLine="567"/>
        <w:jc w:val="both"/>
        <w:rPr>
          <w:rFonts w:ascii="Times New Roman" w:hAnsi="Times New Roman" w:cs="Times New Roman"/>
          <w:spacing w:val="-2"/>
          <w:sz w:val="28"/>
          <w:szCs w:val="28"/>
          <w:lang w:val="nl-NL"/>
        </w:rPr>
      </w:pPr>
      <w:r w:rsidRPr="00DC0CA9">
        <w:rPr>
          <w:rFonts w:ascii="Times New Roman" w:hAnsi="Times New Roman" w:cs="Times New Roman"/>
          <w:spacing w:val="-2"/>
          <w:sz w:val="28"/>
          <w:szCs w:val="28"/>
          <w:lang w:val="nl-NL"/>
        </w:rPr>
        <w:t>Kỳ thi tốt nghiệp trung học phổ thông quốc gia năm 2021 đã được tổ chức thành công, đảm bảo nghiêm túc, an toàn và đúng quy chế thi. Số thí sinh dự thi đợt 1 là 981.773 thí sinh (trong đó tỷ lệ thí sinh đến dự thi là 96,13%); số thí sinh dự thi đợt 2 là 11.567 thí sinh (tỷ lệ thí sinh đến dự thi là 97,98%). Hơn 12.000 thí sinh được xét đặc cách tốt nghiệp. Tỷ lệ tốt nghiệp trung học phổ thông của cả nước năm 2021 đạt 98,6%, tăng 0,2% so với năm học trước.</w:t>
      </w:r>
    </w:p>
    <w:p w14:paraId="3A3BAC85" w14:textId="0FD71471" w:rsidR="007A300F" w:rsidRPr="00DC0CA9" w:rsidRDefault="007A300F" w:rsidP="00FA1162">
      <w:pPr>
        <w:spacing w:after="120" w:line="266" w:lineRule="auto"/>
        <w:ind w:firstLine="567"/>
        <w:jc w:val="both"/>
        <w:rPr>
          <w:rFonts w:ascii="Times New Roman" w:hAnsi="Times New Roman" w:cs="Times New Roman"/>
          <w:sz w:val="28"/>
          <w:szCs w:val="28"/>
          <w:lang w:val="es-BO"/>
        </w:rPr>
      </w:pPr>
      <w:r w:rsidRPr="00DC0CA9">
        <w:rPr>
          <w:rFonts w:ascii="Times New Roman" w:hAnsi="Times New Roman" w:cs="Times New Roman"/>
          <w:sz w:val="28"/>
          <w:szCs w:val="28"/>
          <w:lang w:val="es-BO"/>
        </w:rPr>
        <w:t>Dịch Covid-19 đã ảnh hưởng đến công tác tuyển sinh và đào tạo của cả hệ thống giáo dục nghề nghiệp. Năm 2021, đào tạo nghề đã tuyển mới được 1.896,8 nghìn người, đạt 80% kế hoạch năm, trong đó trình độ cao đẳng, trung cấp tuyển sinh được 482,4 nghìn người; trình độ sơ cấp và các chương trình đào tạo nghề nghiệp khác tuyển sinh được 1.414,4 nghìn người. Số học sinh, sinh viên tốt nghiệp là 1.658,4 nghìn người, đạt 80% kế hoạch năm, trong đó trình độ cao đẳng, trung cấp tuyển sinh 314,7 nghìn người; trình độ sơ cấp và các chương trình đào tạo nghề nghiệp khác 1.343,7 nghìn người.</w:t>
      </w:r>
    </w:p>
    <w:p w14:paraId="78D12BBE" w14:textId="24910301" w:rsidR="007A300F" w:rsidRPr="00DC0CA9" w:rsidRDefault="006C21AD" w:rsidP="00FA1162">
      <w:pPr>
        <w:spacing w:after="120" w:line="266" w:lineRule="auto"/>
        <w:ind w:firstLine="567"/>
        <w:jc w:val="both"/>
        <w:rPr>
          <w:rFonts w:ascii="Times New Roman" w:hAnsi="Times New Roman" w:cs="Times New Roman"/>
          <w:b/>
          <w:i/>
          <w:iCs/>
          <w:sz w:val="28"/>
          <w:szCs w:val="28"/>
          <w:lang w:val="de-DE"/>
        </w:rPr>
      </w:pPr>
      <w:r w:rsidRPr="00DC0CA9">
        <w:rPr>
          <w:rStyle w:val="normalchar"/>
          <w:rFonts w:ascii="Times New Roman" w:hAnsi="Times New Roman"/>
          <w:b/>
          <w:i/>
          <w:iCs/>
          <w:sz w:val="28"/>
          <w:szCs w:val="28"/>
          <w:lang w:val="nl-NL"/>
        </w:rPr>
        <w:t>4</w:t>
      </w:r>
      <w:r w:rsidR="00942996" w:rsidRPr="00DC0CA9">
        <w:rPr>
          <w:rStyle w:val="normalchar"/>
          <w:rFonts w:ascii="Times New Roman" w:hAnsi="Times New Roman"/>
          <w:b/>
          <w:i/>
          <w:iCs/>
          <w:sz w:val="28"/>
          <w:szCs w:val="28"/>
          <w:lang w:val="nl-NL"/>
        </w:rPr>
        <w:t xml:space="preserve">. </w:t>
      </w:r>
      <w:r w:rsidR="00942996" w:rsidRPr="00DC0CA9">
        <w:rPr>
          <w:rFonts w:ascii="Times New Roman" w:hAnsi="Times New Roman" w:cs="Times New Roman"/>
          <w:b/>
          <w:i/>
          <w:iCs/>
          <w:sz w:val="28"/>
          <w:szCs w:val="28"/>
          <w:lang w:val="de-DE"/>
        </w:rPr>
        <w:t>Dịch Covid-19 trên thế giới tiếp tục diễn biến phức tạp</w:t>
      </w:r>
      <w:r w:rsidR="007A300F" w:rsidRPr="00DC0CA9">
        <w:rPr>
          <w:rFonts w:ascii="Times New Roman" w:hAnsi="Times New Roman" w:cs="Times New Roman"/>
          <w:b/>
          <w:i/>
          <w:iCs/>
          <w:sz w:val="28"/>
          <w:szCs w:val="28"/>
          <w:lang w:val="de-DE"/>
        </w:rPr>
        <w:t xml:space="preserve"> với sự xuất hiện của biến chủng mới Omicron</w:t>
      </w:r>
      <w:r w:rsidR="00942996" w:rsidRPr="00DC0CA9">
        <w:rPr>
          <w:rFonts w:ascii="Times New Roman" w:hAnsi="Times New Roman" w:cs="Times New Roman"/>
          <w:b/>
          <w:i/>
          <w:iCs/>
          <w:sz w:val="28"/>
          <w:szCs w:val="28"/>
          <w:lang w:val="de-DE"/>
        </w:rPr>
        <w:t xml:space="preserve">. Tại Việt Nam, </w:t>
      </w:r>
      <w:r w:rsidR="00302530" w:rsidRPr="00DC0CA9">
        <w:rPr>
          <w:rFonts w:ascii="Times New Roman" w:hAnsi="Times New Roman" w:cs="Times New Roman"/>
          <w:b/>
          <w:i/>
          <w:iCs/>
          <w:sz w:val="28"/>
          <w:szCs w:val="28"/>
          <w:lang w:val="de-DE"/>
        </w:rPr>
        <w:t>số ca mắc mới tiếp tục tăng tại nhiều địa phương; số bệnh nhân nặng và số ca tử vong chưa giảm</w:t>
      </w:r>
      <w:r w:rsidR="007A300F" w:rsidRPr="00DC0CA9">
        <w:rPr>
          <w:rFonts w:ascii="Times New Roman" w:hAnsi="Times New Roman" w:cs="Times New Roman"/>
          <w:b/>
          <w:i/>
          <w:iCs/>
          <w:sz w:val="28"/>
          <w:szCs w:val="28"/>
          <w:lang w:val="de-DE"/>
        </w:rPr>
        <w:t>.</w:t>
      </w:r>
    </w:p>
    <w:p w14:paraId="4F778D8C" w14:textId="50B8A151" w:rsidR="007A300F" w:rsidRPr="00DC0CA9" w:rsidRDefault="0048670C" w:rsidP="00FA1162">
      <w:pPr>
        <w:spacing w:after="120" w:line="266" w:lineRule="auto"/>
        <w:ind w:firstLine="567"/>
        <w:jc w:val="both"/>
        <w:rPr>
          <w:rFonts w:ascii="Times New Roman" w:hAnsi="Times New Roman" w:cs="Times New Roman"/>
          <w:sz w:val="28"/>
          <w:szCs w:val="28"/>
          <w:lang w:val="de-DE"/>
        </w:rPr>
      </w:pPr>
      <w:r w:rsidRPr="003E006F">
        <w:rPr>
          <w:rFonts w:ascii="Times New Roman" w:hAnsi="Times New Roman" w:cs="Times New Roman"/>
          <w:sz w:val="28"/>
          <w:szCs w:val="28"/>
          <w:lang w:val="de-DE"/>
        </w:rPr>
        <w:t>Tính đến 16 giờ ngày 2</w:t>
      </w:r>
      <w:r>
        <w:rPr>
          <w:rFonts w:ascii="Times New Roman" w:hAnsi="Times New Roman" w:cs="Times New Roman"/>
          <w:sz w:val="28"/>
          <w:szCs w:val="28"/>
          <w:lang w:val="de-DE"/>
        </w:rPr>
        <w:t>7</w:t>
      </w:r>
      <w:r w:rsidRPr="003E006F">
        <w:rPr>
          <w:rFonts w:ascii="Times New Roman" w:hAnsi="Times New Roman" w:cs="Times New Roman"/>
          <w:sz w:val="28"/>
          <w:szCs w:val="28"/>
          <w:lang w:val="de-DE"/>
        </w:rPr>
        <w:t>/12/2021</w:t>
      </w:r>
      <w:r>
        <w:rPr>
          <w:rFonts w:ascii="Times New Roman" w:hAnsi="Times New Roman" w:cs="Times New Roman"/>
          <w:sz w:val="28"/>
          <w:szCs w:val="28"/>
          <w:lang w:val="de-DE"/>
        </w:rPr>
        <w:t>,</w:t>
      </w:r>
      <w:r w:rsidRPr="003E006F">
        <w:rPr>
          <w:rFonts w:ascii="Times New Roman" w:hAnsi="Times New Roman" w:cs="Times New Roman"/>
          <w:sz w:val="28"/>
          <w:szCs w:val="28"/>
          <w:lang w:val="de-DE"/>
        </w:rPr>
        <w:t xml:space="preserve"> Việt Nam có 1.6</w:t>
      </w:r>
      <w:r>
        <w:rPr>
          <w:rFonts w:ascii="Times New Roman" w:hAnsi="Times New Roman" w:cs="Times New Roman"/>
          <w:sz w:val="28"/>
          <w:szCs w:val="28"/>
          <w:lang w:val="de-DE"/>
        </w:rPr>
        <w:t>66</w:t>
      </w:r>
      <w:r w:rsidRPr="003E006F">
        <w:rPr>
          <w:rFonts w:ascii="Times New Roman" w:hAnsi="Times New Roman" w:cs="Times New Roman"/>
          <w:sz w:val="28"/>
          <w:szCs w:val="28"/>
          <w:lang w:val="de-DE"/>
        </w:rPr>
        <w:t>.</w:t>
      </w:r>
      <w:r>
        <w:rPr>
          <w:rFonts w:ascii="Times New Roman" w:hAnsi="Times New Roman" w:cs="Times New Roman"/>
          <w:sz w:val="28"/>
          <w:szCs w:val="28"/>
          <w:lang w:val="de-DE"/>
        </w:rPr>
        <w:t>545</w:t>
      </w:r>
      <w:r w:rsidRPr="003E006F">
        <w:rPr>
          <w:rFonts w:ascii="Times New Roman" w:hAnsi="Times New Roman" w:cs="Times New Roman"/>
          <w:sz w:val="28"/>
          <w:szCs w:val="28"/>
          <w:lang w:val="de-DE"/>
        </w:rPr>
        <w:t xml:space="preserve"> trường hợp mắc, trong đó 1.2</w:t>
      </w:r>
      <w:r>
        <w:rPr>
          <w:rFonts w:ascii="Times New Roman" w:hAnsi="Times New Roman" w:cs="Times New Roman"/>
          <w:sz w:val="28"/>
          <w:szCs w:val="28"/>
          <w:lang w:val="de-DE"/>
        </w:rPr>
        <w:t>59</w:t>
      </w:r>
      <w:r w:rsidRPr="003E006F">
        <w:rPr>
          <w:rFonts w:ascii="Times New Roman" w:hAnsi="Times New Roman" w:cs="Times New Roman"/>
          <w:sz w:val="28"/>
          <w:szCs w:val="28"/>
          <w:lang w:val="de-DE"/>
        </w:rPr>
        <w:t>.</w:t>
      </w:r>
      <w:r>
        <w:rPr>
          <w:rFonts w:ascii="Times New Roman" w:hAnsi="Times New Roman" w:cs="Times New Roman"/>
          <w:sz w:val="28"/>
          <w:szCs w:val="28"/>
          <w:lang w:val="de-DE"/>
        </w:rPr>
        <w:t>614</w:t>
      </w:r>
      <w:r w:rsidRPr="003E006F">
        <w:rPr>
          <w:rFonts w:ascii="Times New Roman" w:hAnsi="Times New Roman" w:cs="Times New Roman"/>
          <w:sz w:val="28"/>
          <w:szCs w:val="28"/>
          <w:lang w:val="de-DE"/>
        </w:rPr>
        <w:t xml:space="preserve"> trường hợp đã được chữa khỏi và 31.</w:t>
      </w:r>
      <w:r>
        <w:rPr>
          <w:rFonts w:ascii="Times New Roman" w:hAnsi="Times New Roman" w:cs="Times New Roman"/>
          <w:sz w:val="28"/>
          <w:szCs w:val="28"/>
          <w:lang w:val="de-DE"/>
        </w:rPr>
        <w:t>418</w:t>
      </w:r>
      <w:r w:rsidRPr="003E006F">
        <w:rPr>
          <w:rFonts w:ascii="Times New Roman" w:hAnsi="Times New Roman" w:cs="Times New Roman"/>
          <w:sz w:val="28"/>
          <w:szCs w:val="28"/>
          <w:lang w:val="de-DE"/>
        </w:rPr>
        <w:t xml:space="preserve"> trường hợp tử vong. Bắc Kạn là địa phương duy nhất không có ca lây nhiễm thứ phát trên địa bàn trong 14 ngày qua</w:t>
      </w:r>
      <w:r w:rsidR="007A300F" w:rsidRPr="00DC0CA9">
        <w:rPr>
          <w:rFonts w:ascii="Times New Roman" w:hAnsi="Times New Roman" w:cs="Times New Roman"/>
          <w:sz w:val="28"/>
          <w:szCs w:val="28"/>
          <w:lang w:val="de-DE"/>
        </w:rPr>
        <w:t xml:space="preserve">. </w:t>
      </w:r>
      <w:r w:rsidRPr="003E006F">
        <w:rPr>
          <w:rFonts w:ascii="Times New Roman" w:hAnsi="Times New Roman" w:cs="Times New Roman"/>
          <w:sz w:val="28"/>
          <w:szCs w:val="28"/>
          <w:lang w:val="de-DE"/>
        </w:rPr>
        <w:t>Tiêm vắc-xin phòng Covid-19 của Việt Nam được đẩy nhanh tốc độ</w:t>
      </w:r>
      <w:r>
        <w:rPr>
          <w:rFonts w:ascii="Times New Roman" w:hAnsi="Times New Roman" w:cs="Times New Roman"/>
          <w:sz w:val="28"/>
          <w:szCs w:val="28"/>
          <w:lang w:val="de-DE"/>
        </w:rPr>
        <w:t>,</w:t>
      </w:r>
      <w:r w:rsidRPr="003E006F">
        <w:rPr>
          <w:rFonts w:ascii="Times New Roman" w:hAnsi="Times New Roman" w:cs="Times New Roman"/>
          <w:sz w:val="28"/>
          <w:szCs w:val="28"/>
          <w:lang w:val="de-DE"/>
        </w:rPr>
        <w:t xml:space="preserve"> tính đến ngày 2</w:t>
      </w:r>
      <w:r>
        <w:rPr>
          <w:rFonts w:ascii="Times New Roman" w:hAnsi="Times New Roman" w:cs="Times New Roman"/>
          <w:sz w:val="28"/>
          <w:szCs w:val="28"/>
          <w:lang w:val="de-DE"/>
        </w:rPr>
        <w:t>7</w:t>
      </w:r>
      <w:r w:rsidRPr="003E006F">
        <w:rPr>
          <w:rFonts w:ascii="Times New Roman" w:hAnsi="Times New Roman" w:cs="Times New Roman"/>
          <w:sz w:val="28"/>
          <w:szCs w:val="28"/>
          <w:lang w:val="de-DE"/>
        </w:rPr>
        <w:t>/12/2021: Tổng số liều vắc-xin phòng Covid-19 đã được tiêm là 14</w:t>
      </w:r>
      <w:r>
        <w:rPr>
          <w:rFonts w:ascii="Times New Roman" w:hAnsi="Times New Roman" w:cs="Times New Roman"/>
          <w:sz w:val="28"/>
          <w:szCs w:val="28"/>
          <w:lang w:val="de-DE"/>
        </w:rPr>
        <w:t>6</w:t>
      </w:r>
      <w:r w:rsidRPr="003E006F">
        <w:rPr>
          <w:rFonts w:ascii="Times New Roman" w:hAnsi="Times New Roman" w:cs="Times New Roman"/>
          <w:sz w:val="28"/>
          <w:szCs w:val="28"/>
          <w:lang w:val="de-DE"/>
        </w:rPr>
        <w:t>.</w:t>
      </w:r>
      <w:r>
        <w:rPr>
          <w:rFonts w:ascii="Times New Roman" w:hAnsi="Times New Roman" w:cs="Times New Roman"/>
          <w:sz w:val="28"/>
          <w:szCs w:val="28"/>
          <w:lang w:val="de-DE"/>
        </w:rPr>
        <w:t>335</w:t>
      </w:r>
      <w:r w:rsidRPr="003E006F">
        <w:rPr>
          <w:rFonts w:ascii="Times New Roman" w:hAnsi="Times New Roman" w:cs="Times New Roman"/>
          <w:sz w:val="28"/>
          <w:szCs w:val="28"/>
          <w:lang w:val="de-DE"/>
        </w:rPr>
        <w:t>.</w:t>
      </w:r>
      <w:r>
        <w:rPr>
          <w:rFonts w:ascii="Times New Roman" w:hAnsi="Times New Roman" w:cs="Times New Roman"/>
          <w:sz w:val="28"/>
          <w:szCs w:val="28"/>
          <w:lang w:val="de-DE"/>
        </w:rPr>
        <w:t>052</w:t>
      </w:r>
      <w:r w:rsidRPr="003E006F">
        <w:rPr>
          <w:rFonts w:ascii="Times New Roman" w:hAnsi="Times New Roman" w:cs="Times New Roman"/>
          <w:sz w:val="28"/>
          <w:szCs w:val="28"/>
          <w:lang w:val="de-DE"/>
        </w:rPr>
        <w:t xml:space="preserve"> liều, trong đó tiêm mũi 1 là 7</w:t>
      </w:r>
      <w:r>
        <w:rPr>
          <w:rFonts w:ascii="Times New Roman" w:hAnsi="Times New Roman" w:cs="Times New Roman"/>
          <w:sz w:val="28"/>
          <w:szCs w:val="28"/>
          <w:lang w:val="de-DE"/>
        </w:rPr>
        <w:t>7</w:t>
      </w:r>
      <w:r w:rsidRPr="003E006F">
        <w:rPr>
          <w:rFonts w:ascii="Times New Roman" w:hAnsi="Times New Roman" w:cs="Times New Roman"/>
          <w:sz w:val="28"/>
          <w:szCs w:val="28"/>
          <w:lang w:val="de-DE"/>
        </w:rPr>
        <w:t>.</w:t>
      </w:r>
      <w:r>
        <w:rPr>
          <w:rFonts w:ascii="Times New Roman" w:hAnsi="Times New Roman" w:cs="Times New Roman"/>
          <w:sz w:val="28"/>
          <w:szCs w:val="28"/>
          <w:lang w:val="de-DE"/>
        </w:rPr>
        <w:t>138</w:t>
      </w:r>
      <w:r w:rsidRPr="003E006F">
        <w:rPr>
          <w:rFonts w:ascii="Times New Roman" w:hAnsi="Times New Roman" w:cs="Times New Roman"/>
          <w:sz w:val="28"/>
          <w:szCs w:val="28"/>
          <w:lang w:val="de-DE"/>
        </w:rPr>
        <w:t>.</w:t>
      </w:r>
      <w:r>
        <w:rPr>
          <w:rFonts w:ascii="Times New Roman" w:hAnsi="Times New Roman" w:cs="Times New Roman"/>
          <w:sz w:val="28"/>
          <w:szCs w:val="28"/>
          <w:lang w:val="de-DE"/>
        </w:rPr>
        <w:t>616</w:t>
      </w:r>
      <w:r w:rsidRPr="003E006F">
        <w:rPr>
          <w:rFonts w:ascii="Times New Roman" w:hAnsi="Times New Roman" w:cs="Times New Roman"/>
          <w:sz w:val="28"/>
          <w:szCs w:val="28"/>
          <w:lang w:val="de-DE"/>
        </w:rPr>
        <w:t xml:space="preserve"> liều; tiêm mũi 2 là 6</w:t>
      </w:r>
      <w:r>
        <w:rPr>
          <w:rFonts w:ascii="Times New Roman" w:hAnsi="Times New Roman" w:cs="Times New Roman"/>
          <w:sz w:val="28"/>
          <w:szCs w:val="28"/>
          <w:lang w:val="de-DE"/>
        </w:rPr>
        <w:t>6</w:t>
      </w:r>
      <w:r w:rsidRPr="003E006F">
        <w:rPr>
          <w:rFonts w:ascii="Times New Roman" w:hAnsi="Times New Roman" w:cs="Times New Roman"/>
          <w:sz w:val="28"/>
          <w:szCs w:val="28"/>
          <w:lang w:val="de-DE"/>
        </w:rPr>
        <w:t>.</w:t>
      </w:r>
      <w:r>
        <w:rPr>
          <w:rFonts w:ascii="Times New Roman" w:hAnsi="Times New Roman" w:cs="Times New Roman"/>
          <w:sz w:val="28"/>
          <w:szCs w:val="28"/>
          <w:lang w:val="de-DE"/>
        </w:rPr>
        <w:t>402</w:t>
      </w:r>
      <w:r w:rsidRPr="003E006F">
        <w:rPr>
          <w:rFonts w:ascii="Times New Roman" w:hAnsi="Times New Roman" w:cs="Times New Roman"/>
          <w:sz w:val="28"/>
          <w:szCs w:val="28"/>
          <w:lang w:val="de-DE"/>
        </w:rPr>
        <w:t>.</w:t>
      </w:r>
      <w:r>
        <w:rPr>
          <w:rFonts w:ascii="Times New Roman" w:hAnsi="Times New Roman" w:cs="Times New Roman"/>
          <w:sz w:val="28"/>
          <w:szCs w:val="28"/>
          <w:lang w:val="de-DE"/>
        </w:rPr>
        <w:t>056</w:t>
      </w:r>
      <w:r w:rsidRPr="003E006F">
        <w:rPr>
          <w:rFonts w:ascii="Times New Roman" w:hAnsi="Times New Roman" w:cs="Times New Roman"/>
          <w:sz w:val="28"/>
          <w:szCs w:val="28"/>
          <w:lang w:val="de-DE"/>
        </w:rPr>
        <w:t xml:space="preserve"> liều; tiêm mũi 3 (tiêm bổ sung, tiêm nhắc lại và tiêm mũi 3 của vaccine Abdala) là 2.</w:t>
      </w:r>
      <w:r>
        <w:rPr>
          <w:rFonts w:ascii="Times New Roman" w:hAnsi="Times New Roman" w:cs="Times New Roman"/>
          <w:sz w:val="28"/>
          <w:szCs w:val="28"/>
          <w:lang w:val="de-DE"/>
        </w:rPr>
        <w:t>794</w:t>
      </w:r>
      <w:r w:rsidRPr="003E006F">
        <w:rPr>
          <w:rFonts w:ascii="Times New Roman" w:hAnsi="Times New Roman" w:cs="Times New Roman"/>
          <w:sz w:val="28"/>
          <w:szCs w:val="28"/>
          <w:lang w:val="de-DE"/>
        </w:rPr>
        <w:t>.</w:t>
      </w:r>
      <w:r>
        <w:rPr>
          <w:rFonts w:ascii="Times New Roman" w:hAnsi="Times New Roman" w:cs="Times New Roman"/>
          <w:sz w:val="28"/>
          <w:szCs w:val="28"/>
          <w:lang w:val="de-DE"/>
        </w:rPr>
        <w:t>380</w:t>
      </w:r>
      <w:r w:rsidRPr="003E006F">
        <w:rPr>
          <w:rFonts w:ascii="Times New Roman" w:hAnsi="Times New Roman" w:cs="Times New Roman"/>
          <w:sz w:val="28"/>
          <w:szCs w:val="28"/>
          <w:lang w:val="de-DE"/>
        </w:rPr>
        <w:t xml:space="preserve"> liều. Như vậy, độ bao phủ vắc-xin đã tăng lên đáng kể từ đầu tháng 9 đến nay. Đối với dân số từ 18 tuổi trở lên, tỷ lệ bao phủ ít nhất 1 liều vắc-xin là 98,</w:t>
      </w:r>
      <w:r>
        <w:rPr>
          <w:rFonts w:ascii="Times New Roman" w:hAnsi="Times New Roman" w:cs="Times New Roman"/>
          <w:sz w:val="28"/>
          <w:szCs w:val="28"/>
          <w:lang w:val="de-DE"/>
        </w:rPr>
        <w:t>8</w:t>
      </w:r>
      <w:r w:rsidRPr="003E006F">
        <w:rPr>
          <w:rFonts w:ascii="Times New Roman" w:hAnsi="Times New Roman" w:cs="Times New Roman"/>
          <w:sz w:val="28"/>
          <w:szCs w:val="28"/>
          <w:lang w:val="de-DE"/>
        </w:rPr>
        <w:t>% và tỷ lệ tiêm đủ 2 liều là 8</w:t>
      </w:r>
      <w:r>
        <w:rPr>
          <w:rFonts w:ascii="Times New Roman" w:hAnsi="Times New Roman" w:cs="Times New Roman"/>
          <w:sz w:val="28"/>
          <w:szCs w:val="28"/>
          <w:lang w:val="de-DE"/>
        </w:rPr>
        <w:t>8</w:t>
      </w:r>
      <w:r w:rsidRPr="003E006F">
        <w:rPr>
          <w:rFonts w:ascii="Times New Roman" w:hAnsi="Times New Roman" w:cs="Times New Roman"/>
          <w:sz w:val="28"/>
          <w:szCs w:val="28"/>
          <w:lang w:val="de-DE"/>
        </w:rPr>
        <w:t>,</w:t>
      </w:r>
      <w:r>
        <w:rPr>
          <w:rFonts w:ascii="Times New Roman" w:hAnsi="Times New Roman" w:cs="Times New Roman"/>
          <w:sz w:val="28"/>
          <w:szCs w:val="28"/>
          <w:lang w:val="de-DE"/>
        </w:rPr>
        <w:t>5</w:t>
      </w:r>
      <w:r w:rsidRPr="003E006F">
        <w:rPr>
          <w:rFonts w:ascii="Times New Roman" w:hAnsi="Times New Roman" w:cs="Times New Roman"/>
          <w:sz w:val="28"/>
          <w:szCs w:val="28"/>
          <w:lang w:val="de-DE"/>
        </w:rPr>
        <w:t>%. Đối với dân số từ 12-17 tuổi, tỷ lệ bao phủ ít nhất 1 liều vắc-xin là 8</w:t>
      </w:r>
      <w:r>
        <w:rPr>
          <w:rFonts w:ascii="Times New Roman" w:hAnsi="Times New Roman" w:cs="Times New Roman"/>
          <w:sz w:val="28"/>
          <w:szCs w:val="28"/>
          <w:lang w:val="de-DE"/>
        </w:rPr>
        <w:t>1</w:t>
      </w:r>
      <w:r w:rsidRPr="003E006F">
        <w:rPr>
          <w:rFonts w:ascii="Times New Roman" w:hAnsi="Times New Roman" w:cs="Times New Roman"/>
          <w:sz w:val="28"/>
          <w:szCs w:val="28"/>
          <w:lang w:val="de-DE"/>
        </w:rPr>
        <w:t>,</w:t>
      </w:r>
      <w:r>
        <w:rPr>
          <w:rFonts w:ascii="Times New Roman" w:hAnsi="Times New Roman" w:cs="Times New Roman"/>
          <w:sz w:val="28"/>
          <w:szCs w:val="28"/>
          <w:lang w:val="de-DE"/>
        </w:rPr>
        <w:t>0</w:t>
      </w:r>
      <w:r w:rsidRPr="003E006F">
        <w:rPr>
          <w:rFonts w:ascii="Times New Roman" w:hAnsi="Times New Roman" w:cs="Times New Roman"/>
          <w:sz w:val="28"/>
          <w:szCs w:val="28"/>
          <w:lang w:val="de-DE"/>
        </w:rPr>
        <w:t xml:space="preserve">% </w:t>
      </w:r>
      <w:r>
        <w:rPr>
          <w:rFonts w:ascii="Times New Roman" w:hAnsi="Times New Roman" w:cs="Times New Roman"/>
          <w:sz w:val="28"/>
          <w:szCs w:val="28"/>
          <w:lang w:val="de-DE"/>
        </w:rPr>
        <w:t>và tỷ lệ bao phủ đủ 2 liều là 43,5</w:t>
      </w:r>
      <w:r w:rsidRPr="003E006F">
        <w:rPr>
          <w:rFonts w:ascii="Times New Roman" w:hAnsi="Times New Roman" w:cs="Times New Roman"/>
          <w:sz w:val="28"/>
          <w:szCs w:val="28"/>
          <w:lang w:val="de-DE"/>
        </w:rPr>
        <w:t>%.</w:t>
      </w:r>
    </w:p>
    <w:p w14:paraId="15228739" w14:textId="08E8B4FC" w:rsidR="007A300F" w:rsidRPr="00DC0CA9" w:rsidRDefault="007A300F" w:rsidP="00FA1162">
      <w:pPr>
        <w:spacing w:after="120" w:line="266" w:lineRule="auto"/>
        <w:ind w:firstLine="567"/>
        <w:jc w:val="both"/>
        <w:rPr>
          <w:rFonts w:ascii="Times New Roman" w:hAnsi="Times New Roman" w:cs="Times New Roman"/>
          <w:spacing w:val="-2"/>
          <w:sz w:val="28"/>
          <w:szCs w:val="28"/>
          <w:lang w:val="de-DE"/>
        </w:rPr>
      </w:pPr>
      <w:r w:rsidRPr="00DC0CA9">
        <w:rPr>
          <w:rFonts w:ascii="Times New Roman" w:hAnsi="Times New Roman" w:cs="Times New Roman"/>
          <w:spacing w:val="-2"/>
          <w:sz w:val="28"/>
          <w:szCs w:val="28"/>
          <w:lang w:val="de-DE"/>
        </w:rPr>
        <w:t>Năm 2021, cả nước có 69.354 trường hợp mắc bệnh sốt xuất huyết (22 trường hợp tử vong); 38.413 trường hợp mắc bệnh tay chân miệng (11 trường hợp tử vong); 536 trường hợp mắc bệnh viêm não vi rút (14 trường hợp tử vong); 14 trường hợp mắc bệnh viêm màng não do não mô cầu (02 trường hợp tử vong) và 509 trường hợp sốt phát ban nghi sởi, trong đó có 77 trường hợp dương tính.</w:t>
      </w:r>
    </w:p>
    <w:p w14:paraId="6F9C577B" w14:textId="77777777" w:rsidR="007A300F" w:rsidRPr="00DC0CA9" w:rsidRDefault="007A300F" w:rsidP="00FA1162">
      <w:pPr>
        <w:spacing w:after="100" w:line="340" w:lineRule="exact"/>
        <w:ind w:firstLine="567"/>
        <w:jc w:val="both"/>
        <w:rPr>
          <w:rFonts w:ascii="Times New Roman" w:hAnsi="Times New Roman" w:cs="Times New Roman"/>
          <w:sz w:val="28"/>
          <w:szCs w:val="28"/>
          <w:lang w:val="de-DE"/>
        </w:rPr>
      </w:pPr>
      <w:r w:rsidRPr="00DC0CA9">
        <w:rPr>
          <w:rFonts w:ascii="Times New Roman" w:hAnsi="Times New Roman" w:cs="Times New Roman"/>
          <w:sz w:val="28"/>
          <w:szCs w:val="28"/>
          <w:lang w:val="de-DE"/>
        </w:rPr>
        <w:t>Tổng số người nhiễm HIV của cả nước hiện còn sống tính đến thời điểm 18/12/2021 là 213.833 người và số người tử vong do HIV/AIDS của cả nước tính đến thời điểm trên là 110.990 người.</w:t>
      </w:r>
    </w:p>
    <w:p w14:paraId="5BD50FBB" w14:textId="4CB3C78B" w:rsidR="007A300F" w:rsidRPr="00DC0CA9" w:rsidRDefault="007A300F" w:rsidP="00FA1162">
      <w:pPr>
        <w:spacing w:after="100" w:line="340" w:lineRule="exact"/>
        <w:ind w:firstLine="567"/>
        <w:jc w:val="both"/>
        <w:rPr>
          <w:rFonts w:ascii="Times New Roman" w:hAnsi="Times New Roman" w:cs="Times New Roman"/>
          <w:sz w:val="28"/>
          <w:szCs w:val="28"/>
          <w:lang w:val="de-DE"/>
        </w:rPr>
      </w:pPr>
      <w:r w:rsidRPr="00DC0CA9">
        <w:rPr>
          <w:rFonts w:ascii="Times New Roman" w:hAnsi="Times New Roman" w:cs="Times New Roman"/>
          <w:sz w:val="28"/>
          <w:szCs w:val="28"/>
          <w:lang w:val="de-DE"/>
        </w:rPr>
        <w:t>Tổng số vụ ngộ độc thực phẩm năm 2021 là 58 vụ với 1.557 người bị ngộ độc (trong đó có 05 người tử vong).</w:t>
      </w:r>
    </w:p>
    <w:p w14:paraId="741E2715" w14:textId="3DC03A92" w:rsidR="007A300F" w:rsidRPr="00DC0CA9" w:rsidRDefault="007A300F" w:rsidP="00FA1162">
      <w:pPr>
        <w:spacing w:after="100" w:line="340" w:lineRule="exact"/>
        <w:ind w:firstLine="567"/>
        <w:jc w:val="both"/>
        <w:rPr>
          <w:rFonts w:ascii="Times New Roman" w:hAnsi="Times New Roman" w:cs="Times New Roman"/>
          <w:b/>
          <w:i/>
          <w:sz w:val="28"/>
          <w:szCs w:val="28"/>
          <w:lang w:val="nl-NL"/>
        </w:rPr>
      </w:pPr>
      <w:r w:rsidRPr="00DC0CA9">
        <w:rPr>
          <w:rStyle w:val="normalchar"/>
          <w:rFonts w:ascii="Times New Roman" w:hAnsi="Times New Roman"/>
          <w:b/>
          <w:i/>
          <w:iCs/>
          <w:sz w:val="28"/>
          <w:szCs w:val="28"/>
          <w:lang w:val="nl-NL"/>
        </w:rPr>
        <w:t xml:space="preserve">5. </w:t>
      </w:r>
      <w:r w:rsidR="00302530" w:rsidRPr="00DC0CA9">
        <w:rPr>
          <w:rStyle w:val="normalchar"/>
          <w:rFonts w:ascii="Times New Roman" w:hAnsi="Times New Roman"/>
          <w:b/>
          <w:i/>
          <w:iCs/>
          <w:sz w:val="28"/>
          <w:szCs w:val="28"/>
          <w:lang w:val="nl-NL"/>
        </w:rPr>
        <w:t>Công tác bảo vệ và phát huy giá trị di sản văn hóa được các địa phương quan tâm và thực hiện.</w:t>
      </w:r>
      <w:r w:rsidRPr="00DC0CA9">
        <w:rPr>
          <w:rFonts w:ascii="Times New Roman" w:hAnsi="Times New Roman" w:cs="Times New Roman"/>
          <w:b/>
          <w:i/>
          <w:iCs/>
          <w:sz w:val="28"/>
          <w:szCs w:val="28"/>
          <w:lang w:val="de-DE"/>
        </w:rPr>
        <w:t xml:space="preserve"> </w:t>
      </w:r>
      <w:r w:rsidRPr="00DC0CA9">
        <w:rPr>
          <w:rFonts w:ascii="Times New Roman" w:hAnsi="Times New Roman" w:cs="Times New Roman"/>
          <w:b/>
          <w:i/>
          <w:sz w:val="28"/>
          <w:szCs w:val="28"/>
          <w:lang w:val="nl-NL"/>
        </w:rPr>
        <w:t>Hoạt động thư viện hướng tới ứng dụng công nghệ thông tin, nhất là công nghệ số nhằm nâng cao năng lực hoạt động và hình thành mạng lưới thư viện hiện đại, cung ứng dịch vụ đáp ứng nhu cầu của người sử dụng.</w:t>
      </w:r>
      <w:r w:rsidR="00302530" w:rsidRPr="00DC0CA9">
        <w:rPr>
          <w:rFonts w:ascii="Times New Roman" w:hAnsi="Times New Roman" w:cs="Times New Roman"/>
          <w:b/>
          <w:i/>
          <w:sz w:val="28"/>
          <w:szCs w:val="28"/>
          <w:lang w:val="nl-NL"/>
        </w:rPr>
        <w:t xml:space="preserve"> </w:t>
      </w:r>
      <w:r w:rsidR="00E91865" w:rsidRPr="00DC0CA9">
        <w:rPr>
          <w:rFonts w:ascii="Times New Roman" w:hAnsi="Times New Roman" w:cs="Times New Roman"/>
          <w:b/>
          <w:i/>
          <w:iCs/>
          <w:sz w:val="28"/>
          <w:szCs w:val="28"/>
          <w:lang w:val="de-DE"/>
        </w:rPr>
        <w:t>T</w:t>
      </w:r>
      <w:r w:rsidR="00302530" w:rsidRPr="00DC0CA9">
        <w:rPr>
          <w:rFonts w:ascii="Times New Roman" w:hAnsi="Times New Roman" w:cs="Times New Roman"/>
          <w:b/>
          <w:i/>
          <w:iCs/>
          <w:sz w:val="28"/>
          <w:szCs w:val="28"/>
          <w:lang w:val="de-DE"/>
        </w:rPr>
        <w:t>hể thao thành tích cao đạt được một số kết quả nổi bật</w:t>
      </w:r>
      <w:r w:rsidR="00E91865" w:rsidRPr="00DC0CA9">
        <w:rPr>
          <w:rFonts w:ascii="Times New Roman" w:hAnsi="Times New Roman" w:cs="Times New Roman"/>
          <w:b/>
          <w:i/>
          <w:iCs/>
          <w:sz w:val="28"/>
          <w:szCs w:val="28"/>
          <w:lang w:val="de-DE"/>
        </w:rPr>
        <w:t>.</w:t>
      </w:r>
    </w:p>
    <w:p w14:paraId="42C9FEBE" w14:textId="77777777" w:rsidR="007A300F" w:rsidRPr="00DC0CA9" w:rsidRDefault="007A300F" w:rsidP="00FA1162">
      <w:pPr>
        <w:spacing w:after="100" w:line="340" w:lineRule="exact"/>
        <w:ind w:firstLine="567"/>
        <w:jc w:val="both"/>
        <w:rPr>
          <w:rFonts w:ascii="Times New Roman" w:hAnsi="Times New Roman" w:cs="Times New Roman"/>
          <w:sz w:val="28"/>
          <w:szCs w:val="28"/>
          <w:lang w:val="nl-NL"/>
        </w:rPr>
      </w:pPr>
      <w:r w:rsidRPr="00DC0CA9">
        <w:rPr>
          <w:rFonts w:ascii="Times New Roman" w:hAnsi="Times New Roman" w:cs="Times New Roman"/>
          <w:sz w:val="28"/>
          <w:szCs w:val="28"/>
          <w:lang w:val="nl-NL"/>
        </w:rPr>
        <w:t>Hoạt động thể dục, thể thao quần chúng tiếp tục được đẩy mạnh và nâng cao chất lượng, nhiều hoạt động thể thao quần chúng được tổ chức như “Ngày chạy Olympic vì sức khỏe toàn dân năm 2021”; hướng dẫn người dân tập luyện thể dục thể thao nâng cao sức khỏe, phòng chống bệnh tật giai đoạn 2021-2025 với chủ đề “Cả nhà tập ngay, đánh bay Covid”. Tổ chức được 07 hội thi thể thao, giải thi đấu thể thao quần chúng cấp toàn quốc thu hút được 6.335 cán bộ, vận động viên tham dự và 06 lớp bồi dưỡng, tập huấn nghiệp vụ thể dục thể thao cho 986 cán bộ, hướng dẫn viên, cộng tác viên thể dục thể thao cơ sở.</w:t>
      </w:r>
    </w:p>
    <w:p w14:paraId="5A3E96BA" w14:textId="2037737C" w:rsidR="007A300F" w:rsidRPr="00DC0CA9" w:rsidRDefault="007A300F" w:rsidP="00FA1162">
      <w:pPr>
        <w:spacing w:after="100" w:line="340" w:lineRule="exact"/>
        <w:ind w:firstLine="567"/>
        <w:jc w:val="both"/>
        <w:rPr>
          <w:rFonts w:ascii="Times New Roman" w:hAnsi="Times New Roman" w:cs="Times New Roman"/>
          <w:spacing w:val="-2"/>
          <w:sz w:val="28"/>
          <w:szCs w:val="28"/>
          <w:lang w:val="nl-NL"/>
        </w:rPr>
      </w:pPr>
      <w:r w:rsidRPr="00DC0CA9">
        <w:rPr>
          <w:rFonts w:ascii="Times New Roman" w:hAnsi="Times New Roman" w:cs="Times New Roman"/>
          <w:spacing w:val="-2"/>
          <w:sz w:val="28"/>
          <w:szCs w:val="28"/>
          <w:lang w:val="nl-NL"/>
        </w:rPr>
        <w:t>Thể thao thành tích cao của Việt Nam năm 2021 tập trung vào đào tạo, tập huấn vận động viên thành tích cao tham dự các giải thể thao khu vực, châu lục và thế giới như Olympic, Paralympic Tokyo, SEA Games 31, ASEAN Para Games 11 và các giải thể thao quốc tế khác. Trong nước đã tổ chức được 74 giải thể thao và mở 07 lớp tập huấn trọng tài, huấn luyện viên thể thao.</w:t>
      </w:r>
    </w:p>
    <w:p w14:paraId="2E293BAF" w14:textId="77777777" w:rsidR="007A300F" w:rsidRPr="00DC0CA9" w:rsidRDefault="007A300F" w:rsidP="00FA1162">
      <w:pPr>
        <w:spacing w:after="100" w:line="340" w:lineRule="exact"/>
        <w:ind w:firstLine="567"/>
        <w:jc w:val="both"/>
        <w:rPr>
          <w:rFonts w:ascii="Times New Roman" w:hAnsi="Times New Roman" w:cs="Times New Roman"/>
          <w:spacing w:val="-2"/>
          <w:sz w:val="28"/>
          <w:szCs w:val="28"/>
          <w:lang w:val="nl-NL"/>
        </w:rPr>
      </w:pPr>
      <w:r w:rsidRPr="00DC0CA9">
        <w:rPr>
          <w:rFonts w:ascii="Times New Roman" w:hAnsi="Times New Roman" w:cs="Times New Roman"/>
          <w:spacing w:val="-2"/>
          <w:sz w:val="28"/>
          <w:szCs w:val="28"/>
          <w:lang w:val="nl-NL"/>
        </w:rPr>
        <w:t>Năm 2021, Đoàn thể thao Việt Nam đã xuất sắc giành được 32 huy chương vàng, 14 huy chương bạc và 15 huy chương đồng (bao gồm 02 huy chương vàng; 07 huy chương bạc, 07 huy chương đồng trong các giải thi đấu thế giới; 02 huy chương vàng, 01 huy chương bạc, 02 huy chương đồng trong các giải đấu ở khu vực Châu Á; 28 huy chương vàng, 06 huy chương bạc, 06 huy chương đồng trong các giải quốc tế mở rộng).</w:t>
      </w:r>
    </w:p>
    <w:p w14:paraId="2BD0990F" w14:textId="0D407ADF" w:rsidR="002D37A8" w:rsidRPr="00DC0CA9" w:rsidRDefault="002D37A8" w:rsidP="00FA1162">
      <w:pPr>
        <w:tabs>
          <w:tab w:val="left" w:pos="426"/>
          <w:tab w:val="left" w:pos="900"/>
        </w:tabs>
        <w:spacing w:after="100" w:line="340" w:lineRule="exact"/>
        <w:ind w:firstLine="567"/>
        <w:jc w:val="both"/>
        <w:rPr>
          <w:rFonts w:ascii="Times New Roman" w:eastAsia="Calibri" w:hAnsi="Times New Roman" w:cs="Times New Roman"/>
          <w:b/>
          <w:i/>
          <w:iCs/>
          <w:spacing w:val="-6"/>
          <w:sz w:val="28"/>
          <w:szCs w:val="28"/>
          <w:lang w:val="de-DE"/>
        </w:rPr>
      </w:pPr>
      <w:r w:rsidRPr="00DC0CA9">
        <w:rPr>
          <w:rFonts w:ascii="Times New Roman" w:eastAsia="Calibri" w:hAnsi="Times New Roman" w:cs="Times New Roman"/>
          <w:b/>
          <w:i/>
          <w:iCs/>
          <w:spacing w:val="-6"/>
          <w:sz w:val="28"/>
          <w:szCs w:val="28"/>
          <w:lang w:val="de-DE"/>
        </w:rPr>
        <w:t xml:space="preserve">6. Số vụ tai nạn giao thông, số người chết và số người bị thương do tai nạn giao thông giảm so với cùng kỳ năm trước do nhiều tháng liền thực hiện </w:t>
      </w:r>
      <w:r w:rsidRPr="00DC0CA9">
        <w:rPr>
          <w:rFonts w:ascii="Times New Roman" w:eastAsia="Calibri" w:hAnsi="Times New Roman" w:cs="Times New Roman"/>
          <w:b/>
          <w:i/>
          <w:iCs/>
          <w:spacing w:val="-6"/>
          <w:sz w:val="28"/>
          <w:szCs w:val="28"/>
          <w:lang w:val="vi-VN"/>
        </w:rPr>
        <w:t>nghiêm các quy định về an toàn giao thông và phòng, chống dịch Covid</w:t>
      </w:r>
      <w:r w:rsidRPr="00DC0CA9">
        <w:rPr>
          <w:rFonts w:ascii="Times New Roman" w:eastAsia="Calibri" w:hAnsi="Times New Roman" w:cs="Times New Roman"/>
          <w:b/>
          <w:i/>
          <w:iCs/>
          <w:spacing w:val="-6"/>
          <w:sz w:val="28"/>
          <w:szCs w:val="28"/>
        </w:rPr>
        <w:t>-</w:t>
      </w:r>
      <w:r w:rsidRPr="00DC0CA9">
        <w:rPr>
          <w:rFonts w:ascii="Times New Roman" w:eastAsia="Calibri" w:hAnsi="Times New Roman" w:cs="Times New Roman"/>
          <w:b/>
          <w:i/>
          <w:iCs/>
          <w:spacing w:val="-6"/>
          <w:sz w:val="28"/>
          <w:szCs w:val="28"/>
          <w:lang w:val="vi-VN"/>
        </w:rPr>
        <w:t>19</w:t>
      </w:r>
      <w:r w:rsidRPr="00DC0CA9">
        <w:rPr>
          <w:rFonts w:ascii="Times New Roman" w:eastAsia="Calibri" w:hAnsi="Times New Roman" w:cs="Times New Roman"/>
          <w:b/>
          <w:i/>
          <w:iCs/>
          <w:spacing w:val="-6"/>
          <w:sz w:val="28"/>
          <w:szCs w:val="28"/>
          <w:lang w:val="de-DE"/>
        </w:rPr>
        <w:t xml:space="preserve">. </w:t>
      </w:r>
    </w:p>
    <w:p w14:paraId="5B09188E" w14:textId="2D2DA170" w:rsidR="002D37A8" w:rsidRPr="00DC0CA9" w:rsidRDefault="002D37A8" w:rsidP="00FA1162">
      <w:pPr>
        <w:tabs>
          <w:tab w:val="left" w:pos="426"/>
          <w:tab w:val="left" w:pos="900"/>
        </w:tabs>
        <w:spacing w:after="100" w:line="340" w:lineRule="exact"/>
        <w:ind w:firstLine="567"/>
        <w:jc w:val="both"/>
        <w:rPr>
          <w:rStyle w:val="normalchar"/>
          <w:rFonts w:ascii="Times New Roman" w:eastAsia="Calibri" w:hAnsi="Times New Roman"/>
          <w:sz w:val="28"/>
          <w:szCs w:val="28"/>
          <w:shd w:val="clear" w:color="auto" w:fill="FFFFFF"/>
          <w:lang w:val="de-DE"/>
        </w:rPr>
      </w:pPr>
      <w:r w:rsidRPr="00DC0CA9">
        <w:rPr>
          <w:rFonts w:ascii="Times New Roman" w:eastAsia="Calibri" w:hAnsi="Times New Roman" w:cs="Times New Roman"/>
          <w:sz w:val="28"/>
          <w:szCs w:val="28"/>
          <w:lang w:val="de-DE"/>
        </w:rPr>
        <w:t>Năm 2021, trên địa bàn cả nước xảy ra 11.454 vụ tai nạn giao thông, bao gồm 7.370 vụ tai nạn giao thông từ ít nghiêm trọng trở lên và 4.084 vụ va chạm giao thông, làm 5.739 người chết, 3.889 người bị thương và 4.109 người bị thương nhẹ. So với năm 2020, số vụ tai nạn giao thông giảm 23,6% (số vụ tai nạn giao thông từ ít nghiêm trọng trở lên giảm 14,5%; số vụ va chạm giao thông giảm 35,9%); số người chết giảm 16,4%; số người bị thương giảm 15% và số người bị thương nhẹ giảm 37,6%. Bình quân 1 ngày trong năm 2021, trên địa bàn cả nước xảy ra 31 vụ tai nạn giao thông, gồm 20 vụ tai nạn giao thông từ ít nghiêm trọng trở lên và 11 vụ va chạm giao thông, làm 16 người chết, 11 người bị thương và 11 người bị thương nhẹ.</w:t>
      </w:r>
    </w:p>
    <w:p w14:paraId="0130DBDC" w14:textId="78AF91CF" w:rsidR="006F5FAD" w:rsidRPr="00DC0CA9" w:rsidRDefault="002D37A8" w:rsidP="00F877BF">
      <w:pPr>
        <w:spacing w:after="120" w:line="340" w:lineRule="exact"/>
        <w:ind w:firstLine="567"/>
        <w:jc w:val="both"/>
        <w:rPr>
          <w:rStyle w:val="normalchar"/>
          <w:rFonts w:ascii="Times New Roman" w:hAnsi="Times New Roman"/>
          <w:b/>
          <w:i/>
          <w:sz w:val="28"/>
          <w:szCs w:val="28"/>
          <w:lang w:val="nl-NL"/>
        </w:rPr>
      </w:pPr>
      <w:r w:rsidRPr="00DC0CA9">
        <w:rPr>
          <w:rStyle w:val="normalchar"/>
          <w:rFonts w:ascii="Times New Roman" w:hAnsi="Times New Roman"/>
          <w:b/>
          <w:sz w:val="28"/>
          <w:szCs w:val="28"/>
          <w:lang w:val="nl-NL"/>
        </w:rPr>
        <w:t>7</w:t>
      </w:r>
      <w:r w:rsidR="006F5FAD" w:rsidRPr="00DC0CA9">
        <w:rPr>
          <w:rStyle w:val="normalchar"/>
          <w:rFonts w:ascii="Times New Roman" w:hAnsi="Times New Roman"/>
          <w:b/>
          <w:sz w:val="28"/>
          <w:szCs w:val="28"/>
          <w:lang w:val="nl-NL"/>
        </w:rPr>
        <w:t xml:space="preserve">. </w:t>
      </w:r>
      <w:r w:rsidR="006F5FAD" w:rsidRPr="00DC0CA9">
        <w:rPr>
          <w:rStyle w:val="normalchar"/>
          <w:rFonts w:ascii="Times New Roman" w:hAnsi="Times New Roman"/>
          <w:b/>
          <w:i/>
          <w:sz w:val="28"/>
          <w:szCs w:val="28"/>
          <w:lang w:val="nl-NL"/>
        </w:rPr>
        <w:t>Thiên tai, ô nhiễm môi trường và cháy, nổ ảnh hưởng không nhỏ tới cuộc sống của người dân ở một số địa phương.</w:t>
      </w:r>
    </w:p>
    <w:p w14:paraId="5D373323" w14:textId="1704404A" w:rsidR="002D37A8" w:rsidRPr="00DC0CA9" w:rsidRDefault="002D37A8" w:rsidP="00F877BF">
      <w:pPr>
        <w:pStyle w:val="Normal10"/>
        <w:spacing w:before="0" w:beforeAutospacing="0" w:after="120" w:afterAutospacing="0" w:line="340" w:lineRule="exact"/>
        <w:ind w:firstLine="567"/>
        <w:jc w:val="both"/>
        <w:rPr>
          <w:rFonts w:ascii="Times New Roman" w:eastAsia="Calibri" w:hAnsi="Times New Roman" w:cs="Times New Roman"/>
          <w:spacing w:val="-2"/>
          <w:sz w:val="28"/>
          <w:szCs w:val="28"/>
          <w:lang w:val="de-DE"/>
        </w:rPr>
      </w:pPr>
      <w:r w:rsidRPr="00DC0CA9">
        <w:rPr>
          <w:rFonts w:ascii="Times New Roman" w:eastAsia="Calibri" w:hAnsi="Times New Roman" w:cs="Times New Roman"/>
          <w:spacing w:val="-2"/>
          <w:sz w:val="28"/>
          <w:szCs w:val="28"/>
          <w:lang w:val="de-DE"/>
        </w:rPr>
        <w:t xml:space="preserve">Trong năm 2021, thiên tai làm 139 người chết và mất tích, 150 người bị thương; 393,9 nghìn con gia súc và gia cầm bị chết; 130,3 nghìn ha lúa và 78,5 nghìn ha hoa màu bị hư hỏng; </w:t>
      </w:r>
      <w:r w:rsidRPr="00DC0CA9">
        <w:rPr>
          <w:rFonts w:ascii="Times New Roman" w:hAnsi="Times New Roman" w:cs="Times New Roman"/>
          <w:spacing w:val="-2"/>
          <w:sz w:val="28"/>
          <w:szCs w:val="28"/>
          <w:lang w:val="de-DE"/>
        </w:rPr>
        <w:t xml:space="preserve">766 ngôi nhà bị sập đổ, cuốn trôi và </w:t>
      </w:r>
      <w:r w:rsidRPr="00DC0CA9">
        <w:rPr>
          <w:rFonts w:ascii="Times New Roman" w:eastAsia="Calibri" w:hAnsi="Times New Roman" w:cs="Times New Roman"/>
          <w:spacing w:val="-2"/>
          <w:sz w:val="28"/>
          <w:szCs w:val="28"/>
          <w:lang w:val="de-DE"/>
        </w:rPr>
        <w:t xml:space="preserve">14,9 nghìn ngôi nhà </w:t>
      </w:r>
      <w:r w:rsidRPr="00DC0CA9">
        <w:rPr>
          <w:rFonts w:ascii="Times New Roman" w:hAnsi="Times New Roman" w:cs="Times New Roman"/>
          <w:spacing w:val="-2"/>
          <w:sz w:val="28"/>
          <w:szCs w:val="28"/>
          <w:lang w:val="de-DE"/>
        </w:rPr>
        <w:t>bị ngập hư hại</w:t>
      </w:r>
      <w:r w:rsidRPr="00DC0CA9">
        <w:rPr>
          <w:rFonts w:ascii="Times New Roman" w:eastAsia="Calibri" w:hAnsi="Times New Roman" w:cs="Times New Roman"/>
          <w:spacing w:val="-2"/>
          <w:sz w:val="28"/>
          <w:szCs w:val="28"/>
          <w:lang w:val="de-DE"/>
        </w:rPr>
        <w:t xml:space="preserve">; tổng giá trị thiệt hại về tài sản ước tính 4.876,9 tỷ đồng, </w:t>
      </w:r>
      <w:r w:rsidRPr="00DC0CA9">
        <w:rPr>
          <w:rFonts w:ascii="Times New Roman" w:hAnsi="Times New Roman" w:cs="Times New Roman"/>
          <w:spacing w:val="-2"/>
          <w:sz w:val="28"/>
          <w:szCs w:val="28"/>
          <w:lang w:val="de-DE"/>
        </w:rPr>
        <w:t>giảm 87,5% so với năm trước</w:t>
      </w:r>
      <w:r w:rsidRPr="00DC0CA9">
        <w:rPr>
          <w:rFonts w:ascii="Times New Roman" w:eastAsia="Calibri" w:hAnsi="Times New Roman" w:cs="Times New Roman"/>
          <w:spacing w:val="-2"/>
          <w:sz w:val="28"/>
          <w:szCs w:val="28"/>
          <w:lang w:val="de-DE"/>
        </w:rPr>
        <w:t>.</w:t>
      </w:r>
    </w:p>
    <w:p w14:paraId="101ABFB6" w14:textId="63C304DA" w:rsidR="002D37A8" w:rsidRPr="00DC0CA9" w:rsidRDefault="002D37A8" w:rsidP="00F877BF">
      <w:pPr>
        <w:tabs>
          <w:tab w:val="left" w:pos="426"/>
          <w:tab w:val="left" w:pos="900"/>
        </w:tabs>
        <w:spacing w:after="120" w:line="340" w:lineRule="exact"/>
        <w:ind w:firstLine="567"/>
        <w:jc w:val="both"/>
        <w:rPr>
          <w:rFonts w:ascii="Times New Roman" w:eastAsia="Calibri" w:hAnsi="Times New Roman" w:cs="Times New Roman"/>
          <w:sz w:val="28"/>
          <w:szCs w:val="28"/>
          <w:lang w:val="de-DE"/>
        </w:rPr>
      </w:pPr>
      <w:r w:rsidRPr="00DC0CA9">
        <w:rPr>
          <w:rFonts w:ascii="Times New Roman" w:eastAsia="Calibri" w:hAnsi="Times New Roman" w:cs="Times New Roman"/>
          <w:sz w:val="28"/>
          <w:szCs w:val="28"/>
          <w:lang w:val="de-DE"/>
        </w:rPr>
        <w:t>Năm 2021, đã phát hiện 15.690 vụ vi phạm môi trường, trong đó xử lý 14.042 vụ với tổng số tiền phạt 240,7 tỷ đồng; trên địa bàn cả nước xảy ra 2.230 vụ cháy, nổ, làm 97 người chết và 145 người bị thương, thiệt hại ước tính 379,4 tỷ đồng./.</w:t>
      </w:r>
    </w:p>
    <w:p w14:paraId="1EA5E14B" w14:textId="77777777" w:rsidR="000C4E1B" w:rsidRPr="00DC0CA9" w:rsidRDefault="000C4E1B" w:rsidP="002D37A8">
      <w:pPr>
        <w:pStyle w:val="Normal10"/>
        <w:spacing w:before="0" w:beforeAutospacing="0" w:after="120" w:afterAutospacing="0"/>
        <w:ind w:firstLine="720"/>
        <w:jc w:val="both"/>
        <w:rPr>
          <w:rFonts w:ascii="Times New Roman" w:hAnsi="Times New Roman" w:cs="Times New Roman"/>
          <w:w w:val="98"/>
          <w:sz w:val="28"/>
          <w:szCs w:val="28"/>
          <w:lang w:val="de-DE"/>
        </w:rPr>
      </w:pPr>
    </w:p>
    <w:p w14:paraId="23BF6463" w14:textId="7F3E934D" w:rsidR="00097926" w:rsidRPr="00DC0CA9" w:rsidRDefault="008F28DB" w:rsidP="000C4E1B">
      <w:pPr>
        <w:pStyle w:val="Normal10"/>
        <w:spacing w:before="40" w:beforeAutospacing="0" w:after="40" w:afterAutospacing="0" w:line="264" w:lineRule="auto"/>
        <w:ind w:right="282" w:firstLine="567"/>
        <w:jc w:val="right"/>
        <w:rPr>
          <w:rFonts w:ascii="Times New Roman" w:hAnsi="Times New Roman" w:cs="Times New Roman"/>
          <w:i/>
          <w:sz w:val="28"/>
          <w:szCs w:val="28"/>
          <w:lang w:val="de-DE"/>
        </w:rPr>
      </w:pPr>
      <w:r w:rsidRPr="00DC0CA9">
        <w:rPr>
          <w:rFonts w:ascii="Times New Roman" w:hAnsi="Times New Roman" w:cs="Times New Roman"/>
          <w:b/>
          <w:sz w:val="28"/>
          <w:szCs w:val="28"/>
        </w:rPr>
        <w:t>T</w:t>
      </w:r>
      <w:r w:rsidR="008D4F7B" w:rsidRPr="00DC0CA9">
        <w:rPr>
          <w:rFonts w:ascii="Times New Roman" w:hAnsi="Times New Roman" w:cs="Times New Roman"/>
          <w:b/>
          <w:sz w:val="28"/>
          <w:szCs w:val="28"/>
        </w:rPr>
        <w:t>ỔNG CỤC THỐNG KÊ</w:t>
      </w:r>
    </w:p>
    <w:sectPr w:rsidR="00097926" w:rsidRPr="00DC0CA9" w:rsidSect="002850E5">
      <w:headerReference w:type="default" r:id="rId8"/>
      <w:footerReference w:type="default" r:id="rId9"/>
      <w:pgSz w:w="11906" w:h="16838" w:code="9"/>
      <w:pgMar w:top="964" w:right="1134" w:bottom="851" w:left="1701" w:header="567" w:footer="55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2F8D0" w14:textId="77777777" w:rsidR="00E714EE" w:rsidRDefault="00E714EE" w:rsidP="00140F6C">
      <w:pPr>
        <w:spacing w:after="0" w:line="240" w:lineRule="auto"/>
        <w:rPr>
          <w:rFonts w:cs="Times New Roman"/>
        </w:rPr>
      </w:pPr>
      <w:r>
        <w:rPr>
          <w:rFonts w:cs="Times New Roman"/>
        </w:rPr>
        <w:separator/>
      </w:r>
    </w:p>
  </w:endnote>
  <w:endnote w:type="continuationSeparator" w:id="0">
    <w:p w14:paraId="77057820" w14:textId="77777777" w:rsidR="00E714EE" w:rsidRDefault="00E714EE"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81AA" w14:textId="77777777" w:rsidR="003A6F56" w:rsidRDefault="003A6F56" w:rsidP="006B1758">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11D9E" w14:textId="77777777" w:rsidR="00E714EE" w:rsidRDefault="00E714EE" w:rsidP="00140F6C">
      <w:pPr>
        <w:spacing w:after="0" w:line="240" w:lineRule="auto"/>
        <w:rPr>
          <w:rFonts w:cs="Times New Roman"/>
        </w:rPr>
      </w:pPr>
      <w:r>
        <w:rPr>
          <w:rFonts w:cs="Times New Roman"/>
        </w:rPr>
        <w:separator/>
      </w:r>
    </w:p>
  </w:footnote>
  <w:footnote w:type="continuationSeparator" w:id="0">
    <w:p w14:paraId="4BA117AE" w14:textId="77777777" w:rsidR="00E714EE" w:rsidRDefault="00E714EE" w:rsidP="00140F6C">
      <w:pPr>
        <w:spacing w:after="0" w:line="240" w:lineRule="auto"/>
        <w:rPr>
          <w:rFonts w:cs="Times New Roman"/>
        </w:rPr>
      </w:pPr>
      <w:r>
        <w:rPr>
          <w:rFonts w:cs="Times New Roman"/>
        </w:rPr>
        <w:continuationSeparator/>
      </w:r>
    </w:p>
  </w:footnote>
  <w:footnote w:id="1">
    <w:p w14:paraId="328D164A" w14:textId="67682E95" w:rsidR="003A6F56" w:rsidRPr="00856D2E" w:rsidRDefault="003A6F56" w:rsidP="00856D2E">
      <w:pPr>
        <w:pStyle w:val="FootnoteText"/>
        <w:spacing w:after="60"/>
        <w:ind w:left="153" w:hanging="153"/>
        <w:jc w:val="both"/>
        <w:rPr>
          <w:rFonts w:ascii="Times New Roman" w:hAnsi="Times New Roman" w:cs="Times New Roman"/>
          <w:lang w:val="en-US"/>
        </w:rPr>
      </w:pPr>
      <w:r w:rsidRPr="00856D2E">
        <w:rPr>
          <w:rStyle w:val="FootnoteReference"/>
          <w:rFonts w:ascii="Times New Roman" w:hAnsi="Times New Roman"/>
        </w:rPr>
        <w:footnoteRef/>
      </w:r>
      <w:r w:rsidRPr="00856D2E">
        <w:rPr>
          <w:rFonts w:ascii="Times New Roman" w:hAnsi="Times New Roman" w:cs="Times New Roman"/>
        </w:rPr>
        <w:t xml:space="preserve"> </w:t>
      </w:r>
      <w:r w:rsidRPr="00856D2E">
        <w:rPr>
          <w:rFonts w:ascii="Times New Roman" w:hAnsi="Times New Roman" w:cs="Times New Roman"/>
          <w:lang w:val="en-US"/>
        </w:rPr>
        <w:t>Thông cáo báo chí và Infographic về tình hình kinh tế - xã hội quý IV và năm 202</w:t>
      </w:r>
      <w:r w:rsidR="00856D2E" w:rsidRPr="00856D2E">
        <w:rPr>
          <w:rFonts w:ascii="Times New Roman" w:hAnsi="Times New Roman" w:cs="Times New Roman"/>
          <w:lang w:val="en-US"/>
        </w:rPr>
        <w:t>1</w:t>
      </w:r>
      <w:r w:rsidRPr="00856D2E">
        <w:rPr>
          <w:rFonts w:ascii="Times New Roman" w:hAnsi="Times New Roman" w:cs="Times New Roman"/>
          <w:lang w:val="en-US"/>
        </w:rPr>
        <w:t xml:space="preserve"> được đăng tải trên trang Web của Tổng cục Thống kê (</w:t>
      </w:r>
      <w:hyperlink r:id="rId1" w:history="1">
        <w:r w:rsidRPr="00856D2E">
          <w:rPr>
            <w:rStyle w:val="Hyperlink"/>
            <w:rFonts w:ascii="Times New Roman" w:hAnsi="Times New Roman" w:cs="Times New Roman"/>
          </w:rPr>
          <w:t>https://www.gso.gov.vn)</w:t>
        </w:r>
      </w:hyperlink>
      <w:r w:rsidRPr="00856D2E">
        <w:rPr>
          <w:rFonts w:ascii="Times New Roman" w:hAnsi="Times New Roman" w:cs="Times New Roman"/>
        </w:rPr>
        <w:t>.</w:t>
      </w:r>
    </w:p>
  </w:footnote>
  <w:footnote w:id="2">
    <w:p w14:paraId="70D9339F" w14:textId="77777777" w:rsidR="00856D2E" w:rsidRPr="00856D2E" w:rsidRDefault="00856D2E" w:rsidP="00856D2E">
      <w:pPr>
        <w:pStyle w:val="FootnoteText"/>
        <w:spacing w:after="60"/>
        <w:ind w:left="153" w:hanging="153"/>
        <w:jc w:val="both"/>
        <w:rPr>
          <w:rFonts w:ascii="Times New Roman" w:hAnsi="Times New Roman" w:cs="Times New Roman"/>
          <w:lang w:val="en-US"/>
        </w:rPr>
      </w:pPr>
      <w:r w:rsidRPr="00856D2E">
        <w:rPr>
          <w:rStyle w:val="FootnoteReference"/>
          <w:rFonts w:ascii="Times New Roman" w:hAnsi="Times New Roman"/>
        </w:rPr>
        <w:footnoteRef/>
      </w:r>
      <w:r w:rsidRPr="00856D2E">
        <w:rPr>
          <w:rFonts w:ascii="Times New Roman" w:hAnsi="Times New Roman" w:cs="Times New Roman"/>
        </w:rPr>
        <w:t xml:space="preserve"> </w:t>
      </w:r>
      <w:r w:rsidRPr="00856D2E">
        <w:rPr>
          <w:rFonts w:ascii="Times New Roman" w:hAnsi="Times New Roman" w:cs="Times New Roman"/>
          <w:shd w:val="clear" w:color="auto" w:fill="FFFFFF"/>
        </w:rPr>
        <w:t>Tại báo cáo triển vọng kinh tế toàn cầu (tháng 10/2021), IMF dự báo tăng trưởng kinh tế thế giới năm 2021 đạt 5,9%, giảm 0,1 điểm phần trăm so với dự báo tại thời điểm tháng 7/2021; Mỹ đạt 6%, giảm 1 điểm phần trăm; Trung Quốc đạt 8%, giảm 0,1 điểm phần trăm; các nước ASEAN-5 đạt 2,9%, giảm 1,4 điểm phần trăm.</w:t>
      </w:r>
    </w:p>
  </w:footnote>
  <w:footnote w:id="3">
    <w:p w14:paraId="579E4C80" w14:textId="77777777" w:rsidR="00856D2E" w:rsidRPr="00AD1859" w:rsidRDefault="00856D2E" w:rsidP="00856D2E">
      <w:pPr>
        <w:pStyle w:val="FootnoteText"/>
        <w:spacing w:after="60"/>
        <w:ind w:left="153" w:hanging="153"/>
        <w:jc w:val="both"/>
        <w:rPr>
          <w:rFonts w:ascii="Times New Roman" w:hAnsi="Times New Roman" w:cs="Times New Roman"/>
          <w:lang w:val="en-US"/>
        </w:rPr>
      </w:pPr>
      <w:r w:rsidRPr="00856D2E">
        <w:rPr>
          <w:rStyle w:val="FootnoteReference"/>
          <w:rFonts w:ascii="Times New Roman" w:hAnsi="Times New Roman"/>
        </w:rPr>
        <w:footnoteRef/>
      </w:r>
      <w:r w:rsidRPr="00856D2E">
        <w:rPr>
          <w:rFonts w:ascii="Times New Roman" w:hAnsi="Times New Roman" w:cs="Times New Roman"/>
        </w:rPr>
        <w:t xml:space="preserve"> Báo cáo Dự báo kinh tế châu Âu mùa xuân 2021, tháng 5/2021; Báo cáo Triển vọng kinh tế OECD, ngày 31/5/2021; Báo cáo Triển vọng kinh tế toàn cầu tháng 6/2021.</w:t>
      </w:r>
    </w:p>
  </w:footnote>
  <w:footnote w:id="4">
    <w:p w14:paraId="086F8022" w14:textId="3D153749" w:rsidR="001412EC" w:rsidRPr="00B23FBE" w:rsidRDefault="001412EC" w:rsidP="001412EC">
      <w:pPr>
        <w:pStyle w:val="FootnoteText"/>
        <w:rPr>
          <w:rFonts w:ascii="Times New Roman" w:hAnsi="Times New Roman" w:cs="Times New Roman"/>
          <w:lang w:val="en-US"/>
        </w:rPr>
      </w:pPr>
      <w:r w:rsidRPr="00B23FBE">
        <w:rPr>
          <w:rStyle w:val="FootnoteReference"/>
        </w:rPr>
        <w:footnoteRef/>
      </w:r>
      <w:r w:rsidRPr="00B23FBE">
        <w:rPr>
          <w:rFonts w:ascii="Times New Roman" w:hAnsi="Times New Roman" w:cs="Times New Roman"/>
        </w:rPr>
        <w:t xml:space="preserve"> </w:t>
      </w:r>
      <w:r w:rsidR="00FA1162">
        <w:rPr>
          <w:rFonts w:ascii="Times New Roman" w:hAnsi="Times New Roman" w:cs="Times New Roman"/>
        </w:rPr>
        <w:t xml:space="preserve">Theo Báo cáo </w:t>
      </w:r>
      <w:r w:rsidR="00FA1162">
        <w:rPr>
          <w:rFonts w:ascii="Times New Roman" w:hAnsi="Times New Roman" w:cs="Times New Roman"/>
          <w:lang w:val="en-US"/>
        </w:rPr>
        <w:t>của</w:t>
      </w:r>
      <w:r w:rsidR="00FA1162" w:rsidRPr="00B23FBE">
        <w:rPr>
          <w:rFonts w:ascii="Times New Roman" w:hAnsi="Times New Roman" w:cs="Times New Roman"/>
          <w:lang w:val="en-US"/>
        </w:rPr>
        <w:t xml:space="preserve"> Bộ Nông nghiệp và Phát triển nông thôn</w:t>
      </w:r>
      <w:r w:rsidR="00FA1162">
        <w:rPr>
          <w:rFonts w:ascii="Times New Roman" w:hAnsi="Times New Roman" w:cs="Times New Roman"/>
          <w:lang w:val="en-US"/>
        </w:rPr>
        <w:t xml:space="preserve"> nhận ngày 25/12/2021</w:t>
      </w:r>
      <w:r w:rsidR="00FA1162" w:rsidRPr="00B23FBE">
        <w:rPr>
          <w:rFonts w:ascii="Times New Roman" w:hAnsi="Times New Roman" w:cs="Times New Roman"/>
          <w:lang w:val="en-US"/>
        </w:rPr>
        <w:t>.</w:t>
      </w:r>
    </w:p>
  </w:footnote>
  <w:footnote w:id="5">
    <w:p w14:paraId="6B350B43" w14:textId="77777777" w:rsidR="00154D42" w:rsidRPr="009F297E" w:rsidRDefault="00154D42" w:rsidP="00154D42">
      <w:pPr>
        <w:pStyle w:val="FootnoteText"/>
        <w:ind w:left="142" w:hanging="142"/>
        <w:jc w:val="both"/>
        <w:rPr>
          <w:rFonts w:ascii="Times New Roman" w:hAnsi="Times New Roman" w:cs="Times New Roman"/>
          <w:spacing w:val="-4"/>
          <w:lang w:val="vi-VN"/>
        </w:rPr>
      </w:pPr>
      <w:r w:rsidRPr="00F531EB">
        <w:rPr>
          <w:rStyle w:val="FootnoteReference"/>
          <w:rFonts w:ascii="Times New Roman" w:hAnsi="Times New Roman"/>
        </w:rPr>
        <w:footnoteRef/>
      </w:r>
      <w:r w:rsidRPr="009F297E">
        <w:rPr>
          <w:rFonts w:ascii="Times New Roman" w:hAnsi="Times New Roman" w:cs="Times New Roman"/>
          <w:lang w:val="vi-VN"/>
        </w:rPr>
        <w:t xml:space="preserve"> Nguồn: Hệ thống thông tin đăng ký doanh nghiệp quốc gia, Cục Quản lý đăng ký kinh doanh, Bộ Kế hoạch và Đầu tư, ngày 24/12/2021.</w:t>
      </w:r>
    </w:p>
  </w:footnote>
  <w:footnote w:id="6">
    <w:p w14:paraId="45EEAFD2" w14:textId="77777777" w:rsidR="009F326B" w:rsidRPr="009F297E" w:rsidRDefault="009F326B" w:rsidP="009F326B">
      <w:pPr>
        <w:pStyle w:val="FootnoteText"/>
        <w:ind w:left="142" w:hanging="142"/>
        <w:jc w:val="both"/>
        <w:rPr>
          <w:rFonts w:ascii="Times New Roman" w:hAnsi="Times New Roman" w:cs="Times New Roman"/>
          <w:lang w:val="vi-VN"/>
        </w:rPr>
      </w:pPr>
      <w:r w:rsidRPr="00F531EB">
        <w:rPr>
          <w:rStyle w:val="FootnoteReference"/>
          <w:rFonts w:ascii="Times New Roman" w:hAnsi="Times New Roman"/>
        </w:rPr>
        <w:footnoteRef/>
      </w:r>
      <w:r w:rsidRPr="009F297E">
        <w:rPr>
          <w:rFonts w:ascii="Times New Roman" w:hAnsi="Times New Roman" w:cs="Times New Roman"/>
          <w:lang w:val="vi-VN"/>
        </w:rPr>
        <w:t xml:space="preserve"> Chỉ số tương ứng của quý III/2021: Có 13,2% số doanh nghiệp đánh giá tốt hơn quý trước; 25,4% số doanh nghiệp cho rằng tình hình sản xuất kinh doanh ổn định và 61,4% số doanh nghiệp đánh giá gặp khó khăn.</w:t>
      </w:r>
    </w:p>
  </w:footnote>
  <w:footnote w:id="7">
    <w:p w14:paraId="196FA124" w14:textId="77777777" w:rsidR="004115BC" w:rsidRPr="009F297E" w:rsidRDefault="004115BC" w:rsidP="004115BC">
      <w:pPr>
        <w:pStyle w:val="FootnoteText"/>
        <w:ind w:left="198" w:hanging="198"/>
        <w:rPr>
          <w:rFonts w:ascii="Times New Roman" w:hAnsi="Times New Roman" w:cs="Times New Roman"/>
          <w:lang w:val="vi-VN"/>
        </w:rPr>
      </w:pPr>
      <w:r w:rsidRPr="001735CD">
        <w:rPr>
          <w:rStyle w:val="FootnoteReference"/>
          <w:rFonts w:ascii="Times New Roman" w:hAnsi="Times New Roman"/>
        </w:rPr>
        <w:footnoteRef/>
      </w:r>
      <w:r w:rsidRPr="009F297E">
        <w:rPr>
          <w:rFonts w:ascii="Times New Roman" w:hAnsi="Times New Roman" w:cs="Times New Roman"/>
          <w:lang w:val="vi-VN"/>
        </w:rPr>
        <w:t xml:space="preserve"> Tốc độ tăng vốn đầu tư thực hiện toàn xã hội các năm giai đoạn 2017-2021: năm 2017 tăng 13,5%; năm 2018 tăng 11,0%; năm 2019 tăng 10,1%; năm 2020 tăng 5,0%; năm 2021 tăng 3,2%</w:t>
      </w:r>
    </w:p>
  </w:footnote>
  <w:footnote w:id="8">
    <w:p w14:paraId="30B1DC39" w14:textId="77777777" w:rsidR="00A2027E" w:rsidRPr="003A7765" w:rsidRDefault="00A2027E" w:rsidP="00A2027E">
      <w:pPr>
        <w:pStyle w:val="FootnoteText"/>
        <w:ind w:left="198" w:hanging="198"/>
        <w:rPr>
          <w:rFonts w:ascii="Times New Roman" w:eastAsia="Calibri" w:hAnsi="Times New Roman" w:cs="Times New Roman"/>
          <w:lang w:val="vi-VN"/>
        </w:rPr>
      </w:pPr>
      <w:r w:rsidRPr="00270BA2">
        <w:rPr>
          <w:rStyle w:val="FootnoteReference"/>
          <w:rFonts w:ascii="Times New Roman" w:hAnsi="Times New Roman"/>
        </w:rPr>
        <w:footnoteRef/>
      </w:r>
      <w:r w:rsidRPr="009F297E">
        <w:rPr>
          <w:rFonts w:ascii="Times New Roman" w:hAnsi="Times New Roman" w:cs="Times New Roman"/>
          <w:lang w:val="vi-VN"/>
        </w:rPr>
        <w:t xml:space="preserve"> Theo báo cáo của Cục Đầu tư nước ngoài, Bộ Kế hoạch và Đầu tư, nhận ngày 22/12/2021.</w:t>
      </w:r>
    </w:p>
  </w:footnote>
  <w:footnote w:id="9">
    <w:p w14:paraId="21F36FD7" w14:textId="6944B56F" w:rsidR="00FF4EC4" w:rsidRPr="009F297E" w:rsidRDefault="00FF4EC4" w:rsidP="00BE0E5A">
      <w:pPr>
        <w:pStyle w:val="FootnoteText"/>
        <w:spacing w:after="60"/>
        <w:ind w:left="198" w:hanging="198"/>
        <w:jc w:val="both"/>
        <w:rPr>
          <w:lang w:val="vi-VN"/>
        </w:rPr>
      </w:pPr>
      <w:r w:rsidRPr="00BC5895">
        <w:rPr>
          <w:rStyle w:val="FootnoteReference"/>
          <w:rFonts w:ascii="Times New Roman" w:hAnsi="Times New Roman"/>
        </w:rPr>
        <w:footnoteRef/>
      </w:r>
      <w:r w:rsidRPr="009F297E">
        <w:rPr>
          <w:rFonts w:ascii="Times New Roman" w:hAnsi="Times New Roman" w:cs="Times New Roman"/>
          <w:lang w:val="vi-VN"/>
        </w:rPr>
        <w:t xml:space="preserve"> T</w:t>
      </w:r>
      <w:r w:rsidRPr="009F297E">
        <w:rPr>
          <w:rFonts w:ascii="Times New Roman" w:hAnsi="Times New Roman" w:cs="Times New Roman"/>
          <w:bCs/>
          <w:color w:val="000000"/>
          <w:lang w:val="vi-VN"/>
        </w:rPr>
        <w:t>ổng kim ngạch xuất, nhập khẩu hàng hóa năm 2020 đạt 545,32 tỷ USD, tăng 5,3% so với năm trước, trong đó xuất khẩu đạt 282,63 tỷ USD, tăng 6,9%; nhập khẩu đạt 262,69 tỷ USD, tăng</w:t>
      </w:r>
      <w:r w:rsidR="005C5CD6">
        <w:rPr>
          <w:rFonts w:ascii="Times New Roman" w:hAnsi="Times New Roman" w:cs="Times New Roman"/>
          <w:bCs/>
          <w:color w:val="000000"/>
        </w:rPr>
        <w:t xml:space="preserve"> </w:t>
      </w:r>
      <w:r w:rsidRPr="009F297E">
        <w:rPr>
          <w:rFonts w:ascii="Times New Roman" w:hAnsi="Times New Roman" w:cs="Times New Roman"/>
          <w:bCs/>
          <w:color w:val="000000"/>
          <w:lang w:val="vi-VN"/>
        </w:rPr>
        <w:t>3,7%.</w:t>
      </w:r>
    </w:p>
  </w:footnote>
  <w:footnote w:id="10">
    <w:p w14:paraId="76F0E06D" w14:textId="11B8BB7B" w:rsidR="00BE0E5A" w:rsidRPr="009F297E" w:rsidRDefault="00BE0E5A" w:rsidP="00BE0E5A">
      <w:pPr>
        <w:spacing w:after="60" w:line="240" w:lineRule="auto"/>
        <w:ind w:left="198" w:hanging="198"/>
        <w:jc w:val="both"/>
        <w:rPr>
          <w:rFonts w:ascii="Times New Roman" w:hAnsi="Times New Roman" w:cs="Times New Roman"/>
          <w:sz w:val="20"/>
          <w:szCs w:val="20"/>
          <w:lang w:val="vi-VN"/>
        </w:rPr>
      </w:pPr>
      <w:r w:rsidRPr="00BC5895">
        <w:rPr>
          <w:rStyle w:val="FootnoteReference"/>
          <w:rFonts w:ascii="Times New Roman" w:hAnsi="Times New Roman"/>
          <w:sz w:val="20"/>
          <w:szCs w:val="20"/>
        </w:rPr>
        <w:footnoteRef/>
      </w:r>
      <w:r w:rsidRPr="009F297E">
        <w:rPr>
          <w:rFonts w:ascii="Times New Roman" w:hAnsi="Times New Roman" w:cs="Times New Roman"/>
          <w:sz w:val="20"/>
          <w:szCs w:val="20"/>
          <w:lang w:val="vi-VN"/>
        </w:rPr>
        <w:t xml:space="preserve"> </w:t>
      </w:r>
      <w:r w:rsidRPr="00BF25AA">
        <w:rPr>
          <w:rFonts w:ascii="Times New Roman" w:hAnsi="Times New Roman" w:cs="Times New Roman"/>
          <w:spacing w:val="-2"/>
          <w:sz w:val="20"/>
          <w:szCs w:val="20"/>
          <w:lang w:val="vi-VN"/>
        </w:rPr>
        <w:t xml:space="preserve">Số liệu tháng 12/2021 do </w:t>
      </w:r>
      <w:r w:rsidR="00D85221">
        <w:rPr>
          <w:rFonts w:ascii="Times New Roman" w:hAnsi="Times New Roman" w:cs="Times New Roman"/>
          <w:spacing w:val="-2"/>
          <w:sz w:val="20"/>
          <w:szCs w:val="20"/>
          <w:lang w:val="en-IN"/>
        </w:rPr>
        <w:t xml:space="preserve">Tổng cục Hải quan </w:t>
      </w:r>
      <w:r w:rsidR="0012075E">
        <w:rPr>
          <w:rFonts w:ascii="Times New Roman" w:hAnsi="Times New Roman" w:cs="Times New Roman"/>
          <w:spacing w:val="-2"/>
          <w:sz w:val="20"/>
          <w:szCs w:val="20"/>
          <w:lang w:val="en-IN"/>
        </w:rPr>
        <w:t xml:space="preserve">cung </w:t>
      </w:r>
      <w:r w:rsidR="00D85221">
        <w:rPr>
          <w:rFonts w:ascii="Times New Roman" w:hAnsi="Times New Roman" w:cs="Times New Roman"/>
          <w:spacing w:val="-2"/>
          <w:sz w:val="20"/>
          <w:szCs w:val="20"/>
          <w:lang w:val="en-IN"/>
        </w:rPr>
        <w:t xml:space="preserve">cấp </w:t>
      </w:r>
      <w:r w:rsidRPr="00BF25AA">
        <w:rPr>
          <w:rFonts w:ascii="Times New Roman" w:hAnsi="Times New Roman" w:cs="Times New Roman"/>
          <w:spacing w:val="-2"/>
          <w:sz w:val="20"/>
          <w:szCs w:val="20"/>
          <w:lang w:val="vi-VN"/>
        </w:rPr>
        <w:t>ngày 2</w:t>
      </w:r>
      <w:r w:rsidR="00D85221">
        <w:rPr>
          <w:rFonts w:ascii="Times New Roman" w:hAnsi="Times New Roman" w:cs="Times New Roman"/>
          <w:spacing w:val="-2"/>
          <w:sz w:val="20"/>
          <w:szCs w:val="20"/>
          <w:lang w:val="en-IN"/>
        </w:rPr>
        <w:t>8</w:t>
      </w:r>
      <w:r w:rsidRPr="00BF25AA">
        <w:rPr>
          <w:rFonts w:ascii="Times New Roman" w:hAnsi="Times New Roman" w:cs="Times New Roman"/>
          <w:spacing w:val="-2"/>
          <w:sz w:val="20"/>
          <w:szCs w:val="20"/>
          <w:lang w:val="vi-VN"/>
        </w:rPr>
        <w:t>/12/2021.</w:t>
      </w:r>
    </w:p>
  </w:footnote>
  <w:footnote w:id="11">
    <w:p w14:paraId="2DE90B60" w14:textId="77777777" w:rsidR="00AD2EEC" w:rsidRPr="00075694" w:rsidRDefault="00AD2EEC" w:rsidP="00AD2EEC">
      <w:pPr>
        <w:pStyle w:val="FootnoteText"/>
        <w:ind w:left="198" w:hanging="198"/>
        <w:jc w:val="both"/>
        <w:rPr>
          <w:rFonts w:ascii="Times New Roman" w:hAnsi="Times New Roman" w:cs="Times New Roman"/>
        </w:rPr>
      </w:pPr>
      <w:r w:rsidRPr="00075694">
        <w:rPr>
          <w:rStyle w:val="FootnoteReference"/>
          <w:rFonts w:ascii="Times New Roman" w:hAnsi="Times New Roman"/>
        </w:rPr>
        <w:footnoteRef/>
      </w:r>
      <w:r w:rsidRPr="00075694">
        <w:rPr>
          <w:rFonts w:ascii="Times New Roman" w:hAnsi="Times New Roman" w:cs="Times New Roman"/>
        </w:rPr>
        <w:t xml:space="preserve"> Tốc độ tăng CPI bình quân các năm so vớ</w:t>
      </w:r>
      <w:r>
        <w:rPr>
          <w:rFonts w:ascii="Times New Roman" w:hAnsi="Times New Roman" w:cs="Times New Roman"/>
        </w:rPr>
        <w:t>i năm trước giai đoạn 2016-2021</w:t>
      </w:r>
      <w:r w:rsidRPr="00075694">
        <w:rPr>
          <w:rFonts w:ascii="Times New Roman" w:hAnsi="Times New Roman" w:cs="Times New Roman"/>
        </w:rPr>
        <w:t xml:space="preserve"> lần lượt là: tăng 2,66%; tăng 3,53%; tăng 3,54%; tăng 2,79%; tăng 3,23</w:t>
      </w:r>
      <w:r w:rsidRPr="00A53C0D">
        <w:rPr>
          <w:rFonts w:ascii="Times New Roman" w:hAnsi="Times New Roman" w:cs="Times New Roman"/>
        </w:rPr>
        <w:t>%; tăng 1,84%.</w:t>
      </w:r>
    </w:p>
  </w:footnote>
  <w:footnote w:id="12">
    <w:p w14:paraId="4B60712F" w14:textId="77777777" w:rsidR="005679DD" w:rsidRPr="00747288" w:rsidRDefault="005679DD" w:rsidP="005679DD">
      <w:pPr>
        <w:pStyle w:val="FootnoteText"/>
        <w:spacing w:before="60" w:after="60"/>
        <w:ind w:left="198" w:hanging="198"/>
        <w:rPr>
          <w:rFonts w:ascii="Times New Roman" w:hAnsi="Times New Roman" w:cs="Times New Roman"/>
          <w:lang w:val="vi-VN"/>
        </w:rPr>
      </w:pPr>
      <w:r w:rsidRPr="00747288">
        <w:rPr>
          <w:rStyle w:val="FootnoteReference"/>
        </w:rPr>
        <w:footnoteRef/>
      </w:r>
      <w:r w:rsidRPr="00747288">
        <w:rPr>
          <w:rFonts w:ascii="Times New Roman" w:hAnsi="Times New Roman" w:cs="Times New Roman"/>
          <w:lang w:val="vi-VN"/>
        </w:rPr>
        <w:t xml:space="preserve"> Chỉ số giá xuất khẩu hàng hóa so với chỉ số giá nhập khẩu hàng hóa.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EC1B" w14:textId="77777777" w:rsidR="003A6F56" w:rsidRPr="00464862" w:rsidRDefault="003A6F56" w:rsidP="006B1758">
    <w:pPr>
      <w:pStyle w:val="Header"/>
      <w:framePr w:wrap="auto" w:vAnchor="text" w:hAnchor="margin" w:xAlign="center" w:y="1"/>
      <w:rPr>
        <w:rStyle w:val="PageNumber"/>
        <w:rFonts w:ascii="Times New Roman" w:hAnsi="Times New Roman"/>
        <w:sz w:val="24"/>
        <w:szCs w:val="24"/>
      </w:rPr>
    </w:pPr>
    <w:r w:rsidRPr="00464862">
      <w:rPr>
        <w:rStyle w:val="PageNumber"/>
        <w:rFonts w:ascii="Times New Roman" w:hAnsi="Times New Roman"/>
        <w:sz w:val="24"/>
        <w:szCs w:val="24"/>
      </w:rPr>
      <w:fldChar w:fldCharType="begin"/>
    </w:r>
    <w:r w:rsidRPr="00464862">
      <w:rPr>
        <w:rStyle w:val="PageNumber"/>
        <w:rFonts w:ascii="Times New Roman" w:hAnsi="Times New Roman"/>
        <w:sz w:val="24"/>
        <w:szCs w:val="24"/>
      </w:rPr>
      <w:instrText xml:space="preserve">PAGE  </w:instrText>
    </w:r>
    <w:r w:rsidRPr="00464862">
      <w:rPr>
        <w:rStyle w:val="PageNumber"/>
        <w:rFonts w:ascii="Times New Roman" w:hAnsi="Times New Roman"/>
        <w:sz w:val="24"/>
        <w:szCs w:val="24"/>
      </w:rPr>
      <w:fldChar w:fldCharType="separate"/>
    </w:r>
    <w:r w:rsidR="00DD50D4">
      <w:rPr>
        <w:rStyle w:val="PageNumber"/>
        <w:rFonts w:ascii="Times New Roman" w:hAnsi="Times New Roman"/>
        <w:noProof/>
        <w:sz w:val="24"/>
        <w:szCs w:val="24"/>
      </w:rPr>
      <w:t>16</w:t>
    </w:r>
    <w:r w:rsidRPr="00464862">
      <w:rPr>
        <w:rStyle w:val="PageNumber"/>
        <w:rFonts w:ascii="Times New Roman" w:hAnsi="Times New Roman"/>
        <w:sz w:val="24"/>
        <w:szCs w:val="24"/>
      </w:rPr>
      <w:fldChar w:fldCharType="end"/>
    </w:r>
  </w:p>
  <w:p w14:paraId="114B8122" w14:textId="77777777" w:rsidR="003A6F56" w:rsidRDefault="003A6F56">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2E75460"/>
    <w:multiLevelType w:val="hybridMultilevel"/>
    <w:tmpl w:val="0B04F692"/>
    <w:lvl w:ilvl="0" w:tplc="D74298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7"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0"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2"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4"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5"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7"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1"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2"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19"/>
  </w:num>
  <w:num w:numId="3">
    <w:abstractNumId w:val="15"/>
  </w:num>
  <w:num w:numId="4">
    <w:abstractNumId w:val="3"/>
  </w:num>
  <w:num w:numId="5">
    <w:abstractNumId w:val="20"/>
  </w:num>
  <w:num w:numId="6">
    <w:abstractNumId w:val="14"/>
  </w:num>
  <w:num w:numId="7">
    <w:abstractNumId w:val="17"/>
  </w:num>
  <w:num w:numId="8">
    <w:abstractNumId w:val="7"/>
  </w:num>
  <w:num w:numId="9">
    <w:abstractNumId w:val="13"/>
  </w:num>
  <w:num w:numId="10">
    <w:abstractNumId w:val="16"/>
  </w:num>
  <w:num w:numId="11">
    <w:abstractNumId w:val="6"/>
  </w:num>
  <w:num w:numId="12">
    <w:abstractNumId w:val="18"/>
  </w:num>
  <w:num w:numId="13">
    <w:abstractNumId w:val="12"/>
  </w:num>
  <w:num w:numId="14">
    <w:abstractNumId w:val="0"/>
  </w:num>
  <w:num w:numId="15">
    <w:abstractNumId w:val="1"/>
  </w:num>
  <w:num w:numId="16">
    <w:abstractNumId w:val="4"/>
  </w:num>
  <w:num w:numId="17">
    <w:abstractNumId w:val="21"/>
  </w:num>
  <w:num w:numId="18">
    <w:abstractNumId w:val="22"/>
  </w:num>
  <w:num w:numId="19">
    <w:abstractNumId w:val="8"/>
  </w:num>
  <w:num w:numId="20">
    <w:abstractNumId w:val="10"/>
  </w:num>
  <w:num w:numId="21">
    <w:abstractNumId w:val="9"/>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doNotHyphenateCaps/>
  <w:drawingGridHorizontalSpacing w:val="11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4C"/>
    <w:rsid w:val="00002626"/>
    <w:rsid w:val="0000550B"/>
    <w:rsid w:val="00005AE0"/>
    <w:rsid w:val="00005E0C"/>
    <w:rsid w:val="0000637E"/>
    <w:rsid w:val="00007290"/>
    <w:rsid w:val="000072FC"/>
    <w:rsid w:val="000076AF"/>
    <w:rsid w:val="000079ED"/>
    <w:rsid w:val="000104CA"/>
    <w:rsid w:val="0001081E"/>
    <w:rsid w:val="00010F94"/>
    <w:rsid w:val="0001209D"/>
    <w:rsid w:val="00012302"/>
    <w:rsid w:val="00012D5D"/>
    <w:rsid w:val="00014131"/>
    <w:rsid w:val="0001431E"/>
    <w:rsid w:val="000150DF"/>
    <w:rsid w:val="000205E1"/>
    <w:rsid w:val="0002230C"/>
    <w:rsid w:val="00023730"/>
    <w:rsid w:val="0002377A"/>
    <w:rsid w:val="00024928"/>
    <w:rsid w:val="000313AD"/>
    <w:rsid w:val="00033536"/>
    <w:rsid w:val="00033ACE"/>
    <w:rsid w:val="00033F17"/>
    <w:rsid w:val="00034D85"/>
    <w:rsid w:val="00034F2D"/>
    <w:rsid w:val="000350ED"/>
    <w:rsid w:val="00036172"/>
    <w:rsid w:val="000376EB"/>
    <w:rsid w:val="00037EBF"/>
    <w:rsid w:val="00040201"/>
    <w:rsid w:val="00040D5E"/>
    <w:rsid w:val="00044564"/>
    <w:rsid w:val="0005026A"/>
    <w:rsid w:val="00050A78"/>
    <w:rsid w:val="00051CE8"/>
    <w:rsid w:val="0005236F"/>
    <w:rsid w:val="00053265"/>
    <w:rsid w:val="00053528"/>
    <w:rsid w:val="000538B3"/>
    <w:rsid w:val="0005564F"/>
    <w:rsid w:val="0005584C"/>
    <w:rsid w:val="000563F2"/>
    <w:rsid w:val="00056B62"/>
    <w:rsid w:val="00060D9D"/>
    <w:rsid w:val="00060E5E"/>
    <w:rsid w:val="00061C5E"/>
    <w:rsid w:val="00061E98"/>
    <w:rsid w:val="000632D1"/>
    <w:rsid w:val="00063FD9"/>
    <w:rsid w:val="00066342"/>
    <w:rsid w:val="000678B2"/>
    <w:rsid w:val="00067E46"/>
    <w:rsid w:val="00070AB9"/>
    <w:rsid w:val="00071ED2"/>
    <w:rsid w:val="0007337D"/>
    <w:rsid w:val="00073A43"/>
    <w:rsid w:val="00074BD1"/>
    <w:rsid w:val="00074F91"/>
    <w:rsid w:val="00075D36"/>
    <w:rsid w:val="00076A0D"/>
    <w:rsid w:val="00077440"/>
    <w:rsid w:val="00077FBC"/>
    <w:rsid w:val="000829FF"/>
    <w:rsid w:val="000832C3"/>
    <w:rsid w:val="000842F6"/>
    <w:rsid w:val="00084521"/>
    <w:rsid w:val="00090301"/>
    <w:rsid w:val="00091B4A"/>
    <w:rsid w:val="0009272E"/>
    <w:rsid w:val="00092D7F"/>
    <w:rsid w:val="00093258"/>
    <w:rsid w:val="00093B2F"/>
    <w:rsid w:val="00095D3B"/>
    <w:rsid w:val="0009696D"/>
    <w:rsid w:val="000976AE"/>
    <w:rsid w:val="00097926"/>
    <w:rsid w:val="000A089F"/>
    <w:rsid w:val="000A0C71"/>
    <w:rsid w:val="000A1588"/>
    <w:rsid w:val="000A19BF"/>
    <w:rsid w:val="000A1DE1"/>
    <w:rsid w:val="000A2028"/>
    <w:rsid w:val="000A4BFE"/>
    <w:rsid w:val="000A50F3"/>
    <w:rsid w:val="000A59CE"/>
    <w:rsid w:val="000A5FFB"/>
    <w:rsid w:val="000A7907"/>
    <w:rsid w:val="000A79C2"/>
    <w:rsid w:val="000B173B"/>
    <w:rsid w:val="000B2A22"/>
    <w:rsid w:val="000B33F6"/>
    <w:rsid w:val="000B7B53"/>
    <w:rsid w:val="000C016B"/>
    <w:rsid w:val="000C19C2"/>
    <w:rsid w:val="000C1AFC"/>
    <w:rsid w:val="000C3A72"/>
    <w:rsid w:val="000C41F7"/>
    <w:rsid w:val="000C4E1B"/>
    <w:rsid w:val="000C5E1D"/>
    <w:rsid w:val="000D2ED4"/>
    <w:rsid w:val="000D3A28"/>
    <w:rsid w:val="000D48EC"/>
    <w:rsid w:val="000D592B"/>
    <w:rsid w:val="000D7358"/>
    <w:rsid w:val="000D74CC"/>
    <w:rsid w:val="000E1208"/>
    <w:rsid w:val="000E1825"/>
    <w:rsid w:val="000E23CE"/>
    <w:rsid w:val="000E2CF1"/>
    <w:rsid w:val="000E3272"/>
    <w:rsid w:val="000E35F7"/>
    <w:rsid w:val="000E382A"/>
    <w:rsid w:val="000E509D"/>
    <w:rsid w:val="000E6764"/>
    <w:rsid w:val="000E6F85"/>
    <w:rsid w:val="000E703D"/>
    <w:rsid w:val="000E74CF"/>
    <w:rsid w:val="000E760C"/>
    <w:rsid w:val="000F090D"/>
    <w:rsid w:val="000F0A1C"/>
    <w:rsid w:val="000F0A38"/>
    <w:rsid w:val="000F1187"/>
    <w:rsid w:val="000F2094"/>
    <w:rsid w:val="000F27A0"/>
    <w:rsid w:val="000F2892"/>
    <w:rsid w:val="000F29A3"/>
    <w:rsid w:val="000F29C4"/>
    <w:rsid w:val="000F2D3B"/>
    <w:rsid w:val="000F3A9C"/>
    <w:rsid w:val="000F46C4"/>
    <w:rsid w:val="000F655B"/>
    <w:rsid w:val="000F6D48"/>
    <w:rsid w:val="000F6FF6"/>
    <w:rsid w:val="000F775A"/>
    <w:rsid w:val="0010001A"/>
    <w:rsid w:val="001023CE"/>
    <w:rsid w:val="001032C3"/>
    <w:rsid w:val="001039EE"/>
    <w:rsid w:val="00103C01"/>
    <w:rsid w:val="00103CD9"/>
    <w:rsid w:val="00104246"/>
    <w:rsid w:val="00106B2D"/>
    <w:rsid w:val="00107863"/>
    <w:rsid w:val="00107FB1"/>
    <w:rsid w:val="001105C0"/>
    <w:rsid w:val="00110D27"/>
    <w:rsid w:val="001113E2"/>
    <w:rsid w:val="0011141A"/>
    <w:rsid w:val="00111BD7"/>
    <w:rsid w:val="00113FA6"/>
    <w:rsid w:val="001168A8"/>
    <w:rsid w:val="00116ABF"/>
    <w:rsid w:val="00116D01"/>
    <w:rsid w:val="0012075E"/>
    <w:rsid w:val="00120BA6"/>
    <w:rsid w:val="00120BB0"/>
    <w:rsid w:val="00121AB4"/>
    <w:rsid w:val="00127194"/>
    <w:rsid w:val="0013094D"/>
    <w:rsid w:val="00131D2B"/>
    <w:rsid w:val="001343D3"/>
    <w:rsid w:val="00134B4A"/>
    <w:rsid w:val="001378E0"/>
    <w:rsid w:val="00137C9A"/>
    <w:rsid w:val="0014036D"/>
    <w:rsid w:val="00140B38"/>
    <w:rsid w:val="00140E07"/>
    <w:rsid w:val="00140F6C"/>
    <w:rsid w:val="001412EC"/>
    <w:rsid w:val="00141B87"/>
    <w:rsid w:val="001425FD"/>
    <w:rsid w:val="00142BE0"/>
    <w:rsid w:val="00142DA8"/>
    <w:rsid w:val="001430E1"/>
    <w:rsid w:val="0014459C"/>
    <w:rsid w:val="00144A29"/>
    <w:rsid w:val="00145054"/>
    <w:rsid w:val="00150B92"/>
    <w:rsid w:val="001518AA"/>
    <w:rsid w:val="00151E23"/>
    <w:rsid w:val="00152F6B"/>
    <w:rsid w:val="001538FC"/>
    <w:rsid w:val="00154D42"/>
    <w:rsid w:val="001602EC"/>
    <w:rsid w:val="00160712"/>
    <w:rsid w:val="001608BD"/>
    <w:rsid w:val="001614AF"/>
    <w:rsid w:val="001615F9"/>
    <w:rsid w:val="00162B6E"/>
    <w:rsid w:val="00164EC6"/>
    <w:rsid w:val="0016501B"/>
    <w:rsid w:val="001651D1"/>
    <w:rsid w:val="00166DDB"/>
    <w:rsid w:val="00170081"/>
    <w:rsid w:val="00170BCE"/>
    <w:rsid w:val="00172979"/>
    <w:rsid w:val="00174075"/>
    <w:rsid w:val="001745F2"/>
    <w:rsid w:val="00174BC9"/>
    <w:rsid w:val="001772E0"/>
    <w:rsid w:val="00180553"/>
    <w:rsid w:val="00183934"/>
    <w:rsid w:val="00183A90"/>
    <w:rsid w:val="00183C10"/>
    <w:rsid w:val="00185E3C"/>
    <w:rsid w:val="0018650F"/>
    <w:rsid w:val="00186DFF"/>
    <w:rsid w:val="00191876"/>
    <w:rsid w:val="00191953"/>
    <w:rsid w:val="001919F1"/>
    <w:rsid w:val="00191D87"/>
    <w:rsid w:val="00193457"/>
    <w:rsid w:val="0019386E"/>
    <w:rsid w:val="001950AD"/>
    <w:rsid w:val="001968F8"/>
    <w:rsid w:val="001A0220"/>
    <w:rsid w:val="001A0A8F"/>
    <w:rsid w:val="001A1F70"/>
    <w:rsid w:val="001A26D2"/>
    <w:rsid w:val="001A2C20"/>
    <w:rsid w:val="001A51B7"/>
    <w:rsid w:val="001A53A1"/>
    <w:rsid w:val="001A68A9"/>
    <w:rsid w:val="001A719F"/>
    <w:rsid w:val="001B02AB"/>
    <w:rsid w:val="001B09F2"/>
    <w:rsid w:val="001B6FE4"/>
    <w:rsid w:val="001C06C8"/>
    <w:rsid w:val="001C09CE"/>
    <w:rsid w:val="001C1087"/>
    <w:rsid w:val="001C216B"/>
    <w:rsid w:val="001C243B"/>
    <w:rsid w:val="001C2B9A"/>
    <w:rsid w:val="001C3C0F"/>
    <w:rsid w:val="001C5B2B"/>
    <w:rsid w:val="001C6A86"/>
    <w:rsid w:val="001C6EC2"/>
    <w:rsid w:val="001D14BE"/>
    <w:rsid w:val="001D1B1E"/>
    <w:rsid w:val="001D2307"/>
    <w:rsid w:val="001D2840"/>
    <w:rsid w:val="001D45A7"/>
    <w:rsid w:val="001D6F9B"/>
    <w:rsid w:val="001E1534"/>
    <w:rsid w:val="001E191A"/>
    <w:rsid w:val="001E1C5F"/>
    <w:rsid w:val="001E22AF"/>
    <w:rsid w:val="001E3339"/>
    <w:rsid w:val="001E4D83"/>
    <w:rsid w:val="001E5422"/>
    <w:rsid w:val="001E544B"/>
    <w:rsid w:val="001E55EC"/>
    <w:rsid w:val="001E68FB"/>
    <w:rsid w:val="001F032E"/>
    <w:rsid w:val="001F1910"/>
    <w:rsid w:val="001F4B3F"/>
    <w:rsid w:val="001F74FF"/>
    <w:rsid w:val="002028A1"/>
    <w:rsid w:val="002028AC"/>
    <w:rsid w:val="00202DC8"/>
    <w:rsid w:val="002030A7"/>
    <w:rsid w:val="002032BA"/>
    <w:rsid w:val="0020358C"/>
    <w:rsid w:val="00203D6D"/>
    <w:rsid w:val="00204518"/>
    <w:rsid w:val="002050D7"/>
    <w:rsid w:val="00205EBD"/>
    <w:rsid w:val="002062C3"/>
    <w:rsid w:val="0020670B"/>
    <w:rsid w:val="002069AC"/>
    <w:rsid w:val="00207A9A"/>
    <w:rsid w:val="0021194F"/>
    <w:rsid w:val="00211AE6"/>
    <w:rsid w:val="002124FC"/>
    <w:rsid w:val="00212A13"/>
    <w:rsid w:val="0022074F"/>
    <w:rsid w:val="0022078F"/>
    <w:rsid w:val="00220919"/>
    <w:rsid w:val="00220ED7"/>
    <w:rsid w:val="00223B69"/>
    <w:rsid w:val="00224D01"/>
    <w:rsid w:val="002252DC"/>
    <w:rsid w:val="0022589D"/>
    <w:rsid w:val="002267D6"/>
    <w:rsid w:val="00226E92"/>
    <w:rsid w:val="0022774A"/>
    <w:rsid w:val="00227769"/>
    <w:rsid w:val="00232376"/>
    <w:rsid w:val="00232B1F"/>
    <w:rsid w:val="00233DC8"/>
    <w:rsid w:val="00233DED"/>
    <w:rsid w:val="002344E5"/>
    <w:rsid w:val="00234CEB"/>
    <w:rsid w:val="00234E46"/>
    <w:rsid w:val="00235CFB"/>
    <w:rsid w:val="00236D06"/>
    <w:rsid w:val="00237683"/>
    <w:rsid w:val="002378B0"/>
    <w:rsid w:val="002402AA"/>
    <w:rsid w:val="002406A9"/>
    <w:rsid w:val="00241A89"/>
    <w:rsid w:val="00241CFF"/>
    <w:rsid w:val="002422ED"/>
    <w:rsid w:val="002430E6"/>
    <w:rsid w:val="00243A47"/>
    <w:rsid w:val="002456CF"/>
    <w:rsid w:val="00246AD1"/>
    <w:rsid w:val="00246D94"/>
    <w:rsid w:val="00247504"/>
    <w:rsid w:val="00247F17"/>
    <w:rsid w:val="00250AD3"/>
    <w:rsid w:val="00252D93"/>
    <w:rsid w:val="00253A8E"/>
    <w:rsid w:val="0025403A"/>
    <w:rsid w:val="00254FD8"/>
    <w:rsid w:val="00255187"/>
    <w:rsid w:val="0025628E"/>
    <w:rsid w:val="0025668B"/>
    <w:rsid w:val="00256D83"/>
    <w:rsid w:val="002577CA"/>
    <w:rsid w:val="002603EC"/>
    <w:rsid w:val="0026137E"/>
    <w:rsid w:val="00263303"/>
    <w:rsid w:val="002633DB"/>
    <w:rsid w:val="00263487"/>
    <w:rsid w:val="00267A45"/>
    <w:rsid w:val="002736DB"/>
    <w:rsid w:val="00273771"/>
    <w:rsid w:val="002747EE"/>
    <w:rsid w:val="00275DED"/>
    <w:rsid w:val="00277A16"/>
    <w:rsid w:val="00277DAB"/>
    <w:rsid w:val="002813C4"/>
    <w:rsid w:val="00282017"/>
    <w:rsid w:val="002845EE"/>
    <w:rsid w:val="002850E5"/>
    <w:rsid w:val="002852AA"/>
    <w:rsid w:val="0028604A"/>
    <w:rsid w:val="00286420"/>
    <w:rsid w:val="002868CD"/>
    <w:rsid w:val="00286F0D"/>
    <w:rsid w:val="002877C3"/>
    <w:rsid w:val="00292003"/>
    <w:rsid w:val="00293AA2"/>
    <w:rsid w:val="00294C32"/>
    <w:rsid w:val="00294E99"/>
    <w:rsid w:val="00296388"/>
    <w:rsid w:val="00296EF7"/>
    <w:rsid w:val="0029761B"/>
    <w:rsid w:val="00297837"/>
    <w:rsid w:val="00297912"/>
    <w:rsid w:val="002A0CED"/>
    <w:rsid w:val="002A19A5"/>
    <w:rsid w:val="002A1B42"/>
    <w:rsid w:val="002A2332"/>
    <w:rsid w:val="002A2A91"/>
    <w:rsid w:val="002A2CE9"/>
    <w:rsid w:val="002A3EEB"/>
    <w:rsid w:val="002A41DD"/>
    <w:rsid w:val="002A4466"/>
    <w:rsid w:val="002A4B27"/>
    <w:rsid w:val="002A5175"/>
    <w:rsid w:val="002A5706"/>
    <w:rsid w:val="002A5855"/>
    <w:rsid w:val="002A5A90"/>
    <w:rsid w:val="002A60AC"/>
    <w:rsid w:val="002A6EE4"/>
    <w:rsid w:val="002B0DB7"/>
    <w:rsid w:val="002B19CA"/>
    <w:rsid w:val="002B1FED"/>
    <w:rsid w:val="002B21D7"/>
    <w:rsid w:val="002B2B7C"/>
    <w:rsid w:val="002B3609"/>
    <w:rsid w:val="002B4673"/>
    <w:rsid w:val="002B46B3"/>
    <w:rsid w:val="002B4DDB"/>
    <w:rsid w:val="002B4F83"/>
    <w:rsid w:val="002B50D6"/>
    <w:rsid w:val="002B7477"/>
    <w:rsid w:val="002C30BD"/>
    <w:rsid w:val="002C3155"/>
    <w:rsid w:val="002C3DF8"/>
    <w:rsid w:val="002C419A"/>
    <w:rsid w:val="002C42AE"/>
    <w:rsid w:val="002C4CA1"/>
    <w:rsid w:val="002C501E"/>
    <w:rsid w:val="002C5898"/>
    <w:rsid w:val="002C666B"/>
    <w:rsid w:val="002C6688"/>
    <w:rsid w:val="002D08B5"/>
    <w:rsid w:val="002D0A16"/>
    <w:rsid w:val="002D0E70"/>
    <w:rsid w:val="002D1F22"/>
    <w:rsid w:val="002D37A8"/>
    <w:rsid w:val="002D504D"/>
    <w:rsid w:val="002D5153"/>
    <w:rsid w:val="002D533D"/>
    <w:rsid w:val="002E20C9"/>
    <w:rsid w:val="002E2175"/>
    <w:rsid w:val="002E2F81"/>
    <w:rsid w:val="002E45A4"/>
    <w:rsid w:val="002E48A6"/>
    <w:rsid w:val="002E5381"/>
    <w:rsid w:val="002E5B74"/>
    <w:rsid w:val="002E5C45"/>
    <w:rsid w:val="002E6195"/>
    <w:rsid w:val="002E6D32"/>
    <w:rsid w:val="002E718B"/>
    <w:rsid w:val="002E752D"/>
    <w:rsid w:val="002E7799"/>
    <w:rsid w:val="002F1496"/>
    <w:rsid w:val="002F1C71"/>
    <w:rsid w:val="002F1DF2"/>
    <w:rsid w:val="002F20B9"/>
    <w:rsid w:val="002F2E88"/>
    <w:rsid w:val="002F3218"/>
    <w:rsid w:val="002F71EF"/>
    <w:rsid w:val="00300297"/>
    <w:rsid w:val="00300469"/>
    <w:rsid w:val="00301147"/>
    <w:rsid w:val="00301177"/>
    <w:rsid w:val="00302530"/>
    <w:rsid w:val="00303782"/>
    <w:rsid w:val="00303F1B"/>
    <w:rsid w:val="0030543B"/>
    <w:rsid w:val="003114DC"/>
    <w:rsid w:val="003124EC"/>
    <w:rsid w:val="00312DAD"/>
    <w:rsid w:val="00312FC1"/>
    <w:rsid w:val="0031346C"/>
    <w:rsid w:val="00313CF7"/>
    <w:rsid w:val="00313FA0"/>
    <w:rsid w:val="003159B7"/>
    <w:rsid w:val="00315C2D"/>
    <w:rsid w:val="00317105"/>
    <w:rsid w:val="00320F0F"/>
    <w:rsid w:val="00321481"/>
    <w:rsid w:val="00321EDE"/>
    <w:rsid w:val="00325643"/>
    <w:rsid w:val="003271B9"/>
    <w:rsid w:val="003273C3"/>
    <w:rsid w:val="00327535"/>
    <w:rsid w:val="00327C75"/>
    <w:rsid w:val="0033007C"/>
    <w:rsid w:val="00330373"/>
    <w:rsid w:val="00330A5F"/>
    <w:rsid w:val="00330EC3"/>
    <w:rsid w:val="003310DD"/>
    <w:rsid w:val="00331F74"/>
    <w:rsid w:val="00332170"/>
    <w:rsid w:val="00332523"/>
    <w:rsid w:val="00332B08"/>
    <w:rsid w:val="00333188"/>
    <w:rsid w:val="0033360E"/>
    <w:rsid w:val="003343AA"/>
    <w:rsid w:val="003349C9"/>
    <w:rsid w:val="00334CD3"/>
    <w:rsid w:val="003354DC"/>
    <w:rsid w:val="0033565D"/>
    <w:rsid w:val="00335D7A"/>
    <w:rsid w:val="003360E9"/>
    <w:rsid w:val="003372AE"/>
    <w:rsid w:val="003377B4"/>
    <w:rsid w:val="00340450"/>
    <w:rsid w:val="00344836"/>
    <w:rsid w:val="003448D5"/>
    <w:rsid w:val="00345F52"/>
    <w:rsid w:val="00347624"/>
    <w:rsid w:val="00351BC5"/>
    <w:rsid w:val="00352E2F"/>
    <w:rsid w:val="00353124"/>
    <w:rsid w:val="003552B0"/>
    <w:rsid w:val="00356693"/>
    <w:rsid w:val="00357ACC"/>
    <w:rsid w:val="00357E6A"/>
    <w:rsid w:val="00361F1B"/>
    <w:rsid w:val="00362AD6"/>
    <w:rsid w:val="00363077"/>
    <w:rsid w:val="00363201"/>
    <w:rsid w:val="00364B0C"/>
    <w:rsid w:val="00366D46"/>
    <w:rsid w:val="003673E4"/>
    <w:rsid w:val="00367790"/>
    <w:rsid w:val="00370026"/>
    <w:rsid w:val="00370621"/>
    <w:rsid w:val="00370980"/>
    <w:rsid w:val="00372565"/>
    <w:rsid w:val="00373FBD"/>
    <w:rsid w:val="00374730"/>
    <w:rsid w:val="00375B27"/>
    <w:rsid w:val="003760C3"/>
    <w:rsid w:val="0037744A"/>
    <w:rsid w:val="003807CF"/>
    <w:rsid w:val="00381CA2"/>
    <w:rsid w:val="00381D0F"/>
    <w:rsid w:val="0038256B"/>
    <w:rsid w:val="003825CE"/>
    <w:rsid w:val="00383816"/>
    <w:rsid w:val="00383ACA"/>
    <w:rsid w:val="00383EE5"/>
    <w:rsid w:val="003865C6"/>
    <w:rsid w:val="00391BA8"/>
    <w:rsid w:val="00391BF6"/>
    <w:rsid w:val="00391E3A"/>
    <w:rsid w:val="003923E9"/>
    <w:rsid w:val="0039281C"/>
    <w:rsid w:val="003936D4"/>
    <w:rsid w:val="00393E5A"/>
    <w:rsid w:val="0039793D"/>
    <w:rsid w:val="00397A54"/>
    <w:rsid w:val="00397AAE"/>
    <w:rsid w:val="003A062B"/>
    <w:rsid w:val="003A184C"/>
    <w:rsid w:val="003A271D"/>
    <w:rsid w:val="003A297B"/>
    <w:rsid w:val="003A41CB"/>
    <w:rsid w:val="003A457F"/>
    <w:rsid w:val="003A6675"/>
    <w:rsid w:val="003A6B62"/>
    <w:rsid w:val="003A6F56"/>
    <w:rsid w:val="003A7335"/>
    <w:rsid w:val="003B1A1A"/>
    <w:rsid w:val="003B5B87"/>
    <w:rsid w:val="003B60B9"/>
    <w:rsid w:val="003B6968"/>
    <w:rsid w:val="003B73B8"/>
    <w:rsid w:val="003C028C"/>
    <w:rsid w:val="003C1136"/>
    <w:rsid w:val="003C11AE"/>
    <w:rsid w:val="003C1325"/>
    <w:rsid w:val="003C22F6"/>
    <w:rsid w:val="003C2C12"/>
    <w:rsid w:val="003C2ECF"/>
    <w:rsid w:val="003C4279"/>
    <w:rsid w:val="003C5407"/>
    <w:rsid w:val="003C5909"/>
    <w:rsid w:val="003C6199"/>
    <w:rsid w:val="003C6F35"/>
    <w:rsid w:val="003D050E"/>
    <w:rsid w:val="003D21A2"/>
    <w:rsid w:val="003D2349"/>
    <w:rsid w:val="003D2E54"/>
    <w:rsid w:val="003D381C"/>
    <w:rsid w:val="003D49B5"/>
    <w:rsid w:val="003D50BB"/>
    <w:rsid w:val="003D7A6E"/>
    <w:rsid w:val="003D7E35"/>
    <w:rsid w:val="003E09AF"/>
    <w:rsid w:val="003E11CA"/>
    <w:rsid w:val="003E4D52"/>
    <w:rsid w:val="003E4D75"/>
    <w:rsid w:val="003E4FEA"/>
    <w:rsid w:val="003E58C5"/>
    <w:rsid w:val="003E5CE7"/>
    <w:rsid w:val="003E6B3E"/>
    <w:rsid w:val="003F4F87"/>
    <w:rsid w:val="003F53F9"/>
    <w:rsid w:val="003F63C2"/>
    <w:rsid w:val="004001B0"/>
    <w:rsid w:val="00400F16"/>
    <w:rsid w:val="00401492"/>
    <w:rsid w:val="0040229B"/>
    <w:rsid w:val="0040242E"/>
    <w:rsid w:val="00402EDE"/>
    <w:rsid w:val="00403267"/>
    <w:rsid w:val="00406BFC"/>
    <w:rsid w:val="00406E64"/>
    <w:rsid w:val="00406F4B"/>
    <w:rsid w:val="00410381"/>
    <w:rsid w:val="004115BC"/>
    <w:rsid w:val="00411690"/>
    <w:rsid w:val="004122C7"/>
    <w:rsid w:val="00412A8F"/>
    <w:rsid w:val="00417B11"/>
    <w:rsid w:val="00420112"/>
    <w:rsid w:val="00422C9A"/>
    <w:rsid w:val="0042459C"/>
    <w:rsid w:val="00424A87"/>
    <w:rsid w:val="00426213"/>
    <w:rsid w:val="004263DF"/>
    <w:rsid w:val="004269C9"/>
    <w:rsid w:val="00426B31"/>
    <w:rsid w:val="00427702"/>
    <w:rsid w:val="004301BB"/>
    <w:rsid w:val="0043069F"/>
    <w:rsid w:val="00432CB4"/>
    <w:rsid w:val="0043458B"/>
    <w:rsid w:val="0043609A"/>
    <w:rsid w:val="004371D1"/>
    <w:rsid w:val="0043770D"/>
    <w:rsid w:val="004379DE"/>
    <w:rsid w:val="00437DEC"/>
    <w:rsid w:val="00437E71"/>
    <w:rsid w:val="004418BA"/>
    <w:rsid w:val="00441AF5"/>
    <w:rsid w:val="0044232C"/>
    <w:rsid w:val="00442702"/>
    <w:rsid w:val="00442FDE"/>
    <w:rsid w:val="004436C8"/>
    <w:rsid w:val="00445864"/>
    <w:rsid w:val="00450A4A"/>
    <w:rsid w:val="00450E36"/>
    <w:rsid w:val="0045140F"/>
    <w:rsid w:val="004540DB"/>
    <w:rsid w:val="00454832"/>
    <w:rsid w:val="00455893"/>
    <w:rsid w:val="00455A8D"/>
    <w:rsid w:val="00455FF4"/>
    <w:rsid w:val="00456DAE"/>
    <w:rsid w:val="00457056"/>
    <w:rsid w:val="0045761B"/>
    <w:rsid w:val="004613E2"/>
    <w:rsid w:val="0046349F"/>
    <w:rsid w:val="00463982"/>
    <w:rsid w:val="00464828"/>
    <w:rsid w:val="00464862"/>
    <w:rsid w:val="00464F98"/>
    <w:rsid w:val="0046587D"/>
    <w:rsid w:val="00465CF4"/>
    <w:rsid w:val="00466ACA"/>
    <w:rsid w:val="00467751"/>
    <w:rsid w:val="00470E6F"/>
    <w:rsid w:val="00471061"/>
    <w:rsid w:val="004712E0"/>
    <w:rsid w:val="00471C76"/>
    <w:rsid w:val="00473292"/>
    <w:rsid w:val="00474CFF"/>
    <w:rsid w:val="004753A2"/>
    <w:rsid w:val="00475D94"/>
    <w:rsid w:val="00476FB5"/>
    <w:rsid w:val="00481C3F"/>
    <w:rsid w:val="00482205"/>
    <w:rsid w:val="00482599"/>
    <w:rsid w:val="00482E4D"/>
    <w:rsid w:val="0048323B"/>
    <w:rsid w:val="004844D2"/>
    <w:rsid w:val="004846C1"/>
    <w:rsid w:val="00485466"/>
    <w:rsid w:val="00485752"/>
    <w:rsid w:val="0048670C"/>
    <w:rsid w:val="00490568"/>
    <w:rsid w:val="00490C73"/>
    <w:rsid w:val="004924E8"/>
    <w:rsid w:val="00495EAD"/>
    <w:rsid w:val="00496453"/>
    <w:rsid w:val="00496795"/>
    <w:rsid w:val="00496E85"/>
    <w:rsid w:val="00497C67"/>
    <w:rsid w:val="004A3B5D"/>
    <w:rsid w:val="004A3D11"/>
    <w:rsid w:val="004A5473"/>
    <w:rsid w:val="004A58D7"/>
    <w:rsid w:val="004A6EDF"/>
    <w:rsid w:val="004A777D"/>
    <w:rsid w:val="004A7D52"/>
    <w:rsid w:val="004B0853"/>
    <w:rsid w:val="004B0F0D"/>
    <w:rsid w:val="004B1EAF"/>
    <w:rsid w:val="004B2B0F"/>
    <w:rsid w:val="004B3490"/>
    <w:rsid w:val="004B3A84"/>
    <w:rsid w:val="004B495B"/>
    <w:rsid w:val="004B4E41"/>
    <w:rsid w:val="004B5D43"/>
    <w:rsid w:val="004B662A"/>
    <w:rsid w:val="004B7345"/>
    <w:rsid w:val="004B75ED"/>
    <w:rsid w:val="004B7FE3"/>
    <w:rsid w:val="004C0B3B"/>
    <w:rsid w:val="004C1076"/>
    <w:rsid w:val="004C1199"/>
    <w:rsid w:val="004C2BA1"/>
    <w:rsid w:val="004C2C36"/>
    <w:rsid w:val="004C2CFF"/>
    <w:rsid w:val="004C3C4B"/>
    <w:rsid w:val="004C44E0"/>
    <w:rsid w:val="004C50A2"/>
    <w:rsid w:val="004C5684"/>
    <w:rsid w:val="004C6372"/>
    <w:rsid w:val="004C678F"/>
    <w:rsid w:val="004C7697"/>
    <w:rsid w:val="004D10AF"/>
    <w:rsid w:val="004D1EA5"/>
    <w:rsid w:val="004D28C5"/>
    <w:rsid w:val="004D2FBF"/>
    <w:rsid w:val="004D3346"/>
    <w:rsid w:val="004D40C4"/>
    <w:rsid w:val="004D5300"/>
    <w:rsid w:val="004D71A3"/>
    <w:rsid w:val="004D7252"/>
    <w:rsid w:val="004E0412"/>
    <w:rsid w:val="004E1ABA"/>
    <w:rsid w:val="004E2405"/>
    <w:rsid w:val="004E2963"/>
    <w:rsid w:val="004E30C7"/>
    <w:rsid w:val="004E3221"/>
    <w:rsid w:val="004E3E8C"/>
    <w:rsid w:val="004E4BDB"/>
    <w:rsid w:val="004E4F2D"/>
    <w:rsid w:val="004E59DA"/>
    <w:rsid w:val="004E61AB"/>
    <w:rsid w:val="004E6905"/>
    <w:rsid w:val="004E75C9"/>
    <w:rsid w:val="004E79D8"/>
    <w:rsid w:val="004F0CC7"/>
    <w:rsid w:val="004F243E"/>
    <w:rsid w:val="004F2CEA"/>
    <w:rsid w:val="004F46B1"/>
    <w:rsid w:val="004F50E6"/>
    <w:rsid w:val="004F5E09"/>
    <w:rsid w:val="004F7350"/>
    <w:rsid w:val="004F7B40"/>
    <w:rsid w:val="0050019F"/>
    <w:rsid w:val="0050194C"/>
    <w:rsid w:val="00501DB8"/>
    <w:rsid w:val="0050248A"/>
    <w:rsid w:val="00502EBF"/>
    <w:rsid w:val="005040FE"/>
    <w:rsid w:val="0050633F"/>
    <w:rsid w:val="00506367"/>
    <w:rsid w:val="0050760A"/>
    <w:rsid w:val="005079A4"/>
    <w:rsid w:val="00510430"/>
    <w:rsid w:val="00510851"/>
    <w:rsid w:val="00511CD2"/>
    <w:rsid w:val="00514379"/>
    <w:rsid w:val="005172EF"/>
    <w:rsid w:val="005174A2"/>
    <w:rsid w:val="00517DEA"/>
    <w:rsid w:val="005200E1"/>
    <w:rsid w:val="005204DB"/>
    <w:rsid w:val="00520665"/>
    <w:rsid w:val="00521404"/>
    <w:rsid w:val="00521621"/>
    <w:rsid w:val="0052283A"/>
    <w:rsid w:val="00524384"/>
    <w:rsid w:val="00525285"/>
    <w:rsid w:val="005257A4"/>
    <w:rsid w:val="005258EE"/>
    <w:rsid w:val="00527154"/>
    <w:rsid w:val="005271A6"/>
    <w:rsid w:val="00527635"/>
    <w:rsid w:val="00527DF5"/>
    <w:rsid w:val="00527F6A"/>
    <w:rsid w:val="0053020D"/>
    <w:rsid w:val="00530497"/>
    <w:rsid w:val="00531018"/>
    <w:rsid w:val="00531918"/>
    <w:rsid w:val="00531D07"/>
    <w:rsid w:val="00532E07"/>
    <w:rsid w:val="005330B1"/>
    <w:rsid w:val="005333C9"/>
    <w:rsid w:val="005334AD"/>
    <w:rsid w:val="005334DE"/>
    <w:rsid w:val="00536AC3"/>
    <w:rsid w:val="0053766B"/>
    <w:rsid w:val="00541797"/>
    <w:rsid w:val="00541F90"/>
    <w:rsid w:val="00542DF0"/>
    <w:rsid w:val="00543B52"/>
    <w:rsid w:val="00545A79"/>
    <w:rsid w:val="00545DE6"/>
    <w:rsid w:val="00545E9E"/>
    <w:rsid w:val="00546C12"/>
    <w:rsid w:val="00546F06"/>
    <w:rsid w:val="0054734B"/>
    <w:rsid w:val="00550EF1"/>
    <w:rsid w:val="00555AB6"/>
    <w:rsid w:val="00556F3B"/>
    <w:rsid w:val="0055715A"/>
    <w:rsid w:val="00557AD3"/>
    <w:rsid w:val="00562420"/>
    <w:rsid w:val="00562B9A"/>
    <w:rsid w:val="00563489"/>
    <w:rsid w:val="00563A3E"/>
    <w:rsid w:val="00563D1D"/>
    <w:rsid w:val="0056412D"/>
    <w:rsid w:val="00565C33"/>
    <w:rsid w:val="00565D10"/>
    <w:rsid w:val="005660E5"/>
    <w:rsid w:val="00567534"/>
    <w:rsid w:val="005679DD"/>
    <w:rsid w:val="00570522"/>
    <w:rsid w:val="00570B35"/>
    <w:rsid w:val="00571AD7"/>
    <w:rsid w:val="00571CD4"/>
    <w:rsid w:val="005739A5"/>
    <w:rsid w:val="00574113"/>
    <w:rsid w:val="00574475"/>
    <w:rsid w:val="00574D3B"/>
    <w:rsid w:val="00575098"/>
    <w:rsid w:val="00575D99"/>
    <w:rsid w:val="0057730E"/>
    <w:rsid w:val="00577D5F"/>
    <w:rsid w:val="00580E19"/>
    <w:rsid w:val="0058125E"/>
    <w:rsid w:val="00583C0E"/>
    <w:rsid w:val="00583D32"/>
    <w:rsid w:val="0058414F"/>
    <w:rsid w:val="00585C12"/>
    <w:rsid w:val="00587411"/>
    <w:rsid w:val="0058764F"/>
    <w:rsid w:val="005878AA"/>
    <w:rsid w:val="00587B1F"/>
    <w:rsid w:val="00587D11"/>
    <w:rsid w:val="0059026E"/>
    <w:rsid w:val="00590671"/>
    <w:rsid w:val="00591719"/>
    <w:rsid w:val="00593D48"/>
    <w:rsid w:val="005978F2"/>
    <w:rsid w:val="00597E4D"/>
    <w:rsid w:val="005A0A34"/>
    <w:rsid w:val="005A3829"/>
    <w:rsid w:val="005A38D9"/>
    <w:rsid w:val="005A4E46"/>
    <w:rsid w:val="005A6387"/>
    <w:rsid w:val="005A708B"/>
    <w:rsid w:val="005A79FB"/>
    <w:rsid w:val="005A7CAD"/>
    <w:rsid w:val="005A7FF0"/>
    <w:rsid w:val="005B11FA"/>
    <w:rsid w:val="005B23C7"/>
    <w:rsid w:val="005B24B5"/>
    <w:rsid w:val="005B4899"/>
    <w:rsid w:val="005B4A69"/>
    <w:rsid w:val="005B609E"/>
    <w:rsid w:val="005B641F"/>
    <w:rsid w:val="005B6655"/>
    <w:rsid w:val="005B6DD9"/>
    <w:rsid w:val="005B7235"/>
    <w:rsid w:val="005B7846"/>
    <w:rsid w:val="005B7943"/>
    <w:rsid w:val="005C0A9F"/>
    <w:rsid w:val="005C1B35"/>
    <w:rsid w:val="005C1EA0"/>
    <w:rsid w:val="005C2F8B"/>
    <w:rsid w:val="005C5CD6"/>
    <w:rsid w:val="005D0E49"/>
    <w:rsid w:val="005D19E6"/>
    <w:rsid w:val="005D224D"/>
    <w:rsid w:val="005D2267"/>
    <w:rsid w:val="005D3E4F"/>
    <w:rsid w:val="005D4338"/>
    <w:rsid w:val="005D5AD6"/>
    <w:rsid w:val="005D5EAA"/>
    <w:rsid w:val="005D60EA"/>
    <w:rsid w:val="005D6653"/>
    <w:rsid w:val="005D68EA"/>
    <w:rsid w:val="005D6B29"/>
    <w:rsid w:val="005D7270"/>
    <w:rsid w:val="005D743D"/>
    <w:rsid w:val="005E1FA8"/>
    <w:rsid w:val="005E32EB"/>
    <w:rsid w:val="005E4294"/>
    <w:rsid w:val="005E45D4"/>
    <w:rsid w:val="005E538A"/>
    <w:rsid w:val="005E6FBE"/>
    <w:rsid w:val="005F3780"/>
    <w:rsid w:val="005F3CF7"/>
    <w:rsid w:val="005F46AF"/>
    <w:rsid w:val="005F4733"/>
    <w:rsid w:val="005F4778"/>
    <w:rsid w:val="005F5AD9"/>
    <w:rsid w:val="00600AD5"/>
    <w:rsid w:val="006015D4"/>
    <w:rsid w:val="00604206"/>
    <w:rsid w:val="00604944"/>
    <w:rsid w:val="00610805"/>
    <w:rsid w:val="00610880"/>
    <w:rsid w:val="00612121"/>
    <w:rsid w:val="00612477"/>
    <w:rsid w:val="006141B1"/>
    <w:rsid w:val="0061498B"/>
    <w:rsid w:val="00615E21"/>
    <w:rsid w:val="00616E9F"/>
    <w:rsid w:val="00621483"/>
    <w:rsid w:val="0062238E"/>
    <w:rsid w:val="0062258A"/>
    <w:rsid w:val="0062288F"/>
    <w:rsid w:val="00623549"/>
    <w:rsid w:val="00624E91"/>
    <w:rsid w:val="00625841"/>
    <w:rsid w:val="00627BDE"/>
    <w:rsid w:val="00631E25"/>
    <w:rsid w:val="00632206"/>
    <w:rsid w:val="00632378"/>
    <w:rsid w:val="006333A8"/>
    <w:rsid w:val="006334F2"/>
    <w:rsid w:val="00634283"/>
    <w:rsid w:val="00634CDA"/>
    <w:rsid w:val="00634FF8"/>
    <w:rsid w:val="006353F5"/>
    <w:rsid w:val="00635853"/>
    <w:rsid w:val="00637786"/>
    <w:rsid w:val="006425B0"/>
    <w:rsid w:val="00642684"/>
    <w:rsid w:val="00642696"/>
    <w:rsid w:val="00643BC1"/>
    <w:rsid w:val="006441D5"/>
    <w:rsid w:val="006442C3"/>
    <w:rsid w:val="00645D91"/>
    <w:rsid w:val="00646643"/>
    <w:rsid w:val="00646CE7"/>
    <w:rsid w:val="00647301"/>
    <w:rsid w:val="00650583"/>
    <w:rsid w:val="00650782"/>
    <w:rsid w:val="00650D80"/>
    <w:rsid w:val="00651431"/>
    <w:rsid w:val="00652E90"/>
    <w:rsid w:val="00653C11"/>
    <w:rsid w:val="00654691"/>
    <w:rsid w:val="006568D7"/>
    <w:rsid w:val="00661386"/>
    <w:rsid w:val="00661F5E"/>
    <w:rsid w:val="00662CD1"/>
    <w:rsid w:val="006637ED"/>
    <w:rsid w:val="006645A9"/>
    <w:rsid w:val="00665BBA"/>
    <w:rsid w:val="006670FB"/>
    <w:rsid w:val="00667764"/>
    <w:rsid w:val="006708BC"/>
    <w:rsid w:val="00670BC6"/>
    <w:rsid w:val="00670C13"/>
    <w:rsid w:val="00671016"/>
    <w:rsid w:val="00671304"/>
    <w:rsid w:val="00671AA7"/>
    <w:rsid w:val="00672A48"/>
    <w:rsid w:val="00673B33"/>
    <w:rsid w:val="00673DC9"/>
    <w:rsid w:val="00675255"/>
    <w:rsid w:val="00675EF5"/>
    <w:rsid w:val="00676031"/>
    <w:rsid w:val="006767AC"/>
    <w:rsid w:val="006775A1"/>
    <w:rsid w:val="006802F1"/>
    <w:rsid w:val="00680317"/>
    <w:rsid w:val="00680DD1"/>
    <w:rsid w:val="00681CB7"/>
    <w:rsid w:val="00683E39"/>
    <w:rsid w:val="00683F03"/>
    <w:rsid w:val="00685025"/>
    <w:rsid w:val="006859B0"/>
    <w:rsid w:val="00686A99"/>
    <w:rsid w:val="00690043"/>
    <w:rsid w:val="00690CB6"/>
    <w:rsid w:val="0069101D"/>
    <w:rsid w:val="00691FC7"/>
    <w:rsid w:val="00692155"/>
    <w:rsid w:val="006923B0"/>
    <w:rsid w:val="006935C9"/>
    <w:rsid w:val="00697962"/>
    <w:rsid w:val="006A1D39"/>
    <w:rsid w:val="006A2342"/>
    <w:rsid w:val="006A3555"/>
    <w:rsid w:val="006A38CB"/>
    <w:rsid w:val="006A50C0"/>
    <w:rsid w:val="006A62FC"/>
    <w:rsid w:val="006B0E96"/>
    <w:rsid w:val="006B1758"/>
    <w:rsid w:val="006B2B1E"/>
    <w:rsid w:val="006B3162"/>
    <w:rsid w:val="006B3FCE"/>
    <w:rsid w:val="006B4A4C"/>
    <w:rsid w:val="006B52B5"/>
    <w:rsid w:val="006B5A5D"/>
    <w:rsid w:val="006B6BA4"/>
    <w:rsid w:val="006C030C"/>
    <w:rsid w:val="006C167B"/>
    <w:rsid w:val="006C21AD"/>
    <w:rsid w:val="006C3F5F"/>
    <w:rsid w:val="006C42AB"/>
    <w:rsid w:val="006C6E3C"/>
    <w:rsid w:val="006D0927"/>
    <w:rsid w:val="006D1B29"/>
    <w:rsid w:val="006D1C28"/>
    <w:rsid w:val="006D20E9"/>
    <w:rsid w:val="006D3736"/>
    <w:rsid w:val="006D4843"/>
    <w:rsid w:val="006D588C"/>
    <w:rsid w:val="006E0ACA"/>
    <w:rsid w:val="006E2F2C"/>
    <w:rsid w:val="006E378F"/>
    <w:rsid w:val="006E4D41"/>
    <w:rsid w:val="006E57A7"/>
    <w:rsid w:val="006E5850"/>
    <w:rsid w:val="006E586F"/>
    <w:rsid w:val="006E6327"/>
    <w:rsid w:val="006E744E"/>
    <w:rsid w:val="006E7D38"/>
    <w:rsid w:val="006E7DC3"/>
    <w:rsid w:val="006F0E4C"/>
    <w:rsid w:val="006F1003"/>
    <w:rsid w:val="006F2DD5"/>
    <w:rsid w:val="006F5FAD"/>
    <w:rsid w:val="006F6553"/>
    <w:rsid w:val="006F6F4C"/>
    <w:rsid w:val="00700976"/>
    <w:rsid w:val="007036F9"/>
    <w:rsid w:val="007039AF"/>
    <w:rsid w:val="0070463F"/>
    <w:rsid w:val="00710750"/>
    <w:rsid w:val="00710834"/>
    <w:rsid w:val="0071166C"/>
    <w:rsid w:val="0071219D"/>
    <w:rsid w:val="00712A42"/>
    <w:rsid w:val="00712CDD"/>
    <w:rsid w:val="00714197"/>
    <w:rsid w:val="0071599B"/>
    <w:rsid w:val="007171C9"/>
    <w:rsid w:val="00720D87"/>
    <w:rsid w:val="0072148F"/>
    <w:rsid w:val="00721C78"/>
    <w:rsid w:val="00724996"/>
    <w:rsid w:val="00724A1D"/>
    <w:rsid w:val="007266CC"/>
    <w:rsid w:val="0072678B"/>
    <w:rsid w:val="00726F7F"/>
    <w:rsid w:val="007303FC"/>
    <w:rsid w:val="00730C23"/>
    <w:rsid w:val="00730EB4"/>
    <w:rsid w:val="00732C43"/>
    <w:rsid w:val="007339F7"/>
    <w:rsid w:val="00733BCF"/>
    <w:rsid w:val="00735025"/>
    <w:rsid w:val="00735F33"/>
    <w:rsid w:val="00736D12"/>
    <w:rsid w:val="007373BF"/>
    <w:rsid w:val="007433CC"/>
    <w:rsid w:val="00744207"/>
    <w:rsid w:val="0074450C"/>
    <w:rsid w:val="00744AAB"/>
    <w:rsid w:val="0074721B"/>
    <w:rsid w:val="00747614"/>
    <w:rsid w:val="00750A13"/>
    <w:rsid w:val="00750D99"/>
    <w:rsid w:val="00751971"/>
    <w:rsid w:val="007529AD"/>
    <w:rsid w:val="007534BE"/>
    <w:rsid w:val="00753DAC"/>
    <w:rsid w:val="00754BEF"/>
    <w:rsid w:val="00754C15"/>
    <w:rsid w:val="0075599F"/>
    <w:rsid w:val="00755C76"/>
    <w:rsid w:val="007566D1"/>
    <w:rsid w:val="00756D3F"/>
    <w:rsid w:val="0075731C"/>
    <w:rsid w:val="0075734F"/>
    <w:rsid w:val="00757D5C"/>
    <w:rsid w:val="00760E91"/>
    <w:rsid w:val="007616FE"/>
    <w:rsid w:val="00762133"/>
    <w:rsid w:val="0076304F"/>
    <w:rsid w:val="00763066"/>
    <w:rsid w:val="00764CF9"/>
    <w:rsid w:val="00765D6A"/>
    <w:rsid w:val="007662E5"/>
    <w:rsid w:val="00766773"/>
    <w:rsid w:val="007672A3"/>
    <w:rsid w:val="007673E0"/>
    <w:rsid w:val="00767400"/>
    <w:rsid w:val="00767D94"/>
    <w:rsid w:val="00770547"/>
    <w:rsid w:val="00771E50"/>
    <w:rsid w:val="00772374"/>
    <w:rsid w:val="00773AD0"/>
    <w:rsid w:val="00774EB9"/>
    <w:rsid w:val="00776811"/>
    <w:rsid w:val="007773CB"/>
    <w:rsid w:val="00780FF0"/>
    <w:rsid w:val="00781AB5"/>
    <w:rsid w:val="00781DA4"/>
    <w:rsid w:val="00782084"/>
    <w:rsid w:val="007834DA"/>
    <w:rsid w:val="0078360C"/>
    <w:rsid w:val="00785201"/>
    <w:rsid w:val="0078531A"/>
    <w:rsid w:val="00786755"/>
    <w:rsid w:val="00787600"/>
    <w:rsid w:val="00791870"/>
    <w:rsid w:val="00791EFE"/>
    <w:rsid w:val="00791FF1"/>
    <w:rsid w:val="00792287"/>
    <w:rsid w:val="00793A1C"/>
    <w:rsid w:val="00794242"/>
    <w:rsid w:val="00794F5B"/>
    <w:rsid w:val="007951AE"/>
    <w:rsid w:val="00795264"/>
    <w:rsid w:val="007957B1"/>
    <w:rsid w:val="00797071"/>
    <w:rsid w:val="007A01BB"/>
    <w:rsid w:val="007A0EB4"/>
    <w:rsid w:val="007A1443"/>
    <w:rsid w:val="007A300F"/>
    <w:rsid w:val="007A3579"/>
    <w:rsid w:val="007A3718"/>
    <w:rsid w:val="007A3D78"/>
    <w:rsid w:val="007A4371"/>
    <w:rsid w:val="007A4625"/>
    <w:rsid w:val="007A4D7F"/>
    <w:rsid w:val="007A50F0"/>
    <w:rsid w:val="007A5FB1"/>
    <w:rsid w:val="007A6BF0"/>
    <w:rsid w:val="007B00C6"/>
    <w:rsid w:val="007B09B4"/>
    <w:rsid w:val="007B229F"/>
    <w:rsid w:val="007B3A8F"/>
    <w:rsid w:val="007B42B9"/>
    <w:rsid w:val="007B595F"/>
    <w:rsid w:val="007C0DF3"/>
    <w:rsid w:val="007C12F6"/>
    <w:rsid w:val="007C1C54"/>
    <w:rsid w:val="007C2AE7"/>
    <w:rsid w:val="007C3F13"/>
    <w:rsid w:val="007C433C"/>
    <w:rsid w:val="007C4773"/>
    <w:rsid w:val="007C6D55"/>
    <w:rsid w:val="007C6F63"/>
    <w:rsid w:val="007C78CA"/>
    <w:rsid w:val="007D09F8"/>
    <w:rsid w:val="007D144D"/>
    <w:rsid w:val="007D1DA8"/>
    <w:rsid w:val="007D22AE"/>
    <w:rsid w:val="007D27C5"/>
    <w:rsid w:val="007D2AE8"/>
    <w:rsid w:val="007D3569"/>
    <w:rsid w:val="007D3AFD"/>
    <w:rsid w:val="007D52A5"/>
    <w:rsid w:val="007D7987"/>
    <w:rsid w:val="007E1357"/>
    <w:rsid w:val="007E28D4"/>
    <w:rsid w:val="007E3099"/>
    <w:rsid w:val="007E319E"/>
    <w:rsid w:val="007F13A9"/>
    <w:rsid w:val="007F1DD3"/>
    <w:rsid w:val="007F2480"/>
    <w:rsid w:val="007F3F3B"/>
    <w:rsid w:val="007F41E4"/>
    <w:rsid w:val="007F4B2A"/>
    <w:rsid w:val="007F4F9E"/>
    <w:rsid w:val="007F66D7"/>
    <w:rsid w:val="007F6811"/>
    <w:rsid w:val="007F744E"/>
    <w:rsid w:val="007F756D"/>
    <w:rsid w:val="007F7ED8"/>
    <w:rsid w:val="008014FE"/>
    <w:rsid w:val="00801862"/>
    <w:rsid w:val="00801A68"/>
    <w:rsid w:val="00801EEE"/>
    <w:rsid w:val="0080253F"/>
    <w:rsid w:val="0080272C"/>
    <w:rsid w:val="00802B6E"/>
    <w:rsid w:val="0080388D"/>
    <w:rsid w:val="008038D4"/>
    <w:rsid w:val="00803A1B"/>
    <w:rsid w:val="00803B61"/>
    <w:rsid w:val="008040BD"/>
    <w:rsid w:val="008057B7"/>
    <w:rsid w:val="008059D6"/>
    <w:rsid w:val="00805B4D"/>
    <w:rsid w:val="00806FA6"/>
    <w:rsid w:val="00807A57"/>
    <w:rsid w:val="00807DCE"/>
    <w:rsid w:val="0081073E"/>
    <w:rsid w:val="008118BD"/>
    <w:rsid w:val="0081389D"/>
    <w:rsid w:val="00814DBF"/>
    <w:rsid w:val="0081616E"/>
    <w:rsid w:val="008163C4"/>
    <w:rsid w:val="0081700E"/>
    <w:rsid w:val="0081752A"/>
    <w:rsid w:val="00820494"/>
    <w:rsid w:val="00820DF5"/>
    <w:rsid w:val="0082166E"/>
    <w:rsid w:val="0082299E"/>
    <w:rsid w:val="0082368B"/>
    <w:rsid w:val="008237A0"/>
    <w:rsid w:val="00823946"/>
    <w:rsid w:val="008240F3"/>
    <w:rsid w:val="00824B1A"/>
    <w:rsid w:val="00824DC9"/>
    <w:rsid w:val="00826690"/>
    <w:rsid w:val="00826C4F"/>
    <w:rsid w:val="00830068"/>
    <w:rsid w:val="00830B82"/>
    <w:rsid w:val="00830BA4"/>
    <w:rsid w:val="00831EB3"/>
    <w:rsid w:val="0083270B"/>
    <w:rsid w:val="00832A4A"/>
    <w:rsid w:val="00832DCA"/>
    <w:rsid w:val="00833CF8"/>
    <w:rsid w:val="00833D3B"/>
    <w:rsid w:val="00834D68"/>
    <w:rsid w:val="00835D6D"/>
    <w:rsid w:val="008363F4"/>
    <w:rsid w:val="0083656D"/>
    <w:rsid w:val="00836A6C"/>
    <w:rsid w:val="00837831"/>
    <w:rsid w:val="00840503"/>
    <w:rsid w:val="008417A6"/>
    <w:rsid w:val="00843F12"/>
    <w:rsid w:val="00843FF0"/>
    <w:rsid w:val="008443AC"/>
    <w:rsid w:val="00844CDC"/>
    <w:rsid w:val="00846C2A"/>
    <w:rsid w:val="008479D2"/>
    <w:rsid w:val="00847FCE"/>
    <w:rsid w:val="00850077"/>
    <w:rsid w:val="00850124"/>
    <w:rsid w:val="00851429"/>
    <w:rsid w:val="0085167E"/>
    <w:rsid w:val="00854849"/>
    <w:rsid w:val="00856D2E"/>
    <w:rsid w:val="008619A5"/>
    <w:rsid w:val="00863537"/>
    <w:rsid w:val="00864242"/>
    <w:rsid w:val="008643C1"/>
    <w:rsid w:val="0086462F"/>
    <w:rsid w:val="00864A1C"/>
    <w:rsid w:val="0086505A"/>
    <w:rsid w:val="0086678B"/>
    <w:rsid w:val="00866B4A"/>
    <w:rsid w:val="00866C5D"/>
    <w:rsid w:val="00867F50"/>
    <w:rsid w:val="00867F76"/>
    <w:rsid w:val="00870978"/>
    <w:rsid w:val="00870C00"/>
    <w:rsid w:val="00871430"/>
    <w:rsid w:val="00871BB8"/>
    <w:rsid w:val="00872038"/>
    <w:rsid w:val="00872460"/>
    <w:rsid w:val="00873680"/>
    <w:rsid w:val="0087434E"/>
    <w:rsid w:val="008745F5"/>
    <w:rsid w:val="00874CCC"/>
    <w:rsid w:val="00881F8E"/>
    <w:rsid w:val="00882389"/>
    <w:rsid w:val="00882FCA"/>
    <w:rsid w:val="00883B8B"/>
    <w:rsid w:val="0088469A"/>
    <w:rsid w:val="00884A53"/>
    <w:rsid w:val="00884F7B"/>
    <w:rsid w:val="00885041"/>
    <w:rsid w:val="00885544"/>
    <w:rsid w:val="00887E45"/>
    <w:rsid w:val="00890590"/>
    <w:rsid w:val="008913DC"/>
    <w:rsid w:val="008929E1"/>
    <w:rsid w:val="0089615A"/>
    <w:rsid w:val="008963C6"/>
    <w:rsid w:val="008964F0"/>
    <w:rsid w:val="008966C4"/>
    <w:rsid w:val="008967B7"/>
    <w:rsid w:val="0089690A"/>
    <w:rsid w:val="008A0545"/>
    <w:rsid w:val="008A0A05"/>
    <w:rsid w:val="008A18EA"/>
    <w:rsid w:val="008A2835"/>
    <w:rsid w:val="008A30AF"/>
    <w:rsid w:val="008A3305"/>
    <w:rsid w:val="008A6928"/>
    <w:rsid w:val="008A6A00"/>
    <w:rsid w:val="008A6C08"/>
    <w:rsid w:val="008A7AEA"/>
    <w:rsid w:val="008B065E"/>
    <w:rsid w:val="008B07FE"/>
    <w:rsid w:val="008B1ABA"/>
    <w:rsid w:val="008B1D2F"/>
    <w:rsid w:val="008B2AAE"/>
    <w:rsid w:val="008B4062"/>
    <w:rsid w:val="008B4A92"/>
    <w:rsid w:val="008B4AA3"/>
    <w:rsid w:val="008B7987"/>
    <w:rsid w:val="008B7CBA"/>
    <w:rsid w:val="008C1BCA"/>
    <w:rsid w:val="008C1E97"/>
    <w:rsid w:val="008C2297"/>
    <w:rsid w:val="008C253F"/>
    <w:rsid w:val="008C286B"/>
    <w:rsid w:val="008C3011"/>
    <w:rsid w:val="008C34AB"/>
    <w:rsid w:val="008C38F9"/>
    <w:rsid w:val="008C47CA"/>
    <w:rsid w:val="008C540D"/>
    <w:rsid w:val="008C55AE"/>
    <w:rsid w:val="008C57F6"/>
    <w:rsid w:val="008C5EA0"/>
    <w:rsid w:val="008C60FA"/>
    <w:rsid w:val="008C71BB"/>
    <w:rsid w:val="008C7DDE"/>
    <w:rsid w:val="008C7E18"/>
    <w:rsid w:val="008D0DC9"/>
    <w:rsid w:val="008D33EB"/>
    <w:rsid w:val="008D3D31"/>
    <w:rsid w:val="008D3E7A"/>
    <w:rsid w:val="008D4B96"/>
    <w:rsid w:val="008D4F7B"/>
    <w:rsid w:val="008D4F94"/>
    <w:rsid w:val="008D6B75"/>
    <w:rsid w:val="008E0393"/>
    <w:rsid w:val="008E0F4D"/>
    <w:rsid w:val="008E22E3"/>
    <w:rsid w:val="008E25D6"/>
    <w:rsid w:val="008E5021"/>
    <w:rsid w:val="008E5B0F"/>
    <w:rsid w:val="008E5E48"/>
    <w:rsid w:val="008E63AD"/>
    <w:rsid w:val="008E756A"/>
    <w:rsid w:val="008E7781"/>
    <w:rsid w:val="008F0EC2"/>
    <w:rsid w:val="008F22EC"/>
    <w:rsid w:val="008F262E"/>
    <w:rsid w:val="008F28DB"/>
    <w:rsid w:val="008F36B2"/>
    <w:rsid w:val="008F698A"/>
    <w:rsid w:val="008F74EE"/>
    <w:rsid w:val="00900430"/>
    <w:rsid w:val="00900543"/>
    <w:rsid w:val="0090098E"/>
    <w:rsid w:val="0090253A"/>
    <w:rsid w:val="009034B4"/>
    <w:rsid w:val="00905044"/>
    <w:rsid w:val="0090588D"/>
    <w:rsid w:val="00906B80"/>
    <w:rsid w:val="00906BCB"/>
    <w:rsid w:val="00907F8A"/>
    <w:rsid w:val="00913266"/>
    <w:rsid w:val="009138BF"/>
    <w:rsid w:val="00913972"/>
    <w:rsid w:val="0091472C"/>
    <w:rsid w:val="00914CEC"/>
    <w:rsid w:val="00914DE8"/>
    <w:rsid w:val="00915920"/>
    <w:rsid w:val="00915A6A"/>
    <w:rsid w:val="00915D10"/>
    <w:rsid w:val="00921727"/>
    <w:rsid w:val="00921E62"/>
    <w:rsid w:val="00922BCF"/>
    <w:rsid w:val="009237F5"/>
    <w:rsid w:val="00923BFE"/>
    <w:rsid w:val="00923D64"/>
    <w:rsid w:val="009244AF"/>
    <w:rsid w:val="00924CFD"/>
    <w:rsid w:val="009258C2"/>
    <w:rsid w:val="00925B20"/>
    <w:rsid w:val="00925C30"/>
    <w:rsid w:val="00926C65"/>
    <w:rsid w:val="009276E1"/>
    <w:rsid w:val="00927787"/>
    <w:rsid w:val="0092794E"/>
    <w:rsid w:val="00930619"/>
    <w:rsid w:val="009306D9"/>
    <w:rsid w:val="00930D5B"/>
    <w:rsid w:val="00930E42"/>
    <w:rsid w:val="00932BBE"/>
    <w:rsid w:val="0093326C"/>
    <w:rsid w:val="009335C2"/>
    <w:rsid w:val="00933E8C"/>
    <w:rsid w:val="00934E95"/>
    <w:rsid w:val="00936819"/>
    <w:rsid w:val="00936DEE"/>
    <w:rsid w:val="0094026B"/>
    <w:rsid w:val="00941112"/>
    <w:rsid w:val="00941753"/>
    <w:rsid w:val="00942996"/>
    <w:rsid w:val="0094309D"/>
    <w:rsid w:val="0094314B"/>
    <w:rsid w:val="0094383D"/>
    <w:rsid w:val="00943B28"/>
    <w:rsid w:val="0094559D"/>
    <w:rsid w:val="009455A4"/>
    <w:rsid w:val="00951FFE"/>
    <w:rsid w:val="009525F7"/>
    <w:rsid w:val="00953DF7"/>
    <w:rsid w:val="00954580"/>
    <w:rsid w:val="00954DE6"/>
    <w:rsid w:val="0095555A"/>
    <w:rsid w:val="0095590D"/>
    <w:rsid w:val="00955DCA"/>
    <w:rsid w:val="00956848"/>
    <w:rsid w:val="009601FD"/>
    <w:rsid w:val="00960D6D"/>
    <w:rsid w:val="00960E83"/>
    <w:rsid w:val="0096213A"/>
    <w:rsid w:val="009622EA"/>
    <w:rsid w:val="009626E4"/>
    <w:rsid w:val="00962AB2"/>
    <w:rsid w:val="00962D33"/>
    <w:rsid w:val="009632E7"/>
    <w:rsid w:val="0096372C"/>
    <w:rsid w:val="009638B7"/>
    <w:rsid w:val="00963D81"/>
    <w:rsid w:val="00964064"/>
    <w:rsid w:val="009644D5"/>
    <w:rsid w:val="009656F9"/>
    <w:rsid w:val="00965F68"/>
    <w:rsid w:val="0097152A"/>
    <w:rsid w:val="00971660"/>
    <w:rsid w:val="0097167A"/>
    <w:rsid w:val="00971884"/>
    <w:rsid w:val="00971894"/>
    <w:rsid w:val="0097201D"/>
    <w:rsid w:val="00974D6B"/>
    <w:rsid w:val="00976563"/>
    <w:rsid w:val="00976890"/>
    <w:rsid w:val="00976D60"/>
    <w:rsid w:val="009771C3"/>
    <w:rsid w:val="00977820"/>
    <w:rsid w:val="00977CFE"/>
    <w:rsid w:val="00977EC2"/>
    <w:rsid w:val="00980BFD"/>
    <w:rsid w:val="00981B36"/>
    <w:rsid w:val="00982124"/>
    <w:rsid w:val="00982911"/>
    <w:rsid w:val="00982A98"/>
    <w:rsid w:val="00982B12"/>
    <w:rsid w:val="00983AC7"/>
    <w:rsid w:val="00983BDC"/>
    <w:rsid w:val="00983CA4"/>
    <w:rsid w:val="009845FB"/>
    <w:rsid w:val="009854C1"/>
    <w:rsid w:val="00986AA2"/>
    <w:rsid w:val="00987AA7"/>
    <w:rsid w:val="00991050"/>
    <w:rsid w:val="009910CB"/>
    <w:rsid w:val="00991E22"/>
    <w:rsid w:val="00991EB3"/>
    <w:rsid w:val="00995214"/>
    <w:rsid w:val="00995644"/>
    <w:rsid w:val="009957EA"/>
    <w:rsid w:val="0099586E"/>
    <w:rsid w:val="009A02E3"/>
    <w:rsid w:val="009A0432"/>
    <w:rsid w:val="009A2104"/>
    <w:rsid w:val="009A4D85"/>
    <w:rsid w:val="009A7676"/>
    <w:rsid w:val="009B0220"/>
    <w:rsid w:val="009B04B7"/>
    <w:rsid w:val="009B1A0B"/>
    <w:rsid w:val="009B2E06"/>
    <w:rsid w:val="009B321C"/>
    <w:rsid w:val="009B3D73"/>
    <w:rsid w:val="009B5066"/>
    <w:rsid w:val="009B5631"/>
    <w:rsid w:val="009B6CC2"/>
    <w:rsid w:val="009B6F24"/>
    <w:rsid w:val="009B79CF"/>
    <w:rsid w:val="009C0B5D"/>
    <w:rsid w:val="009C1CDB"/>
    <w:rsid w:val="009C222E"/>
    <w:rsid w:val="009C2E1F"/>
    <w:rsid w:val="009C2E77"/>
    <w:rsid w:val="009C2FF0"/>
    <w:rsid w:val="009C36D2"/>
    <w:rsid w:val="009C42AE"/>
    <w:rsid w:val="009C4984"/>
    <w:rsid w:val="009C7A32"/>
    <w:rsid w:val="009D0F4E"/>
    <w:rsid w:val="009D3A32"/>
    <w:rsid w:val="009D4054"/>
    <w:rsid w:val="009D4EAC"/>
    <w:rsid w:val="009D524D"/>
    <w:rsid w:val="009D649B"/>
    <w:rsid w:val="009D6A59"/>
    <w:rsid w:val="009D6C39"/>
    <w:rsid w:val="009D72B4"/>
    <w:rsid w:val="009D750E"/>
    <w:rsid w:val="009E25D6"/>
    <w:rsid w:val="009E2C9D"/>
    <w:rsid w:val="009E3CC1"/>
    <w:rsid w:val="009E4470"/>
    <w:rsid w:val="009E4DEF"/>
    <w:rsid w:val="009E58B2"/>
    <w:rsid w:val="009E7230"/>
    <w:rsid w:val="009E7532"/>
    <w:rsid w:val="009E7C81"/>
    <w:rsid w:val="009F0A31"/>
    <w:rsid w:val="009F1CE7"/>
    <w:rsid w:val="009F26B1"/>
    <w:rsid w:val="009F3071"/>
    <w:rsid w:val="009F326B"/>
    <w:rsid w:val="009F45A4"/>
    <w:rsid w:val="009F47FF"/>
    <w:rsid w:val="009F4FE1"/>
    <w:rsid w:val="009F5410"/>
    <w:rsid w:val="009F686F"/>
    <w:rsid w:val="009F6FC1"/>
    <w:rsid w:val="00A00C58"/>
    <w:rsid w:val="00A01098"/>
    <w:rsid w:val="00A02041"/>
    <w:rsid w:val="00A02A5E"/>
    <w:rsid w:val="00A02C79"/>
    <w:rsid w:val="00A02E42"/>
    <w:rsid w:val="00A02F73"/>
    <w:rsid w:val="00A03912"/>
    <w:rsid w:val="00A042B0"/>
    <w:rsid w:val="00A05A3D"/>
    <w:rsid w:val="00A0636E"/>
    <w:rsid w:val="00A063B4"/>
    <w:rsid w:val="00A06E58"/>
    <w:rsid w:val="00A0716E"/>
    <w:rsid w:val="00A11978"/>
    <w:rsid w:val="00A128DE"/>
    <w:rsid w:val="00A13209"/>
    <w:rsid w:val="00A13E43"/>
    <w:rsid w:val="00A150D1"/>
    <w:rsid w:val="00A15F8A"/>
    <w:rsid w:val="00A164FD"/>
    <w:rsid w:val="00A1671A"/>
    <w:rsid w:val="00A2027E"/>
    <w:rsid w:val="00A21AB0"/>
    <w:rsid w:val="00A21C66"/>
    <w:rsid w:val="00A239C3"/>
    <w:rsid w:val="00A23A23"/>
    <w:rsid w:val="00A23B28"/>
    <w:rsid w:val="00A23B30"/>
    <w:rsid w:val="00A24D42"/>
    <w:rsid w:val="00A256E7"/>
    <w:rsid w:val="00A2625C"/>
    <w:rsid w:val="00A27B5C"/>
    <w:rsid w:val="00A31DB2"/>
    <w:rsid w:val="00A33BCD"/>
    <w:rsid w:val="00A341C7"/>
    <w:rsid w:val="00A34A99"/>
    <w:rsid w:val="00A36864"/>
    <w:rsid w:val="00A37119"/>
    <w:rsid w:val="00A3788A"/>
    <w:rsid w:val="00A40119"/>
    <w:rsid w:val="00A41188"/>
    <w:rsid w:val="00A421D2"/>
    <w:rsid w:val="00A42283"/>
    <w:rsid w:val="00A4355A"/>
    <w:rsid w:val="00A44184"/>
    <w:rsid w:val="00A44DEC"/>
    <w:rsid w:val="00A44FBC"/>
    <w:rsid w:val="00A50426"/>
    <w:rsid w:val="00A511AE"/>
    <w:rsid w:val="00A52503"/>
    <w:rsid w:val="00A52ECD"/>
    <w:rsid w:val="00A548AF"/>
    <w:rsid w:val="00A56B3B"/>
    <w:rsid w:val="00A575CD"/>
    <w:rsid w:val="00A57FD0"/>
    <w:rsid w:val="00A627BC"/>
    <w:rsid w:val="00A62F7B"/>
    <w:rsid w:val="00A636F8"/>
    <w:rsid w:val="00A6375E"/>
    <w:rsid w:val="00A63D01"/>
    <w:rsid w:val="00A64DB3"/>
    <w:rsid w:val="00A6545C"/>
    <w:rsid w:val="00A6574D"/>
    <w:rsid w:val="00A65E52"/>
    <w:rsid w:val="00A66435"/>
    <w:rsid w:val="00A66679"/>
    <w:rsid w:val="00A6679E"/>
    <w:rsid w:val="00A74978"/>
    <w:rsid w:val="00A754D4"/>
    <w:rsid w:val="00A8223A"/>
    <w:rsid w:val="00A82372"/>
    <w:rsid w:val="00A8373A"/>
    <w:rsid w:val="00A85177"/>
    <w:rsid w:val="00A85424"/>
    <w:rsid w:val="00A86E04"/>
    <w:rsid w:val="00A913DD"/>
    <w:rsid w:val="00A9207E"/>
    <w:rsid w:val="00A92E1E"/>
    <w:rsid w:val="00A93CF8"/>
    <w:rsid w:val="00A95473"/>
    <w:rsid w:val="00A962A7"/>
    <w:rsid w:val="00A97449"/>
    <w:rsid w:val="00AA1E2B"/>
    <w:rsid w:val="00AA39C8"/>
    <w:rsid w:val="00AA5AD0"/>
    <w:rsid w:val="00AA5F9E"/>
    <w:rsid w:val="00AA6DB1"/>
    <w:rsid w:val="00AA7EA1"/>
    <w:rsid w:val="00AB07FD"/>
    <w:rsid w:val="00AB2BAD"/>
    <w:rsid w:val="00AB4130"/>
    <w:rsid w:val="00AB5E8D"/>
    <w:rsid w:val="00AB6CDF"/>
    <w:rsid w:val="00AB766E"/>
    <w:rsid w:val="00AC0616"/>
    <w:rsid w:val="00AC2167"/>
    <w:rsid w:val="00AC250C"/>
    <w:rsid w:val="00AC37B2"/>
    <w:rsid w:val="00AC5E75"/>
    <w:rsid w:val="00AC6634"/>
    <w:rsid w:val="00AC70F2"/>
    <w:rsid w:val="00AC7190"/>
    <w:rsid w:val="00AC7BF7"/>
    <w:rsid w:val="00AD015E"/>
    <w:rsid w:val="00AD0D1C"/>
    <w:rsid w:val="00AD1B18"/>
    <w:rsid w:val="00AD1E7A"/>
    <w:rsid w:val="00AD1ED2"/>
    <w:rsid w:val="00AD21C7"/>
    <w:rsid w:val="00AD2DFC"/>
    <w:rsid w:val="00AD2EEC"/>
    <w:rsid w:val="00AD3B37"/>
    <w:rsid w:val="00AD3FE1"/>
    <w:rsid w:val="00AD57FF"/>
    <w:rsid w:val="00AD76F3"/>
    <w:rsid w:val="00AD78BD"/>
    <w:rsid w:val="00AE19CA"/>
    <w:rsid w:val="00AE2736"/>
    <w:rsid w:val="00AE363A"/>
    <w:rsid w:val="00AE3C36"/>
    <w:rsid w:val="00AE5D13"/>
    <w:rsid w:val="00AE60E4"/>
    <w:rsid w:val="00AE645E"/>
    <w:rsid w:val="00AF034B"/>
    <w:rsid w:val="00AF0410"/>
    <w:rsid w:val="00AF0D2A"/>
    <w:rsid w:val="00AF289B"/>
    <w:rsid w:val="00AF2F99"/>
    <w:rsid w:val="00AF3E7F"/>
    <w:rsid w:val="00AF3FBD"/>
    <w:rsid w:val="00AF4FC1"/>
    <w:rsid w:val="00AF716C"/>
    <w:rsid w:val="00AF7A25"/>
    <w:rsid w:val="00B00998"/>
    <w:rsid w:val="00B00BBF"/>
    <w:rsid w:val="00B0398C"/>
    <w:rsid w:val="00B03DDC"/>
    <w:rsid w:val="00B0451C"/>
    <w:rsid w:val="00B04A5E"/>
    <w:rsid w:val="00B10267"/>
    <w:rsid w:val="00B10BD6"/>
    <w:rsid w:val="00B10C54"/>
    <w:rsid w:val="00B11778"/>
    <w:rsid w:val="00B117AD"/>
    <w:rsid w:val="00B11A7F"/>
    <w:rsid w:val="00B1333B"/>
    <w:rsid w:val="00B135BE"/>
    <w:rsid w:val="00B1418D"/>
    <w:rsid w:val="00B15D2F"/>
    <w:rsid w:val="00B16396"/>
    <w:rsid w:val="00B1779D"/>
    <w:rsid w:val="00B17ECE"/>
    <w:rsid w:val="00B20378"/>
    <w:rsid w:val="00B207A4"/>
    <w:rsid w:val="00B2146A"/>
    <w:rsid w:val="00B2164C"/>
    <w:rsid w:val="00B21F8C"/>
    <w:rsid w:val="00B228DE"/>
    <w:rsid w:val="00B23AA2"/>
    <w:rsid w:val="00B23D64"/>
    <w:rsid w:val="00B244DD"/>
    <w:rsid w:val="00B24B48"/>
    <w:rsid w:val="00B25F59"/>
    <w:rsid w:val="00B269D7"/>
    <w:rsid w:val="00B27E06"/>
    <w:rsid w:val="00B30DCB"/>
    <w:rsid w:val="00B315C7"/>
    <w:rsid w:val="00B347F7"/>
    <w:rsid w:val="00B351D1"/>
    <w:rsid w:val="00B35E71"/>
    <w:rsid w:val="00B362E7"/>
    <w:rsid w:val="00B36B28"/>
    <w:rsid w:val="00B37F20"/>
    <w:rsid w:val="00B4388C"/>
    <w:rsid w:val="00B43BE5"/>
    <w:rsid w:val="00B454DC"/>
    <w:rsid w:val="00B45880"/>
    <w:rsid w:val="00B4669C"/>
    <w:rsid w:val="00B46889"/>
    <w:rsid w:val="00B50557"/>
    <w:rsid w:val="00B50C81"/>
    <w:rsid w:val="00B5233A"/>
    <w:rsid w:val="00B528AA"/>
    <w:rsid w:val="00B52FA9"/>
    <w:rsid w:val="00B53429"/>
    <w:rsid w:val="00B5410D"/>
    <w:rsid w:val="00B54309"/>
    <w:rsid w:val="00B5671A"/>
    <w:rsid w:val="00B5743F"/>
    <w:rsid w:val="00B62040"/>
    <w:rsid w:val="00B62E5E"/>
    <w:rsid w:val="00B6505D"/>
    <w:rsid w:val="00B66B49"/>
    <w:rsid w:val="00B67503"/>
    <w:rsid w:val="00B710D0"/>
    <w:rsid w:val="00B71476"/>
    <w:rsid w:val="00B71F4F"/>
    <w:rsid w:val="00B72B83"/>
    <w:rsid w:val="00B72BA3"/>
    <w:rsid w:val="00B73F36"/>
    <w:rsid w:val="00B7489F"/>
    <w:rsid w:val="00B74B81"/>
    <w:rsid w:val="00B76015"/>
    <w:rsid w:val="00B80B45"/>
    <w:rsid w:val="00B81632"/>
    <w:rsid w:val="00B82087"/>
    <w:rsid w:val="00B8225E"/>
    <w:rsid w:val="00B830C7"/>
    <w:rsid w:val="00B8460D"/>
    <w:rsid w:val="00B85206"/>
    <w:rsid w:val="00B85EE6"/>
    <w:rsid w:val="00B87C9D"/>
    <w:rsid w:val="00B9073C"/>
    <w:rsid w:val="00B917C4"/>
    <w:rsid w:val="00B92FA5"/>
    <w:rsid w:val="00B9315C"/>
    <w:rsid w:val="00B96C1D"/>
    <w:rsid w:val="00B96E42"/>
    <w:rsid w:val="00B96EAF"/>
    <w:rsid w:val="00B97941"/>
    <w:rsid w:val="00B979B2"/>
    <w:rsid w:val="00BA0E57"/>
    <w:rsid w:val="00BA619B"/>
    <w:rsid w:val="00BA79B1"/>
    <w:rsid w:val="00BB148D"/>
    <w:rsid w:val="00BB2EA7"/>
    <w:rsid w:val="00BB3C10"/>
    <w:rsid w:val="00BB3C6C"/>
    <w:rsid w:val="00BB4065"/>
    <w:rsid w:val="00BB407F"/>
    <w:rsid w:val="00BB4B11"/>
    <w:rsid w:val="00BB67D7"/>
    <w:rsid w:val="00BB7166"/>
    <w:rsid w:val="00BB743C"/>
    <w:rsid w:val="00BB7F61"/>
    <w:rsid w:val="00BC10DE"/>
    <w:rsid w:val="00BC14E5"/>
    <w:rsid w:val="00BC2098"/>
    <w:rsid w:val="00BC20E0"/>
    <w:rsid w:val="00BC3045"/>
    <w:rsid w:val="00BC4981"/>
    <w:rsid w:val="00BC4B5F"/>
    <w:rsid w:val="00BC51D5"/>
    <w:rsid w:val="00BC5438"/>
    <w:rsid w:val="00BC672C"/>
    <w:rsid w:val="00BC6BA0"/>
    <w:rsid w:val="00BC70AB"/>
    <w:rsid w:val="00BC71FD"/>
    <w:rsid w:val="00BD09BB"/>
    <w:rsid w:val="00BD3BC2"/>
    <w:rsid w:val="00BD56C7"/>
    <w:rsid w:val="00BD5CF0"/>
    <w:rsid w:val="00BD6651"/>
    <w:rsid w:val="00BE0067"/>
    <w:rsid w:val="00BE0608"/>
    <w:rsid w:val="00BE0E5A"/>
    <w:rsid w:val="00BE2280"/>
    <w:rsid w:val="00BE408D"/>
    <w:rsid w:val="00BE785B"/>
    <w:rsid w:val="00BF01B1"/>
    <w:rsid w:val="00BF08BE"/>
    <w:rsid w:val="00BF119B"/>
    <w:rsid w:val="00BF138D"/>
    <w:rsid w:val="00BF197F"/>
    <w:rsid w:val="00BF1B76"/>
    <w:rsid w:val="00BF2336"/>
    <w:rsid w:val="00BF4140"/>
    <w:rsid w:val="00BF423E"/>
    <w:rsid w:val="00BF4ED0"/>
    <w:rsid w:val="00BF4F43"/>
    <w:rsid w:val="00BF6353"/>
    <w:rsid w:val="00BF689F"/>
    <w:rsid w:val="00BF68D6"/>
    <w:rsid w:val="00C00101"/>
    <w:rsid w:val="00C007E5"/>
    <w:rsid w:val="00C00E05"/>
    <w:rsid w:val="00C013FB"/>
    <w:rsid w:val="00C041F4"/>
    <w:rsid w:val="00C0469C"/>
    <w:rsid w:val="00C05013"/>
    <w:rsid w:val="00C05110"/>
    <w:rsid w:val="00C07B24"/>
    <w:rsid w:val="00C07B8A"/>
    <w:rsid w:val="00C11564"/>
    <w:rsid w:val="00C12DE5"/>
    <w:rsid w:val="00C12F06"/>
    <w:rsid w:val="00C1409E"/>
    <w:rsid w:val="00C14767"/>
    <w:rsid w:val="00C163CD"/>
    <w:rsid w:val="00C16721"/>
    <w:rsid w:val="00C16A84"/>
    <w:rsid w:val="00C17057"/>
    <w:rsid w:val="00C219C7"/>
    <w:rsid w:val="00C22D3A"/>
    <w:rsid w:val="00C23740"/>
    <w:rsid w:val="00C241C5"/>
    <w:rsid w:val="00C26166"/>
    <w:rsid w:val="00C26690"/>
    <w:rsid w:val="00C27CE9"/>
    <w:rsid w:val="00C304E0"/>
    <w:rsid w:val="00C308D5"/>
    <w:rsid w:val="00C30E50"/>
    <w:rsid w:val="00C31F07"/>
    <w:rsid w:val="00C321FC"/>
    <w:rsid w:val="00C32AA2"/>
    <w:rsid w:val="00C34939"/>
    <w:rsid w:val="00C36D37"/>
    <w:rsid w:val="00C40577"/>
    <w:rsid w:val="00C4060A"/>
    <w:rsid w:val="00C40EAD"/>
    <w:rsid w:val="00C40F07"/>
    <w:rsid w:val="00C43A91"/>
    <w:rsid w:val="00C444DF"/>
    <w:rsid w:val="00C44E0D"/>
    <w:rsid w:val="00C4537D"/>
    <w:rsid w:val="00C4594F"/>
    <w:rsid w:val="00C46C29"/>
    <w:rsid w:val="00C47117"/>
    <w:rsid w:val="00C47326"/>
    <w:rsid w:val="00C473CE"/>
    <w:rsid w:val="00C47465"/>
    <w:rsid w:val="00C47714"/>
    <w:rsid w:val="00C47C23"/>
    <w:rsid w:val="00C50119"/>
    <w:rsid w:val="00C513E8"/>
    <w:rsid w:val="00C51492"/>
    <w:rsid w:val="00C51627"/>
    <w:rsid w:val="00C520A6"/>
    <w:rsid w:val="00C54332"/>
    <w:rsid w:val="00C54414"/>
    <w:rsid w:val="00C54CD4"/>
    <w:rsid w:val="00C5595C"/>
    <w:rsid w:val="00C5615F"/>
    <w:rsid w:val="00C57E1E"/>
    <w:rsid w:val="00C60DE6"/>
    <w:rsid w:val="00C616A7"/>
    <w:rsid w:val="00C616B4"/>
    <w:rsid w:val="00C617B4"/>
    <w:rsid w:val="00C62AF3"/>
    <w:rsid w:val="00C6309C"/>
    <w:rsid w:val="00C63888"/>
    <w:rsid w:val="00C64E09"/>
    <w:rsid w:val="00C6725A"/>
    <w:rsid w:val="00C70303"/>
    <w:rsid w:val="00C709A5"/>
    <w:rsid w:val="00C712D9"/>
    <w:rsid w:val="00C72825"/>
    <w:rsid w:val="00C7479A"/>
    <w:rsid w:val="00C74A39"/>
    <w:rsid w:val="00C75CCE"/>
    <w:rsid w:val="00C76139"/>
    <w:rsid w:val="00C77E95"/>
    <w:rsid w:val="00C80835"/>
    <w:rsid w:val="00C815B2"/>
    <w:rsid w:val="00C8232F"/>
    <w:rsid w:val="00C846D0"/>
    <w:rsid w:val="00C85D72"/>
    <w:rsid w:val="00C86C30"/>
    <w:rsid w:val="00C86E0C"/>
    <w:rsid w:val="00C86F1F"/>
    <w:rsid w:val="00C87093"/>
    <w:rsid w:val="00C87B94"/>
    <w:rsid w:val="00C909CB"/>
    <w:rsid w:val="00C91151"/>
    <w:rsid w:val="00C913DB"/>
    <w:rsid w:val="00C91481"/>
    <w:rsid w:val="00C9286F"/>
    <w:rsid w:val="00C936C0"/>
    <w:rsid w:val="00C94BAB"/>
    <w:rsid w:val="00C95B73"/>
    <w:rsid w:val="00C9632E"/>
    <w:rsid w:val="00C96DEE"/>
    <w:rsid w:val="00C9727A"/>
    <w:rsid w:val="00CA0D34"/>
    <w:rsid w:val="00CA1699"/>
    <w:rsid w:val="00CA3107"/>
    <w:rsid w:val="00CA3586"/>
    <w:rsid w:val="00CA59D0"/>
    <w:rsid w:val="00CA6A0D"/>
    <w:rsid w:val="00CA74BF"/>
    <w:rsid w:val="00CA76EB"/>
    <w:rsid w:val="00CB0A0F"/>
    <w:rsid w:val="00CB12AD"/>
    <w:rsid w:val="00CB3BF8"/>
    <w:rsid w:val="00CB4184"/>
    <w:rsid w:val="00CB4A70"/>
    <w:rsid w:val="00CB552F"/>
    <w:rsid w:val="00CB5FC8"/>
    <w:rsid w:val="00CB7D66"/>
    <w:rsid w:val="00CC0B76"/>
    <w:rsid w:val="00CC0FEC"/>
    <w:rsid w:val="00CC1492"/>
    <w:rsid w:val="00CC1C35"/>
    <w:rsid w:val="00CC1D1A"/>
    <w:rsid w:val="00CC35CD"/>
    <w:rsid w:val="00CC429F"/>
    <w:rsid w:val="00CC500F"/>
    <w:rsid w:val="00CC66F1"/>
    <w:rsid w:val="00CC6F25"/>
    <w:rsid w:val="00CC7A6C"/>
    <w:rsid w:val="00CD0990"/>
    <w:rsid w:val="00CD425F"/>
    <w:rsid w:val="00CD482B"/>
    <w:rsid w:val="00CD650B"/>
    <w:rsid w:val="00CD763C"/>
    <w:rsid w:val="00CD7901"/>
    <w:rsid w:val="00CE01D5"/>
    <w:rsid w:val="00CE3C6E"/>
    <w:rsid w:val="00CE5915"/>
    <w:rsid w:val="00CE69CA"/>
    <w:rsid w:val="00CE7AE2"/>
    <w:rsid w:val="00CE7E51"/>
    <w:rsid w:val="00CF0FE8"/>
    <w:rsid w:val="00CF158C"/>
    <w:rsid w:val="00CF20F4"/>
    <w:rsid w:val="00CF2F79"/>
    <w:rsid w:val="00CF4DD3"/>
    <w:rsid w:val="00CF5E12"/>
    <w:rsid w:val="00CF6708"/>
    <w:rsid w:val="00CF7C19"/>
    <w:rsid w:val="00CF7D47"/>
    <w:rsid w:val="00D0041C"/>
    <w:rsid w:val="00D005DF"/>
    <w:rsid w:val="00D01238"/>
    <w:rsid w:val="00D01563"/>
    <w:rsid w:val="00D01E43"/>
    <w:rsid w:val="00D0245E"/>
    <w:rsid w:val="00D04C90"/>
    <w:rsid w:val="00D05B7E"/>
    <w:rsid w:val="00D06B6F"/>
    <w:rsid w:val="00D07C4B"/>
    <w:rsid w:val="00D1117B"/>
    <w:rsid w:val="00D1141E"/>
    <w:rsid w:val="00D11743"/>
    <w:rsid w:val="00D13754"/>
    <w:rsid w:val="00D13F66"/>
    <w:rsid w:val="00D1429E"/>
    <w:rsid w:val="00D145F6"/>
    <w:rsid w:val="00D14E61"/>
    <w:rsid w:val="00D16BBD"/>
    <w:rsid w:val="00D173F0"/>
    <w:rsid w:val="00D23375"/>
    <w:rsid w:val="00D23C45"/>
    <w:rsid w:val="00D24764"/>
    <w:rsid w:val="00D24B34"/>
    <w:rsid w:val="00D25385"/>
    <w:rsid w:val="00D2573C"/>
    <w:rsid w:val="00D25764"/>
    <w:rsid w:val="00D25F07"/>
    <w:rsid w:val="00D26100"/>
    <w:rsid w:val="00D26B80"/>
    <w:rsid w:val="00D27F80"/>
    <w:rsid w:val="00D31481"/>
    <w:rsid w:val="00D320CF"/>
    <w:rsid w:val="00D33311"/>
    <w:rsid w:val="00D34BC9"/>
    <w:rsid w:val="00D34EC7"/>
    <w:rsid w:val="00D3533F"/>
    <w:rsid w:val="00D36799"/>
    <w:rsid w:val="00D37DE2"/>
    <w:rsid w:val="00D41E4C"/>
    <w:rsid w:val="00D42924"/>
    <w:rsid w:val="00D42CBF"/>
    <w:rsid w:val="00D43AC8"/>
    <w:rsid w:val="00D44260"/>
    <w:rsid w:val="00D4510E"/>
    <w:rsid w:val="00D505A5"/>
    <w:rsid w:val="00D50AC3"/>
    <w:rsid w:val="00D50C3E"/>
    <w:rsid w:val="00D51D0C"/>
    <w:rsid w:val="00D52AB9"/>
    <w:rsid w:val="00D541CE"/>
    <w:rsid w:val="00D54C61"/>
    <w:rsid w:val="00D55D29"/>
    <w:rsid w:val="00D572E1"/>
    <w:rsid w:val="00D5746B"/>
    <w:rsid w:val="00D57975"/>
    <w:rsid w:val="00D57DDB"/>
    <w:rsid w:val="00D600BF"/>
    <w:rsid w:val="00D6016A"/>
    <w:rsid w:val="00D61FF0"/>
    <w:rsid w:val="00D63245"/>
    <w:rsid w:val="00D64211"/>
    <w:rsid w:val="00D650F5"/>
    <w:rsid w:val="00D673C1"/>
    <w:rsid w:val="00D675EC"/>
    <w:rsid w:val="00D70F83"/>
    <w:rsid w:val="00D71817"/>
    <w:rsid w:val="00D720AB"/>
    <w:rsid w:val="00D72B0E"/>
    <w:rsid w:val="00D77105"/>
    <w:rsid w:val="00D809B5"/>
    <w:rsid w:val="00D819A9"/>
    <w:rsid w:val="00D819E7"/>
    <w:rsid w:val="00D81C20"/>
    <w:rsid w:val="00D824C0"/>
    <w:rsid w:val="00D82700"/>
    <w:rsid w:val="00D82A9F"/>
    <w:rsid w:val="00D83BD7"/>
    <w:rsid w:val="00D83D19"/>
    <w:rsid w:val="00D84837"/>
    <w:rsid w:val="00D85221"/>
    <w:rsid w:val="00D8622D"/>
    <w:rsid w:val="00D905BA"/>
    <w:rsid w:val="00D919CC"/>
    <w:rsid w:val="00D91A1F"/>
    <w:rsid w:val="00D938C8"/>
    <w:rsid w:val="00D94BE9"/>
    <w:rsid w:val="00D94DE4"/>
    <w:rsid w:val="00D95064"/>
    <w:rsid w:val="00DA03A4"/>
    <w:rsid w:val="00DA0731"/>
    <w:rsid w:val="00DA1640"/>
    <w:rsid w:val="00DA2059"/>
    <w:rsid w:val="00DA3688"/>
    <w:rsid w:val="00DA4444"/>
    <w:rsid w:val="00DA566D"/>
    <w:rsid w:val="00DA57A7"/>
    <w:rsid w:val="00DA5A4C"/>
    <w:rsid w:val="00DA68CF"/>
    <w:rsid w:val="00DB157F"/>
    <w:rsid w:val="00DB4E2F"/>
    <w:rsid w:val="00DC0CA9"/>
    <w:rsid w:val="00DC1BFE"/>
    <w:rsid w:val="00DC475A"/>
    <w:rsid w:val="00DC515F"/>
    <w:rsid w:val="00DC5189"/>
    <w:rsid w:val="00DC5483"/>
    <w:rsid w:val="00DC753A"/>
    <w:rsid w:val="00DC772C"/>
    <w:rsid w:val="00DD0A79"/>
    <w:rsid w:val="00DD0BF6"/>
    <w:rsid w:val="00DD187C"/>
    <w:rsid w:val="00DD2CA0"/>
    <w:rsid w:val="00DD3031"/>
    <w:rsid w:val="00DD3877"/>
    <w:rsid w:val="00DD4DEE"/>
    <w:rsid w:val="00DD50D4"/>
    <w:rsid w:val="00DD5D6D"/>
    <w:rsid w:val="00DD6281"/>
    <w:rsid w:val="00DD7902"/>
    <w:rsid w:val="00DD7A2E"/>
    <w:rsid w:val="00DD7B86"/>
    <w:rsid w:val="00DE0FAA"/>
    <w:rsid w:val="00DE1804"/>
    <w:rsid w:val="00DE1BBE"/>
    <w:rsid w:val="00DE2030"/>
    <w:rsid w:val="00DE2717"/>
    <w:rsid w:val="00DE29CD"/>
    <w:rsid w:val="00DE3D5F"/>
    <w:rsid w:val="00DE3F1D"/>
    <w:rsid w:val="00DE453F"/>
    <w:rsid w:val="00DE589B"/>
    <w:rsid w:val="00DE61D0"/>
    <w:rsid w:val="00DF0CD1"/>
    <w:rsid w:val="00DF13A6"/>
    <w:rsid w:val="00DF2618"/>
    <w:rsid w:val="00DF2FA6"/>
    <w:rsid w:val="00DF4455"/>
    <w:rsid w:val="00DF449C"/>
    <w:rsid w:val="00DF6C92"/>
    <w:rsid w:val="00DF7733"/>
    <w:rsid w:val="00E005BB"/>
    <w:rsid w:val="00E01855"/>
    <w:rsid w:val="00E0194E"/>
    <w:rsid w:val="00E031DE"/>
    <w:rsid w:val="00E03B88"/>
    <w:rsid w:val="00E03E50"/>
    <w:rsid w:val="00E05840"/>
    <w:rsid w:val="00E0650A"/>
    <w:rsid w:val="00E06EAB"/>
    <w:rsid w:val="00E06F80"/>
    <w:rsid w:val="00E0732F"/>
    <w:rsid w:val="00E07359"/>
    <w:rsid w:val="00E1188C"/>
    <w:rsid w:val="00E11E59"/>
    <w:rsid w:val="00E1285B"/>
    <w:rsid w:val="00E12CFD"/>
    <w:rsid w:val="00E151E6"/>
    <w:rsid w:val="00E156AD"/>
    <w:rsid w:val="00E16E90"/>
    <w:rsid w:val="00E17165"/>
    <w:rsid w:val="00E174D1"/>
    <w:rsid w:val="00E174F2"/>
    <w:rsid w:val="00E17916"/>
    <w:rsid w:val="00E206CD"/>
    <w:rsid w:val="00E20758"/>
    <w:rsid w:val="00E21843"/>
    <w:rsid w:val="00E2278D"/>
    <w:rsid w:val="00E26394"/>
    <w:rsid w:val="00E264B3"/>
    <w:rsid w:val="00E26B91"/>
    <w:rsid w:val="00E27D7E"/>
    <w:rsid w:val="00E3088C"/>
    <w:rsid w:val="00E32B63"/>
    <w:rsid w:val="00E33A4C"/>
    <w:rsid w:val="00E33AFE"/>
    <w:rsid w:val="00E3450A"/>
    <w:rsid w:val="00E3737A"/>
    <w:rsid w:val="00E4085C"/>
    <w:rsid w:val="00E426FF"/>
    <w:rsid w:val="00E4326C"/>
    <w:rsid w:val="00E437A2"/>
    <w:rsid w:val="00E4426D"/>
    <w:rsid w:val="00E45DAC"/>
    <w:rsid w:val="00E47E31"/>
    <w:rsid w:val="00E529E7"/>
    <w:rsid w:val="00E52A00"/>
    <w:rsid w:val="00E53127"/>
    <w:rsid w:val="00E54E55"/>
    <w:rsid w:val="00E54E63"/>
    <w:rsid w:val="00E5535A"/>
    <w:rsid w:val="00E5579E"/>
    <w:rsid w:val="00E564E5"/>
    <w:rsid w:val="00E5668B"/>
    <w:rsid w:val="00E56CD7"/>
    <w:rsid w:val="00E5779A"/>
    <w:rsid w:val="00E57897"/>
    <w:rsid w:val="00E614FC"/>
    <w:rsid w:val="00E61A87"/>
    <w:rsid w:val="00E61E7F"/>
    <w:rsid w:val="00E623D5"/>
    <w:rsid w:val="00E63CAB"/>
    <w:rsid w:val="00E6459D"/>
    <w:rsid w:val="00E6544E"/>
    <w:rsid w:val="00E65C20"/>
    <w:rsid w:val="00E66471"/>
    <w:rsid w:val="00E67DCE"/>
    <w:rsid w:val="00E70D3C"/>
    <w:rsid w:val="00E714EE"/>
    <w:rsid w:val="00E71F0D"/>
    <w:rsid w:val="00E73CE5"/>
    <w:rsid w:val="00E73EA2"/>
    <w:rsid w:val="00E754B3"/>
    <w:rsid w:val="00E77C74"/>
    <w:rsid w:val="00E806CA"/>
    <w:rsid w:val="00E8112D"/>
    <w:rsid w:val="00E82EFD"/>
    <w:rsid w:val="00E841CC"/>
    <w:rsid w:val="00E85B32"/>
    <w:rsid w:val="00E860C2"/>
    <w:rsid w:val="00E86F0F"/>
    <w:rsid w:val="00E86F41"/>
    <w:rsid w:val="00E87089"/>
    <w:rsid w:val="00E91865"/>
    <w:rsid w:val="00E91B79"/>
    <w:rsid w:val="00E92E45"/>
    <w:rsid w:val="00E92F6D"/>
    <w:rsid w:val="00E95AEC"/>
    <w:rsid w:val="00E95E48"/>
    <w:rsid w:val="00E967C1"/>
    <w:rsid w:val="00E96946"/>
    <w:rsid w:val="00E96BAA"/>
    <w:rsid w:val="00E96F49"/>
    <w:rsid w:val="00E970F6"/>
    <w:rsid w:val="00E97343"/>
    <w:rsid w:val="00E97DE0"/>
    <w:rsid w:val="00EA00D0"/>
    <w:rsid w:val="00EA0DB7"/>
    <w:rsid w:val="00EA0E42"/>
    <w:rsid w:val="00EA1276"/>
    <w:rsid w:val="00EA235C"/>
    <w:rsid w:val="00EA656D"/>
    <w:rsid w:val="00EA6583"/>
    <w:rsid w:val="00EA6789"/>
    <w:rsid w:val="00EA6C1F"/>
    <w:rsid w:val="00EB129D"/>
    <w:rsid w:val="00EB1910"/>
    <w:rsid w:val="00EB4694"/>
    <w:rsid w:val="00EB7896"/>
    <w:rsid w:val="00EC0C10"/>
    <w:rsid w:val="00EC1415"/>
    <w:rsid w:val="00EC1C96"/>
    <w:rsid w:val="00EC3A4F"/>
    <w:rsid w:val="00EC4449"/>
    <w:rsid w:val="00EC526D"/>
    <w:rsid w:val="00EC54DF"/>
    <w:rsid w:val="00EC5C50"/>
    <w:rsid w:val="00EC6F2B"/>
    <w:rsid w:val="00EC7D6B"/>
    <w:rsid w:val="00ED00B3"/>
    <w:rsid w:val="00ED2F59"/>
    <w:rsid w:val="00ED3320"/>
    <w:rsid w:val="00ED463D"/>
    <w:rsid w:val="00ED74B5"/>
    <w:rsid w:val="00EE0158"/>
    <w:rsid w:val="00EE1230"/>
    <w:rsid w:val="00EE1C46"/>
    <w:rsid w:val="00EE5A93"/>
    <w:rsid w:val="00EE6AD5"/>
    <w:rsid w:val="00EE6C8D"/>
    <w:rsid w:val="00EE70FA"/>
    <w:rsid w:val="00EE7F0C"/>
    <w:rsid w:val="00EF0081"/>
    <w:rsid w:val="00EF054D"/>
    <w:rsid w:val="00EF0B27"/>
    <w:rsid w:val="00EF1946"/>
    <w:rsid w:val="00EF2D7B"/>
    <w:rsid w:val="00EF3553"/>
    <w:rsid w:val="00EF408A"/>
    <w:rsid w:val="00EF40C9"/>
    <w:rsid w:val="00EF4FA2"/>
    <w:rsid w:val="00EF581E"/>
    <w:rsid w:val="00EF5CD1"/>
    <w:rsid w:val="00EF5F7D"/>
    <w:rsid w:val="00EF72A7"/>
    <w:rsid w:val="00F0002D"/>
    <w:rsid w:val="00F00055"/>
    <w:rsid w:val="00F00619"/>
    <w:rsid w:val="00F022C6"/>
    <w:rsid w:val="00F03BC2"/>
    <w:rsid w:val="00F047C9"/>
    <w:rsid w:val="00F0566E"/>
    <w:rsid w:val="00F05F43"/>
    <w:rsid w:val="00F06494"/>
    <w:rsid w:val="00F07769"/>
    <w:rsid w:val="00F07D5D"/>
    <w:rsid w:val="00F115F3"/>
    <w:rsid w:val="00F125AC"/>
    <w:rsid w:val="00F136AC"/>
    <w:rsid w:val="00F140A6"/>
    <w:rsid w:val="00F14494"/>
    <w:rsid w:val="00F14DD9"/>
    <w:rsid w:val="00F15000"/>
    <w:rsid w:val="00F15582"/>
    <w:rsid w:val="00F16CD4"/>
    <w:rsid w:val="00F17B7A"/>
    <w:rsid w:val="00F21D8A"/>
    <w:rsid w:val="00F25CE7"/>
    <w:rsid w:val="00F2639B"/>
    <w:rsid w:val="00F27893"/>
    <w:rsid w:val="00F30AB4"/>
    <w:rsid w:val="00F3155E"/>
    <w:rsid w:val="00F327EA"/>
    <w:rsid w:val="00F32B6E"/>
    <w:rsid w:val="00F33FC1"/>
    <w:rsid w:val="00F3430A"/>
    <w:rsid w:val="00F35AC4"/>
    <w:rsid w:val="00F35BD0"/>
    <w:rsid w:val="00F368DB"/>
    <w:rsid w:val="00F40690"/>
    <w:rsid w:val="00F44324"/>
    <w:rsid w:val="00F451C1"/>
    <w:rsid w:val="00F4661E"/>
    <w:rsid w:val="00F46E89"/>
    <w:rsid w:val="00F46FCC"/>
    <w:rsid w:val="00F509EE"/>
    <w:rsid w:val="00F50B1D"/>
    <w:rsid w:val="00F50E3D"/>
    <w:rsid w:val="00F512B3"/>
    <w:rsid w:val="00F515C5"/>
    <w:rsid w:val="00F518EF"/>
    <w:rsid w:val="00F52E4A"/>
    <w:rsid w:val="00F52EA2"/>
    <w:rsid w:val="00F5363F"/>
    <w:rsid w:val="00F53B41"/>
    <w:rsid w:val="00F543A5"/>
    <w:rsid w:val="00F55450"/>
    <w:rsid w:val="00F56165"/>
    <w:rsid w:val="00F561A1"/>
    <w:rsid w:val="00F568ED"/>
    <w:rsid w:val="00F57D5C"/>
    <w:rsid w:val="00F57F0E"/>
    <w:rsid w:val="00F61A75"/>
    <w:rsid w:val="00F61EE1"/>
    <w:rsid w:val="00F620D7"/>
    <w:rsid w:val="00F62172"/>
    <w:rsid w:val="00F64BDD"/>
    <w:rsid w:val="00F666BF"/>
    <w:rsid w:val="00F66FB8"/>
    <w:rsid w:val="00F676B6"/>
    <w:rsid w:val="00F705F8"/>
    <w:rsid w:val="00F734CC"/>
    <w:rsid w:val="00F76179"/>
    <w:rsid w:val="00F76AB9"/>
    <w:rsid w:val="00F82437"/>
    <w:rsid w:val="00F84398"/>
    <w:rsid w:val="00F84E39"/>
    <w:rsid w:val="00F84FCD"/>
    <w:rsid w:val="00F85844"/>
    <w:rsid w:val="00F87498"/>
    <w:rsid w:val="00F87675"/>
    <w:rsid w:val="00F877BF"/>
    <w:rsid w:val="00F878E8"/>
    <w:rsid w:val="00F9002B"/>
    <w:rsid w:val="00F9015F"/>
    <w:rsid w:val="00F918B4"/>
    <w:rsid w:val="00F92D7A"/>
    <w:rsid w:val="00F95920"/>
    <w:rsid w:val="00F969A2"/>
    <w:rsid w:val="00F96A2C"/>
    <w:rsid w:val="00FA1162"/>
    <w:rsid w:val="00FA2F86"/>
    <w:rsid w:val="00FA5D69"/>
    <w:rsid w:val="00FA7DF6"/>
    <w:rsid w:val="00FB0E04"/>
    <w:rsid w:val="00FB1713"/>
    <w:rsid w:val="00FB1D18"/>
    <w:rsid w:val="00FB39F4"/>
    <w:rsid w:val="00FB50BD"/>
    <w:rsid w:val="00FB5587"/>
    <w:rsid w:val="00FB6389"/>
    <w:rsid w:val="00FB6906"/>
    <w:rsid w:val="00FB6A9B"/>
    <w:rsid w:val="00FC0D54"/>
    <w:rsid w:val="00FC127C"/>
    <w:rsid w:val="00FC2C82"/>
    <w:rsid w:val="00FC2CB6"/>
    <w:rsid w:val="00FC4288"/>
    <w:rsid w:val="00FC48D2"/>
    <w:rsid w:val="00FC4FB1"/>
    <w:rsid w:val="00FC5EF2"/>
    <w:rsid w:val="00FC5F0A"/>
    <w:rsid w:val="00FC61B7"/>
    <w:rsid w:val="00FC73DB"/>
    <w:rsid w:val="00FC7E33"/>
    <w:rsid w:val="00FD1438"/>
    <w:rsid w:val="00FD40E1"/>
    <w:rsid w:val="00FD5777"/>
    <w:rsid w:val="00FD5E21"/>
    <w:rsid w:val="00FD76AE"/>
    <w:rsid w:val="00FD76DD"/>
    <w:rsid w:val="00FD7E60"/>
    <w:rsid w:val="00FE05DE"/>
    <w:rsid w:val="00FE4BC2"/>
    <w:rsid w:val="00FE4BC6"/>
    <w:rsid w:val="00FE63B0"/>
    <w:rsid w:val="00FE6426"/>
    <w:rsid w:val="00FE6567"/>
    <w:rsid w:val="00FF04F4"/>
    <w:rsid w:val="00FF128C"/>
    <w:rsid w:val="00FF3095"/>
    <w:rsid w:val="00FF41B3"/>
    <w:rsid w:val="00FF4EC4"/>
    <w:rsid w:val="00FF6B98"/>
    <w:rsid w:val="00FF6C25"/>
    <w:rsid w:val="00FF705E"/>
    <w:rsid w:val="00FF70B0"/>
    <w:rsid w:val="00FF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E7869DE"/>
  <w15:docId w15:val="{A32BBFBA-3B38-4DE5-94D8-EA5E04D7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9B0"/>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uiPriority w:val="99"/>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semiHidden/>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D7987"/>
    <w:rPr>
      <w:color w:val="0000FF"/>
      <w:u w:val="single"/>
    </w:rPr>
  </w:style>
  <w:style w:type="paragraph" w:customStyle="1" w:styleId="list00203">
    <w:name w:val="list_00203"/>
    <w:basedOn w:val="Normal"/>
    <w:rsid w:val="001E22AF"/>
    <w:pPr>
      <w:spacing w:before="100" w:beforeAutospacing="1" w:after="100" w:afterAutospacing="1" w:line="240" w:lineRule="auto"/>
    </w:pPr>
    <w:rPr>
      <w:rFonts w:ascii="Times New Roman" w:hAnsi="Times New Roman" w:cs="Times New Roman"/>
      <w:sz w:val="24"/>
      <w:szCs w:val="24"/>
      <w:lang w:val="en-US"/>
    </w:rPr>
  </w:style>
  <w:style w:type="paragraph" w:customStyle="1" w:styleId="colorblack">
    <w:name w:val="colorblack"/>
    <w:basedOn w:val="Normal"/>
    <w:rsid w:val="00357E6A"/>
    <w:pPr>
      <w:spacing w:before="100" w:beforeAutospacing="1"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56D2E"/>
    <w:rPr>
      <w:sz w:val="16"/>
      <w:szCs w:val="16"/>
    </w:rPr>
  </w:style>
  <w:style w:type="paragraph" w:styleId="CommentText">
    <w:name w:val="annotation text"/>
    <w:basedOn w:val="Normal"/>
    <w:link w:val="CommentTextChar"/>
    <w:uiPriority w:val="99"/>
    <w:semiHidden/>
    <w:unhideWhenUsed/>
    <w:rsid w:val="00856D2E"/>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856D2E"/>
    <w:rPr>
      <w:rFonts w:asciiTheme="minorHAnsi" w:eastAsiaTheme="minorHAnsi" w:hAnsiTheme="minorHAnsi" w:cstheme="minorBidi"/>
      <w:sz w:val="20"/>
      <w:szCs w:val="20"/>
    </w:rPr>
  </w:style>
  <w:style w:type="character" w:customStyle="1" w:styleId="fontstyle01">
    <w:name w:val="fontstyle01"/>
    <w:rsid w:val="007A300F"/>
    <w:rPr>
      <w:rFonts w:ascii="Times New Roman" w:hAnsi="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81053">
      <w:bodyDiv w:val="1"/>
      <w:marLeft w:val="0"/>
      <w:marRight w:val="0"/>
      <w:marTop w:val="0"/>
      <w:marBottom w:val="0"/>
      <w:divBdr>
        <w:top w:val="none" w:sz="0" w:space="0" w:color="auto"/>
        <w:left w:val="none" w:sz="0" w:space="0" w:color="auto"/>
        <w:bottom w:val="none" w:sz="0" w:space="0" w:color="auto"/>
        <w:right w:val="none" w:sz="0" w:space="0" w:color="auto"/>
      </w:divBdr>
      <w:divsChild>
        <w:div w:id="761798856">
          <w:marLeft w:val="0"/>
          <w:marRight w:val="0"/>
          <w:marTop w:val="0"/>
          <w:marBottom w:val="0"/>
          <w:divBdr>
            <w:top w:val="none" w:sz="0" w:space="0" w:color="auto"/>
            <w:left w:val="none" w:sz="0" w:space="0" w:color="auto"/>
            <w:bottom w:val="none" w:sz="0" w:space="0" w:color="auto"/>
            <w:right w:val="none" w:sz="0" w:space="0" w:color="auto"/>
          </w:divBdr>
        </w:div>
      </w:divsChild>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so.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CAAE9-C0BF-443E-8FCF-81C8928E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8607</Words>
  <Characters>32591</Characters>
  <Application>Microsoft Office Word</Application>
  <DocSecurity>0</DocSecurity>
  <Lines>271</Lines>
  <Paragraphs>82</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41116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ltanh</dc:creator>
  <cp:lastModifiedBy>Phạm Tiến Nam</cp:lastModifiedBy>
  <cp:revision>2</cp:revision>
  <cp:lastPrinted>2021-12-28T13:48:00Z</cp:lastPrinted>
  <dcterms:created xsi:type="dcterms:W3CDTF">2021-12-29T01:15:00Z</dcterms:created>
  <dcterms:modified xsi:type="dcterms:W3CDTF">2021-12-29T01:15:00Z</dcterms:modified>
</cp:coreProperties>
</file>