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86"/>
        <w:tblW w:w="10710" w:type="dxa"/>
        <w:tblLayout w:type="fixed"/>
        <w:tblLook w:val="0000" w:firstRow="0" w:lastRow="0" w:firstColumn="0" w:lastColumn="0" w:noHBand="0" w:noVBand="0"/>
      </w:tblPr>
      <w:tblGrid>
        <w:gridCol w:w="5490"/>
        <w:gridCol w:w="5220"/>
      </w:tblGrid>
      <w:tr w:rsidR="00D54874" w:rsidRPr="00FA706C" w14:paraId="15DBBE44" w14:textId="77777777" w:rsidTr="00082AE8">
        <w:trPr>
          <w:trHeight w:val="1026"/>
        </w:trPr>
        <w:tc>
          <w:tcPr>
            <w:tcW w:w="5490" w:type="dxa"/>
          </w:tcPr>
          <w:p w14:paraId="3312122D" w14:textId="77777777" w:rsidR="00D54874" w:rsidRPr="00FA706C" w:rsidRDefault="00D54874" w:rsidP="00D54874">
            <w:pPr>
              <w:ind w:left="72" w:right="-115"/>
              <w:jc w:val="center"/>
              <w:rPr>
                <w:rFonts w:ascii="Times New Roman" w:hAnsi="Times New Roman" w:cs="Times New Roman"/>
                <w:spacing w:val="-6"/>
                <w:sz w:val="24"/>
                <w:szCs w:val="24"/>
              </w:rPr>
            </w:pPr>
            <w:r w:rsidRPr="00FA706C">
              <w:rPr>
                <w:rFonts w:ascii="Times New Roman" w:hAnsi="Times New Roman" w:cs="Times New Roman"/>
                <w:spacing w:val="-6"/>
                <w:sz w:val="24"/>
                <w:szCs w:val="24"/>
              </w:rPr>
              <w:softHyphen/>
            </w:r>
            <w:r w:rsidRPr="00FA706C">
              <w:rPr>
                <w:rFonts w:ascii="Times New Roman" w:hAnsi="Times New Roman" w:cs="Times New Roman"/>
                <w:spacing w:val="-6"/>
                <w:sz w:val="24"/>
                <w:szCs w:val="24"/>
              </w:rPr>
              <w:softHyphen/>
            </w:r>
            <w:r w:rsidRPr="00FA706C">
              <w:rPr>
                <w:rFonts w:ascii="Times New Roman" w:hAnsi="Times New Roman" w:cs="Times New Roman"/>
                <w:spacing w:val="-6"/>
                <w:sz w:val="24"/>
                <w:szCs w:val="24"/>
              </w:rPr>
              <w:softHyphen/>
            </w:r>
            <w:r w:rsidRPr="00FA706C">
              <w:rPr>
                <w:rFonts w:ascii="Times New Roman" w:hAnsi="Times New Roman" w:cs="Times New Roman"/>
                <w:spacing w:val="-6"/>
                <w:sz w:val="24"/>
                <w:szCs w:val="24"/>
              </w:rPr>
              <w:softHyphen/>
              <w:t>MINISTRY OF PLANNING AND INVESTMENT</w:t>
            </w:r>
          </w:p>
          <w:p w14:paraId="575024BC" w14:textId="77777777" w:rsidR="00D54874" w:rsidRPr="00FA706C" w:rsidRDefault="00D54874" w:rsidP="00D54874">
            <w:pPr>
              <w:ind w:left="72" w:right="-115"/>
              <w:jc w:val="center"/>
              <w:rPr>
                <w:rFonts w:ascii="Times New Roman" w:hAnsi="Times New Roman" w:cs="Times New Roman"/>
                <w:b/>
                <w:bCs/>
                <w:spacing w:val="-6"/>
                <w:sz w:val="24"/>
                <w:szCs w:val="24"/>
              </w:rPr>
            </w:pPr>
            <w:r w:rsidRPr="00FA706C">
              <w:rPr>
                <w:rFonts w:ascii="Times New Roman" w:hAnsi="Times New Roman" w:cs="Times New Roman"/>
                <w:noProof/>
                <w:lang w:val="en-US" w:eastAsia="ko-KR"/>
              </w:rPr>
              <mc:AlternateContent>
                <mc:Choice Requires="wps">
                  <w:drawing>
                    <wp:anchor distT="4294967293" distB="4294967293" distL="114300" distR="114300" simplePos="0" relativeHeight="251665408" behindDoc="0" locked="0" layoutInCell="1" allowOverlap="1" wp14:anchorId="2A1EFB30" wp14:editId="01973B08">
                      <wp:simplePos x="0" y="0"/>
                      <wp:positionH relativeFrom="column">
                        <wp:posOffset>1145540</wp:posOffset>
                      </wp:positionH>
                      <wp:positionV relativeFrom="paragraph">
                        <wp:posOffset>203199</wp:posOffset>
                      </wp:positionV>
                      <wp:extent cx="97155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FC7650" id="Straight Connector 13"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0.2pt,16pt" to="166.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" strokeweight="1pt"/>
                  </w:pict>
                </mc:Fallback>
              </mc:AlternateContent>
            </w:r>
            <w:r w:rsidRPr="00FA706C">
              <w:rPr>
                <w:rFonts w:ascii="Times New Roman" w:hAnsi="Times New Roman" w:cs="Times New Roman"/>
                <w:b/>
                <w:bCs/>
                <w:spacing w:val="-6"/>
                <w:sz w:val="24"/>
                <w:szCs w:val="24"/>
              </w:rPr>
              <w:t>GENERAL STATISTICS OFFICE</w:t>
            </w:r>
          </w:p>
          <w:p w14:paraId="389E18B7" w14:textId="77777777" w:rsidR="00D54874" w:rsidRPr="00FA706C" w:rsidRDefault="00D54874" w:rsidP="00D54874">
            <w:pPr>
              <w:spacing w:before="120"/>
              <w:ind w:left="16" w:right="-18"/>
              <w:jc w:val="center"/>
              <w:rPr>
                <w:rFonts w:ascii="Times New Roman" w:hAnsi="Times New Roman" w:cs="Times New Roman"/>
                <w:sz w:val="26"/>
                <w:szCs w:val="26"/>
                <w:lang w:val="vi-VN"/>
              </w:rPr>
            </w:pPr>
          </w:p>
        </w:tc>
        <w:tc>
          <w:tcPr>
            <w:tcW w:w="5220" w:type="dxa"/>
          </w:tcPr>
          <w:p w14:paraId="2426E4D9" w14:textId="77777777" w:rsidR="00D54874" w:rsidRPr="00FA706C" w:rsidRDefault="00D54874" w:rsidP="00D54874">
            <w:pPr>
              <w:rPr>
                <w:rFonts w:ascii="Times New Roman" w:hAnsi="Times New Roman" w:cs="Times New Roman"/>
                <w:b/>
                <w:bCs/>
                <w:sz w:val="24"/>
                <w:szCs w:val="24"/>
              </w:rPr>
            </w:pPr>
            <w:r w:rsidRPr="00FA706C">
              <w:rPr>
                <w:rFonts w:ascii="Times New Roman" w:hAnsi="Times New Roman" w:cs="Times New Roman"/>
                <w:b/>
                <w:bCs/>
                <w:sz w:val="24"/>
                <w:szCs w:val="24"/>
              </w:rPr>
              <w:t>SOCIALIST REPUBLIC OF VIET NAM</w:t>
            </w:r>
          </w:p>
          <w:p w14:paraId="03260D70" w14:textId="77777777" w:rsidR="00D54874" w:rsidRPr="00FA706C" w:rsidRDefault="00D54874" w:rsidP="00D54874">
            <w:pPr>
              <w:rPr>
                <w:rFonts w:ascii="Times New Roman" w:hAnsi="Times New Roman" w:cs="Times New Roman"/>
                <w:b/>
                <w:bCs/>
                <w:sz w:val="24"/>
                <w:szCs w:val="24"/>
              </w:rPr>
            </w:pPr>
            <w:r w:rsidRPr="00FA706C">
              <w:rPr>
                <w:rFonts w:ascii="Times New Roman" w:hAnsi="Times New Roman" w:cs="Times New Roman"/>
                <w:noProof/>
                <w:lang w:val="en-US" w:eastAsia="ko-KR"/>
              </w:rPr>
              <mc:AlternateContent>
                <mc:Choice Requires="wps">
                  <w:drawing>
                    <wp:anchor distT="4294967293" distB="4294967293" distL="114300" distR="114300" simplePos="0" relativeHeight="251666432" behindDoc="0" locked="0" layoutInCell="1" allowOverlap="1" wp14:anchorId="21C0462C" wp14:editId="6850DC87">
                      <wp:simplePos x="0" y="0"/>
                      <wp:positionH relativeFrom="column">
                        <wp:posOffset>336550</wp:posOffset>
                      </wp:positionH>
                      <wp:positionV relativeFrom="paragraph">
                        <wp:posOffset>203199</wp:posOffset>
                      </wp:positionV>
                      <wp:extent cx="188404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045"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728104" id="Straight Connector 10"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5pt,16pt" to="17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" strokeweight="1pt"/>
                  </w:pict>
                </mc:Fallback>
              </mc:AlternateContent>
            </w:r>
            <w:r w:rsidRPr="00FA706C">
              <w:rPr>
                <w:rFonts w:ascii="Times New Roman" w:hAnsi="Times New Roman" w:cs="Times New Roman"/>
                <w:b/>
                <w:bCs/>
                <w:sz w:val="24"/>
                <w:szCs w:val="24"/>
              </w:rPr>
              <w:t>Independence-Freedom-Happiness</w:t>
            </w:r>
          </w:p>
          <w:p w14:paraId="65DE226E" w14:textId="24AD9899" w:rsidR="00D54874" w:rsidRPr="00FA706C" w:rsidRDefault="00D54874" w:rsidP="00D54874">
            <w:pPr>
              <w:ind w:left="72"/>
              <w:jc w:val="center"/>
              <w:rPr>
                <w:rFonts w:ascii="Times New Roman" w:hAnsi="Times New Roman" w:cs="Times New Roman"/>
                <w:b/>
                <w:bCs/>
                <w:i/>
                <w:iCs/>
                <w:sz w:val="26"/>
                <w:szCs w:val="26"/>
              </w:rPr>
            </w:pPr>
            <w:r w:rsidRPr="00FA706C">
              <w:rPr>
                <w:rFonts w:ascii="Times New Roman" w:hAnsi="Times New Roman" w:cs="Times New Roman"/>
                <w:i/>
                <w:iCs/>
                <w:sz w:val="26"/>
                <w:szCs w:val="26"/>
              </w:rPr>
              <w:t>Ha Noi, 29</w:t>
            </w:r>
            <w:r w:rsidRPr="00FA706C">
              <w:rPr>
                <w:rFonts w:ascii="Times New Roman" w:hAnsi="Times New Roman" w:cs="Times New Roman"/>
                <w:i/>
                <w:iCs/>
                <w:sz w:val="26"/>
                <w:szCs w:val="26"/>
                <w:vertAlign w:val="superscript"/>
              </w:rPr>
              <w:t>th</w:t>
            </w:r>
            <w:r w:rsidRPr="00FA706C">
              <w:rPr>
                <w:rFonts w:ascii="Times New Roman" w:hAnsi="Times New Roman" w:cs="Times New Roman"/>
                <w:i/>
                <w:iCs/>
                <w:sz w:val="26"/>
                <w:szCs w:val="26"/>
              </w:rPr>
              <w:t xml:space="preserve"> </w:t>
            </w:r>
            <w:r>
              <w:rPr>
                <w:rFonts w:ascii="Times New Roman" w:hAnsi="Times New Roman" w:cs="Times New Roman"/>
                <w:i/>
                <w:iCs/>
                <w:sz w:val="26"/>
                <w:szCs w:val="26"/>
              </w:rPr>
              <w:t>Dec</w:t>
            </w:r>
            <w:r w:rsidRPr="00FA706C">
              <w:rPr>
                <w:rFonts w:ascii="Times New Roman" w:hAnsi="Times New Roman" w:cs="Times New Roman"/>
                <w:i/>
                <w:iCs/>
                <w:sz w:val="26"/>
                <w:szCs w:val="26"/>
              </w:rPr>
              <w:t>ember, 2021</w:t>
            </w:r>
          </w:p>
        </w:tc>
      </w:tr>
    </w:tbl>
    <w:p w14:paraId="180E4F15" w14:textId="77777777" w:rsidR="00456DAE" w:rsidRPr="00DC0CA9" w:rsidRDefault="00456DAE" w:rsidP="00F76179">
      <w:pPr>
        <w:spacing w:after="0" w:line="245" w:lineRule="auto"/>
        <w:jc w:val="center"/>
        <w:rPr>
          <w:rFonts w:ascii="Times New Roman" w:hAnsi="Times New Roman" w:cs="Times New Roman"/>
          <w:b/>
          <w:bCs/>
          <w:szCs w:val="30"/>
          <w:lang w:val="pt-BR"/>
        </w:rPr>
      </w:pPr>
    </w:p>
    <w:p w14:paraId="53496330" w14:textId="77777777" w:rsidR="000F0798" w:rsidRPr="00FA706C" w:rsidRDefault="000F0798" w:rsidP="000F0798">
      <w:pPr>
        <w:spacing w:after="0"/>
        <w:jc w:val="center"/>
        <w:rPr>
          <w:rFonts w:ascii="Times New Roman" w:hAnsi="Times New Roman" w:cs="Times New Roman"/>
          <w:b/>
          <w:bCs/>
          <w:sz w:val="30"/>
          <w:szCs w:val="30"/>
          <w:lang w:val="pt-BR"/>
        </w:rPr>
      </w:pPr>
      <w:r w:rsidRPr="00FA706C">
        <w:rPr>
          <w:rFonts w:ascii="Times New Roman" w:hAnsi="Times New Roman" w:cs="Times New Roman"/>
          <w:b/>
          <w:bCs/>
          <w:sz w:val="30"/>
          <w:szCs w:val="30"/>
          <w:lang w:val="pt-BR"/>
        </w:rPr>
        <w:t>PRESS RELEASE</w:t>
      </w:r>
    </w:p>
    <w:p w14:paraId="2FD8C5A4" w14:textId="50F67946" w:rsidR="004D1EA5" w:rsidRPr="00DC0CA9" w:rsidRDefault="00533CBD" w:rsidP="004D1EA5">
      <w:pPr>
        <w:spacing w:after="0" w:line="245" w:lineRule="auto"/>
        <w:jc w:val="center"/>
        <w:rPr>
          <w:rFonts w:ascii="Times New Roman" w:hAnsi="Times New Roman" w:cs="Times New Roman"/>
          <w:b/>
          <w:bCs/>
          <w:sz w:val="30"/>
          <w:szCs w:val="30"/>
          <w:lang w:val="pt-BR"/>
        </w:rPr>
      </w:pPr>
      <w:r w:rsidRPr="00533CBD">
        <w:rPr>
          <w:rFonts w:ascii="Times New Roman" w:hAnsi="Times New Roman" w:cs="Times New Roman"/>
          <w:b/>
          <w:bCs/>
          <w:sz w:val="30"/>
          <w:szCs w:val="30"/>
          <w:lang w:val="pt-BR"/>
        </w:rPr>
        <w:t xml:space="preserve">Socio-economic situation in the </w:t>
      </w:r>
      <w:r>
        <w:rPr>
          <w:rFonts w:ascii="Times New Roman" w:hAnsi="Times New Roman" w:cs="Times New Roman"/>
          <w:b/>
          <w:bCs/>
          <w:sz w:val="30"/>
          <w:szCs w:val="30"/>
          <w:lang w:val="pt-BR"/>
        </w:rPr>
        <w:t>fourth</w:t>
      </w:r>
      <w:r w:rsidRPr="00533CBD">
        <w:rPr>
          <w:rFonts w:ascii="Times New Roman" w:hAnsi="Times New Roman" w:cs="Times New Roman"/>
          <w:b/>
          <w:bCs/>
          <w:sz w:val="30"/>
          <w:szCs w:val="30"/>
          <w:lang w:val="pt-BR"/>
        </w:rPr>
        <w:t xml:space="preserve"> quarter and </w:t>
      </w:r>
      <w:r w:rsidR="00CB4542">
        <w:rPr>
          <w:rFonts w:ascii="Times New Roman" w:hAnsi="Times New Roman" w:cs="Times New Roman"/>
          <w:b/>
          <w:bCs/>
          <w:sz w:val="30"/>
          <w:szCs w:val="30"/>
          <w:lang w:val="pt-BR"/>
        </w:rPr>
        <w:t xml:space="preserve">the year </w:t>
      </w:r>
      <w:r w:rsidR="00F676B6" w:rsidRPr="00DC0CA9">
        <w:rPr>
          <w:rFonts w:ascii="Times New Roman" w:hAnsi="Times New Roman" w:cs="Times New Roman"/>
          <w:b/>
          <w:bCs/>
          <w:sz w:val="30"/>
          <w:szCs w:val="30"/>
          <w:lang w:val="pt-BR"/>
        </w:rPr>
        <w:t>20</w:t>
      </w:r>
      <w:r w:rsidR="00B43BE5" w:rsidRPr="00DC0CA9">
        <w:rPr>
          <w:rFonts w:ascii="Times New Roman" w:hAnsi="Times New Roman" w:cs="Times New Roman"/>
          <w:b/>
          <w:bCs/>
          <w:sz w:val="30"/>
          <w:szCs w:val="30"/>
          <w:lang w:val="pt-BR"/>
        </w:rPr>
        <w:t>2</w:t>
      </w:r>
      <w:r w:rsidR="00856D2E" w:rsidRPr="00DC0CA9">
        <w:rPr>
          <w:rFonts w:ascii="Times New Roman" w:hAnsi="Times New Roman" w:cs="Times New Roman"/>
          <w:b/>
          <w:bCs/>
          <w:sz w:val="30"/>
          <w:szCs w:val="30"/>
          <w:lang w:val="pt-BR"/>
        </w:rPr>
        <w:t>1</w:t>
      </w:r>
      <w:r w:rsidR="007D7987" w:rsidRPr="00DC0CA9">
        <w:rPr>
          <w:rStyle w:val="FootnoteReference"/>
          <w:rFonts w:ascii="Times New Roman" w:hAnsi="Times New Roman"/>
          <w:b/>
          <w:bCs/>
          <w:sz w:val="30"/>
          <w:szCs w:val="30"/>
          <w:lang w:val="pt-BR"/>
        </w:rPr>
        <w:footnoteReference w:id="1"/>
      </w:r>
    </w:p>
    <w:p w14:paraId="2A22E159" w14:textId="77777777" w:rsidR="004D1EA5" w:rsidRPr="00DC0CA9" w:rsidRDefault="00332170" w:rsidP="004D1EA5">
      <w:pPr>
        <w:spacing w:after="0" w:line="245" w:lineRule="auto"/>
        <w:jc w:val="center"/>
        <w:rPr>
          <w:rFonts w:ascii="Times New Roman" w:hAnsi="Times New Roman" w:cs="Times New Roman"/>
          <w:b/>
          <w:bCs/>
          <w:sz w:val="34"/>
          <w:szCs w:val="34"/>
          <w:lang w:val="pt-BR"/>
        </w:rPr>
      </w:pPr>
      <w:r w:rsidRPr="00DC0CA9">
        <w:rPr>
          <w:rFonts w:ascii="Times New Roman" w:hAnsi="Times New Roman" w:cs="Times New Roman"/>
          <w:b/>
          <w:bCs/>
          <w:noProof/>
          <w:sz w:val="28"/>
          <w:szCs w:val="28"/>
          <w:lang w:val="en-US"/>
        </w:rPr>
        <mc:AlternateContent>
          <mc:Choice Requires="wps">
            <w:drawing>
              <wp:anchor distT="0" distB="0" distL="114300" distR="114300" simplePos="0" relativeHeight="251660288" behindDoc="0" locked="0" layoutInCell="1" allowOverlap="1" wp14:anchorId="3EC139C4" wp14:editId="7E1975D6">
                <wp:simplePos x="0" y="0"/>
                <wp:positionH relativeFrom="column">
                  <wp:posOffset>2120265</wp:posOffset>
                </wp:positionH>
                <wp:positionV relativeFrom="paragraph">
                  <wp:posOffset>24765</wp:posOffset>
                </wp:positionV>
                <wp:extent cx="1552755" cy="0"/>
                <wp:effectExtent l="0" t="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1746FB" id="_x0000_t32" coordsize="21600,21600" o:spt="32" o:oned="t" path="m,l21600,21600e" filled="f">
                <v:path arrowok="t" fillok="f" o:connecttype="none"/>
                <o:lock v:ext="edit" shapetype="t"/>
              </v:shapetype>
              <v:shape id="AutoShape 4" o:spid="_x0000_s1026" type="#_x0000_t32" style="position:absolute;margin-left:166.95pt;margin-top:1.95pt;width:12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hf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"/>
            </w:pict>
          </mc:Fallback>
        </mc:AlternateContent>
      </w:r>
    </w:p>
    <w:p w14:paraId="172BD2B9" w14:textId="77777777" w:rsidR="00B67503" w:rsidRPr="00DC0CA9" w:rsidRDefault="00B67503" w:rsidP="00B67503">
      <w:pPr>
        <w:keepNext/>
        <w:spacing w:after="40" w:line="240" w:lineRule="auto"/>
        <w:ind w:firstLine="567"/>
        <w:jc w:val="both"/>
        <w:outlineLvl w:val="1"/>
        <w:rPr>
          <w:rFonts w:ascii="Times New Roman" w:hAnsi="Times New Roman" w:cs="Times New Roman"/>
          <w:b/>
          <w:bCs/>
          <w:sz w:val="16"/>
          <w:szCs w:val="28"/>
          <w:lang w:val="de-DE"/>
        </w:rPr>
      </w:pPr>
    </w:p>
    <w:p w14:paraId="1724D376" w14:textId="77777777" w:rsidR="009D7B60" w:rsidRPr="00B60654" w:rsidRDefault="009D7B60" w:rsidP="00FC4B08">
      <w:pPr>
        <w:tabs>
          <w:tab w:val="left" w:pos="8364"/>
        </w:tabs>
        <w:spacing w:after="0"/>
        <w:ind w:left="567" w:right="701"/>
        <w:jc w:val="center"/>
        <w:rPr>
          <w:rFonts w:ascii="Times New Roman" w:hAnsi="Times New Roman" w:cs="Times New Roman"/>
          <w:b/>
          <w:bCs/>
          <w:sz w:val="26"/>
          <w:szCs w:val="26"/>
          <w:lang w:val="pt-BR"/>
        </w:rPr>
      </w:pPr>
      <w:r w:rsidRPr="00B60654">
        <w:rPr>
          <w:rFonts w:ascii="Times New Roman" w:hAnsi="Times New Roman" w:cs="Times New Roman"/>
          <w:b/>
          <w:bCs/>
          <w:sz w:val="26"/>
          <w:szCs w:val="26"/>
          <w:lang w:val="pt-BR"/>
        </w:rPr>
        <w:t>INTERNATIONAL AND GLOBAL ECONOMIC CONTEXT</w:t>
      </w:r>
    </w:p>
    <w:p w14:paraId="1FF8922C" w14:textId="77777777" w:rsidR="001412EC" w:rsidRPr="00DC0CA9" w:rsidRDefault="001412EC" w:rsidP="002850E5">
      <w:pPr>
        <w:spacing w:after="40"/>
        <w:ind w:firstLine="567"/>
        <w:jc w:val="both"/>
        <w:rPr>
          <w:rFonts w:ascii="Times New Roman" w:hAnsi="Times New Roman" w:cs="Times New Roman"/>
          <w:spacing w:val="-2"/>
          <w:sz w:val="8"/>
          <w:szCs w:val="28"/>
        </w:rPr>
      </w:pPr>
    </w:p>
    <w:p w14:paraId="7BB12286" w14:textId="77777777" w:rsidR="0054341C" w:rsidRDefault="0054341C" w:rsidP="0054341C">
      <w:pPr>
        <w:spacing w:before="40" w:after="40" w:line="278" w:lineRule="auto"/>
        <w:ind w:firstLine="567"/>
        <w:jc w:val="both"/>
        <w:rPr>
          <w:rFonts w:ascii="Times New Roman" w:hAnsi="Times New Roman" w:cs="Times New Roman"/>
          <w:spacing w:val="-2"/>
          <w:sz w:val="28"/>
          <w:szCs w:val="28"/>
        </w:rPr>
      </w:pPr>
      <w:r w:rsidRPr="002069FD">
        <w:rPr>
          <w:rFonts w:ascii="Times New Roman" w:hAnsi="Times New Roman" w:cs="Times New Roman"/>
          <w:spacing w:val="-2"/>
          <w:sz w:val="28"/>
          <w:szCs w:val="28"/>
        </w:rPr>
        <w:t>The socio-economic situation of our country in 2021 took place in the context that the world economy tends to recover when the countries promote vaccination programs against Covid-19, but the emergence of new strains made the economic recovery slows down. The International Monetary Fund forecasted that the global economy would grow by 5.9% in 2021. The Organization for Economic Cooperation and Development, the European Union, and Fitch Ratings predicted global economic growth in 2021 reached 5.6%, 5.8%, and 5.7%, respectively</w:t>
      </w:r>
      <w:r w:rsidRPr="008A4ADE">
        <w:rPr>
          <w:rStyle w:val="FootnoteReference"/>
          <w:rFonts w:ascii="Times New Roman" w:hAnsi="Times New Roman"/>
          <w:spacing w:val="-2"/>
          <w:sz w:val="28"/>
          <w:szCs w:val="28"/>
        </w:rPr>
        <w:footnoteReference w:id="2"/>
      </w:r>
      <w:r w:rsidRPr="008A4ADE">
        <w:rPr>
          <w:rFonts w:ascii="Times New Roman" w:hAnsi="Times New Roman" w:cs="Times New Roman"/>
          <w:spacing w:val="-2"/>
          <w:sz w:val="28"/>
          <w:szCs w:val="28"/>
          <w:lang w:val="en-US"/>
        </w:rPr>
        <w:t xml:space="preserve">. </w:t>
      </w:r>
      <w:r w:rsidRPr="002069FD">
        <w:rPr>
          <w:rFonts w:ascii="Times New Roman" w:hAnsi="Times New Roman" w:cs="Times New Roman"/>
          <w:spacing w:val="-2"/>
          <w:sz w:val="28"/>
          <w:szCs w:val="28"/>
        </w:rPr>
        <w:t>The price of many commodities increased sharply compared to 2020. The inflation upward but overall, still controlled around the world. In addition, the pandemic has caused bottlenecks in the global value chain, causing the increase of raw materials price is a challenge for the production and business activities of countries.</w:t>
      </w:r>
    </w:p>
    <w:p w14:paraId="0902ADE1" w14:textId="77777777" w:rsidR="00876E93" w:rsidRDefault="00876E93" w:rsidP="00FA1162">
      <w:pPr>
        <w:spacing w:after="60" w:line="264" w:lineRule="auto"/>
        <w:ind w:firstLine="567"/>
        <w:jc w:val="both"/>
        <w:rPr>
          <w:rFonts w:ascii="Times New Roman" w:hAnsi="Times New Roman" w:cs="Times New Roman"/>
          <w:spacing w:val="-4"/>
          <w:sz w:val="28"/>
          <w:szCs w:val="28"/>
          <w:lang w:val="en-US"/>
        </w:rPr>
      </w:pPr>
      <w:r w:rsidRPr="000E2167">
        <w:rPr>
          <w:rFonts w:ascii="Times New Roman" w:hAnsi="Times New Roman" w:cs="Times New Roman"/>
          <w:spacing w:val="-4"/>
          <w:sz w:val="28"/>
          <w:szCs w:val="28"/>
          <w:lang w:val="en-US"/>
        </w:rPr>
        <w:t>Domestically, the wave of Covid-19 outbroke from the end of April with a new strain spreading rapidly and dangerously has complicated developments in many localities, especially in focus economic localities such as Hanoi, Bac Ninh, Bac Giang, Da Nang, Ho Chi Minh City, Binh Duong, Dong Nai, Long An, Can Tho, etc. It has seriously affected people's lives, safety, and socio-economic development</w:t>
      </w:r>
      <w:r>
        <w:rPr>
          <w:rFonts w:ascii="Times New Roman" w:hAnsi="Times New Roman" w:cs="Times New Roman"/>
          <w:spacing w:val="-4"/>
          <w:sz w:val="28"/>
          <w:szCs w:val="28"/>
          <w:lang w:val="en-US"/>
        </w:rPr>
        <w:t>.</w:t>
      </w:r>
    </w:p>
    <w:p w14:paraId="1342CD4B" w14:textId="77777777" w:rsidR="001D33B3" w:rsidRDefault="001D33B3" w:rsidP="001D33B3">
      <w:pPr>
        <w:ind w:firstLine="567"/>
        <w:jc w:val="both"/>
        <w:rPr>
          <w:rFonts w:ascii="Times New Roman" w:hAnsi="Times New Roman" w:cs="Times New Roman"/>
          <w:sz w:val="28"/>
          <w:szCs w:val="28"/>
          <w:lang w:val="de-DE"/>
        </w:rPr>
      </w:pPr>
      <w:r w:rsidRPr="0076363B">
        <w:rPr>
          <w:rFonts w:ascii="Times New Roman" w:hAnsi="Times New Roman" w:cs="Times New Roman"/>
          <w:sz w:val="28"/>
          <w:szCs w:val="28"/>
          <w:lang w:val="de-DE"/>
        </w:rPr>
        <w:t>In the face of that situation, under the unified leadership of both the political system and the direction and drastic management of the Government, the Prime Minister has issued timely decisions to prevent, combat epidemics, and develop the socio-economic situation. In particular, Resolution No. 128/NQ-CP dated October 11, 2021, promulgated temporary regulations "safe, flexible and effective control of Covid-19 epidemic", along with policies to ensure social security, the consensus, support, sharing, and active participation of the people, the business community, socio-economic activity in the fourth quarter and 2021 of our country have achieved many encouraging results. Specifically as follows:</w:t>
      </w:r>
    </w:p>
    <w:p w14:paraId="3807D655" w14:textId="77777777" w:rsidR="004D7BFE" w:rsidRPr="00FA706C" w:rsidRDefault="00571CD4" w:rsidP="004D7BFE">
      <w:pPr>
        <w:keepNext/>
        <w:spacing w:before="40" w:after="40"/>
        <w:ind w:firstLine="567"/>
        <w:jc w:val="both"/>
        <w:outlineLvl w:val="1"/>
        <w:rPr>
          <w:rFonts w:ascii="Times New Roman" w:hAnsi="Times New Roman" w:cs="Times New Roman"/>
          <w:b/>
          <w:bCs/>
          <w:sz w:val="28"/>
          <w:szCs w:val="28"/>
          <w:lang w:val="de-DE"/>
        </w:rPr>
      </w:pPr>
      <w:r w:rsidRPr="00DC0CA9">
        <w:rPr>
          <w:rFonts w:ascii="Times New Roman" w:hAnsi="Times New Roman" w:cs="Times New Roman"/>
          <w:b/>
          <w:bCs/>
          <w:sz w:val="28"/>
          <w:szCs w:val="28"/>
          <w:lang w:val="de-DE"/>
        </w:rPr>
        <w:lastRenderedPageBreak/>
        <w:t xml:space="preserve">I. </w:t>
      </w:r>
      <w:r w:rsidR="004D7BFE" w:rsidRPr="00FA706C">
        <w:rPr>
          <w:rFonts w:ascii="Times New Roman" w:hAnsi="Times New Roman" w:cs="Times New Roman"/>
          <w:b/>
          <w:bCs/>
          <w:sz w:val="28"/>
          <w:szCs w:val="28"/>
          <w:lang w:val="de-DE"/>
        </w:rPr>
        <w:t>ECONOMIC GROWTH</w:t>
      </w:r>
    </w:p>
    <w:p w14:paraId="38974BF6" w14:textId="77777777" w:rsidR="00A55B0F" w:rsidRDefault="00A55B0F" w:rsidP="00A55B0F">
      <w:pPr>
        <w:keepNext/>
        <w:spacing w:before="40" w:after="40" w:line="280" w:lineRule="auto"/>
        <w:ind w:firstLine="567"/>
        <w:jc w:val="both"/>
        <w:outlineLvl w:val="1"/>
        <w:rPr>
          <w:rFonts w:ascii="Times New Roman" w:hAnsi="Times New Roman" w:cs="Times New Roman"/>
          <w:b/>
          <w:i/>
          <w:sz w:val="28"/>
          <w:szCs w:val="28"/>
          <w:lang w:val="de-DE"/>
        </w:rPr>
      </w:pPr>
      <w:r>
        <w:rPr>
          <w:rFonts w:ascii="Times New Roman" w:hAnsi="Times New Roman" w:cs="Times New Roman"/>
          <w:b/>
          <w:i/>
          <w:sz w:val="28"/>
          <w:szCs w:val="28"/>
          <w:lang w:val="de-DE"/>
        </w:rPr>
        <w:t>1. Gross domestic product (GDP) in 2021 is estimated to increase by 2.58% over the same period last year due to the Covid-19 pandemic seriously affecting all sectors of the economy, especially in the third quarter of 2021, key economic localities have to implement prolonged social distancing to prevent pandemics, this is a great success of our country in disease prevention and maintenance of production and business.</w:t>
      </w:r>
    </w:p>
    <w:p w14:paraId="3762978C" w14:textId="77777777" w:rsidR="00054E88" w:rsidRDefault="00054E88" w:rsidP="00054E88">
      <w:pPr>
        <w:spacing w:before="40" w:after="40" w:line="283" w:lineRule="auto"/>
        <w:ind w:firstLine="567"/>
        <w:jc w:val="both"/>
        <w:rPr>
          <w:rFonts w:ascii="Times New Roman" w:hAnsi="Times New Roman" w:cs="Times New Roman"/>
          <w:sz w:val="28"/>
          <w:szCs w:val="28"/>
          <w:lang w:val="de-DE"/>
        </w:rPr>
      </w:pPr>
      <w:r w:rsidRPr="00834F25">
        <w:rPr>
          <w:rFonts w:ascii="Times New Roman" w:hAnsi="Times New Roman" w:cs="Times New Roman"/>
          <w:sz w:val="28"/>
          <w:szCs w:val="28"/>
          <w:lang w:val="de-DE"/>
        </w:rPr>
        <w:t>Gross domestic product (GDP) in the fourth quarter of 2021 was estimated to increase by 5.22% over the same period last year, although higher than the growth rate of 4.61% in 2020 but lower than the growth rate of the fourth quarter over the same previous of years in 2011-2019. Of which: the agriculture, forestry, and fishery sector increased by 3.16%; the industry and construction sector by 5.61%; the service sector by 5.42%. Regarding the GDP in use method in the fourth quarter of 2021, final consumption increased by 3.86% over the same period last year; accumulated assets increased by 3.37%; exports of goods and services increased by 14.28%; imports of goods and services increased by 11.36%.</w:t>
      </w:r>
    </w:p>
    <w:p w14:paraId="675DC9BA" w14:textId="77777777" w:rsidR="00056670" w:rsidRPr="00444A25" w:rsidRDefault="00056670" w:rsidP="00056670">
      <w:pPr>
        <w:spacing w:before="40" w:after="40" w:line="283" w:lineRule="auto"/>
        <w:ind w:firstLine="567"/>
        <w:jc w:val="both"/>
        <w:rPr>
          <w:rFonts w:ascii="Times New Roman" w:hAnsi="Times New Roman" w:cs="Times New Roman"/>
          <w:spacing w:val="-2"/>
          <w:sz w:val="28"/>
          <w:szCs w:val="28"/>
          <w:lang w:val="de-DE"/>
        </w:rPr>
      </w:pPr>
      <w:r w:rsidRPr="00967453">
        <w:rPr>
          <w:rFonts w:ascii="Times New Roman" w:hAnsi="Times New Roman" w:cs="Times New Roman"/>
          <w:spacing w:val="-2"/>
          <w:sz w:val="28"/>
          <w:szCs w:val="28"/>
          <w:lang w:val="de-DE"/>
        </w:rPr>
        <w:t>GDP in 2021 was estimated to increase by 2.58% (the first quarter increased by 4.72%; the second quarter by 6.73%; the third quarter by 6.02%; the fourth quarter by 5.22%) over the previous year due to the Covid-19 seriously affected all areas of the economy, especially in the third quarter of 2021, many focused economic localities had to implement prolonged social distancing to prevent the Covid-19 epidemic. In the general growth rate of the whole economy, the agriculture, forestry, and fishery sector increased by 2.9%, contributing 13.97% to the growth rate of total value added of the economy; the industry and construction sector increased by 4.05%, contributing 63.80%; the service sector up 1.22%, contributing 22.23%.</w:t>
      </w:r>
    </w:p>
    <w:p w14:paraId="065DE9F9" w14:textId="77777777" w:rsidR="00E07A80" w:rsidRDefault="00E07A80" w:rsidP="00E07A80">
      <w:pPr>
        <w:tabs>
          <w:tab w:val="left" w:pos="720"/>
        </w:tabs>
        <w:spacing w:before="40" w:after="40" w:line="264" w:lineRule="auto"/>
        <w:ind w:firstLine="567"/>
        <w:jc w:val="both"/>
        <w:rPr>
          <w:rFonts w:ascii="Times New Roman" w:hAnsi="Times New Roman" w:cs="Times New Roman"/>
          <w:sz w:val="28"/>
          <w:szCs w:val="28"/>
          <w:shd w:val="clear" w:color="auto" w:fill="FFFFFF"/>
          <w:lang w:val="de-DE"/>
        </w:rPr>
      </w:pPr>
      <w:r w:rsidRPr="00CF5B4D">
        <w:rPr>
          <w:rFonts w:ascii="Times New Roman" w:hAnsi="Times New Roman" w:cs="Times New Roman"/>
          <w:sz w:val="28"/>
          <w:szCs w:val="28"/>
          <w:shd w:val="clear" w:color="auto" w:fill="FFFFFF"/>
          <w:lang w:val="de-DE"/>
        </w:rPr>
        <w:t>In the field of Agriculture, forestry, and fishery, the productivity of most crops was quite good compared to the previous year, livestock has grown steadily, and the export turnover of some agricultural products increased in 2021, contributing to maintaining the growth rate of the field. The Agricultural sector increased by 3.18%, contributing 0.29 percentage points to the growth rate of the total added value of the economy; the forestry sector up 3.88%, contributing 0.02 percentage points; the fisheries sector increased by 1.73%, contributing 0.05 percentage points.</w:t>
      </w:r>
    </w:p>
    <w:p w14:paraId="48CF62E7" w14:textId="77777777" w:rsidR="00D87192" w:rsidRDefault="00D87192" w:rsidP="00D87192">
      <w:pPr>
        <w:tabs>
          <w:tab w:val="left" w:pos="720"/>
        </w:tabs>
        <w:spacing w:before="40" w:after="40" w:line="264" w:lineRule="auto"/>
        <w:ind w:firstLine="567"/>
        <w:jc w:val="both"/>
        <w:rPr>
          <w:rFonts w:ascii="Times New Roman" w:hAnsi="Times New Roman" w:cs="Times New Roman"/>
          <w:sz w:val="28"/>
          <w:szCs w:val="28"/>
          <w:lang w:val="de-DE"/>
        </w:rPr>
      </w:pPr>
      <w:r w:rsidRPr="00E914FF">
        <w:rPr>
          <w:rFonts w:ascii="Times New Roman" w:hAnsi="Times New Roman" w:cs="Times New Roman"/>
          <w:sz w:val="28"/>
          <w:szCs w:val="28"/>
          <w:lang w:val="de-DE"/>
        </w:rPr>
        <w:t xml:space="preserve">In the industry and construction field, the processing and manufacturing sectors continued to be the economic engine with a growth rate of 6.37%, contributing 1.61 percentage points to the growth rate of total value added of the economy. The electricity production and distribution industry increased by 5.24%, contributing 0.19 percentage points. The mining industry decreased by </w:t>
      </w:r>
      <w:r w:rsidRPr="00E914FF">
        <w:rPr>
          <w:rFonts w:ascii="Times New Roman" w:hAnsi="Times New Roman" w:cs="Times New Roman"/>
          <w:sz w:val="28"/>
          <w:szCs w:val="28"/>
          <w:lang w:val="de-DE"/>
        </w:rPr>
        <w:lastRenderedPageBreak/>
        <w:t>6.21%, down 0.23 percentage points due to the 5.7% decrease in crude oil production and 19.4% decrease in gaseous natural gas. The construction industry increased by 0.63%, contributing 0.05 percentage points.</w:t>
      </w:r>
    </w:p>
    <w:p w14:paraId="4F093486" w14:textId="77777777" w:rsidR="003E68AB" w:rsidRDefault="003E68AB" w:rsidP="003E68AB">
      <w:pPr>
        <w:tabs>
          <w:tab w:val="left" w:pos="720"/>
        </w:tabs>
        <w:spacing w:before="40" w:after="40" w:line="264" w:lineRule="auto"/>
        <w:ind w:firstLine="567"/>
        <w:jc w:val="both"/>
        <w:rPr>
          <w:rFonts w:ascii="Times New Roman" w:hAnsi="Times New Roman" w:cs="Times New Roman"/>
          <w:spacing w:val="-4"/>
          <w:sz w:val="28"/>
          <w:szCs w:val="28"/>
          <w:shd w:val="clear" w:color="auto" w:fill="FFFFFF"/>
          <w:lang w:val="de-DE"/>
        </w:rPr>
      </w:pPr>
      <w:r w:rsidRPr="00F76BDE">
        <w:rPr>
          <w:rFonts w:ascii="Times New Roman" w:hAnsi="Times New Roman" w:cs="Times New Roman"/>
          <w:spacing w:val="-4"/>
          <w:sz w:val="28"/>
          <w:szCs w:val="28"/>
          <w:shd w:val="clear" w:color="auto" w:fill="FFFFFF"/>
          <w:lang w:val="de-DE"/>
        </w:rPr>
        <w:t>The complicated development of the Covid-19 epidemic since the end of April has seriously affected commercial and service activities. The negative growth of some service industries accounted for a large proportion, reducing the overall growth rate of the service sector and the whole economy. The wholesale and retail industry decreased by 0.21% over the previous year, reducing 0.02 percentage points in the growth rate of the total added value of the whole economy; the transportation and warehousing industry decreased by 5.02%, decreasing by 0.3 percentage points; the accommodation and foodservice industry dropped sharply by 20.81%, down 0.51 percentage points. The health sector and social assistance activities achieved the highest growth rate in the service sector with an increase of 42.75%, contributing 0.55 percentage points; financial, banking, and insurance activities increased by 9.42%, contributing 0.52 percentage points; information and communication industry increased by 5.97%, contributing 0.36 percentage points.</w:t>
      </w:r>
    </w:p>
    <w:p w14:paraId="3B978F5E" w14:textId="77777777" w:rsidR="00837590" w:rsidRPr="002E1476" w:rsidRDefault="00837590" w:rsidP="00837590">
      <w:pPr>
        <w:tabs>
          <w:tab w:val="left" w:pos="720"/>
        </w:tabs>
        <w:spacing w:before="40" w:after="40" w:line="264" w:lineRule="auto"/>
        <w:ind w:firstLine="567"/>
        <w:jc w:val="both"/>
        <w:rPr>
          <w:rFonts w:ascii="Times New Roman" w:hAnsi="Times New Roman" w:cs="Times New Roman"/>
          <w:spacing w:val="-2"/>
          <w:sz w:val="28"/>
          <w:szCs w:val="28"/>
          <w:shd w:val="clear" w:color="auto" w:fill="FFFFFF"/>
          <w:lang w:val="de-DE"/>
        </w:rPr>
      </w:pPr>
      <w:r w:rsidRPr="002E1476">
        <w:rPr>
          <w:rFonts w:ascii="Times New Roman" w:hAnsi="Times New Roman" w:cs="Times New Roman"/>
          <w:spacing w:val="-2"/>
          <w:sz w:val="28"/>
          <w:szCs w:val="28"/>
          <w:shd w:val="clear" w:color="auto" w:fill="FFFFFF"/>
          <w:lang w:val="de-DE"/>
        </w:rPr>
        <w:t>Regarding the economic structure in 2021, the agriculture, forestry, and fishery sector account for 12.36%; industry and construction accounted for 37.86%; service sector accounted for 40.95%; product tax minus product subsidies accounted for 8.83%.</w:t>
      </w:r>
    </w:p>
    <w:p w14:paraId="4063D520" w14:textId="77777777" w:rsidR="00837590" w:rsidRPr="002E1476" w:rsidRDefault="00837590" w:rsidP="00837590">
      <w:pPr>
        <w:tabs>
          <w:tab w:val="left" w:pos="720"/>
        </w:tabs>
        <w:spacing w:before="40" w:after="40" w:line="264" w:lineRule="auto"/>
        <w:ind w:firstLine="567"/>
        <w:jc w:val="both"/>
        <w:rPr>
          <w:rFonts w:ascii="Times New Roman" w:hAnsi="Times New Roman" w:cs="Times New Roman"/>
          <w:spacing w:val="-2"/>
          <w:sz w:val="28"/>
          <w:szCs w:val="28"/>
          <w:shd w:val="clear" w:color="auto" w:fill="FFFFFF"/>
          <w:lang w:val="de-DE"/>
        </w:rPr>
      </w:pPr>
      <w:r w:rsidRPr="002E1476">
        <w:rPr>
          <w:rFonts w:ascii="Times New Roman" w:hAnsi="Times New Roman" w:cs="Times New Roman"/>
          <w:spacing w:val="-2"/>
          <w:sz w:val="28"/>
          <w:szCs w:val="28"/>
          <w:shd w:val="clear" w:color="auto" w:fill="FFFFFF"/>
          <w:lang w:val="de-DE"/>
        </w:rPr>
        <w:t>Regarding GDP use in 2021, final consumption increased by 2.09% compared to 2020; accumulated assets increased by 3.96%; exports of goods and services increased by 14.01%; imports of goods and services increased by 16.16%.</w:t>
      </w:r>
    </w:p>
    <w:p w14:paraId="23A850A2" w14:textId="77777777" w:rsidR="009D6C86" w:rsidRDefault="009D6C86" w:rsidP="009D6C86">
      <w:pPr>
        <w:tabs>
          <w:tab w:val="left" w:pos="720"/>
        </w:tabs>
        <w:spacing w:before="40" w:after="40" w:line="264" w:lineRule="auto"/>
        <w:ind w:firstLine="567"/>
        <w:jc w:val="both"/>
        <w:rPr>
          <w:rFonts w:ascii="Times New Roman" w:hAnsi="Times New Roman" w:cs="Times New Roman"/>
          <w:spacing w:val="-2"/>
          <w:sz w:val="28"/>
          <w:szCs w:val="28"/>
          <w:shd w:val="clear" w:color="auto" w:fill="FFFFFF"/>
          <w:lang w:val="de-DE"/>
        </w:rPr>
      </w:pPr>
      <w:r w:rsidRPr="002E1476">
        <w:rPr>
          <w:rFonts w:ascii="Times New Roman" w:hAnsi="Times New Roman" w:cs="Times New Roman"/>
          <w:spacing w:val="-2"/>
          <w:sz w:val="28"/>
          <w:szCs w:val="28"/>
          <w:shd w:val="clear" w:color="auto" w:fill="FFFFFF"/>
          <w:lang w:val="de-DE"/>
        </w:rPr>
        <w:t>Labor productivity of the whole economy at current prices in 2021 is estimated at 171.3 million VND/employee (equivalent to 7,398 USD/employee, an increase of 538 USD compared to 2020). At constant prices, labor productivity in 2021 increase</w:t>
      </w:r>
      <w:r>
        <w:rPr>
          <w:rFonts w:ascii="Times New Roman" w:hAnsi="Times New Roman" w:cs="Times New Roman"/>
          <w:spacing w:val="-2"/>
          <w:sz w:val="28"/>
          <w:szCs w:val="28"/>
          <w:shd w:val="clear" w:color="auto" w:fill="FFFFFF"/>
          <w:lang w:val="de-DE"/>
        </w:rPr>
        <w:t>d</w:t>
      </w:r>
      <w:r w:rsidRPr="002E1476">
        <w:rPr>
          <w:rFonts w:ascii="Times New Roman" w:hAnsi="Times New Roman" w:cs="Times New Roman"/>
          <w:spacing w:val="-2"/>
          <w:sz w:val="28"/>
          <w:szCs w:val="28"/>
          <w:shd w:val="clear" w:color="auto" w:fill="FFFFFF"/>
          <w:lang w:val="de-DE"/>
        </w:rPr>
        <w:t xml:space="preserve"> by 4.71% due to improved qualifications of workers (the proportion of trained workers with degrees and certificates in 2021 reach</w:t>
      </w:r>
      <w:r>
        <w:rPr>
          <w:rFonts w:ascii="Times New Roman" w:hAnsi="Times New Roman" w:cs="Times New Roman"/>
          <w:spacing w:val="-2"/>
          <w:sz w:val="28"/>
          <w:szCs w:val="28"/>
          <w:shd w:val="clear" w:color="auto" w:fill="FFFFFF"/>
          <w:lang w:val="de-DE"/>
        </w:rPr>
        <w:t>ed</w:t>
      </w:r>
      <w:r w:rsidRPr="002E1476">
        <w:rPr>
          <w:rFonts w:ascii="Times New Roman" w:hAnsi="Times New Roman" w:cs="Times New Roman"/>
          <w:spacing w:val="-2"/>
          <w:sz w:val="28"/>
          <w:szCs w:val="28"/>
          <w:shd w:val="clear" w:color="auto" w:fill="FFFFFF"/>
          <w:lang w:val="de-DE"/>
        </w:rPr>
        <w:t xml:space="preserve"> 26.1%, higher than the 25.3% of 2020).</w:t>
      </w:r>
    </w:p>
    <w:p w14:paraId="7C5B6302" w14:textId="4A243552" w:rsidR="006D20E9" w:rsidRPr="00DC0CA9" w:rsidRDefault="005D224D" w:rsidP="00FA1162">
      <w:pPr>
        <w:spacing w:after="120" w:line="264" w:lineRule="auto"/>
        <w:ind w:firstLine="567"/>
        <w:jc w:val="both"/>
        <w:rPr>
          <w:rStyle w:val="normalchar"/>
          <w:rFonts w:ascii="Times New Roman" w:hAnsi="Times New Roman"/>
          <w:b/>
          <w:i/>
          <w:spacing w:val="-2"/>
          <w:sz w:val="28"/>
          <w:szCs w:val="28"/>
          <w:lang w:val="fr-FR"/>
        </w:rPr>
      </w:pPr>
      <w:r w:rsidRPr="00DC0CA9">
        <w:rPr>
          <w:rFonts w:ascii="Times New Roman" w:hAnsi="Times New Roman" w:cs="Times New Roman"/>
          <w:b/>
          <w:i/>
          <w:sz w:val="28"/>
          <w:szCs w:val="28"/>
          <w:lang w:val="fr-FR"/>
        </w:rPr>
        <w:t xml:space="preserve">2. </w:t>
      </w:r>
      <w:r w:rsidR="007C15EC" w:rsidRPr="007C15EC">
        <w:rPr>
          <w:rFonts w:ascii="Times New Roman" w:hAnsi="Times New Roman" w:cs="Times New Roman"/>
          <w:b/>
          <w:i/>
          <w:spacing w:val="-2"/>
          <w:sz w:val="28"/>
          <w:szCs w:val="28"/>
          <w:lang w:val="fr-FR"/>
        </w:rPr>
        <w:t xml:space="preserve">The agriculture, forestry, and fishery sector in 2020 took place in relatively favorable weather conditions for crops and livestock to grow and develop. However, due to the complicated development of the Covid-19 pandemic, especially in the third quarter, many localities have implemented social distancing, affecting the supply chain of production - processing - consumption of agricultural, forestry, and fishery products. In a situation where both advantages and disadvantages were intertwined, the Agriculture sector has had many timely response solutions, together with the effective implementation of the Government's Resolution No.128/NQ-CP to stabilize and develop production, reaching a high growth rate. The performance results of the agricultural sector in 2021 have demonstrated the role of the pedestal of the economy, ensuring the </w:t>
      </w:r>
      <w:r w:rsidR="007C15EC" w:rsidRPr="007C15EC">
        <w:rPr>
          <w:rFonts w:ascii="Times New Roman" w:hAnsi="Times New Roman" w:cs="Times New Roman"/>
          <w:b/>
          <w:i/>
          <w:spacing w:val="-2"/>
          <w:sz w:val="28"/>
          <w:szCs w:val="28"/>
          <w:lang w:val="fr-FR"/>
        </w:rPr>
        <w:lastRenderedPageBreak/>
        <w:t>supply of food and essential goods, to be the important base to implement welfare and security during the pandemic.</w:t>
      </w:r>
    </w:p>
    <w:p w14:paraId="177072AC" w14:textId="4482CA31" w:rsidR="005D224D" w:rsidRPr="00DC0CA9" w:rsidRDefault="005D224D" w:rsidP="00FA1162">
      <w:pPr>
        <w:spacing w:after="120" w:line="264" w:lineRule="auto"/>
        <w:ind w:firstLine="567"/>
        <w:jc w:val="both"/>
        <w:rPr>
          <w:rFonts w:ascii="Times New Roman" w:hAnsi="Times New Roman" w:cs="Times New Roman"/>
          <w:b/>
          <w:bCs/>
          <w:i/>
          <w:iCs/>
          <w:sz w:val="28"/>
          <w:szCs w:val="28"/>
          <w:lang w:val="de-DE"/>
        </w:rPr>
      </w:pPr>
      <w:r w:rsidRPr="00DC0CA9">
        <w:rPr>
          <w:rFonts w:ascii="Times New Roman" w:hAnsi="Times New Roman" w:cs="Times New Roman"/>
          <w:b/>
          <w:bCs/>
          <w:i/>
          <w:iCs/>
          <w:sz w:val="28"/>
          <w:szCs w:val="28"/>
          <w:lang w:val="de-DE"/>
        </w:rPr>
        <w:t xml:space="preserve">a) </w:t>
      </w:r>
      <w:r w:rsidR="002F0938" w:rsidRPr="006D7720">
        <w:rPr>
          <w:rFonts w:ascii="Times New Roman" w:hAnsi="Times New Roman" w:cs="Times New Roman"/>
          <w:b/>
          <w:bCs/>
          <w:i/>
          <w:iCs/>
          <w:sz w:val="28"/>
          <w:szCs w:val="28"/>
        </w:rPr>
        <w:t>Agriculture</w:t>
      </w:r>
    </w:p>
    <w:p w14:paraId="0AB75A03" w14:textId="77777777" w:rsidR="004B21AF" w:rsidRDefault="004B21AF" w:rsidP="004B21AF">
      <w:pPr>
        <w:pStyle w:val="Normal10"/>
        <w:spacing w:before="40" w:beforeAutospacing="0" w:after="40" w:afterAutospacing="0" w:line="274" w:lineRule="auto"/>
        <w:ind w:firstLine="567"/>
        <w:jc w:val="both"/>
        <w:rPr>
          <w:rFonts w:ascii="Times New Roman" w:hAnsi="Times New Roman" w:cs="Times New Roman"/>
          <w:sz w:val="28"/>
          <w:szCs w:val="28"/>
          <w:lang w:val="de-DE"/>
        </w:rPr>
      </w:pPr>
      <w:r w:rsidRPr="001429D8">
        <w:rPr>
          <w:rFonts w:ascii="Times New Roman" w:hAnsi="Times New Roman" w:cs="Times New Roman"/>
          <w:sz w:val="28"/>
          <w:szCs w:val="28"/>
          <w:lang w:val="de-DE"/>
        </w:rPr>
        <w:t>Rice area in 2021 estimated at 7.24 million hectares, a decrease of 38.3 thousand hectares over the previous year due to the conversion of production structure and land use purposes; rice yield was 60.6 quintal/ha, rose by 1.8 quintals/ha; rice production was estimated at 43.88 million tons, increasing by 1.1 mill. tons.</w:t>
      </w:r>
    </w:p>
    <w:p w14:paraId="06835378" w14:textId="16123CAF" w:rsidR="006D20E9" w:rsidRPr="00DC0CA9" w:rsidRDefault="0020531B" w:rsidP="00FA1162">
      <w:pPr>
        <w:spacing w:after="120" w:line="264" w:lineRule="auto"/>
        <w:ind w:firstLine="567"/>
        <w:jc w:val="both"/>
        <w:rPr>
          <w:rFonts w:ascii="Times New Roman" w:hAnsi="Times New Roman" w:cs="Times New Roman"/>
          <w:spacing w:val="-2"/>
          <w:sz w:val="28"/>
          <w:szCs w:val="28"/>
          <w:lang w:val="de-DE"/>
        </w:rPr>
      </w:pPr>
      <w:r w:rsidRPr="00F54DEA">
        <w:rPr>
          <w:rFonts w:ascii="Times New Roman" w:hAnsi="Times New Roman" w:cs="Times New Roman"/>
          <w:color w:val="000000"/>
          <w:spacing w:val="-2"/>
          <w:sz w:val="28"/>
          <w:szCs w:val="28"/>
          <w:lang w:val="de-DE"/>
        </w:rPr>
        <w:t>The production result of the country’s spring crop this year was quite good, although the cultivated area reached 3,006.8 thousand hectares, a decrease of 17.2 thousand hectares compared to the spring crop in 2020, the yield was high with 68.6 quintals/ha, an increase of 2.9 quintals/ha</w:t>
      </w:r>
      <w:r w:rsidR="006D20E9" w:rsidRPr="00DC0CA9">
        <w:rPr>
          <w:rFonts w:ascii="Times New Roman" w:hAnsi="Times New Roman" w:cs="Times New Roman"/>
          <w:spacing w:val="-2"/>
          <w:sz w:val="28"/>
          <w:szCs w:val="28"/>
          <w:lang w:val="de-DE"/>
        </w:rPr>
        <w:t>;</w:t>
      </w:r>
      <w:r w:rsidR="00CF6F39" w:rsidRPr="00CF6F39">
        <w:rPr>
          <w:rFonts w:ascii="Times New Roman" w:hAnsi="Times New Roman" w:cs="Times New Roman"/>
          <w:color w:val="000000"/>
          <w:spacing w:val="-2"/>
          <w:sz w:val="28"/>
          <w:szCs w:val="28"/>
          <w:lang w:val="de-DE"/>
        </w:rPr>
        <w:t xml:space="preserve"> </w:t>
      </w:r>
      <w:r w:rsidR="00CF6F39">
        <w:rPr>
          <w:rFonts w:ascii="Times New Roman" w:hAnsi="Times New Roman" w:cs="Times New Roman"/>
          <w:color w:val="000000"/>
          <w:spacing w:val="-2"/>
          <w:sz w:val="28"/>
          <w:szCs w:val="28"/>
          <w:lang w:val="de-DE"/>
        </w:rPr>
        <w:t>s</w:t>
      </w:r>
      <w:r w:rsidR="00CF6F39" w:rsidRPr="00F54DEA">
        <w:rPr>
          <w:rFonts w:ascii="Times New Roman" w:hAnsi="Times New Roman" w:cs="Times New Roman"/>
          <w:color w:val="000000"/>
          <w:spacing w:val="-2"/>
          <w:sz w:val="28"/>
          <w:szCs w:val="28"/>
          <w:lang w:val="de-DE"/>
        </w:rPr>
        <w:t>pring rice production reached 20.63 million tons, an increase of 755.1 thousand tons compared to the previous year's spring crop.</w:t>
      </w:r>
    </w:p>
    <w:p w14:paraId="65C7EB97" w14:textId="77777777" w:rsidR="00DC2629" w:rsidRDefault="00DC2629" w:rsidP="00FA1162">
      <w:pPr>
        <w:tabs>
          <w:tab w:val="left" w:pos="0"/>
        </w:tabs>
        <w:spacing w:after="100" w:line="264" w:lineRule="auto"/>
        <w:ind w:firstLine="567"/>
        <w:jc w:val="both"/>
        <w:rPr>
          <w:rFonts w:ascii="Times New Roman" w:hAnsi="Times New Roman" w:cs="Times New Roman"/>
          <w:spacing w:val="-4"/>
          <w:sz w:val="28"/>
          <w:szCs w:val="28"/>
          <w:lang w:val="de-DE"/>
        </w:rPr>
      </w:pPr>
      <w:r w:rsidRPr="00D60597">
        <w:rPr>
          <w:rFonts w:ascii="Times New Roman" w:hAnsi="Times New Roman" w:cs="Times New Roman"/>
          <w:spacing w:val="-4"/>
          <w:sz w:val="28"/>
          <w:szCs w:val="28"/>
          <w:lang w:val="de-DE"/>
        </w:rPr>
        <w:t>The planted area of autumn paddy nationwide this year reached 1,954.2 thousand hectares, an increase of 9.1 thousand hectares compared to the autumn crop in 2020; yield reached 57 quintals/ha, an increase of 1.7 quintals/ha; production reached 11.14 million tons, rose 389.1 thousand tons.</w:t>
      </w:r>
    </w:p>
    <w:p w14:paraId="08971A5D" w14:textId="3009B368" w:rsidR="006D20E9" w:rsidRPr="00DC0CA9" w:rsidRDefault="00D15BB4" w:rsidP="00A22AA7">
      <w:pPr>
        <w:tabs>
          <w:tab w:val="left" w:pos="0"/>
        </w:tabs>
        <w:spacing w:before="40" w:after="40" w:line="274" w:lineRule="auto"/>
        <w:ind w:right="6" w:firstLine="567"/>
        <w:jc w:val="both"/>
        <w:rPr>
          <w:rFonts w:ascii="Times New Roman" w:hAnsi="Times New Roman" w:cs="Times New Roman"/>
          <w:spacing w:val="-2"/>
          <w:sz w:val="28"/>
          <w:szCs w:val="28"/>
          <w:lang w:val="de-DE"/>
        </w:rPr>
      </w:pPr>
      <w:r w:rsidRPr="00335597">
        <w:rPr>
          <w:rFonts w:ascii="Times New Roman" w:hAnsi="Times New Roman" w:cs="Times New Roman"/>
          <w:spacing w:val="-2"/>
          <w:sz w:val="28"/>
          <w:szCs w:val="28"/>
          <w:lang w:val="de-DE"/>
        </w:rPr>
        <w:t>The planted area of autumn-winter paddy in 2021 was estimated at 719.7 thousand hectares, a decrease of 4.3 thousand hectares compared to the previous year's autumn-winter crop</w:t>
      </w:r>
      <w:r w:rsidR="00E623D5" w:rsidRPr="00DC0CA9">
        <w:rPr>
          <w:rFonts w:ascii="Times New Roman" w:hAnsi="Times New Roman" w:cs="Times New Roman"/>
          <w:spacing w:val="-2"/>
          <w:sz w:val="28"/>
          <w:szCs w:val="28"/>
          <w:lang w:val="de-DE"/>
        </w:rPr>
        <w:t xml:space="preserve">; </w:t>
      </w:r>
      <w:r w:rsidR="00B96ECE">
        <w:rPr>
          <w:rFonts w:ascii="Times New Roman" w:hAnsi="Times New Roman" w:cs="Times New Roman"/>
          <w:spacing w:val="-2"/>
          <w:sz w:val="28"/>
          <w:szCs w:val="28"/>
          <w:lang w:val="de-DE"/>
        </w:rPr>
        <w:t>t</w:t>
      </w:r>
      <w:r w:rsidR="00B96ECE" w:rsidRPr="00335597">
        <w:rPr>
          <w:rFonts w:ascii="Times New Roman" w:hAnsi="Times New Roman" w:cs="Times New Roman"/>
          <w:spacing w:val="-2"/>
          <w:sz w:val="28"/>
          <w:szCs w:val="28"/>
          <w:lang w:val="de-DE"/>
        </w:rPr>
        <w:t>he yield of the whole crop was estimated at 56.1 quintals/ha, an increase of 0.5 quintals/ha compared to the autumn-winter crop in 2020; production of 4.04 million tons, up to 9.4 thousand tons.</w:t>
      </w:r>
      <w:r w:rsidR="006D20E9" w:rsidRPr="00DC0CA9">
        <w:rPr>
          <w:rFonts w:ascii="Times New Roman" w:hAnsi="Times New Roman" w:cs="Times New Roman"/>
          <w:spacing w:val="-2"/>
          <w:sz w:val="28"/>
          <w:szCs w:val="28"/>
          <w:lang w:val="de-DE"/>
        </w:rPr>
        <w:t xml:space="preserve"> </w:t>
      </w:r>
    </w:p>
    <w:p w14:paraId="3E459E50" w14:textId="53C7DD2E" w:rsidR="00E623D5" w:rsidRPr="00B26FFA" w:rsidRDefault="005A35E2" w:rsidP="00FA1162">
      <w:pPr>
        <w:spacing w:after="120"/>
        <w:ind w:firstLine="567"/>
        <w:jc w:val="both"/>
        <w:rPr>
          <w:rFonts w:ascii="Times New Roman" w:hAnsi="Times New Roman" w:cs="Times New Roman"/>
          <w:sz w:val="28"/>
          <w:szCs w:val="28"/>
          <w:lang w:val="vi-VN"/>
        </w:rPr>
      </w:pPr>
      <w:r w:rsidRPr="00930735">
        <w:rPr>
          <w:rFonts w:ascii="Times New Roman" w:hAnsi="Times New Roman" w:cs="Times New Roman"/>
          <w:spacing w:val="-2"/>
          <w:sz w:val="28"/>
          <w:szCs w:val="28"/>
          <w:lang w:val="de-DE"/>
        </w:rPr>
        <w:t>This year's winter paddy crop, the whole country cultivated 1,559.7 thousand hectares, a decrease of 26.1 thousand hectares compared to the previous year</w:t>
      </w:r>
      <w:r w:rsidR="00E623D5" w:rsidRPr="00DC0CA9">
        <w:rPr>
          <w:rFonts w:ascii="Times New Roman" w:hAnsi="Times New Roman" w:cs="Times New Roman"/>
          <w:sz w:val="28"/>
          <w:szCs w:val="28"/>
          <w:lang w:val="de-DE"/>
        </w:rPr>
        <w:t xml:space="preserve">; </w:t>
      </w:r>
      <w:r w:rsidR="00FE1B2E" w:rsidRPr="00930735">
        <w:rPr>
          <w:rFonts w:ascii="Times New Roman" w:hAnsi="Times New Roman" w:cs="Times New Roman"/>
          <w:spacing w:val="-2"/>
          <w:sz w:val="28"/>
          <w:szCs w:val="28"/>
          <w:lang w:val="de-DE"/>
        </w:rPr>
        <w:t>this year's winter paddy yield estimated at 51.7 quintals/ha, an increase of 0.6 quintals/ha</w:t>
      </w:r>
      <w:r w:rsidR="00E623D5" w:rsidRPr="00DC0CA9">
        <w:rPr>
          <w:rFonts w:ascii="Times New Roman" w:hAnsi="Times New Roman" w:cs="Times New Roman"/>
          <w:sz w:val="28"/>
          <w:szCs w:val="28"/>
          <w:lang w:val="de-DE"/>
        </w:rPr>
        <w:t xml:space="preserve">; </w:t>
      </w:r>
      <w:r w:rsidR="00B26FFA" w:rsidRPr="00930735">
        <w:rPr>
          <w:rFonts w:ascii="Times New Roman" w:hAnsi="Times New Roman" w:cs="Times New Roman"/>
          <w:spacing w:val="-2"/>
          <w:sz w:val="28"/>
          <w:szCs w:val="28"/>
          <w:lang w:val="de-DE"/>
        </w:rPr>
        <w:t xml:space="preserve">the total production of the whole crop was estimated at 8.07 million tons, down by 36.2 thousand tons compared to the previous year's </w:t>
      </w:r>
      <w:r w:rsidR="00B26FFA">
        <w:rPr>
          <w:rFonts w:ascii="Times New Roman" w:hAnsi="Times New Roman" w:cs="Times New Roman"/>
          <w:spacing w:val="-2"/>
          <w:sz w:val="28"/>
          <w:szCs w:val="28"/>
          <w:lang w:val="de-DE"/>
        </w:rPr>
        <w:t>crop</w:t>
      </w:r>
      <w:r w:rsidR="00B26FFA">
        <w:rPr>
          <w:rFonts w:ascii="Times New Roman" w:hAnsi="Times New Roman" w:cs="Times New Roman"/>
          <w:spacing w:val="-2"/>
          <w:sz w:val="28"/>
          <w:szCs w:val="28"/>
          <w:lang w:val="vi-VN"/>
        </w:rPr>
        <w:t>.</w:t>
      </w:r>
    </w:p>
    <w:p w14:paraId="0EF24396" w14:textId="77777777" w:rsidR="002E69A9" w:rsidRDefault="002E69A9" w:rsidP="002E69A9">
      <w:pPr>
        <w:spacing w:before="40" w:after="4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Maize</w:t>
      </w:r>
      <w:r w:rsidRPr="00E156AF">
        <w:rPr>
          <w:rFonts w:ascii="Times New Roman" w:hAnsi="Times New Roman" w:cs="Times New Roman"/>
          <w:sz w:val="28"/>
          <w:szCs w:val="28"/>
          <w:lang w:val="en-US"/>
        </w:rPr>
        <w:t xml:space="preserve"> output reached 4.</w:t>
      </w:r>
      <w:r>
        <w:rPr>
          <w:rFonts w:ascii="Times New Roman" w:hAnsi="Times New Roman" w:cs="Times New Roman"/>
          <w:sz w:val="28"/>
          <w:szCs w:val="28"/>
          <w:lang w:val="en-US"/>
        </w:rPr>
        <w:t>43</w:t>
      </w:r>
      <w:r w:rsidRPr="00E156AF">
        <w:rPr>
          <w:rFonts w:ascii="Times New Roman" w:hAnsi="Times New Roman" w:cs="Times New Roman"/>
          <w:sz w:val="28"/>
          <w:szCs w:val="28"/>
          <w:lang w:val="en-US"/>
        </w:rPr>
        <w:t xml:space="preserve"> million tons, a decrease of </w:t>
      </w:r>
      <w:r>
        <w:rPr>
          <w:rFonts w:ascii="Times New Roman" w:hAnsi="Times New Roman" w:cs="Times New Roman"/>
          <w:sz w:val="28"/>
          <w:szCs w:val="28"/>
          <w:lang w:val="en-US"/>
        </w:rPr>
        <w:t>2.9%</w:t>
      </w:r>
      <w:r w:rsidRPr="00E156AF">
        <w:rPr>
          <w:rFonts w:ascii="Times New Roman" w:hAnsi="Times New Roman" w:cs="Times New Roman"/>
          <w:sz w:val="28"/>
          <w:szCs w:val="28"/>
          <w:lang w:val="en-US"/>
        </w:rPr>
        <w:t xml:space="preserve"> compared to 20</w:t>
      </w:r>
      <w:r>
        <w:rPr>
          <w:rFonts w:ascii="Times New Roman" w:hAnsi="Times New Roman" w:cs="Times New Roman"/>
          <w:sz w:val="28"/>
          <w:szCs w:val="28"/>
          <w:lang w:val="en-US"/>
        </w:rPr>
        <w:t xml:space="preserve">20; </w:t>
      </w:r>
      <w:r w:rsidRPr="00E156AF">
        <w:rPr>
          <w:rFonts w:ascii="Times New Roman" w:hAnsi="Times New Roman" w:cs="Times New Roman"/>
          <w:sz w:val="28"/>
          <w:szCs w:val="28"/>
          <w:lang w:val="en-US"/>
        </w:rPr>
        <w:t>sweet potato reached 1.</w:t>
      </w:r>
      <w:r>
        <w:rPr>
          <w:rFonts w:ascii="Times New Roman" w:hAnsi="Times New Roman" w:cs="Times New Roman"/>
          <w:sz w:val="28"/>
          <w:szCs w:val="28"/>
          <w:lang w:val="en-US"/>
        </w:rPr>
        <w:t>22</w:t>
      </w:r>
      <w:r w:rsidRPr="00E156AF">
        <w:rPr>
          <w:rFonts w:ascii="Times New Roman" w:hAnsi="Times New Roman" w:cs="Times New Roman"/>
          <w:sz w:val="28"/>
          <w:szCs w:val="28"/>
          <w:lang w:val="en-US"/>
        </w:rPr>
        <w:t xml:space="preserve"> million tons, down </w:t>
      </w:r>
      <w:r>
        <w:rPr>
          <w:rFonts w:ascii="Times New Roman" w:hAnsi="Times New Roman" w:cs="Times New Roman"/>
          <w:sz w:val="28"/>
          <w:szCs w:val="28"/>
          <w:lang w:val="en-US"/>
        </w:rPr>
        <w:t>11.2%; peanut reached 426.9</w:t>
      </w:r>
      <w:r w:rsidRPr="00E156AF">
        <w:rPr>
          <w:rFonts w:ascii="Times New Roman" w:hAnsi="Times New Roman" w:cs="Times New Roman"/>
          <w:sz w:val="28"/>
          <w:szCs w:val="28"/>
          <w:lang w:val="en-US"/>
        </w:rPr>
        <w:t xml:space="preserve"> thousand tons, </w:t>
      </w:r>
      <w:r>
        <w:rPr>
          <w:rFonts w:ascii="Times New Roman" w:hAnsi="Times New Roman" w:cs="Times New Roman"/>
          <w:sz w:val="28"/>
          <w:szCs w:val="28"/>
          <w:lang w:val="en-US"/>
        </w:rPr>
        <w:t>rising by 0.3%</w:t>
      </w:r>
      <w:r w:rsidRPr="00E156AF">
        <w:rPr>
          <w:rFonts w:ascii="Times New Roman" w:hAnsi="Times New Roman" w:cs="Times New Roman"/>
          <w:sz w:val="28"/>
          <w:szCs w:val="28"/>
          <w:lang w:val="en-US"/>
        </w:rPr>
        <w:t xml:space="preserve">; soybean reached </w:t>
      </w:r>
      <w:r>
        <w:rPr>
          <w:rFonts w:ascii="Times New Roman" w:hAnsi="Times New Roman" w:cs="Times New Roman"/>
          <w:sz w:val="28"/>
          <w:szCs w:val="28"/>
          <w:lang w:val="en-US"/>
        </w:rPr>
        <w:t>59.2</w:t>
      </w:r>
      <w:r w:rsidRPr="00E156AF">
        <w:rPr>
          <w:rFonts w:ascii="Times New Roman" w:hAnsi="Times New Roman" w:cs="Times New Roman"/>
          <w:sz w:val="28"/>
          <w:szCs w:val="28"/>
          <w:lang w:val="en-US"/>
        </w:rPr>
        <w:t xml:space="preserve"> thousand tons, down</w:t>
      </w:r>
      <w:r>
        <w:rPr>
          <w:rFonts w:ascii="Times New Roman" w:hAnsi="Times New Roman" w:cs="Times New Roman"/>
          <w:sz w:val="28"/>
          <w:szCs w:val="28"/>
          <w:lang w:val="en-US"/>
        </w:rPr>
        <w:t xml:space="preserve"> 9.5</w:t>
      </w:r>
      <w:r w:rsidRPr="00E156AF">
        <w:rPr>
          <w:rFonts w:ascii="Times New Roman" w:hAnsi="Times New Roman" w:cs="Times New Roman"/>
          <w:sz w:val="28"/>
          <w:szCs w:val="28"/>
          <w:lang w:val="en-US"/>
        </w:rPr>
        <w:t xml:space="preserve"> thousand tons; the output of vegetables of all kinds reached 18.</w:t>
      </w:r>
      <w:r>
        <w:rPr>
          <w:rFonts w:ascii="Times New Roman" w:hAnsi="Times New Roman" w:cs="Times New Roman"/>
          <w:sz w:val="28"/>
          <w:szCs w:val="28"/>
          <w:lang w:val="en-US"/>
        </w:rPr>
        <w:t>4</w:t>
      </w:r>
      <w:r w:rsidRPr="00E156AF">
        <w:rPr>
          <w:rFonts w:ascii="Times New Roman" w:hAnsi="Times New Roman" w:cs="Times New Roman"/>
          <w:sz w:val="28"/>
          <w:szCs w:val="28"/>
          <w:lang w:val="en-US"/>
        </w:rPr>
        <w:t xml:space="preserve"> million tons, an increase of </w:t>
      </w:r>
      <w:r>
        <w:rPr>
          <w:rFonts w:ascii="Times New Roman" w:hAnsi="Times New Roman" w:cs="Times New Roman"/>
          <w:sz w:val="28"/>
          <w:szCs w:val="28"/>
          <w:lang w:val="en-US"/>
        </w:rPr>
        <w:t>1.7%.</w:t>
      </w:r>
    </w:p>
    <w:p w14:paraId="587291F6" w14:textId="6F4BD0C2" w:rsidR="00685025" w:rsidRPr="00DC0CA9" w:rsidRDefault="00075C8F" w:rsidP="00FA1162">
      <w:pPr>
        <w:pStyle w:val="BodyTextIndent2"/>
        <w:spacing w:line="276" w:lineRule="auto"/>
        <w:ind w:left="0" w:firstLine="567"/>
        <w:jc w:val="both"/>
        <w:rPr>
          <w:rFonts w:ascii="Times New Roman" w:hAnsi="Times New Roman" w:cs="Times New Roman"/>
          <w:sz w:val="28"/>
          <w:szCs w:val="28"/>
          <w:lang w:val="de-DE"/>
        </w:rPr>
      </w:pPr>
      <w:r>
        <w:rPr>
          <w:rFonts w:ascii="Times New Roman" w:hAnsi="Times New Roman" w:cs="Times New Roman"/>
          <w:spacing w:val="-4"/>
          <w:sz w:val="28"/>
          <w:szCs w:val="28"/>
          <w:lang w:val="de-DE"/>
        </w:rPr>
        <w:t>I</w:t>
      </w:r>
      <w:r w:rsidRPr="00EF6208">
        <w:rPr>
          <w:rFonts w:ascii="Times New Roman" w:hAnsi="Times New Roman" w:cs="Times New Roman"/>
          <w:spacing w:val="-4"/>
          <w:sz w:val="28"/>
          <w:szCs w:val="28"/>
          <w:lang w:val="de-DE"/>
        </w:rPr>
        <w:t>ndustrial plants reached 2,209.9 thousand hectares, increasing by 1.1%</w:t>
      </w:r>
      <w:r>
        <w:rPr>
          <w:rFonts w:ascii="Times New Roman" w:hAnsi="Times New Roman" w:cs="Times New Roman"/>
          <w:spacing w:val="-4"/>
          <w:sz w:val="28"/>
          <w:szCs w:val="28"/>
          <w:lang w:val="vi-VN"/>
        </w:rPr>
        <w:t xml:space="preserve"> </w:t>
      </w:r>
      <w:r w:rsidRPr="00EF6208">
        <w:rPr>
          <w:rFonts w:ascii="Times New Roman" w:hAnsi="Times New Roman" w:cs="Times New Roman"/>
          <w:spacing w:val="-4"/>
          <w:sz w:val="28"/>
          <w:szCs w:val="28"/>
          <w:lang w:val="de-DE"/>
        </w:rPr>
        <w:t>compared to last year</w:t>
      </w:r>
      <w:r w:rsidR="00685025" w:rsidRPr="00DC0CA9">
        <w:rPr>
          <w:rFonts w:ascii="Times New Roman" w:hAnsi="Times New Roman" w:cs="Times New Roman"/>
          <w:spacing w:val="-4"/>
          <w:sz w:val="28"/>
          <w:szCs w:val="28"/>
          <w:lang w:val="de-DE"/>
        </w:rPr>
        <w:t xml:space="preserve">, </w:t>
      </w:r>
      <w:r w:rsidR="007B0B12" w:rsidRPr="00EF6208">
        <w:rPr>
          <w:rFonts w:ascii="Times New Roman" w:hAnsi="Times New Roman" w:cs="Times New Roman"/>
          <w:spacing w:val="-4"/>
          <w:sz w:val="28"/>
          <w:szCs w:val="28"/>
          <w:lang w:val="de-DE"/>
        </w:rPr>
        <w:t>of which</w:t>
      </w:r>
      <w:r w:rsidR="00685025" w:rsidRPr="00DC0CA9">
        <w:rPr>
          <w:rFonts w:ascii="Times New Roman" w:hAnsi="Times New Roman" w:cs="Times New Roman"/>
          <w:spacing w:val="-4"/>
          <w:sz w:val="28"/>
          <w:szCs w:val="28"/>
          <w:lang w:val="de-DE"/>
        </w:rPr>
        <w:t xml:space="preserve">: </w:t>
      </w:r>
      <w:r w:rsidR="00240FD6" w:rsidRPr="00CC3340">
        <w:rPr>
          <w:rFonts w:ascii="Times New Roman" w:hAnsi="Times New Roman" w:cs="Times New Roman"/>
          <w:sz w:val="28"/>
          <w:szCs w:val="28"/>
          <w:lang w:val="de-DE"/>
        </w:rPr>
        <w:t xml:space="preserve">rubber area reached 938.8 thousand hectares, rose 0.7% over the previous year, production reached 1,260.1 thousand tons, up 2.8%; coffee area reached 705 thousand hectares, rising by 1.4%, production reached 1.816 thousand tons, up to 3%; cashew area reached 314.6 thousand hectares, up to 4%, production reached 383.3 thousand tons, up to 10%; pepper area reached </w:t>
      </w:r>
      <w:r w:rsidR="00240FD6" w:rsidRPr="00CC3340">
        <w:rPr>
          <w:rFonts w:ascii="Times New Roman" w:hAnsi="Times New Roman" w:cs="Times New Roman"/>
          <w:sz w:val="28"/>
          <w:szCs w:val="28"/>
          <w:lang w:val="de-DE"/>
        </w:rPr>
        <w:lastRenderedPageBreak/>
        <w:t>128.2 thousand hectares, down by 2.7%, output reached 280.3 thousand tons, up to 3.7%; tea area reached 123.4 thousand hectares, down 0.2%, tea output reached 1,087.2 thousand tons, up to 2.1</w:t>
      </w:r>
      <w:r w:rsidR="00240FD6">
        <w:rPr>
          <w:rFonts w:ascii="Times New Roman" w:hAnsi="Times New Roman" w:cs="Times New Roman"/>
          <w:sz w:val="28"/>
          <w:szCs w:val="28"/>
          <w:lang w:val="de-DE"/>
        </w:rPr>
        <w:t>.</w:t>
      </w:r>
    </w:p>
    <w:p w14:paraId="2E312856" w14:textId="77777777" w:rsidR="003A7FB7" w:rsidRDefault="003A7FB7" w:rsidP="003A7FB7">
      <w:pPr>
        <w:tabs>
          <w:tab w:val="left" w:pos="284"/>
        </w:tabs>
        <w:spacing w:before="40" w:after="40" w:line="271" w:lineRule="auto"/>
        <w:ind w:right="57" w:firstLine="567"/>
        <w:jc w:val="both"/>
        <w:rPr>
          <w:rFonts w:ascii="Times New Roman" w:hAnsi="Times New Roman" w:cs="Times New Roman"/>
          <w:spacing w:val="-2"/>
          <w:sz w:val="28"/>
          <w:szCs w:val="28"/>
          <w:lang w:val="de-DE"/>
        </w:rPr>
      </w:pPr>
      <w:r w:rsidRPr="001D37F7">
        <w:rPr>
          <w:rFonts w:ascii="Times New Roman" w:hAnsi="Times New Roman" w:cs="Times New Roman"/>
          <w:spacing w:val="-2"/>
          <w:sz w:val="28"/>
          <w:szCs w:val="28"/>
          <w:lang w:val="de-DE"/>
        </w:rPr>
        <w:t>Fruit trees achieved good production in most types of trees. Oranges production reached 1,545.9 thousand tons, rising by 33.2% comparison over last year; pomelos reached 1,006.9 thousand tons, up 8%; mango reached 938.2 thousand tons, rising by 4.9%; durian reached 693.8 thousand tons, increasing by 18%; litchi reached 386.6 thousand tons, rose 22.6%; longan reached 602.8 thousand tons, rising by 6.1%; pineapple 737.3 thousand tons, up 3.6%.</w:t>
      </w:r>
    </w:p>
    <w:p w14:paraId="0F631CCB" w14:textId="77777777" w:rsidR="00CD1832" w:rsidRPr="009F297E" w:rsidRDefault="00CD1832" w:rsidP="00CD1832">
      <w:pPr>
        <w:spacing w:before="40" w:after="40" w:line="288" w:lineRule="auto"/>
        <w:ind w:firstLine="567"/>
        <w:jc w:val="both"/>
        <w:rPr>
          <w:rFonts w:ascii="Times New Roman" w:hAnsi="Times New Roman" w:cs="Times New Roman"/>
          <w:sz w:val="28"/>
          <w:szCs w:val="28"/>
          <w:lang w:val="es-AR"/>
        </w:rPr>
      </w:pPr>
      <w:r w:rsidRPr="0037050C">
        <w:rPr>
          <w:rFonts w:ascii="Times New Roman" w:hAnsi="Times New Roman" w:cs="Times New Roman"/>
          <w:iCs/>
          <w:spacing w:val="-2"/>
          <w:sz w:val="28"/>
          <w:szCs w:val="28"/>
          <w:lang w:val="es-AR"/>
        </w:rPr>
        <w:t>Cattle and buffalo husbandry was generally stable. The Lumpy Skin Disease has gradually been controlled because local authorities and specialized agencies had drastically and synchronously implemented solutions to prevent disease such as well-organized vaccinations; detect and promptly handling new outbreaks; strictly handling cases of illegal transportation, trading of buffaloes and cows of unknown origin.</w:t>
      </w:r>
    </w:p>
    <w:p w14:paraId="34452D0D" w14:textId="77777777" w:rsidR="00DB23E0" w:rsidRDefault="00DB23E0" w:rsidP="00DB23E0">
      <w:pPr>
        <w:spacing w:before="240" w:after="240" w:line="269" w:lineRule="auto"/>
        <w:jc w:val="center"/>
        <w:rPr>
          <w:rFonts w:ascii="Arial" w:eastAsiaTheme="minorEastAsia" w:hAnsi="Arial" w:cs="Arial"/>
          <w:b/>
          <w:bCs/>
          <w:sz w:val="24"/>
          <w:szCs w:val="24"/>
        </w:rPr>
      </w:pPr>
      <w:r>
        <w:rPr>
          <w:rFonts w:ascii="Arial" w:eastAsiaTheme="minorEastAsia" w:hAnsi="Arial" w:cs="Arial"/>
          <w:b/>
          <w:bCs/>
          <w:sz w:val="24"/>
          <w:szCs w:val="24"/>
        </w:rPr>
        <w:t>Main productions of livestock</w:t>
      </w:r>
    </w:p>
    <w:tbl>
      <w:tblPr>
        <w:tblW w:w="8759" w:type="dxa"/>
        <w:jc w:val="center"/>
        <w:tblLook w:val="04A0" w:firstRow="1" w:lastRow="0" w:firstColumn="1" w:lastColumn="0" w:noHBand="0" w:noVBand="1"/>
      </w:tblPr>
      <w:tblGrid>
        <w:gridCol w:w="3912"/>
        <w:gridCol w:w="1060"/>
        <w:gridCol w:w="1060"/>
        <w:gridCol w:w="1366"/>
        <w:gridCol w:w="1361"/>
      </w:tblGrid>
      <w:tr w:rsidR="00DB23E0" w:rsidRPr="00F378E9" w14:paraId="34743963" w14:textId="77777777" w:rsidTr="00082AE8">
        <w:trPr>
          <w:trHeight w:val="276"/>
          <w:jc w:val="center"/>
        </w:trPr>
        <w:tc>
          <w:tcPr>
            <w:tcW w:w="3912" w:type="dxa"/>
            <w:tcBorders>
              <w:top w:val="single" w:sz="4" w:space="0" w:color="auto"/>
            </w:tcBorders>
            <w:shd w:val="clear" w:color="auto" w:fill="auto"/>
            <w:noWrap/>
            <w:vAlign w:val="center"/>
            <w:hideMark/>
          </w:tcPr>
          <w:p w14:paraId="5CDE0976" w14:textId="77777777" w:rsidR="00DB23E0" w:rsidRPr="00F378E9" w:rsidRDefault="00DB23E0" w:rsidP="00082AE8">
            <w:pPr>
              <w:spacing w:before="60" w:after="60" w:line="240" w:lineRule="auto"/>
              <w:rPr>
                <w:rFonts w:ascii="Arial" w:hAnsi="Arial" w:cs="Arial"/>
                <w:b/>
                <w:bCs/>
                <w:color w:val="000000"/>
                <w:sz w:val="20"/>
                <w:szCs w:val="20"/>
                <w:lang w:eastAsia="en-GB"/>
              </w:rPr>
            </w:pPr>
            <w:bookmarkStart w:id="0" w:name="_Hlk92716395"/>
            <w:r w:rsidRPr="00F378E9">
              <w:rPr>
                <w:rFonts w:ascii="Arial" w:hAnsi="Arial" w:cs="Arial"/>
                <w:b/>
                <w:bCs/>
                <w:color w:val="000000"/>
                <w:sz w:val="20"/>
                <w:szCs w:val="20"/>
                <w:lang w:val="en-US" w:eastAsia="en-GB"/>
              </w:rPr>
              <w:t> </w:t>
            </w:r>
          </w:p>
        </w:tc>
        <w:tc>
          <w:tcPr>
            <w:tcW w:w="1060" w:type="dxa"/>
            <w:vMerge w:val="restart"/>
            <w:tcBorders>
              <w:top w:val="single" w:sz="4" w:space="0" w:color="auto"/>
            </w:tcBorders>
            <w:shd w:val="clear" w:color="auto" w:fill="auto"/>
            <w:vAlign w:val="center"/>
            <w:hideMark/>
          </w:tcPr>
          <w:p w14:paraId="4D1DE77B" w14:textId="77777777" w:rsidR="00DB23E0" w:rsidRPr="00A944A9" w:rsidRDefault="00DB23E0" w:rsidP="00082AE8">
            <w:pPr>
              <w:spacing w:before="60" w:after="60" w:line="240" w:lineRule="auto"/>
              <w:jc w:val="center"/>
              <w:rPr>
                <w:rFonts w:ascii="Times New Roman" w:hAnsi="Times New Roman" w:cs="Times New Roman"/>
                <w:color w:val="000000"/>
                <w:sz w:val="20"/>
                <w:szCs w:val="20"/>
                <w:lang w:eastAsia="en-GB"/>
              </w:rPr>
            </w:pPr>
            <w:r w:rsidRPr="00A944A9">
              <w:rPr>
                <w:rFonts w:ascii="Times New Roman" w:hAnsi="Times New Roman" w:cs="Times New Roman"/>
                <w:color w:val="000000"/>
                <w:sz w:val="20"/>
                <w:szCs w:val="20"/>
                <w:lang w:val="en-US" w:eastAsia="en-GB"/>
              </w:rPr>
              <w:t>Estimate</w:t>
            </w:r>
            <w:r w:rsidRPr="00A944A9">
              <w:rPr>
                <w:rFonts w:ascii="Times New Roman" w:hAnsi="Times New Roman" w:cs="Times New Roman"/>
                <w:color w:val="000000"/>
                <w:sz w:val="20"/>
                <w:szCs w:val="20"/>
                <w:lang w:eastAsia="en-GB"/>
              </w:rPr>
              <w:t xml:space="preserve"> the fourth quarter 2021</w:t>
            </w:r>
          </w:p>
          <w:p w14:paraId="0F463DF1" w14:textId="77777777" w:rsidR="00DB23E0" w:rsidRPr="00A944A9" w:rsidRDefault="00DB23E0" w:rsidP="00082AE8">
            <w:pPr>
              <w:spacing w:before="60" w:after="60" w:line="240" w:lineRule="auto"/>
              <w:rPr>
                <w:rFonts w:ascii="Times New Roman" w:hAnsi="Times New Roman" w:cs="Times New Roman"/>
                <w:color w:val="000000"/>
                <w:sz w:val="20"/>
                <w:szCs w:val="20"/>
                <w:lang w:eastAsia="en-GB"/>
              </w:rPr>
            </w:pPr>
            <w:r w:rsidRPr="00A944A9">
              <w:rPr>
                <w:rFonts w:ascii="Times New Roman" w:hAnsi="Times New Roman" w:cs="Times New Roman"/>
                <w:color w:val="000000"/>
                <w:lang w:eastAsia="en-GB"/>
              </w:rPr>
              <w:t> </w:t>
            </w:r>
          </w:p>
        </w:tc>
        <w:tc>
          <w:tcPr>
            <w:tcW w:w="1060" w:type="dxa"/>
            <w:vMerge w:val="restart"/>
            <w:tcBorders>
              <w:top w:val="single" w:sz="4" w:space="0" w:color="auto"/>
            </w:tcBorders>
            <w:shd w:val="clear" w:color="auto" w:fill="auto"/>
            <w:vAlign w:val="center"/>
            <w:hideMark/>
          </w:tcPr>
          <w:p w14:paraId="14C2FB61" w14:textId="77777777" w:rsidR="00DB23E0" w:rsidRPr="00A944A9" w:rsidRDefault="00DB23E0" w:rsidP="00082AE8">
            <w:pPr>
              <w:spacing w:before="60" w:after="60" w:line="240" w:lineRule="auto"/>
              <w:jc w:val="center"/>
              <w:rPr>
                <w:rFonts w:ascii="Times New Roman" w:hAnsi="Times New Roman" w:cs="Times New Roman"/>
                <w:color w:val="000000"/>
                <w:sz w:val="20"/>
                <w:szCs w:val="20"/>
                <w:lang w:eastAsia="en-GB"/>
              </w:rPr>
            </w:pPr>
            <w:r w:rsidRPr="00A944A9">
              <w:rPr>
                <w:rFonts w:ascii="Times New Roman" w:hAnsi="Times New Roman" w:cs="Times New Roman"/>
                <w:color w:val="000000"/>
                <w:sz w:val="20"/>
                <w:szCs w:val="20"/>
                <w:lang w:val="en-US" w:eastAsia="en-GB"/>
              </w:rPr>
              <w:t xml:space="preserve">Estimate </w:t>
            </w:r>
            <w:r w:rsidRPr="00A944A9">
              <w:rPr>
                <w:rFonts w:ascii="Times New Roman" w:hAnsi="Times New Roman" w:cs="Times New Roman"/>
                <w:color w:val="000000"/>
                <w:sz w:val="20"/>
                <w:szCs w:val="20"/>
                <w:lang w:eastAsia="en-GB"/>
              </w:rPr>
              <w:t>2021</w:t>
            </w:r>
          </w:p>
          <w:p w14:paraId="17326DE4" w14:textId="77777777" w:rsidR="00DB23E0" w:rsidRPr="00A944A9" w:rsidRDefault="00DB23E0" w:rsidP="00082AE8">
            <w:pPr>
              <w:spacing w:before="60" w:after="60" w:line="240" w:lineRule="auto"/>
              <w:rPr>
                <w:rFonts w:ascii="Times New Roman" w:hAnsi="Times New Roman" w:cs="Times New Roman"/>
                <w:color w:val="000000"/>
                <w:sz w:val="20"/>
                <w:szCs w:val="20"/>
                <w:lang w:eastAsia="en-GB"/>
              </w:rPr>
            </w:pPr>
            <w:r w:rsidRPr="00A944A9">
              <w:rPr>
                <w:rFonts w:ascii="Times New Roman" w:hAnsi="Times New Roman" w:cs="Times New Roman"/>
                <w:color w:val="000000"/>
                <w:lang w:eastAsia="en-GB"/>
              </w:rPr>
              <w:t> </w:t>
            </w:r>
          </w:p>
        </w:tc>
        <w:tc>
          <w:tcPr>
            <w:tcW w:w="2727" w:type="dxa"/>
            <w:gridSpan w:val="2"/>
            <w:vMerge w:val="restart"/>
            <w:tcBorders>
              <w:top w:val="single" w:sz="4" w:space="0" w:color="auto"/>
              <w:bottom w:val="single" w:sz="4" w:space="0" w:color="auto"/>
            </w:tcBorders>
            <w:shd w:val="clear" w:color="auto" w:fill="auto"/>
            <w:noWrap/>
            <w:vAlign w:val="center"/>
            <w:hideMark/>
          </w:tcPr>
          <w:p w14:paraId="04AE7968" w14:textId="77777777" w:rsidR="00DB23E0" w:rsidRPr="00A944A9" w:rsidRDefault="00DB23E0" w:rsidP="00082AE8">
            <w:pPr>
              <w:spacing w:before="60" w:after="60" w:line="240" w:lineRule="auto"/>
              <w:jc w:val="center"/>
              <w:rPr>
                <w:rFonts w:ascii="Times New Roman" w:hAnsi="Times New Roman" w:cs="Times New Roman"/>
                <w:color w:val="000000"/>
                <w:sz w:val="20"/>
                <w:szCs w:val="20"/>
                <w:lang w:eastAsia="en-GB"/>
              </w:rPr>
            </w:pPr>
            <w:r w:rsidRPr="00A944A9">
              <w:rPr>
                <w:rFonts w:ascii="Times New Roman" w:hAnsi="Times New Roman" w:cs="Times New Roman"/>
                <w:sz w:val="18"/>
                <w:szCs w:val="18"/>
                <w:lang w:val="en-US"/>
              </w:rPr>
              <w:t>Compared with the same period last year (%)</w:t>
            </w:r>
          </w:p>
        </w:tc>
      </w:tr>
      <w:bookmarkEnd w:id="0"/>
      <w:tr w:rsidR="00DB23E0" w:rsidRPr="00F378E9" w14:paraId="7B97132F" w14:textId="77777777" w:rsidTr="00082AE8">
        <w:trPr>
          <w:trHeight w:val="279"/>
          <w:jc w:val="center"/>
        </w:trPr>
        <w:tc>
          <w:tcPr>
            <w:tcW w:w="3912" w:type="dxa"/>
            <w:shd w:val="clear" w:color="auto" w:fill="auto"/>
            <w:noWrap/>
            <w:vAlign w:val="center"/>
            <w:hideMark/>
          </w:tcPr>
          <w:p w14:paraId="69CA640D" w14:textId="77777777" w:rsidR="00DB23E0" w:rsidRPr="00F378E9" w:rsidRDefault="00DB23E0" w:rsidP="00082AE8">
            <w:pPr>
              <w:spacing w:before="60" w:after="60" w:line="240" w:lineRule="auto"/>
              <w:jc w:val="center"/>
              <w:rPr>
                <w:rFonts w:ascii="Arial" w:hAnsi="Arial" w:cs="Arial"/>
                <w:color w:val="000000"/>
                <w:sz w:val="20"/>
                <w:szCs w:val="20"/>
                <w:lang w:eastAsia="en-GB"/>
              </w:rPr>
            </w:pPr>
          </w:p>
        </w:tc>
        <w:tc>
          <w:tcPr>
            <w:tcW w:w="1060" w:type="dxa"/>
            <w:vMerge/>
            <w:shd w:val="clear" w:color="auto" w:fill="auto"/>
            <w:vAlign w:val="center"/>
            <w:hideMark/>
          </w:tcPr>
          <w:p w14:paraId="146D45CE" w14:textId="77777777" w:rsidR="00DB23E0" w:rsidRPr="00A944A9" w:rsidRDefault="00DB23E0" w:rsidP="00082AE8">
            <w:pPr>
              <w:spacing w:before="60" w:after="60" w:line="240" w:lineRule="auto"/>
              <w:rPr>
                <w:rFonts w:ascii="Times New Roman" w:hAnsi="Times New Roman" w:cs="Times New Roman"/>
                <w:color w:val="000000"/>
                <w:sz w:val="20"/>
                <w:szCs w:val="20"/>
                <w:lang w:eastAsia="en-GB"/>
              </w:rPr>
            </w:pPr>
          </w:p>
        </w:tc>
        <w:tc>
          <w:tcPr>
            <w:tcW w:w="1060" w:type="dxa"/>
            <w:vMerge/>
            <w:shd w:val="clear" w:color="auto" w:fill="auto"/>
            <w:vAlign w:val="center"/>
            <w:hideMark/>
          </w:tcPr>
          <w:p w14:paraId="3F1BA5B6" w14:textId="77777777" w:rsidR="00DB23E0" w:rsidRPr="00A944A9" w:rsidRDefault="00DB23E0" w:rsidP="00082AE8">
            <w:pPr>
              <w:spacing w:before="60" w:after="60" w:line="240" w:lineRule="auto"/>
              <w:rPr>
                <w:rFonts w:ascii="Times New Roman" w:hAnsi="Times New Roman" w:cs="Times New Roman"/>
                <w:color w:val="000000"/>
                <w:sz w:val="20"/>
                <w:szCs w:val="20"/>
                <w:lang w:eastAsia="en-GB"/>
              </w:rPr>
            </w:pPr>
          </w:p>
        </w:tc>
        <w:tc>
          <w:tcPr>
            <w:tcW w:w="2727" w:type="dxa"/>
            <w:gridSpan w:val="2"/>
            <w:vMerge/>
            <w:tcBorders>
              <w:bottom w:val="single" w:sz="4" w:space="0" w:color="auto"/>
            </w:tcBorders>
            <w:shd w:val="clear" w:color="auto" w:fill="auto"/>
            <w:noWrap/>
            <w:vAlign w:val="center"/>
            <w:hideMark/>
          </w:tcPr>
          <w:p w14:paraId="22B10199" w14:textId="77777777" w:rsidR="00DB23E0" w:rsidRPr="00A944A9" w:rsidRDefault="00DB23E0" w:rsidP="00082AE8">
            <w:pPr>
              <w:spacing w:before="60" w:after="60" w:line="240" w:lineRule="auto"/>
              <w:jc w:val="center"/>
              <w:rPr>
                <w:rFonts w:ascii="Times New Roman" w:hAnsi="Times New Roman" w:cs="Times New Roman"/>
                <w:color w:val="000000"/>
                <w:sz w:val="20"/>
                <w:szCs w:val="20"/>
                <w:lang w:eastAsia="en-GB"/>
              </w:rPr>
            </w:pPr>
          </w:p>
        </w:tc>
      </w:tr>
      <w:tr w:rsidR="00DB23E0" w:rsidRPr="00F378E9" w14:paraId="75F6C335" w14:textId="77777777" w:rsidTr="00082AE8">
        <w:trPr>
          <w:trHeight w:val="301"/>
          <w:jc w:val="center"/>
        </w:trPr>
        <w:tc>
          <w:tcPr>
            <w:tcW w:w="3912" w:type="dxa"/>
            <w:shd w:val="clear" w:color="auto" w:fill="auto"/>
            <w:noWrap/>
            <w:vAlign w:val="center"/>
            <w:hideMark/>
          </w:tcPr>
          <w:p w14:paraId="6DC7F2A6" w14:textId="77777777" w:rsidR="00DB23E0" w:rsidRPr="00F378E9" w:rsidRDefault="00DB23E0" w:rsidP="00082AE8">
            <w:pPr>
              <w:spacing w:before="60" w:after="60" w:line="240" w:lineRule="auto"/>
              <w:jc w:val="center"/>
              <w:rPr>
                <w:rFonts w:ascii="Arial" w:hAnsi="Arial" w:cs="Arial"/>
                <w:color w:val="000000"/>
                <w:sz w:val="20"/>
                <w:szCs w:val="20"/>
                <w:lang w:eastAsia="en-GB"/>
              </w:rPr>
            </w:pPr>
          </w:p>
        </w:tc>
        <w:tc>
          <w:tcPr>
            <w:tcW w:w="1060" w:type="dxa"/>
            <w:vMerge/>
            <w:tcBorders>
              <w:bottom w:val="single" w:sz="4" w:space="0" w:color="auto"/>
            </w:tcBorders>
            <w:shd w:val="clear" w:color="auto" w:fill="auto"/>
            <w:vAlign w:val="center"/>
            <w:hideMark/>
          </w:tcPr>
          <w:p w14:paraId="2AB4BED2" w14:textId="77777777" w:rsidR="00DB23E0" w:rsidRPr="00A944A9" w:rsidRDefault="00DB23E0" w:rsidP="00082AE8">
            <w:pPr>
              <w:spacing w:before="60" w:after="60" w:line="240" w:lineRule="auto"/>
              <w:rPr>
                <w:rFonts w:ascii="Times New Roman" w:hAnsi="Times New Roman" w:cs="Times New Roman"/>
                <w:color w:val="000000"/>
                <w:lang w:eastAsia="en-GB"/>
              </w:rPr>
            </w:pPr>
          </w:p>
        </w:tc>
        <w:tc>
          <w:tcPr>
            <w:tcW w:w="1060" w:type="dxa"/>
            <w:vMerge/>
            <w:tcBorders>
              <w:bottom w:val="single" w:sz="4" w:space="0" w:color="auto"/>
            </w:tcBorders>
            <w:shd w:val="clear" w:color="auto" w:fill="auto"/>
            <w:vAlign w:val="center"/>
            <w:hideMark/>
          </w:tcPr>
          <w:p w14:paraId="73094325" w14:textId="77777777" w:rsidR="00DB23E0" w:rsidRPr="00A944A9" w:rsidRDefault="00DB23E0" w:rsidP="00082AE8">
            <w:pPr>
              <w:spacing w:before="60" w:after="60" w:line="240" w:lineRule="auto"/>
              <w:rPr>
                <w:rFonts w:ascii="Times New Roman" w:hAnsi="Times New Roman" w:cs="Times New Roman"/>
                <w:color w:val="000000"/>
                <w:lang w:eastAsia="en-GB"/>
              </w:rPr>
            </w:pPr>
          </w:p>
        </w:tc>
        <w:tc>
          <w:tcPr>
            <w:tcW w:w="1366" w:type="dxa"/>
            <w:tcBorders>
              <w:top w:val="single" w:sz="4" w:space="0" w:color="auto"/>
              <w:bottom w:val="single" w:sz="4" w:space="0" w:color="auto"/>
            </w:tcBorders>
            <w:shd w:val="clear" w:color="auto" w:fill="auto"/>
            <w:vAlign w:val="center"/>
            <w:hideMark/>
          </w:tcPr>
          <w:p w14:paraId="4561DFDF" w14:textId="77777777" w:rsidR="00DB23E0" w:rsidRPr="00A944A9" w:rsidRDefault="00DB23E0" w:rsidP="00082AE8">
            <w:pPr>
              <w:spacing w:before="60" w:after="60" w:line="240" w:lineRule="auto"/>
              <w:jc w:val="center"/>
              <w:rPr>
                <w:rFonts w:ascii="Times New Roman" w:hAnsi="Times New Roman" w:cs="Times New Roman"/>
                <w:color w:val="000000"/>
                <w:sz w:val="20"/>
                <w:szCs w:val="20"/>
                <w:lang w:eastAsia="en-GB"/>
              </w:rPr>
            </w:pPr>
            <w:r w:rsidRPr="00A944A9">
              <w:rPr>
                <w:rFonts w:ascii="Times New Roman" w:hAnsi="Times New Roman" w:cs="Times New Roman"/>
                <w:color w:val="000000"/>
                <w:sz w:val="20"/>
                <w:szCs w:val="20"/>
                <w:lang w:eastAsia="en-GB"/>
              </w:rPr>
              <w:t>The fourth quarter 2021</w:t>
            </w:r>
          </w:p>
        </w:tc>
        <w:tc>
          <w:tcPr>
            <w:tcW w:w="1361" w:type="dxa"/>
            <w:tcBorders>
              <w:top w:val="single" w:sz="4" w:space="0" w:color="auto"/>
              <w:bottom w:val="single" w:sz="4" w:space="0" w:color="auto"/>
            </w:tcBorders>
            <w:shd w:val="clear" w:color="auto" w:fill="auto"/>
            <w:vAlign w:val="center"/>
            <w:hideMark/>
          </w:tcPr>
          <w:p w14:paraId="56D64A8C" w14:textId="77777777" w:rsidR="00DB23E0" w:rsidRPr="00A944A9" w:rsidRDefault="00DB23E0" w:rsidP="00082AE8">
            <w:pPr>
              <w:spacing w:before="60" w:after="60" w:line="240" w:lineRule="auto"/>
              <w:jc w:val="center"/>
              <w:rPr>
                <w:rFonts w:ascii="Times New Roman" w:hAnsi="Times New Roman" w:cs="Times New Roman"/>
                <w:color w:val="000000"/>
                <w:sz w:val="20"/>
                <w:szCs w:val="20"/>
                <w:lang w:eastAsia="en-GB"/>
              </w:rPr>
            </w:pPr>
            <w:r w:rsidRPr="00A944A9">
              <w:rPr>
                <w:rFonts w:ascii="Times New Roman" w:hAnsi="Times New Roman" w:cs="Times New Roman"/>
                <w:color w:val="000000"/>
                <w:sz w:val="20"/>
                <w:szCs w:val="20"/>
                <w:lang w:val="en-US" w:eastAsia="en-GB"/>
              </w:rPr>
              <w:t xml:space="preserve"> 2021</w:t>
            </w:r>
          </w:p>
        </w:tc>
      </w:tr>
      <w:tr w:rsidR="00DB23E0" w:rsidRPr="00F378E9" w14:paraId="058597F9" w14:textId="77777777" w:rsidTr="00082AE8">
        <w:trPr>
          <w:cantSplit/>
          <w:trHeight w:val="340"/>
          <w:jc w:val="center"/>
        </w:trPr>
        <w:tc>
          <w:tcPr>
            <w:tcW w:w="4972" w:type="dxa"/>
            <w:gridSpan w:val="2"/>
            <w:shd w:val="clear" w:color="auto" w:fill="auto"/>
            <w:noWrap/>
            <w:vAlign w:val="bottom"/>
            <w:hideMark/>
          </w:tcPr>
          <w:p w14:paraId="16ABCD1B" w14:textId="77777777" w:rsidR="00DB23E0" w:rsidRPr="006D7720" w:rsidRDefault="00DB23E0" w:rsidP="00082AE8">
            <w:pPr>
              <w:rPr>
                <w:rFonts w:ascii="Times New Roman" w:hAnsi="Times New Roman" w:cs="Times New Roman"/>
                <w:b/>
                <w:bCs/>
                <w:color w:val="000000"/>
                <w:sz w:val="20"/>
                <w:szCs w:val="20"/>
                <w:lang w:val="en-US"/>
              </w:rPr>
            </w:pPr>
          </w:p>
          <w:p w14:paraId="57E83A3B" w14:textId="77777777" w:rsidR="00DB23E0" w:rsidRPr="006D7720" w:rsidRDefault="00DB23E0" w:rsidP="00082AE8">
            <w:pP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L</w:t>
            </w:r>
            <w:r w:rsidRPr="006D7720">
              <w:rPr>
                <w:rFonts w:ascii="Times New Roman" w:hAnsi="Times New Roman" w:cs="Times New Roman"/>
                <w:b/>
                <w:bCs/>
                <w:color w:val="000000"/>
                <w:sz w:val="20"/>
                <w:szCs w:val="20"/>
                <w:lang w:val="en-US"/>
              </w:rPr>
              <w:t>iving-weight (Thous. tons)</w:t>
            </w:r>
          </w:p>
        </w:tc>
        <w:tc>
          <w:tcPr>
            <w:tcW w:w="1060" w:type="dxa"/>
            <w:shd w:val="clear" w:color="auto" w:fill="auto"/>
            <w:vAlign w:val="bottom"/>
            <w:hideMark/>
          </w:tcPr>
          <w:p w14:paraId="030ED6D5" w14:textId="77777777" w:rsidR="00DB23E0" w:rsidRPr="00F378E9" w:rsidRDefault="00DB23E0" w:rsidP="00082AE8">
            <w:pPr>
              <w:spacing w:before="80" w:after="80" w:line="240" w:lineRule="auto"/>
              <w:rPr>
                <w:rFonts w:ascii="Arial" w:hAnsi="Arial" w:cs="Arial"/>
                <w:color w:val="000000"/>
                <w:sz w:val="20"/>
                <w:szCs w:val="20"/>
                <w:lang w:eastAsia="en-GB"/>
              </w:rPr>
            </w:pPr>
          </w:p>
        </w:tc>
        <w:tc>
          <w:tcPr>
            <w:tcW w:w="1366" w:type="dxa"/>
            <w:shd w:val="clear" w:color="auto" w:fill="auto"/>
            <w:vAlign w:val="bottom"/>
            <w:hideMark/>
          </w:tcPr>
          <w:p w14:paraId="6B546458" w14:textId="77777777" w:rsidR="00DB23E0" w:rsidRPr="00F378E9" w:rsidRDefault="00DB23E0" w:rsidP="00082AE8">
            <w:pPr>
              <w:spacing w:before="80" w:after="80" w:line="240" w:lineRule="auto"/>
              <w:rPr>
                <w:rFonts w:cs="Times New Roman"/>
                <w:sz w:val="20"/>
                <w:szCs w:val="20"/>
                <w:lang w:eastAsia="en-GB"/>
              </w:rPr>
            </w:pPr>
          </w:p>
        </w:tc>
        <w:tc>
          <w:tcPr>
            <w:tcW w:w="1361" w:type="dxa"/>
            <w:shd w:val="clear" w:color="auto" w:fill="auto"/>
            <w:vAlign w:val="bottom"/>
            <w:hideMark/>
          </w:tcPr>
          <w:p w14:paraId="1F9A824D" w14:textId="77777777" w:rsidR="00DB23E0" w:rsidRPr="00F378E9" w:rsidRDefault="00DB23E0" w:rsidP="00082AE8">
            <w:pPr>
              <w:spacing w:before="80" w:after="80" w:line="240" w:lineRule="auto"/>
              <w:rPr>
                <w:rFonts w:cs="Times New Roman"/>
                <w:sz w:val="20"/>
                <w:szCs w:val="20"/>
                <w:lang w:eastAsia="en-GB"/>
              </w:rPr>
            </w:pPr>
          </w:p>
        </w:tc>
      </w:tr>
      <w:tr w:rsidR="00DB23E0" w:rsidRPr="00F378E9" w14:paraId="062235B8" w14:textId="77777777" w:rsidTr="00082AE8">
        <w:trPr>
          <w:cantSplit/>
          <w:trHeight w:val="340"/>
          <w:jc w:val="center"/>
        </w:trPr>
        <w:tc>
          <w:tcPr>
            <w:tcW w:w="3912" w:type="dxa"/>
            <w:shd w:val="clear" w:color="auto" w:fill="auto"/>
            <w:vAlign w:val="bottom"/>
            <w:hideMark/>
          </w:tcPr>
          <w:p w14:paraId="7123D052" w14:textId="77777777" w:rsidR="00DB23E0" w:rsidRPr="006D7720" w:rsidRDefault="00DB23E0" w:rsidP="00082AE8">
            <w:pPr>
              <w:ind w:firstLineChars="100" w:firstLine="200"/>
              <w:rPr>
                <w:rFonts w:ascii="Times New Roman" w:hAnsi="Times New Roman" w:cs="Times New Roman"/>
                <w:sz w:val="20"/>
                <w:szCs w:val="20"/>
                <w:lang w:val="en-US"/>
              </w:rPr>
            </w:pPr>
            <w:r>
              <w:rPr>
                <w:rFonts w:ascii="Times New Roman" w:hAnsi="Times New Roman" w:cs="Times New Roman"/>
                <w:sz w:val="20"/>
                <w:szCs w:val="20"/>
                <w:lang w:val="en-US"/>
              </w:rPr>
              <w:t>Pig</w:t>
            </w:r>
          </w:p>
        </w:tc>
        <w:tc>
          <w:tcPr>
            <w:tcW w:w="1060" w:type="dxa"/>
            <w:shd w:val="clear" w:color="auto" w:fill="auto"/>
            <w:noWrap/>
            <w:vAlign w:val="center"/>
            <w:hideMark/>
          </w:tcPr>
          <w:p w14:paraId="05FBC1B8" w14:textId="77777777" w:rsidR="00DB23E0" w:rsidRPr="00F378E9" w:rsidRDefault="00DB23E0" w:rsidP="00082AE8">
            <w:pPr>
              <w:spacing w:before="100" w:after="100" w:line="240" w:lineRule="auto"/>
              <w:ind w:left="-193" w:right="186"/>
              <w:jc w:val="right"/>
              <w:rPr>
                <w:rFonts w:ascii="Arial" w:hAnsi="Arial" w:cs="Arial"/>
                <w:color w:val="000000"/>
                <w:sz w:val="20"/>
                <w:szCs w:val="20"/>
                <w:lang w:eastAsia="en-GB"/>
              </w:rPr>
            </w:pPr>
            <w:r>
              <w:rPr>
                <w:rFonts w:ascii="Arial" w:hAnsi="Arial" w:cs="Arial"/>
                <w:color w:val="000000"/>
                <w:sz w:val="20"/>
                <w:szCs w:val="20"/>
                <w:lang w:val="en-US" w:eastAsia="en-GB"/>
              </w:rPr>
              <w:t>1</w:t>
            </w:r>
            <w:r w:rsidRPr="00F378E9">
              <w:rPr>
                <w:rFonts w:ascii="Arial" w:hAnsi="Arial" w:cs="Arial"/>
                <w:color w:val="000000"/>
                <w:sz w:val="20"/>
                <w:szCs w:val="20"/>
                <w:lang w:val="en-US" w:eastAsia="en-GB"/>
              </w:rPr>
              <w:t>124</w:t>
            </w:r>
            <w:r>
              <w:rPr>
                <w:rFonts w:ascii="Arial" w:hAnsi="Arial" w:cs="Arial"/>
                <w:color w:val="000000"/>
                <w:sz w:val="20"/>
                <w:szCs w:val="20"/>
                <w:lang w:val="en-US" w:eastAsia="en-GB"/>
              </w:rPr>
              <w:t>.</w:t>
            </w:r>
            <w:r w:rsidRPr="00F378E9">
              <w:rPr>
                <w:rFonts w:ascii="Arial" w:hAnsi="Arial" w:cs="Arial"/>
                <w:color w:val="000000"/>
                <w:sz w:val="20"/>
                <w:szCs w:val="20"/>
                <w:lang w:val="en-US" w:eastAsia="en-GB"/>
              </w:rPr>
              <w:t>4</w:t>
            </w:r>
          </w:p>
        </w:tc>
        <w:tc>
          <w:tcPr>
            <w:tcW w:w="1060" w:type="dxa"/>
            <w:shd w:val="clear" w:color="auto" w:fill="auto"/>
            <w:noWrap/>
            <w:vAlign w:val="center"/>
            <w:hideMark/>
          </w:tcPr>
          <w:p w14:paraId="264360EC" w14:textId="77777777" w:rsidR="00DB23E0" w:rsidRPr="00F378E9" w:rsidRDefault="00DB23E0" w:rsidP="00082AE8">
            <w:pPr>
              <w:spacing w:before="100" w:after="100" w:line="240" w:lineRule="auto"/>
              <w:ind w:left="-193" w:right="186"/>
              <w:jc w:val="right"/>
              <w:rPr>
                <w:rFonts w:ascii="Arial" w:hAnsi="Arial" w:cs="Arial"/>
                <w:color w:val="000000"/>
                <w:sz w:val="20"/>
                <w:szCs w:val="20"/>
                <w:lang w:eastAsia="en-GB"/>
              </w:rPr>
            </w:pPr>
            <w:r>
              <w:rPr>
                <w:rFonts w:ascii="Arial" w:hAnsi="Arial" w:cs="Arial"/>
                <w:color w:val="000000"/>
                <w:sz w:val="20"/>
                <w:szCs w:val="20"/>
                <w:lang w:val="en-US" w:eastAsia="en-GB"/>
              </w:rPr>
              <w:t>4,</w:t>
            </w:r>
            <w:r w:rsidRPr="00F378E9">
              <w:rPr>
                <w:rFonts w:ascii="Arial" w:hAnsi="Arial" w:cs="Arial"/>
                <w:color w:val="000000"/>
                <w:sz w:val="20"/>
                <w:szCs w:val="20"/>
                <w:lang w:val="en-US" w:eastAsia="en-GB"/>
              </w:rPr>
              <w:t>180</w:t>
            </w:r>
            <w:r>
              <w:rPr>
                <w:rFonts w:ascii="Arial" w:hAnsi="Arial" w:cs="Arial"/>
                <w:color w:val="000000"/>
                <w:sz w:val="20"/>
                <w:szCs w:val="20"/>
                <w:lang w:val="en-US" w:eastAsia="en-GB"/>
              </w:rPr>
              <w:t>.</w:t>
            </w:r>
            <w:r w:rsidRPr="00F378E9">
              <w:rPr>
                <w:rFonts w:ascii="Arial" w:hAnsi="Arial" w:cs="Arial"/>
                <w:color w:val="000000"/>
                <w:sz w:val="20"/>
                <w:szCs w:val="20"/>
                <w:lang w:val="en-US" w:eastAsia="en-GB"/>
              </w:rPr>
              <w:t>2</w:t>
            </w:r>
          </w:p>
        </w:tc>
        <w:tc>
          <w:tcPr>
            <w:tcW w:w="1366" w:type="dxa"/>
            <w:shd w:val="clear" w:color="auto" w:fill="auto"/>
            <w:noWrap/>
            <w:vAlign w:val="center"/>
            <w:hideMark/>
          </w:tcPr>
          <w:p w14:paraId="01EA169A" w14:textId="77777777" w:rsidR="00DB23E0" w:rsidRPr="00F378E9" w:rsidRDefault="00DB23E0" w:rsidP="00082AE8">
            <w:pPr>
              <w:spacing w:before="100" w:after="100" w:line="240" w:lineRule="auto"/>
              <w:ind w:right="330"/>
              <w:jc w:val="right"/>
              <w:rPr>
                <w:rFonts w:ascii="Arial" w:hAnsi="Arial" w:cs="Arial"/>
                <w:color w:val="000000"/>
                <w:sz w:val="20"/>
                <w:szCs w:val="20"/>
                <w:lang w:eastAsia="en-GB"/>
              </w:rPr>
            </w:pPr>
            <w:r w:rsidRPr="00F378E9">
              <w:rPr>
                <w:rFonts w:ascii="Arial" w:hAnsi="Arial" w:cs="Arial"/>
                <w:color w:val="000000"/>
                <w:sz w:val="20"/>
                <w:szCs w:val="20"/>
                <w:lang w:val="en-US" w:eastAsia="en-GB"/>
              </w:rPr>
              <w:t>0</w:t>
            </w:r>
            <w:r>
              <w:rPr>
                <w:rFonts w:ascii="Arial" w:hAnsi="Arial" w:cs="Arial"/>
                <w:color w:val="000000"/>
                <w:sz w:val="20"/>
                <w:szCs w:val="20"/>
                <w:lang w:val="en-US" w:eastAsia="en-GB"/>
              </w:rPr>
              <w:t>.</w:t>
            </w:r>
            <w:r w:rsidRPr="00F378E9">
              <w:rPr>
                <w:rFonts w:ascii="Arial" w:hAnsi="Arial" w:cs="Arial"/>
                <w:color w:val="000000"/>
                <w:sz w:val="20"/>
                <w:szCs w:val="20"/>
                <w:lang w:val="en-US" w:eastAsia="en-GB"/>
              </w:rPr>
              <w:t>2</w:t>
            </w:r>
          </w:p>
        </w:tc>
        <w:tc>
          <w:tcPr>
            <w:tcW w:w="1361" w:type="dxa"/>
            <w:shd w:val="clear" w:color="auto" w:fill="auto"/>
            <w:noWrap/>
            <w:vAlign w:val="center"/>
            <w:hideMark/>
          </w:tcPr>
          <w:p w14:paraId="0C71D5C2" w14:textId="77777777" w:rsidR="00DB23E0" w:rsidRPr="00F378E9" w:rsidRDefault="00DB23E0" w:rsidP="00082AE8">
            <w:pPr>
              <w:spacing w:before="100" w:after="100" w:line="240" w:lineRule="auto"/>
              <w:ind w:right="330"/>
              <w:jc w:val="right"/>
              <w:rPr>
                <w:rFonts w:ascii="Arial" w:hAnsi="Arial" w:cs="Arial"/>
                <w:color w:val="000000"/>
                <w:sz w:val="20"/>
                <w:szCs w:val="20"/>
                <w:lang w:eastAsia="en-GB"/>
              </w:rPr>
            </w:pPr>
            <w:r w:rsidRPr="00F378E9">
              <w:rPr>
                <w:rFonts w:ascii="Arial" w:hAnsi="Arial" w:cs="Arial"/>
                <w:color w:val="000000"/>
                <w:sz w:val="20"/>
                <w:szCs w:val="20"/>
                <w:lang w:val="en-US" w:eastAsia="en-GB"/>
              </w:rPr>
              <w:t>3</w:t>
            </w:r>
            <w:r>
              <w:rPr>
                <w:rFonts w:ascii="Arial" w:hAnsi="Arial" w:cs="Arial"/>
                <w:color w:val="000000"/>
                <w:sz w:val="20"/>
                <w:szCs w:val="20"/>
                <w:lang w:val="en-US" w:eastAsia="en-GB"/>
              </w:rPr>
              <w:t>.</w:t>
            </w:r>
            <w:r w:rsidRPr="00F378E9">
              <w:rPr>
                <w:rFonts w:ascii="Arial" w:hAnsi="Arial" w:cs="Arial"/>
                <w:color w:val="000000"/>
                <w:sz w:val="20"/>
                <w:szCs w:val="20"/>
                <w:lang w:val="en-US" w:eastAsia="en-GB"/>
              </w:rPr>
              <w:t>6</w:t>
            </w:r>
          </w:p>
        </w:tc>
      </w:tr>
      <w:tr w:rsidR="00DB23E0" w:rsidRPr="00F378E9" w14:paraId="6289F270" w14:textId="77777777" w:rsidTr="00082AE8">
        <w:trPr>
          <w:cantSplit/>
          <w:trHeight w:val="340"/>
          <w:jc w:val="center"/>
        </w:trPr>
        <w:tc>
          <w:tcPr>
            <w:tcW w:w="3912" w:type="dxa"/>
            <w:tcBorders>
              <w:left w:val="nil"/>
              <w:bottom w:val="nil"/>
              <w:right w:val="nil"/>
            </w:tcBorders>
            <w:shd w:val="clear" w:color="auto" w:fill="auto"/>
            <w:vAlign w:val="bottom"/>
            <w:hideMark/>
          </w:tcPr>
          <w:p w14:paraId="69738DD4" w14:textId="77777777" w:rsidR="00DB23E0" w:rsidRPr="006D7720" w:rsidRDefault="00DB23E0" w:rsidP="00082AE8">
            <w:pPr>
              <w:ind w:firstLineChars="100" w:firstLine="200"/>
              <w:rPr>
                <w:rFonts w:ascii="Times New Roman" w:hAnsi="Times New Roman" w:cs="Times New Roman"/>
                <w:sz w:val="20"/>
                <w:szCs w:val="20"/>
                <w:lang w:val="en-US"/>
              </w:rPr>
            </w:pPr>
            <w:r w:rsidRPr="006D7720">
              <w:rPr>
                <w:rFonts w:ascii="Times New Roman" w:hAnsi="Times New Roman" w:cs="Times New Roman"/>
                <w:sz w:val="20"/>
                <w:szCs w:val="20"/>
                <w:lang w:val="en-US"/>
              </w:rPr>
              <w:t>Poultry</w:t>
            </w:r>
          </w:p>
        </w:tc>
        <w:tc>
          <w:tcPr>
            <w:tcW w:w="1060" w:type="dxa"/>
            <w:tcBorders>
              <w:left w:val="nil"/>
              <w:bottom w:val="nil"/>
              <w:right w:val="nil"/>
            </w:tcBorders>
            <w:shd w:val="clear" w:color="auto" w:fill="auto"/>
            <w:noWrap/>
            <w:vAlign w:val="center"/>
            <w:hideMark/>
          </w:tcPr>
          <w:p w14:paraId="1114DF3B" w14:textId="77777777" w:rsidR="00DB23E0" w:rsidRPr="00F378E9" w:rsidRDefault="00DB23E0" w:rsidP="00082AE8">
            <w:pPr>
              <w:spacing w:before="100" w:after="100" w:line="240" w:lineRule="auto"/>
              <w:ind w:left="-193" w:right="186"/>
              <w:jc w:val="right"/>
              <w:rPr>
                <w:rFonts w:ascii="Arial" w:hAnsi="Arial" w:cs="Arial"/>
                <w:color w:val="000000"/>
                <w:sz w:val="20"/>
                <w:szCs w:val="20"/>
                <w:lang w:eastAsia="en-GB"/>
              </w:rPr>
            </w:pPr>
            <w:r w:rsidRPr="00F378E9">
              <w:rPr>
                <w:rFonts w:ascii="Arial" w:hAnsi="Arial" w:cs="Arial"/>
                <w:color w:val="000000"/>
                <w:sz w:val="20"/>
                <w:szCs w:val="20"/>
                <w:lang w:val="en-US" w:eastAsia="en-GB"/>
              </w:rPr>
              <w:t>541</w:t>
            </w:r>
            <w:r>
              <w:rPr>
                <w:rFonts w:ascii="Arial" w:hAnsi="Arial" w:cs="Arial"/>
                <w:color w:val="000000"/>
                <w:sz w:val="20"/>
                <w:szCs w:val="20"/>
                <w:lang w:val="en-US" w:eastAsia="en-GB"/>
              </w:rPr>
              <w:t>.</w:t>
            </w:r>
            <w:r w:rsidRPr="00F378E9">
              <w:rPr>
                <w:rFonts w:ascii="Arial" w:hAnsi="Arial" w:cs="Arial"/>
                <w:color w:val="000000"/>
                <w:sz w:val="20"/>
                <w:szCs w:val="20"/>
                <w:lang w:val="en-US" w:eastAsia="en-GB"/>
              </w:rPr>
              <w:t>2</w:t>
            </w:r>
          </w:p>
        </w:tc>
        <w:tc>
          <w:tcPr>
            <w:tcW w:w="1060" w:type="dxa"/>
            <w:tcBorders>
              <w:left w:val="nil"/>
              <w:bottom w:val="nil"/>
              <w:right w:val="nil"/>
            </w:tcBorders>
            <w:shd w:val="clear" w:color="auto" w:fill="auto"/>
            <w:noWrap/>
            <w:vAlign w:val="center"/>
            <w:hideMark/>
          </w:tcPr>
          <w:p w14:paraId="68C48584" w14:textId="77777777" w:rsidR="00DB23E0" w:rsidRPr="00F378E9" w:rsidRDefault="00DB23E0" w:rsidP="00082AE8">
            <w:pPr>
              <w:spacing w:before="100" w:after="100" w:line="240" w:lineRule="auto"/>
              <w:ind w:left="-193" w:right="186"/>
              <w:jc w:val="right"/>
              <w:rPr>
                <w:rFonts w:ascii="Arial" w:hAnsi="Arial" w:cs="Arial"/>
                <w:color w:val="000000"/>
                <w:sz w:val="20"/>
                <w:szCs w:val="20"/>
                <w:lang w:eastAsia="en-GB"/>
              </w:rPr>
            </w:pPr>
            <w:r>
              <w:rPr>
                <w:rFonts w:ascii="Arial" w:hAnsi="Arial" w:cs="Arial"/>
                <w:color w:val="000000"/>
                <w:sz w:val="20"/>
                <w:szCs w:val="20"/>
                <w:lang w:val="en-US" w:eastAsia="en-GB"/>
              </w:rPr>
              <w:t>1,</w:t>
            </w:r>
            <w:r w:rsidRPr="00F378E9">
              <w:rPr>
                <w:rFonts w:ascii="Arial" w:hAnsi="Arial" w:cs="Arial"/>
                <w:color w:val="000000"/>
                <w:sz w:val="20"/>
                <w:szCs w:val="20"/>
                <w:lang w:val="en-US" w:eastAsia="en-GB"/>
              </w:rPr>
              <w:t>940</w:t>
            </w:r>
            <w:r>
              <w:rPr>
                <w:rFonts w:ascii="Arial" w:hAnsi="Arial" w:cs="Arial"/>
                <w:color w:val="000000"/>
                <w:sz w:val="20"/>
                <w:szCs w:val="20"/>
                <w:lang w:val="en-US" w:eastAsia="en-GB"/>
              </w:rPr>
              <w:t>.</w:t>
            </w:r>
            <w:r w:rsidRPr="00F378E9">
              <w:rPr>
                <w:rFonts w:ascii="Arial" w:hAnsi="Arial" w:cs="Arial"/>
                <w:color w:val="000000"/>
                <w:sz w:val="20"/>
                <w:szCs w:val="20"/>
                <w:lang w:val="en-US" w:eastAsia="en-GB"/>
              </w:rPr>
              <w:t>9</w:t>
            </w:r>
          </w:p>
        </w:tc>
        <w:tc>
          <w:tcPr>
            <w:tcW w:w="1366" w:type="dxa"/>
            <w:tcBorders>
              <w:left w:val="nil"/>
              <w:bottom w:val="nil"/>
              <w:right w:val="nil"/>
            </w:tcBorders>
            <w:shd w:val="clear" w:color="auto" w:fill="auto"/>
            <w:noWrap/>
            <w:vAlign w:val="center"/>
            <w:hideMark/>
          </w:tcPr>
          <w:p w14:paraId="564303CD" w14:textId="77777777" w:rsidR="00DB23E0" w:rsidRPr="00F378E9" w:rsidRDefault="00DB23E0" w:rsidP="00082AE8">
            <w:pPr>
              <w:spacing w:before="100" w:after="100" w:line="240" w:lineRule="auto"/>
              <w:ind w:right="330"/>
              <w:jc w:val="right"/>
              <w:rPr>
                <w:rFonts w:ascii="Arial" w:hAnsi="Arial" w:cs="Arial"/>
                <w:color w:val="000000"/>
                <w:sz w:val="20"/>
                <w:szCs w:val="20"/>
                <w:lang w:eastAsia="en-GB"/>
              </w:rPr>
            </w:pPr>
            <w:r w:rsidRPr="00F378E9">
              <w:rPr>
                <w:rFonts w:ascii="Arial" w:hAnsi="Arial" w:cs="Arial"/>
                <w:color w:val="000000"/>
                <w:sz w:val="20"/>
                <w:szCs w:val="20"/>
                <w:lang w:val="en-US" w:eastAsia="en-GB"/>
              </w:rPr>
              <w:t>0</w:t>
            </w:r>
            <w:r>
              <w:rPr>
                <w:rFonts w:ascii="Arial" w:hAnsi="Arial" w:cs="Arial"/>
                <w:color w:val="000000"/>
                <w:sz w:val="20"/>
                <w:szCs w:val="20"/>
                <w:lang w:val="en-US" w:eastAsia="en-GB"/>
              </w:rPr>
              <w:t>.</w:t>
            </w:r>
            <w:r w:rsidRPr="00F378E9">
              <w:rPr>
                <w:rFonts w:ascii="Arial" w:hAnsi="Arial" w:cs="Arial"/>
                <w:color w:val="000000"/>
                <w:sz w:val="20"/>
                <w:szCs w:val="20"/>
                <w:lang w:val="en-US" w:eastAsia="en-GB"/>
              </w:rPr>
              <w:t>9</w:t>
            </w:r>
          </w:p>
        </w:tc>
        <w:tc>
          <w:tcPr>
            <w:tcW w:w="1361" w:type="dxa"/>
            <w:tcBorders>
              <w:left w:val="nil"/>
              <w:bottom w:val="nil"/>
              <w:right w:val="nil"/>
            </w:tcBorders>
            <w:shd w:val="clear" w:color="auto" w:fill="auto"/>
            <w:noWrap/>
            <w:vAlign w:val="center"/>
            <w:hideMark/>
          </w:tcPr>
          <w:p w14:paraId="63F5AA0F" w14:textId="77777777" w:rsidR="00DB23E0" w:rsidRPr="00F378E9" w:rsidRDefault="00DB23E0" w:rsidP="00082AE8">
            <w:pPr>
              <w:spacing w:before="100" w:after="100" w:line="240" w:lineRule="auto"/>
              <w:ind w:right="330"/>
              <w:jc w:val="right"/>
              <w:rPr>
                <w:rFonts w:ascii="Arial" w:hAnsi="Arial" w:cs="Arial"/>
                <w:color w:val="000000"/>
                <w:sz w:val="20"/>
                <w:szCs w:val="20"/>
                <w:lang w:eastAsia="en-GB"/>
              </w:rPr>
            </w:pPr>
            <w:r w:rsidRPr="00F378E9">
              <w:rPr>
                <w:rFonts w:ascii="Arial" w:hAnsi="Arial" w:cs="Arial"/>
                <w:color w:val="000000"/>
                <w:sz w:val="20"/>
                <w:szCs w:val="20"/>
                <w:lang w:val="en-US" w:eastAsia="en-GB"/>
              </w:rPr>
              <w:t>3</w:t>
            </w:r>
            <w:r>
              <w:rPr>
                <w:rFonts w:ascii="Arial" w:hAnsi="Arial" w:cs="Arial"/>
                <w:color w:val="000000"/>
                <w:sz w:val="20"/>
                <w:szCs w:val="20"/>
                <w:lang w:val="en-US" w:eastAsia="en-GB"/>
              </w:rPr>
              <w:t>.</w:t>
            </w:r>
            <w:r w:rsidRPr="00F378E9">
              <w:rPr>
                <w:rFonts w:ascii="Arial" w:hAnsi="Arial" w:cs="Arial"/>
                <w:color w:val="000000"/>
                <w:sz w:val="20"/>
                <w:szCs w:val="20"/>
                <w:lang w:val="en-US" w:eastAsia="en-GB"/>
              </w:rPr>
              <w:t>2</w:t>
            </w:r>
          </w:p>
        </w:tc>
      </w:tr>
      <w:tr w:rsidR="00DB23E0" w:rsidRPr="00F378E9" w14:paraId="42F38233" w14:textId="77777777" w:rsidTr="00082AE8">
        <w:trPr>
          <w:cantSplit/>
          <w:trHeight w:val="340"/>
          <w:jc w:val="center"/>
        </w:trPr>
        <w:tc>
          <w:tcPr>
            <w:tcW w:w="3912" w:type="dxa"/>
            <w:tcBorders>
              <w:top w:val="nil"/>
              <w:left w:val="nil"/>
              <w:bottom w:val="nil"/>
              <w:right w:val="nil"/>
            </w:tcBorders>
            <w:shd w:val="clear" w:color="auto" w:fill="auto"/>
            <w:vAlign w:val="bottom"/>
            <w:hideMark/>
          </w:tcPr>
          <w:p w14:paraId="6126AF97" w14:textId="77777777" w:rsidR="00DB23E0" w:rsidRPr="006D7720" w:rsidRDefault="00DB23E0" w:rsidP="00082AE8">
            <w:pPr>
              <w:ind w:firstLineChars="100" w:firstLine="200"/>
              <w:rPr>
                <w:rFonts w:ascii="Times New Roman" w:hAnsi="Times New Roman" w:cs="Times New Roman"/>
                <w:sz w:val="20"/>
                <w:szCs w:val="20"/>
                <w:lang w:val="en-US"/>
              </w:rPr>
            </w:pPr>
            <w:r w:rsidRPr="006D7720">
              <w:rPr>
                <w:rFonts w:ascii="Times New Roman" w:hAnsi="Times New Roman" w:cs="Times New Roman"/>
                <w:sz w:val="20"/>
                <w:szCs w:val="20"/>
                <w:lang w:val="en-US"/>
              </w:rPr>
              <w:t>Buffalo</w:t>
            </w:r>
          </w:p>
        </w:tc>
        <w:tc>
          <w:tcPr>
            <w:tcW w:w="1060" w:type="dxa"/>
            <w:tcBorders>
              <w:top w:val="nil"/>
              <w:left w:val="nil"/>
              <w:bottom w:val="nil"/>
              <w:right w:val="nil"/>
            </w:tcBorders>
            <w:shd w:val="clear" w:color="auto" w:fill="auto"/>
            <w:noWrap/>
            <w:vAlign w:val="center"/>
            <w:hideMark/>
          </w:tcPr>
          <w:p w14:paraId="242B2C31" w14:textId="77777777" w:rsidR="00DB23E0" w:rsidRPr="00F378E9" w:rsidRDefault="00DB23E0" w:rsidP="00082AE8">
            <w:pPr>
              <w:spacing w:before="100" w:after="100" w:line="240" w:lineRule="auto"/>
              <w:ind w:left="-193" w:right="186"/>
              <w:jc w:val="right"/>
              <w:rPr>
                <w:rFonts w:ascii="Arial" w:hAnsi="Arial" w:cs="Arial"/>
                <w:color w:val="000000"/>
                <w:sz w:val="20"/>
                <w:szCs w:val="20"/>
                <w:lang w:eastAsia="en-GB"/>
              </w:rPr>
            </w:pPr>
            <w:r w:rsidRPr="00F378E9">
              <w:rPr>
                <w:rFonts w:ascii="Arial" w:hAnsi="Arial" w:cs="Arial"/>
                <w:color w:val="000000"/>
                <w:sz w:val="20"/>
                <w:szCs w:val="20"/>
                <w:lang w:val="en-US" w:eastAsia="en-GB"/>
              </w:rPr>
              <w:t>34</w:t>
            </w:r>
            <w:r>
              <w:rPr>
                <w:rFonts w:ascii="Arial" w:hAnsi="Arial" w:cs="Arial"/>
                <w:color w:val="000000"/>
                <w:sz w:val="20"/>
                <w:szCs w:val="20"/>
                <w:lang w:val="en-US" w:eastAsia="en-GB"/>
              </w:rPr>
              <w:t>.</w:t>
            </w:r>
            <w:r w:rsidRPr="00F378E9">
              <w:rPr>
                <w:rFonts w:ascii="Arial" w:hAnsi="Arial" w:cs="Arial"/>
                <w:color w:val="000000"/>
                <w:sz w:val="20"/>
                <w:szCs w:val="20"/>
                <w:lang w:val="en-US" w:eastAsia="en-GB"/>
              </w:rPr>
              <w:t>5</w:t>
            </w:r>
          </w:p>
        </w:tc>
        <w:tc>
          <w:tcPr>
            <w:tcW w:w="1060" w:type="dxa"/>
            <w:tcBorders>
              <w:top w:val="nil"/>
              <w:left w:val="nil"/>
              <w:bottom w:val="nil"/>
              <w:right w:val="nil"/>
            </w:tcBorders>
            <w:shd w:val="clear" w:color="auto" w:fill="auto"/>
            <w:noWrap/>
            <w:vAlign w:val="center"/>
            <w:hideMark/>
          </w:tcPr>
          <w:p w14:paraId="274B22B4" w14:textId="77777777" w:rsidR="00DB23E0" w:rsidRPr="00F378E9" w:rsidRDefault="00DB23E0" w:rsidP="00082AE8">
            <w:pPr>
              <w:spacing w:before="100" w:after="100" w:line="240" w:lineRule="auto"/>
              <w:ind w:left="-193" w:right="186"/>
              <w:jc w:val="right"/>
              <w:rPr>
                <w:rFonts w:ascii="Arial" w:hAnsi="Arial" w:cs="Arial"/>
                <w:color w:val="000000"/>
                <w:sz w:val="20"/>
                <w:szCs w:val="20"/>
                <w:lang w:eastAsia="en-GB"/>
              </w:rPr>
            </w:pPr>
            <w:r w:rsidRPr="00F378E9">
              <w:rPr>
                <w:rFonts w:ascii="Arial" w:hAnsi="Arial" w:cs="Arial"/>
                <w:color w:val="000000"/>
                <w:sz w:val="20"/>
                <w:szCs w:val="20"/>
                <w:lang w:val="en-US" w:eastAsia="en-GB"/>
              </w:rPr>
              <w:t>120</w:t>
            </w:r>
            <w:r>
              <w:rPr>
                <w:rFonts w:ascii="Arial" w:hAnsi="Arial" w:cs="Arial"/>
                <w:color w:val="000000"/>
                <w:sz w:val="20"/>
                <w:szCs w:val="20"/>
                <w:lang w:val="en-US" w:eastAsia="en-GB"/>
              </w:rPr>
              <w:t>.</w:t>
            </w:r>
            <w:r w:rsidRPr="00F378E9">
              <w:rPr>
                <w:rFonts w:ascii="Arial" w:hAnsi="Arial" w:cs="Arial"/>
                <w:color w:val="000000"/>
                <w:sz w:val="20"/>
                <w:szCs w:val="20"/>
                <w:lang w:val="en-US" w:eastAsia="en-GB"/>
              </w:rPr>
              <w:t>9</w:t>
            </w:r>
          </w:p>
        </w:tc>
        <w:tc>
          <w:tcPr>
            <w:tcW w:w="1366" w:type="dxa"/>
            <w:tcBorders>
              <w:top w:val="nil"/>
              <w:left w:val="nil"/>
              <w:bottom w:val="nil"/>
              <w:right w:val="nil"/>
            </w:tcBorders>
            <w:shd w:val="clear" w:color="auto" w:fill="auto"/>
            <w:noWrap/>
            <w:vAlign w:val="center"/>
            <w:hideMark/>
          </w:tcPr>
          <w:p w14:paraId="087F1123" w14:textId="77777777" w:rsidR="00DB23E0" w:rsidRPr="00F378E9" w:rsidRDefault="00DB23E0" w:rsidP="00082AE8">
            <w:pPr>
              <w:spacing w:before="100" w:after="100" w:line="240" w:lineRule="auto"/>
              <w:ind w:right="330"/>
              <w:jc w:val="right"/>
              <w:rPr>
                <w:rFonts w:ascii="Arial" w:hAnsi="Arial" w:cs="Arial"/>
                <w:color w:val="000000"/>
                <w:sz w:val="20"/>
                <w:szCs w:val="20"/>
                <w:lang w:eastAsia="en-GB"/>
              </w:rPr>
            </w:pPr>
            <w:r w:rsidRPr="00F378E9">
              <w:rPr>
                <w:rFonts w:ascii="Arial" w:hAnsi="Arial" w:cs="Arial"/>
                <w:color w:val="000000"/>
                <w:sz w:val="20"/>
                <w:szCs w:val="20"/>
                <w:lang w:val="en-US" w:eastAsia="en-GB"/>
              </w:rPr>
              <w:t>3</w:t>
            </w:r>
            <w:r>
              <w:rPr>
                <w:rFonts w:ascii="Arial" w:hAnsi="Arial" w:cs="Arial"/>
                <w:color w:val="000000"/>
                <w:sz w:val="20"/>
                <w:szCs w:val="20"/>
                <w:lang w:val="en-US" w:eastAsia="en-GB"/>
              </w:rPr>
              <w:t>.</w:t>
            </w:r>
            <w:r w:rsidRPr="00F378E9">
              <w:rPr>
                <w:rFonts w:ascii="Arial" w:hAnsi="Arial" w:cs="Arial"/>
                <w:color w:val="000000"/>
                <w:sz w:val="20"/>
                <w:szCs w:val="20"/>
                <w:lang w:val="en-US" w:eastAsia="en-GB"/>
              </w:rPr>
              <w:t>5</w:t>
            </w:r>
          </w:p>
        </w:tc>
        <w:tc>
          <w:tcPr>
            <w:tcW w:w="1361" w:type="dxa"/>
            <w:tcBorders>
              <w:top w:val="nil"/>
              <w:left w:val="nil"/>
              <w:bottom w:val="nil"/>
              <w:right w:val="nil"/>
            </w:tcBorders>
            <w:shd w:val="clear" w:color="auto" w:fill="auto"/>
            <w:noWrap/>
            <w:vAlign w:val="center"/>
            <w:hideMark/>
          </w:tcPr>
          <w:p w14:paraId="0DC1129B" w14:textId="77777777" w:rsidR="00DB23E0" w:rsidRPr="00F378E9" w:rsidRDefault="00DB23E0" w:rsidP="00082AE8">
            <w:pPr>
              <w:spacing w:before="100" w:after="100" w:line="240" w:lineRule="auto"/>
              <w:ind w:right="330"/>
              <w:jc w:val="right"/>
              <w:rPr>
                <w:rFonts w:ascii="Arial" w:hAnsi="Arial" w:cs="Arial"/>
                <w:color w:val="000000"/>
                <w:sz w:val="20"/>
                <w:szCs w:val="20"/>
                <w:lang w:eastAsia="en-GB"/>
              </w:rPr>
            </w:pPr>
            <w:r w:rsidRPr="00F378E9">
              <w:rPr>
                <w:rFonts w:ascii="Arial" w:hAnsi="Arial" w:cs="Arial"/>
                <w:color w:val="000000"/>
                <w:sz w:val="20"/>
                <w:szCs w:val="20"/>
                <w:lang w:val="en-US" w:eastAsia="en-GB"/>
              </w:rPr>
              <w:t>0</w:t>
            </w:r>
            <w:r>
              <w:rPr>
                <w:rFonts w:ascii="Arial" w:hAnsi="Arial" w:cs="Arial"/>
                <w:color w:val="000000"/>
                <w:sz w:val="20"/>
                <w:szCs w:val="20"/>
                <w:lang w:val="en-US" w:eastAsia="en-GB"/>
              </w:rPr>
              <w:t>.</w:t>
            </w:r>
            <w:r w:rsidRPr="00F378E9">
              <w:rPr>
                <w:rFonts w:ascii="Arial" w:hAnsi="Arial" w:cs="Arial"/>
                <w:color w:val="000000"/>
                <w:sz w:val="20"/>
                <w:szCs w:val="20"/>
                <w:lang w:val="en-US" w:eastAsia="en-GB"/>
              </w:rPr>
              <w:t>5</w:t>
            </w:r>
          </w:p>
        </w:tc>
      </w:tr>
      <w:tr w:rsidR="00DB23E0" w:rsidRPr="00F378E9" w14:paraId="429E6058" w14:textId="77777777" w:rsidTr="00082AE8">
        <w:trPr>
          <w:cantSplit/>
          <w:trHeight w:val="340"/>
          <w:jc w:val="center"/>
        </w:trPr>
        <w:tc>
          <w:tcPr>
            <w:tcW w:w="3912" w:type="dxa"/>
            <w:tcBorders>
              <w:top w:val="nil"/>
              <w:left w:val="nil"/>
              <w:bottom w:val="nil"/>
              <w:right w:val="nil"/>
            </w:tcBorders>
            <w:shd w:val="clear" w:color="auto" w:fill="auto"/>
            <w:vAlign w:val="bottom"/>
            <w:hideMark/>
          </w:tcPr>
          <w:p w14:paraId="12D6B9B8" w14:textId="77777777" w:rsidR="00DB23E0" w:rsidRPr="006D7720" w:rsidRDefault="00DB23E0" w:rsidP="00082AE8">
            <w:pPr>
              <w:ind w:firstLineChars="100" w:firstLine="200"/>
              <w:rPr>
                <w:rFonts w:ascii="Times New Roman" w:hAnsi="Times New Roman" w:cs="Times New Roman"/>
                <w:sz w:val="20"/>
                <w:szCs w:val="20"/>
                <w:lang w:val="en-US"/>
              </w:rPr>
            </w:pPr>
            <w:r>
              <w:rPr>
                <w:rFonts w:ascii="Times New Roman" w:hAnsi="Times New Roman" w:cs="Times New Roman"/>
                <w:sz w:val="20"/>
                <w:szCs w:val="20"/>
                <w:lang w:val="en-US"/>
              </w:rPr>
              <w:t>Cattle</w:t>
            </w:r>
          </w:p>
        </w:tc>
        <w:tc>
          <w:tcPr>
            <w:tcW w:w="1060" w:type="dxa"/>
            <w:tcBorders>
              <w:top w:val="nil"/>
              <w:left w:val="nil"/>
              <w:bottom w:val="nil"/>
              <w:right w:val="nil"/>
            </w:tcBorders>
            <w:shd w:val="clear" w:color="auto" w:fill="auto"/>
            <w:noWrap/>
            <w:vAlign w:val="center"/>
            <w:hideMark/>
          </w:tcPr>
          <w:p w14:paraId="529F7D7E" w14:textId="77777777" w:rsidR="00DB23E0" w:rsidRPr="00F378E9" w:rsidRDefault="00DB23E0" w:rsidP="00082AE8">
            <w:pPr>
              <w:spacing w:before="100" w:after="100" w:line="240" w:lineRule="auto"/>
              <w:ind w:left="-193" w:right="186"/>
              <w:jc w:val="right"/>
              <w:rPr>
                <w:rFonts w:ascii="Arial" w:hAnsi="Arial" w:cs="Arial"/>
                <w:color w:val="000000"/>
                <w:sz w:val="20"/>
                <w:szCs w:val="20"/>
                <w:lang w:eastAsia="en-GB"/>
              </w:rPr>
            </w:pPr>
            <w:r w:rsidRPr="00F378E9">
              <w:rPr>
                <w:rFonts w:ascii="Arial" w:hAnsi="Arial" w:cs="Arial"/>
                <w:color w:val="000000"/>
                <w:sz w:val="20"/>
                <w:szCs w:val="20"/>
                <w:lang w:val="en-US" w:eastAsia="en-GB"/>
              </w:rPr>
              <w:t>123</w:t>
            </w:r>
            <w:r>
              <w:rPr>
                <w:rFonts w:ascii="Arial" w:hAnsi="Arial" w:cs="Arial"/>
                <w:color w:val="000000"/>
                <w:sz w:val="20"/>
                <w:szCs w:val="20"/>
                <w:lang w:val="en-US" w:eastAsia="en-GB"/>
              </w:rPr>
              <w:t>.</w:t>
            </w:r>
            <w:r w:rsidRPr="00F378E9">
              <w:rPr>
                <w:rFonts w:ascii="Arial" w:hAnsi="Arial" w:cs="Arial"/>
                <w:color w:val="000000"/>
                <w:sz w:val="20"/>
                <w:szCs w:val="20"/>
                <w:lang w:val="en-US" w:eastAsia="en-GB"/>
              </w:rPr>
              <w:t>2</w:t>
            </w:r>
          </w:p>
        </w:tc>
        <w:tc>
          <w:tcPr>
            <w:tcW w:w="1060" w:type="dxa"/>
            <w:tcBorders>
              <w:top w:val="nil"/>
              <w:left w:val="nil"/>
              <w:bottom w:val="nil"/>
              <w:right w:val="nil"/>
            </w:tcBorders>
            <w:shd w:val="clear" w:color="auto" w:fill="auto"/>
            <w:noWrap/>
            <w:vAlign w:val="center"/>
            <w:hideMark/>
          </w:tcPr>
          <w:p w14:paraId="4B9E26B6" w14:textId="77777777" w:rsidR="00DB23E0" w:rsidRPr="00F378E9" w:rsidRDefault="00DB23E0" w:rsidP="00082AE8">
            <w:pPr>
              <w:spacing w:before="100" w:after="100" w:line="240" w:lineRule="auto"/>
              <w:ind w:left="-193" w:right="186"/>
              <w:jc w:val="right"/>
              <w:rPr>
                <w:rFonts w:ascii="Arial" w:hAnsi="Arial" w:cs="Arial"/>
                <w:color w:val="000000"/>
                <w:sz w:val="20"/>
                <w:szCs w:val="20"/>
                <w:lang w:eastAsia="en-GB"/>
              </w:rPr>
            </w:pPr>
            <w:r w:rsidRPr="00F378E9">
              <w:rPr>
                <w:rFonts w:ascii="Arial" w:hAnsi="Arial" w:cs="Arial"/>
                <w:color w:val="000000"/>
                <w:sz w:val="20"/>
                <w:szCs w:val="20"/>
                <w:lang w:val="en-US" w:eastAsia="en-GB"/>
              </w:rPr>
              <w:t>458</w:t>
            </w:r>
            <w:r>
              <w:rPr>
                <w:rFonts w:ascii="Arial" w:hAnsi="Arial" w:cs="Arial"/>
                <w:color w:val="000000"/>
                <w:sz w:val="20"/>
                <w:szCs w:val="20"/>
                <w:lang w:val="en-US" w:eastAsia="en-GB"/>
              </w:rPr>
              <w:t>.</w:t>
            </w:r>
            <w:r w:rsidRPr="00F378E9">
              <w:rPr>
                <w:rFonts w:ascii="Arial" w:hAnsi="Arial" w:cs="Arial"/>
                <w:color w:val="000000"/>
                <w:sz w:val="20"/>
                <w:szCs w:val="20"/>
                <w:lang w:val="en-US" w:eastAsia="en-GB"/>
              </w:rPr>
              <w:t>3</w:t>
            </w:r>
          </w:p>
        </w:tc>
        <w:tc>
          <w:tcPr>
            <w:tcW w:w="1366" w:type="dxa"/>
            <w:tcBorders>
              <w:top w:val="nil"/>
              <w:left w:val="nil"/>
              <w:bottom w:val="nil"/>
              <w:right w:val="nil"/>
            </w:tcBorders>
            <w:shd w:val="clear" w:color="auto" w:fill="auto"/>
            <w:noWrap/>
            <w:vAlign w:val="center"/>
            <w:hideMark/>
          </w:tcPr>
          <w:p w14:paraId="0D3FE917" w14:textId="77777777" w:rsidR="00DB23E0" w:rsidRPr="00F378E9" w:rsidRDefault="00DB23E0" w:rsidP="00082AE8">
            <w:pPr>
              <w:spacing w:before="100" w:after="100" w:line="240" w:lineRule="auto"/>
              <w:ind w:right="330"/>
              <w:jc w:val="right"/>
              <w:rPr>
                <w:rFonts w:ascii="Arial" w:hAnsi="Arial" w:cs="Arial"/>
                <w:color w:val="000000"/>
                <w:sz w:val="20"/>
                <w:szCs w:val="20"/>
                <w:lang w:eastAsia="en-GB"/>
              </w:rPr>
            </w:pPr>
            <w:r w:rsidRPr="00F378E9">
              <w:rPr>
                <w:rFonts w:ascii="Arial" w:hAnsi="Arial" w:cs="Arial"/>
                <w:color w:val="000000"/>
                <w:sz w:val="20"/>
                <w:szCs w:val="20"/>
                <w:lang w:val="en-US" w:eastAsia="en-GB"/>
              </w:rPr>
              <w:t>5</w:t>
            </w:r>
            <w:r>
              <w:rPr>
                <w:rFonts w:ascii="Arial" w:hAnsi="Arial" w:cs="Arial"/>
                <w:color w:val="000000"/>
                <w:sz w:val="20"/>
                <w:szCs w:val="20"/>
                <w:lang w:val="en-US" w:eastAsia="en-GB"/>
              </w:rPr>
              <w:t>.</w:t>
            </w:r>
            <w:r w:rsidRPr="00F378E9">
              <w:rPr>
                <w:rFonts w:ascii="Arial" w:hAnsi="Arial" w:cs="Arial"/>
                <w:color w:val="000000"/>
                <w:sz w:val="20"/>
                <w:szCs w:val="20"/>
                <w:lang w:val="en-US" w:eastAsia="en-GB"/>
              </w:rPr>
              <w:t>4</w:t>
            </w:r>
          </w:p>
        </w:tc>
        <w:tc>
          <w:tcPr>
            <w:tcW w:w="1361" w:type="dxa"/>
            <w:tcBorders>
              <w:top w:val="nil"/>
              <w:left w:val="nil"/>
              <w:bottom w:val="nil"/>
              <w:right w:val="nil"/>
            </w:tcBorders>
            <w:shd w:val="clear" w:color="auto" w:fill="auto"/>
            <w:noWrap/>
            <w:vAlign w:val="center"/>
            <w:hideMark/>
          </w:tcPr>
          <w:p w14:paraId="67DDCA14" w14:textId="77777777" w:rsidR="00DB23E0" w:rsidRPr="00F378E9" w:rsidRDefault="00DB23E0" w:rsidP="00082AE8">
            <w:pPr>
              <w:spacing w:before="100" w:after="100" w:line="240" w:lineRule="auto"/>
              <w:ind w:right="330"/>
              <w:jc w:val="right"/>
              <w:rPr>
                <w:rFonts w:ascii="Arial" w:hAnsi="Arial" w:cs="Arial"/>
                <w:color w:val="000000"/>
                <w:sz w:val="20"/>
                <w:szCs w:val="20"/>
                <w:lang w:eastAsia="en-GB"/>
              </w:rPr>
            </w:pPr>
            <w:r w:rsidRPr="00F378E9">
              <w:rPr>
                <w:rFonts w:ascii="Arial" w:hAnsi="Arial" w:cs="Arial"/>
                <w:color w:val="000000"/>
                <w:sz w:val="20"/>
                <w:szCs w:val="20"/>
                <w:lang w:val="en-US" w:eastAsia="en-GB"/>
              </w:rPr>
              <w:t>3</w:t>
            </w:r>
            <w:r>
              <w:rPr>
                <w:rFonts w:ascii="Arial" w:hAnsi="Arial" w:cs="Arial"/>
                <w:color w:val="000000"/>
                <w:sz w:val="20"/>
                <w:szCs w:val="20"/>
                <w:lang w:val="en-US" w:eastAsia="en-GB"/>
              </w:rPr>
              <w:t>.</w:t>
            </w:r>
            <w:r w:rsidRPr="00F378E9">
              <w:rPr>
                <w:rFonts w:ascii="Arial" w:hAnsi="Arial" w:cs="Arial"/>
                <w:color w:val="000000"/>
                <w:sz w:val="20"/>
                <w:szCs w:val="20"/>
                <w:lang w:val="en-US" w:eastAsia="en-GB"/>
              </w:rPr>
              <w:t>8</w:t>
            </w:r>
          </w:p>
        </w:tc>
      </w:tr>
      <w:tr w:rsidR="00DB23E0" w:rsidRPr="00F378E9" w14:paraId="699CCAA5" w14:textId="77777777" w:rsidTr="00082AE8">
        <w:trPr>
          <w:cantSplit/>
          <w:trHeight w:val="340"/>
          <w:jc w:val="center"/>
        </w:trPr>
        <w:tc>
          <w:tcPr>
            <w:tcW w:w="3912" w:type="dxa"/>
            <w:tcBorders>
              <w:top w:val="nil"/>
              <w:left w:val="nil"/>
              <w:bottom w:val="nil"/>
              <w:right w:val="nil"/>
            </w:tcBorders>
            <w:shd w:val="clear" w:color="auto" w:fill="auto"/>
            <w:noWrap/>
            <w:vAlign w:val="bottom"/>
            <w:hideMark/>
          </w:tcPr>
          <w:p w14:paraId="50E2EC34" w14:textId="77777777" w:rsidR="00DB23E0" w:rsidRPr="006D7720" w:rsidRDefault="00DB23E0" w:rsidP="00082AE8">
            <w:pPr>
              <w:rPr>
                <w:rFonts w:ascii="Times New Roman" w:hAnsi="Times New Roman" w:cs="Times New Roman"/>
                <w:sz w:val="20"/>
                <w:szCs w:val="20"/>
                <w:lang w:val="en-US"/>
              </w:rPr>
            </w:pPr>
            <w:r w:rsidRPr="006D7720">
              <w:rPr>
                <w:rFonts w:ascii="Times New Roman" w:hAnsi="Times New Roman" w:cs="Times New Roman"/>
                <w:sz w:val="20"/>
                <w:szCs w:val="20"/>
                <w:lang w:val="en-US"/>
              </w:rPr>
              <w:t>Eggs (Mill. pieces)</w:t>
            </w:r>
          </w:p>
        </w:tc>
        <w:tc>
          <w:tcPr>
            <w:tcW w:w="1060" w:type="dxa"/>
            <w:tcBorders>
              <w:top w:val="nil"/>
              <w:left w:val="nil"/>
              <w:bottom w:val="nil"/>
              <w:right w:val="nil"/>
            </w:tcBorders>
            <w:shd w:val="clear" w:color="auto" w:fill="auto"/>
            <w:noWrap/>
            <w:vAlign w:val="center"/>
            <w:hideMark/>
          </w:tcPr>
          <w:p w14:paraId="2C8C77BC" w14:textId="77777777" w:rsidR="00DB23E0" w:rsidRPr="00F378E9" w:rsidRDefault="00DB23E0" w:rsidP="00082AE8">
            <w:pPr>
              <w:spacing w:before="100" w:after="100" w:line="240" w:lineRule="auto"/>
              <w:ind w:left="-193" w:right="186"/>
              <w:jc w:val="right"/>
              <w:rPr>
                <w:rFonts w:ascii="Arial" w:hAnsi="Arial" w:cs="Arial"/>
                <w:color w:val="000000"/>
                <w:sz w:val="20"/>
                <w:szCs w:val="20"/>
                <w:lang w:eastAsia="en-GB"/>
              </w:rPr>
            </w:pPr>
            <w:r>
              <w:rPr>
                <w:rFonts w:ascii="Arial" w:hAnsi="Arial" w:cs="Arial"/>
                <w:color w:val="000000"/>
                <w:sz w:val="20"/>
                <w:szCs w:val="20"/>
                <w:lang w:val="en-US" w:eastAsia="en-GB"/>
              </w:rPr>
              <w:t>4,</w:t>
            </w:r>
            <w:r w:rsidRPr="00F378E9">
              <w:rPr>
                <w:rFonts w:ascii="Arial" w:hAnsi="Arial" w:cs="Arial"/>
                <w:color w:val="000000"/>
                <w:sz w:val="20"/>
                <w:szCs w:val="20"/>
                <w:lang w:val="en-US" w:eastAsia="en-GB"/>
              </w:rPr>
              <w:t>686,</w:t>
            </w:r>
            <w:r>
              <w:rPr>
                <w:rFonts w:ascii="Arial" w:hAnsi="Arial" w:cs="Arial"/>
                <w:color w:val="000000"/>
                <w:sz w:val="20"/>
                <w:szCs w:val="20"/>
                <w:lang w:val="en-US" w:eastAsia="en-GB"/>
              </w:rPr>
              <w:t>.</w:t>
            </w:r>
            <w:r w:rsidRPr="00F378E9">
              <w:rPr>
                <w:rFonts w:ascii="Arial" w:hAnsi="Arial" w:cs="Arial"/>
                <w:color w:val="000000"/>
                <w:sz w:val="20"/>
                <w:szCs w:val="20"/>
                <w:lang w:val="en-US" w:eastAsia="en-GB"/>
              </w:rPr>
              <w:t>8</w:t>
            </w:r>
          </w:p>
        </w:tc>
        <w:tc>
          <w:tcPr>
            <w:tcW w:w="1060" w:type="dxa"/>
            <w:tcBorders>
              <w:top w:val="nil"/>
              <w:left w:val="nil"/>
              <w:bottom w:val="nil"/>
              <w:right w:val="nil"/>
            </w:tcBorders>
            <w:shd w:val="clear" w:color="auto" w:fill="auto"/>
            <w:noWrap/>
            <w:vAlign w:val="center"/>
            <w:hideMark/>
          </w:tcPr>
          <w:p w14:paraId="23DA2FE8" w14:textId="77777777" w:rsidR="00DB23E0" w:rsidRPr="00F378E9" w:rsidRDefault="00DB23E0" w:rsidP="00082AE8">
            <w:pPr>
              <w:spacing w:before="100" w:after="100" w:line="240" w:lineRule="auto"/>
              <w:ind w:left="-193" w:right="186"/>
              <w:jc w:val="right"/>
              <w:rPr>
                <w:rFonts w:ascii="Arial" w:hAnsi="Arial" w:cs="Arial"/>
                <w:color w:val="000000"/>
                <w:sz w:val="20"/>
                <w:szCs w:val="20"/>
                <w:lang w:eastAsia="en-GB"/>
              </w:rPr>
            </w:pPr>
            <w:r>
              <w:rPr>
                <w:rFonts w:ascii="Arial" w:hAnsi="Arial" w:cs="Arial"/>
                <w:color w:val="000000"/>
                <w:sz w:val="20"/>
                <w:szCs w:val="20"/>
                <w:lang w:val="en-US" w:eastAsia="en-GB"/>
              </w:rPr>
              <w:t>17,</w:t>
            </w:r>
            <w:r w:rsidRPr="00F378E9">
              <w:rPr>
                <w:rFonts w:ascii="Arial" w:hAnsi="Arial" w:cs="Arial"/>
                <w:color w:val="000000"/>
                <w:sz w:val="20"/>
                <w:szCs w:val="20"/>
                <w:lang w:val="en-US" w:eastAsia="en-GB"/>
              </w:rPr>
              <w:t>530</w:t>
            </w:r>
            <w:r>
              <w:rPr>
                <w:rFonts w:ascii="Arial" w:hAnsi="Arial" w:cs="Arial"/>
                <w:color w:val="000000"/>
                <w:sz w:val="20"/>
                <w:szCs w:val="20"/>
                <w:lang w:val="en-US" w:eastAsia="en-GB"/>
              </w:rPr>
              <w:t>.</w:t>
            </w:r>
            <w:r w:rsidRPr="00F378E9">
              <w:rPr>
                <w:rFonts w:ascii="Arial" w:hAnsi="Arial" w:cs="Arial"/>
                <w:color w:val="000000"/>
                <w:sz w:val="20"/>
                <w:szCs w:val="20"/>
                <w:lang w:val="en-US" w:eastAsia="en-GB"/>
              </w:rPr>
              <w:t>4</w:t>
            </w:r>
          </w:p>
        </w:tc>
        <w:tc>
          <w:tcPr>
            <w:tcW w:w="1366" w:type="dxa"/>
            <w:tcBorders>
              <w:top w:val="nil"/>
              <w:left w:val="nil"/>
              <w:bottom w:val="nil"/>
              <w:right w:val="nil"/>
            </w:tcBorders>
            <w:shd w:val="clear" w:color="auto" w:fill="auto"/>
            <w:noWrap/>
            <w:vAlign w:val="center"/>
            <w:hideMark/>
          </w:tcPr>
          <w:p w14:paraId="046C8B23" w14:textId="77777777" w:rsidR="00DB23E0" w:rsidRPr="00F378E9" w:rsidRDefault="00DB23E0" w:rsidP="00082AE8">
            <w:pPr>
              <w:spacing w:before="100" w:after="100" w:line="240" w:lineRule="auto"/>
              <w:ind w:right="330"/>
              <w:jc w:val="right"/>
              <w:rPr>
                <w:rFonts w:ascii="Arial" w:hAnsi="Arial" w:cs="Arial"/>
                <w:color w:val="000000"/>
                <w:sz w:val="20"/>
                <w:szCs w:val="20"/>
                <w:lang w:eastAsia="en-GB"/>
              </w:rPr>
            </w:pPr>
            <w:r w:rsidRPr="00F378E9">
              <w:rPr>
                <w:rFonts w:ascii="Arial" w:hAnsi="Arial" w:cs="Arial"/>
                <w:color w:val="000000"/>
                <w:sz w:val="20"/>
                <w:szCs w:val="20"/>
                <w:lang w:val="en-US" w:eastAsia="en-GB"/>
              </w:rPr>
              <w:t>7</w:t>
            </w:r>
            <w:r>
              <w:rPr>
                <w:rFonts w:ascii="Arial" w:hAnsi="Arial" w:cs="Arial"/>
                <w:color w:val="000000"/>
                <w:sz w:val="20"/>
                <w:szCs w:val="20"/>
                <w:lang w:val="en-US" w:eastAsia="en-GB"/>
              </w:rPr>
              <w:t>.</w:t>
            </w:r>
            <w:r w:rsidRPr="00F378E9">
              <w:rPr>
                <w:rFonts w:ascii="Arial" w:hAnsi="Arial" w:cs="Arial"/>
                <w:color w:val="000000"/>
                <w:sz w:val="20"/>
                <w:szCs w:val="20"/>
                <w:lang w:val="en-US" w:eastAsia="en-GB"/>
              </w:rPr>
              <w:t>4</w:t>
            </w:r>
          </w:p>
        </w:tc>
        <w:tc>
          <w:tcPr>
            <w:tcW w:w="1361" w:type="dxa"/>
            <w:tcBorders>
              <w:top w:val="nil"/>
              <w:left w:val="nil"/>
              <w:bottom w:val="nil"/>
              <w:right w:val="nil"/>
            </w:tcBorders>
            <w:shd w:val="clear" w:color="auto" w:fill="auto"/>
            <w:noWrap/>
            <w:vAlign w:val="center"/>
            <w:hideMark/>
          </w:tcPr>
          <w:p w14:paraId="53226580" w14:textId="77777777" w:rsidR="00DB23E0" w:rsidRPr="00F378E9" w:rsidRDefault="00DB23E0" w:rsidP="00082AE8">
            <w:pPr>
              <w:spacing w:before="100" w:after="100" w:line="240" w:lineRule="auto"/>
              <w:ind w:right="330"/>
              <w:jc w:val="right"/>
              <w:rPr>
                <w:rFonts w:ascii="Arial" w:hAnsi="Arial" w:cs="Arial"/>
                <w:color w:val="000000"/>
                <w:sz w:val="20"/>
                <w:szCs w:val="20"/>
                <w:lang w:eastAsia="en-GB"/>
              </w:rPr>
            </w:pPr>
            <w:r w:rsidRPr="00F378E9">
              <w:rPr>
                <w:rFonts w:ascii="Arial" w:hAnsi="Arial" w:cs="Arial"/>
                <w:color w:val="000000"/>
                <w:sz w:val="20"/>
                <w:szCs w:val="20"/>
                <w:lang w:val="en-US" w:eastAsia="en-GB"/>
              </w:rPr>
              <w:t>5</w:t>
            </w:r>
            <w:r>
              <w:rPr>
                <w:rFonts w:ascii="Arial" w:hAnsi="Arial" w:cs="Arial"/>
                <w:color w:val="000000"/>
                <w:sz w:val="20"/>
                <w:szCs w:val="20"/>
                <w:lang w:val="en-US" w:eastAsia="en-GB"/>
              </w:rPr>
              <w:t>.</w:t>
            </w:r>
            <w:r w:rsidRPr="00F378E9">
              <w:rPr>
                <w:rFonts w:ascii="Arial" w:hAnsi="Arial" w:cs="Arial"/>
                <w:color w:val="000000"/>
                <w:sz w:val="20"/>
                <w:szCs w:val="20"/>
                <w:lang w:val="en-US" w:eastAsia="en-GB"/>
              </w:rPr>
              <w:t>1</w:t>
            </w:r>
          </w:p>
        </w:tc>
      </w:tr>
      <w:tr w:rsidR="00DB23E0" w:rsidRPr="00F378E9" w14:paraId="6EEA9F4F" w14:textId="77777777" w:rsidTr="00082AE8">
        <w:trPr>
          <w:cantSplit/>
          <w:trHeight w:val="340"/>
          <w:jc w:val="center"/>
        </w:trPr>
        <w:tc>
          <w:tcPr>
            <w:tcW w:w="3912" w:type="dxa"/>
            <w:tcBorders>
              <w:top w:val="nil"/>
              <w:left w:val="nil"/>
              <w:bottom w:val="single" w:sz="8" w:space="0" w:color="auto"/>
              <w:right w:val="nil"/>
            </w:tcBorders>
            <w:shd w:val="clear" w:color="auto" w:fill="auto"/>
            <w:noWrap/>
            <w:vAlign w:val="bottom"/>
            <w:hideMark/>
          </w:tcPr>
          <w:p w14:paraId="3F171267" w14:textId="77777777" w:rsidR="00DB23E0" w:rsidRPr="006D7720" w:rsidRDefault="00DB23E0" w:rsidP="00082AE8">
            <w:pPr>
              <w:rPr>
                <w:rFonts w:ascii="Times New Roman" w:hAnsi="Times New Roman" w:cs="Times New Roman"/>
                <w:sz w:val="20"/>
                <w:szCs w:val="20"/>
                <w:lang w:val="en-US"/>
              </w:rPr>
            </w:pPr>
            <w:r w:rsidRPr="006D7720">
              <w:rPr>
                <w:rFonts w:ascii="Times New Roman" w:hAnsi="Times New Roman" w:cs="Times New Roman"/>
                <w:sz w:val="20"/>
                <w:szCs w:val="20"/>
                <w:lang w:val="en-US"/>
              </w:rPr>
              <w:t>Milk (Thous. tons)</w:t>
            </w:r>
          </w:p>
        </w:tc>
        <w:tc>
          <w:tcPr>
            <w:tcW w:w="1060" w:type="dxa"/>
            <w:tcBorders>
              <w:top w:val="nil"/>
              <w:left w:val="nil"/>
              <w:bottom w:val="single" w:sz="8" w:space="0" w:color="auto"/>
              <w:right w:val="nil"/>
            </w:tcBorders>
            <w:shd w:val="clear" w:color="auto" w:fill="auto"/>
            <w:noWrap/>
            <w:vAlign w:val="center"/>
            <w:hideMark/>
          </w:tcPr>
          <w:p w14:paraId="7329D9EC" w14:textId="77777777" w:rsidR="00DB23E0" w:rsidRPr="00F378E9" w:rsidRDefault="00DB23E0" w:rsidP="00082AE8">
            <w:pPr>
              <w:spacing w:before="100" w:after="100" w:line="240" w:lineRule="auto"/>
              <w:ind w:left="-193" w:right="186"/>
              <w:jc w:val="right"/>
              <w:rPr>
                <w:rFonts w:ascii="Arial" w:hAnsi="Arial" w:cs="Arial"/>
                <w:color w:val="000000"/>
                <w:sz w:val="20"/>
                <w:szCs w:val="20"/>
                <w:lang w:eastAsia="en-GB"/>
              </w:rPr>
            </w:pPr>
            <w:r w:rsidRPr="00F378E9">
              <w:rPr>
                <w:rFonts w:ascii="Arial" w:hAnsi="Arial" w:cs="Arial"/>
                <w:color w:val="000000"/>
                <w:sz w:val="20"/>
                <w:szCs w:val="20"/>
                <w:lang w:val="en-US" w:eastAsia="en-GB"/>
              </w:rPr>
              <w:t>314</w:t>
            </w:r>
            <w:r>
              <w:rPr>
                <w:rFonts w:ascii="Arial" w:hAnsi="Arial" w:cs="Arial"/>
                <w:color w:val="000000"/>
                <w:sz w:val="20"/>
                <w:szCs w:val="20"/>
                <w:lang w:val="en-US" w:eastAsia="en-GB"/>
              </w:rPr>
              <w:t>.</w:t>
            </w:r>
            <w:r w:rsidRPr="00F378E9">
              <w:rPr>
                <w:rFonts w:ascii="Arial" w:hAnsi="Arial" w:cs="Arial"/>
                <w:color w:val="000000"/>
                <w:sz w:val="20"/>
                <w:szCs w:val="20"/>
                <w:lang w:val="en-US" w:eastAsia="en-GB"/>
              </w:rPr>
              <w:t>2</w:t>
            </w:r>
          </w:p>
        </w:tc>
        <w:tc>
          <w:tcPr>
            <w:tcW w:w="1060" w:type="dxa"/>
            <w:tcBorders>
              <w:top w:val="nil"/>
              <w:left w:val="nil"/>
              <w:bottom w:val="single" w:sz="8" w:space="0" w:color="auto"/>
              <w:right w:val="nil"/>
            </w:tcBorders>
            <w:shd w:val="clear" w:color="auto" w:fill="auto"/>
            <w:noWrap/>
            <w:vAlign w:val="center"/>
            <w:hideMark/>
          </w:tcPr>
          <w:p w14:paraId="279A3124" w14:textId="77777777" w:rsidR="00DB23E0" w:rsidRPr="00F378E9" w:rsidRDefault="00DB23E0" w:rsidP="00082AE8">
            <w:pPr>
              <w:spacing w:before="100" w:after="100" w:line="240" w:lineRule="auto"/>
              <w:ind w:left="-193" w:right="186"/>
              <w:jc w:val="right"/>
              <w:rPr>
                <w:rFonts w:ascii="Arial" w:hAnsi="Arial" w:cs="Arial"/>
                <w:color w:val="000000"/>
                <w:sz w:val="20"/>
                <w:szCs w:val="20"/>
                <w:lang w:eastAsia="en-GB"/>
              </w:rPr>
            </w:pPr>
            <w:r>
              <w:rPr>
                <w:rFonts w:ascii="Arial" w:hAnsi="Arial" w:cs="Arial"/>
                <w:color w:val="000000"/>
                <w:sz w:val="20"/>
                <w:szCs w:val="20"/>
                <w:lang w:val="en-US" w:eastAsia="en-GB"/>
              </w:rPr>
              <w:t>1,</w:t>
            </w:r>
            <w:r w:rsidRPr="00F378E9">
              <w:rPr>
                <w:rFonts w:ascii="Arial" w:hAnsi="Arial" w:cs="Arial"/>
                <w:color w:val="000000"/>
                <w:sz w:val="20"/>
                <w:szCs w:val="20"/>
                <w:lang w:val="en-US" w:eastAsia="en-GB"/>
              </w:rPr>
              <w:t>159</w:t>
            </w:r>
            <w:r>
              <w:rPr>
                <w:rFonts w:ascii="Arial" w:hAnsi="Arial" w:cs="Arial"/>
                <w:color w:val="000000"/>
                <w:sz w:val="20"/>
                <w:szCs w:val="20"/>
                <w:lang w:val="en-US" w:eastAsia="en-GB"/>
              </w:rPr>
              <w:t>.</w:t>
            </w:r>
            <w:r w:rsidRPr="00F378E9">
              <w:rPr>
                <w:rFonts w:ascii="Arial" w:hAnsi="Arial" w:cs="Arial"/>
                <w:color w:val="000000"/>
                <w:sz w:val="20"/>
                <w:szCs w:val="20"/>
                <w:lang w:val="en-US" w:eastAsia="en-GB"/>
              </w:rPr>
              <w:t>3</w:t>
            </w:r>
          </w:p>
        </w:tc>
        <w:tc>
          <w:tcPr>
            <w:tcW w:w="1366" w:type="dxa"/>
            <w:tcBorders>
              <w:top w:val="nil"/>
              <w:left w:val="nil"/>
              <w:bottom w:val="single" w:sz="8" w:space="0" w:color="auto"/>
              <w:right w:val="nil"/>
            </w:tcBorders>
            <w:shd w:val="clear" w:color="auto" w:fill="auto"/>
            <w:noWrap/>
            <w:vAlign w:val="center"/>
            <w:hideMark/>
          </w:tcPr>
          <w:p w14:paraId="615BF609" w14:textId="77777777" w:rsidR="00DB23E0" w:rsidRPr="00F378E9" w:rsidRDefault="00DB23E0" w:rsidP="00082AE8">
            <w:pPr>
              <w:spacing w:before="100" w:after="100" w:line="240" w:lineRule="auto"/>
              <w:ind w:right="330"/>
              <w:jc w:val="right"/>
              <w:rPr>
                <w:rFonts w:ascii="Arial" w:hAnsi="Arial" w:cs="Arial"/>
                <w:color w:val="000000"/>
                <w:sz w:val="20"/>
                <w:szCs w:val="20"/>
                <w:lang w:eastAsia="en-GB"/>
              </w:rPr>
            </w:pPr>
            <w:r w:rsidRPr="00F378E9">
              <w:rPr>
                <w:rFonts w:ascii="Arial" w:hAnsi="Arial" w:cs="Arial"/>
                <w:color w:val="000000"/>
                <w:sz w:val="20"/>
                <w:szCs w:val="20"/>
                <w:lang w:val="en-US" w:eastAsia="en-GB"/>
              </w:rPr>
              <w:t>13</w:t>
            </w:r>
            <w:r>
              <w:rPr>
                <w:rFonts w:ascii="Arial" w:hAnsi="Arial" w:cs="Arial"/>
                <w:color w:val="000000"/>
                <w:sz w:val="20"/>
                <w:szCs w:val="20"/>
                <w:lang w:val="en-US" w:eastAsia="en-GB"/>
              </w:rPr>
              <w:t>.</w:t>
            </w:r>
            <w:r w:rsidRPr="00F378E9">
              <w:rPr>
                <w:rFonts w:ascii="Arial" w:hAnsi="Arial" w:cs="Arial"/>
                <w:color w:val="000000"/>
                <w:sz w:val="20"/>
                <w:szCs w:val="20"/>
                <w:lang w:val="en-US" w:eastAsia="en-GB"/>
              </w:rPr>
              <w:t>3</w:t>
            </w:r>
          </w:p>
        </w:tc>
        <w:tc>
          <w:tcPr>
            <w:tcW w:w="1361" w:type="dxa"/>
            <w:tcBorders>
              <w:top w:val="nil"/>
              <w:left w:val="nil"/>
              <w:bottom w:val="single" w:sz="8" w:space="0" w:color="auto"/>
              <w:right w:val="nil"/>
            </w:tcBorders>
            <w:shd w:val="clear" w:color="auto" w:fill="auto"/>
            <w:noWrap/>
            <w:vAlign w:val="center"/>
            <w:hideMark/>
          </w:tcPr>
          <w:p w14:paraId="1FFAADCF" w14:textId="77777777" w:rsidR="00DB23E0" w:rsidRPr="00F378E9" w:rsidRDefault="00DB23E0" w:rsidP="00082AE8">
            <w:pPr>
              <w:spacing w:before="100" w:after="100" w:line="240" w:lineRule="auto"/>
              <w:ind w:right="330"/>
              <w:jc w:val="right"/>
              <w:rPr>
                <w:rFonts w:ascii="Arial" w:hAnsi="Arial" w:cs="Arial"/>
                <w:color w:val="000000"/>
                <w:sz w:val="20"/>
                <w:szCs w:val="20"/>
                <w:lang w:eastAsia="en-GB"/>
              </w:rPr>
            </w:pPr>
            <w:r w:rsidRPr="00F378E9">
              <w:rPr>
                <w:rFonts w:ascii="Arial" w:hAnsi="Arial" w:cs="Arial"/>
                <w:color w:val="000000"/>
                <w:sz w:val="20"/>
                <w:szCs w:val="20"/>
                <w:lang w:val="en-US" w:eastAsia="en-GB"/>
              </w:rPr>
              <w:t>10</w:t>
            </w:r>
            <w:r>
              <w:rPr>
                <w:rFonts w:ascii="Arial" w:hAnsi="Arial" w:cs="Arial"/>
                <w:color w:val="000000"/>
                <w:sz w:val="20"/>
                <w:szCs w:val="20"/>
                <w:lang w:val="en-US" w:eastAsia="en-GB"/>
              </w:rPr>
              <w:t>.</w:t>
            </w:r>
            <w:r w:rsidRPr="00F378E9">
              <w:rPr>
                <w:rFonts w:ascii="Arial" w:hAnsi="Arial" w:cs="Arial"/>
                <w:color w:val="000000"/>
                <w:sz w:val="20"/>
                <w:szCs w:val="20"/>
                <w:lang w:val="en-US" w:eastAsia="en-GB"/>
              </w:rPr>
              <w:t>5</w:t>
            </w:r>
          </w:p>
        </w:tc>
      </w:tr>
    </w:tbl>
    <w:p w14:paraId="03CAB7C0" w14:textId="77777777" w:rsidR="00CF63C0" w:rsidRDefault="00CF63C0" w:rsidP="00CF63C0">
      <w:pPr>
        <w:spacing w:before="40" w:after="40"/>
        <w:ind w:firstLine="720"/>
        <w:jc w:val="both"/>
        <w:rPr>
          <w:rFonts w:ascii="Times New Roman" w:hAnsi="Times New Roman" w:cs="Times New Roman"/>
          <w:sz w:val="28"/>
          <w:szCs w:val="28"/>
          <w:lang w:val="en-US"/>
        </w:rPr>
      </w:pPr>
    </w:p>
    <w:p w14:paraId="4670BC1D" w14:textId="62EEF21A" w:rsidR="00CF63C0" w:rsidRDefault="00CF63C0" w:rsidP="00CF63C0">
      <w:pPr>
        <w:spacing w:before="40" w:after="40"/>
        <w:ind w:firstLine="720"/>
        <w:jc w:val="both"/>
        <w:rPr>
          <w:rFonts w:ascii="Times New Roman" w:hAnsi="Times New Roman" w:cs="Times New Roman"/>
          <w:sz w:val="28"/>
          <w:szCs w:val="28"/>
          <w:lang w:val="pt-BR"/>
        </w:rPr>
      </w:pPr>
      <w:r w:rsidRPr="00F07D8B">
        <w:rPr>
          <w:rFonts w:ascii="Times New Roman" w:hAnsi="Times New Roman" w:cs="Times New Roman"/>
          <w:sz w:val="28"/>
          <w:szCs w:val="28"/>
          <w:lang w:val="en-US"/>
        </w:rPr>
        <w:t xml:space="preserve">As of December 22, 2021, </w:t>
      </w:r>
      <w:r w:rsidRPr="00F07D8B">
        <w:rPr>
          <w:rFonts w:ascii="Times New Roman" w:hAnsi="Times New Roman" w:cs="Times New Roman"/>
          <w:sz w:val="28"/>
          <w:szCs w:val="28"/>
          <w:lang w:val="pt-BR"/>
        </w:rPr>
        <w:t>the whole country has no longer blue-ear disease and foot-and-mouth disease; avian flu was still in Quang Ninh, Nam Dinh, Ninh Binh, Quang Tri, Quang</w:t>
      </w:r>
      <w:r>
        <w:rPr>
          <w:rFonts w:ascii="Times New Roman" w:hAnsi="Times New Roman" w:cs="Times New Roman"/>
          <w:sz w:val="28"/>
          <w:szCs w:val="28"/>
          <w:lang w:val="pt-BR"/>
        </w:rPr>
        <w:t xml:space="preserve"> Nam, Quang ngai and Binh Phuoc;</w:t>
      </w:r>
      <w:r w:rsidRPr="00F07D8B">
        <w:rPr>
          <w:rFonts w:ascii="Times New Roman" w:hAnsi="Times New Roman" w:cs="Times New Roman"/>
          <w:sz w:val="28"/>
          <w:szCs w:val="28"/>
          <w:lang w:val="pt-BR"/>
        </w:rPr>
        <w:t xml:space="preserve"> African swine fever was reported in 41 localities and LSD was still in 7 localities for less than 21 days</w:t>
      </w:r>
      <w:r>
        <w:rPr>
          <w:rFonts w:ascii="Times New Roman" w:hAnsi="Times New Roman" w:cs="Times New Roman"/>
          <w:sz w:val="28"/>
          <w:szCs w:val="28"/>
          <w:lang w:val="pt-BR"/>
        </w:rPr>
        <w:t>.</w:t>
      </w:r>
    </w:p>
    <w:p w14:paraId="4FEDA962" w14:textId="77777777" w:rsidR="00CF63C0" w:rsidRPr="00F07D8B" w:rsidRDefault="00CF63C0" w:rsidP="00CF63C0">
      <w:pPr>
        <w:spacing w:before="40" w:after="40"/>
        <w:ind w:firstLine="720"/>
        <w:jc w:val="both"/>
        <w:rPr>
          <w:rFonts w:ascii="Times New Roman" w:hAnsi="Times New Roman" w:cs="Times New Roman"/>
          <w:sz w:val="28"/>
          <w:szCs w:val="28"/>
        </w:rPr>
      </w:pPr>
    </w:p>
    <w:p w14:paraId="4B69EE9C" w14:textId="47ECC952" w:rsidR="005D224D" w:rsidRPr="00DC0CA9" w:rsidRDefault="005D224D" w:rsidP="00FA1162">
      <w:pPr>
        <w:spacing w:after="60" w:line="252" w:lineRule="auto"/>
        <w:ind w:firstLine="567"/>
        <w:jc w:val="both"/>
        <w:rPr>
          <w:rFonts w:ascii="Times New Roman" w:hAnsi="Times New Roman" w:cs="Times New Roman"/>
          <w:b/>
          <w:bCs/>
          <w:i/>
          <w:sz w:val="28"/>
          <w:szCs w:val="28"/>
          <w:lang w:val="de-DE"/>
        </w:rPr>
      </w:pPr>
      <w:r w:rsidRPr="00DC0CA9">
        <w:rPr>
          <w:rFonts w:ascii="Times New Roman" w:hAnsi="Times New Roman" w:cs="Times New Roman"/>
          <w:b/>
          <w:bCs/>
          <w:i/>
          <w:sz w:val="28"/>
          <w:szCs w:val="28"/>
          <w:lang w:val="de-DE"/>
        </w:rPr>
        <w:t xml:space="preserve">b) </w:t>
      </w:r>
      <w:r w:rsidR="0000274B" w:rsidRPr="006D7720">
        <w:rPr>
          <w:rFonts w:ascii="Times New Roman" w:hAnsi="Times New Roman" w:cs="Times New Roman"/>
          <w:b/>
          <w:i/>
          <w:sz w:val="28"/>
          <w:szCs w:val="28"/>
          <w:lang w:val="de-DE"/>
        </w:rPr>
        <w:t>Forestry</w:t>
      </w:r>
    </w:p>
    <w:p w14:paraId="0095E2BA" w14:textId="07E801DB" w:rsidR="001412EC" w:rsidRPr="00DC0CA9" w:rsidRDefault="008830EB" w:rsidP="00FA1162">
      <w:pPr>
        <w:shd w:val="clear" w:color="auto" w:fill="FFFFFF"/>
        <w:spacing w:after="60" w:line="252" w:lineRule="auto"/>
        <w:ind w:firstLine="567"/>
        <w:jc w:val="both"/>
        <w:rPr>
          <w:rFonts w:ascii="Times New Roman" w:hAnsi="Times New Roman" w:cs="Times New Roman"/>
          <w:sz w:val="28"/>
          <w:szCs w:val="28"/>
          <w:lang w:val="de-DE"/>
        </w:rPr>
      </w:pPr>
      <w:r w:rsidRPr="0080480F">
        <w:rPr>
          <w:rFonts w:ascii="Times New Roman" w:hAnsi="Times New Roman" w:cs="Times New Roman"/>
          <w:spacing w:val="-4"/>
          <w:sz w:val="28"/>
          <w:szCs w:val="28"/>
          <w:lang w:val="de-DE"/>
        </w:rPr>
        <w:lastRenderedPageBreak/>
        <w:t xml:space="preserve">In general, in 2021, the newly concentrated planted forest area nationwide </w:t>
      </w:r>
      <w:r>
        <w:rPr>
          <w:rFonts w:ascii="Times New Roman" w:hAnsi="Times New Roman" w:cs="Times New Roman"/>
          <w:spacing w:val="-4"/>
          <w:sz w:val="28"/>
          <w:szCs w:val="28"/>
          <w:lang w:val="de-DE"/>
        </w:rPr>
        <w:t>wa</w:t>
      </w:r>
      <w:r w:rsidRPr="0080480F">
        <w:rPr>
          <w:rFonts w:ascii="Times New Roman" w:hAnsi="Times New Roman" w:cs="Times New Roman"/>
          <w:spacing w:val="-4"/>
          <w:sz w:val="28"/>
          <w:szCs w:val="28"/>
          <w:lang w:val="de-DE"/>
        </w:rPr>
        <w:t>s estimated at 277.8 thousand hectares, up 2.8% over the previous year</w:t>
      </w:r>
      <w:r w:rsidRPr="00DC0CA9">
        <w:rPr>
          <w:rFonts w:ascii="Times New Roman" w:hAnsi="Times New Roman" w:cs="Times New Roman"/>
          <w:spacing w:val="-4"/>
          <w:sz w:val="28"/>
          <w:szCs w:val="28"/>
          <w:lang w:val="de-DE"/>
        </w:rPr>
        <w:t xml:space="preserve"> </w:t>
      </w:r>
      <w:r w:rsidR="001412EC" w:rsidRPr="00DC0CA9">
        <w:rPr>
          <w:rFonts w:ascii="Times New Roman" w:hAnsi="Times New Roman" w:cs="Times New Roman"/>
          <w:spacing w:val="-4"/>
          <w:sz w:val="28"/>
          <w:szCs w:val="28"/>
          <w:lang w:val="de-DE"/>
        </w:rPr>
        <w:t>(</w:t>
      </w:r>
      <w:r w:rsidR="00AC51BC" w:rsidRPr="00E26331">
        <w:rPr>
          <w:rFonts w:ascii="Times New Roman" w:hAnsi="Times New Roman" w:cs="Times New Roman"/>
          <w:sz w:val="28"/>
          <w:szCs w:val="28"/>
          <w:shd w:val="clear" w:color="auto" w:fill="FFFFFF"/>
          <w:lang w:val="vi-VN"/>
        </w:rPr>
        <w:t>In the fourth quarter of 2021, the newly concentrated planted forest area nationwide was estimated at 101.9 thousand hectares, up 3% over the same period last year</w:t>
      </w:r>
      <w:r w:rsidR="001412EC" w:rsidRPr="00DC0CA9">
        <w:rPr>
          <w:rFonts w:ascii="Times New Roman" w:hAnsi="Times New Roman" w:cs="Times New Roman"/>
          <w:sz w:val="28"/>
          <w:szCs w:val="28"/>
          <w:lang w:val="de-DE"/>
        </w:rPr>
        <w:t xml:space="preserve">); </w:t>
      </w:r>
      <w:r w:rsidR="007509A3" w:rsidRPr="0080480F">
        <w:rPr>
          <w:rFonts w:ascii="Times New Roman" w:hAnsi="Times New Roman" w:cs="Times New Roman"/>
          <w:spacing w:val="-4"/>
          <w:sz w:val="28"/>
          <w:szCs w:val="28"/>
          <w:lang w:val="de-DE"/>
        </w:rPr>
        <w:t xml:space="preserve">the number of scattered </w:t>
      </w:r>
      <w:r w:rsidR="007509A3">
        <w:rPr>
          <w:rFonts w:ascii="Times New Roman" w:hAnsi="Times New Roman" w:cs="Times New Roman"/>
          <w:spacing w:val="-4"/>
          <w:sz w:val="28"/>
          <w:szCs w:val="28"/>
          <w:lang w:val="de-DE"/>
        </w:rPr>
        <w:t>planted</w:t>
      </w:r>
      <w:r w:rsidR="007509A3" w:rsidRPr="0080480F">
        <w:rPr>
          <w:rFonts w:ascii="Times New Roman" w:hAnsi="Times New Roman" w:cs="Times New Roman"/>
          <w:spacing w:val="-4"/>
          <w:sz w:val="28"/>
          <w:szCs w:val="28"/>
          <w:lang w:val="de-DE"/>
        </w:rPr>
        <w:t xml:space="preserve"> trees reached 99 million trees, increasing by 3%</w:t>
      </w:r>
      <w:r w:rsidR="007509A3" w:rsidRPr="00DC0CA9">
        <w:rPr>
          <w:rFonts w:ascii="Times New Roman" w:hAnsi="Times New Roman" w:cs="Times New Roman"/>
          <w:spacing w:val="-4"/>
          <w:sz w:val="28"/>
          <w:szCs w:val="28"/>
          <w:lang w:val="de-DE"/>
        </w:rPr>
        <w:t xml:space="preserve"> </w:t>
      </w:r>
      <w:r w:rsidR="001412EC" w:rsidRPr="00DC0CA9">
        <w:rPr>
          <w:rFonts w:ascii="Times New Roman" w:hAnsi="Times New Roman" w:cs="Times New Roman"/>
          <w:spacing w:val="-4"/>
          <w:sz w:val="28"/>
          <w:szCs w:val="28"/>
          <w:lang w:val="de-DE"/>
        </w:rPr>
        <w:t xml:space="preserve">( </w:t>
      </w:r>
      <w:r w:rsidR="001164E7" w:rsidRPr="00E26331">
        <w:rPr>
          <w:rFonts w:ascii="Times New Roman" w:hAnsi="Times New Roman" w:cs="Times New Roman"/>
          <w:sz w:val="28"/>
          <w:szCs w:val="28"/>
          <w:shd w:val="clear" w:color="auto" w:fill="FFFFFF"/>
          <w:lang w:val="vi-VN"/>
        </w:rPr>
        <w:t>In the fourth quarter of 2021</w:t>
      </w:r>
      <w:r w:rsidR="001164E7">
        <w:rPr>
          <w:rFonts w:ascii="Times New Roman" w:hAnsi="Times New Roman" w:cs="Times New Roman"/>
          <w:sz w:val="28"/>
          <w:szCs w:val="28"/>
          <w:shd w:val="clear" w:color="auto" w:fill="FFFFFF"/>
          <w:lang w:val="vi-VN"/>
        </w:rPr>
        <w:t xml:space="preserve"> </w:t>
      </w:r>
      <w:r w:rsidR="0033103D" w:rsidRPr="00E26331">
        <w:rPr>
          <w:rFonts w:ascii="Times New Roman" w:hAnsi="Times New Roman" w:cs="Times New Roman"/>
          <w:sz w:val="28"/>
          <w:szCs w:val="28"/>
          <w:shd w:val="clear" w:color="auto" w:fill="FFFFFF"/>
          <w:lang w:val="vi-VN"/>
        </w:rPr>
        <w:t>reached 5,245.2 thousand m</w:t>
      </w:r>
      <w:r w:rsidR="0033103D" w:rsidRPr="00495466">
        <w:rPr>
          <w:rFonts w:ascii="Times New Roman" w:hAnsi="Times New Roman" w:cs="Times New Roman"/>
          <w:sz w:val="28"/>
          <w:szCs w:val="28"/>
          <w:shd w:val="clear" w:color="auto" w:fill="FFFFFF"/>
          <w:vertAlign w:val="superscript"/>
          <w:lang w:val="vi-VN"/>
        </w:rPr>
        <w:t>3</w:t>
      </w:r>
      <w:r w:rsidR="0033103D" w:rsidRPr="00E26331">
        <w:rPr>
          <w:rFonts w:ascii="Times New Roman" w:hAnsi="Times New Roman" w:cs="Times New Roman"/>
          <w:sz w:val="28"/>
          <w:szCs w:val="28"/>
          <w:shd w:val="clear" w:color="auto" w:fill="FFFFFF"/>
          <w:lang w:val="vi-VN"/>
        </w:rPr>
        <w:t>, up 8.1%</w:t>
      </w:r>
      <w:r w:rsidR="001164E7">
        <w:rPr>
          <w:rFonts w:ascii="Times New Roman" w:hAnsi="Times New Roman" w:cs="Times New Roman"/>
          <w:sz w:val="28"/>
          <w:szCs w:val="28"/>
          <w:shd w:val="clear" w:color="auto" w:fill="FFFFFF"/>
          <w:lang w:val="vi-VN"/>
        </w:rPr>
        <w:t xml:space="preserve">); </w:t>
      </w:r>
      <w:r w:rsidR="007553BB" w:rsidRPr="0080480F">
        <w:rPr>
          <w:rFonts w:ascii="Times New Roman" w:hAnsi="Times New Roman" w:cs="Times New Roman"/>
          <w:spacing w:val="-4"/>
          <w:sz w:val="28"/>
          <w:szCs w:val="28"/>
          <w:lang w:val="de-DE"/>
        </w:rPr>
        <w:t>timber production reached 18.1 million m</w:t>
      </w:r>
      <w:r w:rsidR="007553BB" w:rsidRPr="00C61C1B">
        <w:rPr>
          <w:rFonts w:ascii="Times New Roman" w:hAnsi="Times New Roman" w:cs="Times New Roman"/>
          <w:spacing w:val="-4"/>
          <w:sz w:val="28"/>
          <w:szCs w:val="28"/>
          <w:vertAlign w:val="superscript"/>
          <w:lang w:val="de-DE"/>
        </w:rPr>
        <w:t>3</w:t>
      </w:r>
      <w:r w:rsidR="007553BB" w:rsidRPr="0080480F">
        <w:rPr>
          <w:rFonts w:ascii="Times New Roman" w:hAnsi="Times New Roman" w:cs="Times New Roman"/>
          <w:spacing w:val="-4"/>
          <w:sz w:val="28"/>
          <w:szCs w:val="28"/>
          <w:lang w:val="de-DE"/>
        </w:rPr>
        <w:t>, up 5.4%</w:t>
      </w:r>
      <w:r w:rsidR="001412EC" w:rsidRPr="00DC0CA9">
        <w:rPr>
          <w:rFonts w:ascii="Times New Roman" w:hAnsi="Times New Roman" w:cs="Times New Roman"/>
          <w:spacing w:val="-4"/>
          <w:sz w:val="28"/>
          <w:szCs w:val="28"/>
          <w:lang w:val="de-DE"/>
        </w:rPr>
        <w:t xml:space="preserve"> (</w:t>
      </w:r>
      <w:r w:rsidR="00091DFB" w:rsidRPr="00E26331">
        <w:rPr>
          <w:rFonts w:ascii="Times New Roman" w:hAnsi="Times New Roman" w:cs="Times New Roman"/>
          <w:sz w:val="28"/>
          <w:szCs w:val="28"/>
          <w:shd w:val="clear" w:color="auto" w:fill="FFFFFF"/>
          <w:lang w:val="vi-VN"/>
        </w:rPr>
        <w:t>In the fourth quarter of 2021</w:t>
      </w:r>
      <w:r w:rsidR="00185EB2">
        <w:rPr>
          <w:rFonts w:ascii="Times New Roman" w:hAnsi="Times New Roman" w:cs="Times New Roman"/>
          <w:sz w:val="28"/>
          <w:szCs w:val="28"/>
          <w:shd w:val="clear" w:color="auto" w:fill="FFFFFF"/>
          <w:lang w:val="vi-VN"/>
        </w:rPr>
        <w:t xml:space="preserve"> </w:t>
      </w:r>
      <w:r w:rsidR="00185EB2" w:rsidRPr="00E26331">
        <w:rPr>
          <w:rFonts w:ascii="Times New Roman" w:hAnsi="Times New Roman" w:cs="Times New Roman"/>
          <w:sz w:val="28"/>
          <w:szCs w:val="28"/>
          <w:shd w:val="clear" w:color="auto" w:fill="FFFFFF"/>
          <w:lang w:val="vi-VN"/>
        </w:rPr>
        <w:t>reached 5,245.2 thousand m</w:t>
      </w:r>
      <w:r w:rsidR="00185EB2" w:rsidRPr="00495466">
        <w:rPr>
          <w:rFonts w:ascii="Times New Roman" w:hAnsi="Times New Roman" w:cs="Times New Roman"/>
          <w:sz w:val="28"/>
          <w:szCs w:val="28"/>
          <w:shd w:val="clear" w:color="auto" w:fill="FFFFFF"/>
          <w:vertAlign w:val="superscript"/>
          <w:lang w:val="vi-VN"/>
        </w:rPr>
        <w:t>3</w:t>
      </w:r>
      <w:r w:rsidR="00185EB2" w:rsidRPr="00E26331">
        <w:rPr>
          <w:rFonts w:ascii="Times New Roman" w:hAnsi="Times New Roman" w:cs="Times New Roman"/>
          <w:sz w:val="28"/>
          <w:szCs w:val="28"/>
          <w:shd w:val="clear" w:color="auto" w:fill="FFFFFF"/>
          <w:lang w:val="vi-VN"/>
        </w:rPr>
        <w:t>, up 8.1%</w:t>
      </w:r>
      <w:r w:rsidR="001412EC" w:rsidRPr="00DC0CA9">
        <w:rPr>
          <w:rFonts w:ascii="Times New Roman" w:hAnsi="Times New Roman" w:cs="Times New Roman"/>
          <w:sz w:val="28"/>
          <w:szCs w:val="28"/>
          <w:lang w:val="de-DE"/>
        </w:rPr>
        <w:t xml:space="preserve">); </w:t>
      </w:r>
      <w:r w:rsidR="00331DEC" w:rsidRPr="0080480F">
        <w:rPr>
          <w:rFonts w:ascii="Times New Roman" w:hAnsi="Times New Roman" w:cs="Times New Roman"/>
          <w:spacing w:val="-4"/>
          <w:sz w:val="28"/>
          <w:szCs w:val="28"/>
          <w:lang w:val="de-DE"/>
        </w:rPr>
        <w:t>firewood production was 18.8 million steres, down 1.6%</w:t>
      </w:r>
      <w:r w:rsidR="00331DEC" w:rsidRPr="00DC0CA9">
        <w:rPr>
          <w:rFonts w:ascii="Times New Roman" w:hAnsi="Times New Roman" w:cs="Times New Roman"/>
          <w:spacing w:val="-4"/>
          <w:sz w:val="28"/>
          <w:szCs w:val="28"/>
          <w:lang w:val="de-DE"/>
        </w:rPr>
        <w:t xml:space="preserve"> </w:t>
      </w:r>
      <w:r w:rsidR="001412EC" w:rsidRPr="00DC0CA9">
        <w:rPr>
          <w:rFonts w:ascii="Times New Roman" w:hAnsi="Times New Roman" w:cs="Times New Roman"/>
          <w:spacing w:val="-4"/>
          <w:sz w:val="28"/>
          <w:szCs w:val="28"/>
          <w:lang w:val="de-DE"/>
        </w:rPr>
        <w:t>(</w:t>
      </w:r>
      <w:r w:rsidR="00331DEC" w:rsidRPr="00E26331">
        <w:rPr>
          <w:rFonts w:ascii="Times New Roman" w:hAnsi="Times New Roman" w:cs="Times New Roman"/>
          <w:sz w:val="28"/>
          <w:szCs w:val="28"/>
          <w:shd w:val="clear" w:color="auto" w:fill="FFFFFF"/>
          <w:lang w:val="vi-VN"/>
        </w:rPr>
        <w:t>In the fourth quarter of 2021</w:t>
      </w:r>
      <w:r w:rsidR="00331DEC">
        <w:rPr>
          <w:rFonts w:ascii="Times New Roman" w:hAnsi="Times New Roman" w:cs="Times New Roman"/>
          <w:sz w:val="28"/>
          <w:szCs w:val="28"/>
          <w:shd w:val="clear" w:color="auto" w:fill="FFFFFF"/>
          <w:lang w:val="vi-VN"/>
        </w:rPr>
        <w:t xml:space="preserve"> </w:t>
      </w:r>
      <w:r w:rsidR="003D10D0" w:rsidRPr="00E26331">
        <w:rPr>
          <w:rFonts w:ascii="Times New Roman" w:hAnsi="Times New Roman" w:cs="Times New Roman"/>
          <w:sz w:val="28"/>
          <w:szCs w:val="28"/>
          <w:shd w:val="clear" w:color="auto" w:fill="FFFFFF"/>
          <w:lang w:val="vi-VN"/>
        </w:rPr>
        <w:t>was 4.5 million steres, down 3.8%</w:t>
      </w:r>
      <w:r w:rsidR="001412EC" w:rsidRPr="00DC0CA9">
        <w:rPr>
          <w:rFonts w:ascii="Times New Roman" w:hAnsi="Times New Roman" w:cs="Times New Roman"/>
          <w:sz w:val="28"/>
          <w:szCs w:val="28"/>
          <w:lang w:val="de-DE"/>
        </w:rPr>
        <w:t>).</w:t>
      </w:r>
    </w:p>
    <w:p w14:paraId="2853015E" w14:textId="6EA7D40A" w:rsidR="001412EC" w:rsidRPr="00DC0CA9" w:rsidRDefault="006D3523" w:rsidP="00FA1162">
      <w:pPr>
        <w:spacing w:after="60" w:line="252" w:lineRule="auto"/>
        <w:ind w:firstLine="567"/>
        <w:jc w:val="both"/>
        <w:rPr>
          <w:rFonts w:ascii="Times New Roman" w:hAnsi="Times New Roman" w:cs="Times New Roman"/>
          <w:spacing w:val="-4"/>
          <w:sz w:val="28"/>
          <w:szCs w:val="28"/>
          <w:lang w:val="vi-VN"/>
        </w:rPr>
      </w:pPr>
      <w:r w:rsidRPr="006D7720">
        <w:rPr>
          <w:rFonts w:ascii="Times New Roman" w:hAnsi="Times New Roman" w:cs="Times New Roman"/>
          <w:spacing w:val="-4"/>
          <w:sz w:val="28"/>
          <w:szCs w:val="28"/>
        </w:rPr>
        <w:t>Damaged forest area</w:t>
      </w:r>
      <w:r w:rsidRPr="00050FAE">
        <w:rPr>
          <w:rStyle w:val="FootnoteReference"/>
          <w:rFonts w:ascii="Times New Roman" w:hAnsi="Times New Roman"/>
          <w:spacing w:val="-4"/>
          <w:sz w:val="28"/>
          <w:szCs w:val="28"/>
        </w:rPr>
        <w:t xml:space="preserve"> </w:t>
      </w:r>
      <w:r w:rsidRPr="00050FAE">
        <w:rPr>
          <w:rStyle w:val="FootnoteReference"/>
          <w:rFonts w:ascii="Times New Roman" w:hAnsi="Times New Roman"/>
          <w:spacing w:val="-4"/>
          <w:sz w:val="28"/>
          <w:szCs w:val="28"/>
        </w:rPr>
        <w:footnoteReference w:id="3"/>
      </w:r>
      <w:r w:rsidRPr="009F297E">
        <w:rPr>
          <w:rFonts w:ascii="Times New Roman" w:hAnsi="Times New Roman" w:cs="Times New Roman"/>
          <w:spacing w:val="-4"/>
          <w:sz w:val="28"/>
          <w:szCs w:val="28"/>
          <w:lang w:val="vi-VN"/>
        </w:rPr>
        <w:t xml:space="preserve"> </w:t>
      </w:r>
      <w:r w:rsidR="009F49D5" w:rsidRPr="001957F5">
        <w:rPr>
          <w:rFonts w:ascii="Times New Roman" w:hAnsi="Times New Roman" w:cs="Times New Roman"/>
          <w:sz w:val="28"/>
          <w:szCs w:val="28"/>
          <w:lang w:val="vi-VN"/>
        </w:rPr>
        <w:t>in 2021</w:t>
      </w:r>
      <w:r w:rsidR="009F49D5">
        <w:rPr>
          <w:rFonts w:ascii="Times New Roman" w:hAnsi="Times New Roman" w:cs="Times New Roman"/>
          <w:sz w:val="28"/>
          <w:szCs w:val="28"/>
          <w:lang w:val="vi-VN"/>
        </w:rPr>
        <w:t xml:space="preserve"> </w:t>
      </w:r>
      <w:r w:rsidR="00F0118B">
        <w:rPr>
          <w:rFonts w:ascii="Times New Roman" w:hAnsi="Times New Roman" w:cs="Times New Roman"/>
          <w:sz w:val="28"/>
          <w:szCs w:val="28"/>
          <w:lang w:val="vi-VN"/>
        </w:rPr>
        <w:t xml:space="preserve">was </w:t>
      </w:r>
      <w:r w:rsidR="00F0118B" w:rsidRPr="001957F5">
        <w:rPr>
          <w:rFonts w:ascii="Times New Roman" w:hAnsi="Times New Roman" w:cs="Times New Roman"/>
          <w:sz w:val="28"/>
          <w:szCs w:val="28"/>
          <w:lang w:val="vi-VN"/>
        </w:rPr>
        <w:t xml:space="preserve">2,081 </w:t>
      </w:r>
      <w:r w:rsidR="00F0118B">
        <w:rPr>
          <w:rFonts w:ascii="Times New Roman" w:hAnsi="Times New Roman" w:cs="Times New Roman"/>
          <w:sz w:val="28"/>
          <w:szCs w:val="28"/>
          <w:lang w:val="vi-VN"/>
        </w:rPr>
        <w:t>hectares, up</w:t>
      </w:r>
      <w:r w:rsidR="001412EC" w:rsidRPr="00DC0CA9">
        <w:rPr>
          <w:rFonts w:ascii="Times New Roman" w:hAnsi="Times New Roman" w:cs="Times New Roman"/>
          <w:spacing w:val="-4"/>
          <w:sz w:val="28"/>
          <w:szCs w:val="28"/>
          <w:lang w:val="vi-VN"/>
        </w:rPr>
        <w:t xml:space="preserve"> 29,3% </w:t>
      </w:r>
      <w:r w:rsidR="00F0118B">
        <w:rPr>
          <w:rFonts w:ascii="Times New Roman" w:hAnsi="Times New Roman" w:cs="Times New Roman"/>
          <w:spacing w:val="-4"/>
          <w:sz w:val="28"/>
          <w:szCs w:val="28"/>
          <w:lang w:val="vi-VN"/>
        </w:rPr>
        <w:t>over the previous year</w:t>
      </w:r>
      <w:r w:rsidR="001412EC" w:rsidRPr="00DC0CA9">
        <w:rPr>
          <w:rFonts w:ascii="Times New Roman" w:hAnsi="Times New Roman" w:cs="Times New Roman"/>
          <w:spacing w:val="-4"/>
          <w:sz w:val="28"/>
          <w:szCs w:val="28"/>
          <w:lang w:val="vi-VN"/>
        </w:rPr>
        <w:t xml:space="preserve">, </w:t>
      </w:r>
      <w:r w:rsidR="00F0118B">
        <w:rPr>
          <w:rFonts w:ascii="Times New Roman" w:hAnsi="Times New Roman" w:cs="Times New Roman"/>
          <w:spacing w:val="-4"/>
          <w:sz w:val="28"/>
          <w:szCs w:val="28"/>
          <w:lang w:val="vi-VN"/>
        </w:rPr>
        <w:t xml:space="preserve">of </w:t>
      </w:r>
      <w:r w:rsidR="001255E1">
        <w:rPr>
          <w:rFonts w:ascii="Times New Roman" w:hAnsi="Times New Roman" w:cs="Times New Roman"/>
          <w:spacing w:val="-4"/>
          <w:sz w:val="28"/>
          <w:szCs w:val="28"/>
          <w:lang w:val="vi-VN"/>
        </w:rPr>
        <w:t xml:space="preserve">which: </w:t>
      </w:r>
      <w:r w:rsidR="001255E1">
        <w:rPr>
          <w:rFonts w:ascii="Times New Roman" w:hAnsi="Times New Roman" w:cs="Times New Roman"/>
          <w:sz w:val="28"/>
          <w:szCs w:val="28"/>
          <w:lang w:val="vi-VN"/>
        </w:rPr>
        <w:t>b</w:t>
      </w:r>
      <w:r w:rsidR="001255E1" w:rsidRPr="001957F5">
        <w:rPr>
          <w:rFonts w:ascii="Times New Roman" w:hAnsi="Times New Roman" w:cs="Times New Roman"/>
          <w:sz w:val="28"/>
          <w:szCs w:val="28"/>
          <w:lang w:val="vi-VN"/>
        </w:rPr>
        <w:t xml:space="preserve">urned forest area </w:t>
      </w:r>
      <w:r w:rsidR="001255E1">
        <w:rPr>
          <w:rFonts w:ascii="Times New Roman" w:hAnsi="Times New Roman" w:cs="Times New Roman"/>
          <w:sz w:val="28"/>
          <w:szCs w:val="28"/>
          <w:lang w:val="vi-VN"/>
        </w:rPr>
        <w:t>wa</w:t>
      </w:r>
      <w:r w:rsidR="001255E1" w:rsidRPr="001957F5">
        <w:rPr>
          <w:rFonts w:ascii="Times New Roman" w:hAnsi="Times New Roman" w:cs="Times New Roman"/>
          <w:sz w:val="28"/>
          <w:szCs w:val="28"/>
          <w:lang w:val="vi-VN"/>
        </w:rPr>
        <w:t xml:space="preserve">s 1,229 hectares, 1.7 times higher; </w:t>
      </w:r>
      <w:r w:rsidR="001255E1" w:rsidRPr="006D7720">
        <w:rPr>
          <w:rFonts w:ascii="Times New Roman" w:hAnsi="Times New Roman" w:cs="Times New Roman"/>
          <w:spacing w:val="-4"/>
          <w:sz w:val="28"/>
          <w:szCs w:val="28"/>
        </w:rPr>
        <w:t xml:space="preserve">the </w:t>
      </w:r>
      <w:r w:rsidR="001255E1" w:rsidRPr="006D7720">
        <w:rPr>
          <w:rFonts w:ascii="Times New Roman" w:hAnsi="Times New Roman" w:cs="Times New Roman"/>
          <w:sz w:val="28"/>
          <w:szCs w:val="28"/>
        </w:rPr>
        <w:t>deforested forest area</w:t>
      </w:r>
      <w:r w:rsidR="001255E1" w:rsidRPr="006D7720">
        <w:rPr>
          <w:rFonts w:ascii="Times New Roman" w:hAnsi="Times New Roman" w:cs="Times New Roman"/>
          <w:sz w:val="28"/>
          <w:szCs w:val="28"/>
          <w:lang w:val="pt-BR"/>
        </w:rPr>
        <w:t xml:space="preserve"> </w:t>
      </w:r>
      <w:r w:rsidR="001255E1" w:rsidRPr="006D7720">
        <w:rPr>
          <w:rFonts w:ascii="Times New Roman" w:hAnsi="Times New Roman" w:cs="Times New Roman"/>
          <w:spacing w:val="-4"/>
          <w:sz w:val="28"/>
          <w:szCs w:val="28"/>
        </w:rPr>
        <w:t xml:space="preserve">was </w:t>
      </w:r>
      <w:r w:rsidR="001255E1" w:rsidRPr="001957F5">
        <w:rPr>
          <w:rFonts w:ascii="Times New Roman" w:hAnsi="Times New Roman" w:cs="Times New Roman"/>
          <w:sz w:val="28"/>
          <w:szCs w:val="28"/>
          <w:lang w:val="vi-VN"/>
        </w:rPr>
        <w:t>852 ha, down 6.2%.</w:t>
      </w:r>
    </w:p>
    <w:p w14:paraId="421132D7" w14:textId="32F589BA" w:rsidR="005D224D" w:rsidRPr="00DC0CA9" w:rsidRDefault="005D224D" w:rsidP="00FA1162">
      <w:pPr>
        <w:pStyle w:val="Normal10"/>
        <w:spacing w:before="0" w:beforeAutospacing="0" w:after="60" w:afterAutospacing="0" w:line="252" w:lineRule="auto"/>
        <w:ind w:firstLine="567"/>
        <w:jc w:val="both"/>
        <w:rPr>
          <w:rFonts w:ascii="Times New Roman" w:hAnsi="Times New Roman" w:cs="Times New Roman"/>
          <w:i/>
          <w:sz w:val="28"/>
          <w:szCs w:val="28"/>
          <w:lang w:val="de-DE"/>
        </w:rPr>
      </w:pPr>
      <w:r w:rsidRPr="00DC0CA9">
        <w:rPr>
          <w:rFonts w:ascii="Times New Roman" w:hAnsi="Times New Roman" w:cs="Times New Roman"/>
          <w:b/>
          <w:bCs/>
          <w:i/>
          <w:sz w:val="28"/>
          <w:szCs w:val="28"/>
          <w:lang w:val="de-DE"/>
        </w:rPr>
        <w:t xml:space="preserve">c) </w:t>
      </w:r>
      <w:r w:rsidR="00AF0BC6" w:rsidRPr="006D7720">
        <w:rPr>
          <w:rFonts w:ascii="Times New Roman" w:hAnsi="Times New Roman" w:cs="Times New Roman"/>
          <w:b/>
          <w:bCs/>
          <w:i/>
          <w:iCs/>
          <w:sz w:val="28"/>
          <w:szCs w:val="28"/>
          <w:lang w:val="de-DE"/>
        </w:rPr>
        <w:t>Fishery</w:t>
      </w:r>
    </w:p>
    <w:p w14:paraId="6942B0CA" w14:textId="448EAB57" w:rsidR="00C712D9" w:rsidRPr="00DC0CA9" w:rsidRDefault="00E64BC0" w:rsidP="00FA1162">
      <w:pPr>
        <w:spacing w:after="60" w:line="252" w:lineRule="auto"/>
        <w:ind w:firstLine="567"/>
        <w:jc w:val="both"/>
        <w:rPr>
          <w:rFonts w:ascii="Times New Roman" w:hAnsi="Times New Roman" w:cs="Times New Roman"/>
          <w:noProof/>
          <w:sz w:val="28"/>
          <w:szCs w:val="28"/>
          <w:lang w:val="de-DE"/>
        </w:rPr>
      </w:pPr>
      <w:r>
        <w:rPr>
          <w:rFonts w:ascii="Times New Roman" w:hAnsi="Times New Roman" w:cs="Times New Roman"/>
          <w:sz w:val="28"/>
          <w:szCs w:val="28"/>
          <w:lang w:val="de-DE"/>
        </w:rPr>
        <w:t>T</w:t>
      </w:r>
      <w:r w:rsidRPr="00146446">
        <w:rPr>
          <w:rFonts w:ascii="Times New Roman" w:hAnsi="Times New Roman" w:cs="Times New Roman"/>
          <w:sz w:val="28"/>
          <w:szCs w:val="28"/>
          <w:lang w:val="de-DE"/>
        </w:rPr>
        <w:t xml:space="preserve">he fishery production </w:t>
      </w:r>
      <w:r>
        <w:rPr>
          <w:rFonts w:ascii="Times New Roman" w:hAnsi="Times New Roman" w:cs="Times New Roman"/>
          <w:sz w:val="28"/>
          <w:szCs w:val="28"/>
          <w:lang w:val="de-DE"/>
        </w:rPr>
        <w:t>in</w:t>
      </w:r>
      <w:r>
        <w:rPr>
          <w:rFonts w:ascii="Times New Roman" w:hAnsi="Times New Roman" w:cs="Times New Roman"/>
          <w:sz w:val="28"/>
          <w:szCs w:val="28"/>
          <w:lang w:val="vi-VN"/>
        </w:rPr>
        <w:t xml:space="preserve"> 2021 </w:t>
      </w:r>
      <w:r>
        <w:rPr>
          <w:rFonts w:ascii="Times New Roman" w:hAnsi="Times New Roman" w:cs="Times New Roman"/>
          <w:sz w:val="28"/>
          <w:szCs w:val="28"/>
          <w:lang w:val="de-DE"/>
        </w:rPr>
        <w:t>wa</w:t>
      </w:r>
      <w:r w:rsidRPr="00146446">
        <w:rPr>
          <w:rFonts w:ascii="Times New Roman" w:hAnsi="Times New Roman" w:cs="Times New Roman"/>
          <w:sz w:val="28"/>
          <w:szCs w:val="28"/>
          <w:lang w:val="de-DE"/>
        </w:rPr>
        <w:t>s estimated at 8,726.6 thousand tons, up 1% compared to 2020</w:t>
      </w:r>
      <w:r w:rsidRPr="00DC0CA9">
        <w:rPr>
          <w:rFonts w:ascii="Times New Roman" w:hAnsi="Times New Roman" w:cs="Times New Roman"/>
          <w:sz w:val="28"/>
          <w:szCs w:val="28"/>
          <w:lang w:val="de-DE"/>
        </w:rPr>
        <w:t xml:space="preserve"> </w:t>
      </w:r>
      <w:r w:rsidR="00C712D9" w:rsidRPr="00DC0CA9">
        <w:rPr>
          <w:rFonts w:ascii="Times New Roman" w:hAnsi="Times New Roman" w:cs="Times New Roman"/>
          <w:sz w:val="28"/>
          <w:szCs w:val="28"/>
          <w:lang w:val="de-DE"/>
        </w:rPr>
        <w:t>(</w:t>
      </w:r>
      <w:r w:rsidRPr="00E26331">
        <w:rPr>
          <w:rFonts w:ascii="Times New Roman" w:hAnsi="Times New Roman" w:cs="Times New Roman"/>
          <w:sz w:val="28"/>
          <w:szCs w:val="28"/>
          <w:shd w:val="clear" w:color="auto" w:fill="FFFFFF"/>
          <w:lang w:val="vi-VN"/>
        </w:rPr>
        <w:t>In the fourth quarter of 2021</w:t>
      </w:r>
      <w:r>
        <w:rPr>
          <w:rFonts w:ascii="Times New Roman" w:hAnsi="Times New Roman" w:cs="Times New Roman"/>
          <w:sz w:val="28"/>
          <w:szCs w:val="28"/>
          <w:shd w:val="clear" w:color="auto" w:fill="FFFFFF"/>
          <w:lang w:val="vi-VN"/>
        </w:rPr>
        <w:t xml:space="preserve"> </w:t>
      </w:r>
      <w:r w:rsidRPr="00E26331">
        <w:rPr>
          <w:rFonts w:ascii="Times New Roman" w:hAnsi="Times New Roman" w:cs="Times New Roman"/>
          <w:sz w:val="28"/>
          <w:szCs w:val="28"/>
          <w:shd w:val="clear" w:color="auto" w:fill="FFFFFF"/>
          <w:lang w:val="vi-VN"/>
        </w:rPr>
        <w:t xml:space="preserve">was </w:t>
      </w:r>
      <w:r w:rsidR="00E775C9" w:rsidRPr="00146446">
        <w:rPr>
          <w:rFonts w:ascii="Times New Roman" w:hAnsi="Times New Roman" w:cs="Times New Roman"/>
          <w:sz w:val="28"/>
          <w:szCs w:val="28"/>
          <w:lang w:val="de-DE"/>
        </w:rPr>
        <w:t>thousand tons, up 2.8% over the same period last year</w:t>
      </w:r>
      <w:r w:rsidR="00C712D9" w:rsidRPr="00DC0CA9">
        <w:rPr>
          <w:rFonts w:ascii="Times New Roman" w:hAnsi="Times New Roman" w:cs="Times New Roman"/>
          <w:sz w:val="28"/>
          <w:szCs w:val="28"/>
          <w:lang w:val="de-DE"/>
        </w:rPr>
        <w:t xml:space="preserve">), </w:t>
      </w:r>
      <w:r w:rsidR="001779CC" w:rsidRPr="00146446">
        <w:rPr>
          <w:rFonts w:ascii="Times New Roman" w:hAnsi="Times New Roman" w:cs="Times New Roman"/>
          <w:sz w:val="28"/>
          <w:szCs w:val="28"/>
          <w:lang w:val="de-DE"/>
        </w:rPr>
        <w:t>including Fish reached 6,295.2 thousand tons, up 0.1%; shrimp was 1,136.4 thousand tons, up 4.3%; other aquatic products reached 1,295 thousand tons, up 2.6%.</w:t>
      </w:r>
    </w:p>
    <w:p w14:paraId="5D3E0E7B" w14:textId="77777777" w:rsidR="00523BFC" w:rsidRDefault="0099583A" w:rsidP="00523BFC">
      <w:pPr>
        <w:spacing w:after="60" w:line="252" w:lineRule="auto"/>
        <w:ind w:firstLine="567"/>
        <w:jc w:val="both"/>
        <w:rPr>
          <w:rFonts w:ascii="Times New Roman" w:hAnsi="Times New Roman" w:cs="Times New Roman"/>
          <w:sz w:val="28"/>
          <w:szCs w:val="28"/>
          <w:lang w:val="de-DE"/>
        </w:rPr>
      </w:pPr>
      <w:r w:rsidRPr="00E856BD">
        <w:rPr>
          <w:rFonts w:ascii="Times New Roman" w:hAnsi="Times New Roman" w:cs="Times New Roman"/>
          <w:i/>
          <w:iCs/>
          <w:sz w:val="28"/>
          <w:szCs w:val="28"/>
          <w:lang w:val="de-DE"/>
        </w:rPr>
        <w:t>Aquaculture production</w:t>
      </w:r>
      <w:r w:rsidRPr="00335AA1">
        <w:rPr>
          <w:rFonts w:ascii="Times New Roman" w:hAnsi="Times New Roman" w:cs="Times New Roman"/>
          <w:sz w:val="28"/>
          <w:szCs w:val="28"/>
          <w:lang w:val="de-DE"/>
        </w:rPr>
        <w:t xml:space="preserve"> </w:t>
      </w:r>
      <w:r>
        <w:rPr>
          <w:rFonts w:ascii="Times New Roman" w:hAnsi="Times New Roman" w:cs="Times New Roman"/>
          <w:sz w:val="28"/>
          <w:szCs w:val="28"/>
          <w:lang w:val="de-DE"/>
        </w:rPr>
        <w:t>th</w:t>
      </w:r>
      <w:r>
        <w:rPr>
          <w:rFonts w:ascii="Times New Roman" w:hAnsi="Times New Roman" w:cs="Times New Roman"/>
          <w:sz w:val="28"/>
          <w:szCs w:val="28"/>
          <w:lang w:val="vi-VN"/>
        </w:rPr>
        <w:t xml:space="preserve">is year </w:t>
      </w:r>
      <w:r w:rsidR="00D0214D">
        <w:rPr>
          <w:rFonts w:ascii="Times New Roman" w:hAnsi="Times New Roman" w:cs="Times New Roman"/>
          <w:sz w:val="28"/>
          <w:szCs w:val="28"/>
          <w:lang w:val="de-DE"/>
        </w:rPr>
        <w:t>wa</w:t>
      </w:r>
      <w:r w:rsidR="00D0214D" w:rsidRPr="00335AA1">
        <w:rPr>
          <w:rFonts w:ascii="Times New Roman" w:hAnsi="Times New Roman" w:cs="Times New Roman"/>
          <w:sz w:val="28"/>
          <w:szCs w:val="28"/>
          <w:lang w:val="de-DE"/>
        </w:rPr>
        <w:t>s estimated at 4,805.8 thousand tons, up 1.0% over the previous year</w:t>
      </w:r>
      <w:r w:rsidR="00D0214D" w:rsidRPr="00DC0CA9">
        <w:rPr>
          <w:rFonts w:ascii="Times New Roman" w:hAnsi="Times New Roman" w:cs="Times New Roman"/>
          <w:sz w:val="28"/>
          <w:szCs w:val="28"/>
          <w:lang w:val="de-DE"/>
        </w:rPr>
        <w:t xml:space="preserve"> </w:t>
      </w:r>
      <w:r w:rsidR="00C712D9" w:rsidRPr="00DC0CA9">
        <w:rPr>
          <w:rFonts w:ascii="Times New Roman" w:hAnsi="Times New Roman" w:cs="Times New Roman"/>
          <w:sz w:val="28"/>
          <w:szCs w:val="28"/>
          <w:lang w:val="de-DE"/>
        </w:rPr>
        <w:t>(</w:t>
      </w:r>
      <w:r w:rsidR="00E64BC0" w:rsidRPr="00E26331">
        <w:rPr>
          <w:rFonts w:ascii="Times New Roman" w:hAnsi="Times New Roman" w:cs="Times New Roman"/>
          <w:sz w:val="28"/>
          <w:szCs w:val="28"/>
          <w:shd w:val="clear" w:color="auto" w:fill="FFFFFF"/>
          <w:lang w:val="vi-VN"/>
        </w:rPr>
        <w:t>In the fourth quarter of 2021</w:t>
      </w:r>
      <w:r w:rsidR="00E64BC0">
        <w:rPr>
          <w:rFonts w:ascii="Times New Roman" w:hAnsi="Times New Roman" w:cs="Times New Roman"/>
          <w:sz w:val="28"/>
          <w:szCs w:val="28"/>
          <w:shd w:val="clear" w:color="auto" w:fill="FFFFFF"/>
          <w:lang w:val="vi-VN"/>
        </w:rPr>
        <w:t xml:space="preserve"> </w:t>
      </w:r>
      <w:r w:rsidR="00E64BC0" w:rsidRPr="00E26331">
        <w:rPr>
          <w:rFonts w:ascii="Times New Roman" w:hAnsi="Times New Roman" w:cs="Times New Roman"/>
          <w:sz w:val="28"/>
          <w:szCs w:val="28"/>
          <w:shd w:val="clear" w:color="auto" w:fill="FFFFFF"/>
          <w:lang w:val="vi-VN"/>
        </w:rPr>
        <w:t xml:space="preserve">was </w:t>
      </w:r>
      <w:r w:rsidR="00050199" w:rsidRPr="00335AA1">
        <w:rPr>
          <w:rFonts w:ascii="Times New Roman" w:hAnsi="Times New Roman" w:cs="Times New Roman"/>
          <w:sz w:val="28"/>
          <w:szCs w:val="28"/>
          <w:lang w:val="de-DE"/>
        </w:rPr>
        <w:t>1,452.7 thousand tons, up 3.5% over the same period last year</w:t>
      </w:r>
      <w:r w:rsidR="00C712D9" w:rsidRPr="00DC0CA9">
        <w:rPr>
          <w:rFonts w:ascii="Times New Roman" w:hAnsi="Times New Roman" w:cs="Times New Roman"/>
          <w:sz w:val="28"/>
          <w:szCs w:val="28"/>
          <w:lang w:val="de-DE"/>
        </w:rPr>
        <w:t>)</w:t>
      </w:r>
      <w:r w:rsidR="00FF7AB5" w:rsidRPr="00DC0CA9">
        <w:rPr>
          <w:rFonts w:ascii="Times New Roman" w:hAnsi="Times New Roman" w:cs="Times New Roman"/>
          <w:sz w:val="28"/>
          <w:szCs w:val="28"/>
          <w:lang w:val="de-DE"/>
        </w:rPr>
        <w:t xml:space="preserve">, </w:t>
      </w:r>
      <w:r w:rsidR="00523BFC" w:rsidRPr="00335AA1">
        <w:rPr>
          <w:rFonts w:ascii="Times New Roman" w:hAnsi="Times New Roman" w:cs="Times New Roman"/>
          <w:sz w:val="28"/>
          <w:szCs w:val="28"/>
          <w:lang w:val="de-DE"/>
        </w:rPr>
        <w:t>including Fish reaching 3,259.1 thousand tons, down 0.8%; shrimp reached 987.5 thousand tons, up 4.7%; other aquatic products reached 559.2 thousand tons, up 5.4%.</w:t>
      </w:r>
    </w:p>
    <w:p w14:paraId="319300A8" w14:textId="6E12B65C" w:rsidR="00FF7AB5" w:rsidRPr="00DC0CA9" w:rsidRDefault="00020BA6" w:rsidP="00875BB8">
      <w:pPr>
        <w:spacing w:before="40" w:after="40" w:line="269" w:lineRule="auto"/>
        <w:ind w:firstLine="561"/>
        <w:jc w:val="both"/>
        <w:rPr>
          <w:rFonts w:ascii="Times New Roman" w:hAnsi="Times New Roman" w:cs="Times New Roman"/>
          <w:spacing w:val="-2"/>
          <w:sz w:val="28"/>
          <w:szCs w:val="28"/>
          <w:lang w:val="de-DE"/>
        </w:rPr>
      </w:pPr>
      <w:r w:rsidRPr="00563DF9">
        <w:rPr>
          <w:rFonts w:ascii="Times New Roman" w:hAnsi="Times New Roman" w:cs="Times New Roman"/>
          <w:i/>
          <w:iCs/>
          <w:spacing w:val="-2"/>
          <w:sz w:val="28"/>
          <w:szCs w:val="28"/>
          <w:lang w:val="de-DE"/>
        </w:rPr>
        <w:t>Catch Fishery output</w:t>
      </w:r>
      <w:r w:rsidRPr="00BF5D1B">
        <w:rPr>
          <w:rFonts w:ascii="Times New Roman" w:hAnsi="Times New Roman" w:cs="Times New Roman"/>
          <w:spacing w:val="-2"/>
          <w:sz w:val="28"/>
          <w:szCs w:val="28"/>
          <w:lang w:val="de-DE"/>
        </w:rPr>
        <w:t xml:space="preserve"> </w:t>
      </w:r>
      <w:r>
        <w:rPr>
          <w:rFonts w:ascii="Times New Roman" w:hAnsi="Times New Roman" w:cs="Times New Roman"/>
          <w:spacing w:val="-2"/>
          <w:sz w:val="28"/>
          <w:szCs w:val="28"/>
          <w:lang w:val="de-DE"/>
        </w:rPr>
        <w:t>in</w:t>
      </w:r>
      <w:r>
        <w:rPr>
          <w:rFonts w:ascii="Times New Roman" w:hAnsi="Times New Roman" w:cs="Times New Roman"/>
          <w:spacing w:val="-2"/>
          <w:sz w:val="28"/>
          <w:szCs w:val="28"/>
          <w:lang w:val="vi-VN"/>
        </w:rPr>
        <w:t xml:space="preserve"> 2021 </w:t>
      </w:r>
      <w:r w:rsidR="00E81B0C" w:rsidRPr="00BF5D1B">
        <w:rPr>
          <w:rFonts w:ascii="Times New Roman" w:hAnsi="Times New Roman" w:cs="Times New Roman"/>
          <w:spacing w:val="-2"/>
          <w:sz w:val="28"/>
          <w:szCs w:val="28"/>
          <w:lang w:val="de-DE"/>
        </w:rPr>
        <w:t>was estimated at 3,920.8 thousand tons, up 0.9% over the previous year</w:t>
      </w:r>
      <w:r w:rsidR="00C712D9" w:rsidRPr="00DC0CA9">
        <w:rPr>
          <w:rFonts w:ascii="Times New Roman" w:hAnsi="Times New Roman" w:cs="Times New Roman"/>
          <w:spacing w:val="-2"/>
          <w:sz w:val="28"/>
          <w:szCs w:val="28"/>
          <w:lang w:val="de-DE"/>
        </w:rPr>
        <w:t xml:space="preserve"> (</w:t>
      </w:r>
      <w:r w:rsidR="00E64BC0" w:rsidRPr="00E26331">
        <w:rPr>
          <w:rFonts w:ascii="Times New Roman" w:hAnsi="Times New Roman" w:cs="Times New Roman"/>
          <w:sz w:val="28"/>
          <w:szCs w:val="28"/>
          <w:shd w:val="clear" w:color="auto" w:fill="FFFFFF"/>
          <w:lang w:val="vi-VN"/>
        </w:rPr>
        <w:t>In the fourth quarter of 2021</w:t>
      </w:r>
      <w:r w:rsidR="00E64BC0">
        <w:rPr>
          <w:rFonts w:ascii="Times New Roman" w:hAnsi="Times New Roman" w:cs="Times New Roman"/>
          <w:sz w:val="28"/>
          <w:szCs w:val="28"/>
          <w:shd w:val="clear" w:color="auto" w:fill="FFFFFF"/>
          <w:lang w:val="vi-VN"/>
        </w:rPr>
        <w:t xml:space="preserve"> </w:t>
      </w:r>
      <w:r w:rsidR="00322D42" w:rsidRPr="00BF5D1B">
        <w:rPr>
          <w:rFonts w:ascii="Times New Roman" w:hAnsi="Times New Roman" w:cs="Times New Roman"/>
          <w:spacing w:val="-2"/>
          <w:sz w:val="28"/>
          <w:szCs w:val="28"/>
          <w:lang w:val="de-DE"/>
        </w:rPr>
        <w:t>was estimated at 863.6 thousand tons, up 1.7% over the same period last year</w:t>
      </w:r>
      <w:r w:rsidR="00C712D9" w:rsidRPr="00DC0CA9">
        <w:rPr>
          <w:rFonts w:ascii="Times New Roman" w:hAnsi="Times New Roman" w:cs="Times New Roman"/>
          <w:spacing w:val="-2"/>
          <w:sz w:val="28"/>
          <w:szCs w:val="28"/>
          <w:lang w:val="de-DE"/>
        </w:rPr>
        <w:t xml:space="preserve">), </w:t>
      </w:r>
      <w:r w:rsidR="003606D9" w:rsidRPr="00BF5D1B">
        <w:rPr>
          <w:rFonts w:ascii="Times New Roman" w:hAnsi="Times New Roman" w:cs="Times New Roman"/>
          <w:spacing w:val="-2"/>
          <w:sz w:val="28"/>
          <w:szCs w:val="28"/>
          <w:lang w:val="de-DE"/>
        </w:rPr>
        <w:t>including fish reaching 3,036.1 thousand tons, up 1%; shrimp 148.9 thousand tons, up 1.2%; other aquatic products 735.8 thousand tons, up 0.6%. The output of marine fishing in 2021 was estimated at 3,726 thousand tons, up 0.9%, of which: fish 2,903.5 thousand tons, up 1%; shrimp 138.7 thousand tons, up 1.2%.</w:t>
      </w:r>
    </w:p>
    <w:p w14:paraId="1C3D02DA" w14:textId="77777777" w:rsidR="00000FB2" w:rsidRDefault="00A64DB3" w:rsidP="00FA1162">
      <w:pPr>
        <w:shd w:val="clear" w:color="auto" w:fill="FFFFFF"/>
        <w:spacing w:after="60" w:line="252" w:lineRule="auto"/>
        <w:ind w:firstLine="567"/>
        <w:jc w:val="both"/>
        <w:rPr>
          <w:rFonts w:ascii="Times New Roman" w:hAnsi="Times New Roman" w:cs="Times New Roman"/>
          <w:b/>
          <w:i/>
          <w:sz w:val="28"/>
          <w:szCs w:val="28"/>
          <w:lang w:val="de-DE"/>
        </w:rPr>
      </w:pPr>
      <w:r w:rsidRPr="00DC0CA9">
        <w:rPr>
          <w:rFonts w:ascii="Times New Roman" w:hAnsi="Times New Roman" w:cs="Times New Roman"/>
          <w:b/>
          <w:i/>
          <w:iCs/>
          <w:sz w:val="28"/>
          <w:szCs w:val="28"/>
        </w:rPr>
        <w:t xml:space="preserve">3. </w:t>
      </w:r>
      <w:r w:rsidR="00000FB2" w:rsidRPr="00000FB2">
        <w:rPr>
          <w:rFonts w:ascii="Times New Roman" w:hAnsi="Times New Roman" w:cs="Times New Roman"/>
          <w:b/>
          <w:i/>
          <w:sz w:val="28"/>
          <w:szCs w:val="28"/>
          <w:lang w:val="de-DE"/>
        </w:rPr>
        <w:t>Industrial production in the fourth quarter of 2021 prospered right after localities across the country implemented the Government's Resolution No. 128/NQ-CP dated October 11, 2021, on safe adaptation, flexibility, effectively controlling the Covid-19 pandemic with the value-added growth rate of 6.52% over the same period last year. The value-added of the industry in 2021 increased by 4.82% compared to 2020, of which the manufacturing increased by 6.37%.</w:t>
      </w:r>
    </w:p>
    <w:p w14:paraId="4772BDE5" w14:textId="45581233" w:rsidR="00B135BE" w:rsidRPr="00A95706" w:rsidRDefault="001A3D02" w:rsidP="00A95706">
      <w:pPr>
        <w:spacing w:before="40" w:after="40" w:line="269" w:lineRule="auto"/>
        <w:ind w:firstLine="561"/>
        <w:jc w:val="both"/>
        <w:rPr>
          <w:rFonts w:ascii="Times New Roman" w:hAnsi="Times New Roman" w:cs="Times New Roman"/>
          <w:spacing w:val="-2"/>
          <w:sz w:val="28"/>
          <w:szCs w:val="28"/>
          <w:lang w:val="de-DE"/>
        </w:rPr>
      </w:pPr>
      <w:r w:rsidRPr="00A95706">
        <w:rPr>
          <w:rFonts w:ascii="Times New Roman" w:hAnsi="Times New Roman" w:cs="Times New Roman"/>
          <w:spacing w:val="-2"/>
          <w:sz w:val="28"/>
          <w:szCs w:val="28"/>
          <w:lang w:val="de-DE"/>
        </w:rPr>
        <w:t>The value-added of the whole industry in 2021 was estimated to increase by 4.82% over the previous year (the first quarter increased by 6.44%; the second quarter by 11.18%; the third quarter by 4.4%; the fourth quarter by 6.52%)</w:t>
      </w:r>
      <w:r w:rsidR="00B135BE" w:rsidRPr="00A95706">
        <w:rPr>
          <w:rFonts w:ascii="Times New Roman" w:hAnsi="Times New Roman" w:cs="Times New Roman"/>
          <w:spacing w:val="-2"/>
          <w:sz w:val="28"/>
          <w:szCs w:val="28"/>
          <w:lang w:val="de-DE"/>
        </w:rPr>
        <w:t xml:space="preserve">. </w:t>
      </w:r>
      <w:r w:rsidR="007C7513" w:rsidRPr="00A95706">
        <w:rPr>
          <w:rFonts w:ascii="Times New Roman" w:hAnsi="Times New Roman" w:cs="Times New Roman"/>
          <w:spacing w:val="-2"/>
          <w:sz w:val="28"/>
          <w:szCs w:val="28"/>
          <w:lang w:val="de-DE"/>
        </w:rPr>
        <w:t xml:space="preserve">Of </w:t>
      </w:r>
      <w:r w:rsidR="007C7513" w:rsidRPr="00A95706">
        <w:rPr>
          <w:rFonts w:ascii="Times New Roman" w:hAnsi="Times New Roman" w:cs="Times New Roman"/>
          <w:spacing w:val="-2"/>
          <w:sz w:val="28"/>
          <w:szCs w:val="28"/>
          <w:lang w:val="de-DE"/>
        </w:rPr>
        <w:lastRenderedPageBreak/>
        <w:t>which, the manufacturing increased by 6.37%</w:t>
      </w:r>
      <w:r w:rsidR="00B135BE" w:rsidRPr="00A95706">
        <w:rPr>
          <w:rFonts w:ascii="Times New Roman" w:hAnsi="Times New Roman" w:cs="Times New Roman"/>
          <w:spacing w:val="-2"/>
          <w:sz w:val="28"/>
          <w:szCs w:val="28"/>
          <w:lang w:val="de-DE"/>
        </w:rPr>
        <w:t xml:space="preserve">; </w:t>
      </w:r>
      <w:r w:rsidR="001164E8" w:rsidRPr="00A95706">
        <w:rPr>
          <w:rFonts w:ascii="Times New Roman" w:hAnsi="Times New Roman" w:cs="Times New Roman"/>
          <w:spacing w:val="-2"/>
          <w:sz w:val="28"/>
          <w:szCs w:val="28"/>
          <w:lang w:val="de-DE"/>
        </w:rPr>
        <w:t>Electricity, gas, steam, and air conditioning supply increased by 5.24%</w:t>
      </w:r>
      <w:r w:rsidR="00B135BE" w:rsidRPr="00A95706">
        <w:rPr>
          <w:rFonts w:ascii="Times New Roman" w:hAnsi="Times New Roman" w:cs="Times New Roman"/>
          <w:spacing w:val="-2"/>
          <w:sz w:val="28"/>
          <w:szCs w:val="28"/>
          <w:lang w:val="de-DE"/>
        </w:rPr>
        <w:t xml:space="preserve">; </w:t>
      </w:r>
      <w:r w:rsidR="000F737C" w:rsidRPr="00A95706">
        <w:rPr>
          <w:rFonts w:ascii="Times New Roman" w:hAnsi="Times New Roman" w:cs="Times New Roman"/>
          <w:spacing w:val="-2"/>
          <w:sz w:val="28"/>
          <w:szCs w:val="28"/>
          <w:lang w:val="de-DE"/>
        </w:rPr>
        <w:t>Water supply; sewerage, waste management, and remediation activities increased by 4%</w:t>
      </w:r>
      <w:r w:rsidR="00B135BE" w:rsidRPr="00A95706">
        <w:rPr>
          <w:rFonts w:ascii="Times New Roman" w:hAnsi="Times New Roman" w:cs="Times New Roman"/>
          <w:spacing w:val="-2"/>
          <w:sz w:val="28"/>
          <w:szCs w:val="28"/>
          <w:lang w:val="de-DE"/>
        </w:rPr>
        <w:t xml:space="preserve">; </w:t>
      </w:r>
      <w:r w:rsidR="007F20E1" w:rsidRPr="00A95706">
        <w:rPr>
          <w:rFonts w:ascii="Times New Roman" w:hAnsi="Times New Roman" w:cs="Times New Roman"/>
          <w:spacing w:val="-2"/>
          <w:sz w:val="28"/>
          <w:szCs w:val="28"/>
          <w:lang w:val="de-DE"/>
        </w:rPr>
        <w:t>Mining and quarrying sector decreased by 6.21%</w:t>
      </w:r>
      <w:r w:rsidR="00B135BE" w:rsidRPr="00A95706">
        <w:rPr>
          <w:rFonts w:ascii="Times New Roman" w:hAnsi="Times New Roman" w:cs="Times New Roman"/>
          <w:spacing w:val="-2"/>
          <w:sz w:val="28"/>
          <w:szCs w:val="28"/>
          <w:lang w:val="de-DE"/>
        </w:rPr>
        <w:t xml:space="preserve"> </w:t>
      </w:r>
      <w:r w:rsidR="005D4363" w:rsidRPr="00A95706">
        <w:rPr>
          <w:rFonts w:ascii="Times New Roman" w:hAnsi="Times New Roman" w:cs="Times New Roman"/>
          <w:spacing w:val="-2"/>
          <w:sz w:val="28"/>
          <w:szCs w:val="28"/>
          <w:lang w:val="de-DE"/>
        </w:rPr>
        <w:t>due to a decrease in crude oil production by 5.7% and a decrease of 19.4% in natural gas</w:t>
      </w:r>
      <w:r w:rsidR="00B135BE" w:rsidRPr="00A95706">
        <w:rPr>
          <w:rFonts w:ascii="Times New Roman" w:hAnsi="Times New Roman" w:cs="Times New Roman"/>
          <w:spacing w:val="-2"/>
          <w:sz w:val="28"/>
          <w:szCs w:val="28"/>
          <w:lang w:val="de-DE"/>
        </w:rPr>
        <w:t>.</w:t>
      </w:r>
    </w:p>
    <w:p w14:paraId="5D422463" w14:textId="1BCC9E0A" w:rsidR="00B135BE" w:rsidRPr="00A95706" w:rsidRDefault="00A11310" w:rsidP="00A95706">
      <w:pPr>
        <w:spacing w:before="40" w:after="40" w:line="269" w:lineRule="auto"/>
        <w:ind w:firstLine="561"/>
        <w:jc w:val="both"/>
        <w:rPr>
          <w:rFonts w:ascii="Times New Roman" w:hAnsi="Times New Roman" w:cs="Times New Roman"/>
          <w:spacing w:val="-2"/>
          <w:sz w:val="28"/>
          <w:szCs w:val="28"/>
          <w:lang w:val="de-DE"/>
        </w:rPr>
      </w:pPr>
      <w:r w:rsidRPr="00A95706">
        <w:rPr>
          <w:rFonts w:ascii="Times New Roman" w:hAnsi="Times New Roman" w:cs="Times New Roman"/>
          <w:spacing w:val="-2"/>
          <w:sz w:val="28"/>
          <w:szCs w:val="28"/>
          <w:lang w:val="de-DE"/>
        </w:rPr>
        <w:t xml:space="preserve">Generally, in 2021, the consumption index of the whole manufacturing industry increased by 4.5% over the last year. </w:t>
      </w:r>
      <w:r w:rsidR="009C0641" w:rsidRPr="00A95706">
        <w:rPr>
          <w:rFonts w:ascii="Times New Roman" w:hAnsi="Times New Roman" w:cs="Times New Roman"/>
          <w:spacing w:val="-2"/>
          <w:sz w:val="28"/>
          <w:szCs w:val="28"/>
          <w:lang w:val="de-DE"/>
        </w:rPr>
        <w:t>The inventory index of the manufacturing industry was estimated as of 31/12/2021 increased by 0.1% over the period month and increased by 21.9 over the same period last year (in the same period of 2020 increased by 25.3%). The average inventory rate of the whole processing and manufacturing industry in 2021 was 79.1% (the last year was 71.9%).</w:t>
      </w:r>
    </w:p>
    <w:p w14:paraId="481C32DB" w14:textId="2D4BEFD1" w:rsidR="00302530" w:rsidRPr="00DC0CA9" w:rsidRDefault="00571CD4" w:rsidP="00FA1162">
      <w:pPr>
        <w:spacing w:after="120" w:line="259" w:lineRule="auto"/>
        <w:ind w:firstLine="567"/>
        <w:jc w:val="both"/>
        <w:rPr>
          <w:rFonts w:ascii="Times New Roman" w:hAnsi="Times New Roman" w:cs="Times New Roman"/>
          <w:b/>
          <w:i/>
          <w:sz w:val="28"/>
          <w:szCs w:val="28"/>
          <w:lang w:val="it-IT"/>
        </w:rPr>
      </w:pPr>
      <w:r w:rsidRPr="00DC0CA9">
        <w:rPr>
          <w:rFonts w:ascii="Times New Roman" w:hAnsi="Times New Roman" w:cs="Times New Roman"/>
          <w:b/>
          <w:bCs/>
          <w:i/>
          <w:sz w:val="28"/>
          <w:szCs w:val="28"/>
        </w:rPr>
        <w:t xml:space="preserve">4. </w:t>
      </w:r>
      <w:r w:rsidR="003A6A9B" w:rsidRPr="003A6A9B">
        <w:rPr>
          <w:rFonts w:ascii="Times New Roman" w:hAnsi="Times New Roman" w:cs="Times New Roman"/>
          <w:b/>
          <w:i/>
          <w:sz w:val="28"/>
          <w:szCs w:val="28"/>
          <w:lang w:val="it-IT"/>
        </w:rPr>
        <w:t>In 2021, the strong outbreak of the fourth Covid-19 wave along with strict blockades and prolonged distancing (especially in the third quarter of 2021) had a negative impact on the increase in the number of businesses. The total number of enterprises entering and re-entering the market in 2021 reached nearly 160,000 enterprises, down 10.7% compared to 2020; 119.8 thousand enterprises withdrew from the market, an increase of 17.8%, of which the majority were enterprises established under 5 years, with small capital scale.</w:t>
      </w:r>
    </w:p>
    <w:p w14:paraId="6E483CDF" w14:textId="55308450" w:rsidR="00154D42" w:rsidRPr="00116254" w:rsidRDefault="001E314D" w:rsidP="00FA1162">
      <w:pPr>
        <w:spacing w:after="120" w:line="259" w:lineRule="auto"/>
        <w:ind w:firstLine="567"/>
        <w:jc w:val="both"/>
        <w:rPr>
          <w:rFonts w:ascii="Times New Roman" w:hAnsi="Times New Roman" w:cs="Times New Roman"/>
          <w:b/>
          <w:i/>
          <w:spacing w:val="-4"/>
          <w:sz w:val="28"/>
          <w:szCs w:val="28"/>
          <w:lang w:val="vi-VN"/>
        </w:rPr>
      </w:pPr>
      <w:r w:rsidRPr="001E314D">
        <w:rPr>
          <w:rFonts w:ascii="Times New Roman" w:hAnsi="Times New Roman" w:cs="Times New Roman"/>
          <w:b/>
          <w:i/>
          <w:spacing w:val="-4"/>
          <w:sz w:val="28"/>
          <w:szCs w:val="28"/>
          <w:lang w:val="it-IT"/>
        </w:rPr>
        <w:t xml:space="preserve">The timely promulgation and implementation of Resolution No. 128/NQ-CP dated October 11, 2021, nationwide have made an important contribution to restoring production and promoting the market, gradually creating confidence for enterprises. The results of the survey on business trends of enterprises in the processing and manufacturing industry showed that enterprises were optimistic about their production and business situation in the first quarter of 2022 with 81.7% of enterprises assessing it will be stable and better than the fourth quarter of </w:t>
      </w:r>
      <w:r w:rsidR="00116254">
        <w:rPr>
          <w:rFonts w:ascii="Times New Roman" w:hAnsi="Times New Roman" w:cs="Times New Roman"/>
          <w:b/>
          <w:i/>
          <w:spacing w:val="-4"/>
          <w:sz w:val="28"/>
          <w:szCs w:val="28"/>
          <w:lang w:val="it-IT"/>
        </w:rPr>
        <w:t>2021</w:t>
      </w:r>
      <w:r w:rsidR="00116254">
        <w:rPr>
          <w:rFonts w:ascii="Times New Roman" w:hAnsi="Times New Roman" w:cs="Times New Roman"/>
          <w:b/>
          <w:i/>
          <w:spacing w:val="-4"/>
          <w:sz w:val="28"/>
          <w:szCs w:val="28"/>
          <w:lang w:val="vi-VN"/>
        </w:rPr>
        <w:t>.</w:t>
      </w:r>
    </w:p>
    <w:p w14:paraId="62D9C554" w14:textId="77777777" w:rsidR="00F01DD7" w:rsidRDefault="00154D42" w:rsidP="00FA1162">
      <w:pPr>
        <w:spacing w:after="120" w:line="259" w:lineRule="auto"/>
        <w:ind w:firstLine="567"/>
        <w:jc w:val="both"/>
        <w:rPr>
          <w:rFonts w:ascii="Times New Roman" w:hAnsi="Times New Roman" w:cs="Times New Roman"/>
          <w:bCs/>
          <w:i/>
          <w:sz w:val="28"/>
          <w:szCs w:val="28"/>
          <w:vertAlign w:val="superscript"/>
        </w:rPr>
      </w:pPr>
      <w:r w:rsidRPr="00DC0CA9">
        <w:rPr>
          <w:rFonts w:ascii="Times New Roman" w:hAnsi="Times New Roman" w:cs="Times New Roman"/>
          <w:b/>
          <w:bCs/>
          <w:i/>
          <w:sz w:val="28"/>
          <w:szCs w:val="28"/>
          <w:lang w:val="it-IT"/>
        </w:rPr>
        <w:t xml:space="preserve">a) </w:t>
      </w:r>
      <w:r w:rsidR="00F01DD7" w:rsidRPr="006D7720">
        <w:rPr>
          <w:rFonts w:ascii="Times New Roman" w:hAnsi="Times New Roman" w:cs="Times New Roman"/>
          <w:b/>
          <w:bCs/>
          <w:i/>
          <w:sz w:val="28"/>
          <w:szCs w:val="28"/>
          <w:lang w:val="en-US"/>
        </w:rPr>
        <w:t>Enterprise registration status</w:t>
      </w:r>
      <w:r w:rsidR="00F01DD7" w:rsidRPr="006D7720">
        <w:rPr>
          <w:rFonts w:ascii="Times New Roman" w:hAnsi="Times New Roman" w:cs="Times New Roman"/>
          <w:bCs/>
          <w:i/>
          <w:sz w:val="28"/>
          <w:szCs w:val="28"/>
          <w:vertAlign w:val="superscript"/>
        </w:rPr>
        <w:t xml:space="preserve"> </w:t>
      </w:r>
      <w:r w:rsidR="00F01DD7" w:rsidRPr="008851E9">
        <w:rPr>
          <w:rFonts w:ascii="Times New Roman" w:hAnsi="Times New Roman" w:cs="Times New Roman"/>
          <w:bCs/>
          <w:i/>
          <w:sz w:val="28"/>
          <w:szCs w:val="28"/>
          <w:vertAlign w:val="superscript"/>
        </w:rPr>
        <w:footnoteReference w:id="4"/>
      </w:r>
    </w:p>
    <w:p w14:paraId="1751C493" w14:textId="77777777" w:rsidR="00487E5B" w:rsidRPr="00A95706" w:rsidRDefault="00487E5B" w:rsidP="00A95706">
      <w:pPr>
        <w:spacing w:before="40" w:after="40" w:line="269" w:lineRule="auto"/>
        <w:ind w:firstLine="561"/>
        <w:jc w:val="both"/>
        <w:rPr>
          <w:rFonts w:ascii="Times New Roman" w:hAnsi="Times New Roman" w:cs="Times New Roman"/>
          <w:spacing w:val="-2"/>
          <w:sz w:val="28"/>
          <w:szCs w:val="28"/>
          <w:lang w:val="de-DE"/>
        </w:rPr>
      </w:pPr>
      <w:r w:rsidRPr="00A95706">
        <w:rPr>
          <w:rFonts w:ascii="Times New Roman" w:hAnsi="Times New Roman" w:cs="Times New Roman"/>
          <w:spacing w:val="-2"/>
          <w:sz w:val="28"/>
          <w:szCs w:val="28"/>
          <w:lang w:val="de-DE"/>
        </w:rPr>
        <w:t>In the fourth quarter of 2021, the newly established enterprises had 31.4 thousand enterprises with a total registered capital of 415.3 trillion VND and a total number of registered employees of 205.1 thousand employees, up 70.4% in the number of enterprises, an increase of 64.1% in number the registered capital, and an increase of 24.7% in the number of employees compared to the third quarter in 2021. After more than two months of Resolution 128/NQ-CP in practice, the business registration situation of enterprises in the last months of 2021 has improved clearly.</w:t>
      </w:r>
    </w:p>
    <w:p w14:paraId="40409659" w14:textId="77777777" w:rsidR="000F46EF" w:rsidRPr="00FB423D" w:rsidRDefault="000F46EF" w:rsidP="00FB423D">
      <w:pPr>
        <w:spacing w:before="40" w:after="40" w:line="269" w:lineRule="auto"/>
        <w:ind w:firstLine="561"/>
        <w:jc w:val="both"/>
        <w:rPr>
          <w:rFonts w:ascii="Times New Roman" w:hAnsi="Times New Roman" w:cs="Times New Roman"/>
          <w:spacing w:val="-2"/>
          <w:sz w:val="28"/>
          <w:szCs w:val="28"/>
          <w:lang w:val="de-DE"/>
        </w:rPr>
      </w:pPr>
      <w:r w:rsidRPr="00FB423D">
        <w:rPr>
          <w:rFonts w:ascii="Times New Roman" w:hAnsi="Times New Roman" w:cs="Times New Roman"/>
          <w:spacing w:val="-2"/>
          <w:sz w:val="28"/>
          <w:szCs w:val="28"/>
          <w:lang w:val="de-DE"/>
        </w:rPr>
        <w:t xml:space="preserve">Generally, in 2021, the whole country had 116.8 thousand newly registered enterprises with a total registered capital of 1,611.1 trillion VND and a total number </w:t>
      </w:r>
      <w:r w:rsidRPr="00FB423D">
        <w:rPr>
          <w:rFonts w:ascii="Times New Roman" w:hAnsi="Times New Roman" w:cs="Times New Roman"/>
          <w:spacing w:val="-2"/>
          <w:sz w:val="28"/>
          <w:szCs w:val="28"/>
          <w:lang w:val="de-DE"/>
        </w:rPr>
        <w:lastRenderedPageBreak/>
        <w:t>of registered employees nearly 854 thousand employees, down 13.4% in the number of enterprises, a decrease of 27.9% in number the registered capital, and a decrease of 18.1% in the number of employees compared last year. The average registered capital of a newly established enterprise in 2021 achieved 13.8 billion VND, down 16.8% compared to the previous year. If including 2,524.9 trillion VND of the additionally registered capital of 43.5 thousand enterprises that recorded an upward of capital adjustment, the total additional registered capital in the economy this year was 4,136 trillion VND, down 25.8% compared to 2020. Besides, there were 43.1 thousand re-operated enterprises (a decrease of 2.2% over the same period last year), bringing the total number of newly registered enterprises and re-operated enterprises in 2021 to nearly 160  thousand enterprises, a decrease of 10.7%. The average every month had 13.3 thousand newly established and re-operated enterprises.</w:t>
      </w:r>
    </w:p>
    <w:p w14:paraId="4336C880" w14:textId="77777777" w:rsidR="003D1C02" w:rsidRPr="00FB423D" w:rsidRDefault="003D1C02" w:rsidP="00FB423D">
      <w:pPr>
        <w:spacing w:before="40" w:after="40" w:line="269" w:lineRule="auto"/>
        <w:ind w:firstLine="561"/>
        <w:jc w:val="both"/>
        <w:rPr>
          <w:rFonts w:ascii="Times New Roman" w:hAnsi="Times New Roman" w:cs="Times New Roman"/>
          <w:spacing w:val="-2"/>
          <w:sz w:val="28"/>
          <w:szCs w:val="28"/>
          <w:lang w:val="de-DE"/>
        </w:rPr>
      </w:pPr>
      <w:r w:rsidRPr="00FB423D">
        <w:rPr>
          <w:rFonts w:ascii="Times New Roman" w:hAnsi="Times New Roman" w:cs="Times New Roman"/>
          <w:spacing w:val="-2"/>
          <w:sz w:val="28"/>
          <w:szCs w:val="28"/>
          <w:lang w:val="de-DE"/>
        </w:rPr>
        <w:t>This year, there were 55 thousand enterprises temporarily ceased for a certain time, an increase of  18% compared to last year; 48.1 thousand enterprises temporarily ceased and awaited dissolution procedures, a climb up 27.8%; 16.7 thousand enterprises completed dissolution procedures, a decrease of 4.1%, of which 14.8 thousand enterprises with the capital size of less than 10 billion VND,  down 4%; 211 enterprises with the capital size over 100 billion VND, a decrease of 20.7%. On average, nearly 10 thousand enterprises withdraw from the market each month.</w:t>
      </w:r>
    </w:p>
    <w:p w14:paraId="176491D3" w14:textId="312A632F" w:rsidR="00B50557" w:rsidRPr="00DC0CA9" w:rsidRDefault="00B50557" w:rsidP="00F877BF">
      <w:pPr>
        <w:spacing w:after="120" w:line="340" w:lineRule="exact"/>
        <w:ind w:firstLine="567"/>
        <w:jc w:val="both"/>
        <w:rPr>
          <w:rFonts w:ascii="Times New Roman" w:hAnsi="Times New Roman" w:cs="Times New Roman"/>
          <w:b/>
          <w:bCs/>
          <w:i/>
          <w:sz w:val="28"/>
          <w:szCs w:val="28"/>
          <w:lang w:val="en-US"/>
        </w:rPr>
      </w:pPr>
      <w:r w:rsidRPr="00DC0CA9">
        <w:rPr>
          <w:rFonts w:ascii="Times New Roman" w:hAnsi="Times New Roman" w:cs="Times New Roman"/>
          <w:b/>
          <w:bCs/>
          <w:i/>
          <w:sz w:val="28"/>
          <w:szCs w:val="28"/>
          <w:lang w:val="en-US"/>
        </w:rPr>
        <w:t xml:space="preserve">b) </w:t>
      </w:r>
      <w:r w:rsidR="00257358" w:rsidRPr="006D7720">
        <w:rPr>
          <w:rFonts w:ascii="Times New Roman" w:hAnsi="Times New Roman" w:cs="Times New Roman"/>
          <w:b/>
          <w:i/>
          <w:sz w:val="28"/>
          <w:szCs w:val="28"/>
          <w:lang w:val="en-US"/>
        </w:rPr>
        <w:t>Business trends of the enterprises</w:t>
      </w:r>
    </w:p>
    <w:p w14:paraId="74BA0B95" w14:textId="77777777" w:rsidR="00142F62" w:rsidRPr="00FB423D" w:rsidRDefault="00142F62" w:rsidP="00FB423D">
      <w:pPr>
        <w:spacing w:before="40" w:after="40" w:line="269" w:lineRule="auto"/>
        <w:ind w:firstLine="561"/>
        <w:jc w:val="both"/>
        <w:rPr>
          <w:rFonts w:ascii="Times New Roman" w:hAnsi="Times New Roman" w:cs="Times New Roman"/>
          <w:spacing w:val="-2"/>
          <w:sz w:val="28"/>
          <w:szCs w:val="28"/>
          <w:lang w:val="de-DE"/>
        </w:rPr>
      </w:pPr>
      <w:r w:rsidRPr="00FB423D">
        <w:rPr>
          <w:rFonts w:ascii="Times New Roman" w:hAnsi="Times New Roman" w:cs="Times New Roman"/>
          <w:spacing w:val="-2"/>
          <w:sz w:val="28"/>
          <w:szCs w:val="28"/>
          <w:lang w:val="de-DE"/>
        </w:rPr>
        <w:t>Results of the business tendency survey of manufacturing enterprises in the fourth quarter of 2021 showed that: 44% of enterprises assessed that the business production situation was better than the third quarter of 2021; 31.1% of enterprises said that the business production situation was stable and 24.9% of enterprises faced difficulties</w:t>
      </w:r>
      <w:r w:rsidRPr="00FB423D">
        <w:rPr>
          <w:spacing w:val="-2"/>
          <w:lang w:val="de-DE"/>
        </w:rPr>
        <w:footnoteReference w:id="5"/>
      </w:r>
      <w:r w:rsidRPr="00FB423D">
        <w:rPr>
          <w:rFonts w:ascii="Times New Roman" w:hAnsi="Times New Roman" w:cs="Times New Roman"/>
          <w:spacing w:val="-2"/>
          <w:sz w:val="28"/>
          <w:szCs w:val="28"/>
          <w:lang w:val="de-DE"/>
        </w:rPr>
        <w:t xml:space="preserve">. For the expected outcome of the first quarter of 2022, 45.6% of enterprises presented that the tendency would get better than the fourth quarter of 2021; 18.3% of enterprises predicted that it would be more difficult and 36.1% of enterprises said that business production situation would be stable. </w:t>
      </w:r>
    </w:p>
    <w:p w14:paraId="68914CE2" w14:textId="5796D9D0" w:rsidR="008D3E7A" w:rsidRPr="00DC0CA9" w:rsidRDefault="00501DB8" w:rsidP="00FA1162">
      <w:pPr>
        <w:shd w:val="clear" w:color="auto" w:fill="FFFFFF"/>
        <w:spacing w:after="120" w:line="262" w:lineRule="auto"/>
        <w:ind w:firstLine="567"/>
        <w:jc w:val="both"/>
        <w:rPr>
          <w:rFonts w:ascii="Times New Roman" w:hAnsi="Times New Roman" w:cs="Times New Roman"/>
          <w:b/>
          <w:i/>
          <w:spacing w:val="-2"/>
          <w:sz w:val="28"/>
          <w:szCs w:val="28"/>
          <w:lang w:val="en-IN"/>
        </w:rPr>
      </w:pPr>
      <w:r w:rsidRPr="00DC0CA9">
        <w:rPr>
          <w:rFonts w:ascii="Times New Roman" w:hAnsi="Times New Roman" w:cs="Times New Roman"/>
          <w:b/>
          <w:i/>
          <w:iCs/>
          <w:spacing w:val="-2"/>
          <w:sz w:val="28"/>
          <w:szCs w:val="28"/>
        </w:rPr>
        <w:t>5.</w:t>
      </w:r>
      <w:r w:rsidR="00A40119" w:rsidRPr="00DC0CA9">
        <w:rPr>
          <w:rFonts w:ascii="Times New Roman" w:hAnsi="Times New Roman" w:cs="Times New Roman"/>
          <w:b/>
          <w:i/>
          <w:iCs/>
          <w:spacing w:val="-2"/>
          <w:sz w:val="28"/>
          <w:szCs w:val="28"/>
        </w:rPr>
        <w:t xml:space="preserve"> </w:t>
      </w:r>
      <w:r w:rsidR="00DB00A0" w:rsidRPr="00DB00A0">
        <w:rPr>
          <w:rFonts w:ascii="Times New Roman" w:hAnsi="Times New Roman" w:cs="Times New Roman"/>
          <w:b/>
          <w:i/>
          <w:iCs/>
          <w:spacing w:val="-2"/>
          <w:sz w:val="28"/>
          <w:szCs w:val="28"/>
        </w:rPr>
        <w:t>Implementing Resolution No. 128/NQ-CP dated October 11, 2021, of the Government, domestic transport activities have been restored. Passenger and freight transport in the fourth quarter of 2021 both increased compared to the third quarter of 2021</w:t>
      </w:r>
      <w:r w:rsidR="008D3E7A" w:rsidRPr="00DC0CA9">
        <w:rPr>
          <w:rFonts w:ascii="Times New Roman" w:hAnsi="Times New Roman" w:cs="Times New Roman"/>
          <w:b/>
          <w:i/>
          <w:iCs/>
          <w:spacing w:val="-2"/>
          <w:sz w:val="28"/>
          <w:szCs w:val="28"/>
        </w:rPr>
        <w:t xml:space="preserve">, </w:t>
      </w:r>
      <w:r w:rsidR="00F252F8" w:rsidRPr="00F252F8">
        <w:rPr>
          <w:rFonts w:ascii="Times New Roman" w:hAnsi="Times New Roman" w:cs="Times New Roman"/>
          <w:b/>
          <w:i/>
          <w:iCs/>
          <w:spacing w:val="-2"/>
          <w:sz w:val="28"/>
          <w:szCs w:val="28"/>
        </w:rPr>
        <w:t>total retail sales of consumer goods and services</w:t>
      </w:r>
      <w:r w:rsidR="009F326B" w:rsidRPr="00DC0CA9">
        <w:rPr>
          <w:rFonts w:ascii="Times New Roman" w:hAnsi="Times New Roman" w:cs="Times New Roman"/>
          <w:b/>
          <w:i/>
          <w:spacing w:val="-2"/>
          <w:sz w:val="28"/>
          <w:szCs w:val="28"/>
          <w:lang w:val="it-IT"/>
        </w:rPr>
        <w:t xml:space="preserve"> </w:t>
      </w:r>
      <w:r w:rsidR="00E16B52" w:rsidRPr="00E16B52">
        <w:rPr>
          <w:rFonts w:ascii="Times New Roman" w:hAnsi="Times New Roman" w:cs="Times New Roman"/>
          <w:b/>
          <w:i/>
          <w:spacing w:val="-2"/>
          <w:sz w:val="28"/>
          <w:szCs w:val="28"/>
          <w:lang w:val="it-IT"/>
        </w:rPr>
        <w:t>increased by 28.1%</w:t>
      </w:r>
      <w:r w:rsidR="008D3E7A" w:rsidRPr="00DC0CA9">
        <w:rPr>
          <w:rFonts w:ascii="Times New Roman" w:hAnsi="Times New Roman" w:cs="Times New Roman"/>
          <w:b/>
          <w:i/>
          <w:spacing w:val="-2"/>
          <w:sz w:val="28"/>
          <w:szCs w:val="28"/>
          <w:lang w:val="it-IT"/>
        </w:rPr>
        <w:t xml:space="preserve">; </w:t>
      </w:r>
      <w:r w:rsidR="00DC1905" w:rsidRPr="00DC1905">
        <w:rPr>
          <w:rFonts w:ascii="Times New Roman" w:hAnsi="Times New Roman" w:cs="Times New Roman"/>
          <w:b/>
          <w:i/>
          <w:spacing w:val="-2"/>
          <w:sz w:val="28"/>
          <w:szCs w:val="28"/>
          <w:lang w:val="fr-FR"/>
        </w:rPr>
        <w:t>passengers carried increased by 48.4%, passengers traffic increased by 51.3% and freight carried increased by 31.8 %, freight traffic increased by 28.4%</w:t>
      </w:r>
      <w:r w:rsidR="008D3E7A" w:rsidRPr="00DC0CA9">
        <w:rPr>
          <w:rFonts w:ascii="Times New Roman" w:hAnsi="Times New Roman" w:cs="Times New Roman"/>
          <w:b/>
          <w:i/>
          <w:spacing w:val="-2"/>
          <w:sz w:val="28"/>
          <w:szCs w:val="28"/>
          <w:lang w:val="fr-FR"/>
        </w:rPr>
        <w:t xml:space="preserve">; </w:t>
      </w:r>
      <w:r w:rsidR="007A08C0" w:rsidRPr="007A08C0">
        <w:rPr>
          <w:rFonts w:ascii="Times New Roman" w:hAnsi="Times New Roman" w:cs="Times New Roman"/>
          <w:b/>
          <w:i/>
          <w:spacing w:val="-2"/>
          <w:sz w:val="28"/>
          <w:szCs w:val="28"/>
          <w:lang w:val="fr-FR"/>
        </w:rPr>
        <w:t xml:space="preserve">international visitors </w:t>
      </w:r>
      <w:r w:rsidR="0067223C">
        <w:rPr>
          <w:rFonts w:ascii="Times New Roman" w:hAnsi="Times New Roman" w:cs="Times New Roman"/>
          <w:b/>
          <w:i/>
          <w:spacing w:val="-2"/>
          <w:sz w:val="28"/>
          <w:szCs w:val="28"/>
          <w:lang w:val="vi-VN"/>
        </w:rPr>
        <w:t>increased by</w:t>
      </w:r>
      <w:r w:rsidR="0067223C" w:rsidRPr="0067223C">
        <w:rPr>
          <w:rFonts w:ascii="Times New Roman" w:hAnsi="Times New Roman" w:cs="Times New Roman"/>
          <w:b/>
          <w:i/>
          <w:spacing w:val="-2"/>
          <w:sz w:val="28"/>
          <w:szCs w:val="28"/>
          <w:lang w:val="vi-VN"/>
        </w:rPr>
        <w:t xml:space="preserve"> 62.7%</w:t>
      </w:r>
    </w:p>
    <w:p w14:paraId="3BB1E7A3" w14:textId="77777777" w:rsidR="00E67C0C" w:rsidRDefault="00C35192" w:rsidP="00E67C0C">
      <w:pPr>
        <w:spacing w:before="40" w:after="40" w:line="288" w:lineRule="auto"/>
        <w:ind w:firstLine="567"/>
        <w:jc w:val="both"/>
        <w:rPr>
          <w:rFonts w:ascii="Times New Roman" w:hAnsi="Times New Roman" w:cs="Times New Roman"/>
          <w:b/>
          <w:bCs/>
          <w:sz w:val="28"/>
          <w:szCs w:val="28"/>
          <w:lang w:val="it-IT"/>
        </w:rPr>
      </w:pPr>
      <w:r w:rsidRPr="00CA7577">
        <w:rPr>
          <w:rFonts w:ascii="Times New Roman" w:hAnsi="Times New Roman" w:cs="Times New Roman"/>
          <w:bCs/>
          <w:i/>
          <w:sz w:val="28"/>
          <w:szCs w:val="28"/>
          <w:lang w:val="it-IT"/>
        </w:rPr>
        <w:lastRenderedPageBreak/>
        <w:t>Total retail sales of consumer goods and services</w:t>
      </w:r>
      <w:r w:rsidRPr="00CA7577">
        <w:rPr>
          <w:rFonts w:ascii="Times New Roman" w:hAnsi="Times New Roman" w:cs="Times New Roman"/>
          <w:bCs/>
          <w:iCs/>
          <w:sz w:val="28"/>
          <w:szCs w:val="28"/>
          <w:lang w:val="it-IT"/>
        </w:rPr>
        <w:t xml:space="preserve"> in December 2021 was estimated at 458.5 trillion VND, up 4.6% over the previous month and 1.1% over the same period last year. In the fourth quarter of 2021, the total retail sales of consumer goods and services were estimated at 1,312.6 trillion VND, up 28.1% over the previous quarter and down 2.8% over the same period last year</w:t>
      </w:r>
      <w:r w:rsidR="006E57A7" w:rsidRPr="00DC0CA9">
        <w:rPr>
          <w:rFonts w:ascii="Times New Roman" w:hAnsi="Times New Roman" w:cs="Times New Roman"/>
          <w:bCs/>
          <w:sz w:val="28"/>
          <w:szCs w:val="28"/>
          <w:lang w:val="it-IT"/>
        </w:rPr>
        <w:t xml:space="preserve">. </w:t>
      </w:r>
      <w:r w:rsidR="00E67C0C" w:rsidRPr="00A4137F">
        <w:rPr>
          <w:rFonts w:ascii="Times New Roman" w:hAnsi="Times New Roman" w:cs="Times New Roman"/>
          <w:bCs/>
          <w:sz w:val="28"/>
          <w:szCs w:val="28"/>
          <w:lang w:val="it-IT"/>
        </w:rPr>
        <w:t>In 2021, the total retail sales of consumer goods and services were estimated at 4,789.5 trillion VND, down 3.8% compared to the previous year. If excluding the price factor, the decrease would be 6.2% (in 2020, decreased by 3%).</w:t>
      </w:r>
    </w:p>
    <w:p w14:paraId="5F8C7E08" w14:textId="77777777" w:rsidR="00EC55EB" w:rsidRPr="00CA633C" w:rsidRDefault="00EC55EB" w:rsidP="00EC55EB">
      <w:pPr>
        <w:tabs>
          <w:tab w:val="left" w:pos="2835"/>
        </w:tabs>
        <w:spacing w:after="0" w:line="264" w:lineRule="auto"/>
        <w:ind w:right="140" w:firstLine="567"/>
        <w:jc w:val="center"/>
        <w:rPr>
          <w:rFonts w:ascii="Arial" w:hAnsi="Arial" w:cs="Arial"/>
          <w:b/>
          <w:bCs/>
          <w:i/>
          <w:spacing w:val="-6"/>
          <w:sz w:val="10"/>
          <w:szCs w:val="20"/>
          <w:lang w:val="it-IT"/>
        </w:rPr>
      </w:pPr>
      <w:r w:rsidRPr="00DE208C">
        <w:rPr>
          <w:rFonts w:ascii="Arial" w:hAnsi="Arial" w:cs="Arial"/>
          <w:b/>
          <w:bCs/>
          <w:spacing w:val="-6"/>
          <w:sz w:val="24"/>
          <w:szCs w:val="20"/>
          <w:lang w:val="it-IT"/>
        </w:rPr>
        <w:t>Retail sales of consumer goods and services</w:t>
      </w:r>
    </w:p>
    <w:p w14:paraId="2BCBDA04" w14:textId="77777777" w:rsidR="00EC55EB" w:rsidRPr="006D7720" w:rsidRDefault="00EC55EB" w:rsidP="00EC55EB">
      <w:pPr>
        <w:tabs>
          <w:tab w:val="left" w:pos="2835"/>
        </w:tabs>
        <w:spacing w:after="0"/>
        <w:ind w:right="140" w:firstLine="567"/>
        <w:jc w:val="right"/>
        <w:rPr>
          <w:rFonts w:ascii="Times New Roman" w:hAnsi="Times New Roman" w:cs="Times New Roman"/>
          <w:b/>
          <w:bCs/>
          <w:i/>
          <w:spacing w:val="-6"/>
          <w:sz w:val="20"/>
          <w:szCs w:val="20"/>
        </w:rPr>
      </w:pPr>
      <w:r>
        <w:rPr>
          <w:rFonts w:ascii="Times New Roman" w:hAnsi="Times New Roman" w:cs="Times New Roman"/>
          <w:b/>
          <w:bCs/>
          <w:i/>
          <w:spacing w:val="-6"/>
          <w:sz w:val="20"/>
          <w:szCs w:val="20"/>
        </w:rPr>
        <w:t xml:space="preserve">Unit: </w:t>
      </w:r>
      <w:r w:rsidRPr="006D7720">
        <w:rPr>
          <w:rFonts w:ascii="Times New Roman" w:hAnsi="Times New Roman" w:cs="Times New Roman"/>
          <w:b/>
          <w:bCs/>
          <w:i/>
          <w:spacing w:val="-6"/>
          <w:sz w:val="20"/>
          <w:szCs w:val="20"/>
        </w:rPr>
        <w:t>Trillion dongs</w:t>
      </w:r>
    </w:p>
    <w:tbl>
      <w:tblPr>
        <w:tblStyle w:val="TableGrid"/>
        <w:tblW w:w="94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097"/>
        <w:gridCol w:w="988"/>
        <w:gridCol w:w="1074"/>
        <w:gridCol w:w="1041"/>
        <w:gridCol w:w="72"/>
        <w:gridCol w:w="1039"/>
        <w:gridCol w:w="73"/>
        <w:gridCol w:w="1038"/>
        <w:gridCol w:w="73"/>
      </w:tblGrid>
      <w:tr w:rsidR="00EC55EB" w:rsidRPr="006D7720" w14:paraId="371BED8A" w14:textId="77777777" w:rsidTr="00082AE8">
        <w:trPr>
          <w:cantSplit/>
          <w:trHeight w:hRule="exact" w:val="640"/>
          <w:jc w:val="center"/>
        </w:trPr>
        <w:tc>
          <w:tcPr>
            <w:tcW w:w="2977" w:type="dxa"/>
            <w:tcBorders>
              <w:top w:val="single" w:sz="4" w:space="0" w:color="auto"/>
            </w:tcBorders>
          </w:tcPr>
          <w:p w14:paraId="46778E84" w14:textId="77777777" w:rsidR="00EC55EB" w:rsidRPr="006D7720" w:rsidRDefault="00EC55EB" w:rsidP="00082AE8">
            <w:pPr>
              <w:spacing w:before="120" w:after="120"/>
              <w:jc w:val="both"/>
              <w:rPr>
                <w:rFonts w:ascii="Times New Roman" w:hAnsi="Times New Roman" w:cs="Times New Roman"/>
                <w:bCs/>
              </w:rPr>
            </w:pPr>
          </w:p>
        </w:tc>
        <w:tc>
          <w:tcPr>
            <w:tcW w:w="1097" w:type="dxa"/>
            <w:vMerge w:val="restart"/>
            <w:tcBorders>
              <w:top w:val="single" w:sz="4" w:space="0" w:color="auto"/>
              <w:bottom w:val="single" w:sz="4" w:space="0" w:color="auto"/>
            </w:tcBorders>
          </w:tcPr>
          <w:p w14:paraId="73A3273B" w14:textId="77777777" w:rsidR="00EC55EB" w:rsidRPr="006D7720" w:rsidRDefault="00EC55EB" w:rsidP="00082AE8">
            <w:pPr>
              <w:spacing w:before="20" w:after="20"/>
              <w:jc w:val="center"/>
              <w:rPr>
                <w:rFonts w:ascii="Times New Roman" w:hAnsi="Times New Roman" w:cs="Times New Roman"/>
                <w:bCs/>
                <w:sz w:val="18"/>
              </w:rPr>
            </w:pPr>
            <w:r w:rsidRPr="006D7720">
              <w:rPr>
                <w:rFonts w:ascii="Times New Roman" w:hAnsi="Times New Roman" w:cs="Times New Roman"/>
                <w:bCs/>
                <w:sz w:val="18"/>
              </w:rPr>
              <w:t xml:space="preserve">Estimate </w:t>
            </w:r>
            <w:r>
              <w:rPr>
                <w:rFonts w:ascii="Times New Roman" w:hAnsi="Times New Roman" w:cs="Times New Roman"/>
                <w:bCs/>
                <w:sz w:val="18"/>
              </w:rPr>
              <w:t>December</w:t>
            </w:r>
          </w:p>
          <w:p w14:paraId="5524F4FF" w14:textId="77777777" w:rsidR="00EC55EB" w:rsidRPr="006D7720" w:rsidRDefault="00EC55EB" w:rsidP="00082AE8">
            <w:pPr>
              <w:spacing w:before="20" w:after="20"/>
              <w:jc w:val="center"/>
              <w:rPr>
                <w:rFonts w:ascii="Times New Roman" w:hAnsi="Times New Roman" w:cs="Times New Roman"/>
                <w:bCs/>
                <w:sz w:val="18"/>
              </w:rPr>
            </w:pPr>
            <w:r w:rsidRPr="006D7720">
              <w:rPr>
                <w:rFonts w:ascii="Times New Roman" w:hAnsi="Times New Roman" w:cs="Times New Roman"/>
                <w:bCs/>
                <w:sz w:val="18"/>
              </w:rPr>
              <w:t>in</w:t>
            </w:r>
          </w:p>
          <w:p w14:paraId="05D7D081" w14:textId="77777777" w:rsidR="00EC55EB" w:rsidRPr="006D7720" w:rsidRDefault="00EC55EB" w:rsidP="00082AE8">
            <w:pPr>
              <w:spacing w:before="20" w:after="20"/>
              <w:jc w:val="center"/>
              <w:rPr>
                <w:rFonts w:ascii="Times New Roman" w:hAnsi="Times New Roman" w:cs="Times New Roman"/>
                <w:bCs/>
                <w:sz w:val="18"/>
              </w:rPr>
            </w:pPr>
            <w:r w:rsidRPr="006D7720">
              <w:rPr>
                <w:rFonts w:ascii="Times New Roman" w:hAnsi="Times New Roman" w:cs="Times New Roman"/>
                <w:bCs/>
                <w:sz w:val="18"/>
              </w:rPr>
              <w:t>2021</w:t>
            </w:r>
          </w:p>
        </w:tc>
        <w:tc>
          <w:tcPr>
            <w:tcW w:w="988" w:type="dxa"/>
            <w:vMerge w:val="restart"/>
            <w:tcBorders>
              <w:top w:val="single" w:sz="4" w:space="0" w:color="auto"/>
              <w:bottom w:val="single" w:sz="4" w:space="0" w:color="auto"/>
            </w:tcBorders>
          </w:tcPr>
          <w:p w14:paraId="43668DA0" w14:textId="77777777" w:rsidR="00EC55EB" w:rsidRDefault="00EC55EB" w:rsidP="00082AE8">
            <w:pPr>
              <w:spacing w:before="20" w:after="20"/>
              <w:jc w:val="center"/>
              <w:rPr>
                <w:rFonts w:ascii="Times New Roman" w:hAnsi="Times New Roman" w:cs="Times New Roman"/>
                <w:bCs/>
                <w:sz w:val="18"/>
              </w:rPr>
            </w:pPr>
            <w:r>
              <w:rPr>
                <w:rFonts w:ascii="Times New Roman" w:hAnsi="Times New Roman" w:cs="Times New Roman"/>
                <w:bCs/>
                <w:sz w:val="18"/>
              </w:rPr>
              <w:t>Estimate fourth</w:t>
            </w:r>
            <w:r>
              <w:rPr>
                <w:rFonts w:ascii="Times New Roman" w:hAnsi="Times New Roman" w:cs="Times New Roman"/>
                <w:bCs/>
                <w:sz w:val="18"/>
                <w:lang w:val="vi-VN"/>
              </w:rPr>
              <w:t xml:space="preserve"> </w:t>
            </w:r>
            <w:r>
              <w:rPr>
                <w:rFonts w:ascii="Times New Roman" w:hAnsi="Times New Roman" w:cs="Times New Roman"/>
                <w:bCs/>
                <w:sz w:val="18"/>
              </w:rPr>
              <w:t>quarter</w:t>
            </w:r>
          </w:p>
          <w:p w14:paraId="505405C5" w14:textId="77777777" w:rsidR="00EC55EB" w:rsidRPr="006D7720" w:rsidRDefault="00EC55EB" w:rsidP="00082AE8">
            <w:pPr>
              <w:spacing w:before="20" w:after="20"/>
              <w:jc w:val="center"/>
              <w:rPr>
                <w:rFonts w:ascii="Times New Roman" w:hAnsi="Times New Roman" w:cs="Times New Roman"/>
                <w:bCs/>
                <w:sz w:val="18"/>
              </w:rPr>
            </w:pPr>
            <w:r w:rsidRPr="006D7720">
              <w:rPr>
                <w:rFonts w:ascii="Times New Roman" w:hAnsi="Times New Roman" w:cs="Times New Roman"/>
                <w:bCs/>
                <w:sz w:val="18"/>
              </w:rPr>
              <w:t>in</w:t>
            </w:r>
          </w:p>
          <w:p w14:paraId="426E3DD1" w14:textId="77777777" w:rsidR="00EC55EB" w:rsidRPr="006D7720" w:rsidRDefault="00EC55EB" w:rsidP="00082AE8">
            <w:pPr>
              <w:spacing w:before="20" w:after="20"/>
              <w:jc w:val="center"/>
              <w:rPr>
                <w:rFonts w:ascii="Times New Roman" w:hAnsi="Times New Roman" w:cs="Times New Roman"/>
                <w:bCs/>
                <w:sz w:val="18"/>
              </w:rPr>
            </w:pPr>
            <w:r w:rsidRPr="006D7720">
              <w:rPr>
                <w:rFonts w:ascii="Times New Roman" w:hAnsi="Times New Roman" w:cs="Times New Roman"/>
                <w:bCs/>
                <w:sz w:val="18"/>
              </w:rPr>
              <w:t>2021</w:t>
            </w:r>
          </w:p>
        </w:tc>
        <w:tc>
          <w:tcPr>
            <w:tcW w:w="1074" w:type="dxa"/>
            <w:vMerge w:val="restart"/>
            <w:tcBorders>
              <w:top w:val="single" w:sz="4" w:space="0" w:color="auto"/>
              <w:bottom w:val="single" w:sz="4" w:space="0" w:color="auto"/>
            </w:tcBorders>
          </w:tcPr>
          <w:p w14:paraId="1A46604E" w14:textId="77777777" w:rsidR="00EC55EB" w:rsidRPr="006D7720" w:rsidRDefault="00EC55EB" w:rsidP="00082AE8">
            <w:pPr>
              <w:spacing w:before="20" w:after="20"/>
              <w:jc w:val="center"/>
              <w:rPr>
                <w:rFonts w:ascii="Times New Roman" w:hAnsi="Times New Roman" w:cs="Times New Roman"/>
                <w:bCs/>
                <w:sz w:val="18"/>
              </w:rPr>
            </w:pPr>
            <w:r>
              <w:rPr>
                <w:rFonts w:ascii="Times New Roman" w:hAnsi="Times New Roman" w:cs="Times New Roman"/>
                <w:bCs/>
                <w:sz w:val="18"/>
              </w:rPr>
              <w:t xml:space="preserve">Estimate </w:t>
            </w:r>
          </w:p>
          <w:p w14:paraId="18E960F6" w14:textId="77777777" w:rsidR="00EC55EB" w:rsidRPr="006D7720" w:rsidRDefault="00EC55EB" w:rsidP="00082AE8">
            <w:pPr>
              <w:spacing w:before="20" w:after="20"/>
              <w:jc w:val="center"/>
              <w:rPr>
                <w:rFonts w:ascii="Times New Roman" w:hAnsi="Times New Roman" w:cs="Times New Roman"/>
                <w:bCs/>
                <w:sz w:val="18"/>
              </w:rPr>
            </w:pPr>
            <w:r w:rsidRPr="006D7720">
              <w:rPr>
                <w:rFonts w:ascii="Times New Roman" w:hAnsi="Times New Roman" w:cs="Times New Roman"/>
                <w:bCs/>
                <w:sz w:val="18"/>
              </w:rPr>
              <w:t>2021</w:t>
            </w:r>
          </w:p>
        </w:tc>
        <w:tc>
          <w:tcPr>
            <w:tcW w:w="3336" w:type="dxa"/>
            <w:gridSpan w:val="6"/>
            <w:vMerge w:val="restart"/>
            <w:tcBorders>
              <w:top w:val="single" w:sz="4" w:space="0" w:color="auto"/>
              <w:bottom w:val="single" w:sz="4" w:space="0" w:color="auto"/>
            </w:tcBorders>
          </w:tcPr>
          <w:p w14:paraId="4C3981ED" w14:textId="77777777" w:rsidR="00EC55EB" w:rsidRDefault="00EC55EB" w:rsidP="00082AE8">
            <w:pPr>
              <w:spacing w:before="120" w:after="20"/>
              <w:jc w:val="center"/>
              <w:rPr>
                <w:rFonts w:ascii="Times New Roman" w:hAnsi="Times New Roman" w:cs="Times New Roman"/>
                <w:bCs/>
                <w:sz w:val="18"/>
              </w:rPr>
            </w:pPr>
            <w:r>
              <w:rPr>
                <w:rFonts w:ascii="Times New Roman" w:hAnsi="Times New Roman" w:cs="Times New Roman"/>
                <w:bCs/>
                <w:sz w:val="18"/>
                <w:lang w:val="vi-VN"/>
              </w:rPr>
              <w:t>G</w:t>
            </w:r>
            <w:r w:rsidRPr="006D7720">
              <w:rPr>
                <w:rFonts w:ascii="Times New Roman" w:hAnsi="Times New Roman" w:cs="Times New Roman"/>
                <w:bCs/>
                <w:sz w:val="18"/>
                <w:lang w:val="vi-VN"/>
              </w:rPr>
              <w:t>rowth rate</w:t>
            </w:r>
            <w:r>
              <w:rPr>
                <w:rFonts w:ascii="Times New Roman" w:hAnsi="Times New Roman" w:cs="Times New Roman"/>
                <w:bCs/>
                <w:sz w:val="18"/>
                <w:lang w:val="vi-VN"/>
              </w:rPr>
              <w:t xml:space="preserve"> </w:t>
            </w:r>
            <w:r w:rsidRPr="006D7720">
              <w:rPr>
                <w:rFonts w:ascii="Times New Roman" w:hAnsi="Times New Roman" w:cs="Times New Roman"/>
                <w:bCs/>
                <w:sz w:val="18"/>
              </w:rPr>
              <w:t xml:space="preserve">compared to </w:t>
            </w:r>
          </w:p>
          <w:p w14:paraId="553A42A7" w14:textId="77777777" w:rsidR="00EC55EB" w:rsidRPr="006D7720" w:rsidRDefault="00EC55EB" w:rsidP="00082AE8">
            <w:pPr>
              <w:spacing w:before="120" w:after="20"/>
              <w:jc w:val="center"/>
              <w:rPr>
                <w:rFonts w:ascii="Times New Roman" w:hAnsi="Times New Roman" w:cs="Times New Roman"/>
                <w:bCs/>
                <w:sz w:val="18"/>
              </w:rPr>
            </w:pPr>
            <w:r>
              <w:rPr>
                <w:rFonts w:ascii="Times New Roman" w:hAnsi="Times New Roman" w:cs="Times New Roman"/>
                <w:bCs/>
                <w:sz w:val="18"/>
              </w:rPr>
              <w:t>the</w:t>
            </w:r>
            <w:r>
              <w:rPr>
                <w:rFonts w:ascii="Times New Roman" w:hAnsi="Times New Roman" w:cs="Times New Roman"/>
                <w:bCs/>
                <w:sz w:val="18"/>
                <w:lang w:val="vi-VN"/>
              </w:rPr>
              <w:t xml:space="preserve"> </w:t>
            </w:r>
            <w:r w:rsidRPr="006D7720">
              <w:rPr>
                <w:rFonts w:ascii="Times New Roman" w:hAnsi="Times New Roman" w:cs="Times New Roman"/>
                <w:bCs/>
                <w:sz w:val="18"/>
              </w:rPr>
              <w:t>same period last year (%)</w:t>
            </w:r>
          </w:p>
        </w:tc>
      </w:tr>
      <w:tr w:rsidR="00EC55EB" w:rsidRPr="006D7720" w14:paraId="6B35A62C" w14:textId="77777777" w:rsidTr="00082AE8">
        <w:trPr>
          <w:cantSplit/>
          <w:trHeight w:hRule="exact" w:val="78"/>
          <w:jc w:val="center"/>
        </w:trPr>
        <w:tc>
          <w:tcPr>
            <w:tcW w:w="2977" w:type="dxa"/>
          </w:tcPr>
          <w:p w14:paraId="45749E0D" w14:textId="77777777" w:rsidR="00EC55EB" w:rsidRPr="006D7720" w:rsidRDefault="00EC55EB" w:rsidP="00082AE8">
            <w:pPr>
              <w:spacing w:before="120" w:after="120"/>
              <w:jc w:val="both"/>
              <w:rPr>
                <w:rFonts w:ascii="Times New Roman" w:hAnsi="Times New Roman" w:cs="Times New Roman"/>
                <w:bCs/>
              </w:rPr>
            </w:pPr>
          </w:p>
        </w:tc>
        <w:tc>
          <w:tcPr>
            <w:tcW w:w="1097" w:type="dxa"/>
            <w:vMerge/>
            <w:tcBorders>
              <w:bottom w:val="single" w:sz="4" w:space="0" w:color="auto"/>
            </w:tcBorders>
          </w:tcPr>
          <w:p w14:paraId="25E0272D" w14:textId="77777777" w:rsidR="00EC55EB" w:rsidRPr="006D7720" w:rsidRDefault="00EC55EB" w:rsidP="00082AE8">
            <w:pPr>
              <w:spacing w:before="20" w:after="20"/>
              <w:jc w:val="center"/>
              <w:rPr>
                <w:rFonts w:ascii="Times New Roman" w:hAnsi="Times New Roman" w:cs="Times New Roman"/>
                <w:bCs/>
                <w:sz w:val="18"/>
              </w:rPr>
            </w:pPr>
          </w:p>
        </w:tc>
        <w:tc>
          <w:tcPr>
            <w:tcW w:w="988" w:type="dxa"/>
            <w:vMerge/>
            <w:tcBorders>
              <w:bottom w:val="single" w:sz="4" w:space="0" w:color="auto"/>
            </w:tcBorders>
          </w:tcPr>
          <w:p w14:paraId="234BA3A5" w14:textId="77777777" w:rsidR="00EC55EB" w:rsidRPr="006D7720" w:rsidRDefault="00EC55EB" w:rsidP="00082AE8">
            <w:pPr>
              <w:spacing w:before="20" w:after="20"/>
              <w:jc w:val="center"/>
              <w:rPr>
                <w:rFonts w:ascii="Times New Roman" w:hAnsi="Times New Roman" w:cs="Times New Roman"/>
                <w:bCs/>
                <w:sz w:val="18"/>
              </w:rPr>
            </w:pPr>
          </w:p>
        </w:tc>
        <w:tc>
          <w:tcPr>
            <w:tcW w:w="1074" w:type="dxa"/>
            <w:vMerge/>
            <w:tcBorders>
              <w:bottom w:val="single" w:sz="4" w:space="0" w:color="auto"/>
            </w:tcBorders>
          </w:tcPr>
          <w:p w14:paraId="27D1B08F" w14:textId="77777777" w:rsidR="00EC55EB" w:rsidRPr="006D7720" w:rsidRDefault="00EC55EB" w:rsidP="00082AE8">
            <w:pPr>
              <w:spacing w:before="20" w:after="20"/>
              <w:jc w:val="center"/>
              <w:rPr>
                <w:rFonts w:ascii="Times New Roman" w:hAnsi="Times New Roman" w:cs="Times New Roman"/>
                <w:bCs/>
                <w:sz w:val="18"/>
              </w:rPr>
            </w:pPr>
          </w:p>
        </w:tc>
        <w:tc>
          <w:tcPr>
            <w:tcW w:w="3336" w:type="dxa"/>
            <w:gridSpan w:val="6"/>
            <w:vMerge/>
            <w:tcBorders>
              <w:bottom w:val="single" w:sz="4" w:space="0" w:color="auto"/>
            </w:tcBorders>
          </w:tcPr>
          <w:p w14:paraId="326F1998" w14:textId="77777777" w:rsidR="00EC55EB" w:rsidRPr="006D7720" w:rsidRDefault="00EC55EB" w:rsidP="00082AE8">
            <w:pPr>
              <w:spacing w:before="20" w:after="20"/>
              <w:jc w:val="center"/>
              <w:rPr>
                <w:rFonts w:ascii="Times New Roman" w:hAnsi="Times New Roman" w:cs="Times New Roman"/>
                <w:bCs/>
                <w:sz w:val="18"/>
              </w:rPr>
            </w:pPr>
          </w:p>
        </w:tc>
      </w:tr>
      <w:tr w:rsidR="00EC55EB" w:rsidRPr="006D7720" w14:paraId="226F1DF8" w14:textId="77777777" w:rsidTr="00082AE8">
        <w:trPr>
          <w:cantSplit/>
          <w:trHeight w:hRule="exact" w:val="227"/>
          <w:jc w:val="center"/>
        </w:trPr>
        <w:tc>
          <w:tcPr>
            <w:tcW w:w="2977" w:type="dxa"/>
          </w:tcPr>
          <w:p w14:paraId="0434CA8B" w14:textId="77777777" w:rsidR="00EC55EB" w:rsidRPr="006D7720" w:rsidRDefault="00EC55EB" w:rsidP="00082AE8">
            <w:pPr>
              <w:spacing w:before="120" w:after="120"/>
              <w:jc w:val="both"/>
              <w:rPr>
                <w:rFonts w:ascii="Times New Roman" w:hAnsi="Times New Roman" w:cs="Times New Roman"/>
                <w:bCs/>
              </w:rPr>
            </w:pPr>
          </w:p>
        </w:tc>
        <w:tc>
          <w:tcPr>
            <w:tcW w:w="1097" w:type="dxa"/>
            <w:vMerge/>
            <w:tcBorders>
              <w:bottom w:val="single" w:sz="4" w:space="0" w:color="auto"/>
            </w:tcBorders>
          </w:tcPr>
          <w:p w14:paraId="784AE0FA" w14:textId="77777777" w:rsidR="00EC55EB" w:rsidRPr="006D7720" w:rsidRDefault="00EC55EB" w:rsidP="00082AE8">
            <w:pPr>
              <w:spacing w:before="20" w:after="20"/>
              <w:jc w:val="center"/>
              <w:rPr>
                <w:rFonts w:ascii="Times New Roman" w:hAnsi="Times New Roman" w:cs="Times New Roman"/>
                <w:bCs/>
                <w:sz w:val="18"/>
              </w:rPr>
            </w:pPr>
          </w:p>
        </w:tc>
        <w:tc>
          <w:tcPr>
            <w:tcW w:w="988" w:type="dxa"/>
            <w:vMerge/>
            <w:tcBorders>
              <w:bottom w:val="single" w:sz="4" w:space="0" w:color="auto"/>
            </w:tcBorders>
          </w:tcPr>
          <w:p w14:paraId="6BA5D6A5" w14:textId="77777777" w:rsidR="00EC55EB" w:rsidRPr="006D7720" w:rsidRDefault="00EC55EB" w:rsidP="00082AE8">
            <w:pPr>
              <w:spacing w:before="20" w:after="20"/>
              <w:jc w:val="center"/>
              <w:rPr>
                <w:rFonts w:ascii="Times New Roman" w:hAnsi="Times New Roman" w:cs="Times New Roman"/>
                <w:bCs/>
                <w:sz w:val="18"/>
              </w:rPr>
            </w:pPr>
          </w:p>
        </w:tc>
        <w:tc>
          <w:tcPr>
            <w:tcW w:w="1074" w:type="dxa"/>
            <w:vMerge/>
            <w:tcBorders>
              <w:bottom w:val="single" w:sz="4" w:space="0" w:color="auto"/>
            </w:tcBorders>
          </w:tcPr>
          <w:p w14:paraId="542873A6" w14:textId="77777777" w:rsidR="00EC55EB" w:rsidRPr="006D7720" w:rsidRDefault="00EC55EB" w:rsidP="00082AE8">
            <w:pPr>
              <w:spacing w:before="20" w:after="20"/>
              <w:jc w:val="center"/>
              <w:rPr>
                <w:rFonts w:ascii="Times New Roman" w:hAnsi="Times New Roman" w:cs="Times New Roman"/>
                <w:bCs/>
                <w:sz w:val="18"/>
              </w:rPr>
            </w:pPr>
          </w:p>
        </w:tc>
        <w:tc>
          <w:tcPr>
            <w:tcW w:w="1113" w:type="dxa"/>
            <w:gridSpan w:val="2"/>
            <w:vMerge w:val="restart"/>
            <w:tcBorders>
              <w:bottom w:val="single" w:sz="4" w:space="0" w:color="auto"/>
            </w:tcBorders>
          </w:tcPr>
          <w:p w14:paraId="2EE97CF3" w14:textId="77777777" w:rsidR="00EC55EB" w:rsidRPr="006D7720" w:rsidRDefault="00EC55EB" w:rsidP="00082AE8">
            <w:pPr>
              <w:spacing w:before="20" w:after="20"/>
              <w:jc w:val="center"/>
              <w:rPr>
                <w:rFonts w:ascii="Times New Roman" w:hAnsi="Times New Roman" w:cs="Times New Roman"/>
                <w:bCs/>
                <w:sz w:val="18"/>
              </w:rPr>
            </w:pPr>
            <w:r>
              <w:rPr>
                <w:rFonts w:ascii="Times New Roman" w:hAnsi="Times New Roman" w:cs="Times New Roman"/>
                <w:bCs/>
                <w:sz w:val="18"/>
              </w:rPr>
              <w:t xml:space="preserve">December </w:t>
            </w:r>
            <w:r w:rsidRPr="006D7720">
              <w:rPr>
                <w:rFonts w:ascii="Times New Roman" w:hAnsi="Times New Roman" w:cs="Times New Roman"/>
                <w:bCs/>
                <w:sz w:val="18"/>
              </w:rPr>
              <w:t>in 2021</w:t>
            </w:r>
          </w:p>
        </w:tc>
        <w:tc>
          <w:tcPr>
            <w:tcW w:w="1112" w:type="dxa"/>
            <w:gridSpan w:val="2"/>
            <w:vMerge w:val="restart"/>
            <w:tcBorders>
              <w:bottom w:val="single" w:sz="4" w:space="0" w:color="auto"/>
            </w:tcBorders>
          </w:tcPr>
          <w:p w14:paraId="4E6B415B" w14:textId="77777777" w:rsidR="00EC55EB" w:rsidRPr="006D7720" w:rsidRDefault="00EC55EB" w:rsidP="00082AE8">
            <w:pPr>
              <w:spacing w:before="60" w:after="20"/>
              <w:jc w:val="center"/>
              <w:rPr>
                <w:rFonts w:ascii="Times New Roman" w:hAnsi="Times New Roman" w:cs="Times New Roman"/>
                <w:bCs/>
                <w:sz w:val="18"/>
              </w:rPr>
            </w:pPr>
            <w:r>
              <w:rPr>
                <w:rFonts w:ascii="Times New Roman" w:hAnsi="Times New Roman" w:cs="Times New Roman"/>
                <w:bCs/>
                <w:sz w:val="18"/>
              </w:rPr>
              <w:t>Fourth</w:t>
            </w:r>
            <w:r>
              <w:rPr>
                <w:rFonts w:ascii="Times New Roman" w:hAnsi="Times New Roman" w:cs="Times New Roman"/>
                <w:bCs/>
                <w:sz w:val="18"/>
                <w:lang w:val="vi-VN"/>
              </w:rPr>
              <w:t xml:space="preserve"> </w:t>
            </w:r>
            <w:r>
              <w:rPr>
                <w:rFonts w:ascii="Times New Roman" w:hAnsi="Times New Roman" w:cs="Times New Roman"/>
                <w:bCs/>
                <w:sz w:val="18"/>
              </w:rPr>
              <w:t>Quarter</w:t>
            </w:r>
            <w:r>
              <w:rPr>
                <w:rFonts w:ascii="Times New Roman" w:hAnsi="Times New Roman" w:cs="Times New Roman"/>
                <w:bCs/>
                <w:sz w:val="18"/>
                <w:lang w:val="vi-VN"/>
              </w:rPr>
              <w:t xml:space="preserve"> in</w:t>
            </w:r>
            <w:r w:rsidRPr="006D7720">
              <w:rPr>
                <w:rFonts w:ascii="Times New Roman" w:hAnsi="Times New Roman" w:cs="Times New Roman"/>
                <w:bCs/>
                <w:sz w:val="18"/>
              </w:rPr>
              <w:t xml:space="preserve"> 2021</w:t>
            </w:r>
          </w:p>
        </w:tc>
        <w:tc>
          <w:tcPr>
            <w:tcW w:w="1111" w:type="dxa"/>
            <w:gridSpan w:val="2"/>
            <w:vMerge w:val="restart"/>
            <w:tcBorders>
              <w:bottom w:val="single" w:sz="4" w:space="0" w:color="auto"/>
            </w:tcBorders>
            <w:vAlign w:val="center"/>
          </w:tcPr>
          <w:p w14:paraId="03B71A0D" w14:textId="77777777" w:rsidR="00EC55EB" w:rsidRPr="006D7720" w:rsidRDefault="00EC55EB" w:rsidP="00082AE8">
            <w:pPr>
              <w:spacing w:before="20" w:after="20"/>
              <w:jc w:val="center"/>
              <w:rPr>
                <w:rFonts w:ascii="Times New Roman" w:hAnsi="Times New Roman" w:cs="Times New Roman"/>
                <w:bCs/>
                <w:sz w:val="18"/>
              </w:rPr>
            </w:pPr>
            <w:r w:rsidRPr="006D7720">
              <w:rPr>
                <w:rFonts w:ascii="Times New Roman" w:hAnsi="Times New Roman" w:cs="Times New Roman"/>
                <w:bCs/>
                <w:sz w:val="18"/>
              </w:rPr>
              <w:t>2021</w:t>
            </w:r>
          </w:p>
        </w:tc>
      </w:tr>
      <w:tr w:rsidR="00EC55EB" w:rsidRPr="006D7720" w14:paraId="3D00314F" w14:textId="77777777" w:rsidTr="00082AE8">
        <w:trPr>
          <w:cantSplit/>
          <w:trHeight w:hRule="exact" w:val="670"/>
          <w:jc w:val="center"/>
        </w:trPr>
        <w:tc>
          <w:tcPr>
            <w:tcW w:w="2977" w:type="dxa"/>
          </w:tcPr>
          <w:p w14:paraId="1BDD843E" w14:textId="77777777" w:rsidR="00EC55EB" w:rsidRPr="006D7720" w:rsidRDefault="00EC55EB" w:rsidP="00082AE8">
            <w:pPr>
              <w:spacing w:before="120" w:after="120"/>
              <w:jc w:val="both"/>
              <w:rPr>
                <w:rFonts w:ascii="Times New Roman" w:hAnsi="Times New Roman" w:cs="Times New Roman"/>
                <w:bCs/>
              </w:rPr>
            </w:pPr>
          </w:p>
        </w:tc>
        <w:tc>
          <w:tcPr>
            <w:tcW w:w="1097" w:type="dxa"/>
            <w:vMerge/>
            <w:tcBorders>
              <w:bottom w:val="single" w:sz="4" w:space="0" w:color="auto"/>
            </w:tcBorders>
          </w:tcPr>
          <w:p w14:paraId="1C270D80" w14:textId="77777777" w:rsidR="00EC55EB" w:rsidRPr="006D7720" w:rsidRDefault="00EC55EB" w:rsidP="00082AE8">
            <w:pPr>
              <w:spacing w:before="20" w:after="20"/>
              <w:jc w:val="center"/>
              <w:rPr>
                <w:rFonts w:ascii="Times New Roman" w:hAnsi="Times New Roman" w:cs="Times New Roman"/>
                <w:bCs/>
              </w:rPr>
            </w:pPr>
          </w:p>
        </w:tc>
        <w:tc>
          <w:tcPr>
            <w:tcW w:w="988" w:type="dxa"/>
            <w:vMerge/>
            <w:tcBorders>
              <w:bottom w:val="single" w:sz="4" w:space="0" w:color="auto"/>
            </w:tcBorders>
          </w:tcPr>
          <w:p w14:paraId="213DAC36" w14:textId="77777777" w:rsidR="00EC55EB" w:rsidRPr="006D7720" w:rsidRDefault="00EC55EB" w:rsidP="00082AE8">
            <w:pPr>
              <w:spacing w:before="20" w:after="20"/>
              <w:jc w:val="center"/>
              <w:rPr>
                <w:rFonts w:ascii="Times New Roman" w:hAnsi="Times New Roman" w:cs="Times New Roman"/>
                <w:bCs/>
              </w:rPr>
            </w:pPr>
          </w:p>
        </w:tc>
        <w:tc>
          <w:tcPr>
            <w:tcW w:w="1074" w:type="dxa"/>
            <w:vMerge/>
            <w:tcBorders>
              <w:bottom w:val="single" w:sz="4" w:space="0" w:color="auto"/>
            </w:tcBorders>
          </w:tcPr>
          <w:p w14:paraId="56045CBF" w14:textId="77777777" w:rsidR="00EC55EB" w:rsidRPr="006D7720" w:rsidRDefault="00EC55EB" w:rsidP="00082AE8">
            <w:pPr>
              <w:spacing w:before="20" w:after="20"/>
              <w:jc w:val="center"/>
              <w:rPr>
                <w:rFonts w:ascii="Times New Roman" w:hAnsi="Times New Roman" w:cs="Times New Roman"/>
                <w:bCs/>
              </w:rPr>
            </w:pPr>
          </w:p>
        </w:tc>
        <w:tc>
          <w:tcPr>
            <w:tcW w:w="1113" w:type="dxa"/>
            <w:gridSpan w:val="2"/>
            <w:vMerge/>
            <w:tcBorders>
              <w:bottom w:val="single" w:sz="4" w:space="0" w:color="auto"/>
            </w:tcBorders>
          </w:tcPr>
          <w:p w14:paraId="0066F005" w14:textId="77777777" w:rsidR="00EC55EB" w:rsidRPr="006D7720" w:rsidRDefault="00EC55EB" w:rsidP="00082AE8">
            <w:pPr>
              <w:spacing w:before="20" w:after="20"/>
              <w:jc w:val="center"/>
              <w:rPr>
                <w:rFonts w:ascii="Times New Roman" w:hAnsi="Times New Roman" w:cs="Times New Roman"/>
                <w:bCs/>
              </w:rPr>
            </w:pPr>
          </w:p>
        </w:tc>
        <w:tc>
          <w:tcPr>
            <w:tcW w:w="1112" w:type="dxa"/>
            <w:gridSpan w:val="2"/>
            <w:vMerge/>
            <w:tcBorders>
              <w:bottom w:val="single" w:sz="4" w:space="0" w:color="auto"/>
            </w:tcBorders>
          </w:tcPr>
          <w:p w14:paraId="0812A11F" w14:textId="77777777" w:rsidR="00EC55EB" w:rsidRPr="006D7720" w:rsidRDefault="00EC55EB" w:rsidP="00082AE8">
            <w:pPr>
              <w:spacing w:before="20" w:after="20"/>
              <w:jc w:val="center"/>
              <w:rPr>
                <w:rFonts w:ascii="Times New Roman" w:hAnsi="Times New Roman" w:cs="Times New Roman"/>
                <w:bCs/>
              </w:rPr>
            </w:pPr>
          </w:p>
        </w:tc>
        <w:tc>
          <w:tcPr>
            <w:tcW w:w="1111" w:type="dxa"/>
            <w:gridSpan w:val="2"/>
            <w:vMerge/>
            <w:tcBorders>
              <w:bottom w:val="single" w:sz="4" w:space="0" w:color="auto"/>
            </w:tcBorders>
          </w:tcPr>
          <w:p w14:paraId="4DBBE9AB" w14:textId="77777777" w:rsidR="00EC55EB" w:rsidRPr="006D7720" w:rsidRDefault="00EC55EB" w:rsidP="00082AE8">
            <w:pPr>
              <w:spacing w:before="20" w:after="20"/>
              <w:jc w:val="center"/>
              <w:rPr>
                <w:rFonts w:ascii="Times New Roman" w:hAnsi="Times New Roman" w:cs="Times New Roman"/>
                <w:bCs/>
              </w:rPr>
            </w:pPr>
          </w:p>
        </w:tc>
      </w:tr>
      <w:tr w:rsidR="00EC55EB" w:rsidRPr="006D7720" w14:paraId="2CEAB751" w14:textId="77777777" w:rsidTr="00082AE8">
        <w:trPr>
          <w:gridAfter w:val="1"/>
          <w:wAfter w:w="73" w:type="dxa"/>
          <w:cantSplit/>
          <w:trHeight w:hRule="exact" w:val="454"/>
          <w:jc w:val="center"/>
        </w:trPr>
        <w:tc>
          <w:tcPr>
            <w:tcW w:w="2977" w:type="dxa"/>
          </w:tcPr>
          <w:p w14:paraId="4B707958" w14:textId="77777777" w:rsidR="00EC55EB" w:rsidRPr="006D7720" w:rsidRDefault="00EC55EB" w:rsidP="00082AE8">
            <w:pPr>
              <w:spacing w:before="160" w:after="120"/>
              <w:rPr>
                <w:rFonts w:ascii="Times New Roman" w:hAnsi="Times New Roman" w:cs="Times New Roman"/>
                <w:bCs/>
                <w:sz w:val="19"/>
                <w:szCs w:val="19"/>
              </w:rPr>
            </w:pPr>
            <w:r w:rsidRPr="006D7720">
              <w:rPr>
                <w:rFonts w:ascii="Times New Roman" w:hAnsi="Times New Roman" w:cs="Times New Roman"/>
                <w:b/>
                <w:bCs/>
                <w:sz w:val="19"/>
                <w:szCs w:val="19"/>
              </w:rPr>
              <w:t>Total</w:t>
            </w:r>
          </w:p>
        </w:tc>
        <w:tc>
          <w:tcPr>
            <w:tcW w:w="1097" w:type="dxa"/>
            <w:tcBorders>
              <w:top w:val="single" w:sz="4" w:space="0" w:color="auto"/>
            </w:tcBorders>
          </w:tcPr>
          <w:p w14:paraId="34EBF00C" w14:textId="77777777" w:rsidR="00EC55EB" w:rsidRDefault="00EC55EB" w:rsidP="00082AE8">
            <w:pPr>
              <w:spacing w:before="160" w:after="120"/>
              <w:ind w:right="60"/>
              <w:jc w:val="right"/>
              <w:rPr>
                <w:rFonts w:ascii="Times New Roman" w:hAnsi="Times New Roman" w:cs="Times New Roman"/>
                <w:b/>
                <w:bCs/>
                <w:sz w:val="19"/>
                <w:szCs w:val="19"/>
              </w:rPr>
            </w:pPr>
            <w:r>
              <w:rPr>
                <w:rFonts w:ascii="Times New Roman" w:hAnsi="Times New Roman" w:cs="Times New Roman"/>
                <w:b/>
                <w:bCs/>
                <w:sz w:val="19"/>
                <w:szCs w:val="19"/>
              </w:rPr>
              <w:t>458.5</w:t>
            </w:r>
          </w:p>
          <w:p w14:paraId="5A64D659" w14:textId="77777777" w:rsidR="00EC55EB" w:rsidRPr="006D7720" w:rsidRDefault="00EC55EB" w:rsidP="00082AE8">
            <w:pPr>
              <w:spacing w:before="160" w:after="120"/>
              <w:ind w:right="60"/>
              <w:jc w:val="right"/>
              <w:rPr>
                <w:rFonts w:ascii="Times New Roman" w:hAnsi="Times New Roman" w:cs="Times New Roman"/>
                <w:b/>
                <w:bCs/>
                <w:sz w:val="19"/>
                <w:szCs w:val="19"/>
              </w:rPr>
            </w:pPr>
          </w:p>
        </w:tc>
        <w:tc>
          <w:tcPr>
            <w:tcW w:w="988" w:type="dxa"/>
            <w:tcBorders>
              <w:top w:val="single" w:sz="4" w:space="0" w:color="auto"/>
            </w:tcBorders>
          </w:tcPr>
          <w:p w14:paraId="697FF3F0" w14:textId="77777777" w:rsidR="00EC55EB" w:rsidRPr="006D7720" w:rsidRDefault="00EC55EB" w:rsidP="00082AE8">
            <w:pPr>
              <w:spacing w:before="160" w:after="120"/>
              <w:ind w:right="60"/>
              <w:jc w:val="right"/>
              <w:rPr>
                <w:rFonts w:ascii="Times New Roman" w:hAnsi="Times New Roman" w:cs="Times New Roman"/>
                <w:b/>
                <w:bCs/>
                <w:sz w:val="19"/>
                <w:szCs w:val="19"/>
              </w:rPr>
            </w:pPr>
            <w:r>
              <w:rPr>
                <w:rFonts w:ascii="Times New Roman" w:hAnsi="Times New Roman" w:cs="Times New Roman"/>
                <w:b/>
                <w:bCs/>
                <w:sz w:val="19"/>
                <w:szCs w:val="19"/>
              </w:rPr>
              <w:t>1,312.6</w:t>
            </w:r>
          </w:p>
        </w:tc>
        <w:tc>
          <w:tcPr>
            <w:tcW w:w="1074" w:type="dxa"/>
            <w:tcBorders>
              <w:top w:val="single" w:sz="4" w:space="0" w:color="auto"/>
            </w:tcBorders>
          </w:tcPr>
          <w:p w14:paraId="6CBE35B2" w14:textId="77777777" w:rsidR="00EC55EB" w:rsidRPr="006D7720" w:rsidRDefault="00EC55EB" w:rsidP="00082AE8">
            <w:pPr>
              <w:spacing w:before="160" w:after="120"/>
              <w:ind w:right="60"/>
              <w:jc w:val="right"/>
              <w:rPr>
                <w:rFonts w:ascii="Times New Roman" w:hAnsi="Times New Roman" w:cs="Times New Roman"/>
                <w:b/>
                <w:bCs/>
                <w:sz w:val="19"/>
                <w:szCs w:val="19"/>
              </w:rPr>
            </w:pPr>
            <w:r>
              <w:rPr>
                <w:rFonts w:ascii="Times New Roman" w:hAnsi="Times New Roman" w:cs="Times New Roman"/>
                <w:b/>
                <w:bCs/>
                <w:sz w:val="19"/>
                <w:szCs w:val="19"/>
              </w:rPr>
              <w:t>4,789.5</w:t>
            </w:r>
          </w:p>
        </w:tc>
        <w:tc>
          <w:tcPr>
            <w:tcW w:w="1041" w:type="dxa"/>
            <w:tcBorders>
              <w:top w:val="single" w:sz="4" w:space="0" w:color="auto"/>
            </w:tcBorders>
          </w:tcPr>
          <w:p w14:paraId="581EE300" w14:textId="77777777" w:rsidR="00EC55EB" w:rsidRPr="006D7720" w:rsidRDefault="00EC55EB" w:rsidP="00082AE8">
            <w:pPr>
              <w:spacing w:before="160" w:after="120"/>
              <w:ind w:left="-144" w:right="120"/>
              <w:jc w:val="right"/>
              <w:rPr>
                <w:rFonts w:ascii="Times New Roman" w:hAnsi="Times New Roman" w:cs="Times New Roman"/>
                <w:b/>
                <w:bCs/>
                <w:sz w:val="19"/>
                <w:szCs w:val="19"/>
              </w:rPr>
            </w:pPr>
            <w:r>
              <w:rPr>
                <w:rFonts w:ascii="Times New Roman" w:hAnsi="Times New Roman" w:cs="Times New Roman"/>
                <w:b/>
                <w:bCs/>
                <w:sz w:val="19"/>
                <w:szCs w:val="19"/>
              </w:rPr>
              <w:t>1.1</w:t>
            </w:r>
          </w:p>
        </w:tc>
        <w:tc>
          <w:tcPr>
            <w:tcW w:w="1111" w:type="dxa"/>
            <w:gridSpan w:val="2"/>
            <w:tcBorders>
              <w:top w:val="single" w:sz="4" w:space="0" w:color="auto"/>
            </w:tcBorders>
          </w:tcPr>
          <w:p w14:paraId="33F76239" w14:textId="77777777" w:rsidR="00EC55EB" w:rsidRPr="006D7720" w:rsidRDefault="00EC55EB" w:rsidP="00082AE8">
            <w:pPr>
              <w:spacing w:before="160" w:after="120"/>
              <w:ind w:left="-144" w:right="120"/>
              <w:jc w:val="right"/>
              <w:rPr>
                <w:rFonts w:ascii="Times New Roman" w:hAnsi="Times New Roman" w:cs="Times New Roman"/>
                <w:b/>
                <w:bCs/>
                <w:sz w:val="19"/>
                <w:szCs w:val="19"/>
              </w:rPr>
            </w:pPr>
            <w:r>
              <w:rPr>
                <w:rFonts w:ascii="Times New Roman" w:hAnsi="Times New Roman" w:cs="Times New Roman"/>
                <w:b/>
                <w:bCs/>
                <w:sz w:val="19"/>
                <w:szCs w:val="19"/>
              </w:rPr>
              <w:t>-2.8</w:t>
            </w:r>
          </w:p>
        </w:tc>
        <w:tc>
          <w:tcPr>
            <w:tcW w:w="1111" w:type="dxa"/>
            <w:gridSpan w:val="2"/>
            <w:tcBorders>
              <w:top w:val="single" w:sz="4" w:space="0" w:color="auto"/>
            </w:tcBorders>
          </w:tcPr>
          <w:p w14:paraId="347FFBC6" w14:textId="77777777" w:rsidR="00EC55EB" w:rsidRPr="006D7720" w:rsidRDefault="00EC55EB" w:rsidP="00082AE8">
            <w:pPr>
              <w:spacing w:before="160" w:after="120"/>
              <w:ind w:left="-144" w:right="120"/>
              <w:jc w:val="right"/>
              <w:rPr>
                <w:rFonts w:ascii="Times New Roman" w:hAnsi="Times New Roman" w:cs="Times New Roman"/>
                <w:b/>
                <w:bCs/>
                <w:sz w:val="19"/>
                <w:szCs w:val="19"/>
              </w:rPr>
            </w:pPr>
            <w:r>
              <w:rPr>
                <w:rFonts w:ascii="Times New Roman" w:hAnsi="Times New Roman" w:cs="Times New Roman"/>
                <w:b/>
                <w:bCs/>
                <w:sz w:val="19"/>
                <w:szCs w:val="19"/>
              </w:rPr>
              <w:t>-3.8</w:t>
            </w:r>
          </w:p>
        </w:tc>
      </w:tr>
      <w:tr w:rsidR="00EC55EB" w:rsidRPr="006D7720" w14:paraId="26003173" w14:textId="77777777" w:rsidTr="00082AE8">
        <w:trPr>
          <w:gridAfter w:val="1"/>
          <w:wAfter w:w="73" w:type="dxa"/>
          <w:cantSplit/>
          <w:trHeight w:hRule="exact" w:val="454"/>
          <w:jc w:val="center"/>
        </w:trPr>
        <w:tc>
          <w:tcPr>
            <w:tcW w:w="2977" w:type="dxa"/>
          </w:tcPr>
          <w:p w14:paraId="438776D7" w14:textId="77777777" w:rsidR="00EC55EB" w:rsidRPr="006D7720" w:rsidRDefault="00EC55EB" w:rsidP="00082AE8">
            <w:pPr>
              <w:spacing w:before="100" w:after="100"/>
              <w:jc w:val="both"/>
              <w:rPr>
                <w:rFonts w:ascii="Times New Roman" w:hAnsi="Times New Roman" w:cs="Times New Roman"/>
                <w:bCs/>
                <w:sz w:val="19"/>
                <w:szCs w:val="19"/>
              </w:rPr>
            </w:pPr>
            <w:r w:rsidRPr="006D7720">
              <w:rPr>
                <w:rFonts w:ascii="Times New Roman" w:hAnsi="Times New Roman" w:cs="Times New Roman"/>
                <w:bCs/>
                <w:sz w:val="19"/>
                <w:szCs w:val="19"/>
              </w:rPr>
              <w:t>Retail sale</w:t>
            </w:r>
          </w:p>
        </w:tc>
        <w:tc>
          <w:tcPr>
            <w:tcW w:w="1097" w:type="dxa"/>
          </w:tcPr>
          <w:p w14:paraId="3EE6FCD5" w14:textId="77777777" w:rsidR="00EC55EB" w:rsidRPr="006D7720" w:rsidRDefault="00EC55EB" w:rsidP="00082AE8">
            <w:pPr>
              <w:spacing w:before="100" w:after="100"/>
              <w:ind w:right="60"/>
              <w:jc w:val="right"/>
              <w:rPr>
                <w:rFonts w:ascii="Times New Roman" w:hAnsi="Times New Roman" w:cs="Times New Roman"/>
                <w:bCs/>
                <w:sz w:val="19"/>
                <w:szCs w:val="19"/>
              </w:rPr>
            </w:pPr>
            <w:r>
              <w:rPr>
                <w:rFonts w:ascii="Times New Roman" w:hAnsi="Times New Roman" w:cs="Times New Roman"/>
                <w:bCs/>
                <w:sz w:val="19"/>
                <w:szCs w:val="19"/>
              </w:rPr>
              <w:t>371.7</w:t>
            </w:r>
          </w:p>
        </w:tc>
        <w:tc>
          <w:tcPr>
            <w:tcW w:w="988" w:type="dxa"/>
          </w:tcPr>
          <w:p w14:paraId="3E7E5258" w14:textId="77777777" w:rsidR="00EC55EB" w:rsidRPr="006D7720" w:rsidRDefault="00EC55EB" w:rsidP="00082AE8">
            <w:pPr>
              <w:spacing w:before="100" w:after="100"/>
              <w:ind w:right="60"/>
              <w:jc w:val="right"/>
              <w:rPr>
                <w:rFonts w:ascii="Times New Roman" w:hAnsi="Times New Roman" w:cs="Times New Roman"/>
                <w:bCs/>
                <w:sz w:val="19"/>
                <w:szCs w:val="19"/>
              </w:rPr>
            </w:pPr>
            <w:r>
              <w:rPr>
                <w:rFonts w:ascii="Times New Roman" w:hAnsi="Times New Roman" w:cs="Times New Roman"/>
                <w:bCs/>
                <w:sz w:val="19"/>
                <w:szCs w:val="19"/>
              </w:rPr>
              <w:t>1,076.4</w:t>
            </w:r>
          </w:p>
        </w:tc>
        <w:tc>
          <w:tcPr>
            <w:tcW w:w="1074" w:type="dxa"/>
          </w:tcPr>
          <w:p w14:paraId="0F29C114" w14:textId="77777777" w:rsidR="00EC55EB" w:rsidRPr="006D7720" w:rsidRDefault="00EC55EB" w:rsidP="00082AE8">
            <w:pPr>
              <w:spacing w:before="100" w:after="100"/>
              <w:ind w:right="60"/>
              <w:jc w:val="right"/>
              <w:rPr>
                <w:rFonts w:ascii="Times New Roman" w:hAnsi="Times New Roman" w:cs="Times New Roman"/>
                <w:bCs/>
                <w:sz w:val="19"/>
                <w:szCs w:val="19"/>
              </w:rPr>
            </w:pPr>
            <w:r>
              <w:rPr>
                <w:rFonts w:ascii="Times New Roman" w:hAnsi="Times New Roman" w:cs="Times New Roman"/>
                <w:bCs/>
                <w:sz w:val="19"/>
                <w:szCs w:val="19"/>
              </w:rPr>
              <w:t>3,950.9</w:t>
            </w:r>
          </w:p>
        </w:tc>
        <w:tc>
          <w:tcPr>
            <w:tcW w:w="1041" w:type="dxa"/>
          </w:tcPr>
          <w:p w14:paraId="4FE0DE34" w14:textId="77777777" w:rsidR="00EC55EB" w:rsidRPr="006D7720" w:rsidRDefault="00EC55EB" w:rsidP="00082AE8">
            <w:pPr>
              <w:spacing w:before="100" w:after="100"/>
              <w:ind w:left="-144" w:right="120"/>
              <w:jc w:val="right"/>
              <w:rPr>
                <w:rFonts w:ascii="Times New Roman" w:hAnsi="Times New Roman" w:cs="Times New Roman"/>
                <w:bCs/>
                <w:sz w:val="19"/>
                <w:szCs w:val="19"/>
              </w:rPr>
            </w:pPr>
            <w:r>
              <w:rPr>
                <w:rFonts w:ascii="Times New Roman" w:hAnsi="Times New Roman" w:cs="Times New Roman"/>
                <w:bCs/>
                <w:sz w:val="19"/>
                <w:szCs w:val="19"/>
              </w:rPr>
              <w:t>3.7</w:t>
            </w:r>
          </w:p>
        </w:tc>
        <w:tc>
          <w:tcPr>
            <w:tcW w:w="1111" w:type="dxa"/>
            <w:gridSpan w:val="2"/>
          </w:tcPr>
          <w:p w14:paraId="00B944BD" w14:textId="77777777" w:rsidR="00EC55EB" w:rsidRPr="006D7720" w:rsidRDefault="00EC55EB" w:rsidP="00082AE8">
            <w:pPr>
              <w:spacing w:before="100" w:after="100"/>
              <w:ind w:left="-144" w:right="120"/>
              <w:jc w:val="right"/>
              <w:rPr>
                <w:rFonts w:ascii="Times New Roman" w:hAnsi="Times New Roman" w:cs="Times New Roman"/>
                <w:bCs/>
                <w:sz w:val="19"/>
                <w:szCs w:val="19"/>
              </w:rPr>
            </w:pPr>
            <w:r>
              <w:rPr>
                <w:rFonts w:ascii="Times New Roman" w:hAnsi="Times New Roman" w:cs="Times New Roman"/>
                <w:bCs/>
                <w:sz w:val="19"/>
                <w:szCs w:val="19"/>
              </w:rPr>
              <w:t>0.8</w:t>
            </w:r>
          </w:p>
        </w:tc>
        <w:tc>
          <w:tcPr>
            <w:tcW w:w="1111" w:type="dxa"/>
            <w:gridSpan w:val="2"/>
          </w:tcPr>
          <w:p w14:paraId="5E8EC3F3" w14:textId="77777777" w:rsidR="00EC55EB" w:rsidRPr="006D7720" w:rsidRDefault="00EC55EB" w:rsidP="00082AE8">
            <w:pPr>
              <w:spacing w:before="100" w:after="100"/>
              <w:ind w:left="-144" w:right="120"/>
              <w:jc w:val="right"/>
              <w:rPr>
                <w:rFonts w:ascii="Times New Roman" w:hAnsi="Times New Roman" w:cs="Times New Roman"/>
                <w:bCs/>
                <w:sz w:val="19"/>
                <w:szCs w:val="19"/>
              </w:rPr>
            </w:pPr>
            <w:r>
              <w:rPr>
                <w:rFonts w:ascii="Times New Roman" w:hAnsi="Times New Roman" w:cs="Times New Roman"/>
                <w:bCs/>
                <w:sz w:val="19"/>
                <w:szCs w:val="19"/>
              </w:rPr>
              <w:t>0.2</w:t>
            </w:r>
          </w:p>
        </w:tc>
      </w:tr>
      <w:tr w:rsidR="00EC55EB" w:rsidRPr="006D7720" w14:paraId="237374DE" w14:textId="77777777" w:rsidTr="00082AE8">
        <w:trPr>
          <w:gridAfter w:val="1"/>
          <w:wAfter w:w="73" w:type="dxa"/>
          <w:cantSplit/>
          <w:trHeight w:hRule="exact" w:val="371"/>
          <w:jc w:val="center"/>
        </w:trPr>
        <w:tc>
          <w:tcPr>
            <w:tcW w:w="2977" w:type="dxa"/>
          </w:tcPr>
          <w:p w14:paraId="7075C47E" w14:textId="77777777" w:rsidR="00EC55EB" w:rsidRPr="006D7720" w:rsidRDefault="00EC55EB" w:rsidP="00082AE8">
            <w:pPr>
              <w:spacing w:before="100" w:after="100"/>
              <w:ind w:right="-389"/>
              <w:jc w:val="both"/>
              <w:rPr>
                <w:rFonts w:ascii="Times New Roman" w:hAnsi="Times New Roman" w:cs="Times New Roman"/>
                <w:bCs/>
                <w:sz w:val="19"/>
                <w:szCs w:val="19"/>
              </w:rPr>
            </w:pPr>
            <w:r w:rsidRPr="006D7720">
              <w:rPr>
                <w:rFonts w:ascii="Times New Roman" w:hAnsi="Times New Roman" w:cs="Times New Roman"/>
                <w:bCs/>
                <w:sz w:val="19"/>
                <w:szCs w:val="19"/>
              </w:rPr>
              <w:t xml:space="preserve">Accommodation and catering service </w:t>
            </w:r>
          </w:p>
          <w:p w14:paraId="71000D0E" w14:textId="77777777" w:rsidR="00EC55EB" w:rsidRPr="006D7720" w:rsidRDefault="00EC55EB" w:rsidP="00082AE8">
            <w:pPr>
              <w:spacing w:before="100" w:after="100"/>
              <w:jc w:val="both"/>
              <w:rPr>
                <w:rFonts w:ascii="Times New Roman" w:hAnsi="Times New Roman" w:cs="Times New Roman"/>
                <w:bCs/>
                <w:sz w:val="19"/>
                <w:szCs w:val="19"/>
              </w:rPr>
            </w:pPr>
          </w:p>
          <w:p w14:paraId="2A01D8E2" w14:textId="77777777" w:rsidR="00EC55EB" w:rsidRPr="006D7720" w:rsidRDefault="00EC55EB" w:rsidP="00082AE8">
            <w:pPr>
              <w:spacing w:before="100" w:after="100"/>
              <w:jc w:val="both"/>
              <w:rPr>
                <w:rFonts w:ascii="Times New Roman" w:hAnsi="Times New Roman" w:cs="Times New Roman"/>
                <w:bCs/>
                <w:sz w:val="19"/>
                <w:szCs w:val="19"/>
              </w:rPr>
            </w:pPr>
            <w:r w:rsidRPr="006D7720">
              <w:rPr>
                <w:rFonts w:ascii="Times New Roman" w:hAnsi="Times New Roman" w:cs="Times New Roman"/>
                <w:bCs/>
                <w:sz w:val="19"/>
                <w:szCs w:val="19"/>
              </w:rPr>
              <w:t>upuống</w:t>
            </w:r>
          </w:p>
        </w:tc>
        <w:tc>
          <w:tcPr>
            <w:tcW w:w="1097" w:type="dxa"/>
          </w:tcPr>
          <w:p w14:paraId="23EA2740" w14:textId="77777777" w:rsidR="00EC55EB" w:rsidRPr="006D7720" w:rsidRDefault="00EC55EB" w:rsidP="00082AE8">
            <w:pPr>
              <w:spacing w:before="100" w:after="100"/>
              <w:ind w:right="60"/>
              <w:jc w:val="right"/>
              <w:rPr>
                <w:rFonts w:ascii="Times New Roman" w:hAnsi="Times New Roman" w:cs="Times New Roman"/>
                <w:bCs/>
                <w:sz w:val="19"/>
                <w:szCs w:val="19"/>
              </w:rPr>
            </w:pPr>
            <w:r>
              <w:rPr>
                <w:rFonts w:ascii="Times New Roman" w:hAnsi="Times New Roman" w:cs="Times New Roman"/>
                <w:bCs/>
                <w:sz w:val="19"/>
                <w:szCs w:val="19"/>
              </w:rPr>
              <w:t>40.8</w:t>
            </w:r>
          </w:p>
        </w:tc>
        <w:tc>
          <w:tcPr>
            <w:tcW w:w="988" w:type="dxa"/>
          </w:tcPr>
          <w:p w14:paraId="68F09139" w14:textId="77777777" w:rsidR="00EC55EB" w:rsidRPr="006D7720" w:rsidRDefault="00EC55EB" w:rsidP="00082AE8">
            <w:pPr>
              <w:spacing w:before="100" w:after="100"/>
              <w:ind w:right="60"/>
              <w:jc w:val="right"/>
              <w:rPr>
                <w:rFonts w:ascii="Times New Roman" w:hAnsi="Times New Roman" w:cs="Times New Roman"/>
                <w:bCs/>
                <w:sz w:val="19"/>
                <w:szCs w:val="19"/>
              </w:rPr>
            </w:pPr>
            <w:r>
              <w:rPr>
                <w:rFonts w:ascii="Times New Roman" w:hAnsi="Times New Roman" w:cs="Times New Roman"/>
                <w:bCs/>
                <w:sz w:val="19"/>
                <w:szCs w:val="19"/>
              </w:rPr>
              <w:t>107.7</w:t>
            </w:r>
          </w:p>
        </w:tc>
        <w:tc>
          <w:tcPr>
            <w:tcW w:w="1074" w:type="dxa"/>
          </w:tcPr>
          <w:p w14:paraId="700022C7" w14:textId="77777777" w:rsidR="00EC55EB" w:rsidRPr="006D7720" w:rsidRDefault="00EC55EB" w:rsidP="00082AE8">
            <w:pPr>
              <w:spacing w:before="100" w:after="100"/>
              <w:ind w:right="60"/>
              <w:jc w:val="right"/>
              <w:rPr>
                <w:rFonts w:ascii="Times New Roman" w:hAnsi="Times New Roman" w:cs="Times New Roman"/>
                <w:bCs/>
                <w:sz w:val="19"/>
                <w:szCs w:val="19"/>
              </w:rPr>
            </w:pPr>
            <w:r>
              <w:rPr>
                <w:rFonts w:ascii="Times New Roman" w:hAnsi="Times New Roman" w:cs="Times New Roman"/>
                <w:bCs/>
                <w:sz w:val="19"/>
                <w:szCs w:val="19"/>
              </w:rPr>
              <w:t>398.0</w:t>
            </w:r>
          </w:p>
        </w:tc>
        <w:tc>
          <w:tcPr>
            <w:tcW w:w="1041" w:type="dxa"/>
          </w:tcPr>
          <w:p w14:paraId="50431BC9" w14:textId="77777777" w:rsidR="00EC55EB" w:rsidRPr="006D7720" w:rsidRDefault="00EC55EB" w:rsidP="00082AE8">
            <w:pPr>
              <w:spacing w:before="100" w:after="100"/>
              <w:ind w:left="-144" w:right="120"/>
              <w:jc w:val="right"/>
              <w:rPr>
                <w:rFonts w:ascii="Times New Roman" w:hAnsi="Times New Roman" w:cs="Times New Roman"/>
                <w:bCs/>
                <w:sz w:val="19"/>
                <w:szCs w:val="19"/>
              </w:rPr>
            </w:pPr>
            <w:r>
              <w:rPr>
                <w:rFonts w:ascii="Times New Roman" w:hAnsi="Times New Roman" w:cs="Times New Roman"/>
                <w:bCs/>
                <w:sz w:val="19"/>
                <w:szCs w:val="19"/>
              </w:rPr>
              <w:t>-10.0</w:t>
            </w:r>
          </w:p>
        </w:tc>
        <w:tc>
          <w:tcPr>
            <w:tcW w:w="1111" w:type="dxa"/>
            <w:gridSpan w:val="2"/>
          </w:tcPr>
          <w:p w14:paraId="398DD2A6" w14:textId="77777777" w:rsidR="00EC55EB" w:rsidRPr="006D7720" w:rsidRDefault="00EC55EB" w:rsidP="00082AE8">
            <w:pPr>
              <w:spacing w:before="100" w:after="100"/>
              <w:ind w:left="-144" w:right="120"/>
              <w:jc w:val="right"/>
              <w:rPr>
                <w:rFonts w:ascii="Times New Roman" w:hAnsi="Times New Roman" w:cs="Times New Roman"/>
                <w:bCs/>
                <w:sz w:val="19"/>
                <w:szCs w:val="19"/>
              </w:rPr>
            </w:pPr>
            <w:r>
              <w:rPr>
                <w:rFonts w:ascii="Times New Roman" w:hAnsi="Times New Roman" w:cs="Times New Roman"/>
                <w:bCs/>
                <w:sz w:val="19"/>
                <w:szCs w:val="19"/>
              </w:rPr>
              <w:t>-19.8</w:t>
            </w:r>
          </w:p>
        </w:tc>
        <w:tc>
          <w:tcPr>
            <w:tcW w:w="1111" w:type="dxa"/>
            <w:gridSpan w:val="2"/>
          </w:tcPr>
          <w:p w14:paraId="10D701F9" w14:textId="77777777" w:rsidR="00EC55EB" w:rsidRPr="006D7720" w:rsidRDefault="00EC55EB" w:rsidP="00082AE8">
            <w:pPr>
              <w:spacing w:before="100" w:after="100"/>
              <w:ind w:left="-144" w:right="120"/>
              <w:jc w:val="right"/>
              <w:rPr>
                <w:rFonts w:ascii="Times New Roman" w:hAnsi="Times New Roman" w:cs="Times New Roman"/>
                <w:bCs/>
                <w:sz w:val="19"/>
                <w:szCs w:val="19"/>
              </w:rPr>
            </w:pPr>
            <w:r>
              <w:rPr>
                <w:rFonts w:ascii="Times New Roman" w:hAnsi="Times New Roman" w:cs="Times New Roman"/>
                <w:bCs/>
                <w:sz w:val="19"/>
                <w:szCs w:val="19"/>
              </w:rPr>
              <w:t>-19.3</w:t>
            </w:r>
          </w:p>
        </w:tc>
      </w:tr>
      <w:tr w:rsidR="00EC55EB" w:rsidRPr="006D7720" w14:paraId="1543D7B2" w14:textId="77777777" w:rsidTr="00082AE8">
        <w:trPr>
          <w:gridAfter w:val="1"/>
          <w:wAfter w:w="73" w:type="dxa"/>
          <w:cantSplit/>
          <w:trHeight w:hRule="exact" w:val="454"/>
          <w:jc w:val="center"/>
        </w:trPr>
        <w:tc>
          <w:tcPr>
            <w:tcW w:w="2977" w:type="dxa"/>
          </w:tcPr>
          <w:p w14:paraId="1F572019" w14:textId="77777777" w:rsidR="00EC55EB" w:rsidRPr="006D7720" w:rsidRDefault="00EC55EB" w:rsidP="00082AE8">
            <w:pPr>
              <w:spacing w:before="100" w:after="100"/>
              <w:jc w:val="both"/>
              <w:rPr>
                <w:rFonts w:ascii="Times New Roman" w:hAnsi="Times New Roman" w:cs="Times New Roman"/>
                <w:bCs/>
                <w:sz w:val="19"/>
                <w:szCs w:val="19"/>
              </w:rPr>
            </w:pPr>
            <w:r w:rsidRPr="006D7720">
              <w:rPr>
                <w:rFonts w:ascii="Times New Roman" w:hAnsi="Times New Roman" w:cs="Times New Roman"/>
                <w:bCs/>
                <w:sz w:val="19"/>
                <w:szCs w:val="19"/>
              </w:rPr>
              <w:t>Traveling service</w:t>
            </w:r>
          </w:p>
        </w:tc>
        <w:tc>
          <w:tcPr>
            <w:tcW w:w="1097" w:type="dxa"/>
          </w:tcPr>
          <w:p w14:paraId="6C772271" w14:textId="77777777" w:rsidR="00EC55EB" w:rsidRPr="006D7720" w:rsidRDefault="00EC55EB" w:rsidP="00082AE8">
            <w:pPr>
              <w:spacing w:before="100" w:after="100"/>
              <w:ind w:right="60"/>
              <w:jc w:val="right"/>
              <w:rPr>
                <w:rFonts w:ascii="Times New Roman" w:hAnsi="Times New Roman" w:cs="Times New Roman"/>
                <w:bCs/>
                <w:sz w:val="19"/>
                <w:szCs w:val="19"/>
              </w:rPr>
            </w:pPr>
            <w:r>
              <w:rPr>
                <w:rFonts w:ascii="Times New Roman" w:hAnsi="Times New Roman" w:cs="Times New Roman"/>
                <w:bCs/>
                <w:sz w:val="19"/>
                <w:szCs w:val="19"/>
              </w:rPr>
              <w:t>0.9</w:t>
            </w:r>
          </w:p>
        </w:tc>
        <w:tc>
          <w:tcPr>
            <w:tcW w:w="988" w:type="dxa"/>
          </w:tcPr>
          <w:p w14:paraId="31712E35" w14:textId="77777777" w:rsidR="00EC55EB" w:rsidRPr="006D7720" w:rsidRDefault="00EC55EB" w:rsidP="00082AE8">
            <w:pPr>
              <w:spacing w:before="100" w:after="100"/>
              <w:ind w:right="60"/>
              <w:jc w:val="right"/>
              <w:rPr>
                <w:rFonts w:ascii="Times New Roman" w:hAnsi="Times New Roman" w:cs="Times New Roman"/>
                <w:bCs/>
                <w:sz w:val="19"/>
                <w:szCs w:val="19"/>
              </w:rPr>
            </w:pPr>
            <w:r>
              <w:rPr>
                <w:rFonts w:ascii="Times New Roman" w:hAnsi="Times New Roman" w:cs="Times New Roman"/>
                <w:bCs/>
                <w:sz w:val="19"/>
                <w:szCs w:val="19"/>
              </w:rPr>
              <w:t>1.9</w:t>
            </w:r>
          </w:p>
        </w:tc>
        <w:tc>
          <w:tcPr>
            <w:tcW w:w="1074" w:type="dxa"/>
          </w:tcPr>
          <w:p w14:paraId="5E06631F" w14:textId="77777777" w:rsidR="00EC55EB" w:rsidRPr="006D7720" w:rsidRDefault="00EC55EB" w:rsidP="00082AE8">
            <w:pPr>
              <w:spacing w:before="100" w:after="100"/>
              <w:ind w:right="60"/>
              <w:jc w:val="right"/>
              <w:rPr>
                <w:rFonts w:ascii="Times New Roman" w:hAnsi="Times New Roman" w:cs="Times New Roman"/>
                <w:bCs/>
                <w:sz w:val="19"/>
                <w:szCs w:val="19"/>
              </w:rPr>
            </w:pPr>
            <w:r>
              <w:rPr>
                <w:rFonts w:ascii="Times New Roman" w:hAnsi="Times New Roman" w:cs="Times New Roman"/>
                <w:bCs/>
                <w:sz w:val="19"/>
                <w:szCs w:val="19"/>
              </w:rPr>
              <w:t>6.5</w:t>
            </w:r>
          </w:p>
        </w:tc>
        <w:tc>
          <w:tcPr>
            <w:tcW w:w="1041" w:type="dxa"/>
          </w:tcPr>
          <w:p w14:paraId="36157B1F" w14:textId="77777777" w:rsidR="00EC55EB" w:rsidRPr="006D7720" w:rsidRDefault="00EC55EB" w:rsidP="00082AE8">
            <w:pPr>
              <w:spacing w:before="100" w:after="100"/>
              <w:ind w:left="-144" w:right="120"/>
              <w:jc w:val="right"/>
              <w:rPr>
                <w:rFonts w:ascii="Times New Roman" w:hAnsi="Times New Roman" w:cs="Times New Roman"/>
                <w:bCs/>
                <w:sz w:val="19"/>
                <w:szCs w:val="19"/>
              </w:rPr>
            </w:pPr>
            <w:r>
              <w:rPr>
                <w:rFonts w:ascii="Times New Roman" w:hAnsi="Times New Roman" w:cs="Times New Roman"/>
                <w:bCs/>
                <w:sz w:val="19"/>
                <w:szCs w:val="19"/>
              </w:rPr>
              <w:t>-34.7</w:t>
            </w:r>
          </w:p>
        </w:tc>
        <w:tc>
          <w:tcPr>
            <w:tcW w:w="1111" w:type="dxa"/>
            <w:gridSpan w:val="2"/>
          </w:tcPr>
          <w:p w14:paraId="71212C73" w14:textId="77777777" w:rsidR="00EC55EB" w:rsidRPr="006D7720" w:rsidRDefault="00EC55EB" w:rsidP="00082AE8">
            <w:pPr>
              <w:spacing w:before="100" w:after="100"/>
              <w:ind w:left="-144" w:right="120"/>
              <w:jc w:val="right"/>
              <w:rPr>
                <w:rFonts w:ascii="Times New Roman" w:hAnsi="Times New Roman" w:cs="Times New Roman"/>
                <w:bCs/>
                <w:sz w:val="19"/>
                <w:szCs w:val="19"/>
              </w:rPr>
            </w:pPr>
            <w:r>
              <w:rPr>
                <w:rFonts w:ascii="Times New Roman" w:hAnsi="Times New Roman" w:cs="Times New Roman"/>
                <w:bCs/>
                <w:sz w:val="19"/>
                <w:szCs w:val="19"/>
              </w:rPr>
              <w:t>-45.2</w:t>
            </w:r>
          </w:p>
        </w:tc>
        <w:tc>
          <w:tcPr>
            <w:tcW w:w="1111" w:type="dxa"/>
            <w:gridSpan w:val="2"/>
          </w:tcPr>
          <w:p w14:paraId="20B32FF7" w14:textId="77777777" w:rsidR="00EC55EB" w:rsidRPr="006D7720" w:rsidRDefault="00EC55EB" w:rsidP="00082AE8">
            <w:pPr>
              <w:spacing w:before="100" w:after="100"/>
              <w:ind w:left="-144" w:right="120"/>
              <w:jc w:val="right"/>
              <w:rPr>
                <w:rFonts w:ascii="Times New Roman" w:hAnsi="Times New Roman" w:cs="Times New Roman"/>
                <w:bCs/>
                <w:sz w:val="19"/>
                <w:szCs w:val="19"/>
              </w:rPr>
            </w:pPr>
            <w:r>
              <w:rPr>
                <w:rFonts w:ascii="Times New Roman" w:hAnsi="Times New Roman" w:cs="Times New Roman"/>
                <w:bCs/>
                <w:sz w:val="19"/>
                <w:szCs w:val="19"/>
              </w:rPr>
              <w:t>-59.9</w:t>
            </w:r>
          </w:p>
        </w:tc>
      </w:tr>
      <w:tr w:rsidR="00EC55EB" w:rsidRPr="006D7720" w14:paraId="59083B5D" w14:textId="77777777" w:rsidTr="00082AE8">
        <w:trPr>
          <w:gridAfter w:val="1"/>
          <w:wAfter w:w="73" w:type="dxa"/>
          <w:cantSplit/>
          <w:trHeight w:hRule="exact" w:val="454"/>
          <w:jc w:val="center"/>
        </w:trPr>
        <w:tc>
          <w:tcPr>
            <w:tcW w:w="2977" w:type="dxa"/>
            <w:tcBorders>
              <w:bottom w:val="single" w:sz="4" w:space="0" w:color="auto"/>
            </w:tcBorders>
          </w:tcPr>
          <w:p w14:paraId="66B68DA5" w14:textId="77777777" w:rsidR="00EC55EB" w:rsidRPr="006D7720" w:rsidRDefault="00EC55EB" w:rsidP="00082AE8">
            <w:pPr>
              <w:spacing w:before="100" w:after="100"/>
              <w:jc w:val="both"/>
              <w:rPr>
                <w:rFonts w:ascii="Times New Roman" w:hAnsi="Times New Roman" w:cs="Times New Roman"/>
                <w:bCs/>
                <w:sz w:val="19"/>
                <w:szCs w:val="19"/>
              </w:rPr>
            </w:pPr>
            <w:r w:rsidRPr="006D7720">
              <w:rPr>
                <w:rFonts w:ascii="Times New Roman" w:hAnsi="Times New Roman" w:cs="Times New Roman"/>
                <w:bCs/>
                <w:sz w:val="19"/>
                <w:szCs w:val="19"/>
              </w:rPr>
              <w:t>Other services</w:t>
            </w:r>
          </w:p>
        </w:tc>
        <w:tc>
          <w:tcPr>
            <w:tcW w:w="1097" w:type="dxa"/>
            <w:tcBorders>
              <w:bottom w:val="single" w:sz="4" w:space="0" w:color="auto"/>
            </w:tcBorders>
          </w:tcPr>
          <w:p w14:paraId="0464E5CF" w14:textId="77777777" w:rsidR="00EC55EB" w:rsidRPr="006D7720" w:rsidRDefault="00EC55EB" w:rsidP="00082AE8">
            <w:pPr>
              <w:spacing w:before="100" w:after="100"/>
              <w:ind w:right="60"/>
              <w:jc w:val="right"/>
              <w:rPr>
                <w:rFonts w:ascii="Times New Roman" w:hAnsi="Times New Roman" w:cs="Times New Roman"/>
                <w:bCs/>
                <w:sz w:val="19"/>
                <w:szCs w:val="19"/>
              </w:rPr>
            </w:pPr>
            <w:r>
              <w:rPr>
                <w:rFonts w:ascii="Times New Roman" w:hAnsi="Times New Roman" w:cs="Times New Roman"/>
                <w:bCs/>
                <w:sz w:val="19"/>
                <w:szCs w:val="19"/>
              </w:rPr>
              <w:t>45.1</w:t>
            </w:r>
          </w:p>
        </w:tc>
        <w:tc>
          <w:tcPr>
            <w:tcW w:w="988" w:type="dxa"/>
            <w:tcBorders>
              <w:bottom w:val="single" w:sz="4" w:space="0" w:color="auto"/>
            </w:tcBorders>
          </w:tcPr>
          <w:p w14:paraId="2DD0FB22" w14:textId="77777777" w:rsidR="00EC55EB" w:rsidRPr="006D7720" w:rsidRDefault="00EC55EB" w:rsidP="00082AE8">
            <w:pPr>
              <w:spacing w:before="100" w:after="100"/>
              <w:ind w:right="60"/>
              <w:jc w:val="right"/>
              <w:rPr>
                <w:rFonts w:ascii="Times New Roman" w:hAnsi="Times New Roman" w:cs="Times New Roman"/>
                <w:bCs/>
                <w:sz w:val="19"/>
                <w:szCs w:val="19"/>
              </w:rPr>
            </w:pPr>
            <w:r>
              <w:rPr>
                <w:rFonts w:ascii="Times New Roman" w:hAnsi="Times New Roman" w:cs="Times New Roman"/>
                <w:bCs/>
                <w:sz w:val="19"/>
                <w:szCs w:val="19"/>
              </w:rPr>
              <w:t>126.6</w:t>
            </w:r>
          </w:p>
        </w:tc>
        <w:tc>
          <w:tcPr>
            <w:tcW w:w="1074" w:type="dxa"/>
            <w:tcBorders>
              <w:bottom w:val="single" w:sz="4" w:space="0" w:color="auto"/>
            </w:tcBorders>
          </w:tcPr>
          <w:p w14:paraId="453F2563" w14:textId="77777777" w:rsidR="00EC55EB" w:rsidRPr="006D7720" w:rsidRDefault="00EC55EB" w:rsidP="00082AE8">
            <w:pPr>
              <w:spacing w:before="100" w:after="100"/>
              <w:ind w:right="60"/>
              <w:jc w:val="right"/>
              <w:rPr>
                <w:rFonts w:ascii="Times New Roman" w:hAnsi="Times New Roman" w:cs="Times New Roman"/>
                <w:bCs/>
                <w:sz w:val="19"/>
                <w:szCs w:val="19"/>
              </w:rPr>
            </w:pPr>
            <w:r>
              <w:rPr>
                <w:rFonts w:ascii="Times New Roman" w:hAnsi="Times New Roman" w:cs="Times New Roman"/>
                <w:bCs/>
                <w:sz w:val="19"/>
                <w:szCs w:val="19"/>
              </w:rPr>
              <w:t>434.1</w:t>
            </w:r>
          </w:p>
        </w:tc>
        <w:tc>
          <w:tcPr>
            <w:tcW w:w="1041" w:type="dxa"/>
            <w:tcBorders>
              <w:bottom w:val="single" w:sz="4" w:space="0" w:color="auto"/>
            </w:tcBorders>
          </w:tcPr>
          <w:p w14:paraId="228A1F3C" w14:textId="77777777" w:rsidR="00EC55EB" w:rsidRPr="006D7720" w:rsidRDefault="00EC55EB" w:rsidP="00082AE8">
            <w:pPr>
              <w:spacing w:before="100" w:after="100"/>
              <w:ind w:left="-144" w:right="120"/>
              <w:jc w:val="right"/>
              <w:rPr>
                <w:rFonts w:ascii="Times New Roman" w:hAnsi="Times New Roman" w:cs="Times New Roman"/>
                <w:bCs/>
                <w:sz w:val="19"/>
                <w:szCs w:val="19"/>
              </w:rPr>
            </w:pPr>
            <w:r>
              <w:rPr>
                <w:rFonts w:ascii="Times New Roman" w:hAnsi="Times New Roman" w:cs="Times New Roman"/>
                <w:bCs/>
                <w:sz w:val="19"/>
                <w:szCs w:val="19"/>
              </w:rPr>
              <w:t>-7.2</w:t>
            </w:r>
          </w:p>
        </w:tc>
        <w:tc>
          <w:tcPr>
            <w:tcW w:w="1111" w:type="dxa"/>
            <w:gridSpan w:val="2"/>
            <w:tcBorders>
              <w:bottom w:val="single" w:sz="4" w:space="0" w:color="auto"/>
            </w:tcBorders>
          </w:tcPr>
          <w:p w14:paraId="27DCF33A" w14:textId="77777777" w:rsidR="00EC55EB" w:rsidRPr="006D7720" w:rsidRDefault="00EC55EB" w:rsidP="00082AE8">
            <w:pPr>
              <w:spacing w:before="100" w:after="100"/>
              <w:ind w:left="-144" w:right="120"/>
              <w:jc w:val="right"/>
              <w:rPr>
                <w:rFonts w:ascii="Times New Roman" w:hAnsi="Times New Roman" w:cs="Times New Roman"/>
                <w:bCs/>
                <w:sz w:val="19"/>
                <w:szCs w:val="19"/>
              </w:rPr>
            </w:pPr>
            <w:r>
              <w:rPr>
                <w:rFonts w:ascii="Times New Roman" w:hAnsi="Times New Roman" w:cs="Times New Roman"/>
                <w:bCs/>
                <w:sz w:val="19"/>
                <w:szCs w:val="19"/>
              </w:rPr>
              <w:t>-12.7</w:t>
            </w:r>
          </w:p>
        </w:tc>
        <w:tc>
          <w:tcPr>
            <w:tcW w:w="1111" w:type="dxa"/>
            <w:gridSpan w:val="2"/>
            <w:tcBorders>
              <w:bottom w:val="single" w:sz="4" w:space="0" w:color="auto"/>
            </w:tcBorders>
          </w:tcPr>
          <w:p w14:paraId="626BB4E9" w14:textId="77777777" w:rsidR="00EC55EB" w:rsidRPr="006D7720" w:rsidRDefault="00EC55EB" w:rsidP="00082AE8">
            <w:pPr>
              <w:spacing w:before="100" w:after="100"/>
              <w:ind w:left="-144" w:right="120"/>
              <w:jc w:val="right"/>
              <w:rPr>
                <w:rFonts w:ascii="Times New Roman" w:hAnsi="Times New Roman" w:cs="Times New Roman"/>
                <w:bCs/>
                <w:sz w:val="19"/>
                <w:szCs w:val="19"/>
              </w:rPr>
            </w:pPr>
            <w:r>
              <w:rPr>
                <w:rFonts w:ascii="Times New Roman" w:hAnsi="Times New Roman" w:cs="Times New Roman"/>
                <w:bCs/>
                <w:sz w:val="19"/>
                <w:szCs w:val="19"/>
              </w:rPr>
              <w:t>-16.8</w:t>
            </w:r>
          </w:p>
        </w:tc>
      </w:tr>
    </w:tbl>
    <w:p w14:paraId="0C965C3A" w14:textId="77777777" w:rsidR="00EC55EB" w:rsidRDefault="00EC55EB" w:rsidP="00FA1162">
      <w:pPr>
        <w:spacing w:after="120" w:line="262" w:lineRule="auto"/>
        <w:ind w:firstLine="567"/>
        <w:jc w:val="both"/>
        <w:rPr>
          <w:rFonts w:ascii="Times New Roman" w:hAnsi="Times New Roman" w:cs="Times New Roman"/>
          <w:bCs/>
          <w:sz w:val="28"/>
          <w:szCs w:val="28"/>
          <w:lang w:val="it-IT"/>
        </w:rPr>
      </w:pPr>
    </w:p>
    <w:p w14:paraId="1FA52C47" w14:textId="552828A7" w:rsidR="00CB4A70" w:rsidRPr="00DC0CA9" w:rsidRDefault="00417D8F" w:rsidP="00FA1162">
      <w:pPr>
        <w:spacing w:after="120" w:line="262" w:lineRule="auto"/>
        <w:ind w:firstLine="567"/>
        <w:jc w:val="both"/>
        <w:rPr>
          <w:rFonts w:ascii="Times New Roman" w:hAnsi="Times New Roman" w:cs="Times New Roman"/>
          <w:bCs/>
          <w:iCs/>
          <w:sz w:val="28"/>
          <w:szCs w:val="28"/>
          <w:lang w:val="fr-FR"/>
        </w:rPr>
      </w:pPr>
      <w:r w:rsidRPr="002F7704">
        <w:rPr>
          <w:rFonts w:ascii="Times New Roman" w:hAnsi="Times New Roman" w:cs="Times New Roman"/>
          <w:spacing w:val="-4"/>
          <w:sz w:val="28"/>
          <w:szCs w:val="28"/>
          <w:lang w:val="fr-FR"/>
        </w:rPr>
        <w:t>Generally, for the whole year 2021, passenger carried reached 2,387.3 million passengers, a decrease of 33% over the same period last year (in 2020 down 29.6%), the passenger traffic gained 94.7 billion passengers-km, went down 42% (in 2020 decreased by 34.1 %).</w:t>
      </w:r>
      <w:r w:rsidR="002E129A">
        <w:rPr>
          <w:rFonts w:ascii="Times New Roman" w:hAnsi="Times New Roman" w:cs="Times New Roman"/>
          <w:spacing w:val="-4"/>
          <w:sz w:val="28"/>
          <w:szCs w:val="28"/>
          <w:lang w:val="vi-VN"/>
        </w:rPr>
        <w:t xml:space="preserve"> </w:t>
      </w:r>
      <w:r w:rsidR="00924884">
        <w:rPr>
          <w:rFonts w:ascii="Times New Roman" w:hAnsi="Times New Roman" w:cs="Times New Roman"/>
          <w:spacing w:val="-4"/>
          <w:sz w:val="28"/>
          <w:szCs w:val="28"/>
          <w:lang w:val="fr-FR"/>
        </w:rPr>
        <w:t>F</w:t>
      </w:r>
      <w:r w:rsidR="00924884" w:rsidRPr="007A574F">
        <w:rPr>
          <w:rFonts w:ascii="Times New Roman" w:hAnsi="Times New Roman" w:cs="Times New Roman"/>
          <w:spacing w:val="-4"/>
          <w:sz w:val="28"/>
          <w:szCs w:val="28"/>
          <w:lang w:val="fr-FR"/>
        </w:rPr>
        <w:t>reight carried reached 1,620.5 million tons, down 8.7% against the last year (in 2020 decreased by 5.2%), freight traffic gained 333.4 billion tons-km, down 1.8% (the same period of 2020 decreased by 6.7%).</w:t>
      </w:r>
    </w:p>
    <w:p w14:paraId="1F9E2081" w14:textId="18A37AFB" w:rsidR="00CB4A70" w:rsidRPr="00DC0CA9" w:rsidRDefault="002D5745" w:rsidP="00F67D13">
      <w:pPr>
        <w:spacing w:before="40" w:after="40" w:line="278" w:lineRule="auto"/>
        <w:ind w:firstLine="567"/>
        <w:jc w:val="both"/>
        <w:rPr>
          <w:rFonts w:ascii="Times New Roman" w:eastAsia="Calibri" w:hAnsi="Times New Roman" w:cs="Times New Roman"/>
          <w:sz w:val="28"/>
          <w:szCs w:val="28"/>
          <w:lang w:val="vi-VN"/>
        </w:rPr>
      </w:pPr>
      <w:r w:rsidRPr="002D5745">
        <w:rPr>
          <w:rFonts w:ascii="Times New Roman" w:eastAsia="Calibri" w:hAnsi="Times New Roman" w:cs="Times New Roman"/>
          <w:sz w:val="28"/>
          <w:szCs w:val="28"/>
          <w:lang w:val="vi-VN"/>
        </w:rPr>
        <w:t xml:space="preserve">Telecommunications revenue </w:t>
      </w:r>
      <w:r w:rsidR="00F67D13" w:rsidRPr="00DD0279">
        <w:rPr>
          <w:rFonts w:ascii="Times New Roman" w:eastAsia="Calibri" w:hAnsi="Times New Roman" w:cs="Times New Roman"/>
          <w:iCs/>
          <w:sz w:val="28"/>
          <w:szCs w:val="28"/>
          <w:lang w:val="vi-VN"/>
        </w:rPr>
        <w:t xml:space="preserve">was estimated to reach 314.8 trillion VND, decreased by 0.1% compared to last year (if excluding the price factor, the increase was 0.3%). </w:t>
      </w:r>
      <w:r w:rsidR="004225BE" w:rsidRPr="00DD0279">
        <w:rPr>
          <w:rFonts w:ascii="Times New Roman" w:eastAsia="Calibri" w:hAnsi="Times New Roman" w:cs="Times New Roman"/>
          <w:iCs/>
          <w:sz w:val="28"/>
          <w:szCs w:val="28"/>
          <w:lang w:val="vi-VN"/>
        </w:rPr>
        <w:t>The total number of telephone subscribers by the end of December  2021 was estimated at 130.3 million subscribers, an increase of 2.7% compared to the same period last year, of which mobile phone subscribers reached 127.2 million subscribers, rising by 2.8%</w:t>
      </w:r>
      <w:r w:rsidR="00302530" w:rsidRPr="00DC0CA9">
        <w:rPr>
          <w:rFonts w:ascii="Times New Roman" w:eastAsia="Calibri" w:hAnsi="Times New Roman" w:cs="Times New Roman"/>
          <w:sz w:val="28"/>
          <w:szCs w:val="28"/>
          <w:lang w:val="en-IN"/>
        </w:rPr>
        <w:t xml:space="preserve">; </w:t>
      </w:r>
      <w:r w:rsidR="00F673A6" w:rsidRPr="00DD0279">
        <w:rPr>
          <w:rFonts w:ascii="Times New Roman" w:eastAsia="Calibri" w:hAnsi="Times New Roman" w:cs="Times New Roman"/>
          <w:iCs/>
          <w:sz w:val="28"/>
          <w:szCs w:val="28"/>
          <w:lang w:val="vi-VN"/>
        </w:rPr>
        <w:t>The number of fixed broadband internet subscribers</w:t>
      </w:r>
      <w:r w:rsidR="00CB4A70" w:rsidRPr="00DC0CA9">
        <w:rPr>
          <w:rFonts w:ascii="Times New Roman" w:eastAsia="Calibri" w:hAnsi="Times New Roman" w:cs="Times New Roman"/>
          <w:sz w:val="28"/>
          <w:szCs w:val="28"/>
          <w:lang w:val="vi-VN"/>
        </w:rPr>
        <w:t xml:space="preserve"> </w:t>
      </w:r>
      <w:r w:rsidR="00FA528F" w:rsidRPr="00DD0279">
        <w:rPr>
          <w:rFonts w:ascii="Times New Roman" w:eastAsia="Calibri" w:hAnsi="Times New Roman" w:cs="Times New Roman"/>
          <w:iCs/>
          <w:sz w:val="28"/>
          <w:szCs w:val="28"/>
          <w:lang w:val="vi-VN"/>
        </w:rPr>
        <w:t>recorded 19.3 million subscribers, up 15.6%</w:t>
      </w:r>
    </w:p>
    <w:p w14:paraId="1DB1BEF5" w14:textId="77777777" w:rsidR="00551B4E" w:rsidRDefault="0041654A" w:rsidP="00551B4E">
      <w:pPr>
        <w:pStyle w:val="ListParagraph"/>
        <w:tabs>
          <w:tab w:val="left" w:pos="567"/>
        </w:tabs>
        <w:spacing w:before="40" w:after="40" w:line="281" w:lineRule="auto"/>
        <w:ind w:left="0" w:right="79" w:firstLine="567"/>
        <w:jc w:val="both"/>
        <w:rPr>
          <w:rFonts w:ascii="Times New Roman" w:hAnsi="Times New Roman" w:cs="Times New Roman"/>
          <w:sz w:val="28"/>
          <w:szCs w:val="28"/>
          <w:lang w:val="pt-BR"/>
        </w:rPr>
      </w:pPr>
      <w:r w:rsidRPr="00C97061">
        <w:rPr>
          <w:rFonts w:ascii="Times New Roman" w:hAnsi="Times New Roman" w:cs="Times New Roman"/>
          <w:sz w:val="28"/>
          <w:szCs w:val="28"/>
          <w:lang w:val="vi-VN"/>
        </w:rPr>
        <w:t xml:space="preserve">international visitors to Viet Nam was estimated at 157.3 thousand arrivals, down 95.9% compared to last year, of which: Visitors coming by airway gained 111.1 thousand persons, accounting for 70.6% of the number of international visitors to Viet Nam, dropped by 96.4%; by roadway achieved 45.6 thousand arrivals, accounted for 29% and went down by 92.5%; by seaway achieved 614 </w:t>
      </w:r>
      <w:r w:rsidRPr="00C97061">
        <w:rPr>
          <w:rFonts w:ascii="Times New Roman" w:hAnsi="Times New Roman" w:cs="Times New Roman"/>
          <w:sz w:val="28"/>
          <w:szCs w:val="28"/>
          <w:lang w:val="vi-VN"/>
        </w:rPr>
        <w:lastRenderedPageBreak/>
        <w:t>arrivals, accounted for 0.4% and decreased nearly by 99.6%.</w:t>
      </w:r>
      <w:r w:rsidR="00C23F2D">
        <w:rPr>
          <w:rFonts w:ascii="Times New Roman" w:hAnsi="Times New Roman" w:cs="Times New Roman"/>
          <w:sz w:val="28"/>
          <w:szCs w:val="28"/>
          <w:lang w:val="vi-VN"/>
        </w:rPr>
        <w:t xml:space="preserve"> </w:t>
      </w:r>
      <w:r w:rsidR="00551B4E" w:rsidRPr="003008A7">
        <w:rPr>
          <w:rFonts w:ascii="Times New Roman" w:hAnsi="Times New Roman" w:cs="Times New Roman"/>
          <w:sz w:val="28"/>
          <w:szCs w:val="28"/>
          <w:lang w:val="pt-BR"/>
        </w:rPr>
        <w:t xml:space="preserve">Visitors from Asia reached 132.8 thousand arrivals, accounting for 84.5% of the total number of international visitors to our country, down 95.3% over the previous year; visitors from Europe reached 16.0 thousand arrivals, down 97.6%; visitors from the Americas reached 5.8 thousand arrivals, down 97.6%; visitors from </w:t>
      </w:r>
      <w:r w:rsidR="00551B4E">
        <w:rPr>
          <w:rFonts w:ascii="Times New Roman" w:hAnsi="Times New Roman" w:cs="Times New Roman"/>
          <w:sz w:val="28"/>
          <w:szCs w:val="28"/>
          <w:lang w:val="pt-BR"/>
        </w:rPr>
        <w:t>Oceania</w:t>
      </w:r>
      <w:r w:rsidR="00551B4E" w:rsidRPr="003008A7">
        <w:rPr>
          <w:rFonts w:ascii="Times New Roman" w:hAnsi="Times New Roman" w:cs="Times New Roman"/>
          <w:sz w:val="28"/>
          <w:szCs w:val="28"/>
          <w:lang w:val="pt-BR"/>
        </w:rPr>
        <w:t xml:space="preserve"> reached 1.3 thousand arrivals, down 98.8%; visitors from Africa reached 1.4 thousand arrivals, down 88.6%.</w:t>
      </w:r>
    </w:p>
    <w:p w14:paraId="69068A9C" w14:textId="75EFA157" w:rsidR="00A24D42" w:rsidRPr="00A24D42" w:rsidRDefault="00CE3C6E" w:rsidP="00FA1162">
      <w:pPr>
        <w:shd w:val="clear" w:color="auto" w:fill="FFFFFF"/>
        <w:spacing w:after="120" w:line="360" w:lineRule="exact"/>
        <w:ind w:firstLine="567"/>
        <w:jc w:val="both"/>
        <w:rPr>
          <w:rFonts w:ascii="Times New Roman" w:hAnsi="Times New Roman" w:cs="Times New Roman"/>
          <w:b/>
          <w:i/>
          <w:sz w:val="28"/>
          <w:szCs w:val="28"/>
          <w:lang w:val="pl-PL"/>
        </w:rPr>
      </w:pPr>
      <w:r w:rsidRPr="003D381C">
        <w:rPr>
          <w:rFonts w:ascii="Times New Roman" w:hAnsi="Times New Roman" w:cs="Times New Roman"/>
          <w:b/>
          <w:bCs/>
          <w:i/>
          <w:sz w:val="28"/>
          <w:szCs w:val="28"/>
        </w:rPr>
        <w:t xml:space="preserve">6. </w:t>
      </w:r>
      <w:r w:rsidR="006B152F" w:rsidRPr="006B152F">
        <w:rPr>
          <w:rFonts w:ascii="Times New Roman" w:hAnsi="Times New Roman" w:cs="Times New Roman"/>
          <w:b/>
          <w:i/>
          <w:sz w:val="28"/>
          <w:szCs w:val="28"/>
          <w:lang w:val="pl-PL"/>
        </w:rPr>
        <w:t>In 2021, in the context of the economy facing many difficulties due to the impact of the Covid-19 epidemic, the State Bank of Vietnam adjusted interest rates appropriately, creating conditions for credit institutions to continue reducing lending interest rates, supporting the recovery of the economy. Stable insurance business; The stock market developed fast with a stock market capitalization in 2021 increased by 45.5% compared to the end of last year.</w:t>
      </w:r>
    </w:p>
    <w:p w14:paraId="3C67FD63" w14:textId="77777777" w:rsidR="00246669" w:rsidRPr="006B032F" w:rsidRDefault="00246669" w:rsidP="00246669">
      <w:pPr>
        <w:shd w:val="clear" w:color="auto" w:fill="FFFFFF"/>
        <w:spacing w:before="40" w:after="40" w:line="293" w:lineRule="auto"/>
        <w:ind w:firstLine="567"/>
        <w:jc w:val="both"/>
        <w:rPr>
          <w:rFonts w:ascii="Times New Roman" w:hAnsi="Times New Roman" w:cs="Times New Roman"/>
          <w:spacing w:val="-4"/>
          <w:sz w:val="28"/>
          <w:szCs w:val="28"/>
          <w:lang w:val="pl-PL" w:eastAsia="en-GB"/>
        </w:rPr>
      </w:pPr>
      <w:r w:rsidRPr="00B57B0B">
        <w:rPr>
          <w:rFonts w:ascii="Times New Roman" w:hAnsi="Times New Roman" w:cs="Times New Roman"/>
          <w:spacing w:val="-4"/>
          <w:sz w:val="28"/>
          <w:szCs w:val="28"/>
          <w:lang w:val="pl-PL" w:eastAsia="en-GB"/>
        </w:rPr>
        <w:t xml:space="preserve">As of December 24, 2021, the total </w:t>
      </w:r>
      <w:r>
        <w:rPr>
          <w:rFonts w:ascii="Times New Roman" w:hAnsi="Times New Roman" w:cs="Times New Roman"/>
          <w:spacing w:val="-4"/>
          <w:sz w:val="28"/>
          <w:szCs w:val="28"/>
          <w:lang w:val="pl-PL" w:eastAsia="en-GB"/>
        </w:rPr>
        <w:t>liquidity</w:t>
      </w:r>
      <w:r w:rsidRPr="00B57B0B">
        <w:rPr>
          <w:rFonts w:ascii="Times New Roman" w:hAnsi="Times New Roman" w:cs="Times New Roman"/>
          <w:spacing w:val="-4"/>
          <w:sz w:val="28"/>
          <w:szCs w:val="28"/>
          <w:lang w:val="pl-PL" w:eastAsia="en-GB"/>
        </w:rPr>
        <w:t xml:space="preserve"> increased by 8.93% compared to the end of 2020; capital mobilization from credit institutions increased by 8.44%; credit growth of the economy reached 12.97%.</w:t>
      </w:r>
    </w:p>
    <w:p w14:paraId="31404A86" w14:textId="533A0739" w:rsidR="000F775A" w:rsidRPr="001201D7" w:rsidRDefault="00D87296" w:rsidP="00FA1162">
      <w:pPr>
        <w:shd w:val="clear" w:color="auto" w:fill="FFFFFF"/>
        <w:spacing w:after="120" w:line="360" w:lineRule="exact"/>
        <w:ind w:firstLine="567"/>
        <w:jc w:val="both"/>
        <w:rPr>
          <w:rFonts w:ascii="Times New Roman" w:hAnsi="Times New Roman" w:cs="Times New Roman"/>
          <w:spacing w:val="-6"/>
          <w:sz w:val="28"/>
          <w:szCs w:val="28"/>
          <w:lang w:val="vi-VN"/>
        </w:rPr>
      </w:pPr>
      <w:r w:rsidRPr="00EB42FD">
        <w:rPr>
          <w:rFonts w:ascii="Times New Roman" w:hAnsi="Times New Roman" w:cs="Times New Roman"/>
          <w:spacing w:val="-6"/>
          <w:sz w:val="28"/>
          <w:szCs w:val="28"/>
          <w:lang w:val="it-IT"/>
        </w:rPr>
        <w:t>the premium revenue of the entire insurance market increased by 15.6% compared to the previous year</w:t>
      </w:r>
      <w:r w:rsidR="000F775A" w:rsidRPr="00DC0CA9">
        <w:rPr>
          <w:rFonts w:ascii="Times New Roman" w:hAnsi="Times New Roman" w:cs="Times New Roman"/>
          <w:spacing w:val="-6"/>
          <w:sz w:val="28"/>
          <w:szCs w:val="28"/>
          <w:lang w:val="it-IT"/>
        </w:rPr>
        <w:t xml:space="preserve">, </w:t>
      </w:r>
      <w:r w:rsidR="005F0A17" w:rsidRPr="00EB42FD">
        <w:rPr>
          <w:rFonts w:ascii="Times New Roman" w:hAnsi="Times New Roman" w:cs="Times New Roman"/>
          <w:spacing w:val="-6"/>
          <w:sz w:val="28"/>
          <w:szCs w:val="28"/>
          <w:lang w:val="it-IT"/>
        </w:rPr>
        <w:t>of which the premium revenue from life insurance increased by 21.7%; the non-life insurance increased by 1.7%.</w:t>
      </w:r>
      <w:r w:rsidR="000F775A" w:rsidRPr="00DC0CA9">
        <w:rPr>
          <w:rFonts w:ascii="Times New Roman" w:hAnsi="Times New Roman" w:cs="Times New Roman"/>
          <w:spacing w:val="-6"/>
          <w:sz w:val="28"/>
          <w:szCs w:val="28"/>
          <w:lang w:val="it-IT"/>
        </w:rPr>
        <w:t xml:space="preserve"> (</w:t>
      </w:r>
      <w:r w:rsidR="001201D7">
        <w:rPr>
          <w:rFonts w:ascii="Times New Roman" w:hAnsi="Times New Roman" w:cs="Times New Roman"/>
          <w:spacing w:val="-6"/>
          <w:sz w:val="28"/>
          <w:szCs w:val="28"/>
          <w:lang w:val="it-IT"/>
        </w:rPr>
        <w:t>I</w:t>
      </w:r>
      <w:r w:rsidR="001201D7" w:rsidRPr="00EB42FD">
        <w:rPr>
          <w:rFonts w:ascii="Times New Roman" w:hAnsi="Times New Roman" w:cs="Times New Roman"/>
          <w:spacing w:val="-6"/>
          <w:sz w:val="28"/>
          <w:szCs w:val="28"/>
          <w:lang w:val="it-IT"/>
        </w:rPr>
        <w:t>n the fourth quarter of 2021 was estimated to increase by 14.8% over the same period last year, of which premium revenue from life insurance was up 20.9%, the non-life insurance down 2.6%</w:t>
      </w:r>
      <w:r w:rsidR="001201D7">
        <w:rPr>
          <w:rFonts w:ascii="Times New Roman" w:hAnsi="Times New Roman" w:cs="Times New Roman"/>
          <w:spacing w:val="-6"/>
          <w:sz w:val="28"/>
          <w:szCs w:val="28"/>
          <w:lang w:val="vi-VN"/>
        </w:rPr>
        <w:t>).</w:t>
      </w:r>
    </w:p>
    <w:p w14:paraId="7F44ED08" w14:textId="33C80246" w:rsidR="003D381C" w:rsidRDefault="003239D7" w:rsidP="003239D7">
      <w:pPr>
        <w:tabs>
          <w:tab w:val="left" w:pos="840"/>
        </w:tabs>
        <w:spacing w:before="40" w:after="40" w:line="23" w:lineRule="atLeast"/>
        <w:ind w:firstLine="567"/>
        <w:jc w:val="both"/>
        <w:rPr>
          <w:rFonts w:ascii="Times New Roman" w:hAnsi="Times New Roman" w:cs="Times New Roman"/>
          <w:sz w:val="28"/>
          <w:szCs w:val="28"/>
          <w:lang w:val="sv-SE"/>
        </w:rPr>
      </w:pPr>
      <w:r w:rsidRPr="00184C1D">
        <w:rPr>
          <w:rFonts w:ascii="Times New Roman" w:hAnsi="Times New Roman" w:cs="Times New Roman"/>
          <w:iCs/>
          <w:sz w:val="28"/>
          <w:szCs w:val="28"/>
          <w:lang w:val="sv-SE"/>
        </w:rPr>
        <w:t>The stock market developed strongly despite the complicated ongoing Covid-19 pandemic. In 2021, Vietnam's stock market recorded many new records: VNIndex reached 1,500 points; The wave of investor entry increased sharply (by the end of November 2021, the number of investor accounts reached 4.08 million accounts, an increase of 47.3% compared to the end of 2020).</w:t>
      </w:r>
      <w:r>
        <w:rPr>
          <w:rFonts w:ascii="Times New Roman" w:hAnsi="Times New Roman" w:cs="Times New Roman"/>
          <w:iCs/>
          <w:sz w:val="28"/>
          <w:szCs w:val="28"/>
          <w:lang w:val="vi-VN"/>
        </w:rPr>
        <w:t xml:space="preserve"> </w:t>
      </w:r>
      <w:r w:rsidR="00BA131A">
        <w:rPr>
          <w:rFonts w:ascii="Times New Roman" w:hAnsi="Times New Roman" w:cs="Times New Roman"/>
          <w:iCs/>
          <w:sz w:val="28"/>
          <w:szCs w:val="28"/>
          <w:lang w:val="sv-SE"/>
        </w:rPr>
        <w:t>A</w:t>
      </w:r>
      <w:r w:rsidR="00EF28EA" w:rsidRPr="00184C1D">
        <w:rPr>
          <w:rFonts w:ascii="Times New Roman" w:hAnsi="Times New Roman" w:cs="Times New Roman"/>
          <w:iCs/>
          <w:sz w:val="28"/>
          <w:szCs w:val="28"/>
          <w:lang w:val="sv-SE"/>
        </w:rPr>
        <w:t>s of 27/12/2021, the VNIndex reached 1,488.88 points, up 34.9% compared to the end of 2020; market capitalization reached 7,702 trillion VND, rose by 45.5%; The average transaction value from the beginning of the year to now (s of December 27, 2021) reached 26,526 billion VND/session, peak up by 257.5% compared to the previous year's average.</w:t>
      </w:r>
      <w:r w:rsidR="00EF28EA">
        <w:rPr>
          <w:rFonts w:ascii="Times New Roman" w:hAnsi="Times New Roman" w:cs="Times New Roman"/>
          <w:iCs/>
          <w:sz w:val="28"/>
          <w:szCs w:val="28"/>
          <w:lang w:val="vi-VN"/>
        </w:rPr>
        <w:t xml:space="preserve"> </w:t>
      </w:r>
      <w:r w:rsidR="00CE520B" w:rsidRPr="00184C1D">
        <w:rPr>
          <w:rFonts w:ascii="Times New Roman" w:hAnsi="Times New Roman" w:cs="Times New Roman"/>
          <w:i/>
          <w:sz w:val="28"/>
          <w:szCs w:val="28"/>
          <w:lang w:val="sv-SE"/>
        </w:rPr>
        <w:t>On the bond market,</w:t>
      </w:r>
      <w:r w:rsidR="00CE520B" w:rsidRPr="00184C1D">
        <w:rPr>
          <w:rFonts w:ascii="Times New Roman" w:hAnsi="Times New Roman" w:cs="Times New Roman"/>
          <w:iCs/>
          <w:sz w:val="28"/>
          <w:szCs w:val="28"/>
          <w:lang w:val="sv-SE"/>
        </w:rPr>
        <w:t xml:space="preserve"> there were 430 listed bond codes, with a value of 1,511 trillion VND, up 8.9% compared to the end of 2020. The average trading value from the beginning of the year to 27/12/2021 reached 11,421 billion VND/session, up 9.9% compared to the average in 2020.</w:t>
      </w:r>
      <w:r w:rsidR="008A18EA">
        <w:rPr>
          <w:rFonts w:ascii="Times New Roman" w:hAnsi="Times New Roman" w:cs="Times New Roman"/>
          <w:sz w:val="28"/>
          <w:szCs w:val="28"/>
          <w:lang w:val="sv-SE"/>
        </w:rPr>
        <w:t xml:space="preserve"> </w:t>
      </w:r>
      <w:r w:rsidR="00E667F4" w:rsidRPr="00184C1D">
        <w:rPr>
          <w:rFonts w:ascii="Times New Roman" w:hAnsi="Times New Roman" w:cs="Times New Roman"/>
          <w:i/>
          <w:sz w:val="28"/>
          <w:szCs w:val="28"/>
          <w:lang w:val="sv-SE"/>
        </w:rPr>
        <w:t>On the derivatives market</w:t>
      </w:r>
      <w:r w:rsidR="00E667F4" w:rsidRPr="00184C1D">
        <w:rPr>
          <w:rFonts w:ascii="Times New Roman" w:hAnsi="Times New Roman" w:cs="Times New Roman"/>
          <w:iCs/>
          <w:sz w:val="28"/>
          <w:szCs w:val="28"/>
          <w:lang w:val="sv-SE"/>
        </w:rPr>
        <w:t>,</w:t>
      </w:r>
      <w:r w:rsidR="003D381C" w:rsidRPr="003D381C">
        <w:rPr>
          <w:rFonts w:ascii="Times New Roman" w:hAnsi="Times New Roman" w:cs="Times New Roman"/>
          <w:sz w:val="28"/>
          <w:szCs w:val="28"/>
          <w:lang w:val="sv-SE"/>
        </w:rPr>
        <w:t xml:space="preserve"> </w:t>
      </w:r>
      <w:r w:rsidR="009A7960" w:rsidRPr="00184C1D">
        <w:rPr>
          <w:rFonts w:ascii="Times New Roman" w:hAnsi="Times New Roman" w:cs="Times New Roman"/>
          <w:iCs/>
          <w:sz w:val="28"/>
          <w:szCs w:val="28"/>
          <w:lang w:val="sv-SE"/>
        </w:rPr>
        <w:t>the average trading volume of futures contracts on the VN30 index reached 189,923 contracts/session, up 21% over the previous year</w:t>
      </w:r>
      <w:r w:rsidR="003D381C">
        <w:rPr>
          <w:rFonts w:ascii="Times New Roman" w:hAnsi="Times New Roman" w:cs="Times New Roman"/>
          <w:sz w:val="28"/>
          <w:szCs w:val="28"/>
          <w:lang w:val="sv-SE"/>
        </w:rPr>
        <w:t>.</w:t>
      </w:r>
    </w:p>
    <w:p w14:paraId="49C6CAC2" w14:textId="2802D88B" w:rsidR="004115BC" w:rsidRPr="00DC0CA9" w:rsidRDefault="004115BC" w:rsidP="00FA1162">
      <w:pPr>
        <w:spacing w:after="120" w:line="360" w:lineRule="exact"/>
        <w:ind w:firstLine="567"/>
        <w:jc w:val="both"/>
        <w:rPr>
          <w:rFonts w:ascii="Times New Roman" w:hAnsi="Times New Roman" w:cs="Times New Roman"/>
          <w:b/>
          <w:i/>
          <w:spacing w:val="-4"/>
          <w:sz w:val="28"/>
          <w:szCs w:val="28"/>
          <w:lang w:val="de-DE"/>
        </w:rPr>
      </w:pPr>
      <w:r w:rsidRPr="00DC0CA9">
        <w:rPr>
          <w:rFonts w:ascii="Times New Roman" w:hAnsi="Times New Roman" w:cs="Times New Roman"/>
          <w:b/>
          <w:i/>
          <w:spacing w:val="-4"/>
          <w:sz w:val="28"/>
          <w:szCs w:val="28"/>
          <w:lang w:val="de-DE"/>
        </w:rPr>
        <w:t xml:space="preserve">7. </w:t>
      </w:r>
      <w:r w:rsidR="00B850A2" w:rsidRPr="00B850A2">
        <w:rPr>
          <w:rFonts w:ascii="Times New Roman" w:hAnsi="Times New Roman" w:cs="Times New Roman"/>
          <w:b/>
          <w:i/>
          <w:spacing w:val="-4"/>
          <w:sz w:val="28"/>
          <w:szCs w:val="28"/>
          <w:lang w:val="de-DE"/>
        </w:rPr>
        <w:t xml:space="preserve">The investment at current prices in 2021 increased by 3.2% over the previous year. Although this is the lowest increase  in many years, it is a positive result in the complex context of the Covid-19 epidemic in the country and the </w:t>
      </w:r>
      <w:r w:rsidR="00B850A2" w:rsidRPr="00B850A2">
        <w:rPr>
          <w:rFonts w:ascii="Times New Roman" w:hAnsi="Times New Roman" w:cs="Times New Roman"/>
          <w:b/>
          <w:i/>
          <w:spacing w:val="-4"/>
          <w:sz w:val="28"/>
          <w:szCs w:val="28"/>
          <w:lang w:val="de-DE"/>
        </w:rPr>
        <w:lastRenderedPageBreak/>
        <w:t>world. Foreign direct investment (FDI) attraction recovered, newly registered and additionally registered capital increased again, showing that foreign investors believe in Vietnam's investment environment.</w:t>
      </w:r>
    </w:p>
    <w:p w14:paraId="430FBB4C" w14:textId="77777777" w:rsidR="00535575" w:rsidRDefault="00535575" w:rsidP="00535575">
      <w:pPr>
        <w:spacing w:before="40" w:after="40"/>
        <w:ind w:firstLine="567"/>
        <w:jc w:val="both"/>
        <w:rPr>
          <w:rFonts w:ascii="Arial" w:hAnsi="Arial" w:cs="Arial"/>
          <w:b/>
          <w:bCs/>
          <w:sz w:val="24"/>
          <w:lang w:val="de-DE"/>
        </w:rPr>
      </w:pPr>
      <w:r>
        <w:rPr>
          <w:rFonts w:ascii="Times New Roman" w:hAnsi="Times New Roman" w:cs="Times New Roman"/>
          <w:iCs/>
          <w:sz w:val="28"/>
          <w:szCs w:val="28"/>
          <w:lang w:val="de-DE"/>
        </w:rPr>
        <w:t>Generally, in 2021, the investment at current prices estimated at 2,891.9 trillion VND, increasing by 3.2% over the last year, of which: the investment capital of the State sector reached 713.6 trillion VND, representing 24.7% of the total capital and decreasing by 2.9% compared to the same period last year; the non-State sector gained 1,720.2 trillion VND, accounting for 59.5% and rising by 7.2%; the foreign direct investment recorded 458.1 trillion VND, accounting for 15.8% and decreasing by 1.1%.</w:t>
      </w:r>
    </w:p>
    <w:p w14:paraId="74F3B241" w14:textId="2352C5F1" w:rsidR="00A2027E" w:rsidRPr="00DC0CA9" w:rsidRDefault="003F2301" w:rsidP="003F2301">
      <w:pPr>
        <w:spacing w:before="40" w:after="40" w:line="288" w:lineRule="auto"/>
        <w:ind w:firstLine="567"/>
        <w:jc w:val="both"/>
        <w:rPr>
          <w:rFonts w:ascii="Times New Roman" w:hAnsi="Times New Roman" w:cs="Times New Roman"/>
          <w:sz w:val="28"/>
          <w:szCs w:val="28"/>
          <w:lang w:val="en-US"/>
        </w:rPr>
      </w:pPr>
      <w:r>
        <w:rPr>
          <w:rFonts w:ascii="Times New Roman" w:hAnsi="Times New Roman" w:cs="Times New Roman"/>
          <w:i/>
          <w:iCs/>
          <w:spacing w:val="-6"/>
          <w:sz w:val="28"/>
          <w:szCs w:val="28"/>
        </w:rPr>
        <w:t>The registered capital of foreign investment in Vietnam from the beginning of the year to 20/12/2021</w:t>
      </w:r>
      <w:r>
        <w:rPr>
          <w:rStyle w:val="FootnoteReference"/>
          <w:i/>
          <w:iCs/>
          <w:spacing w:val="-6"/>
          <w:sz w:val="28"/>
          <w:szCs w:val="28"/>
          <w:lang w:val="de-DE"/>
        </w:rPr>
        <w:footnoteReference w:id="6"/>
      </w:r>
      <w:r>
        <w:rPr>
          <w:rFonts w:ascii="Times New Roman" w:hAnsi="Times New Roman" w:cs="Times New Roman"/>
          <w:i/>
          <w:iCs/>
          <w:spacing w:val="-6"/>
          <w:sz w:val="28"/>
          <w:szCs w:val="28"/>
          <w:lang w:val="vi-VN"/>
        </w:rPr>
        <w:t xml:space="preserve">, </w:t>
      </w:r>
      <w:r>
        <w:rPr>
          <w:rFonts w:ascii="Times New Roman" w:hAnsi="Times New Roman" w:cs="Times New Roman"/>
          <w:iCs/>
          <w:spacing w:val="-8"/>
          <w:sz w:val="28"/>
          <w:szCs w:val="28"/>
          <w:lang w:val="de-DE"/>
        </w:rPr>
        <w:t xml:space="preserve">including newly registered capital, adjust registered capital, and the total value of capital contribution and share purchases of foreign investors reached 31.15 billion USD, increased by 9.2% compared to the year 2020. </w:t>
      </w:r>
      <w:r w:rsidR="00506153">
        <w:rPr>
          <w:rFonts w:ascii="Times New Roman" w:hAnsi="Times New Roman" w:cs="Times New Roman"/>
          <w:iCs/>
          <w:spacing w:val="-8"/>
          <w:sz w:val="28"/>
          <w:szCs w:val="28"/>
          <w:lang w:val="de-DE"/>
        </w:rPr>
        <w:t xml:space="preserve">In the </w:t>
      </w:r>
      <w:r w:rsidR="00813D21" w:rsidRPr="00FE68BE">
        <w:rPr>
          <w:rFonts w:ascii="Times New Roman" w:hAnsi="Times New Roman" w:cs="Times New Roman"/>
          <w:i/>
          <w:spacing w:val="-4"/>
          <w:sz w:val="28"/>
          <w:szCs w:val="28"/>
          <w:lang w:val="de-DE"/>
        </w:rPr>
        <w:t>Capital contribution and share purchases</w:t>
      </w:r>
      <w:r w:rsidR="00813D21">
        <w:rPr>
          <w:rFonts w:ascii="Times New Roman" w:hAnsi="Times New Roman" w:cs="Times New Roman"/>
          <w:iCs/>
          <w:spacing w:val="-4"/>
          <w:sz w:val="28"/>
          <w:szCs w:val="28"/>
          <w:lang w:val="de-DE"/>
        </w:rPr>
        <w:t xml:space="preserve"> of foreign investors</w:t>
      </w:r>
      <w:r w:rsidR="00813D21" w:rsidRPr="00DC0CA9">
        <w:rPr>
          <w:rFonts w:ascii="Times New Roman" w:hAnsi="Times New Roman" w:cs="Times New Roman"/>
          <w:iCs/>
          <w:sz w:val="28"/>
          <w:szCs w:val="28"/>
          <w:lang w:val="de-DE"/>
        </w:rPr>
        <w:t xml:space="preserve"> </w:t>
      </w:r>
      <w:r w:rsidR="007B7CAC">
        <w:rPr>
          <w:rFonts w:ascii="Times New Roman" w:hAnsi="Times New Roman" w:cs="Times New Roman"/>
          <w:iCs/>
          <w:spacing w:val="-4"/>
          <w:sz w:val="28"/>
          <w:szCs w:val="28"/>
          <w:lang w:val="de-DE"/>
        </w:rPr>
        <w:t>including 1,535 turns of capital contribution, share purchase, causing the increase of charter capital of the enterprise with the value of contributed capital of 5.03 billion USD, and 2,262 turns of foreign investors repurchased domestic shares without increasing the charter capital with a value of 1.86 billion USD.</w:t>
      </w:r>
    </w:p>
    <w:p w14:paraId="3FC15089" w14:textId="16C31ADF" w:rsidR="00A2027E" w:rsidRDefault="006B2C2A" w:rsidP="006B2C2A">
      <w:pPr>
        <w:spacing w:before="120" w:after="0" w:line="240" w:lineRule="auto"/>
        <w:ind w:right="424" w:firstLine="720"/>
        <w:jc w:val="center"/>
        <w:rPr>
          <w:rFonts w:ascii="Arial" w:hAnsi="Arial" w:cs="Arial"/>
          <w:b/>
          <w:bCs/>
          <w:sz w:val="24"/>
          <w:lang w:val="de-DE"/>
        </w:rPr>
      </w:pPr>
      <w:r w:rsidRPr="006B2C2A">
        <w:rPr>
          <w:rFonts w:ascii="Arial" w:hAnsi="Arial" w:cs="Arial"/>
          <w:b/>
          <w:bCs/>
          <w:sz w:val="24"/>
          <w:lang w:val="de-DE"/>
        </w:rPr>
        <w:t>The foreign investment in Vietnam</w:t>
      </w:r>
      <w:r>
        <w:rPr>
          <w:rFonts w:ascii="Arial" w:hAnsi="Arial" w:cs="Arial"/>
          <w:b/>
          <w:bCs/>
          <w:sz w:val="24"/>
          <w:lang w:val="de-DE"/>
        </w:rPr>
        <w:t xml:space="preserve"> </w:t>
      </w:r>
      <w:r w:rsidRPr="006B2C2A">
        <w:rPr>
          <w:rFonts w:ascii="Arial" w:hAnsi="Arial" w:cs="Arial"/>
          <w:b/>
          <w:bCs/>
          <w:sz w:val="24"/>
          <w:lang w:val="de-DE"/>
        </w:rPr>
        <w:t>as of December 20, 2017-2021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964"/>
        <w:gridCol w:w="964"/>
        <w:gridCol w:w="964"/>
        <w:gridCol w:w="964"/>
        <w:gridCol w:w="964"/>
      </w:tblGrid>
      <w:tr w:rsidR="00D22425" w:rsidRPr="00DC0CA9" w14:paraId="1C8990F8" w14:textId="77777777" w:rsidTr="00D22425">
        <w:trPr>
          <w:trHeight w:val="270"/>
          <w:jc w:val="center"/>
        </w:trPr>
        <w:tc>
          <w:tcPr>
            <w:tcW w:w="3402" w:type="dxa"/>
            <w:tcBorders>
              <w:top w:val="single" w:sz="4" w:space="0" w:color="auto"/>
            </w:tcBorders>
          </w:tcPr>
          <w:p w14:paraId="4C47DD2A" w14:textId="77777777" w:rsidR="00D22425" w:rsidRPr="00DC0CA9" w:rsidRDefault="00D22425" w:rsidP="00082AE8">
            <w:pPr>
              <w:spacing w:before="60" w:after="60"/>
              <w:jc w:val="both"/>
              <w:rPr>
                <w:rFonts w:ascii="Arial" w:hAnsi="Arial" w:cs="Arial"/>
                <w:iCs/>
                <w:lang w:val="de-DE"/>
              </w:rPr>
            </w:pPr>
          </w:p>
        </w:tc>
        <w:tc>
          <w:tcPr>
            <w:tcW w:w="964" w:type="dxa"/>
            <w:tcBorders>
              <w:top w:val="single" w:sz="4" w:space="0" w:color="auto"/>
              <w:bottom w:val="single" w:sz="4" w:space="0" w:color="auto"/>
            </w:tcBorders>
            <w:vAlign w:val="center"/>
          </w:tcPr>
          <w:p w14:paraId="7BFC7669" w14:textId="77777777" w:rsidR="00D22425" w:rsidRPr="00DC0CA9" w:rsidRDefault="00D22425" w:rsidP="00082AE8">
            <w:pPr>
              <w:spacing w:before="60" w:after="60"/>
              <w:ind w:right="18"/>
              <w:jc w:val="right"/>
              <w:rPr>
                <w:rFonts w:ascii="Arial" w:hAnsi="Arial" w:cs="Arial"/>
                <w:iCs/>
                <w:lang w:val="de-DE"/>
              </w:rPr>
            </w:pPr>
            <w:r w:rsidRPr="00DC0CA9">
              <w:rPr>
                <w:rFonts w:ascii="Arial" w:hAnsi="Arial" w:cs="Arial"/>
                <w:iCs/>
                <w:lang w:val="de-DE"/>
              </w:rPr>
              <w:t>2017</w:t>
            </w:r>
          </w:p>
        </w:tc>
        <w:tc>
          <w:tcPr>
            <w:tcW w:w="964" w:type="dxa"/>
            <w:tcBorders>
              <w:top w:val="single" w:sz="4" w:space="0" w:color="auto"/>
              <w:bottom w:val="single" w:sz="4" w:space="0" w:color="auto"/>
            </w:tcBorders>
            <w:vAlign w:val="center"/>
          </w:tcPr>
          <w:p w14:paraId="1F579867" w14:textId="77777777" w:rsidR="00D22425" w:rsidRPr="00DC0CA9" w:rsidRDefault="00D22425" w:rsidP="00082AE8">
            <w:pPr>
              <w:spacing w:before="60" w:after="60"/>
              <w:ind w:right="18"/>
              <w:jc w:val="right"/>
              <w:rPr>
                <w:rFonts w:ascii="Arial" w:hAnsi="Arial" w:cs="Arial"/>
                <w:iCs/>
                <w:lang w:val="de-DE"/>
              </w:rPr>
            </w:pPr>
            <w:r w:rsidRPr="00DC0CA9">
              <w:rPr>
                <w:rFonts w:ascii="Arial" w:hAnsi="Arial" w:cs="Arial"/>
                <w:iCs/>
                <w:lang w:val="de-DE"/>
              </w:rPr>
              <w:t>2018</w:t>
            </w:r>
          </w:p>
        </w:tc>
        <w:tc>
          <w:tcPr>
            <w:tcW w:w="964" w:type="dxa"/>
            <w:tcBorders>
              <w:top w:val="single" w:sz="4" w:space="0" w:color="auto"/>
              <w:bottom w:val="single" w:sz="4" w:space="0" w:color="auto"/>
            </w:tcBorders>
            <w:vAlign w:val="center"/>
          </w:tcPr>
          <w:p w14:paraId="7E7E5D70" w14:textId="77777777" w:rsidR="00D22425" w:rsidRPr="00DC0CA9" w:rsidRDefault="00D22425" w:rsidP="00082AE8">
            <w:pPr>
              <w:spacing w:before="60" w:after="60"/>
              <w:ind w:right="18"/>
              <w:jc w:val="right"/>
              <w:rPr>
                <w:rFonts w:ascii="Arial" w:hAnsi="Arial" w:cs="Arial"/>
                <w:iCs/>
                <w:lang w:val="de-DE"/>
              </w:rPr>
            </w:pPr>
            <w:r w:rsidRPr="00DC0CA9">
              <w:rPr>
                <w:rFonts w:ascii="Arial" w:hAnsi="Arial" w:cs="Arial"/>
                <w:iCs/>
                <w:lang w:val="de-DE"/>
              </w:rPr>
              <w:t>2019</w:t>
            </w:r>
          </w:p>
        </w:tc>
        <w:tc>
          <w:tcPr>
            <w:tcW w:w="964" w:type="dxa"/>
            <w:tcBorders>
              <w:top w:val="single" w:sz="4" w:space="0" w:color="auto"/>
              <w:bottom w:val="single" w:sz="4" w:space="0" w:color="auto"/>
            </w:tcBorders>
            <w:vAlign w:val="center"/>
          </w:tcPr>
          <w:p w14:paraId="50D39077" w14:textId="77777777" w:rsidR="00D22425" w:rsidRPr="00DC0CA9" w:rsidRDefault="00D22425" w:rsidP="00082AE8">
            <w:pPr>
              <w:spacing w:before="60" w:after="60"/>
              <w:ind w:right="18"/>
              <w:jc w:val="right"/>
              <w:rPr>
                <w:rFonts w:ascii="Arial" w:hAnsi="Arial" w:cs="Arial"/>
                <w:iCs/>
                <w:lang w:val="de-DE"/>
              </w:rPr>
            </w:pPr>
            <w:r w:rsidRPr="00DC0CA9">
              <w:rPr>
                <w:rFonts w:ascii="Arial" w:hAnsi="Arial" w:cs="Arial"/>
                <w:iCs/>
                <w:lang w:val="de-DE"/>
              </w:rPr>
              <w:t>2020</w:t>
            </w:r>
          </w:p>
        </w:tc>
        <w:tc>
          <w:tcPr>
            <w:tcW w:w="964" w:type="dxa"/>
            <w:tcBorders>
              <w:top w:val="single" w:sz="4" w:space="0" w:color="auto"/>
              <w:bottom w:val="single" w:sz="4" w:space="0" w:color="auto"/>
            </w:tcBorders>
            <w:vAlign w:val="center"/>
          </w:tcPr>
          <w:p w14:paraId="5F5A0BF5" w14:textId="77777777" w:rsidR="00D22425" w:rsidRPr="00DC0CA9" w:rsidRDefault="00D22425" w:rsidP="00082AE8">
            <w:pPr>
              <w:spacing w:before="60" w:after="60"/>
              <w:ind w:right="18"/>
              <w:jc w:val="right"/>
              <w:rPr>
                <w:rFonts w:ascii="Arial" w:hAnsi="Arial" w:cs="Arial"/>
                <w:iCs/>
                <w:lang w:val="de-DE"/>
              </w:rPr>
            </w:pPr>
            <w:r w:rsidRPr="00DC0CA9">
              <w:rPr>
                <w:rFonts w:ascii="Arial" w:hAnsi="Arial" w:cs="Arial"/>
                <w:iCs/>
                <w:lang w:val="de-DE"/>
              </w:rPr>
              <w:t>2021</w:t>
            </w:r>
          </w:p>
        </w:tc>
      </w:tr>
      <w:tr w:rsidR="00D22425" w:rsidRPr="00DC0CA9" w14:paraId="0E87C3F9" w14:textId="77777777" w:rsidTr="00D22425">
        <w:trPr>
          <w:jc w:val="center"/>
        </w:trPr>
        <w:tc>
          <w:tcPr>
            <w:tcW w:w="3402" w:type="dxa"/>
          </w:tcPr>
          <w:p w14:paraId="648B4133" w14:textId="77777777" w:rsidR="00D22425" w:rsidRPr="00DC0CA9" w:rsidRDefault="00D22425" w:rsidP="00082AE8">
            <w:pPr>
              <w:spacing w:before="240" w:after="100"/>
              <w:jc w:val="both"/>
              <w:rPr>
                <w:rFonts w:ascii="Arial" w:hAnsi="Arial" w:cs="Arial"/>
                <w:b/>
                <w:bCs/>
                <w:iCs/>
                <w:lang w:val="de-DE"/>
              </w:rPr>
            </w:pPr>
            <w:r>
              <w:rPr>
                <w:rFonts w:ascii="Arial" w:hAnsi="Arial" w:cs="Arial"/>
                <w:b/>
                <w:bCs/>
                <w:iCs/>
                <w:lang w:val="de-DE"/>
              </w:rPr>
              <w:t>R</w:t>
            </w:r>
            <w:r w:rsidRPr="00B371E0">
              <w:rPr>
                <w:rFonts w:ascii="Arial" w:hAnsi="Arial" w:cs="Arial"/>
                <w:b/>
                <w:bCs/>
                <w:iCs/>
                <w:lang w:val="de-DE"/>
              </w:rPr>
              <w:t>egistered capital</w:t>
            </w:r>
          </w:p>
        </w:tc>
        <w:tc>
          <w:tcPr>
            <w:tcW w:w="964" w:type="dxa"/>
            <w:tcBorders>
              <w:top w:val="single" w:sz="4" w:space="0" w:color="auto"/>
            </w:tcBorders>
            <w:vAlign w:val="center"/>
          </w:tcPr>
          <w:p w14:paraId="4D5129D4" w14:textId="77777777" w:rsidR="00D22425" w:rsidRPr="00DC0CA9" w:rsidRDefault="00D22425" w:rsidP="00082AE8">
            <w:pPr>
              <w:spacing w:before="240" w:after="100"/>
              <w:ind w:right="18"/>
              <w:jc w:val="right"/>
              <w:rPr>
                <w:rFonts w:ascii="Arial" w:hAnsi="Arial" w:cs="Arial"/>
                <w:b/>
                <w:bCs/>
                <w:lang w:val="en-US"/>
              </w:rPr>
            </w:pPr>
            <w:r w:rsidRPr="00DC0CA9">
              <w:rPr>
                <w:rFonts w:ascii="Arial" w:hAnsi="Arial" w:cs="Arial"/>
                <w:b/>
                <w:bCs/>
                <w:lang w:val="en-US"/>
              </w:rPr>
              <w:t>35</w:t>
            </w:r>
            <w:r>
              <w:rPr>
                <w:rFonts w:ascii="Arial" w:hAnsi="Arial" w:cs="Arial"/>
                <w:b/>
                <w:bCs/>
                <w:lang w:val="en-US"/>
              </w:rPr>
              <w:t>.</w:t>
            </w:r>
            <w:r w:rsidRPr="00DC0CA9">
              <w:rPr>
                <w:rFonts w:ascii="Arial" w:hAnsi="Arial" w:cs="Arial"/>
                <w:b/>
                <w:bCs/>
                <w:lang w:val="en-US"/>
              </w:rPr>
              <w:t>88</w:t>
            </w:r>
          </w:p>
        </w:tc>
        <w:tc>
          <w:tcPr>
            <w:tcW w:w="964" w:type="dxa"/>
            <w:tcBorders>
              <w:top w:val="single" w:sz="4" w:space="0" w:color="auto"/>
            </w:tcBorders>
            <w:vAlign w:val="center"/>
          </w:tcPr>
          <w:p w14:paraId="3DBE7DDC" w14:textId="77777777" w:rsidR="00D22425" w:rsidRPr="00DC0CA9" w:rsidRDefault="00D22425" w:rsidP="00082AE8">
            <w:pPr>
              <w:spacing w:before="240" w:after="100"/>
              <w:ind w:right="18"/>
              <w:jc w:val="right"/>
              <w:rPr>
                <w:rFonts w:ascii="Arial" w:hAnsi="Arial" w:cs="Arial"/>
                <w:b/>
                <w:bCs/>
                <w:lang w:val="en-US"/>
              </w:rPr>
            </w:pPr>
            <w:r w:rsidRPr="00DC0CA9">
              <w:rPr>
                <w:rFonts w:ascii="Arial" w:hAnsi="Arial" w:cs="Arial"/>
                <w:b/>
                <w:bCs/>
                <w:lang w:val="en-US"/>
              </w:rPr>
              <w:t>35</w:t>
            </w:r>
            <w:r>
              <w:rPr>
                <w:rFonts w:ascii="Arial" w:hAnsi="Arial" w:cs="Arial"/>
                <w:b/>
                <w:bCs/>
                <w:lang w:val="en-US"/>
              </w:rPr>
              <w:t>.</w:t>
            </w:r>
            <w:r w:rsidRPr="00DC0CA9">
              <w:rPr>
                <w:rFonts w:ascii="Arial" w:hAnsi="Arial" w:cs="Arial"/>
                <w:b/>
                <w:bCs/>
                <w:lang w:val="en-US"/>
              </w:rPr>
              <w:t>47</w:t>
            </w:r>
          </w:p>
        </w:tc>
        <w:tc>
          <w:tcPr>
            <w:tcW w:w="964" w:type="dxa"/>
            <w:tcBorders>
              <w:top w:val="single" w:sz="4" w:space="0" w:color="auto"/>
            </w:tcBorders>
            <w:vAlign w:val="center"/>
          </w:tcPr>
          <w:p w14:paraId="4FEF4493" w14:textId="77777777" w:rsidR="00D22425" w:rsidRPr="00DC0CA9" w:rsidRDefault="00D22425" w:rsidP="00082AE8">
            <w:pPr>
              <w:spacing w:before="240" w:after="100"/>
              <w:ind w:right="18"/>
              <w:jc w:val="right"/>
              <w:rPr>
                <w:rFonts w:ascii="Arial" w:hAnsi="Arial" w:cs="Arial"/>
                <w:b/>
                <w:bCs/>
                <w:lang w:val="en-US"/>
              </w:rPr>
            </w:pPr>
            <w:r w:rsidRPr="00DC0CA9">
              <w:rPr>
                <w:rFonts w:ascii="Arial" w:hAnsi="Arial" w:cs="Arial"/>
                <w:b/>
                <w:bCs/>
                <w:lang w:val="en-US"/>
              </w:rPr>
              <w:t>38</w:t>
            </w:r>
            <w:r>
              <w:rPr>
                <w:rFonts w:ascii="Arial" w:hAnsi="Arial" w:cs="Arial"/>
                <w:b/>
                <w:bCs/>
                <w:lang w:val="en-US"/>
              </w:rPr>
              <w:t>.</w:t>
            </w:r>
            <w:r w:rsidRPr="00DC0CA9">
              <w:rPr>
                <w:rFonts w:ascii="Arial" w:hAnsi="Arial" w:cs="Arial"/>
                <w:b/>
                <w:bCs/>
                <w:lang w:val="en-US"/>
              </w:rPr>
              <w:t>02</w:t>
            </w:r>
          </w:p>
        </w:tc>
        <w:tc>
          <w:tcPr>
            <w:tcW w:w="964" w:type="dxa"/>
            <w:tcBorders>
              <w:top w:val="single" w:sz="4" w:space="0" w:color="auto"/>
            </w:tcBorders>
            <w:vAlign w:val="center"/>
          </w:tcPr>
          <w:p w14:paraId="2926AB92" w14:textId="77777777" w:rsidR="00D22425" w:rsidRPr="00DC0CA9" w:rsidRDefault="00D22425" w:rsidP="00082AE8">
            <w:pPr>
              <w:spacing w:before="240" w:after="100"/>
              <w:ind w:right="18"/>
              <w:jc w:val="right"/>
              <w:rPr>
                <w:rFonts w:ascii="Arial" w:hAnsi="Arial" w:cs="Arial"/>
                <w:b/>
                <w:bCs/>
                <w:lang w:val="en-US"/>
              </w:rPr>
            </w:pPr>
            <w:r w:rsidRPr="00DC0CA9">
              <w:rPr>
                <w:rFonts w:ascii="Arial" w:hAnsi="Arial" w:cs="Arial"/>
                <w:b/>
                <w:bCs/>
                <w:lang w:val="en-US"/>
              </w:rPr>
              <w:t>28</w:t>
            </w:r>
            <w:r>
              <w:rPr>
                <w:rFonts w:ascii="Arial" w:hAnsi="Arial" w:cs="Arial"/>
                <w:b/>
                <w:bCs/>
                <w:lang w:val="en-US"/>
              </w:rPr>
              <w:t>.</w:t>
            </w:r>
            <w:r w:rsidRPr="00DC0CA9">
              <w:rPr>
                <w:rFonts w:ascii="Arial" w:hAnsi="Arial" w:cs="Arial"/>
                <w:b/>
                <w:bCs/>
                <w:lang w:val="en-US"/>
              </w:rPr>
              <w:t>53</w:t>
            </w:r>
          </w:p>
        </w:tc>
        <w:tc>
          <w:tcPr>
            <w:tcW w:w="964" w:type="dxa"/>
            <w:tcBorders>
              <w:top w:val="single" w:sz="4" w:space="0" w:color="auto"/>
            </w:tcBorders>
            <w:vAlign w:val="center"/>
          </w:tcPr>
          <w:p w14:paraId="4B90D6A8" w14:textId="77777777" w:rsidR="00D22425" w:rsidRPr="00DC0CA9" w:rsidRDefault="00D22425" w:rsidP="00082AE8">
            <w:pPr>
              <w:spacing w:before="240" w:after="100"/>
              <w:ind w:right="18"/>
              <w:jc w:val="right"/>
              <w:rPr>
                <w:rFonts w:ascii="Arial" w:hAnsi="Arial" w:cs="Arial"/>
                <w:b/>
                <w:bCs/>
                <w:lang w:val="en-US"/>
              </w:rPr>
            </w:pPr>
            <w:r w:rsidRPr="00DC0CA9">
              <w:rPr>
                <w:rFonts w:ascii="Arial" w:hAnsi="Arial" w:cs="Arial"/>
                <w:b/>
                <w:bCs/>
                <w:lang w:val="en-US"/>
              </w:rPr>
              <w:t>31</w:t>
            </w:r>
            <w:r>
              <w:rPr>
                <w:rFonts w:ascii="Arial" w:hAnsi="Arial" w:cs="Arial"/>
                <w:b/>
                <w:bCs/>
                <w:lang w:val="en-US"/>
              </w:rPr>
              <w:t>.</w:t>
            </w:r>
            <w:r w:rsidRPr="00DC0CA9">
              <w:rPr>
                <w:rFonts w:ascii="Arial" w:hAnsi="Arial" w:cs="Arial"/>
                <w:b/>
                <w:bCs/>
                <w:lang w:val="en-US"/>
              </w:rPr>
              <w:t>15</w:t>
            </w:r>
          </w:p>
        </w:tc>
      </w:tr>
      <w:tr w:rsidR="00D22425" w:rsidRPr="00DC0CA9" w14:paraId="129809A0" w14:textId="77777777" w:rsidTr="00D22425">
        <w:trPr>
          <w:jc w:val="center"/>
        </w:trPr>
        <w:tc>
          <w:tcPr>
            <w:tcW w:w="3402" w:type="dxa"/>
          </w:tcPr>
          <w:p w14:paraId="0975F23D" w14:textId="77777777" w:rsidR="00D22425" w:rsidRPr="00DC0CA9" w:rsidRDefault="00D22425" w:rsidP="00082AE8">
            <w:pPr>
              <w:spacing w:before="100" w:after="100"/>
              <w:ind w:firstLine="176"/>
              <w:jc w:val="both"/>
              <w:rPr>
                <w:rFonts w:ascii="Arial" w:hAnsi="Arial" w:cs="Arial"/>
                <w:iCs/>
                <w:lang w:val="de-DE"/>
              </w:rPr>
            </w:pPr>
            <w:r>
              <w:rPr>
                <w:rFonts w:ascii="Arial" w:hAnsi="Arial" w:cs="Arial"/>
                <w:iCs/>
                <w:lang w:val="de-DE"/>
              </w:rPr>
              <w:t>N</w:t>
            </w:r>
            <w:r w:rsidRPr="00B371E0">
              <w:rPr>
                <w:rFonts w:ascii="Arial" w:hAnsi="Arial" w:cs="Arial"/>
                <w:iCs/>
                <w:lang w:val="de-DE"/>
              </w:rPr>
              <w:t>ewly registered capital</w:t>
            </w:r>
          </w:p>
        </w:tc>
        <w:tc>
          <w:tcPr>
            <w:tcW w:w="964" w:type="dxa"/>
            <w:vAlign w:val="center"/>
          </w:tcPr>
          <w:p w14:paraId="0CDACC47" w14:textId="77777777" w:rsidR="00D22425" w:rsidRPr="00DC0CA9" w:rsidRDefault="00D22425" w:rsidP="00082AE8">
            <w:pPr>
              <w:spacing w:before="100" w:after="100"/>
              <w:ind w:right="18"/>
              <w:jc w:val="right"/>
              <w:rPr>
                <w:rFonts w:ascii="Arial" w:hAnsi="Arial" w:cs="Arial"/>
                <w:lang w:val="en-US"/>
              </w:rPr>
            </w:pPr>
            <w:r w:rsidRPr="00DC0CA9">
              <w:rPr>
                <w:rFonts w:ascii="Arial" w:hAnsi="Arial" w:cs="Arial"/>
                <w:lang w:val="en-US"/>
              </w:rPr>
              <w:t>21</w:t>
            </w:r>
            <w:r>
              <w:rPr>
                <w:rFonts w:ascii="Arial" w:hAnsi="Arial" w:cs="Arial"/>
                <w:lang w:val="en-US"/>
              </w:rPr>
              <w:t>.</w:t>
            </w:r>
            <w:r w:rsidRPr="00DC0CA9">
              <w:rPr>
                <w:rFonts w:ascii="Arial" w:hAnsi="Arial" w:cs="Arial"/>
                <w:lang w:val="en-US"/>
              </w:rPr>
              <w:t>28</w:t>
            </w:r>
          </w:p>
        </w:tc>
        <w:tc>
          <w:tcPr>
            <w:tcW w:w="964" w:type="dxa"/>
            <w:vAlign w:val="center"/>
          </w:tcPr>
          <w:p w14:paraId="40DB8986" w14:textId="77777777" w:rsidR="00D22425" w:rsidRPr="00DC0CA9" w:rsidRDefault="00D22425" w:rsidP="00082AE8">
            <w:pPr>
              <w:spacing w:before="100" w:after="100"/>
              <w:ind w:right="18"/>
              <w:jc w:val="right"/>
              <w:rPr>
                <w:rFonts w:ascii="Arial" w:hAnsi="Arial" w:cs="Arial"/>
                <w:lang w:val="en-US"/>
              </w:rPr>
            </w:pPr>
            <w:r w:rsidRPr="00DC0CA9">
              <w:rPr>
                <w:rFonts w:ascii="Arial" w:hAnsi="Arial" w:cs="Arial"/>
                <w:lang w:val="en-US"/>
              </w:rPr>
              <w:t>17</w:t>
            </w:r>
            <w:r>
              <w:rPr>
                <w:rFonts w:ascii="Arial" w:hAnsi="Arial" w:cs="Arial"/>
                <w:lang w:val="en-US"/>
              </w:rPr>
              <w:t>.</w:t>
            </w:r>
            <w:r w:rsidRPr="00DC0CA9">
              <w:rPr>
                <w:rFonts w:ascii="Arial" w:hAnsi="Arial" w:cs="Arial"/>
                <w:lang w:val="en-US"/>
              </w:rPr>
              <w:t>98</w:t>
            </w:r>
          </w:p>
        </w:tc>
        <w:tc>
          <w:tcPr>
            <w:tcW w:w="964" w:type="dxa"/>
            <w:vAlign w:val="center"/>
          </w:tcPr>
          <w:p w14:paraId="4137A954" w14:textId="77777777" w:rsidR="00D22425" w:rsidRPr="00DC0CA9" w:rsidRDefault="00D22425" w:rsidP="00082AE8">
            <w:pPr>
              <w:spacing w:before="100" w:after="100"/>
              <w:ind w:right="18"/>
              <w:jc w:val="right"/>
              <w:rPr>
                <w:rFonts w:ascii="Arial" w:hAnsi="Arial" w:cs="Arial"/>
                <w:lang w:val="en-US"/>
              </w:rPr>
            </w:pPr>
            <w:r w:rsidRPr="00DC0CA9">
              <w:rPr>
                <w:rFonts w:ascii="Arial" w:hAnsi="Arial" w:cs="Arial"/>
                <w:lang w:val="en-US"/>
              </w:rPr>
              <w:t>16</w:t>
            </w:r>
            <w:r>
              <w:rPr>
                <w:rFonts w:ascii="Arial" w:hAnsi="Arial" w:cs="Arial"/>
                <w:lang w:val="en-US"/>
              </w:rPr>
              <w:t>.</w:t>
            </w:r>
            <w:r w:rsidRPr="00DC0CA9">
              <w:rPr>
                <w:rFonts w:ascii="Arial" w:hAnsi="Arial" w:cs="Arial"/>
                <w:lang w:val="en-US"/>
              </w:rPr>
              <w:t>75</w:t>
            </w:r>
          </w:p>
        </w:tc>
        <w:tc>
          <w:tcPr>
            <w:tcW w:w="964" w:type="dxa"/>
            <w:vAlign w:val="center"/>
          </w:tcPr>
          <w:p w14:paraId="0F67D894" w14:textId="77777777" w:rsidR="00D22425" w:rsidRPr="00DC0CA9" w:rsidRDefault="00D22425" w:rsidP="00082AE8">
            <w:pPr>
              <w:spacing w:before="100" w:after="100"/>
              <w:ind w:right="18"/>
              <w:jc w:val="right"/>
              <w:rPr>
                <w:rFonts w:ascii="Arial" w:hAnsi="Arial" w:cs="Arial"/>
                <w:lang w:val="en-US"/>
              </w:rPr>
            </w:pPr>
            <w:r w:rsidRPr="00DC0CA9">
              <w:rPr>
                <w:rFonts w:ascii="Arial" w:hAnsi="Arial" w:cs="Arial"/>
                <w:lang w:val="en-US"/>
              </w:rPr>
              <w:t>14</w:t>
            </w:r>
            <w:r>
              <w:rPr>
                <w:rFonts w:ascii="Arial" w:hAnsi="Arial" w:cs="Arial"/>
                <w:lang w:val="en-US"/>
              </w:rPr>
              <w:t>.</w:t>
            </w:r>
            <w:r w:rsidRPr="00DC0CA9">
              <w:rPr>
                <w:rFonts w:ascii="Arial" w:hAnsi="Arial" w:cs="Arial"/>
                <w:lang w:val="en-US"/>
              </w:rPr>
              <w:t>65</w:t>
            </w:r>
          </w:p>
        </w:tc>
        <w:tc>
          <w:tcPr>
            <w:tcW w:w="964" w:type="dxa"/>
            <w:vAlign w:val="center"/>
          </w:tcPr>
          <w:p w14:paraId="1DEC702C" w14:textId="77777777" w:rsidR="00D22425" w:rsidRPr="00DC0CA9" w:rsidRDefault="00D22425" w:rsidP="00082AE8">
            <w:pPr>
              <w:spacing w:before="100" w:after="100"/>
              <w:ind w:right="18"/>
              <w:jc w:val="right"/>
              <w:rPr>
                <w:rFonts w:ascii="Arial" w:hAnsi="Arial" w:cs="Arial"/>
                <w:lang w:val="en-US"/>
              </w:rPr>
            </w:pPr>
            <w:r w:rsidRPr="00DC0CA9">
              <w:rPr>
                <w:rFonts w:ascii="Arial" w:hAnsi="Arial" w:cs="Arial"/>
                <w:lang w:val="en-US"/>
              </w:rPr>
              <w:t>15</w:t>
            </w:r>
            <w:r>
              <w:rPr>
                <w:rFonts w:ascii="Arial" w:hAnsi="Arial" w:cs="Arial"/>
                <w:lang w:val="en-US"/>
              </w:rPr>
              <w:t>.</w:t>
            </w:r>
            <w:r w:rsidRPr="00DC0CA9">
              <w:rPr>
                <w:rFonts w:ascii="Arial" w:hAnsi="Arial" w:cs="Arial"/>
                <w:lang w:val="en-US"/>
              </w:rPr>
              <w:t>25</w:t>
            </w:r>
          </w:p>
        </w:tc>
      </w:tr>
      <w:tr w:rsidR="00D22425" w:rsidRPr="00DC0CA9" w14:paraId="6321E17E" w14:textId="77777777" w:rsidTr="00D22425">
        <w:trPr>
          <w:jc w:val="center"/>
        </w:trPr>
        <w:tc>
          <w:tcPr>
            <w:tcW w:w="3402" w:type="dxa"/>
          </w:tcPr>
          <w:p w14:paraId="6DB5F718" w14:textId="77777777" w:rsidR="00D22425" w:rsidRPr="00DC0CA9" w:rsidRDefault="00D22425" w:rsidP="00082AE8">
            <w:pPr>
              <w:spacing w:before="100" w:after="100"/>
              <w:ind w:firstLine="176"/>
              <w:jc w:val="both"/>
              <w:rPr>
                <w:rFonts w:ascii="Arial" w:hAnsi="Arial" w:cs="Arial"/>
                <w:iCs/>
                <w:lang w:val="de-DE"/>
              </w:rPr>
            </w:pPr>
            <w:r>
              <w:rPr>
                <w:rFonts w:ascii="Arial" w:hAnsi="Arial" w:cs="Arial"/>
                <w:iCs/>
                <w:lang w:val="de-DE"/>
              </w:rPr>
              <w:t>A</w:t>
            </w:r>
            <w:r w:rsidRPr="00D932B7">
              <w:rPr>
                <w:rFonts w:ascii="Arial" w:hAnsi="Arial" w:cs="Arial"/>
                <w:iCs/>
                <w:lang w:val="de-DE"/>
              </w:rPr>
              <w:t>djust registered capital</w:t>
            </w:r>
          </w:p>
        </w:tc>
        <w:tc>
          <w:tcPr>
            <w:tcW w:w="964" w:type="dxa"/>
            <w:vAlign w:val="center"/>
          </w:tcPr>
          <w:p w14:paraId="78D547DB" w14:textId="77777777" w:rsidR="00D22425" w:rsidRPr="00DC0CA9" w:rsidRDefault="00D22425" w:rsidP="00082AE8">
            <w:pPr>
              <w:spacing w:before="100" w:after="100"/>
              <w:ind w:right="18"/>
              <w:jc w:val="right"/>
              <w:rPr>
                <w:rFonts w:ascii="Arial" w:hAnsi="Arial" w:cs="Arial"/>
                <w:lang w:val="en-US"/>
              </w:rPr>
            </w:pPr>
            <w:r w:rsidRPr="00DC0CA9">
              <w:rPr>
                <w:rFonts w:ascii="Arial" w:hAnsi="Arial" w:cs="Arial"/>
                <w:lang w:val="en-US"/>
              </w:rPr>
              <w:t>8</w:t>
            </w:r>
            <w:r>
              <w:rPr>
                <w:rFonts w:ascii="Arial" w:hAnsi="Arial" w:cs="Arial"/>
                <w:lang w:val="en-US"/>
              </w:rPr>
              <w:t>.</w:t>
            </w:r>
            <w:r w:rsidRPr="00DC0CA9">
              <w:rPr>
                <w:rFonts w:ascii="Arial" w:hAnsi="Arial" w:cs="Arial"/>
                <w:lang w:val="en-US"/>
              </w:rPr>
              <w:t>42</w:t>
            </w:r>
          </w:p>
        </w:tc>
        <w:tc>
          <w:tcPr>
            <w:tcW w:w="964" w:type="dxa"/>
            <w:vAlign w:val="center"/>
          </w:tcPr>
          <w:p w14:paraId="29328B61" w14:textId="77777777" w:rsidR="00D22425" w:rsidRPr="00DC0CA9" w:rsidRDefault="00D22425" w:rsidP="00082AE8">
            <w:pPr>
              <w:spacing w:before="100" w:after="100"/>
              <w:ind w:right="18"/>
              <w:jc w:val="right"/>
              <w:rPr>
                <w:rFonts w:ascii="Arial" w:hAnsi="Arial" w:cs="Arial"/>
                <w:lang w:val="en-US"/>
              </w:rPr>
            </w:pPr>
            <w:r w:rsidRPr="00DC0CA9">
              <w:rPr>
                <w:rFonts w:ascii="Arial" w:hAnsi="Arial" w:cs="Arial"/>
                <w:lang w:val="en-US"/>
              </w:rPr>
              <w:t>7,60</w:t>
            </w:r>
          </w:p>
        </w:tc>
        <w:tc>
          <w:tcPr>
            <w:tcW w:w="964" w:type="dxa"/>
            <w:vAlign w:val="center"/>
          </w:tcPr>
          <w:p w14:paraId="1319D498" w14:textId="77777777" w:rsidR="00D22425" w:rsidRPr="00DC0CA9" w:rsidRDefault="00D22425" w:rsidP="00082AE8">
            <w:pPr>
              <w:spacing w:before="100" w:after="100"/>
              <w:ind w:right="18"/>
              <w:jc w:val="right"/>
              <w:rPr>
                <w:rFonts w:ascii="Arial" w:hAnsi="Arial" w:cs="Arial"/>
                <w:lang w:val="en-US"/>
              </w:rPr>
            </w:pPr>
            <w:r w:rsidRPr="00DC0CA9">
              <w:rPr>
                <w:rFonts w:ascii="Arial" w:hAnsi="Arial" w:cs="Arial"/>
                <w:lang w:val="en-US"/>
              </w:rPr>
              <w:t>5</w:t>
            </w:r>
            <w:r>
              <w:rPr>
                <w:rFonts w:ascii="Arial" w:hAnsi="Arial" w:cs="Arial"/>
                <w:lang w:val="en-US"/>
              </w:rPr>
              <w:t>.</w:t>
            </w:r>
            <w:r w:rsidRPr="00DC0CA9">
              <w:rPr>
                <w:rFonts w:ascii="Arial" w:hAnsi="Arial" w:cs="Arial"/>
                <w:lang w:val="en-US"/>
              </w:rPr>
              <w:t>80</w:t>
            </w:r>
          </w:p>
        </w:tc>
        <w:tc>
          <w:tcPr>
            <w:tcW w:w="964" w:type="dxa"/>
            <w:vAlign w:val="center"/>
          </w:tcPr>
          <w:p w14:paraId="60FD8237" w14:textId="77777777" w:rsidR="00D22425" w:rsidRPr="00DC0CA9" w:rsidRDefault="00D22425" w:rsidP="00082AE8">
            <w:pPr>
              <w:spacing w:before="100" w:after="100"/>
              <w:ind w:right="18"/>
              <w:jc w:val="right"/>
              <w:rPr>
                <w:rFonts w:ascii="Arial" w:hAnsi="Arial" w:cs="Arial"/>
                <w:lang w:val="en-US"/>
              </w:rPr>
            </w:pPr>
            <w:r w:rsidRPr="00DC0CA9">
              <w:rPr>
                <w:rFonts w:ascii="Arial" w:hAnsi="Arial" w:cs="Arial"/>
                <w:lang w:val="en-US"/>
              </w:rPr>
              <w:t>6</w:t>
            </w:r>
            <w:r>
              <w:rPr>
                <w:rFonts w:ascii="Arial" w:hAnsi="Arial" w:cs="Arial"/>
                <w:lang w:val="en-US"/>
              </w:rPr>
              <w:t>.</w:t>
            </w:r>
            <w:r w:rsidRPr="00DC0CA9">
              <w:rPr>
                <w:rFonts w:ascii="Arial" w:hAnsi="Arial" w:cs="Arial"/>
                <w:lang w:val="en-US"/>
              </w:rPr>
              <w:t>41</w:t>
            </w:r>
          </w:p>
        </w:tc>
        <w:tc>
          <w:tcPr>
            <w:tcW w:w="964" w:type="dxa"/>
            <w:vAlign w:val="center"/>
          </w:tcPr>
          <w:p w14:paraId="78795E41" w14:textId="77777777" w:rsidR="00D22425" w:rsidRPr="00DC0CA9" w:rsidRDefault="00D22425" w:rsidP="00082AE8">
            <w:pPr>
              <w:spacing w:before="100" w:after="100"/>
              <w:ind w:right="18"/>
              <w:jc w:val="right"/>
              <w:rPr>
                <w:rFonts w:ascii="Arial" w:hAnsi="Arial" w:cs="Arial"/>
                <w:lang w:val="en-US"/>
              </w:rPr>
            </w:pPr>
            <w:r w:rsidRPr="00DC0CA9">
              <w:rPr>
                <w:rFonts w:ascii="Arial" w:hAnsi="Arial" w:cs="Arial"/>
                <w:lang w:val="en-US"/>
              </w:rPr>
              <w:t>9</w:t>
            </w:r>
            <w:r>
              <w:rPr>
                <w:rFonts w:ascii="Arial" w:hAnsi="Arial" w:cs="Arial"/>
                <w:lang w:val="en-US"/>
              </w:rPr>
              <w:t>.</w:t>
            </w:r>
            <w:r w:rsidRPr="00DC0CA9">
              <w:rPr>
                <w:rFonts w:ascii="Arial" w:hAnsi="Arial" w:cs="Arial"/>
                <w:lang w:val="en-US"/>
              </w:rPr>
              <w:t>01</w:t>
            </w:r>
          </w:p>
        </w:tc>
      </w:tr>
      <w:tr w:rsidR="00D22425" w:rsidRPr="00DC0CA9" w14:paraId="3B9F6BEF" w14:textId="77777777" w:rsidTr="00D22425">
        <w:trPr>
          <w:jc w:val="center"/>
        </w:trPr>
        <w:tc>
          <w:tcPr>
            <w:tcW w:w="3402" w:type="dxa"/>
          </w:tcPr>
          <w:p w14:paraId="25D47E9C" w14:textId="77777777" w:rsidR="00D22425" w:rsidRPr="00DC0CA9" w:rsidRDefault="00D22425" w:rsidP="00D22425">
            <w:pPr>
              <w:spacing w:before="100" w:after="100"/>
              <w:ind w:firstLine="176"/>
              <w:rPr>
                <w:rFonts w:ascii="Arial" w:hAnsi="Arial" w:cs="Arial"/>
                <w:iCs/>
                <w:lang w:val="de-DE"/>
              </w:rPr>
            </w:pPr>
            <w:r>
              <w:rPr>
                <w:rFonts w:ascii="Arial" w:hAnsi="Arial" w:cs="Arial"/>
                <w:iCs/>
                <w:spacing w:val="-4"/>
                <w:lang w:val="de-DE"/>
              </w:rPr>
              <w:t>C</w:t>
            </w:r>
            <w:r w:rsidRPr="00D932B7">
              <w:rPr>
                <w:rFonts w:ascii="Arial" w:hAnsi="Arial" w:cs="Arial"/>
                <w:iCs/>
                <w:spacing w:val="-4"/>
                <w:lang w:val="de-DE"/>
              </w:rPr>
              <w:t xml:space="preserve">apital contribution and share purchases </w:t>
            </w:r>
          </w:p>
        </w:tc>
        <w:tc>
          <w:tcPr>
            <w:tcW w:w="964" w:type="dxa"/>
            <w:vAlign w:val="center"/>
          </w:tcPr>
          <w:p w14:paraId="6409E65C" w14:textId="77777777" w:rsidR="00D22425" w:rsidRPr="00DC0CA9" w:rsidRDefault="00D22425" w:rsidP="00082AE8">
            <w:pPr>
              <w:spacing w:before="100" w:after="100"/>
              <w:ind w:right="18"/>
              <w:jc w:val="right"/>
              <w:rPr>
                <w:rFonts w:ascii="Arial" w:hAnsi="Arial" w:cs="Arial"/>
                <w:lang w:val="en-US"/>
              </w:rPr>
            </w:pPr>
            <w:r w:rsidRPr="00DC0CA9">
              <w:rPr>
                <w:rFonts w:ascii="Arial" w:hAnsi="Arial" w:cs="Arial"/>
                <w:lang w:val="en-US"/>
              </w:rPr>
              <w:t>6</w:t>
            </w:r>
            <w:r>
              <w:rPr>
                <w:rFonts w:ascii="Arial" w:hAnsi="Arial" w:cs="Arial"/>
                <w:lang w:val="en-US"/>
              </w:rPr>
              <w:t>.</w:t>
            </w:r>
            <w:r w:rsidRPr="00DC0CA9">
              <w:rPr>
                <w:rFonts w:ascii="Arial" w:hAnsi="Arial" w:cs="Arial"/>
                <w:lang w:val="en-US"/>
              </w:rPr>
              <w:t>19</w:t>
            </w:r>
          </w:p>
        </w:tc>
        <w:tc>
          <w:tcPr>
            <w:tcW w:w="964" w:type="dxa"/>
            <w:vAlign w:val="center"/>
          </w:tcPr>
          <w:p w14:paraId="6AD74065" w14:textId="77777777" w:rsidR="00D22425" w:rsidRPr="00DC0CA9" w:rsidRDefault="00D22425" w:rsidP="00082AE8">
            <w:pPr>
              <w:spacing w:before="100" w:after="100"/>
              <w:ind w:right="18"/>
              <w:jc w:val="right"/>
              <w:rPr>
                <w:rFonts w:ascii="Arial" w:hAnsi="Arial" w:cs="Arial"/>
                <w:lang w:val="en-US"/>
              </w:rPr>
            </w:pPr>
            <w:r w:rsidRPr="00DC0CA9">
              <w:rPr>
                <w:rFonts w:ascii="Arial" w:hAnsi="Arial" w:cs="Arial"/>
                <w:lang w:val="en-US"/>
              </w:rPr>
              <w:t>9</w:t>
            </w:r>
            <w:r>
              <w:rPr>
                <w:rFonts w:ascii="Arial" w:hAnsi="Arial" w:cs="Arial"/>
                <w:lang w:val="en-US"/>
              </w:rPr>
              <w:t>.</w:t>
            </w:r>
            <w:r w:rsidRPr="00DC0CA9">
              <w:rPr>
                <w:rFonts w:ascii="Arial" w:hAnsi="Arial" w:cs="Arial"/>
                <w:lang w:val="en-US"/>
              </w:rPr>
              <w:t>89</w:t>
            </w:r>
          </w:p>
        </w:tc>
        <w:tc>
          <w:tcPr>
            <w:tcW w:w="964" w:type="dxa"/>
            <w:vAlign w:val="center"/>
          </w:tcPr>
          <w:p w14:paraId="5ECE4EE3" w14:textId="77777777" w:rsidR="00D22425" w:rsidRPr="00DC0CA9" w:rsidRDefault="00D22425" w:rsidP="00082AE8">
            <w:pPr>
              <w:spacing w:before="100" w:after="100"/>
              <w:ind w:right="18"/>
              <w:jc w:val="right"/>
              <w:rPr>
                <w:rFonts w:ascii="Arial" w:hAnsi="Arial" w:cs="Arial"/>
                <w:lang w:val="en-US"/>
              </w:rPr>
            </w:pPr>
            <w:r w:rsidRPr="00DC0CA9">
              <w:rPr>
                <w:rFonts w:ascii="Arial" w:hAnsi="Arial" w:cs="Arial"/>
                <w:lang w:val="en-US"/>
              </w:rPr>
              <w:t>15</w:t>
            </w:r>
            <w:r>
              <w:rPr>
                <w:rFonts w:ascii="Arial" w:hAnsi="Arial" w:cs="Arial"/>
                <w:lang w:val="en-US"/>
              </w:rPr>
              <w:t>.</w:t>
            </w:r>
            <w:r w:rsidRPr="00DC0CA9">
              <w:rPr>
                <w:rFonts w:ascii="Arial" w:hAnsi="Arial" w:cs="Arial"/>
                <w:lang w:val="en-US"/>
              </w:rPr>
              <w:t>47</w:t>
            </w:r>
          </w:p>
        </w:tc>
        <w:tc>
          <w:tcPr>
            <w:tcW w:w="964" w:type="dxa"/>
            <w:vAlign w:val="center"/>
          </w:tcPr>
          <w:p w14:paraId="2BB53F65" w14:textId="77777777" w:rsidR="00D22425" w:rsidRPr="00DC0CA9" w:rsidRDefault="00D22425" w:rsidP="00082AE8">
            <w:pPr>
              <w:spacing w:before="100" w:after="100"/>
              <w:ind w:right="18"/>
              <w:jc w:val="right"/>
              <w:rPr>
                <w:rFonts w:ascii="Arial" w:hAnsi="Arial" w:cs="Arial"/>
                <w:lang w:val="en-US"/>
              </w:rPr>
            </w:pPr>
            <w:r w:rsidRPr="00DC0CA9">
              <w:rPr>
                <w:rFonts w:ascii="Arial" w:hAnsi="Arial" w:cs="Arial"/>
                <w:lang w:val="en-US"/>
              </w:rPr>
              <w:t>7</w:t>
            </w:r>
            <w:r>
              <w:rPr>
                <w:rFonts w:ascii="Arial" w:hAnsi="Arial" w:cs="Arial"/>
                <w:lang w:val="en-US"/>
              </w:rPr>
              <w:t>.</w:t>
            </w:r>
            <w:r w:rsidRPr="00DC0CA9">
              <w:rPr>
                <w:rFonts w:ascii="Arial" w:hAnsi="Arial" w:cs="Arial"/>
                <w:lang w:val="en-US"/>
              </w:rPr>
              <w:t>47</w:t>
            </w:r>
          </w:p>
        </w:tc>
        <w:tc>
          <w:tcPr>
            <w:tcW w:w="964" w:type="dxa"/>
            <w:vAlign w:val="center"/>
          </w:tcPr>
          <w:p w14:paraId="634DD2DE" w14:textId="77777777" w:rsidR="00D22425" w:rsidRPr="00DC0CA9" w:rsidRDefault="00D22425" w:rsidP="00082AE8">
            <w:pPr>
              <w:spacing w:before="100" w:after="100"/>
              <w:ind w:right="18"/>
              <w:jc w:val="right"/>
              <w:rPr>
                <w:rFonts w:ascii="Arial" w:hAnsi="Arial" w:cs="Arial"/>
                <w:lang w:val="en-US"/>
              </w:rPr>
            </w:pPr>
            <w:r w:rsidRPr="00DC0CA9">
              <w:rPr>
                <w:rFonts w:ascii="Arial" w:hAnsi="Arial" w:cs="Arial"/>
                <w:lang w:val="en-US"/>
              </w:rPr>
              <w:t>6</w:t>
            </w:r>
            <w:r>
              <w:rPr>
                <w:rFonts w:ascii="Arial" w:hAnsi="Arial" w:cs="Arial"/>
                <w:lang w:val="en-US"/>
              </w:rPr>
              <w:t>.</w:t>
            </w:r>
            <w:r w:rsidRPr="00DC0CA9">
              <w:rPr>
                <w:rFonts w:ascii="Arial" w:hAnsi="Arial" w:cs="Arial"/>
                <w:lang w:val="en-US"/>
              </w:rPr>
              <w:t>89</w:t>
            </w:r>
          </w:p>
        </w:tc>
      </w:tr>
      <w:tr w:rsidR="00D22425" w:rsidRPr="00DC0CA9" w14:paraId="36343C7E" w14:textId="77777777" w:rsidTr="00D22425">
        <w:trPr>
          <w:jc w:val="center"/>
        </w:trPr>
        <w:tc>
          <w:tcPr>
            <w:tcW w:w="3402" w:type="dxa"/>
            <w:tcBorders>
              <w:bottom w:val="single" w:sz="4" w:space="0" w:color="auto"/>
            </w:tcBorders>
          </w:tcPr>
          <w:p w14:paraId="6DFC8F21" w14:textId="77777777" w:rsidR="00D22425" w:rsidRPr="00DC0CA9" w:rsidRDefault="00D22425" w:rsidP="00D22425">
            <w:pPr>
              <w:spacing w:before="100" w:after="100"/>
              <w:rPr>
                <w:rFonts w:ascii="Arial" w:hAnsi="Arial" w:cs="Arial"/>
                <w:b/>
                <w:bCs/>
                <w:iCs/>
                <w:lang w:val="de-DE"/>
              </w:rPr>
            </w:pPr>
            <w:r>
              <w:rPr>
                <w:rFonts w:ascii="Arial" w:hAnsi="Arial" w:cs="Arial"/>
                <w:b/>
                <w:bCs/>
                <w:iCs/>
                <w:lang w:val="de-DE"/>
              </w:rPr>
              <w:t>I</w:t>
            </w:r>
            <w:r w:rsidRPr="007C71D9">
              <w:rPr>
                <w:rFonts w:ascii="Arial" w:hAnsi="Arial" w:cs="Arial"/>
                <w:b/>
                <w:bCs/>
                <w:iCs/>
                <w:lang w:val="de-DE"/>
              </w:rPr>
              <w:t xml:space="preserve">mplemented </w:t>
            </w:r>
            <w:r>
              <w:rPr>
                <w:rFonts w:ascii="Arial" w:hAnsi="Arial" w:cs="Arial"/>
                <w:b/>
                <w:bCs/>
                <w:iCs/>
                <w:lang w:val="de-DE"/>
              </w:rPr>
              <w:t>f</w:t>
            </w:r>
            <w:r w:rsidRPr="007C71D9">
              <w:rPr>
                <w:rFonts w:ascii="Arial" w:hAnsi="Arial" w:cs="Arial"/>
                <w:b/>
                <w:bCs/>
                <w:iCs/>
                <w:lang w:val="de-DE"/>
              </w:rPr>
              <w:t>oreign direct investment capita</w:t>
            </w:r>
            <w:r>
              <w:rPr>
                <w:rFonts w:ascii="Arial" w:hAnsi="Arial" w:cs="Arial"/>
                <w:b/>
                <w:bCs/>
                <w:iCs/>
                <w:lang w:val="de-DE"/>
              </w:rPr>
              <w:t>l</w:t>
            </w:r>
            <w:r w:rsidRPr="007C71D9">
              <w:rPr>
                <w:rFonts w:ascii="Arial" w:hAnsi="Arial" w:cs="Arial"/>
                <w:b/>
                <w:bCs/>
                <w:iCs/>
                <w:lang w:val="de-DE"/>
              </w:rPr>
              <w:t xml:space="preserve"> </w:t>
            </w:r>
          </w:p>
        </w:tc>
        <w:tc>
          <w:tcPr>
            <w:tcW w:w="964" w:type="dxa"/>
            <w:tcBorders>
              <w:bottom w:val="single" w:sz="4" w:space="0" w:color="auto"/>
            </w:tcBorders>
            <w:vAlign w:val="center"/>
          </w:tcPr>
          <w:p w14:paraId="0D0BE6FE" w14:textId="77777777" w:rsidR="00D22425" w:rsidRPr="00DC0CA9" w:rsidRDefault="00D22425" w:rsidP="00082AE8">
            <w:pPr>
              <w:spacing w:before="100" w:after="100"/>
              <w:ind w:right="18"/>
              <w:jc w:val="right"/>
              <w:rPr>
                <w:rFonts w:ascii="Arial" w:hAnsi="Arial" w:cs="Arial"/>
                <w:b/>
                <w:bCs/>
                <w:lang w:val="en-US"/>
              </w:rPr>
            </w:pPr>
            <w:r w:rsidRPr="00DC0CA9">
              <w:rPr>
                <w:rFonts w:ascii="Arial" w:hAnsi="Arial" w:cs="Arial"/>
                <w:b/>
                <w:bCs/>
                <w:lang w:val="en-US"/>
              </w:rPr>
              <w:t>17</w:t>
            </w:r>
            <w:r>
              <w:rPr>
                <w:rFonts w:ascii="Arial" w:hAnsi="Arial" w:cs="Arial"/>
                <w:b/>
                <w:bCs/>
                <w:lang w:val="en-US"/>
              </w:rPr>
              <w:t>.</w:t>
            </w:r>
            <w:r w:rsidRPr="00DC0CA9">
              <w:rPr>
                <w:rFonts w:ascii="Arial" w:hAnsi="Arial" w:cs="Arial"/>
                <w:b/>
                <w:bCs/>
                <w:lang w:val="en-US"/>
              </w:rPr>
              <w:t>50</w:t>
            </w:r>
          </w:p>
        </w:tc>
        <w:tc>
          <w:tcPr>
            <w:tcW w:w="964" w:type="dxa"/>
            <w:tcBorders>
              <w:bottom w:val="single" w:sz="4" w:space="0" w:color="auto"/>
            </w:tcBorders>
            <w:vAlign w:val="center"/>
          </w:tcPr>
          <w:p w14:paraId="1CA95772" w14:textId="77777777" w:rsidR="00D22425" w:rsidRPr="00DC0CA9" w:rsidRDefault="00D22425" w:rsidP="00082AE8">
            <w:pPr>
              <w:spacing w:before="100" w:after="100"/>
              <w:ind w:right="18"/>
              <w:jc w:val="right"/>
              <w:rPr>
                <w:rFonts w:ascii="Arial" w:hAnsi="Arial" w:cs="Arial"/>
                <w:b/>
                <w:bCs/>
                <w:lang w:val="en-US"/>
              </w:rPr>
            </w:pPr>
            <w:r w:rsidRPr="00DC0CA9">
              <w:rPr>
                <w:rFonts w:ascii="Arial" w:hAnsi="Arial" w:cs="Arial"/>
                <w:b/>
                <w:bCs/>
                <w:lang w:val="en-US"/>
              </w:rPr>
              <w:t>19</w:t>
            </w:r>
            <w:r>
              <w:rPr>
                <w:rFonts w:ascii="Arial" w:hAnsi="Arial" w:cs="Arial"/>
                <w:b/>
                <w:bCs/>
                <w:lang w:val="en-US"/>
              </w:rPr>
              <w:t>.</w:t>
            </w:r>
            <w:r w:rsidRPr="00DC0CA9">
              <w:rPr>
                <w:rFonts w:ascii="Arial" w:hAnsi="Arial" w:cs="Arial"/>
                <w:b/>
                <w:bCs/>
                <w:lang w:val="en-US"/>
              </w:rPr>
              <w:t>10</w:t>
            </w:r>
          </w:p>
        </w:tc>
        <w:tc>
          <w:tcPr>
            <w:tcW w:w="964" w:type="dxa"/>
            <w:tcBorders>
              <w:bottom w:val="single" w:sz="4" w:space="0" w:color="auto"/>
            </w:tcBorders>
            <w:vAlign w:val="center"/>
          </w:tcPr>
          <w:p w14:paraId="278C7A98" w14:textId="77777777" w:rsidR="00D22425" w:rsidRPr="00DC0CA9" w:rsidRDefault="00D22425" w:rsidP="00082AE8">
            <w:pPr>
              <w:spacing w:before="100" w:after="100"/>
              <w:ind w:right="18"/>
              <w:jc w:val="right"/>
              <w:rPr>
                <w:rFonts w:ascii="Arial" w:hAnsi="Arial" w:cs="Arial"/>
                <w:b/>
                <w:bCs/>
                <w:lang w:val="en-US"/>
              </w:rPr>
            </w:pPr>
            <w:r w:rsidRPr="00DC0CA9">
              <w:rPr>
                <w:rFonts w:ascii="Arial" w:hAnsi="Arial" w:cs="Arial"/>
                <w:b/>
                <w:bCs/>
                <w:lang w:val="en-US"/>
              </w:rPr>
              <w:t>20</w:t>
            </w:r>
            <w:r>
              <w:rPr>
                <w:rFonts w:ascii="Arial" w:hAnsi="Arial" w:cs="Arial"/>
                <w:b/>
                <w:bCs/>
                <w:lang w:val="en-US"/>
              </w:rPr>
              <w:t>.</w:t>
            </w:r>
            <w:r w:rsidRPr="00DC0CA9">
              <w:rPr>
                <w:rFonts w:ascii="Arial" w:hAnsi="Arial" w:cs="Arial"/>
                <w:b/>
                <w:bCs/>
                <w:lang w:val="en-US"/>
              </w:rPr>
              <w:t>38</w:t>
            </w:r>
          </w:p>
        </w:tc>
        <w:tc>
          <w:tcPr>
            <w:tcW w:w="964" w:type="dxa"/>
            <w:tcBorders>
              <w:bottom w:val="single" w:sz="4" w:space="0" w:color="auto"/>
            </w:tcBorders>
            <w:vAlign w:val="center"/>
          </w:tcPr>
          <w:p w14:paraId="5347EC50" w14:textId="77777777" w:rsidR="00D22425" w:rsidRPr="00DC0CA9" w:rsidRDefault="00D22425" w:rsidP="00082AE8">
            <w:pPr>
              <w:spacing w:before="100" w:after="100"/>
              <w:ind w:right="18"/>
              <w:jc w:val="right"/>
              <w:rPr>
                <w:rFonts w:ascii="Arial" w:hAnsi="Arial" w:cs="Arial"/>
                <w:b/>
                <w:bCs/>
                <w:lang w:val="en-US"/>
              </w:rPr>
            </w:pPr>
            <w:r w:rsidRPr="00DC0CA9">
              <w:rPr>
                <w:rFonts w:ascii="Arial" w:hAnsi="Arial" w:cs="Arial"/>
                <w:b/>
                <w:bCs/>
                <w:lang w:val="en-US"/>
              </w:rPr>
              <w:t>19</w:t>
            </w:r>
            <w:r>
              <w:rPr>
                <w:rFonts w:ascii="Arial" w:hAnsi="Arial" w:cs="Arial"/>
                <w:b/>
                <w:bCs/>
                <w:lang w:val="en-US"/>
              </w:rPr>
              <w:t>.</w:t>
            </w:r>
            <w:r w:rsidRPr="00DC0CA9">
              <w:rPr>
                <w:rFonts w:ascii="Arial" w:hAnsi="Arial" w:cs="Arial"/>
                <w:b/>
                <w:bCs/>
                <w:lang w:val="en-US"/>
              </w:rPr>
              <w:t>98</w:t>
            </w:r>
          </w:p>
        </w:tc>
        <w:tc>
          <w:tcPr>
            <w:tcW w:w="964" w:type="dxa"/>
            <w:tcBorders>
              <w:bottom w:val="single" w:sz="4" w:space="0" w:color="auto"/>
            </w:tcBorders>
            <w:vAlign w:val="center"/>
          </w:tcPr>
          <w:p w14:paraId="0941A3C4" w14:textId="77777777" w:rsidR="00D22425" w:rsidRPr="00DC0CA9" w:rsidRDefault="00D22425" w:rsidP="00082AE8">
            <w:pPr>
              <w:spacing w:before="100" w:after="100"/>
              <w:ind w:right="18"/>
              <w:jc w:val="right"/>
              <w:rPr>
                <w:rFonts w:ascii="Arial" w:hAnsi="Arial" w:cs="Arial"/>
                <w:b/>
                <w:bCs/>
                <w:lang w:val="en-US"/>
              </w:rPr>
            </w:pPr>
            <w:r w:rsidRPr="00DC0CA9">
              <w:rPr>
                <w:rFonts w:ascii="Arial" w:hAnsi="Arial" w:cs="Arial"/>
                <w:b/>
                <w:bCs/>
                <w:lang w:val="en-US"/>
              </w:rPr>
              <w:t>19</w:t>
            </w:r>
            <w:r>
              <w:rPr>
                <w:rFonts w:ascii="Arial" w:hAnsi="Arial" w:cs="Arial"/>
                <w:b/>
                <w:bCs/>
                <w:lang w:val="en-US"/>
              </w:rPr>
              <w:t>.</w:t>
            </w:r>
            <w:r w:rsidRPr="00DC0CA9">
              <w:rPr>
                <w:rFonts w:ascii="Arial" w:hAnsi="Arial" w:cs="Arial"/>
                <w:b/>
                <w:bCs/>
                <w:lang w:val="en-US"/>
              </w:rPr>
              <w:t>74</w:t>
            </w:r>
          </w:p>
        </w:tc>
      </w:tr>
    </w:tbl>
    <w:p w14:paraId="1C56E2CF" w14:textId="77777777" w:rsidR="00D22425" w:rsidRPr="00DC0CA9" w:rsidRDefault="00D22425" w:rsidP="006B2C2A">
      <w:pPr>
        <w:spacing w:before="120" w:after="0" w:line="240" w:lineRule="auto"/>
        <w:ind w:right="424" w:firstLine="720"/>
        <w:jc w:val="center"/>
        <w:rPr>
          <w:rFonts w:ascii="Arial" w:hAnsi="Arial" w:cs="Arial"/>
          <w:b/>
          <w:bCs/>
          <w:i/>
          <w:sz w:val="2"/>
          <w:szCs w:val="20"/>
          <w:lang w:val="vi-VN"/>
        </w:rPr>
      </w:pPr>
    </w:p>
    <w:p w14:paraId="5CA56109" w14:textId="77777777" w:rsidR="00A2027E" w:rsidRPr="00DC0CA9" w:rsidRDefault="00A2027E" w:rsidP="00A2027E">
      <w:pPr>
        <w:spacing w:before="40" w:after="40" w:line="283" w:lineRule="auto"/>
        <w:ind w:firstLine="567"/>
        <w:jc w:val="both"/>
        <w:rPr>
          <w:rFonts w:ascii="Times New Roman" w:hAnsi="Times New Roman" w:cs="Times New Roman"/>
          <w:sz w:val="14"/>
          <w:szCs w:val="28"/>
          <w:lang w:val="en-US"/>
        </w:rPr>
      </w:pPr>
    </w:p>
    <w:p w14:paraId="14343315" w14:textId="77777777" w:rsidR="00FD0259" w:rsidRDefault="00FD0259" w:rsidP="00FA1162">
      <w:pPr>
        <w:spacing w:after="80" w:line="254" w:lineRule="auto"/>
        <w:ind w:firstLine="567"/>
        <w:jc w:val="both"/>
        <w:rPr>
          <w:rFonts w:ascii="Times New Roman" w:hAnsi="Times New Roman" w:cs="Times New Roman"/>
          <w:spacing w:val="-2"/>
          <w:sz w:val="28"/>
          <w:szCs w:val="28"/>
          <w:lang w:val="en-US"/>
        </w:rPr>
      </w:pPr>
      <w:r w:rsidRPr="00D23F2B">
        <w:rPr>
          <w:rFonts w:ascii="Times New Roman" w:hAnsi="Times New Roman" w:cs="Times New Roman"/>
          <w:i/>
          <w:iCs/>
          <w:spacing w:val="-2"/>
          <w:sz w:val="28"/>
          <w:szCs w:val="28"/>
          <w:lang w:val="en-US"/>
        </w:rPr>
        <w:t xml:space="preserve">Vietnam's investment abroad </w:t>
      </w:r>
      <w:r w:rsidRPr="00D23F2B">
        <w:rPr>
          <w:rFonts w:ascii="Times New Roman" w:hAnsi="Times New Roman" w:cs="Times New Roman"/>
          <w:spacing w:val="-2"/>
          <w:sz w:val="28"/>
          <w:szCs w:val="28"/>
          <w:lang w:val="en-US"/>
        </w:rPr>
        <w:t xml:space="preserve">in 2021, there were 61 projects newly granted investment certificates with a total investment capital of 409.1 million USD, increasing by 28.6% over the same period of last year; 22 turns of projects adjusted capital with decreased capital of 776 million USD. </w:t>
      </w:r>
    </w:p>
    <w:p w14:paraId="13148ACC" w14:textId="274CC1BF" w:rsidR="001105C0" w:rsidRPr="00DC0CA9" w:rsidRDefault="00CE7E51" w:rsidP="00FA1162">
      <w:pPr>
        <w:spacing w:after="80" w:line="254" w:lineRule="auto"/>
        <w:ind w:firstLine="567"/>
        <w:jc w:val="both"/>
        <w:rPr>
          <w:rFonts w:ascii="Times New Roman" w:hAnsi="Times New Roman" w:cs="Times New Roman"/>
          <w:i/>
          <w:sz w:val="28"/>
          <w:szCs w:val="28"/>
          <w:lang w:val="it-IT"/>
        </w:rPr>
      </w:pPr>
      <w:r w:rsidRPr="00DC0CA9">
        <w:rPr>
          <w:rFonts w:ascii="Times New Roman" w:hAnsi="Times New Roman" w:cs="Times New Roman"/>
          <w:b/>
          <w:i/>
          <w:sz w:val="28"/>
          <w:szCs w:val="28"/>
        </w:rPr>
        <w:t xml:space="preserve">8. </w:t>
      </w:r>
      <w:r w:rsidR="00B01F78" w:rsidRPr="00B01F78">
        <w:rPr>
          <w:rFonts w:ascii="Times New Roman" w:hAnsi="Times New Roman" w:cs="Times New Roman"/>
          <w:b/>
          <w:i/>
          <w:sz w:val="28"/>
          <w:szCs w:val="28"/>
          <w:lang w:val="nl-NL"/>
        </w:rPr>
        <w:t xml:space="preserve">Production and business activities continued to recover, contributing to the estimated State budget revenue in 2021 to reach 1,523.4 trillion VND and exceed the annual plan. State budget expenditures focused on giving priority to </w:t>
      </w:r>
      <w:r w:rsidR="00B01F78" w:rsidRPr="00B01F78">
        <w:rPr>
          <w:rFonts w:ascii="Times New Roman" w:hAnsi="Times New Roman" w:cs="Times New Roman"/>
          <w:b/>
          <w:i/>
          <w:sz w:val="28"/>
          <w:szCs w:val="28"/>
          <w:lang w:val="nl-NL"/>
        </w:rPr>
        <w:lastRenderedPageBreak/>
        <w:t>the prevention and control of the Covid-19 epidemic, overcoming natural disasters, ensuring national defense and security, and supporting people facing difficulties due to the impact of the pandemic.</w:t>
      </w:r>
    </w:p>
    <w:p w14:paraId="05763291" w14:textId="5EB783F6" w:rsidR="001105C0" w:rsidRPr="00DC0CA9" w:rsidRDefault="003F08E5" w:rsidP="00652BE2">
      <w:pPr>
        <w:spacing w:before="20" w:after="20" w:line="288" w:lineRule="auto"/>
        <w:ind w:firstLine="567"/>
        <w:jc w:val="both"/>
        <w:rPr>
          <w:rFonts w:ascii="Times New Roman" w:hAnsi="Times New Roman" w:cs="Times New Roman"/>
          <w:spacing w:val="2"/>
          <w:sz w:val="28"/>
          <w:szCs w:val="28"/>
          <w:lang w:val="nl-NL"/>
        </w:rPr>
      </w:pPr>
      <w:r w:rsidRPr="00CB78D5">
        <w:rPr>
          <w:rFonts w:ascii="Times New Roman" w:hAnsi="Times New Roman" w:cs="Times New Roman"/>
          <w:spacing w:val="-2"/>
          <w:sz w:val="28"/>
          <w:szCs w:val="28"/>
          <w:lang w:val="en-US"/>
        </w:rPr>
        <w:t>Total state budget revenue in 2021 was estimated to reach 1,523.4 trillion VND, equaling 113.4 % of the annual estimate (increasing by 180.1 trillion VND)</w:t>
      </w:r>
      <w:r>
        <w:rPr>
          <w:rFonts w:ascii="Times New Roman" w:hAnsi="Times New Roman" w:cs="Times New Roman"/>
          <w:spacing w:val="-2"/>
          <w:sz w:val="28"/>
          <w:szCs w:val="28"/>
          <w:lang w:val="en-US"/>
        </w:rPr>
        <w:t xml:space="preserve">, </w:t>
      </w:r>
      <w:r w:rsidR="005917EE">
        <w:rPr>
          <w:rFonts w:ascii="Times New Roman" w:hAnsi="Times New Roman" w:cs="Times New Roman"/>
          <w:spacing w:val="-2"/>
          <w:sz w:val="28"/>
          <w:szCs w:val="28"/>
          <w:lang w:val="en-US"/>
        </w:rPr>
        <w:t>of which</w:t>
      </w:r>
      <w:r w:rsidR="001105C0" w:rsidRPr="00DC0CA9">
        <w:rPr>
          <w:rFonts w:ascii="Times New Roman" w:hAnsi="Times New Roman" w:cs="Times New Roman"/>
          <w:sz w:val="28"/>
          <w:szCs w:val="28"/>
          <w:lang w:val="it-IT"/>
        </w:rPr>
        <w:t xml:space="preserve">: </w:t>
      </w:r>
      <w:r w:rsidR="00652BE2" w:rsidRPr="00CB78D5">
        <w:rPr>
          <w:rFonts w:ascii="Times New Roman" w:hAnsi="Times New Roman" w:cs="Times New Roman"/>
          <w:spacing w:val="-2"/>
          <w:sz w:val="28"/>
          <w:szCs w:val="28"/>
          <w:lang w:val="en-US"/>
        </w:rPr>
        <w:t>Domestic revenue equaled 110.4% of the yearly estimate (an increase of nearly 118 trillion VND);</w:t>
      </w:r>
      <w:r w:rsidR="002C2E4C">
        <w:rPr>
          <w:rFonts w:ascii="Times New Roman" w:hAnsi="Times New Roman" w:cs="Times New Roman"/>
          <w:spacing w:val="-2"/>
          <w:sz w:val="28"/>
          <w:szCs w:val="28"/>
          <w:lang w:val="en-US"/>
        </w:rPr>
        <w:t xml:space="preserve"> r</w:t>
      </w:r>
      <w:r w:rsidR="002C2E4C" w:rsidRPr="00CB78D5">
        <w:rPr>
          <w:rFonts w:ascii="Times New Roman" w:hAnsi="Times New Roman" w:cs="Times New Roman"/>
          <w:spacing w:val="-2"/>
          <w:sz w:val="28"/>
          <w:szCs w:val="28"/>
          <w:lang w:val="en-US"/>
        </w:rPr>
        <w:t>evenue from crude oil was 197.4% (up 22.6 trillion VND);</w:t>
      </w:r>
      <w:r w:rsidR="002C2E4C">
        <w:rPr>
          <w:rFonts w:ascii="Times New Roman" w:hAnsi="Times New Roman" w:cs="Times New Roman"/>
          <w:spacing w:val="-2"/>
          <w:sz w:val="28"/>
          <w:szCs w:val="28"/>
          <w:lang w:val="en-US"/>
        </w:rPr>
        <w:t xml:space="preserve"> b</w:t>
      </w:r>
      <w:r w:rsidR="002C2E4C" w:rsidRPr="00CB78D5">
        <w:rPr>
          <w:rFonts w:ascii="Times New Roman" w:hAnsi="Times New Roman" w:cs="Times New Roman"/>
          <w:spacing w:val="-2"/>
          <w:sz w:val="28"/>
          <w:szCs w:val="28"/>
          <w:lang w:val="en-US"/>
        </w:rPr>
        <w:t>alanced income from import and export activities equaled 122.1% (increasing by 39.5 trillion VND).</w:t>
      </w:r>
    </w:p>
    <w:p w14:paraId="0B772C23" w14:textId="77777777" w:rsidR="004E3A9B" w:rsidRDefault="004E3A9B" w:rsidP="004E3A9B">
      <w:pPr>
        <w:tabs>
          <w:tab w:val="left" w:pos="900"/>
        </w:tabs>
        <w:spacing w:before="20" w:after="20" w:line="264" w:lineRule="auto"/>
        <w:ind w:firstLine="567"/>
        <w:jc w:val="both"/>
        <w:rPr>
          <w:rFonts w:ascii="Times New Roman" w:hAnsi="Times New Roman" w:cs="Times New Roman"/>
          <w:sz w:val="28"/>
          <w:szCs w:val="28"/>
          <w:lang w:val="nl-NL"/>
        </w:rPr>
      </w:pPr>
      <w:r w:rsidRPr="00F0736C">
        <w:rPr>
          <w:rFonts w:ascii="Times New Roman" w:hAnsi="Times New Roman" w:cs="Times New Roman"/>
          <w:sz w:val="28"/>
          <w:szCs w:val="28"/>
          <w:lang w:val="nl-NL"/>
        </w:rPr>
        <w:t>Total state budget expenditure in 2021 was estimated at 1,839.2 trillion VND, equaling 109% of the annual estimate, of which recurrent expenditure was 102.3%; development investment expenditure equaled 106.4 %; interest payment was 96.2%.</w:t>
      </w:r>
    </w:p>
    <w:p w14:paraId="2D55B6C1" w14:textId="77777777" w:rsidR="00BF49A7" w:rsidRPr="00405AE1" w:rsidRDefault="00CE7E51" w:rsidP="00BF49A7">
      <w:pPr>
        <w:tabs>
          <w:tab w:val="left" w:pos="900"/>
          <w:tab w:val="left" w:pos="9475"/>
        </w:tabs>
        <w:spacing w:before="20" w:after="20" w:line="264" w:lineRule="auto"/>
        <w:ind w:right="4" w:firstLine="567"/>
        <w:jc w:val="both"/>
        <w:rPr>
          <w:rFonts w:ascii="Times New Roman Italic" w:hAnsi="Times New Roman Italic" w:cs="Times New Roman"/>
          <w:i/>
          <w:sz w:val="28"/>
          <w:szCs w:val="28"/>
          <w:lang w:val="es-NI"/>
        </w:rPr>
      </w:pPr>
      <w:r w:rsidRPr="00DC0CA9">
        <w:rPr>
          <w:rFonts w:ascii="Times New Roman" w:hAnsi="Times New Roman" w:cs="Times New Roman"/>
          <w:b/>
          <w:bCs/>
          <w:i/>
          <w:iCs/>
          <w:sz w:val="28"/>
          <w:szCs w:val="28"/>
        </w:rPr>
        <w:t xml:space="preserve">9. </w:t>
      </w:r>
      <w:r w:rsidR="00BF49A7" w:rsidRPr="00BF49A7">
        <w:rPr>
          <w:rFonts w:ascii="Times New Roman Italic" w:hAnsi="Times New Roman Italic" w:cs="Times New Roman"/>
          <w:b/>
          <w:bCs/>
          <w:i/>
          <w:sz w:val="28"/>
          <w:szCs w:val="28"/>
          <w:lang w:val="de-DE"/>
        </w:rPr>
        <w:t xml:space="preserve">In December 2021, the import and export of goods continued to be the bright spot of the economy with the total import and export turnover estimated at 66.5 billion USD, up 6.4% compared to previous months and up 19.7% over the same period last year. Generally, in 2021, the total import and export turnover of goods reach 668.5 billion USD, up 22.6% over last year, of which exports increased by 19%; imports increased by </w:t>
      </w:r>
      <w:r w:rsidR="00BF49A7" w:rsidRPr="00BF49A7">
        <w:rPr>
          <w:rStyle w:val="Strong"/>
          <w:rFonts w:ascii="Times New Roman" w:hAnsi="Times New Roman"/>
          <w:i/>
          <w:iCs/>
          <w:sz w:val="28"/>
          <w:szCs w:val="28"/>
          <w:lang w:val="en-US"/>
        </w:rPr>
        <w:t>26.5%</w:t>
      </w:r>
      <w:r w:rsidR="00BF49A7" w:rsidRPr="00BF49A7">
        <w:rPr>
          <w:rStyle w:val="FootnoteReference"/>
          <w:rFonts w:ascii="Times New Roman" w:hAnsi="Times New Roman"/>
          <w:i/>
          <w:iCs/>
          <w:sz w:val="28"/>
          <w:szCs w:val="28"/>
          <w:lang w:val="en-US"/>
        </w:rPr>
        <w:footnoteReference w:id="7"/>
      </w:r>
      <w:r w:rsidR="00BF49A7" w:rsidRPr="00BF49A7">
        <w:rPr>
          <w:rStyle w:val="Strong"/>
          <w:rFonts w:ascii="Times New Roman" w:hAnsi="Times New Roman"/>
          <w:i/>
          <w:iCs/>
          <w:sz w:val="28"/>
          <w:szCs w:val="28"/>
          <w:lang w:val="en-US"/>
        </w:rPr>
        <w:t>.</w:t>
      </w:r>
    </w:p>
    <w:p w14:paraId="5221D4E3" w14:textId="5235FA79" w:rsidR="00BE0E5A" w:rsidRPr="00DC0CA9" w:rsidRDefault="00BE0E5A" w:rsidP="00FA1162">
      <w:pPr>
        <w:tabs>
          <w:tab w:val="left" w:pos="900"/>
          <w:tab w:val="left" w:pos="9475"/>
        </w:tabs>
        <w:spacing w:after="80" w:line="254" w:lineRule="auto"/>
        <w:ind w:firstLine="567"/>
        <w:jc w:val="both"/>
        <w:rPr>
          <w:rStyle w:val="Strong"/>
          <w:rFonts w:ascii="Times New Roman" w:hAnsi="Times New Roman"/>
          <w:i/>
          <w:iCs/>
          <w:sz w:val="28"/>
          <w:szCs w:val="28"/>
          <w:lang w:val="de-DE"/>
        </w:rPr>
      </w:pPr>
      <w:bookmarkStart w:id="1" w:name="_Hlk54593811"/>
      <w:r w:rsidRPr="00DC0CA9">
        <w:rPr>
          <w:rStyle w:val="Strong"/>
          <w:rFonts w:ascii="Times New Roman" w:hAnsi="Times New Roman"/>
          <w:i/>
          <w:iCs/>
          <w:sz w:val="28"/>
          <w:szCs w:val="28"/>
          <w:lang w:val="de-DE"/>
        </w:rPr>
        <w:t xml:space="preserve">a) </w:t>
      </w:r>
      <w:r w:rsidR="00881288" w:rsidRPr="006D7720">
        <w:rPr>
          <w:rStyle w:val="Strong"/>
          <w:rFonts w:ascii="Times New Roman" w:hAnsi="Times New Roman"/>
          <w:i/>
          <w:iCs/>
          <w:sz w:val="28"/>
          <w:szCs w:val="28"/>
          <w:lang w:val="en-US"/>
        </w:rPr>
        <w:t>Export and import of goods</w:t>
      </w:r>
      <w:r w:rsidR="00881288" w:rsidRPr="006D7720">
        <w:rPr>
          <w:rFonts w:ascii="Times New Roman" w:hAnsi="Times New Roman" w:cs="Times New Roman"/>
          <w:i/>
          <w:iCs/>
          <w:sz w:val="28"/>
          <w:szCs w:val="28"/>
          <w:lang w:val="de-DE"/>
        </w:rPr>
        <w:t xml:space="preserve"> </w:t>
      </w:r>
      <w:r w:rsidR="00881288" w:rsidRPr="00BC5895">
        <w:rPr>
          <w:rStyle w:val="FootnoteReference"/>
          <w:rFonts w:ascii="Times New Roman" w:hAnsi="Times New Roman"/>
          <w:i/>
          <w:iCs/>
          <w:sz w:val="28"/>
          <w:szCs w:val="28"/>
          <w:lang w:val="de-DE"/>
        </w:rPr>
        <w:footnoteReference w:id="8"/>
      </w:r>
    </w:p>
    <w:bookmarkEnd w:id="1"/>
    <w:p w14:paraId="2E65F9D4" w14:textId="00065CB0" w:rsidR="00BE0E5A" w:rsidRPr="00DC0CA9" w:rsidRDefault="00D9424C" w:rsidP="006637D5">
      <w:pPr>
        <w:tabs>
          <w:tab w:val="num" w:pos="0"/>
        </w:tabs>
        <w:spacing w:before="40" w:after="40" w:line="288" w:lineRule="auto"/>
        <w:ind w:right="6" w:firstLine="567"/>
        <w:jc w:val="both"/>
        <w:rPr>
          <w:rFonts w:ascii="Times New Roman" w:hAnsi="Times New Roman" w:cs="Times New Roman"/>
          <w:b/>
          <w:bCs/>
          <w:spacing w:val="-4"/>
          <w:sz w:val="28"/>
          <w:szCs w:val="28"/>
          <w:lang w:val="es-NI"/>
        </w:rPr>
      </w:pPr>
      <w:r w:rsidRPr="00CE71B7">
        <w:rPr>
          <w:rFonts w:ascii="Times New Roman" w:hAnsi="Times New Roman" w:cs="Times New Roman"/>
          <w:bCs/>
          <w:i/>
          <w:iCs/>
          <w:sz w:val="28"/>
          <w:szCs w:val="28"/>
          <w:lang w:val="de-DE"/>
        </w:rPr>
        <w:t>Export turnover in December 2021</w:t>
      </w:r>
      <w:r w:rsidRPr="00CE71B7">
        <w:rPr>
          <w:rFonts w:ascii="Times New Roman" w:hAnsi="Times New Roman" w:cs="Times New Roman"/>
          <w:bCs/>
          <w:sz w:val="28"/>
          <w:szCs w:val="28"/>
          <w:lang w:val="de-DE"/>
        </w:rPr>
        <w:t xml:space="preserve"> was estimated at 34.5 billion USD, increased by 8.3% over the previous month</w:t>
      </w:r>
      <w:r w:rsidR="00BE0E5A" w:rsidRPr="00DC0CA9">
        <w:rPr>
          <w:rFonts w:ascii="Times New Roman" w:hAnsi="Times New Roman" w:cs="Times New Roman"/>
          <w:bCs/>
          <w:sz w:val="28"/>
          <w:szCs w:val="28"/>
          <w:lang w:val="vi-VN"/>
        </w:rPr>
        <w:t>.</w:t>
      </w:r>
      <w:r w:rsidR="00BE0E5A" w:rsidRPr="00DC0CA9">
        <w:rPr>
          <w:rFonts w:ascii="Times New Roman" w:hAnsi="Times New Roman" w:cs="Times New Roman"/>
          <w:bCs/>
          <w:sz w:val="28"/>
          <w:szCs w:val="28"/>
          <w:lang w:val="de-DE"/>
        </w:rPr>
        <w:t xml:space="preserve"> </w:t>
      </w:r>
      <w:r w:rsidR="00F734ED" w:rsidRPr="00E8747E">
        <w:rPr>
          <w:rFonts w:ascii="Times New Roman" w:hAnsi="Times New Roman" w:cs="Times New Roman"/>
          <w:spacing w:val="-4"/>
          <w:sz w:val="28"/>
          <w:szCs w:val="28"/>
          <w:lang w:val="de-DE"/>
        </w:rPr>
        <w:t>In the fourth quarter of 2021, export turnover was estimated at 95.6 billion USD, up 19.4% over the same period last year and 16.4% compared to the third quarter of 2021 (up 19.5% compared to the same period last year. II/2021 and increased by 21.9% compared to the first quarter of 2021.</w:t>
      </w:r>
      <w:r w:rsidR="005302D7">
        <w:rPr>
          <w:rFonts w:ascii="Times New Roman" w:hAnsi="Times New Roman" w:cs="Times New Roman"/>
          <w:spacing w:val="-4"/>
          <w:sz w:val="28"/>
          <w:szCs w:val="28"/>
          <w:lang w:val="de-DE"/>
        </w:rPr>
        <w:t xml:space="preserve"> </w:t>
      </w:r>
      <w:r w:rsidR="006637D5" w:rsidRPr="0006789F">
        <w:rPr>
          <w:rFonts w:ascii="Times New Roman" w:hAnsi="Times New Roman" w:cs="Times New Roman"/>
          <w:i/>
          <w:spacing w:val="-4"/>
          <w:sz w:val="28"/>
          <w:szCs w:val="28"/>
          <w:lang w:val="de-DE"/>
        </w:rPr>
        <w:t>Generally</w:t>
      </w:r>
      <w:r w:rsidR="006637D5" w:rsidRPr="0006789F">
        <w:rPr>
          <w:rFonts w:ascii="Times New Roman" w:hAnsi="Times New Roman" w:cs="Times New Roman"/>
          <w:iCs/>
          <w:spacing w:val="-4"/>
          <w:sz w:val="28"/>
          <w:szCs w:val="28"/>
          <w:lang w:val="de-DE"/>
        </w:rPr>
        <w:t>, in 2021, the export turnover was estimated at 336.25 billion USD, rose by 19% over 2020, of which, the domestic economic sector was 88.71 billion USD, up 13.4%, accounting for 26.4% of total export turnover; the FDI sector (including crude oil) attained 247.54 billion USD, increased by 21.1%, sharing 73.6%.</w:t>
      </w:r>
      <w:r w:rsidR="006637D5">
        <w:rPr>
          <w:rFonts w:ascii="Times New Roman" w:hAnsi="Times New Roman" w:cs="Times New Roman"/>
          <w:iCs/>
          <w:spacing w:val="-4"/>
          <w:sz w:val="28"/>
          <w:szCs w:val="28"/>
          <w:lang w:val="de-DE"/>
        </w:rPr>
        <w:t xml:space="preserve"> </w:t>
      </w:r>
      <w:r w:rsidR="00D508EA" w:rsidRPr="0006789F">
        <w:rPr>
          <w:rFonts w:ascii="Times New Roman" w:hAnsi="Times New Roman" w:cs="Times New Roman"/>
          <w:iCs/>
          <w:spacing w:val="-4"/>
          <w:sz w:val="28"/>
          <w:szCs w:val="28"/>
          <w:lang w:val="de-DE"/>
        </w:rPr>
        <w:t>In 2021, there were 35 products with an export turnover of over 1 billion USD, contributing 93.8% to the total export turnover (8 products with export turnover of over 10 billion USD, accounting for 69.7%).</w:t>
      </w:r>
    </w:p>
    <w:p w14:paraId="2ECDA227" w14:textId="77777777" w:rsidR="0094674C" w:rsidRDefault="007B1161" w:rsidP="0094674C">
      <w:pPr>
        <w:spacing w:before="40" w:after="40" w:line="288" w:lineRule="auto"/>
        <w:ind w:firstLine="562"/>
        <w:jc w:val="both"/>
        <w:rPr>
          <w:rFonts w:ascii="Times New Roman" w:hAnsi="Times New Roman" w:cs="Times New Roman"/>
          <w:sz w:val="28"/>
          <w:szCs w:val="28"/>
          <w:lang w:val="en-US"/>
        </w:rPr>
      </w:pPr>
      <w:r w:rsidRPr="00746498">
        <w:rPr>
          <w:rFonts w:ascii="Times New Roman" w:hAnsi="Times New Roman" w:cs="Times New Roman"/>
          <w:bCs/>
          <w:i/>
          <w:iCs/>
          <w:spacing w:val="-2"/>
          <w:sz w:val="28"/>
          <w:szCs w:val="28"/>
          <w:lang w:val="en-US"/>
        </w:rPr>
        <w:t xml:space="preserve">Import turnover in </w:t>
      </w:r>
      <w:r>
        <w:rPr>
          <w:rFonts w:ascii="Times New Roman" w:hAnsi="Times New Roman" w:cs="Times New Roman"/>
          <w:bCs/>
          <w:i/>
          <w:iCs/>
          <w:spacing w:val="-2"/>
          <w:sz w:val="28"/>
          <w:szCs w:val="28"/>
          <w:lang w:val="en-US"/>
        </w:rPr>
        <w:t>December</w:t>
      </w:r>
      <w:r w:rsidRPr="00746498">
        <w:rPr>
          <w:rFonts w:ascii="Times New Roman" w:hAnsi="Times New Roman" w:cs="Times New Roman"/>
          <w:bCs/>
          <w:i/>
          <w:iCs/>
          <w:spacing w:val="-2"/>
          <w:sz w:val="28"/>
          <w:szCs w:val="28"/>
          <w:lang w:val="en-US"/>
        </w:rPr>
        <w:t xml:space="preserve"> 2021</w:t>
      </w:r>
      <w:r w:rsidRPr="00D64BE4">
        <w:rPr>
          <w:rFonts w:ascii="Times New Roman" w:hAnsi="Times New Roman" w:cs="Times New Roman"/>
          <w:bCs/>
          <w:spacing w:val="-2"/>
          <w:sz w:val="28"/>
          <w:szCs w:val="28"/>
          <w:lang w:val="en-US"/>
        </w:rPr>
        <w:t xml:space="preserve"> was estimated at </w:t>
      </w:r>
      <w:r>
        <w:rPr>
          <w:rFonts w:ascii="Times New Roman" w:hAnsi="Times New Roman" w:cs="Times New Roman"/>
          <w:bCs/>
          <w:spacing w:val="-2"/>
          <w:sz w:val="28"/>
          <w:szCs w:val="28"/>
          <w:lang w:val="en-US"/>
        </w:rPr>
        <w:t>32</w:t>
      </w:r>
      <w:r w:rsidRPr="00D64BE4">
        <w:rPr>
          <w:rFonts w:ascii="Times New Roman" w:hAnsi="Times New Roman" w:cs="Times New Roman"/>
          <w:bCs/>
          <w:spacing w:val="-2"/>
          <w:sz w:val="28"/>
          <w:szCs w:val="28"/>
          <w:lang w:val="en-US"/>
        </w:rPr>
        <w:t xml:space="preserve"> billion</w:t>
      </w:r>
      <w:r w:rsidRPr="00D64BE4">
        <w:rPr>
          <w:rFonts w:ascii="Times New Roman" w:hAnsi="Times New Roman" w:cs="Times New Roman"/>
          <w:bCs/>
          <w:sz w:val="28"/>
          <w:szCs w:val="28"/>
          <w:lang w:val="en-US"/>
        </w:rPr>
        <w:t xml:space="preserve"> USD</w:t>
      </w:r>
      <w:r>
        <w:rPr>
          <w:rFonts w:ascii="Times New Roman" w:hAnsi="Times New Roman" w:cs="Times New Roman"/>
          <w:bCs/>
          <w:sz w:val="28"/>
          <w:szCs w:val="28"/>
          <w:lang w:val="en-US"/>
        </w:rPr>
        <w:t>,</w:t>
      </w:r>
      <w:r w:rsidRPr="00D64BE4">
        <w:rPr>
          <w:rFonts w:ascii="Times New Roman" w:hAnsi="Times New Roman" w:cs="Times New Roman"/>
          <w:bCs/>
          <w:spacing w:val="-2"/>
          <w:sz w:val="28"/>
          <w:szCs w:val="28"/>
          <w:lang w:val="en-US"/>
        </w:rPr>
        <w:t xml:space="preserve"> </w:t>
      </w:r>
      <w:r>
        <w:rPr>
          <w:rFonts w:ascii="Times New Roman" w:hAnsi="Times New Roman" w:cs="Times New Roman"/>
          <w:bCs/>
          <w:spacing w:val="-2"/>
          <w:sz w:val="28"/>
          <w:szCs w:val="28"/>
          <w:lang w:val="en-US"/>
        </w:rPr>
        <w:t>increased</w:t>
      </w:r>
      <w:r w:rsidRPr="00D64BE4">
        <w:rPr>
          <w:rFonts w:ascii="Times New Roman" w:hAnsi="Times New Roman" w:cs="Times New Roman"/>
          <w:bCs/>
          <w:spacing w:val="-2"/>
          <w:sz w:val="28"/>
          <w:szCs w:val="28"/>
          <w:lang w:val="en-US"/>
        </w:rPr>
        <w:t xml:space="preserve"> by </w:t>
      </w:r>
      <w:r>
        <w:rPr>
          <w:rFonts w:ascii="Times New Roman" w:hAnsi="Times New Roman" w:cs="Times New Roman"/>
          <w:bCs/>
          <w:spacing w:val="-2"/>
          <w:sz w:val="28"/>
          <w:szCs w:val="28"/>
          <w:lang w:val="en-US"/>
        </w:rPr>
        <w:t>4.5</w:t>
      </w:r>
      <w:r w:rsidRPr="00D64BE4">
        <w:rPr>
          <w:rFonts w:ascii="Times New Roman" w:hAnsi="Times New Roman" w:cs="Times New Roman"/>
          <w:bCs/>
          <w:spacing w:val="-2"/>
          <w:sz w:val="28"/>
          <w:szCs w:val="28"/>
          <w:lang w:val="en-US"/>
        </w:rPr>
        <w:t>% over the previous month</w:t>
      </w:r>
      <w:r>
        <w:rPr>
          <w:rFonts w:ascii="Times New Roman" w:hAnsi="Times New Roman" w:cs="Times New Roman"/>
          <w:bCs/>
          <w:spacing w:val="-2"/>
          <w:sz w:val="28"/>
          <w:szCs w:val="28"/>
          <w:lang w:val="en-US"/>
        </w:rPr>
        <w:t>.</w:t>
      </w:r>
      <w:r w:rsidR="00BE0E5A" w:rsidRPr="002850E5">
        <w:rPr>
          <w:rFonts w:ascii="Times New Roman" w:hAnsi="Times New Roman" w:cs="Times New Roman"/>
          <w:bCs/>
          <w:sz w:val="28"/>
          <w:szCs w:val="28"/>
          <w:lang w:val="de-DE"/>
        </w:rPr>
        <w:t xml:space="preserve"> </w:t>
      </w:r>
      <w:r w:rsidR="008677E4" w:rsidRPr="00AF54E6">
        <w:rPr>
          <w:rFonts w:ascii="Times New Roman" w:hAnsi="Times New Roman" w:cs="Times New Roman"/>
          <w:sz w:val="28"/>
          <w:szCs w:val="28"/>
          <w:lang w:val="de-DE"/>
        </w:rPr>
        <w:t xml:space="preserve">In the fourth quarter of 2021, import turnover was estimated at 89.07 billion USD, grew by 16% over the same period in 2020, and rose by 6.2% compared to the third quarter of 2021 (increased by 6.5% </w:t>
      </w:r>
      <w:r w:rsidR="008677E4" w:rsidRPr="00AF54E6">
        <w:rPr>
          <w:rFonts w:ascii="Times New Roman" w:hAnsi="Times New Roman" w:cs="Times New Roman"/>
          <w:sz w:val="28"/>
          <w:szCs w:val="28"/>
          <w:lang w:val="de-DE"/>
        </w:rPr>
        <w:lastRenderedPageBreak/>
        <w:t>compared to the second quarter of 2021 and increased by 17.6% compared to the first quarter of 2021).</w:t>
      </w:r>
      <w:r w:rsidR="00B3044E">
        <w:rPr>
          <w:rFonts w:ascii="Times New Roman" w:hAnsi="Times New Roman" w:cs="Times New Roman"/>
          <w:sz w:val="28"/>
          <w:szCs w:val="28"/>
          <w:lang w:val="de-DE"/>
        </w:rPr>
        <w:t xml:space="preserve"> </w:t>
      </w:r>
      <w:r w:rsidR="009C4385" w:rsidRPr="00AF54E6">
        <w:rPr>
          <w:rFonts w:ascii="Times New Roman" w:hAnsi="Times New Roman" w:cs="Times New Roman"/>
          <w:sz w:val="28"/>
          <w:szCs w:val="28"/>
          <w:lang w:val="de-DE"/>
        </w:rPr>
        <w:t xml:space="preserve">Generally, in 2021, the import turnover was estimated at 332.25 billion USD, increasing by 26.5% over 2020. Of which the domestic economic sector reached 114.07 billion USD, went up by 21.8%; the FDI sector gained 218.18 billion USD, edged up by 29.1%. </w:t>
      </w:r>
      <w:r w:rsidR="009C4385">
        <w:rPr>
          <w:rFonts w:ascii="Times New Roman" w:hAnsi="Times New Roman" w:cs="Times New Roman"/>
          <w:sz w:val="28"/>
          <w:szCs w:val="28"/>
          <w:lang w:val="de-DE"/>
        </w:rPr>
        <w:t xml:space="preserve"> </w:t>
      </w:r>
      <w:r w:rsidR="0094674C" w:rsidRPr="00D64BE4">
        <w:rPr>
          <w:rFonts w:ascii="Times New Roman" w:hAnsi="Times New Roman" w:cs="Times New Roman"/>
          <w:sz w:val="28"/>
          <w:szCs w:val="28"/>
          <w:lang w:val="en-US"/>
        </w:rPr>
        <w:t xml:space="preserve">In </w:t>
      </w:r>
      <w:r w:rsidR="0094674C" w:rsidRPr="00D64BE4">
        <w:rPr>
          <w:rFonts w:ascii="Times New Roman" w:eastAsia="Batang" w:hAnsi="Times New Roman" w:cs="Times New Roman"/>
          <w:sz w:val="28"/>
          <w:szCs w:val="28"/>
        </w:rPr>
        <w:t>2021</w:t>
      </w:r>
      <w:r w:rsidR="0094674C">
        <w:rPr>
          <w:rFonts w:ascii="Times New Roman" w:eastAsia="Batang" w:hAnsi="Times New Roman" w:cs="Times New Roman"/>
          <w:sz w:val="28"/>
          <w:szCs w:val="28"/>
        </w:rPr>
        <w:t>,</w:t>
      </w:r>
      <w:r w:rsidR="0094674C" w:rsidRPr="00D64BE4">
        <w:rPr>
          <w:rFonts w:ascii="Times New Roman" w:hAnsi="Times New Roman" w:cs="Times New Roman"/>
          <w:sz w:val="28"/>
          <w:szCs w:val="28"/>
          <w:lang w:val="en-US"/>
        </w:rPr>
        <w:t xml:space="preserve"> there were </w:t>
      </w:r>
      <w:bookmarkStart w:id="2" w:name="_Hlk60145952"/>
      <w:r w:rsidR="0094674C">
        <w:rPr>
          <w:rFonts w:ascii="Times New Roman" w:hAnsi="Times New Roman" w:cs="Times New Roman"/>
          <w:sz w:val="28"/>
          <w:szCs w:val="28"/>
          <w:lang w:val="en-US"/>
        </w:rPr>
        <w:t>47</w:t>
      </w:r>
      <w:r w:rsidR="0094674C" w:rsidRPr="00D64BE4">
        <w:rPr>
          <w:rFonts w:ascii="Times New Roman" w:hAnsi="Times New Roman" w:cs="Times New Roman"/>
          <w:sz w:val="28"/>
          <w:szCs w:val="28"/>
          <w:lang w:val="en-US"/>
        </w:rPr>
        <w:t xml:space="preserve"> imported products with </w:t>
      </w:r>
      <w:r w:rsidR="0094674C">
        <w:rPr>
          <w:rFonts w:ascii="Times New Roman" w:hAnsi="Times New Roman" w:cs="Times New Roman"/>
          <w:sz w:val="28"/>
          <w:szCs w:val="28"/>
          <w:lang w:val="en-US"/>
        </w:rPr>
        <w:t xml:space="preserve">a </w:t>
      </w:r>
      <w:r w:rsidR="0094674C" w:rsidRPr="00D64BE4">
        <w:rPr>
          <w:rFonts w:ascii="Times New Roman" w:hAnsi="Times New Roman" w:cs="Times New Roman"/>
          <w:sz w:val="28"/>
          <w:szCs w:val="28"/>
          <w:lang w:val="en-US"/>
        </w:rPr>
        <w:t>turnover of over 1 billion USD</w:t>
      </w:r>
      <w:r w:rsidR="0094674C">
        <w:rPr>
          <w:rFonts w:ascii="Times New Roman" w:hAnsi="Times New Roman" w:cs="Times New Roman"/>
          <w:sz w:val="28"/>
          <w:szCs w:val="28"/>
          <w:lang w:val="en-US"/>
        </w:rPr>
        <w:t>,</w:t>
      </w:r>
      <w:r w:rsidR="0094674C" w:rsidRPr="00D64BE4">
        <w:rPr>
          <w:rFonts w:ascii="Times New Roman" w:hAnsi="Times New Roman" w:cs="Times New Roman"/>
          <w:sz w:val="28"/>
          <w:szCs w:val="28"/>
          <w:lang w:val="en-US"/>
        </w:rPr>
        <w:t xml:space="preserve"> accounting for </w:t>
      </w:r>
      <w:r w:rsidR="0094674C">
        <w:rPr>
          <w:rFonts w:ascii="Times New Roman" w:hAnsi="Times New Roman" w:cs="Times New Roman"/>
          <w:sz w:val="28"/>
          <w:szCs w:val="28"/>
          <w:lang w:val="en-US"/>
        </w:rPr>
        <w:t>94.1</w:t>
      </w:r>
      <w:r w:rsidR="0094674C" w:rsidRPr="00D64BE4">
        <w:rPr>
          <w:rFonts w:ascii="Times New Roman" w:hAnsi="Times New Roman" w:cs="Times New Roman"/>
          <w:sz w:val="28"/>
          <w:szCs w:val="28"/>
          <w:lang w:val="en-US"/>
        </w:rPr>
        <w:t>% of total import turnover</w:t>
      </w:r>
      <w:bookmarkEnd w:id="2"/>
      <w:r w:rsidR="0094674C">
        <w:rPr>
          <w:rFonts w:ascii="Times New Roman" w:hAnsi="Times New Roman" w:cs="Times New Roman"/>
          <w:sz w:val="28"/>
          <w:szCs w:val="28"/>
          <w:lang w:val="en-US"/>
        </w:rPr>
        <w:t>.</w:t>
      </w:r>
    </w:p>
    <w:p w14:paraId="110CE926" w14:textId="620F2F8D" w:rsidR="00CE7E51" w:rsidRPr="00DC0CA9" w:rsidRDefault="00CE7E51" w:rsidP="000104CA">
      <w:pPr>
        <w:spacing w:after="120" w:line="350" w:lineRule="exact"/>
        <w:ind w:firstLine="567"/>
        <w:jc w:val="both"/>
        <w:rPr>
          <w:rFonts w:ascii="Times New Roman" w:hAnsi="Times New Roman" w:cs="Times New Roman"/>
          <w:b/>
          <w:bCs/>
          <w:i/>
          <w:iCs/>
          <w:sz w:val="28"/>
          <w:szCs w:val="28"/>
        </w:rPr>
      </w:pPr>
      <w:r w:rsidRPr="00DC0CA9">
        <w:rPr>
          <w:rFonts w:ascii="Times New Roman" w:hAnsi="Times New Roman" w:cs="Times New Roman"/>
          <w:b/>
          <w:bCs/>
          <w:i/>
          <w:iCs/>
          <w:sz w:val="28"/>
          <w:szCs w:val="28"/>
        </w:rPr>
        <w:t xml:space="preserve">b) </w:t>
      </w:r>
      <w:r w:rsidR="00F53FE3" w:rsidRPr="00B87FA1">
        <w:rPr>
          <w:rFonts w:ascii="Times New Roman" w:hAnsi="Times New Roman" w:cs="Times New Roman"/>
          <w:b/>
          <w:bCs/>
          <w:i/>
          <w:sz w:val="28"/>
          <w:szCs w:val="28"/>
          <w:lang w:val="en-US"/>
        </w:rPr>
        <w:t>Export and import of services</w:t>
      </w:r>
    </w:p>
    <w:p w14:paraId="1CE3D542" w14:textId="77777777" w:rsidR="00316637" w:rsidRDefault="001F7F04" w:rsidP="00316637">
      <w:pPr>
        <w:shd w:val="clear" w:color="auto" w:fill="FFFFFF"/>
        <w:spacing w:before="40" w:after="40" w:line="269" w:lineRule="auto"/>
        <w:ind w:firstLine="567"/>
        <w:jc w:val="both"/>
        <w:rPr>
          <w:rFonts w:ascii="Times New Roman" w:hAnsi="Times New Roman" w:cs="Times New Roman"/>
          <w:sz w:val="28"/>
          <w:szCs w:val="28"/>
        </w:rPr>
      </w:pPr>
      <w:r w:rsidRPr="00E14201">
        <w:rPr>
          <w:rFonts w:ascii="Times New Roman" w:hAnsi="Times New Roman" w:cs="Times New Roman"/>
          <w:sz w:val="28"/>
          <w:szCs w:val="28"/>
        </w:rPr>
        <w:t>In 2021, export turnover of services was estimated at 3.67 billion USD, went down 51.7% over 2020, of which travel service gained 149 million USD (accounting for 4.1% of the total turnover), decreased by 95.4%; transportation service reached 446 million USD (accounting for 12.1%), decreased by 61.4%.</w:t>
      </w:r>
      <w:r>
        <w:rPr>
          <w:rFonts w:ascii="Times New Roman" w:hAnsi="Times New Roman" w:cs="Times New Roman"/>
          <w:sz w:val="28"/>
          <w:szCs w:val="28"/>
        </w:rPr>
        <w:t xml:space="preserve"> </w:t>
      </w:r>
      <w:r w:rsidR="00316637" w:rsidRPr="00E14201">
        <w:rPr>
          <w:rFonts w:ascii="Times New Roman" w:hAnsi="Times New Roman" w:cs="Times New Roman"/>
          <w:sz w:val="28"/>
          <w:szCs w:val="28"/>
        </w:rPr>
        <w:t>Import turnover of service in this year estimated at 19.41 billion USD, edged up by 8.5% over last year, of which transport services gained 9.99 billion USD (accounting for 51.5% of total turnover), increased by 34.2%; travel services reached 3.63 billion USD (sharing 18.7%), declined by 21.3%. The trade deficit of services in 2021 was 15.73 billion USD (in which the cost of transportation and insurance from the import of goods was 8.24 billion USD).</w:t>
      </w:r>
    </w:p>
    <w:p w14:paraId="3D2F2C63" w14:textId="58BC049E" w:rsidR="00527635" w:rsidRPr="00DC0CA9" w:rsidRDefault="00334CD3" w:rsidP="000104CA">
      <w:pPr>
        <w:pStyle w:val="NormalWeb"/>
        <w:spacing w:before="0" w:beforeAutospacing="0" w:after="120" w:afterAutospacing="0" w:line="350" w:lineRule="exact"/>
        <w:ind w:firstLine="567"/>
        <w:jc w:val="both"/>
        <w:rPr>
          <w:rFonts w:ascii="Times New Roman Italic" w:hAnsi="Times New Roman Italic" w:cs="Times New Roman"/>
          <w:i/>
          <w:spacing w:val="-4"/>
          <w:sz w:val="28"/>
          <w:szCs w:val="28"/>
          <w:lang w:val="nl-NL"/>
        </w:rPr>
      </w:pPr>
      <w:r w:rsidRPr="00DC0CA9">
        <w:rPr>
          <w:rFonts w:ascii="Times New Roman" w:hAnsi="Times New Roman" w:cs="Times New Roman"/>
          <w:b/>
          <w:bCs/>
          <w:i/>
          <w:sz w:val="28"/>
          <w:szCs w:val="28"/>
        </w:rPr>
        <w:t xml:space="preserve">10. </w:t>
      </w:r>
      <w:r w:rsidR="00F0332A" w:rsidRPr="00F0332A">
        <w:rPr>
          <w:rFonts w:ascii="Times New Roman" w:hAnsi="Times New Roman" w:cs="Times New Roman"/>
          <w:b/>
          <w:i/>
          <w:sz w:val="28"/>
          <w:szCs w:val="28"/>
        </w:rPr>
        <w:t>Petrol and gas prices in the month decreased according to world fuel prices; the Covid-19 epidemic has complicated developments throughout the country; tuition fees for the first semester of the academic year 2021-2022 continue to be exempted and reduced in some localities, which were the main reasons for the consumer price index (CPI) in December 2021 decreased by 0.18% compared to the previous month and increased by 1.81% compared to December 2020. On average, in 2021, CPI increased by 1.84% over the previous year, the lowest increase since 2016 . Core inflation in 12 months increased by 0.81%.</w:t>
      </w:r>
      <w:r w:rsidR="00F0332A">
        <w:rPr>
          <w:rFonts w:ascii="Times New Roman" w:hAnsi="Times New Roman" w:cs="Times New Roman"/>
          <w:b/>
          <w:i/>
          <w:sz w:val="28"/>
          <w:szCs w:val="28"/>
        </w:rPr>
        <w:t xml:space="preserve"> </w:t>
      </w:r>
      <w:r w:rsidR="006F7311" w:rsidRPr="006F7311">
        <w:rPr>
          <w:rFonts w:ascii="Times New Roman" w:hAnsi="Times New Roman" w:cs="Times New Roman"/>
          <w:b/>
          <w:i/>
          <w:spacing w:val="-4"/>
          <w:sz w:val="28"/>
          <w:szCs w:val="28"/>
          <w:lang w:val="nl-NL"/>
        </w:rPr>
        <w:t>Producer price index, input producer price index used for production, the merchandise export and import price indexes of goods in 2021 increased compared to the previous year. Merchandise term of trade in 2021 decreased by 2.49% compared to 2020, reflecting the unfavorable export price of goods compared to the importing goods price from abroad to Vietnam.</w:t>
      </w:r>
    </w:p>
    <w:p w14:paraId="3E6A5A49" w14:textId="32D15B86" w:rsidR="005271A6" w:rsidRPr="00DC0CA9" w:rsidRDefault="005271A6" w:rsidP="000104CA">
      <w:pPr>
        <w:shd w:val="clear" w:color="auto" w:fill="FFFFFF"/>
        <w:spacing w:after="120" w:line="350" w:lineRule="exact"/>
        <w:ind w:firstLine="567"/>
        <w:jc w:val="both"/>
        <w:rPr>
          <w:rFonts w:ascii="Times New Roman" w:hAnsi="Times New Roman" w:cs="Times New Roman"/>
          <w:b/>
          <w:bCs/>
          <w:i/>
          <w:iCs/>
          <w:sz w:val="28"/>
          <w:szCs w:val="28"/>
        </w:rPr>
      </w:pPr>
      <w:r w:rsidRPr="00DC0CA9">
        <w:rPr>
          <w:rFonts w:ascii="Times New Roman" w:hAnsi="Times New Roman" w:cs="Times New Roman"/>
          <w:b/>
          <w:bCs/>
          <w:i/>
          <w:iCs/>
          <w:sz w:val="28"/>
          <w:szCs w:val="28"/>
        </w:rPr>
        <w:t xml:space="preserve">a) </w:t>
      </w:r>
      <w:r w:rsidR="00C42E1F" w:rsidRPr="006D7720">
        <w:rPr>
          <w:rFonts w:ascii="Times New Roman" w:hAnsi="Times New Roman" w:cs="Times New Roman"/>
          <w:b/>
          <w:bCs/>
          <w:i/>
          <w:iCs/>
          <w:sz w:val="28"/>
          <w:szCs w:val="28"/>
        </w:rPr>
        <w:t>Consumer price index</w:t>
      </w:r>
    </w:p>
    <w:p w14:paraId="532A0E42" w14:textId="3E3267A3" w:rsidR="00AD2EEC" w:rsidRPr="00DC0CA9" w:rsidRDefault="005A1BBD" w:rsidP="005A1BBD">
      <w:pPr>
        <w:pStyle w:val="FootnoteText"/>
        <w:spacing w:before="40" w:after="40"/>
        <w:ind w:right="142" w:firstLine="567"/>
        <w:jc w:val="both"/>
        <w:rPr>
          <w:rStyle w:val="normalchar"/>
          <w:rFonts w:ascii="Times New Roman" w:hAnsi="Times New Roman"/>
          <w:sz w:val="28"/>
          <w:szCs w:val="28"/>
          <w:lang w:val="nl-NL"/>
        </w:rPr>
      </w:pPr>
      <w:r w:rsidRPr="00AB380F">
        <w:rPr>
          <w:rStyle w:val="normalchar"/>
          <w:rFonts w:ascii="Times New Roman" w:hAnsi="Times New Roman"/>
          <w:sz w:val="28"/>
          <w:szCs w:val="28"/>
          <w:lang w:val="nl-NL"/>
        </w:rPr>
        <w:t>The consumer price index (CPI) in December 2021 decreased by 0.18% compared to the previous month, of which: 4 groups of goods and services had a decrease in the price index and 7 groups with an increase in the price index</w:t>
      </w:r>
      <w:r w:rsidR="00AD2EEC" w:rsidRPr="00DC0CA9">
        <w:rPr>
          <w:rFonts w:ascii="Times New Roman" w:hAnsi="Times New Roman" w:cs="Times New Roman"/>
          <w:sz w:val="28"/>
          <w:szCs w:val="28"/>
          <w:lang w:val="es-NI"/>
        </w:rPr>
        <w:t xml:space="preserve">, </w:t>
      </w:r>
      <w:r w:rsidR="001E3FF7">
        <w:rPr>
          <w:rFonts w:ascii="Times New Roman" w:hAnsi="Times New Roman" w:cs="Times New Roman"/>
          <w:sz w:val="28"/>
          <w:szCs w:val="28"/>
          <w:lang w:val="es-NI"/>
        </w:rPr>
        <w:t>of w</w:t>
      </w:r>
      <w:r w:rsidR="00E84095">
        <w:rPr>
          <w:rFonts w:ascii="Times New Roman" w:hAnsi="Times New Roman" w:cs="Times New Roman"/>
          <w:sz w:val="28"/>
          <w:szCs w:val="28"/>
          <w:lang w:val="es-NI"/>
        </w:rPr>
        <w:t>h</w:t>
      </w:r>
      <w:r w:rsidR="001E3FF7">
        <w:rPr>
          <w:rFonts w:ascii="Times New Roman" w:hAnsi="Times New Roman" w:cs="Times New Roman"/>
          <w:sz w:val="28"/>
          <w:szCs w:val="28"/>
          <w:lang w:val="es-NI"/>
        </w:rPr>
        <w:t xml:space="preserve">ich </w:t>
      </w:r>
      <w:r w:rsidR="00E84095" w:rsidRPr="00476980">
        <w:rPr>
          <w:rStyle w:val="normalchar"/>
          <w:rFonts w:ascii="Times New Roman" w:hAnsi="Times New Roman"/>
          <w:i/>
          <w:iCs/>
          <w:sz w:val="28"/>
          <w:szCs w:val="28"/>
          <w:lang w:val="nl-NL"/>
        </w:rPr>
        <w:t>Transport group</w:t>
      </w:r>
      <w:r w:rsidR="00E84095" w:rsidRPr="00AB380F">
        <w:rPr>
          <w:rStyle w:val="normalchar"/>
          <w:rFonts w:ascii="Times New Roman" w:hAnsi="Times New Roman"/>
          <w:sz w:val="28"/>
          <w:szCs w:val="28"/>
          <w:lang w:val="nl-NL"/>
        </w:rPr>
        <w:t xml:space="preserve"> had the largest decrease with 1.71%</w:t>
      </w:r>
      <w:r w:rsidR="00E84095">
        <w:rPr>
          <w:rStyle w:val="normalchar"/>
          <w:rFonts w:ascii="Times New Roman" w:hAnsi="Times New Roman"/>
          <w:sz w:val="28"/>
          <w:szCs w:val="28"/>
          <w:lang w:val="nl-NL"/>
        </w:rPr>
        <w:t xml:space="preserve">; </w:t>
      </w:r>
      <w:r w:rsidR="00D36E6F" w:rsidRPr="006D7720">
        <w:rPr>
          <w:rFonts w:ascii="Times New Roman" w:hAnsi="Times New Roman" w:cs="Times New Roman"/>
          <w:i/>
          <w:iCs/>
          <w:spacing w:val="-2"/>
          <w:sz w:val="28"/>
          <w:szCs w:val="28"/>
          <w:lang w:val="en-US"/>
        </w:rPr>
        <w:t>Garments, hats, and shoes</w:t>
      </w:r>
      <w:r w:rsidR="00D36E6F" w:rsidRPr="00D21693">
        <w:rPr>
          <w:rFonts w:ascii="Times New Roman" w:hAnsi="Times New Roman" w:cs="Times New Roman"/>
          <w:sz w:val="28"/>
          <w:szCs w:val="28"/>
          <w:lang w:val="es-NI"/>
        </w:rPr>
        <w:t xml:space="preserve"> had the highest increase with 0.22%</w:t>
      </w:r>
      <w:r w:rsidR="00D36E6F">
        <w:rPr>
          <w:rFonts w:ascii="Times New Roman" w:hAnsi="Times New Roman" w:cs="Times New Roman"/>
          <w:sz w:val="28"/>
          <w:szCs w:val="28"/>
          <w:lang w:val="es-NI"/>
        </w:rPr>
        <w:t xml:space="preserve">. </w:t>
      </w:r>
      <w:r w:rsidR="0000008B" w:rsidRPr="008822E2">
        <w:rPr>
          <w:rStyle w:val="normalchar"/>
          <w:rFonts w:ascii="Times New Roman" w:hAnsi="Times New Roman"/>
          <w:sz w:val="28"/>
          <w:szCs w:val="28"/>
          <w:lang w:val="nl-NL"/>
        </w:rPr>
        <w:t>In the fourth quarter of 2021, CPI decreased by 0.38% compared to the previous quarter and increased by 1.89% over the same period in 2020.</w:t>
      </w:r>
      <w:r w:rsidR="00AD2EEC" w:rsidRPr="00DC0CA9">
        <w:rPr>
          <w:rStyle w:val="normalchar"/>
          <w:rFonts w:ascii="Times New Roman" w:hAnsi="Times New Roman"/>
          <w:sz w:val="28"/>
          <w:szCs w:val="28"/>
          <w:lang w:val="nl-NL"/>
        </w:rPr>
        <w:t xml:space="preserve"> </w:t>
      </w:r>
      <w:r w:rsidR="006717AC" w:rsidRPr="00F17264">
        <w:rPr>
          <w:rStyle w:val="normalchar"/>
          <w:rFonts w:ascii="Times New Roman" w:hAnsi="Times New Roman"/>
          <w:sz w:val="28"/>
          <w:szCs w:val="28"/>
          <w:lang w:val="nl-NL"/>
        </w:rPr>
        <w:t>The average CPI in 2021 increased by 1.84% compared to the average in 2020, the lowest average increase since 2016.</w:t>
      </w:r>
      <w:r w:rsidR="00AD2EEC" w:rsidRPr="00DC0CA9">
        <w:rPr>
          <w:rStyle w:val="normalchar"/>
          <w:rFonts w:ascii="Times New Roman" w:hAnsi="Times New Roman"/>
          <w:sz w:val="28"/>
          <w:szCs w:val="28"/>
          <w:lang w:val="nl-NL"/>
        </w:rPr>
        <w:t xml:space="preserve"> </w:t>
      </w:r>
      <w:r w:rsidR="00A648FB" w:rsidRPr="00921603">
        <w:rPr>
          <w:rStyle w:val="normalchar"/>
          <w:rFonts w:ascii="Times New Roman" w:hAnsi="Times New Roman"/>
          <w:spacing w:val="-6"/>
          <w:sz w:val="28"/>
          <w:szCs w:val="28"/>
          <w:lang w:val="nl-NL"/>
        </w:rPr>
        <w:t>Average core inflation in 2021 increased by 0.81% compared to the average in 2020.</w:t>
      </w:r>
    </w:p>
    <w:p w14:paraId="3DC1C2E4" w14:textId="1F8AD2CF" w:rsidR="005271A6" w:rsidRPr="00DC0CA9" w:rsidRDefault="005271A6" w:rsidP="000104CA">
      <w:pPr>
        <w:spacing w:after="120" w:line="350" w:lineRule="exact"/>
        <w:ind w:firstLine="567"/>
        <w:jc w:val="both"/>
        <w:rPr>
          <w:rStyle w:val="a21"/>
          <w:rFonts w:ascii="Times New Roman" w:hAnsi="Times New Roman" w:cs="Times New Roman"/>
          <w:b/>
          <w:i/>
          <w:sz w:val="28"/>
          <w:szCs w:val="28"/>
        </w:rPr>
      </w:pPr>
      <w:r w:rsidRPr="00DC0CA9">
        <w:rPr>
          <w:rStyle w:val="a21"/>
          <w:rFonts w:ascii="Times New Roman" w:hAnsi="Times New Roman" w:cs="Times New Roman"/>
          <w:b/>
          <w:i/>
          <w:sz w:val="28"/>
          <w:szCs w:val="28"/>
        </w:rPr>
        <w:lastRenderedPageBreak/>
        <w:t xml:space="preserve">b) </w:t>
      </w:r>
      <w:r w:rsidR="00155C21" w:rsidRPr="006D7720">
        <w:rPr>
          <w:rStyle w:val="a21"/>
          <w:rFonts w:ascii="Times New Roman" w:hAnsi="Times New Roman" w:cs="Times New Roman"/>
          <w:b/>
          <w:i/>
          <w:sz w:val="28"/>
          <w:szCs w:val="28"/>
        </w:rPr>
        <w:t>Gold price index and US dollar</w:t>
      </w:r>
    </w:p>
    <w:p w14:paraId="52810CA4" w14:textId="77777777" w:rsidR="0008122E" w:rsidRPr="00320D36" w:rsidRDefault="0008122E" w:rsidP="0008122E">
      <w:pPr>
        <w:tabs>
          <w:tab w:val="left" w:pos="720"/>
        </w:tabs>
        <w:spacing w:before="40" w:after="40"/>
        <w:ind w:right="142" w:firstLine="567"/>
        <w:jc w:val="both"/>
        <w:rPr>
          <w:rStyle w:val="a21"/>
          <w:rFonts w:ascii="Times New Roman" w:hAnsi="Times New Roman" w:cs="Times New Roman"/>
          <w:spacing w:val="-4"/>
          <w:sz w:val="28"/>
          <w:szCs w:val="28"/>
          <w:lang w:val="nl-NL"/>
        </w:rPr>
      </w:pPr>
      <w:r w:rsidRPr="00320D36">
        <w:rPr>
          <w:rStyle w:val="a21"/>
          <w:rFonts w:ascii="Times New Roman" w:hAnsi="Times New Roman" w:cs="Times New Roman"/>
          <w:spacing w:val="-4"/>
          <w:sz w:val="28"/>
          <w:szCs w:val="28"/>
          <w:lang w:val="nl-NL"/>
        </w:rPr>
        <w:t>The domestic gold price fluctuated opposite to world gold prices. On average, the world gold price as of December 25th, 2021 decreased by 1.8% compared to November 2021 due to the increase of the dollar and US bond yields in line with the expectation that US interest rates will increase next year. Domestically, the gold price index in December 2021 increased by 0.25% compared to the previous month; an increase of 1% compared to December 2020, and an average increase of 8.67% in 2021 compared to the previous year.</w:t>
      </w:r>
    </w:p>
    <w:p w14:paraId="31889B01" w14:textId="77777777" w:rsidR="006C62D0" w:rsidRDefault="006C62D0" w:rsidP="006C62D0">
      <w:pPr>
        <w:tabs>
          <w:tab w:val="left" w:pos="720"/>
        </w:tabs>
        <w:spacing w:before="40" w:after="40"/>
        <w:ind w:right="142" w:firstLine="567"/>
        <w:jc w:val="both"/>
        <w:rPr>
          <w:rStyle w:val="a21"/>
          <w:rFonts w:ascii="Times New Roman" w:hAnsi="Times New Roman" w:cs="Times New Roman"/>
          <w:spacing w:val="-4"/>
          <w:sz w:val="28"/>
          <w:szCs w:val="28"/>
          <w:lang w:val="nl-NL"/>
        </w:rPr>
      </w:pPr>
      <w:r w:rsidRPr="00320D36">
        <w:rPr>
          <w:rStyle w:val="a21"/>
          <w:rFonts w:ascii="Times New Roman" w:hAnsi="Times New Roman" w:cs="Times New Roman"/>
          <w:spacing w:val="-4"/>
          <w:sz w:val="28"/>
          <w:szCs w:val="28"/>
          <w:lang w:val="nl-NL"/>
        </w:rPr>
        <w:t>The US dollar in world markets rose amid high US inflation, as investors moved away from riskier currencies after central banks made decisions on raising interest rates as well as concerns about the possibility of the spread of the Omicron mutation. Domestically, due to the increased demand for foreign currency by import enterprises making the US dollar price index in December 2021 increased by 0.84% ​​compared to the previous month; decreased by 0.58% compared to December 2020 and on average in 2021 decreased by 0.97% compared to the previous year.</w:t>
      </w:r>
    </w:p>
    <w:p w14:paraId="4E3E80C9" w14:textId="4DE06894" w:rsidR="009A2B2F" w:rsidRPr="00193CE8" w:rsidRDefault="00B979B2" w:rsidP="009A2B2F">
      <w:pPr>
        <w:tabs>
          <w:tab w:val="left" w:pos="720"/>
        </w:tabs>
        <w:spacing w:after="120" w:line="340" w:lineRule="exact"/>
        <w:ind w:firstLine="567"/>
        <w:jc w:val="both"/>
        <w:rPr>
          <w:rFonts w:ascii="Times New Roman" w:hAnsi="Times New Roman" w:cs="Times New Roman"/>
          <w:sz w:val="28"/>
          <w:szCs w:val="28"/>
        </w:rPr>
      </w:pPr>
      <w:r w:rsidRPr="00DC0CA9">
        <w:rPr>
          <w:rFonts w:ascii="Times New Roman" w:hAnsi="Times New Roman" w:cs="Times New Roman"/>
          <w:b/>
          <w:i/>
          <w:spacing w:val="-4"/>
          <w:sz w:val="28"/>
          <w:szCs w:val="28"/>
        </w:rPr>
        <w:t xml:space="preserve">c) </w:t>
      </w:r>
      <w:r w:rsidR="009A2B2F" w:rsidRPr="006D7720">
        <w:rPr>
          <w:rFonts w:ascii="Times New Roman" w:hAnsi="Times New Roman" w:cs="Times New Roman"/>
          <w:b/>
          <w:i/>
          <w:sz w:val="28"/>
          <w:szCs w:val="28"/>
        </w:rPr>
        <w:t>Producer price index</w:t>
      </w:r>
      <w:r w:rsidR="00193CE8">
        <w:rPr>
          <w:rFonts w:ascii="Times New Roman" w:hAnsi="Times New Roman" w:cs="Times New Roman"/>
          <w:sz w:val="28"/>
          <w:szCs w:val="28"/>
        </w:rPr>
        <w:t xml:space="preserve">, </w:t>
      </w:r>
      <w:r w:rsidR="00193CE8" w:rsidRPr="006D7720">
        <w:rPr>
          <w:rFonts w:ascii="Times New Roman" w:hAnsi="Times New Roman" w:cs="Times New Roman"/>
          <w:b/>
          <w:i/>
          <w:sz w:val="28"/>
          <w:szCs w:val="28"/>
          <w:lang w:val="vi-VN"/>
        </w:rPr>
        <w:t>Price index of materials, fuels used for production</w:t>
      </w:r>
    </w:p>
    <w:p w14:paraId="691A2E69" w14:textId="0457890C" w:rsidR="00936819" w:rsidRPr="00DC0CA9" w:rsidRDefault="004C4CA7" w:rsidP="009A2B2F">
      <w:pPr>
        <w:tabs>
          <w:tab w:val="left" w:pos="720"/>
        </w:tabs>
        <w:spacing w:after="120" w:line="340" w:lineRule="exact"/>
        <w:ind w:firstLine="567"/>
        <w:jc w:val="both"/>
        <w:rPr>
          <w:rFonts w:ascii="Times New Roman" w:hAnsi="Times New Roman" w:cs="Times New Roman"/>
          <w:sz w:val="28"/>
          <w:szCs w:val="28"/>
          <w:lang w:val="de-DE"/>
        </w:rPr>
      </w:pPr>
      <w:r w:rsidRPr="00400903">
        <w:rPr>
          <w:rFonts w:ascii="Times New Roman" w:hAnsi="Times New Roman" w:cs="Times New Roman"/>
          <w:i/>
          <w:sz w:val="28"/>
          <w:szCs w:val="28"/>
          <w:lang w:val="vi-VN"/>
        </w:rPr>
        <w:t xml:space="preserve">Producer price index (PPI) for agricultural, forestry, and fishery products </w:t>
      </w:r>
      <w:r w:rsidRPr="00400903">
        <w:rPr>
          <w:rFonts w:ascii="Times New Roman" w:hAnsi="Times New Roman" w:cs="Times New Roman"/>
          <w:iCs/>
          <w:sz w:val="28"/>
          <w:szCs w:val="28"/>
          <w:lang w:val="vi-VN"/>
        </w:rPr>
        <w:t>in the fourth quarter of 2021 increased by 0.78% compared to the previous quarter and by 0.07% over the same period last year</w:t>
      </w:r>
      <w:r w:rsidR="00F2639B" w:rsidRPr="00DC0CA9">
        <w:rPr>
          <w:rFonts w:ascii="Times New Roman" w:hAnsi="Times New Roman" w:cs="Times New Roman"/>
          <w:sz w:val="28"/>
          <w:szCs w:val="28"/>
          <w:lang w:val="nl-NL"/>
        </w:rPr>
        <w:t xml:space="preserve">; </w:t>
      </w:r>
      <w:r w:rsidR="003B5858" w:rsidRPr="008D7F18">
        <w:rPr>
          <w:rFonts w:ascii="Times New Roman" w:hAnsi="Times New Roman" w:cs="Times New Roman"/>
          <w:i/>
          <w:sz w:val="28"/>
          <w:szCs w:val="28"/>
          <w:lang w:val="vi-VN"/>
        </w:rPr>
        <w:t>PPI for industrial products</w:t>
      </w:r>
      <w:r w:rsidR="003B5858" w:rsidRPr="006D7720">
        <w:rPr>
          <w:rFonts w:ascii="Times New Roman" w:hAnsi="Times New Roman" w:cs="Times New Roman"/>
          <w:sz w:val="28"/>
          <w:szCs w:val="28"/>
          <w:lang w:val="vi-VN"/>
        </w:rPr>
        <w:t xml:space="preserve"> </w:t>
      </w:r>
      <w:r w:rsidR="003B5858" w:rsidRPr="005D0D53">
        <w:rPr>
          <w:rFonts w:ascii="Times New Roman" w:hAnsi="Times New Roman" w:cs="Times New Roman"/>
          <w:spacing w:val="-4"/>
          <w:sz w:val="28"/>
          <w:szCs w:val="28"/>
          <w:lang w:val="nl-NL"/>
        </w:rPr>
        <w:t>in the fourth quarter of 2021 increased by 0.71% compared to the previous quarter and by 4.33%</w:t>
      </w:r>
      <w:r w:rsidR="00936819" w:rsidRPr="00DC0CA9">
        <w:rPr>
          <w:rFonts w:ascii="Times New Roman" w:hAnsi="Times New Roman" w:cs="Times New Roman"/>
          <w:spacing w:val="-4"/>
          <w:sz w:val="28"/>
          <w:szCs w:val="28"/>
          <w:lang w:val="en-IN"/>
        </w:rPr>
        <w:t xml:space="preserve">; </w:t>
      </w:r>
      <w:r w:rsidR="006228DC" w:rsidRPr="00C72D78">
        <w:rPr>
          <w:rFonts w:ascii="Times New Roman" w:hAnsi="Times New Roman" w:cs="Times New Roman"/>
          <w:i/>
          <w:sz w:val="28"/>
          <w:szCs w:val="28"/>
          <w:lang w:val="de-DE"/>
        </w:rPr>
        <w:t>PPI for services</w:t>
      </w:r>
      <w:r w:rsidR="006228DC" w:rsidRPr="005D0D53">
        <w:rPr>
          <w:rFonts w:ascii="Times New Roman" w:hAnsi="Times New Roman" w:cs="Times New Roman"/>
          <w:sz w:val="28"/>
          <w:szCs w:val="28"/>
          <w:lang w:val="de-DE"/>
        </w:rPr>
        <w:t xml:space="preserve"> in the fourth quarter of 2021 increased by 0.54% compared to the previous quarter and by 1.24%</w:t>
      </w:r>
      <w:r w:rsidR="00936819" w:rsidRPr="00DC0CA9">
        <w:rPr>
          <w:rFonts w:ascii="Times New Roman" w:hAnsi="Times New Roman" w:cs="Times New Roman"/>
          <w:sz w:val="28"/>
          <w:szCs w:val="28"/>
          <w:lang w:val="de-DE"/>
        </w:rPr>
        <w:t xml:space="preserve">. </w:t>
      </w:r>
      <w:r w:rsidR="00220C11" w:rsidRPr="005D0D53">
        <w:rPr>
          <w:rFonts w:ascii="Times New Roman" w:hAnsi="Times New Roman" w:cs="Times New Roman"/>
          <w:sz w:val="28"/>
          <w:szCs w:val="28"/>
          <w:lang w:val="de-DE"/>
        </w:rPr>
        <w:t>In general, in 2021</w:t>
      </w:r>
      <w:r w:rsidR="0076102E">
        <w:rPr>
          <w:rFonts w:ascii="Times New Roman" w:hAnsi="Times New Roman" w:cs="Times New Roman"/>
          <w:sz w:val="28"/>
          <w:szCs w:val="28"/>
          <w:lang w:val="de-DE"/>
        </w:rPr>
        <w:t xml:space="preserve">, </w:t>
      </w:r>
      <w:r w:rsidR="002108BC">
        <w:rPr>
          <w:rFonts w:ascii="Times New Roman" w:hAnsi="Times New Roman" w:cs="Times New Roman"/>
          <w:sz w:val="28"/>
          <w:szCs w:val="28"/>
          <w:lang w:val="de-DE"/>
        </w:rPr>
        <w:t>the</w:t>
      </w:r>
      <w:r w:rsidR="002108BC">
        <w:rPr>
          <w:rFonts w:ascii="Times New Roman" w:hAnsi="Times New Roman" w:cs="Times New Roman"/>
          <w:sz w:val="28"/>
          <w:szCs w:val="28"/>
          <w:lang w:val="vi-VN"/>
        </w:rPr>
        <w:t xml:space="preserve"> </w:t>
      </w:r>
      <w:r w:rsidR="002108BC" w:rsidRPr="005D0D53">
        <w:rPr>
          <w:rFonts w:ascii="Times New Roman" w:hAnsi="Times New Roman" w:cs="Times New Roman"/>
          <w:sz w:val="28"/>
          <w:szCs w:val="28"/>
          <w:lang w:val="de-DE"/>
        </w:rPr>
        <w:t>PPI of agricultural, forestry and fishery products increased by 2.12% compared to 2020</w:t>
      </w:r>
      <w:r w:rsidR="00936819" w:rsidRPr="00DC0CA9">
        <w:rPr>
          <w:rFonts w:ascii="Times New Roman" w:hAnsi="Times New Roman" w:cs="Times New Roman"/>
          <w:sz w:val="28"/>
          <w:szCs w:val="28"/>
          <w:lang w:val="nl-NL"/>
        </w:rPr>
        <w:t>;</w:t>
      </w:r>
      <w:r w:rsidR="00527635" w:rsidRPr="00DC0CA9">
        <w:rPr>
          <w:rFonts w:ascii="Times New Roman" w:hAnsi="Times New Roman" w:cs="Times New Roman"/>
          <w:sz w:val="28"/>
          <w:szCs w:val="28"/>
          <w:lang w:val="de-DE"/>
        </w:rPr>
        <w:t xml:space="preserve"> </w:t>
      </w:r>
      <w:r w:rsidR="007F1D19" w:rsidRPr="006D7720">
        <w:rPr>
          <w:rFonts w:ascii="Times New Roman" w:hAnsi="Times New Roman" w:cs="Times New Roman"/>
          <w:sz w:val="28"/>
          <w:szCs w:val="28"/>
          <w:lang w:val="vi-VN"/>
        </w:rPr>
        <w:t xml:space="preserve">PPI for industrial products </w:t>
      </w:r>
      <w:r w:rsidR="007F1D19" w:rsidRPr="005D0D53">
        <w:rPr>
          <w:rFonts w:ascii="Times New Roman" w:hAnsi="Times New Roman" w:cs="Times New Roman"/>
          <w:spacing w:val="-2"/>
          <w:sz w:val="28"/>
          <w:szCs w:val="28"/>
          <w:lang w:val="de-DE"/>
        </w:rPr>
        <w:t>increased by 2.91%</w:t>
      </w:r>
      <w:r w:rsidR="00936819" w:rsidRPr="00DC0CA9">
        <w:rPr>
          <w:rFonts w:ascii="Times New Roman" w:hAnsi="Times New Roman" w:cs="Times New Roman"/>
          <w:spacing w:val="-2"/>
          <w:sz w:val="28"/>
          <w:szCs w:val="28"/>
          <w:lang w:val="nl-NL"/>
        </w:rPr>
        <w:t xml:space="preserve">; </w:t>
      </w:r>
      <w:r w:rsidR="00101D1B" w:rsidRPr="0046098D">
        <w:rPr>
          <w:rFonts w:ascii="Times New Roman" w:hAnsi="Times New Roman" w:cs="Times New Roman"/>
          <w:sz w:val="28"/>
          <w:szCs w:val="28"/>
          <w:lang w:val="de-DE"/>
        </w:rPr>
        <w:t>PPI for services</w:t>
      </w:r>
      <w:r w:rsidR="00101D1B" w:rsidRPr="005D0D53">
        <w:rPr>
          <w:rFonts w:ascii="Times New Roman" w:hAnsi="Times New Roman" w:cs="Times New Roman"/>
          <w:sz w:val="28"/>
          <w:szCs w:val="28"/>
          <w:lang w:val="de-DE"/>
        </w:rPr>
        <w:t xml:space="preserve"> increased by 0.95%</w:t>
      </w:r>
      <w:r w:rsidR="00101D1B">
        <w:rPr>
          <w:rFonts w:ascii="Times New Roman" w:hAnsi="Times New Roman" w:cs="Times New Roman"/>
          <w:sz w:val="28"/>
          <w:szCs w:val="28"/>
          <w:lang w:val="de-DE"/>
        </w:rPr>
        <w:t>.</w:t>
      </w:r>
    </w:p>
    <w:p w14:paraId="12FD3132" w14:textId="45935EA1" w:rsidR="00527635" w:rsidRPr="00DC0CA9" w:rsidRDefault="003C392E" w:rsidP="001F528D">
      <w:pPr>
        <w:spacing w:before="40" w:after="40"/>
        <w:ind w:right="142" w:firstLine="567"/>
        <w:jc w:val="both"/>
        <w:rPr>
          <w:rFonts w:ascii="Times New Roman" w:hAnsi="Times New Roman" w:cs="Times New Roman"/>
          <w:sz w:val="28"/>
          <w:szCs w:val="28"/>
          <w:lang w:val="de-DE"/>
        </w:rPr>
      </w:pPr>
      <w:r w:rsidRPr="006D7720">
        <w:rPr>
          <w:rFonts w:ascii="Times New Roman" w:hAnsi="Times New Roman" w:cs="Times New Roman"/>
          <w:sz w:val="28"/>
          <w:szCs w:val="28"/>
          <w:lang w:val="de-DE"/>
        </w:rPr>
        <w:t>The price index of materials, fuels used for production</w:t>
      </w:r>
      <w:r w:rsidRPr="00FA3297">
        <w:rPr>
          <w:rFonts w:ascii="Times New Roman" w:hAnsi="Times New Roman" w:cs="Times New Roman"/>
          <w:sz w:val="28"/>
          <w:szCs w:val="28"/>
          <w:lang w:val="de-DE"/>
        </w:rPr>
        <w:t xml:space="preserve"> in the fourth quarter of 2021 increased by 1.18% compared to the previous quarter and 6.43% over the same period last year</w:t>
      </w:r>
      <w:r w:rsidR="00527635" w:rsidRPr="00DC0CA9">
        <w:rPr>
          <w:rFonts w:ascii="Times New Roman" w:hAnsi="Times New Roman" w:cs="Times New Roman"/>
          <w:sz w:val="28"/>
          <w:szCs w:val="28"/>
          <w:lang w:val="de-DE"/>
        </w:rPr>
        <w:t>.</w:t>
      </w:r>
      <w:r w:rsidR="005679DD" w:rsidRPr="00DC0CA9">
        <w:rPr>
          <w:rFonts w:ascii="Times New Roman" w:hAnsi="Times New Roman" w:cs="Times New Roman"/>
          <w:sz w:val="28"/>
          <w:szCs w:val="28"/>
          <w:lang w:val="de-DE"/>
        </w:rPr>
        <w:t xml:space="preserve"> </w:t>
      </w:r>
      <w:r w:rsidR="0036386F" w:rsidRPr="00FA3297">
        <w:rPr>
          <w:rFonts w:ascii="Times New Roman" w:hAnsi="Times New Roman" w:cs="Times New Roman"/>
          <w:sz w:val="28"/>
          <w:szCs w:val="28"/>
          <w:lang w:val="de-DE"/>
        </w:rPr>
        <w:t>In general, in 2021,</w:t>
      </w:r>
      <w:r w:rsidR="0036386F">
        <w:rPr>
          <w:rFonts w:ascii="Times New Roman" w:hAnsi="Times New Roman" w:cs="Times New Roman"/>
          <w:sz w:val="28"/>
          <w:szCs w:val="28"/>
          <w:lang w:val="de-DE"/>
        </w:rPr>
        <w:t xml:space="preserve"> the</w:t>
      </w:r>
      <w:r w:rsidR="0036386F" w:rsidRPr="006D7720">
        <w:rPr>
          <w:rFonts w:ascii="Times New Roman" w:hAnsi="Times New Roman" w:cs="Times New Roman"/>
          <w:sz w:val="28"/>
          <w:szCs w:val="28"/>
          <w:lang w:val="de-DE"/>
        </w:rPr>
        <w:t xml:space="preserve"> price index of materials, fuels used for production </w:t>
      </w:r>
      <w:r w:rsidR="0036386F" w:rsidRPr="00FA3297">
        <w:rPr>
          <w:rFonts w:ascii="Times New Roman" w:hAnsi="Times New Roman" w:cs="Times New Roman"/>
          <w:sz w:val="28"/>
          <w:szCs w:val="28"/>
          <w:lang w:val="de-DE"/>
        </w:rPr>
        <w:t xml:space="preserve">increased by 5.51% over the previous year, of which: The </w:t>
      </w:r>
      <w:r w:rsidR="0036386F" w:rsidRPr="006D7720">
        <w:rPr>
          <w:rFonts w:ascii="Times New Roman" w:hAnsi="Times New Roman" w:cs="Times New Roman"/>
          <w:sz w:val="28"/>
          <w:szCs w:val="28"/>
          <w:lang w:val="de-DE"/>
        </w:rPr>
        <w:t>price index of materials, fuels used for agriculture, forestry and fishing</w:t>
      </w:r>
      <w:r w:rsidR="0036386F" w:rsidRPr="00FA3297">
        <w:rPr>
          <w:rFonts w:ascii="Times New Roman" w:hAnsi="Times New Roman" w:cs="Times New Roman"/>
          <w:sz w:val="28"/>
          <w:szCs w:val="28"/>
          <w:lang w:val="de-DE"/>
        </w:rPr>
        <w:t xml:space="preserve"> </w:t>
      </w:r>
      <w:r w:rsidR="0036386F">
        <w:rPr>
          <w:rFonts w:ascii="Times New Roman" w:hAnsi="Times New Roman" w:cs="Times New Roman"/>
          <w:sz w:val="28"/>
          <w:szCs w:val="28"/>
          <w:lang w:val="de-DE"/>
        </w:rPr>
        <w:t>increased by 7.</w:t>
      </w:r>
      <w:r w:rsidR="0036386F" w:rsidRPr="00FA3297">
        <w:rPr>
          <w:rFonts w:ascii="Times New Roman" w:hAnsi="Times New Roman" w:cs="Times New Roman"/>
          <w:sz w:val="28"/>
          <w:szCs w:val="28"/>
          <w:lang w:val="de-DE"/>
        </w:rPr>
        <w:t xml:space="preserve">22%; </w:t>
      </w:r>
      <w:r w:rsidR="0036386F" w:rsidRPr="006D7720">
        <w:rPr>
          <w:rFonts w:ascii="Times New Roman" w:hAnsi="Times New Roman" w:cs="Times New Roman"/>
          <w:sz w:val="28"/>
          <w:szCs w:val="28"/>
          <w:lang w:val="de-DE"/>
        </w:rPr>
        <w:t>used for manufacturing</w:t>
      </w:r>
      <w:r w:rsidR="0036386F" w:rsidRPr="00FA3297">
        <w:rPr>
          <w:rFonts w:ascii="Times New Roman" w:hAnsi="Times New Roman" w:cs="Times New Roman"/>
          <w:sz w:val="28"/>
          <w:szCs w:val="28"/>
          <w:lang w:val="de-DE"/>
        </w:rPr>
        <w:t xml:space="preserve"> increased by 5.42%; </w:t>
      </w:r>
      <w:r w:rsidR="0036386F" w:rsidRPr="006D7720">
        <w:rPr>
          <w:rFonts w:ascii="Times New Roman" w:hAnsi="Times New Roman" w:cs="Times New Roman"/>
          <w:sz w:val="28"/>
          <w:szCs w:val="28"/>
          <w:lang w:val="de-DE"/>
        </w:rPr>
        <w:t xml:space="preserve">used for construction </w:t>
      </w:r>
      <w:r w:rsidR="0036386F" w:rsidRPr="00FA3297">
        <w:rPr>
          <w:rFonts w:ascii="Times New Roman" w:hAnsi="Times New Roman" w:cs="Times New Roman"/>
          <w:sz w:val="28"/>
          <w:szCs w:val="28"/>
          <w:lang w:val="de-DE"/>
        </w:rPr>
        <w:t>increased by 6.4%.</w:t>
      </w:r>
    </w:p>
    <w:p w14:paraId="1654F67A" w14:textId="4FF32280" w:rsidR="00527635" w:rsidRPr="00DC0CA9" w:rsidRDefault="005679DD" w:rsidP="00F877BF">
      <w:pPr>
        <w:spacing w:after="120" w:line="340" w:lineRule="exact"/>
        <w:ind w:firstLine="567"/>
        <w:jc w:val="both"/>
        <w:rPr>
          <w:rFonts w:ascii="Times New Roman" w:hAnsi="Times New Roman" w:cs="Times New Roman"/>
          <w:b/>
          <w:i/>
          <w:sz w:val="28"/>
          <w:szCs w:val="28"/>
          <w:lang w:val="de-DE"/>
        </w:rPr>
      </w:pPr>
      <w:r w:rsidRPr="00DC0CA9">
        <w:rPr>
          <w:rFonts w:ascii="Times New Roman" w:hAnsi="Times New Roman" w:cs="Times New Roman"/>
          <w:b/>
          <w:i/>
          <w:sz w:val="28"/>
          <w:szCs w:val="28"/>
          <w:lang w:val="de-DE"/>
        </w:rPr>
        <w:t>d</w:t>
      </w:r>
      <w:r w:rsidR="00527635" w:rsidRPr="00DC0CA9">
        <w:rPr>
          <w:rFonts w:ascii="Times New Roman" w:hAnsi="Times New Roman" w:cs="Times New Roman"/>
          <w:b/>
          <w:i/>
          <w:sz w:val="28"/>
          <w:szCs w:val="28"/>
          <w:lang w:val="de-DE"/>
        </w:rPr>
        <w:t xml:space="preserve">) </w:t>
      </w:r>
      <w:r w:rsidR="00070093" w:rsidRPr="00FA3297">
        <w:rPr>
          <w:rFonts w:ascii="Times New Roman" w:hAnsi="Times New Roman" w:cs="Times New Roman"/>
          <w:b/>
          <w:i/>
          <w:sz w:val="28"/>
          <w:szCs w:val="28"/>
          <w:lang w:val="de-DE"/>
        </w:rPr>
        <w:t>Merchandise import and export price index</w:t>
      </w:r>
    </w:p>
    <w:p w14:paraId="01CCF185" w14:textId="37E9207B" w:rsidR="005679DD" w:rsidRPr="00DC0CA9" w:rsidRDefault="00FC70D9" w:rsidP="00F877BF">
      <w:pPr>
        <w:spacing w:after="120" w:line="340" w:lineRule="exact"/>
        <w:ind w:firstLine="567"/>
        <w:jc w:val="both"/>
        <w:rPr>
          <w:rFonts w:ascii="Times New Roman" w:hAnsi="Times New Roman" w:cs="Times New Roman"/>
          <w:spacing w:val="2"/>
          <w:sz w:val="28"/>
          <w:szCs w:val="28"/>
          <w:lang w:val="en-IN"/>
        </w:rPr>
      </w:pPr>
      <w:r w:rsidRPr="007C183F">
        <w:rPr>
          <w:rFonts w:ascii="Times New Roman" w:hAnsi="Times New Roman" w:cs="Times New Roman"/>
          <w:i/>
          <w:sz w:val="28"/>
          <w:szCs w:val="28"/>
          <w:lang w:val="fr-FR"/>
        </w:rPr>
        <w:t>Merchandise export price index</w:t>
      </w:r>
      <w:r w:rsidRPr="007C183F">
        <w:rPr>
          <w:rFonts w:ascii="Times New Roman" w:hAnsi="Times New Roman" w:cs="Times New Roman"/>
          <w:sz w:val="28"/>
          <w:szCs w:val="28"/>
          <w:lang w:val="fr-FR"/>
        </w:rPr>
        <w:t xml:space="preserve"> </w:t>
      </w:r>
      <w:r w:rsidRPr="00B77FE1">
        <w:rPr>
          <w:rFonts w:ascii="Times New Roman" w:hAnsi="Times New Roman" w:cs="Times New Roman"/>
          <w:sz w:val="28"/>
          <w:szCs w:val="28"/>
          <w:lang w:val="fr-FR"/>
        </w:rPr>
        <w:t>in the fourth quarter of 2021 increased by 1.62% compared to the previous quarter and by 5.13% over the same period last year</w:t>
      </w:r>
      <w:r w:rsidR="005679DD" w:rsidRPr="00DC0CA9">
        <w:rPr>
          <w:rFonts w:ascii="Times New Roman" w:hAnsi="Times New Roman" w:cs="Times New Roman"/>
          <w:spacing w:val="2"/>
          <w:sz w:val="28"/>
          <w:szCs w:val="28"/>
          <w:lang w:val="de-DE"/>
        </w:rPr>
        <w:t xml:space="preserve">; </w:t>
      </w:r>
      <w:r w:rsidR="005E37EF" w:rsidRPr="007C183F">
        <w:rPr>
          <w:rFonts w:ascii="Times New Roman" w:hAnsi="Times New Roman" w:cs="Times New Roman"/>
          <w:i/>
          <w:spacing w:val="-2"/>
          <w:sz w:val="28"/>
          <w:szCs w:val="28"/>
          <w:lang w:val="en-US"/>
        </w:rPr>
        <w:t>Merchandise import price index</w:t>
      </w:r>
      <w:r w:rsidR="005E37EF" w:rsidRPr="007C183F">
        <w:rPr>
          <w:rFonts w:ascii="Times New Roman" w:hAnsi="Times New Roman" w:cs="Times New Roman"/>
          <w:spacing w:val="-2"/>
          <w:sz w:val="28"/>
          <w:szCs w:val="28"/>
          <w:lang w:val="en-US"/>
        </w:rPr>
        <w:t xml:space="preserve"> </w:t>
      </w:r>
      <w:r w:rsidR="005E37EF" w:rsidRPr="00B77FE1">
        <w:rPr>
          <w:rFonts w:ascii="Times New Roman" w:hAnsi="Times New Roman" w:cs="Times New Roman"/>
          <w:spacing w:val="-2"/>
          <w:sz w:val="28"/>
          <w:szCs w:val="28"/>
          <w:lang w:val="en-US"/>
        </w:rPr>
        <w:t xml:space="preserve">in the fourth quarter of 2021 increased by 3.83% compared to the previous quarter and by 9.96% over the same period last </w:t>
      </w:r>
      <w:r w:rsidR="005E37EF" w:rsidRPr="00B77FE1">
        <w:rPr>
          <w:rFonts w:ascii="Times New Roman" w:hAnsi="Times New Roman" w:cs="Times New Roman"/>
          <w:spacing w:val="-2"/>
          <w:sz w:val="28"/>
          <w:szCs w:val="28"/>
          <w:lang w:val="en-US"/>
        </w:rPr>
        <w:lastRenderedPageBreak/>
        <w:t>year</w:t>
      </w:r>
      <w:r w:rsidR="005679DD" w:rsidRPr="00DC0CA9">
        <w:rPr>
          <w:rFonts w:ascii="Times New Roman" w:hAnsi="Times New Roman" w:cs="Times New Roman"/>
          <w:spacing w:val="2"/>
          <w:sz w:val="28"/>
          <w:szCs w:val="28"/>
          <w:lang w:val="fr-FR"/>
        </w:rPr>
        <w:t xml:space="preserve">; </w:t>
      </w:r>
      <w:r w:rsidR="005E15B3" w:rsidRPr="00904B09">
        <w:rPr>
          <w:rFonts w:ascii="Times New Roman" w:hAnsi="Times New Roman" w:cs="Times New Roman"/>
          <w:sz w:val="28"/>
          <w:szCs w:val="28"/>
          <w:lang w:val="vi-VN"/>
        </w:rPr>
        <w:t>Merchandise term of trade</w:t>
      </w:r>
      <w:r w:rsidR="005E15B3" w:rsidRPr="009554A2">
        <w:rPr>
          <w:rFonts w:ascii="Times New Roman" w:hAnsi="Times New Roman" w:cs="Times New Roman"/>
          <w:sz w:val="28"/>
          <w:szCs w:val="28"/>
          <w:vertAlign w:val="superscript"/>
          <w:lang w:val="vi-VN"/>
        </w:rPr>
        <w:footnoteReference w:id="9"/>
      </w:r>
      <w:r w:rsidR="005E15B3" w:rsidRPr="009554A2">
        <w:rPr>
          <w:rFonts w:ascii="Times New Roman" w:hAnsi="Times New Roman" w:cs="Times New Roman"/>
          <w:sz w:val="28"/>
          <w:szCs w:val="28"/>
          <w:lang w:val="vi-VN"/>
        </w:rPr>
        <w:t xml:space="preserve"> </w:t>
      </w:r>
      <w:r w:rsidR="009F0B27" w:rsidRPr="00B77FE1">
        <w:rPr>
          <w:rFonts w:ascii="Times New Roman" w:hAnsi="Times New Roman" w:cs="Times New Roman"/>
          <w:sz w:val="28"/>
          <w:szCs w:val="28"/>
          <w:lang w:val="en-US"/>
        </w:rPr>
        <w:t>decreased by 2.13% compared to the previous quarter and by 4.39% over the same period last year</w:t>
      </w:r>
      <w:r w:rsidR="005679DD" w:rsidRPr="00DC0CA9">
        <w:rPr>
          <w:rFonts w:ascii="Times New Roman" w:hAnsi="Times New Roman" w:cs="Times New Roman"/>
          <w:spacing w:val="2"/>
          <w:sz w:val="28"/>
          <w:szCs w:val="28"/>
          <w:lang w:val="vi-VN"/>
        </w:rPr>
        <w:t>.</w:t>
      </w:r>
      <w:r w:rsidR="005679DD" w:rsidRPr="00DC0CA9">
        <w:rPr>
          <w:rFonts w:ascii="Times New Roman" w:hAnsi="Times New Roman" w:cs="Times New Roman"/>
          <w:spacing w:val="2"/>
          <w:sz w:val="28"/>
          <w:szCs w:val="28"/>
          <w:lang w:val="en-IN"/>
        </w:rPr>
        <w:t xml:space="preserve"> </w:t>
      </w:r>
      <w:r w:rsidR="007C3D14" w:rsidRPr="00B77FE1">
        <w:rPr>
          <w:rFonts w:ascii="Times New Roman" w:hAnsi="Times New Roman" w:cs="Times New Roman"/>
          <w:sz w:val="28"/>
          <w:szCs w:val="28"/>
          <w:lang w:val="en-US"/>
        </w:rPr>
        <w:t>In general, in 2021</w:t>
      </w:r>
      <w:r w:rsidR="00527635" w:rsidRPr="00DC0CA9">
        <w:rPr>
          <w:rFonts w:ascii="Times New Roman" w:hAnsi="Times New Roman" w:cs="Times New Roman"/>
          <w:spacing w:val="2"/>
          <w:sz w:val="28"/>
          <w:szCs w:val="28"/>
          <w:lang w:val="de-DE"/>
        </w:rPr>
        <w:t xml:space="preserve">, </w:t>
      </w:r>
      <w:r w:rsidR="0042766E">
        <w:rPr>
          <w:rFonts w:ascii="Times New Roman" w:hAnsi="Times New Roman" w:cs="Times New Roman"/>
          <w:sz w:val="28"/>
          <w:szCs w:val="28"/>
          <w:lang w:val="fr-FR"/>
        </w:rPr>
        <w:t>the</w:t>
      </w:r>
      <w:r w:rsidR="0042766E">
        <w:rPr>
          <w:rFonts w:ascii="Times New Roman" w:hAnsi="Times New Roman" w:cs="Times New Roman"/>
          <w:sz w:val="28"/>
          <w:szCs w:val="28"/>
          <w:lang w:val="vi-VN"/>
        </w:rPr>
        <w:t xml:space="preserve"> </w:t>
      </w:r>
      <w:r w:rsidR="0042766E">
        <w:rPr>
          <w:rFonts w:ascii="Times New Roman" w:hAnsi="Times New Roman" w:cs="Times New Roman"/>
          <w:sz w:val="28"/>
          <w:szCs w:val="28"/>
          <w:lang w:val="fr-FR"/>
        </w:rPr>
        <w:t>m</w:t>
      </w:r>
      <w:r w:rsidR="0042766E" w:rsidRPr="007C183F">
        <w:rPr>
          <w:rFonts w:ascii="Times New Roman" w:hAnsi="Times New Roman" w:cs="Times New Roman"/>
          <w:sz w:val="28"/>
          <w:szCs w:val="28"/>
          <w:lang w:val="fr-FR"/>
        </w:rPr>
        <w:t xml:space="preserve">erchandise export price index </w:t>
      </w:r>
      <w:r w:rsidR="0042766E" w:rsidRPr="00B77FE1">
        <w:rPr>
          <w:rFonts w:ascii="Times New Roman" w:hAnsi="Times New Roman" w:cs="Times New Roman"/>
          <w:sz w:val="28"/>
          <w:szCs w:val="28"/>
          <w:lang w:val="fr-FR"/>
        </w:rPr>
        <w:t>increased by 2.86% over the previous year</w:t>
      </w:r>
      <w:r w:rsidR="005679DD" w:rsidRPr="00DC0CA9">
        <w:rPr>
          <w:rFonts w:ascii="Times New Roman" w:hAnsi="Times New Roman" w:cs="Times New Roman"/>
          <w:spacing w:val="2"/>
          <w:sz w:val="28"/>
          <w:szCs w:val="28"/>
          <w:lang w:val="de-DE"/>
        </w:rPr>
        <w:t xml:space="preserve">; </w:t>
      </w:r>
      <w:r w:rsidR="00381713">
        <w:rPr>
          <w:rFonts w:ascii="Times New Roman" w:hAnsi="Times New Roman" w:cs="Times New Roman"/>
          <w:spacing w:val="-2"/>
          <w:sz w:val="28"/>
          <w:szCs w:val="28"/>
          <w:lang w:val="en-US"/>
        </w:rPr>
        <w:t>the</w:t>
      </w:r>
      <w:r w:rsidR="00381713">
        <w:rPr>
          <w:rFonts w:ascii="Times New Roman" w:hAnsi="Times New Roman" w:cs="Times New Roman"/>
          <w:spacing w:val="-2"/>
          <w:sz w:val="28"/>
          <w:szCs w:val="28"/>
          <w:lang w:val="vi-VN"/>
        </w:rPr>
        <w:t xml:space="preserve"> </w:t>
      </w:r>
      <w:r w:rsidR="00381713">
        <w:rPr>
          <w:rFonts w:ascii="Times New Roman" w:hAnsi="Times New Roman" w:cs="Times New Roman"/>
          <w:spacing w:val="-2"/>
          <w:sz w:val="28"/>
          <w:szCs w:val="28"/>
          <w:lang w:val="en-US"/>
        </w:rPr>
        <w:t>m</w:t>
      </w:r>
      <w:r w:rsidR="00381713" w:rsidRPr="007C183F">
        <w:rPr>
          <w:rFonts w:ascii="Times New Roman" w:hAnsi="Times New Roman" w:cs="Times New Roman"/>
          <w:spacing w:val="-2"/>
          <w:sz w:val="28"/>
          <w:szCs w:val="28"/>
          <w:lang w:val="en-US"/>
        </w:rPr>
        <w:t xml:space="preserve">erchandise import price index </w:t>
      </w:r>
      <w:r w:rsidR="00381713" w:rsidRPr="00B77FE1">
        <w:rPr>
          <w:rFonts w:ascii="Times New Roman" w:hAnsi="Times New Roman" w:cs="Times New Roman"/>
          <w:spacing w:val="-2"/>
          <w:sz w:val="28"/>
          <w:szCs w:val="28"/>
          <w:lang w:val="en-US"/>
        </w:rPr>
        <w:t>increased by 5.49%</w:t>
      </w:r>
      <w:r w:rsidR="005679DD" w:rsidRPr="00DC0CA9">
        <w:rPr>
          <w:rFonts w:ascii="Times New Roman" w:hAnsi="Times New Roman" w:cs="Times New Roman"/>
          <w:spacing w:val="2"/>
          <w:sz w:val="28"/>
          <w:szCs w:val="28"/>
          <w:lang w:val="fr-FR"/>
        </w:rPr>
        <w:t xml:space="preserve">; </w:t>
      </w:r>
      <w:r w:rsidR="00FB062C">
        <w:rPr>
          <w:rFonts w:ascii="Times New Roman" w:hAnsi="Times New Roman" w:cs="Times New Roman"/>
          <w:sz w:val="28"/>
          <w:szCs w:val="28"/>
          <w:lang w:val="en-US"/>
        </w:rPr>
        <w:t>the</w:t>
      </w:r>
      <w:r w:rsidR="00FB062C">
        <w:rPr>
          <w:rFonts w:ascii="Times New Roman" w:hAnsi="Times New Roman" w:cs="Times New Roman"/>
          <w:sz w:val="28"/>
          <w:szCs w:val="28"/>
          <w:lang w:val="vi-VN"/>
        </w:rPr>
        <w:t xml:space="preserve"> </w:t>
      </w:r>
      <w:r w:rsidR="00FB062C">
        <w:rPr>
          <w:rFonts w:ascii="Times New Roman" w:hAnsi="Times New Roman" w:cs="Times New Roman"/>
          <w:sz w:val="28"/>
          <w:szCs w:val="28"/>
          <w:lang w:val="en-US"/>
        </w:rPr>
        <w:t>c</w:t>
      </w:r>
      <w:r w:rsidR="00FB062C" w:rsidRPr="00B77FE1">
        <w:rPr>
          <w:rFonts w:ascii="Times New Roman" w:hAnsi="Times New Roman" w:cs="Times New Roman"/>
          <w:sz w:val="28"/>
          <w:szCs w:val="28"/>
          <w:lang w:val="en-US"/>
        </w:rPr>
        <w:t>ommodity trade rate decreased by 2.49%</w:t>
      </w:r>
      <w:r w:rsidR="00FB062C">
        <w:rPr>
          <w:rFonts w:ascii="Times New Roman" w:hAnsi="Times New Roman" w:cs="Times New Roman"/>
          <w:sz w:val="28"/>
          <w:szCs w:val="28"/>
          <w:lang w:val="en-US"/>
        </w:rPr>
        <w:t>.</w:t>
      </w:r>
    </w:p>
    <w:p w14:paraId="71071AD1" w14:textId="4C152F6B" w:rsidR="00B54309" w:rsidRPr="00DC0CA9" w:rsidRDefault="00B53429" w:rsidP="00F877BF">
      <w:pPr>
        <w:spacing w:after="120" w:line="340" w:lineRule="exact"/>
        <w:ind w:firstLine="567"/>
        <w:jc w:val="both"/>
        <w:rPr>
          <w:rFonts w:ascii="Times New Roman" w:hAnsi="Times New Roman" w:cs="Times New Roman"/>
          <w:b/>
          <w:sz w:val="28"/>
          <w:szCs w:val="28"/>
        </w:rPr>
      </w:pPr>
      <w:r w:rsidRPr="00DC0CA9">
        <w:rPr>
          <w:rFonts w:ascii="Times New Roman" w:hAnsi="Times New Roman" w:cs="Times New Roman"/>
          <w:b/>
          <w:sz w:val="28"/>
          <w:szCs w:val="28"/>
        </w:rPr>
        <w:t xml:space="preserve">II. </w:t>
      </w:r>
      <w:r w:rsidR="003E6AB1" w:rsidRPr="00444DE1">
        <w:rPr>
          <w:rFonts w:ascii="Times New Roman" w:hAnsi="Times New Roman" w:cs="Times New Roman"/>
          <w:b/>
          <w:sz w:val="28"/>
          <w:szCs w:val="28"/>
          <w:lang w:val="en-US"/>
        </w:rPr>
        <w:t>SOME SOCIAL ISSUES</w:t>
      </w:r>
    </w:p>
    <w:p w14:paraId="041BB320" w14:textId="205E9B94" w:rsidR="001105C0" w:rsidRPr="00DC0CA9" w:rsidRDefault="005C2F8B" w:rsidP="00F877BF">
      <w:pPr>
        <w:pStyle w:val="BodyTextIndent3"/>
        <w:spacing w:line="340" w:lineRule="exact"/>
        <w:ind w:left="0" w:firstLine="567"/>
        <w:jc w:val="both"/>
        <w:rPr>
          <w:rFonts w:ascii="Times New Roman" w:hAnsi="Times New Roman" w:cs="Times New Roman"/>
          <w:b/>
          <w:i/>
          <w:spacing w:val="-2"/>
          <w:sz w:val="28"/>
          <w:szCs w:val="28"/>
          <w:lang w:val="vi-VN"/>
        </w:rPr>
      </w:pPr>
      <w:r w:rsidRPr="00DC0CA9">
        <w:rPr>
          <w:rFonts w:ascii="Times New Roman" w:hAnsi="Times New Roman" w:cs="Times New Roman"/>
          <w:b/>
          <w:i/>
          <w:iCs/>
          <w:sz w:val="28"/>
          <w:szCs w:val="28"/>
        </w:rPr>
        <w:t xml:space="preserve">1. </w:t>
      </w:r>
      <w:r w:rsidR="00F716D5" w:rsidRPr="00F716D5">
        <w:rPr>
          <w:rFonts w:ascii="Times New Roman" w:hAnsi="Times New Roman" w:cs="Times New Roman"/>
          <w:b/>
          <w:i/>
          <w:spacing w:val="-2"/>
          <w:sz w:val="28"/>
          <w:szCs w:val="28"/>
          <w:lang w:val="vi-VN"/>
        </w:rPr>
        <w:t>The average population of Vietnam in 2021 was 98.51 million people. The quality of the population has improved, fertility has decreased, and replacement fertility has been maintained since 2005. Besides, the mortality rate has remained at a low level, the average life expectancy has been increased. The labor and employment situation in the fourth quarter of 2021 improved compared to the previous quarter, but due to the impact of the Covid-19 epidemic, the unemployment rate and the underemployment rate in general in 2021 were higher than the previous year while the number of people with employment jobs, wages of salaried employees were lower than the previous year.</w:t>
      </w:r>
    </w:p>
    <w:p w14:paraId="0D94F010" w14:textId="4C6C7460" w:rsidR="00DA3AFE" w:rsidRDefault="00DA3AFE" w:rsidP="00E93513">
      <w:pPr>
        <w:pStyle w:val="BodyTextIndent3"/>
        <w:spacing w:before="40" w:after="40"/>
        <w:ind w:left="0" w:firstLine="567"/>
        <w:jc w:val="both"/>
        <w:rPr>
          <w:rFonts w:ascii="Times New Roman" w:hAnsi="Times New Roman" w:cs="Times New Roman"/>
          <w:spacing w:val="-4"/>
          <w:sz w:val="28"/>
          <w:szCs w:val="28"/>
          <w:lang w:val="vi-VN"/>
        </w:rPr>
      </w:pPr>
      <w:r w:rsidRPr="00DA3AFE">
        <w:rPr>
          <w:rFonts w:ascii="Times New Roman" w:hAnsi="Times New Roman" w:cs="Times New Roman"/>
          <w:spacing w:val="-4"/>
          <w:sz w:val="28"/>
          <w:szCs w:val="28"/>
          <w:lang w:val="vi-VN"/>
        </w:rPr>
        <w:t xml:space="preserve">The average population of the whole country in 2021 was estimated at 98.51 million people, an increase of 922.7 thousand people, equivalent to an increase of 0.95% compared to 2020, of which: The urban population </w:t>
      </w:r>
      <w:r w:rsidR="002F4133">
        <w:rPr>
          <w:rFonts w:ascii="Times New Roman" w:hAnsi="Times New Roman" w:cs="Times New Roman"/>
          <w:spacing w:val="-4"/>
          <w:sz w:val="28"/>
          <w:szCs w:val="28"/>
        </w:rPr>
        <w:t>wa</w:t>
      </w:r>
      <w:r w:rsidRPr="00DA3AFE">
        <w:rPr>
          <w:rFonts w:ascii="Times New Roman" w:hAnsi="Times New Roman" w:cs="Times New Roman"/>
          <w:spacing w:val="-4"/>
          <w:sz w:val="28"/>
          <w:szCs w:val="28"/>
          <w:lang w:val="vi-VN"/>
        </w:rPr>
        <w:t xml:space="preserve">s 36.57 million people, accounting for 37.1%; rural population 61.94 million people, accounting for 62.9%; men 49.1 million people, accounting for 49.8%; women 49.41 million people, accounting for 50.2%. The sex ratio of the population in 2021 </w:t>
      </w:r>
      <w:r w:rsidR="002F4133">
        <w:rPr>
          <w:rFonts w:ascii="Times New Roman" w:hAnsi="Times New Roman" w:cs="Times New Roman"/>
          <w:spacing w:val="-4"/>
          <w:sz w:val="28"/>
          <w:szCs w:val="28"/>
        </w:rPr>
        <w:t>wa</w:t>
      </w:r>
      <w:r w:rsidRPr="00DA3AFE">
        <w:rPr>
          <w:rFonts w:ascii="Times New Roman" w:hAnsi="Times New Roman" w:cs="Times New Roman"/>
          <w:spacing w:val="-4"/>
          <w:sz w:val="28"/>
          <w:szCs w:val="28"/>
          <w:lang w:val="vi-VN"/>
        </w:rPr>
        <w:t>s 99.4 males/100 females.</w:t>
      </w:r>
    </w:p>
    <w:p w14:paraId="09611533" w14:textId="685B31DE" w:rsidR="00E93513" w:rsidRPr="006A3655" w:rsidRDefault="00E93513" w:rsidP="00E93513">
      <w:pPr>
        <w:pStyle w:val="BodyTextIndent3"/>
        <w:spacing w:before="40" w:after="40"/>
        <w:ind w:left="0" w:firstLine="567"/>
        <w:jc w:val="both"/>
        <w:rPr>
          <w:rFonts w:ascii="Times New Roman" w:hAnsi="Times New Roman" w:cs="Times New Roman"/>
          <w:spacing w:val="-4"/>
          <w:sz w:val="28"/>
          <w:szCs w:val="28"/>
          <w:lang w:val="vi-VN"/>
        </w:rPr>
      </w:pPr>
      <w:r w:rsidRPr="006A3655">
        <w:rPr>
          <w:rFonts w:ascii="Times New Roman" w:hAnsi="Times New Roman" w:cs="Times New Roman"/>
          <w:spacing w:val="-4"/>
          <w:sz w:val="28"/>
          <w:szCs w:val="28"/>
          <w:lang w:val="vi-VN"/>
        </w:rPr>
        <w:t>According to the results of quickly synthesizing reports of provinces and centrally-run cities, as of December 15, 2021, the whole country had about 2.2 million people returned to their localities due to the impact of the fourth Covid-19 pandemic. Among the total number of migrants, the female was 839.5 thousand people, accounting for 37.5% of the total; people aged 15 and over were nearly 1.6 million people, accounting for 70.9%. The number of people returning from Hanoi to other provinces and cities was 447.1 thousand people; from Ho Chi Minh City was 524 thousand people; from the Southern provinces was 594 thousand people and from other provinces and cities was 676 thousand people.</w:t>
      </w:r>
    </w:p>
    <w:p w14:paraId="5BC6C6EC" w14:textId="77777777" w:rsidR="00BA474C" w:rsidRPr="00BA474C" w:rsidRDefault="00BA474C" w:rsidP="00BA474C">
      <w:pPr>
        <w:widowControl w:val="0"/>
        <w:spacing w:after="120" w:line="340" w:lineRule="exact"/>
        <w:ind w:firstLine="567"/>
        <w:jc w:val="both"/>
        <w:rPr>
          <w:rFonts w:ascii="Times New Roman" w:hAnsi="Times New Roman" w:cs="Times New Roman"/>
          <w:sz w:val="28"/>
          <w:szCs w:val="28"/>
        </w:rPr>
      </w:pPr>
      <w:r w:rsidRPr="00BA474C">
        <w:rPr>
          <w:rFonts w:ascii="Times New Roman" w:hAnsi="Times New Roman" w:cs="Times New Roman"/>
          <w:sz w:val="28"/>
          <w:szCs w:val="28"/>
        </w:rPr>
        <w:t>The labor force aged 15 and over was 50.5 million people, down 0.8% compared to the previous year; the labor force in working age was 44.6 million people, down 1.5%; Employed laborers aged 15 and over were 49 million people.</w:t>
      </w:r>
    </w:p>
    <w:p w14:paraId="73CA25F2" w14:textId="77777777" w:rsidR="00BA474C" w:rsidRPr="00BA474C" w:rsidRDefault="00BA474C" w:rsidP="00BA474C">
      <w:pPr>
        <w:widowControl w:val="0"/>
        <w:spacing w:after="120" w:line="340" w:lineRule="exact"/>
        <w:ind w:firstLine="567"/>
        <w:jc w:val="both"/>
        <w:rPr>
          <w:rFonts w:ascii="Times New Roman" w:hAnsi="Times New Roman" w:cs="Times New Roman"/>
          <w:sz w:val="28"/>
          <w:szCs w:val="28"/>
        </w:rPr>
      </w:pPr>
      <w:r w:rsidRPr="00BA474C">
        <w:rPr>
          <w:rFonts w:ascii="Times New Roman" w:hAnsi="Times New Roman" w:cs="Times New Roman"/>
          <w:sz w:val="28"/>
          <w:szCs w:val="28"/>
        </w:rPr>
        <w:t>The unemployment rate of working age in 2021 was estimated at 3.22%, of which the unemployment rate in urban areas was 4.42%; the rural area was 2.48%.</w:t>
      </w:r>
    </w:p>
    <w:p w14:paraId="3D98ACE1" w14:textId="77777777" w:rsidR="00BA474C" w:rsidRDefault="00BA474C" w:rsidP="00BA474C">
      <w:pPr>
        <w:widowControl w:val="0"/>
        <w:spacing w:after="120" w:line="340" w:lineRule="exact"/>
        <w:ind w:firstLine="567"/>
        <w:jc w:val="both"/>
        <w:rPr>
          <w:rFonts w:ascii="Times New Roman" w:hAnsi="Times New Roman" w:cs="Times New Roman"/>
          <w:sz w:val="28"/>
          <w:szCs w:val="28"/>
        </w:rPr>
      </w:pPr>
      <w:r w:rsidRPr="00BA474C">
        <w:rPr>
          <w:rFonts w:ascii="Times New Roman" w:hAnsi="Times New Roman" w:cs="Times New Roman"/>
          <w:sz w:val="28"/>
          <w:szCs w:val="28"/>
        </w:rPr>
        <w:t xml:space="preserve">The underemployment rate of laborers of working age in 2021 was 3.1%, of which the underemployment rate in urban areas was 3.33%; the underemployment </w:t>
      </w:r>
      <w:r w:rsidRPr="00BA474C">
        <w:rPr>
          <w:rFonts w:ascii="Times New Roman" w:hAnsi="Times New Roman" w:cs="Times New Roman"/>
          <w:sz w:val="28"/>
          <w:szCs w:val="28"/>
        </w:rPr>
        <w:lastRenderedPageBreak/>
        <w:t>rate in rural areas was 2.96%.</w:t>
      </w:r>
    </w:p>
    <w:p w14:paraId="6C4073F7" w14:textId="1883E6DC" w:rsidR="007A300F" w:rsidRPr="00DC0CA9" w:rsidRDefault="006C21AD" w:rsidP="00BA474C">
      <w:pPr>
        <w:widowControl w:val="0"/>
        <w:spacing w:after="120" w:line="340" w:lineRule="exact"/>
        <w:ind w:firstLine="567"/>
        <w:jc w:val="both"/>
        <w:rPr>
          <w:rFonts w:ascii="Times New Roman" w:hAnsi="Times New Roman" w:cs="Times New Roman"/>
          <w:b/>
          <w:i/>
          <w:spacing w:val="-2"/>
          <w:sz w:val="28"/>
          <w:szCs w:val="28"/>
          <w:lang w:val="nl-NL"/>
        </w:rPr>
      </w:pPr>
      <w:r w:rsidRPr="00DC0CA9">
        <w:rPr>
          <w:rFonts w:ascii="Times New Roman" w:hAnsi="Times New Roman" w:cs="Times New Roman"/>
          <w:b/>
          <w:bCs/>
          <w:i/>
          <w:iCs/>
          <w:sz w:val="28"/>
          <w:szCs w:val="28"/>
        </w:rPr>
        <w:t>2</w:t>
      </w:r>
      <w:r w:rsidR="007A4625" w:rsidRPr="00DC0CA9">
        <w:rPr>
          <w:rFonts w:ascii="Times New Roman" w:hAnsi="Times New Roman" w:cs="Times New Roman"/>
          <w:b/>
          <w:bCs/>
          <w:i/>
          <w:iCs/>
          <w:sz w:val="28"/>
          <w:szCs w:val="28"/>
        </w:rPr>
        <w:t xml:space="preserve">. </w:t>
      </w:r>
      <w:r w:rsidR="00124FC1" w:rsidRPr="00124FC1">
        <w:rPr>
          <w:rFonts w:ascii="Times New Roman" w:hAnsi="Times New Roman" w:cs="Times New Roman"/>
          <w:b/>
          <w:bCs/>
          <w:i/>
          <w:iCs/>
          <w:sz w:val="28"/>
          <w:szCs w:val="28"/>
        </w:rPr>
        <w:t>This year, the complicated and prolonged development of the Covid-19 epidemic has significantly affected people's lives. The Government and Prime Minister have directed ministries, branches, and localities to give priority to disease prevention and control with the main task of ensuring social security and people's lives. Especially people in the localities implemented social distancing, ensuring that people have enough to eat and clothe.</w:t>
      </w:r>
    </w:p>
    <w:p w14:paraId="43188946" w14:textId="77777777" w:rsidR="00A64A68" w:rsidRPr="00552329" w:rsidRDefault="00A64A68" w:rsidP="00A64A68">
      <w:pPr>
        <w:spacing w:before="40" w:after="40" w:line="293" w:lineRule="auto"/>
        <w:ind w:firstLine="567"/>
        <w:jc w:val="both"/>
        <w:rPr>
          <w:rFonts w:ascii="Times New Roman" w:hAnsi="Times New Roman"/>
          <w:sz w:val="28"/>
          <w:szCs w:val="28"/>
        </w:rPr>
      </w:pPr>
      <w:r w:rsidRPr="00552329">
        <w:rPr>
          <w:rFonts w:ascii="Times New Roman" w:hAnsi="Times New Roman"/>
          <w:sz w:val="28"/>
          <w:szCs w:val="28"/>
        </w:rPr>
        <w:t>According to preliminary results from the Population Living Standards Survey in 2021, the estimated average income per person per month in 2021 at current prices was about 4.2 million VND, down 73 thousand VND compared to 2020; multidimensional approach poverty rate was estimated at 4.4%, down 0.4 percentage points compared to 2020.</w:t>
      </w:r>
    </w:p>
    <w:p w14:paraId="0AFD5BA7" w14:textId="77777777" w:rsidR="003E1D22" w:rsidRPr="00552329" w:rsidRDefault="003E1D22" w:rsidP="003E1D22">
      <w:pPr>
        <w:spacing w:before="40" w:after="40" w:line="293" w:lineRule="auto"/>
        <w:ind w:firstLine="567"/>
        <w:jc w:val="both"/>
        <w:rPr>
          <w:rFonts w:ascii="Times New Roman" w:hAnsi="Times New Roman"/>
          <w:sz w:val="28"/>
          <w:szCs w:val="28"/>
        </w:rPr>
      </w:pPr>
      <w:r w:rsidRPr="00552329">
        <w:rPr>
          <w:rFonts w:ascii="Times New Roman" w:hAnsi="Times New Roman"/>
          <w:sz w:val="28"/>
          <w:szCs w:val="28"/>
        </w:rPr>
        <w:t>According to the Ministry of Labour - Invalids and Social Affairs, as of December 15, 2021, the total funding from the central budget has been supported according to Resolution No. 68/NQ-CP dated July 1st, 2021; Resolution No. 86/NQ-CP dated August 6th, 2021 of the Government and Resolution No. 126/NQ-CP dated October 8th, 2021; Decision No. 23/2021/QĐ-TTg dated 7/7/2021 of the Prime Minister was nearly 31.4 trillion VND for 28.8 million people and 337.9 thousand employers/household business. In addition, according to Resolution No. 116/NQ-CP dated September 24th, 2021 of the Government, 37.5 trillion VND was supported for nearly 22.3 million people and 363.6 thousand employers/household businesses. As of December 23th, 2021, nearly 149.1 thousand tons of rice was supported for 2.5 million households with nearly 9.9 million people suffering from hunger due to grain, disease, and natural disasters.</w:t>
      </w:r>
    </w:p>
    <w:p w14:paraId="5838B321" w14:textId="77777777" w:rsidR="00611B39" w:rsidRPr="00552329" w:rsidRDefault="00611B39" w:rsidP="00611B39">
      <w:pPr>
        <w:spacing w:before="40" w:after="40" w:line="293" w:lineRule="auto"/>
        <w:ind w:firstLine="567"/>
        <w:jc w:val="both"/>
        <w:rPr>
          <w:rFonts w:ascii="Times New Roman" w:hAnsi="Times New Roman"/>
          <w:sz w:val="28"/>
          <w:szCs w:val="28"/>
        </w:rPr>
      </w:pPr>
      <w:r w:rsidRPr="00552329">
        <w:rPr>
          <w:rFonts w:ascii="Times New Roman" w:hAnsi="Times New Roman"/>
          <w:sz w:val="28"/>
          <w:szCs w:val="28"/>
        </w:rPr>
        <w:t>Periodic social security work and sustainable poverty reduction continue to be concerned, directed, and implemented even in disease conditions, localities have implemented many synchronous solutions, taking care of poor households. In 2021, the total value of money and gifts to support objects was 9.7 trillion VND, of which, support for people with meritorious services was 4.4 trillion VND, support for poor and near-poor households is 2.8 trillion VND; support for hunger relief for social protection beneficiaries and other beneficiaries was 2.5 billion VND. There were nearly 29.1 million social insurance cards/books and free medical examination and treatment cards distributed and donated to beneficiaries.</w:t>
      </w:r>
    </w:p>
    <w:p w14:paraId="463A0884" w14:textId="77777777" w:rsidR="00F06624" w:rsidRDefault="00F06624" w:rsidP="00FA1162">
      <w:pPr>
        <w:pStyle w:val="Normal2"/>
        <w:spacing w:before="0" w:beforeAutospacing="0" w:after="120" w:afterAutospacing="0" w:line="266" w:lineRule="auto"/>
        <w:ind w:firstLine="567"/>
        <w:jc w:val="both"/>
        <w:rPr>
          <w:rFonts w:ascii="Times New Roman" w:hAnsi="Times New Roman"/>
          <w:sz w:val="28"/>
          <w:szCs w:val="28"/>
        </w:rPr>
      </w:pPr>
      <w:r w:rsidRPr="00552329">
        <w:rPr>
          <w:rFonts w:ascii="Times New Roman" w:hAnsi="Times New Roman"/>
          <w:sz w:val="28"/>
          <w:szCs w:val="28"/>
        </w:rPr>
        <w:t xml:space="preserve">According to the Ministry of Agriculture and Rural Development, by November 2021, the whole country has 5,392 communes meeting new rural </w:t>
      </w:r>
      <w:r w:rsidRPr="00552329">
        <w:rPr>
          <w:rFonts w:ascii="Times New Roman" w:hAnsi="Times New Roman"/>
          <w:sz w:val="28"/>
          <w:szCs w:val="28"/>
        </w:rPr>
        <w:lastRenderedPageBreak/>
        <w:t>standards (reaching 65.5%), it was estimated that by the end of December 2021, it reached 68% (up 5.6% compared to 2020).</w:t>
      </w:r>
    </w:p>
    <w:p w14:paraId="55AB8C30" w14:textId="79E80125" w:rsidR="00942996" w:rsidRPr="00DC0CA9" w:rsidRDefault="006C21AD" w:rsidP="00FA1162">
      <w:pPr>
        <w:pStyle w:val="Normal2"/>
        <w:spacing w:before="0" w:beforeAutospacing="0" w:after="120" w:afterAutospacing="0" w:line="266" w:lineRule="auto"/>
        <w:ind w:firstLine="567"/>
        <w:jc w:val="both"/>
        <w:rPr>
          <w:rFonts w:ascii="Times New Roman" w:hAnsi="Times New Roman" w:cs="Times New Roman"/>
          <w:b/>
          <w:i/>
          <w:sz w:val="28"/>
          <w:szCs w:val="28"/>
        </w:rPr>
      </w:pPr>
      <w:r w:rsidRPr="00DC0CA9">
        <w:rPr>
          <w:rStyle w:val="normalchar"/>
          <w:rFonts w:ascii="Times New Roman" w:hAnsi="Times New Roman"/>
          <w:b/>
          <w:i/>
          <w:iCs/>
          <w:sz w:val="28"/>
          <w:szCs w:val="28"/>
          <w:lang w:val="nl-NL"/>
        </w:rPr>
        <w:t>3</w:t>
      </w:r>
      <w:r w:rsidR="00942996" w:rsidRPr="00DC0CA9">
        <w:rPr>
          <w:rStyle w:val="normalchar"/>
          <w:rFonts w:ascii="Times New Roman" w:hAnsi="Times New Roman"/>
          <w:b/>
          <w:i/>
          <w:iCs/>
          <w:sz w:val="28"/>
          <w:szCs w:val="28"/>
          <w:lang w:val="nl-NL"/>
        </w:rPr>
        <w:t xml:space="preserve">. </w:t>
      </w:r>
      <w:r w:rsidR="00007591" w:rsidRPr="00007591">
        <w:rPr>
          <w:rStyle w:val="normalchar"/>
          <w:rFonts w:ascii="Times New Roman" w:hAnsi="Times New Roman"/>
          <w:b/>
          <w:i/>
          <w:iCs/>
          <w:sz w:val="28"/>
          <w:szCs w:val="28"/>
          <w:lang w:val="nl-NL"/>
        </w:rPr>
        <w:t>Education and training were affected by the Covid-19 epidemic, but the Education sector promptly gave response plans; appropriate directions, and instructions to both ensure the safety of students and teachers and implement the school year plan.</w:t>
      </w:r>
    </w:p>
    <w:p w14:paraId="3734CF96" w14:textId="77777777" w:rsidR="008C6924" w:rsidRDefault="008C6924" w:rsidP="008C6924">
      <w:pPr>
        <w:spacing w:before="40" w:after="40" w:line="293" w:lineRule="auto"/>
        <w:ind w:firstLine="567"/>
        <w:jc w:val="both"/>
        <w:rPr>
          <w:rFonts w:ascii="Times New Roman" w:hAnsi="Times New Roman" w:cs="Times New Roman"/>
          <w:spacing w:val="-2"/>
          <w:sz w:val="28"/>
          <w:szCs w:val="28"/>
          <w:lang w:val="nl-NL"/>
        </w:rPr>
      </w:pPr>
      <w:r w:rsidRPr="00B340F6">
        <w:rPr>
          <w:rFonts w:ascii="Times New Roman" w:hAnsi="Times New Roman" w:cs="Times New Roman"/>
          <w:spacing w:val="-2"/>
          <w:sz w:val="28"/>
          <w:szCs w:val="28"/>
          <w:lang w:val="nl-NL"/>
        </w:rPr>
        <w:t>The national high school graduation exam in 2021 has been successfully held, ensuring seriousness, safety, and compliance with exam regulations. The number of candidates taking part in the first exam was 981,773 candidates (in which the percentage of candidates coming to the exam was 96.13%); The number of candidates taking the second exam was 11,567 candidates (the percentage of candidates coming to the exam was 97.98%). More than 12,000 candidates were considered for graduation. The national high school graduation rate in 2021 reached 98.6%, an increase of 0.2% compared to the previous school year.</w:t>
      </w:r>
    </w:p>
    <w:p w14:paraId="05976E80" w14:textId="77777777" w:rsidR="007307A1" w:rsidRDefault="007307A1" w:rsidP="00FA1162">
      <w:pPr>
        <w:spacing w:after="120" w:line="266" w:lineRule="auto"/>
        <w:ind w:firstLine="567"/>
        <w:jc w:val="both"/>
        <w:rPr>
          <w:rFonts w:ascii="Times New Roman" w:hAnsi="Times New Roman" w:cs="Times New Roman"/>
          <w:sz w:val="28"/>
          <w:szCs w:val="28"/>
          <w:lang w:val="es-BO"/>
        </w:rPr>
      </w:pPr>
      <w:r w:rsidRPr="00361ACD">
        <w:rPr>
          <w:rFonts w:ascii="Times New Roman" w:hAnsi="Times New Roman" w:cs="Times New Roman"/>
          <w:sz w:val="28"/>
          <w:szCs w:val="28"/>
          <w:lang w:val="es-BO"/>
        </w:rPr>
        <w:t>The Covid-19 epidemic has affected the enrollment and training of the whole vocational education system. In 2021, vocational training has recruited 1,896.8 thousand people, reach</w:t>
      </w:r>
      <w:r>
        <w:rPr>
          <w:rFonts w:ascii="Times New Roman" w:hAnsi="Times New Roman" w:cs="Times New Roman"/>
          <w:sz w:val="28"/>
          <w:szCs w:val="28"/>
          <w:lang w:val="es-BO"/>
        </w:rPr>
        <w:t>ed</w:t>
      </w:r>
      <w:r w:rsidRPr="00361ACD">
        <w:rPr>
          <w:rFonts w:ascii="Times New Roman" w:hAnsi="Times New Roman" w:cs="Times New Roman"/>
          <w:sz w:val="28"/>
          <w:szCs w:val="28"/>
          <w:lang w:val="es-BO"/>
        </w:rPr>
        <w:t xml:space="preserve"> 80% of the year plan, of which: 482.4 thousand people are enrolled in college and intermediate education; elementary level and other vocational training programs enrolled 1,414.4 thousand people. The number of graduate</w:t>
      </w:r>
      <w:r>
        <w:rPr>
          <w:rFonts w:ascii="Times New Roman" w:hAnsi="Times New Roman" w:cs="Times New Roman"/>
          <w:sz w:val="28"/>
          <w:szCs w:val="28"/>
          <w:lang w:val="es-BO"/>
        </w:rPr>
        <w:t xml:space="preserve">d </w:t>
      </w:r>
      <w:r w:rsidRPr="00361ACD">
        <w:rPr>
          <w:rFonts w:ascii="Times New Roman" w:hAnsi="Times New Roman" w:cs="Times New Roman"/>
          <w:sz w:val="28"/>
          <w:szCs w:val="28"/>
          <w:lang w:val="es-BO"/>
        </w:rPr>
        <w:t xml:space="preserve">students </w:t>
      </w:r>
      <w:r>
        <w:rPr>
          <w:rFonts w:ascii="Times New Roman" w:hAnsi="Times New Roman" w:cs="Times New Roman"/>
          <w:sz w:val="28"/>
          <w:szCs w:val="28"/>
          <w:lang w:val="es-BO"/>
        </w:rPr>
        <w:t>was</w:t>
      </w:r>
      <w:r w:rsidRPr="00361ACD">
        <w:rPr>
          <w:rFonts w:ascii="Times New Roman" w:hAnsi="Times New Roman" w:cs="Times New Roman"/>
          <w:sz w:val="28"/>
          <w:szCs w:val="28"/>
          <w:lang w:val="es-BO"/>
        </w:rPr>
        <w:t xml:space="preserve"> 1,658.4 thousand people, reach</w:t>
      </w:r>
      <w:r>
        <w:rPr>
          <w:rFonts w:ascii="Times New Roman" w:hAnsi="Times New Roman" w:cs="Times New Roman"/>
          <w:sz w:val="28"/>
          <w:szCs w:val="28"/>
          <w:lang w:val="es-BO"/>
        </w:rPr>
        <w:t>ed</w:t>
      </w:r>
      <w:r w:rsidRPr="00361ACD">
        <w:rPr>
          <w:rFonts w:ascii="Times New Roman" w:hAnsi="Times New Roman" w:cs="Times New Roman"/>
          <w:sz w:val="28"/>
          <w:szCs w:val="28"/>
          <w:lang w:val="es-BO"/>
        </w:rPr>
        <w:t xml:space="preserve"> 80% of the year plan, of which: 314.7 thousand people </w:t>
      </w:r>
      <w:r>
        <w:rPr>
          <w:rFonts w:ascii="Times New Roman" w:hAnsi="Times New Roman" w:cs="Times New Roman"/>
          <w:sz w:val="28"/>
          <w:szCs w:val="28"/>
          <w:lang w:val="es-BO"/>
        </w:rPr>
        <w:t>we</w:t>
      </w:r>
      <w:r w:rsidRPr="00361ACD">
        <w:rPr>
          <w:rFonts w:ascii="Times New Roman" w:hAnsi="Times New Roman" w:cs="Times New Roman"/>
          <w:sz w:val="28"/>
          <w:szCs w:val="28"/>
          <w:lang w:val="es-BO"/>
        </w:rPr>
        <w:t>re enrolled at college and intermediate level; elementary level and other vocational training programs 1,343.7 thousand people.</w:t>
      </w:r>
    </w:p>
    <w:p w14:paraId="6F1449CA" w14:textId="77777777" w:rsidR="000613AC" w:rsidRDefault="006C21AD" w:rsidP="000613AC">
      <w:pPr>
        <w:spacing w:after="120" w:line="266" w:lineRule="auto"/>
        <w:ind w:firstLine="567"/>
        <w:jc w:val="both"/>
        <w:rPr>
          <w:rFonts w:ascii="Times New Roman" w:hAnsi="Times New Roman" w:cs="Times New Roman"/>
          <w:b/>
          <w:i/>
          <w:iCs/>
          <w:sz w:val="28"/>
          <w:szCs w:val="28"/>
          <w:lang w:val="de-DE"/>
        </w:rPr>
      </w:pPr>
      <w:r w:rsidRPr="00DC0CA9">
        <w:rPr>
          <w:rStyle w:val="normalchar"/>
          <w:rFonts w:ascii="Times New Roman" w:hAnsi="Times New Roman"/>
          <w:b/>
          <w:i/>
          <w:iCs/>
          <w:sz w:val="28"/>
          <w:szCs w:val="28"/>
          <w:lang w:val="nl-NL"/>
        </w:rPr>
        <w:t>4</w:t>
      </w:r>
      <w:r w:rsidR="00942996" w:rsidRPr="00DC0CA9">
        <w:rPr>
          <w:rStyle w:val="normalchar"/>
          <w:rFonts w:ascii="Times New Roman" w:hAnsi="Times New Roman"/>
          <w:b/>
          <w:i/>
          <w:iCs/>
          <w:sz w:val="28"/>
          <w:szCs w:val="28"/>
          <w:lang w:val="nl-NL"/>
        </w:rPr>
        <w:t xml:space="preserve">. </w:t>
      </w:r>
      <w:r w:rsidR="000613AC" w:rsidRPr="000613AC">
        <w:rPr>
          <w:rFonts w:ascii="Times New Roman" w:hAnsi="Times New Roman" w:cs="Times New Roman"/>
          <w:b/>
          <w:i/>
          <w:iCs/>
          <w:sz w:val="28"/>
          <w:szCs w:val="28"/>
          <w:lang w:val="de-DE"/>
        </w:rPr>
        <w:t>The Covid-19 epidemic in the world continues to be complicated with the appearance of a new strain, Omicron. In Vietnam, the number of new cases has been increased in many localities; the number of critically ill patients and the number of deaths have not decreased.</w:t>
      </w:r>
    </w:p>
    <w:p w14:paraId="47E41413" w14:textId="136D9C5D" w:rsidR="004E574D" w:rsidRDefault="004E574D" w:rsidP="000613AC">
      <w:pPr>
        <w:spacing w:after="120" w:line="266" w:lineRule="auto"/>
        <w:ind w:firstLine="567"/>
        <w:jc w:val="both"/>
        <w:rPr>
          <w:rFonts w:ascii="Times New Roman" w:hAnsi="Times New Roman" w:cs="Times New Roman"/>
          <w:sz w:val="28"/>
          <w:szCs w:val="28"/>
          <w:lang w:val="de-DE"/>
        </w:rPr>
      </w:pPr>
      <w:r w:rsidRPr="003D31E7">
        <w:rPr>
          <w:rFonts w:ascii="Times New Roman" w:hAnsi="Times New Roman" w:cs="Times New Roman"/>
          <w:sz w:val="28"/>
          <w:szCs w:val="28"/>
          <w:lang w:val="de-DE"/>
        </w:rPr>
        <w:t>As of 16: 00 on December 27</w:t>
      </w:r>
      <w:r>
        <w:rPr>
          <w:rFonts w:ascii="Times New Roman" w:hAnsi="Times New Roman" w:cs="Times New Roman"/>
          <w:sz w:val="28"/>
          <w:szCs w:val="28"/>
          <w:lang w:val="de-DE"/>
        </w:rPr>
        <w:t>th</w:t>
      </w:r>
      <w:r w:rsidRPr="003D31E7">
        <w:rPr>
          <w:rFonts w:ascii="Times New Roman" w:hAnsi="Times New Roman" w:cs="Times New Roman"/>
          <w:sz w:val="28"/>
          <w:szCs w:val="28"/>
          <w:lang w:val="de-DE"/>
        </w:rPr>
        <w:t>, 2021</w:t>
      </w:r>
      <w:r>
        <w:rPr>
          <w:rFonts w:ascii="Times New Roman" w:hAnsi="Times New Roman" w:cs="Times New Roman"/>
          <w:sz w:val="28"/>
          <w:szCs w:val="28"/>
          <w:lang w:val="de-DE"/>
        </w:rPr>
        <w:t>,</w:t>
      </w:r>
      <w:r w:rsidRPr="003E006F">
        <w:rPr>
          <w:rFonts w:ascii="Times New Roman" w:hAnsi="Times New Roman" w:cs="Times New Roman"/>
          <w:sz w:val="28"/>
          <w:szCs w:val="28"/>
          <w:lang w:val="de-DE"/>
        </w:rPr>
        <w:t xml:space="preserve"> </w:t>
      </w:r>
      <w:r>
        <w:rPr>
          <w:rFonts w:ascii="Times New Roman" w:hAnsi="Times New Roman" w:cs="Times New Roman"/>
          <w:sz w:val="28"/>
          <w:szCs w:val="28"/>
          <w:lang w:val="de-DE"/>
        </w:rPr>
        <w:t>In Viet Nam, there were 1,</w:t>
      </w:r>
      <w:r w:rsidRPr="003E006F">
        <w:rPr>
          <w:rFonts w:ascii="Times New Roman" w:hAnsi="Times New Roman" w:cs="Times New Roman"/>
          <w:sz w:val="28"/>
          <w:szCs w:val="28"/>
          <w:lang w:val="de-DE"/>
        </w:rPr>
        <w:t>6</w:t>
      </w:r>
      <w:r>
        <w:rPr>
          <w:rFonts w:ascii="Times New Roman" w:hAnsi="Times New Roman" w:cs="Times New Roman"/>
          <w:sz w:val="28"/>
          <w:szCs w:val="28"/>
          <w:lang w:val="de-DE"/>
        </w:rPr>
        <w:t>66,545</w:t>
      </w:r>
      <w:r w:rsidRPr="003E006F">
        <w:rPr>
          <w:rFonts w:ascii="Times New Roman" w:hAnsi="Times New Roman" w:cs="Times New Roman"/>
          <w:sz w:val="28"/>
          <w:szCs w:val="28"/>
          <w:lang w:val="de-DE"/>
        </w:rPr>
        <w:t xml:space="preserve"> </w:t>
      </w:r>
      <w:r>
        <w:rPr>
          <w:rFonts w:ascii="Times New Roman" w:hAnsi="Times New Roman" w:cs="Times New Roman"/>
          <w:sz w:val="28"/>
          <w:szCs w:val="28"/>
          <w:lang w:val="de-DE"/>
        </w:rPr>
        <w:t>cases have been reported</w:t>
      </w:r>
      <w:r w:rsidRPr="003E006F">
        <w:rPr>
          <w:rFonts w:ascii="Times New Roman" w:hAnsi="Times New Roman" w:cs="Times New Roman"/>
          <w:sz w:val="28"/>
          <w:szCs w:val="28"/>
          <w:lang w:val="de-DE"/>
        </w:rPr>
        <w:t xml:space="preserve">, </w:t>
      </w:r>
      <w:r>
        <w:rPr>
          <w:rFonts w:ascii="Times New Roman" w:hAnsi="Times New Roman" w:cs="Times New Roman"/>
          <w:sz w:val="28"/>
          <w:szCs w:val="28"/>
          <w:lang w:val="de-DE"/>
        </w:rPr>
        <w:t>of which 1,</w:t>
      </w:r>
      <w:r w:rsidRPr="003E006F">
        <w:rPr>
          <w:rFonts w:ascii="Times New Roman" w:hAnsi="Times New Roman" w:cs="Times New Roman"/>
          <w:sz w:val="28"/>
          <w:szCs w:val="28"/>
          <w:lang w:val="de-DE"/>
        </w:rPr>
        <w:t>2</w:t>
      </w:r>
      <w:r>
        <w:rPr>
          <w:rFonts w:ascii="Times New Roman" w:hAnsi="Times New Roman" w:cs="Times New Roman"/>
          <w:sz w:val="28"/>
          <w:szCs w:val="28"/>
          <w:lang w:val="de-DE"/>
        </w:rPr>
        <w:t>59,614</w:t>
      </w:r>
      <w:r w:rsidRPr="003E006F">
        <w:rPr>
          <w:rFonts w:ascii="Times New Roman" w:hAnsi="Times New Roman" w:cs="Times New Roman"/>
          <w:sz w:val="28"/>
          <w:szCs w:val="28"/>
          <w:lang w:val="de-DE"/>
        </w:rPr>
        <w:t xml:space="preserve"> </w:t>
      </w:r>
      <w:r w:rsidRPr="006D7720">
        <w:rPr>
          <w:rFonts w:ascii="Times New Roman" w:hAnsi="Times New Roman" w:cs="Times New Roman"/>
          <w:sz w:val="28"/>
          <w:szCs w:val="28"/>
          <w:lang w:val="de-DE"/>
        </w:rPr>
        <w:t>cases have been cured</w:t>
      </w:r>
      <w:r w:rsidRPr="003E006F">
        <w:rPr>
          <w:rFonts w:ascii="Times New Roman" w:hAnsi="Times New Roman" w:cs="Times New Roman"/>
          <w:sz w:val="28"/>
          <w:szCs w:val="28"/>
          <w:lang w:val="de-DE"/>
        </w:rPr>
        <w:t xml:space="preserve"> </w:t>
      </w:r>
      <w:r>
        <w:rPr>
          <w:rFonts w:ascii="Times New Roman" w:hAnsi="Times New Roman" w:cs="Times New Roman"/>
          <w:sz w:val="28"/>
          <w:szCs w:val="28"/>
          <w:lang w:val="de-DE"/>
        </w:rPr>
        <w:t>and 31,418</w:t>
      </w:r>
      <w:r w:rsidRPr="003E006F">
        <w:rPr>
          <w:rFonts w:ascii="Times New Roman" w:hAnsi="Times New Roman" w:cs="Times New Roman"/>
          <w:sz w:val="28"/>
          <w:szCs w:val="28"/>
          <w:lang w:val="de-DE"/>
        </w:rPr>
        <w:t xml:space="preserve"> </w:t>
      </w:r>
      <w:r>
        <w:rPr>
          <w:rFonts w:ascii="Times New Roman" w:hAnsi="Times New Roman" w:cs="Times New Roman"/>
          <w:sz w:val="28"/>
          <w:szCs w:val="28"/>
          <w:lang w:val="de-DE"/>
        </w:rPr>
        <w:t>deaths</w:t>
      </w:r>
      <w:r w:rsidRPr="003E006F">
        <w:rPr>
          <w:rFonts w:ascii="Times New Roman" w:hAnsi="Times New Roman" w:cs="Times New Roman"/>
          <w:sz w:val="28"/>
          <w:szCs w:val="28"/>
          <w:lang w:val="de-DE"/>
        </w:rPr>
        <w:t xml:space="preserve">. </w:t>
      </w:r>
      <w:r w:rsidRPr="003D31E7">
        <w:rPr>
          <w:rFonts w:ascii="Times New Roman" w:hAnsi="Times New Roman" w:cs="Times New Roman"/>
          <w:sz w:val="28"/>
          <w:szCs w:val="28"/>
          <w:lang w:val="de-DE"/>
        </w:rPr>
        <w:t xml:space="preserve">Bac Kan </w:t>
      </w:r>
      <w:r>
        <w:rPr>
          <w:rFonts w:ascii="Times New Roman" w:hAnsi="Times New Roman" w:cs="Times New Roman"/>
          <w:sz w:val="28"/>
          <w:szCs w:val="28"/>
          <w:lang w:val="de-DE"/>
        </w:rPr>
        <w:t>wa</w:t>
      </w:r>
      <w:r w:rsidRPr="003D31E7">
        <w:rPr>
          <w:rFonts w:ascii="Times New Roman" w:hAnsi="Times New Roman" w:cs="Times New Roman"/>
          <w:sz w:val="28"/>
          <w:szCs w:val="28"/>
          <w:lang w:val="de-DE"/>
        </w:rPr>
        <w:t xml:space="preserve">s the only </w:t>
      </w:r>
      <w:r>
        <w:rPr>
          <w:rFonts w:ascii="Times New Roman" w:hAnsi="Times New Roman" w:cs="Times New Roman"/>
          <w:sz w:val="28"/>
          <w:szCs w:val="28"/>
          <w:lang w:val="de-DE"/>
        </w:rPr>
        <w:t>province</w:t>
      </w:r>
      <w:r w:rsidRPr="003D31E7">
        <w:rPr>
          <w:rFonts w:ascii="Times New Roman" w:hAnsi="Times New Roman" w:cs="Times New Roman"/>
          <w:sz w:val="28"/>
          <w:szCs w:val="28"/>
          <w:lang w:val="de-DE"/>
        </w:rPr>
        <w:t xml:space="preserve"> that has not had a secondary infection in the past 14 days</w:t>
      </w:r>
      <w:r w:rsidRPr="003E006F">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321DA0">
        <w:rPr>
          <w:rFonts w:ascii="Times New Roman" w:hAnsi="Times New Roman" w:cs="Times New Roman"/>
          <w:sz w:val="28"/>
          <w:szCs w:val="28"/>
          <w:lang w:val="de-DE"/>
        </w:rPr>
        <w:t>Vietnam's vaccination against Covid-19 has been accelerated, as of December 27</w:t>
      </w:r>
      <w:r>
        <w:rPr>
          <w:rFonts w:ascii="Times New Roman" w:hAnsi="Times New Roman" w:cs="Times New Roman"/>
          <w:sz w:val="28"/>
          <w:szCs w:val="28"/>
          <w:lang w:val="de-DE"/>
        </w:rPr>
        <w:t>th</w:t>
      </w:r>
      <w:r w:rsidRPr="00321DA0">
        <w:rPr>
          <w:rFonts w:ascii="Times New Roman" w:hAnsi="Times New Roman" w:cs="Times New Roman"/>
          <w:sz w:val="28"/>
          <w:szCs w:val="28"/>
          <w:lang w:val="de-DE"/>
        </w:rPr>
        <w:t xml:space="preserve">, 2021: The total number of doses of Covid-19 vaccine that have been administered </w:t>
      </w:r>
      <w:r>
        <w:rPr>
          <w:rFonts w:ascii="Times New Roman" w:hAnsi="Times New Roman" w:cs="Times New Roman"/>
          <w:sz w:val="28"/>
          <w:szCs w:val="28"/>
          <w:lang w:val="de-DE"/>
        </w:rPr>
        <w:t>was</w:t>
      </w:r>
      <w:r w:rsidRPr="00321DA0">
        <w:rPr>
          <w:rFonts w:ascii="Times New Roman" w:hAnsi="Times New Roman" w:cs="Times New Roman"/>
          <w:sz w:val="28"/>
          <w:szCs w:val="28"/>
          <w:lang w:val="de-DE"/>
        </w:rPr>
        <w:t xml:space="preserve"> 146,335,052 doses, of which the first </w:t>
      </w:r>
      <w:r>
        <w:rPr>
          <w:rFonts w:ascii="Times New Roman" w:hAnsi="Times New Roman" w:cs="Times New Roman"/>
          <w:sz w:val="28"/>
          <w:szCs w:val="28"/>
          <w:lang w:val="de-DE"/>
        </w:rPr>
        <w:t xml:space="preserve">time </w:t>
      </w:r>
      <w:r w:rsidRPr="00321DA0">
        <w:rPr>
          <w:rFonts w:ascii="Times New Roman" w:hAnsi="Times New Roman" w:cs="Times New Roman"/>
          <w:sz w:val="28"/>
          <w:szCs w:val="28"/>
          <w:lang w:val="de-DE"/>
        </w:rPr>
        <w:t xml:space="preserve">was 77,138,616 doses; </w:t>
      </w:r>
      <w:r>
        <w:rPr>
          <w:rFonts w:ascii="Times New Roman" w:hAnsi="Times New Roman" w:cs="Times New Roman"/>
          <w:sz w:val="28"/>
          <w:szCs w:val="28"/>
          <w:lang w:val="de-DE"/>
        </w:rPr>
        <w:t xml:space="preserve">the </w:t>
      </w:r>
      <w:r w:rsidRPr="00321DA0">
        <w:rPr>
          <w:rFonts w:ascii="Times New Roman" w:hAnsi="Times New Roman" w:cs="Times New Roman"/>
          <w:sz w:val="28"/>
          <w:szCs w:val="28"/>
          <w:lang w:val="de-DE"/>
        </w:rPr>
        <w:t xml:space="preserve">second </w:t>
      </w:r>
      <w:r>
        <w:rPr>
          <w:rFonts w:ascii="Times New Roman" w:hAnsi="Times New Roman" w:cs="Times New Roman"/>
          <w:sz w:val="28"/>
          <w:szCs w:val="28"/>
          <w:lang w:val="de-DE"/>
        </w:rPr>
        <w:t>time was</w:t>
      </w:r>
      <w:r w:rsidRPr="00321DA0">
        <w:rPr>
          <w:rFonts w:ascii="Times New Roman" w:hAnsi="Times New Roman" w:cs="Times New Roman"/>
          <w:sz w:val="28"/>
          <w:szCs w:val="28"/>
          <w:lang w:val="de-DE"/>
        </w:rPr>
        <w:t xml:space="preserve"> 66,402,056 doses; the 3rd </w:t>
      </w:r>
      <w:r>
        <w:rPr>
          <w:rFonts w:ascii="Times New Roman" w:hAnsi="Times New Roman" w:cs="Times New Roman"/>
          <w:sz w:val="28"/>
          <w:szCs w:val="28"/>
          <w:lang w:val="de-DE"/>
        </w:rPr>
        <w:t xml:space="preserve">time was </w:t>
      </w:r>
      <w:r w:rsidRPr="00321DA0">
        <w:rPr>
          <w:rFonts w:ascii="Times New Roman" w:hAnsi="Times New Roman" w:cs="Times New Roman"/>
          <w:sz w:val="28"/>
          <w:szCs w:val="28"/>
          <w:lang w:val="de-DE"/>
        </w:rPr>
        <w:t xml:space="preserve">(additional injection, booster injection and </w:t>
      </w:r>
      <w:r>
        <w:rPr>
          <w:rFonts w:ascii="Times New Roman" w:hAnsi="Times New Roman" w:cs="Times New Roman"/>
          <w:sz w:val="28"/>
          <w:szCs w:val="28"/>
          <w:lang w:val="de-DE"/>
        </w:rPr>
        <w:t xml:space="preserve">the </w:t>
      </w:r>
      <w:r w:rsidRPr="00321DA0">
        <w:rPr>
          <w:rFonts w:ascii="Times New Roman" w:hAnsi="Times New Roman" w:cs="Times New Roman"/>
          <w:sz w:val="28"/>
          <w:szCs w:val="28"/>
          <w:lang w:val="de-DE"/>
        </w:rPr>
        <w:t xml:space="preserve">3rd dose of Abdala vaccine) </w:t>
      </w:r>
      <w:r>
        <w:rPr>
          <w:rFonts w:ascii="Times New Roman" w:hAnsi="Times New Roman" w:cs="Times New Roman"/>
          <w:sz w:val="28"/>
          <w:szCs w:val="28"/>
          <w:lang w:val="de-DE"/>
        </w:rPr>
        <w:t>was</w:t>
      </w:r>
      <w:r w:rsidRPr="00321DA0">
        <w:rPr>
          <w:rFonts w:ascii="Times New Roman" w:hAnsi="Times New Roman" w:cs="Times New Roman"/>
          <w:sz w:val="28"/>
          <w:szCs w:val="28"/>
          <w:lang w:val="de-DE"/>
        </w:rPr>
        <w:t xml:space="preserve"> 2,794,380 doses. </w:t>
      </w:r>
      <w:r>
        <w:rPr>
          <w:rFonts w:ascii="Times New Roman" w:hAnsi="Times New Roman" w:cs="Times New Roman"/>
          <w:sz w:val="28"/>
          <w:szCs w:val="28"/>
          <w:lang w:val="de-DE"/>
        </w:rPr>
        <w:t>V</w:t>
      </w:r>
      <w:r w:rsidRPr="00321DA0">
        <w:rPr>
          <w:rFonts w:ascii="Times New Roman" w:hAnsi="Times New Roman" w:cs="Times New Roman"/>
          <w:sz w:val="28"/>
          <w:szCs w:val="28"/>
          <w:lang w:val="de-DE"/>
        </w:rPr>
        <w:t>accine cover</w:t>
      </w:r>
      <w:r>
        <w:rPr>
          <w:rFonts w:ascii="Times New Roman" w:hAnsi="Times New Roman" w:cs="Times New Roman"/>
          <w:sz w:val="28"/>
          <w:szCs w:val="28"/>
          <w:lang w:val="de-DE"/>
        </w:rPr>
        <w:t xml:space="preserve">age has increased significantly </w:t>
      </w:r>
      <w:r w:rsidRPr="00321DA0">
        <w:rPr>
          <w:rFonts w:ascii="Times New Roman" w:hAnsi="Times New Roman" w:cs="Times New Roman"/>
          <w:sz w:val="28"/>
          <w:szCs w:val="28"/>
          <w:lang w:val="de-DE"/>
        </w:rPr>
        <w:t xml:space="preserve">from September to now. For the population aged 18 years and over, coverage of at least 1 dose of vaccine </w:t>
      </w:r>
      <w:r>
        <w:rPr>
          <w:rFonts w:ascii="Times New Roman" w:hAnsi="Times New Roman" w:cs="Times New Roman"/>
          <w:sz w:val="28"/>
          <w:szCs w:val="28"/>
          <w:lang w:val="de-DE"/>
        </w:rPr>
        <w:t>was</w:t>
      </w:r>
      <w:r w:rsidRPr="00321DA0">
        <w:rPr>
          <w:rFonts w:ascii="Times New Roman" w:hAnsi="Times New Roman" w:cs="Times New Roman"/>
          <w:sz w:val="28"/>
          <w:szCs w:val="28"/>
          <w:lang w:val="de-DE"/>
        </w:rPr>
        <w:t xml:space="preserve"> 98.8% and coverage of 2 doses </w:t>
      </w:r>
      <w:r>
        <w:rPr>
          <w:rFonts w:ascii="Times New Roman" w:hAnsi="Times New Roman" w:cs="Times New Roman"/>
          <w:sz w:val="28"/>
          <w:szCs w:val="28"/>
          <w:lang w:val="de-DE"/>
        </w:rPr>
        <w:t>was</w:t>
      </w:r>
      <w:r w:rsidRPr="00321DA0">
        <w:rPr>
          <w:rFonts w:ascii="Times New Roman" w:hAnsi="Times New Roman" w:cs="Times New Roman"/>
          <w:sz w:val="28"/>
          <w:szCs w:val="28"/>
          <w:lang w:val="de-DE"/>
        </w:rPr>
        <w:t xml:space="preserve"> 88.5%. For the population 12-17 years of age, coverage of at least 1 dose of vaccine was 81.0% and coverage of 2 doses was 43.5%.</w:t>
      </w:r>
    </w:p>
    <w:p w14:paraId="37C53B16" w14:textId="77777777" w:rsidR="00F158AC" w:rsidRPr="007B3832" w:rsidRDefault="00F158AC" w:rsidP="00F158AC">
      <w:pPr>
        <w:spacing w:before="40" w:after="40" w:line="293" w:lineRule="auto"/>
        <w:ind w:firstLine="567"/>
        <w:jc w:val="both"/>
        <w:rPr>
          <w:rFonts w:ascii="Times New Roman" w:hAnsi="Times New Roman" w:cs="Times New Roman"/>
          <w:spacing w:val="-2"/>
          <w:sz w:val="28"/>
          <w:szCs w:val="28"/>
          <w:lang w:val="de-DE"/>
        </w:rPr>
      </w:pPr>
      <w:r w:rsidRPr="006D7720">
        <w:rPr>
          <w:rFonts w:ascii="Times New Roman" w:hAnsi="Times New Roman" w:cs="Times New Roman"/>
          <w:sz w:val="28"/>
          <w:szCs w:val="28"/>
          <w:lang w:val="de-DE"/>
        </w:rPr>
        <w:lastRenderedPageBreak/>
        <w:t>Generally</w:t>
      </w:r>
      <w:r>
        <w:rPr>
          <w:rFonts w:ascii="Times New Roman" w:hAnsi="Times New Roman" w:cs="Times New Roman"/>
          <w:sz w:val="28"/>
          <w:szCs w:val="28"/>
          <w:lang w:val="de-DE"/>
        </w:rPr>
        <w:t>, in</w:t>
      </w:r>
      <w:r w:rsidRPr="007B3832">
        <w:rPr>
          <w:rFonts w:ascii="Times New Roman" w:hAnsi="Times New Roman" w:cs="Times New Roman"/>
          <w:spacing w:val="-2"/>
          <w:sz w:val="28"/>
          <w:szCs w:val="28"/>
          <w:lang w:val="de-DE"/>
        </w:rPr>
        <w:t xml:space="preserve"> 2021, </w:t>
      </w:r>
      <w:r w:rsidRPr="006D7720">
        <w:rPr>
          <w:rFonts w:ascii="Times New Roman" w:hAnsi="Times New Roman" w:cs="Times New Roman"/>
          <w:sz w:val="28"/>
          <w:szCs w:val="28"/>
          <w:lang w:val="de-DE"/>
        </w:rPr>
        <w:t>there were</w:t>
      </w:r>
      <w:r w:rsidRPr="007B3832">
        <w:rPr>
          <w:rFonts w:ascii="Times New Roman" w:hAnsi="Times New Roman" w:cs="Times New Roman"/>
          <w:spacing w:val="-2"/>
          <w:sz w:val="28"/>
          <w:szCs w:val="28"/>
          <w:lang w:val="de-DE"/>
        </w:rPr>
        <w:t xml:space="preserve"> 69</w:t>
      </w:r>
      <w:r>
        <w:rPr>
          <w:rFonts w:ascii="Times New Roman" w:hAnsi="Times New Roman" w:cs="Times New Roman"/>
          <w:spacing w:val="-2"/>
          <w:sz w:val="28"/>
          <w:szCs w:val="28"/>
          <w:lang w:val="de-DE"/>
        </w:rPr>
        <w:t>,</w:t>
      </w:r>
      <w:r w:rsidRPr="007B3832">
        <w:rPr>
          <w:rFonts w:ascii="Times New Roman" w:hAnsi="Times New Roman" w:cs="Times New Roman"/>
          <w:spacing w:val="-2"/>
          <w:sz w:val="28"/>
          <w:szCs w:val="28"/>
          <w:lang w:val="de-DE"/>
        </w:rPr>
        <w:t xml:space="preserve">354 </w:t>
      </w:r>
      <w:r w:rsidRPr="006D7720">
        <w:rPr>
          <w:rFonts w:ascii="Times New Roman" w:hAnsi="Times New Roman" w:cs="Times New Roman"/>
          <w:sz w:val="28"/>
          <w:szCs w:val="28"/>
          <w:lang w:val="de-DE"/>
        </w:rPr>
        <w:t>cases of hemorrhagic fever</w:t>
      </w:r>
      <w:r w:rsidRPr="007B3832">
        <w:rPr>
          <w:rFonts w:ascii="Times New Roman" w:hAnsi="Times New Roman" w:cs="Times New Roman"/>
          <w:spacing w:val="-2"/>
          <w:sz w:val="28"/>
          <w:szCs w:val="28"/>
          <w:lang w:val="de-DE"/>
        </w:rPr>
        <w:t xml:space="preserve"> (22 </w:t>
      </w:r>
      <w:r w:rsidRPr="006D7720">
        <w:rPr>
          <w:rFonts w:ascii="Times New Roman" w:hAnsi="Times New Roman" w:cs="Times New Roman"/>
          <w:sz w:val="28"/>
          <w:szCs w:val="28"/>
          <w:lang w:val="de-DE"/>
        </w:rPr>
        <w:t>cases died</w:t>
      </w:r>
      <w:r>
        <w:rPr>
          <w:rFonts w:ascii="Times New Roman" w:hAnsi="Times New Roman" w:cs="Times New Roman"/>
          <w:spacing w:val="-2"/>
          <w:sz w:val="28"/>
          <w:szCs w:val="28"/>
          <w:lang w:val="de-DE"/>
        </w:rPr>
        <w:t>); 38,</w:t>
      </w:r>
      <w:r w:rsidRPr="007B3832">
        <w:rPr>
          <w:rFonts w:ascii="Times New Roman" w:hAnsi="Times New Roman" w:cs="Times New Roman"/>
          <w:spacing w:val="-2"/>
          <w:sz w:val="28"/>
          <w:szCs w:val="28"/>
          <w:lang w:val="de-DE"/>
        </w:rPr>
        <w:t xml:space="preserve">413 </w:t>
      </w:r>
      <w:r w:rsidRPr="006D7720">
        <w:rPr>
          <w:rFonts w:ascii="Times New Roman" w:hAnsi="Times New Roman" w:cs="Times New Roman"/>
          <w:sz w:val="28"/>
          <w:szCs w:val="28"/>
          <w:lang w:val="de-DE"/>
        </w:rPr>
        <w:t>cases of hand, foot and mouth disease</w:t>
      </w:r>
      <w:r w:rsidRPr="007B3832">
        <w:rPr>
          <w:rFonts w:ascii="Times New Roman" w:hAnsi="Times New Roman" w:cs="Times New Roman"/>
          <w:spacing w:val="-2"/>
          <w:sz w:val="28"/>
          <w:szCs w:val="28"/>
          <w:lang w:val="de-DE"/>
        </w:rPr>
        <w:t xml:space="preserve"> (11 </w:t>
      </w:r>
      <w:r w:rsidRPr="006D7720">
        <w:rPr>
          <w:rFonts w:ascii="Times New Roman" w:hAnsi="Times New Roman" w:cs="Times New Roman"/>
          <w:sz w:val="28"/>
          <w:szCs w:val="28"/>
          <w:lang w:val="de-DE"/>
        </w:rPr>
        <w:t>cases died</w:t>
      </w:r>
      <w:r w:rsidRPr="007B3832">
        <w:rPr>
          <w:rFonts w:ascii="Times New Roman" w:hAnsi="Times New Roman" w:cs="Times New Roman"/>
          <w:spacing w:val="-2"/>
          <w:sz w:val="28"/>
          <w:szCs w:val="28"/>
          <w:lang w:val="de-DE"/>
        </w:rPr>
        <w:t xml:space="preserve">); 536 </w:t>
      </w:r>
      <w:r w:rsidRPr="006D7720">
        <w:rPr>
          <w:rFonts w:ascii="Times New Roman" w:hAnsi="Times New Roman" w:cs="Times New Roman"/>
          <w:sz w:val="28"/>
          <w:szCs w:val="28"/>
          <w:lang w:val="de-DE"/>
        </w:rPr>
        <w:t>cases of virus encephalitis</w:t>
      </w:r>
      <w:r w:rsidRPr="007B3832">
        <w:rPr>
          <w:rFonts w:ascii="Times New Roman" w:hAnsi="Times New Roman" w:cs="Times New Roman"/>
          <w:spacing w:val="-2"/>
          <w:sz w:val="28"/>
          <w:szCs w:val="28"/>
          <w:lang w:val="de-DE"/>
        </w:rPr>
        <w:t xml:space="preserve"> (14 </w:t>
      </w:r>
      <w:r w:rsidRPr="006D7720">
        <w:rPr>
          <w:rFonts w:ascii="Times New Roman" w:hAnsi="Times New Roman" w:cs="Times New Roman"/>
          <w:sz w:val="28"/>
          <w:szCs w:val="28"/>
          <w:lang w:val="de-DE"/>
        </w:rPr>
        <w:t>cases died</w:t>
      </w:r>
      <w:r w:rsidRPr="007B3832">
        <w:rPr>
          <w:rFonts w:ascii="Times New Roman" w:hAnsi="Times New Roman" w:cs="Times New Roman"/>
          <w:spacing w:val="-2"/>
          <w:sz w:val="28"/>
          <w:szCs w:val="28"/>
          <w:lang w:val="de-DE"/>
        </w:rPr>
        <w:t xml:space="preserve">); </w:t>
      </w:r>
      <w:r w:rsidRPr="006D7720">
        <w:rPr>
          <w:rFonts w:ascii="Times New Roman" w:hAnsi="Times New Roman" w:cs="Times New Roman"/>
          <w:sz w:val="28"/>
          <w:szCs w:val="28"/>
          <w:lang w:val="de-DE"/>
        </w:rPr>
        <w:t>cases of meningococcal disease (2 cases died) and</w:t>
      </w:r>
      <w:r w:rsidRPr="007B3832">
        <w:rPr>
          <w:rFonts w:ascii="Times New Roman" w:hAnsi="Times New Roman" w:cs="Times New Roman"/>
          <w:spacing w:val="-2"/>
          <w:sz w:val="28"/>
          <w:szCs w:val="28"/>
          <w:lang w:val="de-DE"/>
        </w:rPr>
        <w:t xml:space="preserve"> 509 </w:t>
      </w:r>
      <w:r w:rsidRPr="006D7720">
        <w:rPr>
          <w:rFonts w:ascii="Times New Roman" w:hAnsi="Times New Roman" w:cs="Times New Roman"/>
          <w:sz w:val="28"/>
          <w:szCs w:val="28"/>
          <w:lang w:val="de-DE"/>
        </w:rPr>
        <w:t>cases of scarlet fever suspected for measles</w:t>
      </w:r>
      <w:r w:rsidRPr="007B3832">
        <w:rPr>
          <w:rFonts w:ascii="Times New Roman" w:hAnsi="Times New Roman" w:cs="Times New Roman"/>
          <w:spacing w:val="-2"/>
          <w:sz w:val="28"/>
          <w:szCs w:val="28"/>
          <w:lang w:val="de-DE"/>
        </w:rPr>
        <w:t xml:space="preserve">, </w:t>
      </w:r>
      <w:r w:rsidRPr="006D7720">
        <w:rPr>
          <w:rFonts w:ascii="Times New Roman" w:hAnsi="Times New Roman" w:cs="Times New Roman"/>
          <w:sz w:val="28"/>
          <w:szCs w:val="28"/>
          <w:lang w:val="de-DE"/>
        </w:rPr>
        <w:t>of which</w:t>
      </w:r>
      <w:r w:rsidRPr="007B3832">
        <w:rPr>
          <w:rFonts w:ascii="Times New Roman" w:hAnsi="Times New Roman" w:cs="Times New Roman"/>
          <w:spacing w:val="-2"/>
          <w:sz w:val="28"/>
          <w:szCs w:val="28"/>
          <w:lang w:val="de-DE"/>
        </w:rPr>
        <w:t xml:space="preserve"> 77 </w:t>
      </w:r>
      <w:r w:rsidRPr="006D7720">
        <w:rPr>
          <w:rFonts w:ascii="Times New Roman" w:hAnsi="Times New Roman" w:cs="Times New Roman"/>
          <w:sz w:val="28"/>
          <w:szCs w:val="28"/>
          <w:lang w:val="de-DE"/>
        </w:rPr>
        <w:t>were positive for measles</w:t>
      </w:r>
      <w:r w:rsidRPr="007B3832">
        <w:rPr>
          <w:rFonts w:ascii="Times New Roman" w:hAnsi="Times New Roman" w:cs="Times New Roman"/>
          <w:spacing w:val="-2"/>
          <w:sz w:val="28"/>
          <w:szCs w:val="28"/>
          <w:lang w:val="de-DE"/>
        </w:rPr>
        <w:t>.</w:t>
      </w:r>
    </w:p>
    <w:p w14:paraId="5629AB18" w14:textId="77777777" w:rsidR="000A2C73" w:rsidRPr="003F1AFC" w:rsidRDefault="000A2C73" w:rsidP="000A2C73">
      <w:pPr>
        <w:spacing w:before="40" w:after="40" w:line="293" w:lineRule="auto"/>
        <w:ind w:firstLine="567"/>
        <w:jc w:val="both"/>
        <w:rPr>
          <w:rFonts w:ascii="Times New Roman" w:hAnsi="Times New Roman" w:cs="Times New Roman"/>
          <w:color w:val="FF0000"/>
          <w:sz w:val="28"/>
          <w:szCs w:val="28"/>
          <w:lang w:val="de-DE"/>
        </w:rPr>
      </w:pPr>
      <w:r w:rsidRPr="006D7720">
        <w:rPr>
          <w:rFonts w:ascii="Times New Roman" w:hAnsi="Times New Roman" w:cs="Times New Roman"/>
          <w:sz w:val="28"/>
          <w:szCs w:val="28"/>
          <w:lang w:val="de-DE"/>
        </w:rPr>
        <w:t xml:space="preserve">The total number of people living with HIV nationwide as of </w:t>
      </w:r>
      <w:r>
        <w:rPr>
          <w:rFonts w:ascii="Times New Roman" w:hAnsi="Times New Roman" w:cs="Times New Roman"/>
          <w:sz w:val="28"/>
          <w:szCs w:val="28"/>
          <w:lang w:val="de-DE"/>
        </w:rPr>
        <w:t>December 18th, 2021</w:t>
      </w:r>
      <w:r w:rsidRPr="006D7720">
        <w:rPr>
          <w:rFonts w:ascii="Times New Roman" w:hAnsi="Times New Roman" w:cs="Times New Roman"/>
          <w:sz w:val="28"/>
          <w:szCs w:val="28"/>
          <w:lang w:val="de-DE"/>
        </w:rPr>
        <w:t xml:space="preserve"> was</w:t>
      </w:r>
      <w:r w:rsidRPr="003F1AFC">
        <w:rPr>
          <w:rFonts w:ascii="Times New Roman" w:hAnsi="Times New Roman" w:cs="Times New Roman"/>
          <w:sz w:val="28"/>
          <w:szCs w:val="28"/>
          <w:lang w:val="de-DE"/>
        </w:rPr>
        <w:t xml:space="preserve"> 213.833 </w:t>
      </w:r>
      <w:r>
        <w:rPr>
          <w:rFonts w:ascii="Times New Roman" w:hAnsi="Times New Roman" w:cs="Times New Roman"/>
          <w:sz w:val="28"/>
          <w:szCs w:val="28"/>
          <w:lang w:val="de-DE"/>
        </w:rPr>
        <w:t>persons and</w:t>
      </w:r>
      <w:r w:rsidRPr="003F1AFC">
        <w:rPr>
          <w:rFonts w:ascii="Times New Roman" w:hAnsi="Times New Roman" w:cs="Times New Roman"/>
          <w:sz w:val="28"/>
          <w:szCs w:val="28"/>
          <w:lang w:val="de-DE"/>
        </w:rPr>
        <w:t xml:space="preserve"> </w:t>
      </w:r>
      <w:r w:rsidRPr="006D7720">
        <w:rPr>
          <w:rFonts w:ascii="Times New Roman" w:hAnsi="Times New Roman" w:cs="Times New Roman"/>
          <w:sz w:val="28"/>
          <w:szCs w:val="28"/>
          <w:lang w:val="de-DE"/>
        </w:rPr>
        <w:t>the number of deaths by HIV/AIDS as of the above time-point was</w:t>
      </w:r>
      <w:r>
        <w:rPr>
          <w:rFonts w:ascii="Times New Roman" w:hAnsi="Times New Roman" w:cs="Times New Roman"/>
          <w:sz w:val="28"/>
          <w:szCs w:val="28"/>
          <w:lang w:val="de-DE"/>
        </w:rPr>
        <w:t xml:space="preserve"> 110,</w:t>
      </w:r>
      <w:r w:rsidRPr="003F1AFC">
        <w:rPr>
          <w:rFonts w:ascii="Times New Roman" w:hAnsi="Times New Roman" w:cs="Times New Roman"/>
          <w:sz w:val="28"/>
          <w:szCs w:val="28"/>
          <w:lang w:val="de-DE"/>
        </w:rPr>
        <w:t xml:space="preserve">990 </w:t>
      </w:r>
      <w:r>
        <w:rPr>
          <w:rFonts w:ascii="Times New Roman" w:hAnsi="Times New Roman" w:cs="Times New Roman"/>
          <w:sz w:val="28"/>
          <w:szCs w:val="28"/>
          <w:lang w:val="de-DE"/>
        </w:rPr>
        <w:t>persons</w:t>
      </w:r>
      <w:r w:rsidRPr="003F1AFC">
        <w:rPr>
          <w:rFonts w:ascii="Times New Roman" w:hAnsi="Times New Roman" w:cs="Times New Roman"/>
          <w:sz w:val="28"/>
          <w:szCs w:val="28"/>
          <w:lang w:val="de-DE"/>
        </w:rPr>
        <w:t>.</w:t>
      </w:r>
    </w:p>
    <w:p w14:paraId="4391C00B" w14:textId="77777777" w:rsidR="0039728A" w:rsidRDefault="0039728A" w:rsidP="00FA1162">
      <w:pPr>
        <w:spacing w:after="100" w:line="340" w:lineRule="exact"/>
        <w:ind w:firstLine="567"/>
        <w:jc w:val="both"/>
        <w:rPr>
          <w:rFonts w:ascii="Times New Roman" w:hAnsi="Times New Roman" w:cs="Times New Roman"/>
          <w:sz w:val="28"/>
          <w:szCs w:val="28"/>
          <w:lang w:val="de-DE"/>
        </w:rPr>
      </w:pPr>
      <w:r w:rsidRPr="006D7720">
        <w:rPr>
          <w:rFonts w:ascii="Times New Roman" w:hAnsi="Times New Roman" w:cs="Times New Roman"/>
          <w:sz w:val="28"/>
          <w:szCs w:val="28"/>
          <w:lang w:val="de-DE"/>
        </w:rPr>
        <w:t>Generally</w:t>
      </w:r>
      <w:r>
        <w:rPr>
          <w:rFonts w:ascii="Times New Roman" w:hAnsi="Times New Roman" w:cs="Times New Roman"/>
          <w:sz w:val="28"/>
          <w:szCs w:val="28"/>
          <w:lang w:val="de-DE"/>
        </w:rPr>
        <w:t>,</w:t>
      </w:r>
      <w:r w:rsidRPr="006D7720">
        <w:rPr>
          <w:rFonts w:ascii="Times New Roman" w:hAnsi="Times New Roman" w:cs="Times New Roman"/>
          <w:sz w:val="28"/>
          <w:szCs w:val="28"/>
          <w:lang w:val="de-DE"/>
        </w:rPr>
        <w:t xml:space="preserve"> in 2021</w:t>
      </w:r>
      <w:r w:rsidRPr="003F1AFC">
        <w:rPr>
          <w:rFonts w:ascii="Times New Roman" w:hAnsi="Times New Roman" w:cs="Times New Roman"/>
          <w:sz w:val="28"/>
          <w:szCs w:val="28"/>
          <w:lang w:val="de-DE"/>
        </w:rPr>
        <w:t xml:space="preserve">, </w:t>
      </w:r>
      <w:r w:rsidRPr="006D7720">
        <w:rPr>
          <w:rFonts w:ascii="Times New Roman" w:hAnsi="Times New Roman" w:cs="Times New Roman"/>
          <w:sz w:val="28"/>
          <w:szCs w:val="28"/>
          <w:lang w:val="de-DE"/>
        </w:rPr>
        <w:t>there were</w:t>
      </w:r>
      <w:r w:rsidRPr="003F1AFC">
        <w:rPr>
          <w:rFonts w:ascii="Times New Roman" w:hAnsi="Times New Roman" w:cs="Times New Roman"/>
          <w:sz w:val="28"/>
          <w:szCs w:val="28"/>
          <w:lang w:val="de-DE"/>
        </w:rPr>
        <w:t xml:space="preserve"> 58 </w:t>
      </w:r>
      <w:r w:rsidRPr="006D7720">
        <w:rPr>
          <w:rFonts w:ascii="Times New Roman" w:hAnsi="Times New Roman" w:cs="Times New Roman"/>
          <w:sz w:val="28"/>
          <w:szCs w:val="28"/>
          <w:lang w:val="de-DE"/>
        </w:rPr>
        <w:t>cases of food poisoning with</w:t>
      </w:r>
      <w:r>
        <w:rPr>
          <w:rFonts w:ascii="Times New Roman" w:hAnsi="Times New Roman" w:cs="Times New Roman"/>
          <w:sz w:val="28"/>
          <w:szCs w:val="28"/>
          <w:lang w:val="de-DE"/>
        </w:rPr>
        <w:t xml:space="preserve"> 1,</w:t>
      </w:r>
      <w:r w:rsidRPr="003F1AFC">
        <w:rPr>
          <w:rFonts w:ascii="Times New Roman" w:hAnsi="Times New Roman" w:cs="Times New Roman"/>
          <w:sz w:val="28"/>
          <w:szCs w:val="28"/>
          <w:lang w:val="de-DE"/>
        </w:rPr>
        <w:t xml:space="preserve">557 </w:t>
      </w:r>
      <w:r w:rsidRPr="006D7720">
        <w:rPr>
          <w:rFonts w:ascii="Times New Roman" w:hAnsi="Times New Roman" w:cs="Times New Roman"/>
          <w:sz w:val="28"/>
          <w:szCs w:val="28"/>
          <w:lang w:val="de-DE"/>
        </w:rPr>
        <w:t>persons poisoned</w:t>
      </w:r>
      <w:r w:rsidRPr="003F1AFC">
        <w:rPr>
          <w:rFonts w:ascii="Times New Roman" w:hAnsi="Times New Roman" w:cs="Times New Roman"/>
          <w:sz w:val="28"/>
          <w:szCs w:val="28"/>
          <w:lang w:val="de-DE"/>
        </w:rPr>
        <w:t xml:space="preserve"> </w:t>
      </w:r>
      <w:r w:rsidRPr="006D7720">
        <w:rPr>
          <w:rFonts w:ascii="Times New Roman" w:hAnsi="Times New Roman" w:cs="Times New Roman"/>
          <w:sz w:val="28"/>
          <w:szCs w:val="28"/>
          <w:lang w:val="de-DE"/>
        </w:rPr>
        <w:t>(5 deaths).</w:t>
      </w:r>
    </w:p>
    <w:p w14:paraId="741E2715" w14:textId="17B1C1FF" w:rsidR="007A300F" w:rsidRPr="00DC0CA9" w:rsidRDefault="007A300F" w:rsidP="00FA1162">
      <w:pPr>
        <w:spacing w:after="100" w:line="340" w:lineRule="exact"/>
        <w:ind w:firstLine="567"/>
        <w:jc w:val="both"/>
        <w:rPr>
          <w:rFonts w:ascii="Times New Roman" w:hAnsi="Times New Roman" w:cs="Times New Roman"/>
          <w:b/>
          <w:i/>
          <w:sz w:val="28"/>
          <w:szCs w:val="28"/>
          <w:lang w:val="nl-NL"/>
        </w:rPr>
      </w:pPr>
      <w:r w:rsidRPr="00DC0CA9">
        <w:rPr>
          <w:rStyle w:val="normalchar"/>
          <w:rFonts w:ascii="Times New Roman" w:hAnsi="Times New Roman"/>
          <w:b/>
          <w:i/>
          <w:iCs/>
          <w:sz w:val="28"/>
          <w:szCs w:val="28"/>
          <w:lang w:val="nl-NL"/>
        </w:rPr>
        <w:t xml:space="preserve">5. </w:t>
      </w:r>
      <w:r w:rsidR="00DD7D25" w:rsidRPr="00DD7D25">
        <w:rPr>
          <w:rStyle w:val="normalchar"/>
          <w:rFonts w:ascii="Times New Roman" w:hAnsi="Times New Roman"/>
          <w:b/>
          <w:i/>
          <w:iCs/>
          <w:sz w:val="28"/>
          <w:szCs w:val="28"/>
          <w:lang w:val="nl-NL"/>
        </w:rPr>
        <w:t>The protection and promotion of cultural heritage values ​​are concerned and implemented by localities. Library activities aim to apply information technology, especially digital technology, to improve operational capacity and form a modern library network, providing services to meet the requirement of users. High-performance sports achieved some outstanding results.</w:t>
      </w:r>
    </w:p>
    <w:p w14:paraId="630DF796" w14:textId="77777777" w:rsidR="00280BBD" w:rsidRPr="00D36285" w:rsidRDefault="00280BBD" w:rsidP="00280BBD">
      <w:pPr>
        <w:tabs>
          <w:tab w:val="left" w:pos="709"/>
          <w:tab w:val="left" w:pos="1134"/>
        </w:tabs>
        <w:spacing w:before="40" w:after="40" w:line="288" w:lineRule="auto"/>
        <w:ind w:firstLine="567"/>
        <w:jc w:val="both"/>
        <w:rPr>
          <w:rFonts w:ascii="Times New Roman" w:hAnsi="Times New Roman" w:cs="Times New Roman"/>
          <w:sz w:val="28"/>
          <w:szCs w:val="28"/>
          <w:lang w:val="nl-NL"/>
        </w:rPr>
      </w:pPr>
      <w:r w:rsidRPr="00D36285">
        <w:rPr>
          <w:rFonts w:ascii="Times New Roman" w:hAnsi="Times New Roman" w:cs="Times New Roman"/>
          <w:sz w:val="28"/>
          <w:szCs w:val="28"/>
          <w:lang w:val="nl-NL"/>
        </w:rPr>
        <w:t>Mass physical training and sports activities continued to be promoted and improved in quality, many mass sports activities were organized such as "Olympic Running Day for the Health of the People in 2021"; guiding people to practice sports to improve health and prevent disease in the 2021-2025 period with the theme "The whole family practices now, defeating Covid". Organized 07 sports competitions, national mass sports tournaments attracting 6,335 officials and athletes to attend, and 06 training courses on physical training and sports skills for 986 officials, instructors, junior sports collaborators.</w:t>
      </w:r>
    </w:p>
    <w:p w14:paraId="45F1CB09" w14:textId="77777777" w:rsidR="0099376A" w:rsidRPr="00D36285" w:rsidRDefault="005125D4" w:rsidP="0099376A">
      <w:pPr>
        <w:tabs>
          <w:tab w:val="left" w:pos="709"/>
          <w:tab w:val="left" w:pos="1134"/>
        </w:tabs>
        <w:spacing w:before="40" w:after="40" w:line="288" w:lineRule="auto"/>
        <w:ind w:firstLine="567"/>
        <w:jc w:val="both"/>
        <w:rPr>
          <w:rFonts w:ascii="Times New Roman" w:hAnsi="Times New Roman" w:cs="Times New Roman"/>
          <w:sz w:val="28"/>
          <w:szCs w:val="28"/>
          <w:lang w:val="nl-NL"/>
        </w:rPr>
      </w:pPr>
      <w:r w:rsidRPr="00D36285">
        <w:rPr>
          <w:rFonts w:ascii="Times New Roman" w:hAnsi="Times New Roman" w:cs="Times New Roman"/>
          <w:sz w:val="28"/>
          <w:szCs w:val="28"/>
          <w:lang w:val="nl-NL"/>
        </w:rPr>
        <w:t xml:space="preserve">Vietnam's high-performance sports in 2021 focused on training and coaching high-achieving athletes to participate in regional, continental, and world sports tournaments such as Olympic, Paralympic Tokyo, SEA Games 31, ASEAN Para Games 11, and other international sports tournaments. </w:t>
      </w:r>
      <w:r w:rsidR="0099376A" w:rsidRPr="00D36285">
        <w:rPr>
          <w:rFonts w:ascii="Times New Roman" w:hAnsi="Times New Roman" w:cs="Times New Roman"/>
          <w:sz w:val="28"/>
          <w:szCs w:val="28"/>
          <w:lang w:val="nl-NL"/>
        </w:rPr>
        <w:t>In the country, 74 sports tournaments have been organized and 07 training courses for referees and sports coaches have been opened.</w:t>
      </w:r>
    </w:p>
    <w:p w14:paraId="66E03461" w14:textId="77777777" w:rsidR="00C5261D" w:rsidRDefault="00C5261D" w:rsidP="00C5261D">
      <w:pPr>
        <w:tabs>
          <w:tab w:val="left" w:pos="709"/>
          <w:tab w:val="left" w:pos="1134"/>
        </w:tabs>
        <w:spacing w:before="40" w:after="40" w:line="288" w:lineRule="auto"/>
        <w:ind w:firstLine="567"/>
        <w:jc w:val="both"/>
        <w:rPr>
          <w:rFonts w:ascii="Times New Roman" w:hAnsi="Times New Roman" w:cs="Times New Roman"/>
          <w:sz w:val="28"/>
          <w:szCs w:val="28"/>
          <w:lang w:val="nl-NL"/>
        </w:rPr>
      </w:pPr>
      <w:r w:rsidRPr="00D36285">
        <w:rPr>
          <w:rFonts w:ascii="Times New Roman" w:hAnsi="Times New Roman" w:cs="Times New Roman"/>
          <w:sz w:val="28"/>
          <w:szCs w:val="28"/>
          <w:lang w:val="nl-NL"/>
        </w:rPr>
        <w:t>In 2021, the Vietnamese sports delegation reached 32 gold medals, 14 silver medals, and 15 bronze medals (including 02 gold medals, 07 silver medals, 07 bronze medals in world competitions; 02 gold medals, 01 silver medal, 02 bronze medals in tournaments in Asia; 28 gold medals, 06 silver medals, 06 bronze medals in open international tournaments).</w:t>
      </w:r>
    </w:p>
    <w:p w14:paraId="2BD0990F" w14:textId="65A98891" w:rsidR="002D37A8" w:rsidRPr="00DC0CA9" w:rsidRDefault="002D37A8" w:rsidP="00FA1162">
      <w:pPr>
        <w:tabs>
          <w:tab w:val="left" w:pos="426"/>
          <w:tab w:val="left" w:pos="900"/>
        </w:tabs>
        <w:spacing w:after="100" w:line="340" w:lineRule="exact"/>
        <w:ind w:firstLine="567"/>
        <w:jc w:val="both"/>
        <w:rPr>
          <w:rFonts w:ascii="Times New Roman" w:eastAsia="Calibri" w:hAnsi="Times New Roman" w:cs="Times New Roman"/>
          <w:b/>
          <w:i/>
          <w:iCs/>
          <w:spacing w:val="-6"/>
          <w:sz w:val="28"/>
          <w:szCs w:val="28"/>
          <w:lang w:val="de-DE"/>
        </w:rPr>
      </w:pPr>
      <w:r w:rsidRPr="00DC0CA9">
        <w:rPr>
          <w:rFonts w:ascii="Times New Roman" w:eastAsia="Calibri" w:hAnsi="Times New Roman" w:cs="Times New Roman"/>
          <w:b/>
          <w:i/>
          <w:iCs/>
          <w:spacing w:val="-6"/>
          <w:sz w:val="28"/>
          <w:szCs w:val="28"/>
          <w:lang w:val="de-DE"/>
        </w:rPr>
        <w:t xml:space="preserve">6. </w:t>
      </w:r>
      <w:r w:rsidR="001C2BB2" w:rsidRPr="001C2BB2">
        <w:rPr>
          <w:rFonts w:ascii="Times New Roman" w:eastAsia="Calibri" w:hAnsi="Times New Roman" w:cs="Times New Roman"/>
          <w:b/>
          <w:i/>
          <w:iCs/>
          <w:spacing w:val="-6"/>
          <w:sz w:val="28"/>
          <w:szCs w:val="28"/>
          <w:lang w:val="de-DE"/>
        </w:rPr>
        <w:t>The number of traffic accidents, deaths, and injuries due to traffic accidents decreased compared to the same period last year, because of the strict implementation of regulations on traffic safety and Covid-19 epidemic prevention and control for many consecutive months.</w:t>
      </w:r>
    </w:p>
    <w:p w14:paraId="4E44E3B4" w14:textId="5205F2C0" w:rsidR="0072522C" w:rsidRDefault="0072522C" w:rsidP="0072522C">
      <w:pPr>
        <w:pStyle w:val="Normal10"/>
        <w:spacing w:before="40" w:beforeAutospacing="0" w:after="40" w:afterAutospacing="0" w:line="290" w:lineRule="auto"/>
        <w:ind w:firstLine="567"/>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lastRenderedPageBreak/>
        <w:t>I</w:t>
      </w:r>
      <w:r w:rsidRPr="00930A18">
        <w:rPr>
          <w:rFonts w:ascii="Times New Roman" w:eastAsia="Calibri" w:hAnsi="Times New Roman" w:cs="Times New Roman"/>
          <w:sz w:val="28"/>
          <w:szCs w:val="28"/>
          <w:lang w:val="de-DE"/>
        </w:rPr>
        <w:t xml:space="preserve">n 2021, there were 11,454 traffic accidents nationwide, including 7,370 traffic accidents of less serious or more and 4,084 traffic collisions, causing 5,739 deaths and 3,889 injuries, and 4,109 people were slightly injured. Compared to 2020, the number of traffic accidents decreased by 23.6% (the number of traffic accidents </w:t>
      </w:r>
      <w:r>
        <w:rPr>
          <w:rFonts w:ascii="Times New Roman" w:eastAsia="Calibri" w:hAnsi="Times New Roman" w:cs="Times New Roman"/>
          <w:sz w:val="28"/>
          <w:szCs w:val="28"/>
          <w:lang w:val="de-DE"/>
        </w:rPr>
        <w:t xml:space="preserve">of </w:t>
      </w:r>
      <w:r w:rsidRPr="006D7720">
        <w:rPr>
          <w:rFonts w:ascii="Times New Roman" w:eastAsia="Calibri" w:hAnsi="Times New Roman" w:cs="Times New Roman"/>
          <w:iCs/>
          <w:sz w:val="28"/>
          <w:szCs w:val="28"/>
          <w:lang w:val="de-DE"/>
        </w:rPr>
        <w:t>less serious or more serious</w:t>
      </w:r>
      <w:r w:rsidRPr="00930A18">
        <w:rPr>
          <w:rFonts w:ascii="Times New Roman" w:eastAsia="Calibri" w:hAnsi="Times New Roman" w:cs="Times New Roman"/>
          <w:sz w:val="28"/>
          <w:szCs w:val="28"/>
          <w:lang w:val="de-DE"/>
        </w:rPr>
        <w:t xml:space="preserve"> decreased by 14.5%; the number of traffic collisions decreased by 35.9%); the number of deaths decreased by 16.4%; the number of injured people decreased by 15% and the number of minor injuries decreased by 37.6%. On average, one day in 2021, nationwide, there were 31 traffic accidents, including 20 traffic accidents of less serious or more and 11 traffic collisions, causing 16 deaths and 11 injured and 11 people with minor injuries.</w:t>
      </w:r>
    </w:p>
    <w:p w14:paraId="0130DBDC" w14:textId="56D8A870" w:rsidR="006F5FAD" w:rsidRPr="00DC0CA9" w:rsidRDefault="002D37A8" w:rsidP="00F877BF">
      <w:pPr>
        <w:spacing w:after="120" w:line="340" w:lineRule="exact"/>
        <w:ind w:firstLine="567"/>
        <w:jc w:val="both"/>
        <w:rPr>
          <w:rStyle w:val="normalchar"/>
          <w:rFonts w:ascii="Times New Roman" w:hAnsi="Times New Roman"/>
          <w:b/>
          <w:i/>
          <w:sz w:val="28"/>
          <w:szCs w:val="28"/>
          <w:lang w:val="nl-NL"/>
        </w:rPr>
      </w:pPr>
      <w:r w:rsidRPr="00DC0CA9">
        <w:rPr>
          <w:rStyle w:val="normalchar"/>
          <w:rFonts w:ascii="Times New Roman" w:hAnsi="Times New Roman"/>
          <w:b/>
          <w:sz w:val="28"/>
          <w:szCs w:val="28"/>
          <w:lang w:val="nl-NL"/>
        </w:rPr>
        <w:t>7</w:t>
      </w:r>
      <w:r w:rsidR="006F5FAD" w:rsidRPr="00DC0CA9">
        <w:rPr>
          <w:rStyle w:val="normalchar"/>
          <w:rFonts w:ascii="Times New Roman" w:hAnsi="Times New Roman"/>
          <w:b/>
          <w:sz w:val="28"/>
          <w:szCs w:val="28"/>
          <w:lang w:val="nl-NL"/>
        </w:rPr>
        <w:t xml:space="preserve">. </w:t>
      </w:r>
      <w:r w:rsidR="00271AF4" w:rsidRPr="00271AF4">
        <w:rPr>
          <w:rStyle w:val="normalchar"/>
          <w:rFonts w:ascii="Times New Roman" w:hAnsi="Times New Roman"/>
          <w:b/>
          <w:i/>
          <w:sz w:val="28"/>
          <w:szCs w:val="28"/>
          <w:lang w:val="nl-NL"/>
        </w:rPr>
        <w:t>Natural disasters, environmental pollution, fires, and explosions significantly affect people's lives in some localities.</w:t>
      </w:r>
    </w:p>
    <w:p w14:paraId="38F27338" w14:textId="77777777" w:rsidR="003B16F3" w:rsidRPr="00D97C51" w:rsidRDefault="003B16F3" w:rsidP="003B16F3">
      <w:pPr>
        <w:ind w:firstLine="720"/>
        <w:jc w:val="both"/>
        <w:rPr>
          <w:rFonts w:ascii="Times New Roman" w:hAnsi="Times New Roman"/>
          <w:sz w:val="28"/>
          <w:szCs w:val="28"/>
        </w:rPr>
      </w:pPr>
      <w:r w:rsidRPr="00D97C51">
        <w:rPr>
          <w:rFonts w:ascii="Times New Roman" w:hAnsi="Times New Roman"/>
          <w:sz w:val="28"/>
          <w:szCs w:val="28"/>
        </w:rPr>
        <w:t xml:space="preserve">In general, in 2021, natural disasters </w:t>
      </w:r>
      <w:r>
        <w:rPr>
          <w:rFonts w:ascii="Times New Roman" w:hAnsi="Times New Roman"/>
          <w:sz w:val="28"/>
          <w:szCs w:val="28"/>
        </w:rPr>
        <w:t>made</w:t>
      </w:r>
      <w:r w:rsidRPr="00D97C51">
        <w:rPr>
          <w:rFonts w:ascii="Times New Roman" w:hAnsi="Times New Roman"/>
          <w:sz w:val="28"/>
          <w:szCs w:val="28"/>
        </w:rPr>
        <w:t xml:space="preserve"> 139 people dead and missing, 150 people injured; 393.9 thousand cattle and poultry died; 130.3 thousand hectares of rice and 78.5 thousand hectares of crops were damaged; 766 houses collapsed, swept away and 14.9 thousand houses were flooded and damaged; total value of property damage was estimated at 4,876.9 billion</w:t>
      </w:r>
      <w:r>
        <w:rPr>
          <w:rFonts w:ascii="Times New Roman" w:hAnsi="Times New Roman"/>
          <w:sz w:val="28"/>
          <w:szCs w:val="28"/>
        </w:rPr>
        <w:t xml:space="preserve"> </w:t>
      </w:r>
      <w:r w:rsidRPr="00D97C51">
        <w:rPr>
          <w:rFonts w:ascii="Times New Roman" w:hAnsi="Times New Roman"/>
          <w:sz w:val="28"/>
          <w:szCs w:val="28"/>
        </w:rPr>
        <w:t>VND, down 87.5% compared to the previous year.</w:t>
      </w:r>
    </w:p>
    <w:p w14:paraId="101ABFB6" w14:textId="2B22A94F" w:rsidR="002D37A8" w:rsidRPr="001057E3" w:rsidRDefault="00345CCB" w:rsidP="001057E3">
      <w:pPr>
        <w:ind w:firstLine="720"/>
        <w:jc w:val="both"/>
        <w:rPr>
          <w:rFonts w:ascii="Times New Roman" w:hAnsi="Times New Roman"/>
          <w:sz w:val="28"/>
          <w:szCs w:val="28"/>
        </w:rPr>
      </w:pPr>
      <w:r w:rsidRPr="00D97C51">
        <w:rPr>
          <w:rFonts w:ascii="Times New Roman" w:hAnsi="Times New Roman"/>
          <w:sz w:val="28"/>
          <w:szCs w:val="28"/>
        </w:rPr>
        <w:t>In general, this year, 15,690 cases of environmental violations were detected, of which 14,042 cases were handled with a total fine of 240.7 billion VND</w:t>
      </w:r>
      <w:r w:rsidR="002D37A8" w:rsidRPr="00DC0CA9">
        <w:rPr>
          <w:rFonts w:ascii="Times New Roman" w:eastAsia="Calibri" w:hAnsi="Times New Roman" w:cs="Times New Roman"/>
          <w:sz w:val="28"/>
          <w:szCs w:val="28"/>
          <w:lang w:val="de-DE"/>
        </w:rPr>
        <w:t xml:space="preserve">; </w:t>
      </w:r>
      <w:r w:rsidR="001057E3" w:rsidRPr="00D97C51">
        <w:rPr>
          <w:rFonts w:ascii="Times New Roman" w:hAnsi="Times New Roman"/>
          <w:sz w:val="28"/>
          <w:szCs w:val="28"/>
        </w:rPr>
        <w:t>there were 2,230 fires and explosions in the whole country, killing 97 people and injuring 145 others, with estimated damage of 379.4 billion VND</w:t>
      </w:r>
      <w:r w:rsidR="002D37A8" w:rsidRPr="00DC0CA9">
        <w:rPr>
          <w:rFonts w:ascii="Times New Roman" w:eastAsia="Calibri" w:hAnsi="Times New Roman" w:cs="Times New Roman"/>
          <w:sz w:val="28"/>
          <w:szCs w:val="28"/>
          <w:lang w:val="de-DE"/>
        </w:rPr>
        <w:t>./.</w:t>
      </w:r>
    </w:p>
    <w:p w14:paraId="1EA5E14B" w14:textId="77777777" w:rsidR="000C4E1B" w:rsidRPr="00DC0CA9" w:rsidRDefault="000C4E1B" w:rsidP="002D37A8">
      <w:pPr>
        <w:pStyle w:val="Normal10"/>
        <w:spacing w:before="0" w:beforeAutospacing="0" w:after="120" w:afterAutospacing="0"/>
        <w:ind w:firstLine="720"/>
        <w:jc w:val="both"/>
        <w:rPr>
          <w:rFonts w:ascii="Times New Roman" w:hAnsi="Times New Roman" w:cs="Times New Roman"/>
          <w:w w:val="98"/>
          <w:sz w:val="28"/>
          <w:szCs w:val="28"/>
          <w:lang w:val="de-DE"/>
        </w:rPr>
      </w:pPr>
    </w:p>
    <w:p w14:paraId="3D829999" w14:textId="77777777" w:rsidR="002A77AF" w:rsidRPr="00FA706C" w:rsidRDefault="002A77AF" w:rsidP="002A77AF">
      <w:pPr>
        <w:pStyle w:val="Normal10"/>
        <w:spacing w:before="40" w:beforeAutospacing="0" w:after="40" w:afterAutospacing="0" w:line="276" w:lineRule="auto"/>
        <w:ind w:right="282" w:firstLine="567"/>
        <w:jc w:val="right"/>
        <w:rPr>
          <w:rFonts w:ascii="Times New Roman" w:hAnsi="Times New Roman" w:cs="Times New Roman"/>
          <w:i/>
          <w:sz w:val="28"/>
          <w:szCs w:val="28"/>
          <w:highlight w:val="yellow"/>
          <w:lang w:val="de-DE"/>
        </w:rPr>
      </w:pPr>
      <w:r w:rsidRPr="00FA706C">
        <w:rPr>
          <w:rStyle w:val="normalchar"/>
          <w:rFonts w:ascii="Times New Roman" w:hAnsi="Times New Roman"/>
          <w:b/>
          <w:iCs/>
          <w:sz w:val="32"/>
          <w:szCs w:val="28"/>
          <w:lang w:val="nl-NL"/>
        </w:rPr>
        <w:t>GENERAL STATISTICS OFFICE</w:t>
      </w:r>
    </w:p>
    <w:p w14:paraId="23BF6463" w14:textId="3C4EFE67" w:rsidR="00097926" w:rsidRPr="00DC0CA9" w:rsidRDefault="00097926" w:rsidP="002A77AF">
      <w:pPr>
        <w:pStyle w:val="Normal10"/>
        <w:spacing w:before="40" w:beforeAutospacing="0" w:after="40" w:afterAutospacing="0" w:line="264" w:lineRule="auto"/>
        <w:ind w:right="282" w:firstLine="567"/>
        <w:jc w:val="right"/>
        <w:rPr>
          <w:rFonts w:ascii="Times New Roman" w:hAnsi="Times New Roman" w:cs="Times New Roman"/>
          <w:i/>
          <w:sz w:val="28"/>
          <w:szCs w:val="28"/>
          <w:lang w:val="de-DE"/>
        </w:rPr>
      </w:pPr>
    </w:p>
    <w:sectPr w:rsidR="00097926" w:rsidRPr="00DC0CA9" w:rsidSect="002850E5">
      <w:headerReference w:type="default" r:id="rId8"/>
      <w:footerReference w:type="default" r:id="rId9"/>
      <w:pgSz w:w="11906" w:h="16838" w:code="9"/>
      <w:pgMar w:top="964" w:right="1134" w:bottom="851" w:left="1701" w:header="567" w:footer="55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2F8D0" w14:textId="77777777" w:rsidR="00E714EE" w:rsidRDefault="00E714EE" w:rsidP="00140F6C">
      <w:pPr>
        <w:spacing w:after="0" w:line="240" w:lineRule="auto"/>
        <w:rPr>
          <w:rFonts w:cs="Times New Roman"/>
        </w:rPr>
      </w:pPr>
      <w:r>
        <w:rPr>
          <w:rFonts w:cs="Times New Roman"/>
        </w:rPr>
        <w:separator/>
      </w:r>
    </w:p>
  </w:endnote>
  <w:endnote w:type="continuationSeparator" w:id="0">
    <w:p w14:paraId="77057820" w14:textId="77777777" w:rsidR="00E714EE" w:rsidRDefault="00E714EE" w:rsidP="00140F6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altName w:val="Times New Roman"/>
    <w:panose1 w:val="020205030504050903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81AA" w14:textId="77777777" w:rsidR="003A6F56" w:rsidRDefault="003A6F56" w:rsidP="006B1758">
    <w:pPr>
      <w:pStyle w:val="Footer"/>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11D9E" w14:textId="77777777" w:rsidR="00E714EE" w:rsidRDefault="00E714EE" w:rsidP="00140F6C">
      <w:pPr>
        <w:spacing w:after="0" w:line="240" w:lineRule="auto"/>
        <w:rPr>
          <w:rFonts w:cs="Times New Roman"/>
        </w:rPr>
      </w:pPr>
      <w:r>
        <w:rPr>
          <w:rFonts w:cs="Times New Roman"/>
        </w:rPr>
        <w:separator/>
      </w:r>
    </w:p>
  </w:footnote>
  <w:footnote w:type="continuationSeparator" w:id="0">
    <w:p w14:paraId="4BA117AE" w14:textId="77777777" w:rsidR="00E714EE" w:rsidRDefault="00E714EE" w:rsidP="00140F6C">
      <w:pPr>
        <w:spacing w:after="0" w:line="240" w:lineRule="auto"/>
        <w:rPr>
          <w:rFonts w:cs="Times New Roman"/>
        </w:rPr>
      </w:pPr>
      <w:r>
        <w:rPr>
          <w:rFonts w:cs="Times New Roman"/>
        </w:rPr>
        <w:continuationSeparator/>
      </w:r>
    </w:p>
  </w:footnote>
  <w:footnote w:id="1">
    <w:p w14:paraId="328D164A" w14:textId="2B9D1756" w:rsidR="003A6F56" w:rsidRPr="00856D2E" w:rsidRDefault="003A6F56" w:rsidP="00856D2E">
      <w:pPr>
        <w:pStyle w:val="FootnoteText"/>
        <w:spacing w:after="60"/>
        <w:ind w:left="153" w:hanging="153"/>
        <w:jc w:val="both"/>
        <w:rPr>
          <w:rFonts w:ascii="Times New Roman" w:hAnsi="Times New Roman" w:cs="Times New Roman"/>
          <w:lang w:val="en-US"/>
        </w:rPr>
      </w:pPr>
      <w:r w:rsidRPr="00856D2E">
        <w:rPr>
          <w:rStyle w:val="FootnoteReference"/>
          <w:rFonts w:ascii="Times New Roman" w:hAnsi="Times New Roman"/>
        </w:rPr>
        <w:footnoteRef/>
      </w:r>
      <w:r w:rsidRPr="00856D2E">
        <w:rPr>
          <w:rFonts w:ascii="Times New Roman" w:hAnsi="Times New Roman" w:cs="Times New Roman"/>
        </w:rPr>
        <w:t xml:space="preserve"> </w:t>
      </w:r>
      <w:r w:rsidR="00F658E5" w:rsidRPr="001448C4">
        <w:rPr>
          <w:rFonts w:ascii="Times New Roman" w:hAnsi="Times New Roman" w:cs="Times New Roman"/>
          <w:lang w:val="en-US"/>
        </w:rPr>
        <w:t xml:space="preserve">Press releases and infographics on the socio-economic situation in the </w:t>
      </w:r>
      <w:r w:rsidR="00F658E5">
        <w:rPr>
          <w:rFonts w:ascii="Times New Roman" w:hAnsi="Times New Roman" w:cs="Times New Roman"/>
          <w:lang w:val="en-US"/>
        </w:rPr>
        <w:t>fourth</w:t>
      </w:r>
      <w:r w:rsidR="00F658E5" w:rsidRPr="001448C4">
        <w:rPr>
          <w:rFonts w:ascii="Times New Roman" w:hAnsi="Times New Roman" w:cs="Times New Roman"/>
          <w:lang w:val="en-US"/>
        </w:rPr>
        <w:t xml:space="preserve"> quarter and </w:t>
      </w:r>
      <w:r w:rsidR="00F658E5">
        <w:rPr>
          <w:rFonts w:ascii="Times New Roman" w:hAnsi="Times New Roman" w:cs="Times New Roman"/>
          <w:lang w:val="en-US"/>
        </w:rPr>
        <w:t xml:space="preserve">the year </w:t>
      </w:r>
      <w:r w:rsidR="00F658E5" w:rsidRPr="001448C4">
        <w:rPr>
          <w:rFonts w:ascii="Times New Roman" w:hAnsi="Times New Roman" w:cs="Times New Roman"/>
          <w:lang w:val="en-US"/>
        </w:rPr>
        <w:t>2021 were posted on the website of the General Statistics Office). (</w:t>
      </w:r>
      <w:hyperlink r:id="rId1" w:history="1">
        <w:r w:rsidR="00F658E5" w:rsidRPr="001448C4">
          <w:rPr>
            <w:rStyle w:val="Hyperlink"/>
            <w:rFonts w:ascii="Times New Roman" w:hAnsi="Times New Roman" w:cs="Times New Roman"/>
          </w:rPr>
          <w:t>https://www.gso.gov.vn)</w:t>
        </w:r>
      </w:hyperlink>
      <w:r w:rsidR="00F658E5" w:rsidRPr="001448C4">
        <w:rPr>
          <w:rFonts w:ascii="Times New Roman" w:hAnsi="Times New Roman" w:cs="Times New Roman"/>
        </w:rPr>
        <w:t>.</w:t>
      </w:r>
    </w:p>
  </w:footnote>
  <w:footnote w:id="2">
    <w:p w14:paraId="558666B7" w14:textId="77777777" w:rsidR="0054341C" w:rsidRPr="000117EC" w:rsidRDefault="0054341C" w:rsidP="0054341C">
      <w:pPr>
        <w:pStyle w:val="FootnoteText"/>
        <w:ind w:left="142" w:hanging="142"/>
        <w:jc w:val="both"/>
        <w:rPr>
          <w:rFonts w:ascii="Times New Roman" w:hAnsi="Times New Roman" w:cs="Times New Roman"/>
          <w:lang w:val="en-US"/>
        </w:rPr>
      </w:pPr>
      <w:r w:rsidRPr="00A51202">
        <w:rPr>
          <w:rStyle w:val="FootnoteReference"/>
          <w:rFonts w:ascii="Times New Roman" w:hAnsi="Times New Roman"/>
        </w:rPr>
        <w:footnoteRef/>
      </w:r>
      <w:r w:rsidRPr="00A51202">
        <w:rPr>
          <w:rFonts w:ascii="Times New Roman" w:hAnsi="Times New Roman" w:cs="Times New Roman"/>
        </w:rPr>
        <w:t xml:space="preserve"> </w:t>
      </w:r>
      <w:r w:rsidRPr="00896A59">
        <w:rPr>
          <w:rFonts w:ascii="Times New Roman" w:hAnsi="Times New Roman" w:cs="Times New Roman"/>
        </w:rPr>
        <w:t>OECD's Preliminary report on the economic outlook in December 2021; Report on the European Economic Forecast in November 2021 by the European Union; Report on the Global Economic Outlook in December 2021 of the Fitch Ratings.</w:t>
      </w:r>
    </w:p>
  </w:footnote>
  <w:footnote w:id="3">
    <w:p w14:paraId="3034B02B" w14:textId="77777777" w:rsidR="006D3523" w:rsidRPr="00B23FBE" w:rsidRDefault="006D3523" w:rsidP="006D3523">
      <w:pPr>
        <w:pStyle w:val="FootnoteText"/>
        <w:rPr>
          <w:rFonts w:ascii="Times New Roman" w:hAnsi="Times New Roman" w:cs="Times New Roman"/>
          <w:lang w:val="en-US"/>
        </w:rPr>
      </w:pPr>
      <w:r w:rsidRPr="00B23FBE">
        <w:rPr>
          <w:rStyle w:val="FootnoteReference"/>
        </w:rPr>
        <w:footnoteRef/>
      </w:r>
      <w:r w:rsidRPr="00B23FBE">
        <w:rPr>
          <w:rFonts w:ascii="Times New Roman" w:hAnsi="Times New Roman" w:cs="Times New Roman"/>
        </w:rPr>
        <w:t xml:space="preserve"> </w:t>
      </w:r>
      <w:r w:rsidRPr="001C3901">
        <w:rPr>
          <w:rFonts w:ascii="Times New Roman" w:hAnsi="Times New Roman" w:cs="Times New Roman"/>
        </w:rPr>
        <w:t>According to the Report of the Ministry of Agriculture and Rural Development received on December 25, 2021.</w:t>
      </w:r>
    </w:p>
  </w:footnote>
  <w:footnote w:id="4">
    <w:p w14:paraId="34266207" w14:textId="77777777" w:rsidR="00F01DD7" w:rsidRPr="009F297E" w:rsidRDefault="00F01DD7" w:rsidP="00F01DD7">
      <w:pPr>
        <w:pStyle w:val="FootnoteText"/>
        <w:ind w:left="142" w:hanging="142"/>
        <w:jc w:val="both"/>
        <w:rPr>
          <w:rFonts w:ascii="Times New Roman" w:hAnsi="Times New Roman" w:cs="Times New Roman"/>
          <w:spacing w:val="-4"/>
          <w:lang w:val="vi-VN"/>
        </w:rPr>
      </w:pPr>
      <w:r w:rsidRPr="00F531EB">
        <w:rPr>
          <w:rStyle w:val="FootnoteReference"/>
          <w:rFonts w:ascii="Times New Roman" w:hAnsi="Times New Roman"/>
        </w:rPr>
        <w:footnoteRef/>
      </w:r>
      <w:r w:rsidRPr="009F297E">
        <w:rPr>
          <w:rFonts w:ascii="Times New Roman" w:hAnsi="Times New Roman" w:cs="Times New Roman"/>
          <w:lang w:val="vi-VN"/>
        </w:rPr>
        <w:t xml:space="preserve"> </w:t>
      </w:r>
      <w:r w:rsidRPr="00A90717">
        <w:rPr>
          <w:rFonts w:ascii="Times New Roman" w:hAnsi="Times New Roman" w:cs="Times New Roman"/>
          <w:lang w:val="vi-VN"/>
        </w:rPr>
        <w:t>Source: National Enterprise Registration Information System, Business Registration Management Agency, Ministry of Planning and Investment (Received the report on 24</w:t>
      </w:r>
      <w:r w:rsidRPr="00A90717">
        <w:rPr>
          <w:rFonts w:ascii="Times New Roman" w:hAnsi="Times New Roman" w:cs="Times New Roman"/>
          <w:vertAlign w:val="superscript"/>
          <w:lang w:val="vi-VN"/>
        </w:rPr>
        <w:t xml:space="preserve">th </w:t>
      </w:r>
      <w:r>
        <w:rPr>
          <w:rFonts w:ascii="Times New Roman" w:hAnsi="Times New Roman" w:cs="Times New Roman"/>
          <w:lang w:val="en-US"/>
        </w:rPr>
        <w:t>Dece</w:t>
      </w:r>
      <w:r w:rsidRPr="00A90717">
        <w:rPr>
          <w:rFonts w:ascii="Times New Roman" w:hAnsi="Times New Roman" w:cs="Times New Roman"/>
          <w:lang w:val="vi-VN"/>
        </w:rPr>
        <w:t>mber 2021).</w:t>
      </w:r>
    </w:p>
  </w:footnote>
  <w:footnote w:id="5">
    <w:p w14:paraId="25B9687F" w14:textId="77777777" w:rsidR="00142F62" w:rsidRPr="006D7720" w:rsidRDefault="00142F62" w:rsidP="00142F62">
      <w:pPr>
        <w:pStyle w:val="FootnoteText"/>
        <w:spacing w:line="276" w:lineRule="auto"/>
        <w:ind w:left="142" w:hanging="142"/>
        <w:jc w:val="both"/>
        <w:rPr>
          <w:rFonts w:ascii="Times New Roman" w:hAnsi="Times New Roman" w:cs="Times New Roman"/>
          <w:lang w:val="vi-VN"/>
        </w:rPr>
      </w:pPr>
      <w:r w:rsidRPr="006D7720">
        <w:rPr>
          <w:rStyle w:val="FootnoteReference"/>
          <w:rFonts w:ascii="Times New Roman" w:hAnsi="Times New Roman"/>
        </w:rPr>
        <w:footnoteRef/>
      </w:r>
      <w:r w:rsidRPr="006D7720">
        <w:rPr>
          <w:rFonts w:ascii="Times New Roman" w:hAnsi="Times New Roman" w:cs="Times New Roman"/>
          <w:lang w:val="vi-VN"/>
        </w:rPr>
        <w:t xml:space="preserve"> Corresponding index of the </w:t>
      </w:r>
      <w:r>
        <w:rPr>
          <w:rFonts w:ascii="Times New Roman" w:hAnsi="Times New Roman" w:cs="Times New Roman"/>
          <w:lang w:val="en-US"/>
        </w:rPr>
        <w:t>third</w:t>
      </w:r>
      <w:r w:rsidRPr="006D7720">
        <w:rPr>
          <w:rFonts w:ascii="Times New Roman" w:hAnsi="Times New Roman" w:cs="Times New Roman"/>
          <w:lang w:val="vi-VN"/>
        </w:rPr>
        <w:t xml:space="preserve"> quarter </w:t>
      </w:r>
      <w:r>
        <w:rPr>
          <w:rFonts w:ascii="Times New Roman" w:hAnsi="Times New Roman" w:cs="Times New Roman"/>
          <w:lang w:val="vi-VN"/>
        </w:rPr>
        <w:t>in</w:t>
      </w:r>
      <w:r w:rsidRPr="006D7720">
        <w:rPr>
          <w:rFonts w:ascii="Times New Roman" w:hAnsi="Times New Roman" w:cs="Times New Roman"/>
          <w:lang w:val="vi-VN"/>
        </w:rPr>
        <w:t xml:space="preserve"> 2021:</w:t>
      </w:r>
      <w:r>
        <w:rPr>
          <w:rFonts w:ascii="Times New Roman" w:hAnsi="Times New Roman" w:cs="Times New Roman"/>
          <w:lang w:val="en-US"/>
        </w:rPr>
        <w:t xml:space="preserve"> 13.2</w:t>
      </w:r>
      <w:r w:rsidRPr="006D7720">
        <w:rPr>
          <w:rFonts w:ascii="Times New Roman" w:hAnsi="Times New Roman" w:cs="Times New Roman"/>
          <w:lang w:val="vi-VN"/>
        </w:rPr>
        <w:t>% of enterprises rated their business and prod</w:t>
      </w:r>
      <w:r>
        <w:rPr>
          <w:rFonts w:ascii="Times New Roman" w:hAnsi="Times New Roman" w:cs="Times New Roman"/>
          <w:lang w:val="vi-VN"/>
        </w:rPr>
        <w:t xml:space="preserve">uction situation better than </w:t>
      </w:r>
      <w:r w:rsidRPr="007113A5">
        <w:rPr>
          <w:rFonts w:ascii="Times New Roman" w:hAnsi="Times New Roman" w:cs="Times New Roman"/>
          <w:lang w:val="vi-VN"/>
        </w:rPr>
        <w:t>the previous quarter</w:t>
      </w:r>
      <w:r>
        <w:rPr>
          <w:rFonts w:ascii="Times New Roman" w:hAnsi="Times New Roman" w:cs="Times New Roman"/>
          <w:lang w:val="vi-VN"/>
        </w:rPr>
        <w:t xml:space="preserve">; </w:t>
      </w:r>
      <w:r>
        <w:rPr>
          <w:rFonts w:ascii="Times New Roman" w:hAnsi="Times New Roman" w:cs="Times New Roman"/>
          <w:lang w:val="en-US"/>
        </w:rPr>
        <w:t>25</w:t>
      </w:r>
      <w:r w:rsidRPr="006D7720">
        <w:rPr>
          <w:rFonts w:ascii="Times New Roman" w:hAnsi="Times New Roman" w:cs="Times New Roman"/>
          <w:lang w:val="vi-VN"/>
        </w:rPr>
        <w:t>.</w:t>
      </w:r>
      <w:r>
        <w:rPr>
          <w:rFonts w:ascii="Times New Roman" w:hAnsi="Times New Roman" w:cs="Times New Roman"/>
          <w:lang w:val="en-US"/>
        </w:rPr>
        <w:t>4</w:t>
      </w:r>
      <w:r w:rsidRPr="006D7720">
        <w:rPr>
          <w:rFonts w:ascii="Times New Roman" w:hAnsi="Times New Roman" w:cs="Times New Roman"/>
          <w:lang w:val="vi-VN"/>
        </w:rPr>
        <w:t>% of enterprises said that the business and produ</w:t>
      </w:r>
      <w:r>
        <w:rPr>
          <w:rFonts w:ascii="Times New Roman" w:hAnsi="Times New Roman" w:cs="Times New Roman"/>
          <w:lang w:val="vi-VN"/>
        </w:rPr>
        <w:t xml:space="preserve">ction situation was stable and </w:t>
      </w:r>
      <w:r>
        <w:rPr>
          <w:rFonts w:ascii="Times New Roman" w:hAnsi="Times New Roman" w:cs="Times New Roman"/>
          <w:lang w:val="en-US"/>
        </w:rPr>
        <w:t>6</w:t>
      </w:r>
      <w:r>
        <w:rPr>
          <w:rFonts w:ascii="Times New Roman" w:hAnsi="Times New Roman" w:cs="Times New Roman"/>
          <w:lang w:val="vi-VN"/>
        </w:rPr>
        <w:t>1.</w:t>
      </w:r>
      <w:r>
        <w:rPr>
          <w:rFonts w:ascii="Times New Roman" w:hAnsi="Times New Roman" w:cs="Times New Roman"/>
          <w:lang w:val="en-US"/>
        </w:rPr>
        <w:t>4</w:t>
      </w:r>
      <w:r w:rsidRPr="006D7720">
        <w:rPr>
          <w:rFonts w:ascii="Times New Roman" w:hAnsi="Times New Roman" w:cs="Times New Roman"/>
          <w:lang w:val="vi-VN"/>
        </w:rPr>
        <w:t>% of enterprises rated that it was difficult compared to the previous quarter.</w:t>
      </w:r>
    </w:p>
  </w:footnote>
  <w:footnote w:id="6">
    <w:p w14:paraId="59138C18" w14:textId="77777777" w:rsidR="003F2301" w:rsidRDefault="003F2301" w:rsidP="003F2301">
      <w:pPr>
        <w:pStyle w:val="FootnoteText"/>
        <w:spacing w:line="276" w:lineRule="auto"/>
        <w:rPr>
          <w:rFonts w:ascii="Times New Roman" w:eastAsia="Calibri" w:hAnsi="Times New Roman" w:cs="Times New Roman"/>
          <w:lang w:val="vi-VN"/>
        </w:rPr>
      </w:pPr>
      <w:r>
        <w:rPr>
          <w:rStyle w:val="FootnoteReference"/>
        </w:rPr>
        <w:footnoteRef/>
      </w:r>
      <w:r>
        <w:rPr>
          <w:rFonts w:ascii="Times New Roman" w:hAnsi="Times New Roman" w:cs="Times New Roman"/>
          <w:lang w:val="vi-VN"/>
        </w:rPr>
        <w:t xml:space="preserve"> According to the report of the Foreign Investment Department, Ministry of Planning and Investment, received on 22/</w:t>
      </w:r>
      <w:r>
        <w:rPr>
          <w:rFonts w:ascii="Times New Roman" w:hAnsi="Times New Roman" w:cs="Times New Roman"/>
          <w:lang w:val="en-US"/>
        </w:rPr>
        <w:t>12</w:t>
      </w:r>
      <w:r>
        <w:rPr>
          <w:rFonts w:ascii="Times New Roman" w:hAnsi="Times New Roman" w:cs="Times New Roman"/>
          <w:lang w:val="vi-VN"/>
        </w:rPr>
        <w:t>/2021.</w:t>
      </w:r>
    </w:p>
  </w:footnote>
  <w:footnote w:id="7">
    <w:p w14:paraId="55152705" w14:textId="77777777" w:rsidR="00BF49A7" w:rsidRPr="00A25D0E" w:rsidRDefault="00BF49A7" w:rsidP="00BF49A7">
      <w:pPr>
        <w:pStyle w:val="FootnoteText"/>
        <w:ind w:left="90" w:hanging="90"/>
        <w:jc w:val="both"/>
        <w:rPr>
          <w:lang w:val="en-US"/>
        </w:rPr>
      </w:pPr>
      <w:r w:rsidRPr="00473E4F">
        <w:rPr>
          <w:rStyle w:val="FootnoteReference"/>
          <w:rFonts w:ascii="Times New Roman" w:hAnsi="Times New Roman"/>
        </w:rPr>
        <w:footnoteRef/>
      </w:r>
      <w:r w:rsidRPr="00473E4F">
        <w:rPr>
          <w:rFonts w:ascii="Times New Roman" w:hAnsi="Times New Roman" w:cs="Times New Roman"/>
        </w:rPr>
        <w:t xml:space="preserve"> Total export and import turnover </w:t>
      </w:r>
      <w:r w:rsidRPr="00473E4F">
        <w:rPr>
          <w:rFonts w:ascii="Times New Roman" w:hAnsi="Times New Roman" w:cs="Times New Roman"/>
          <w:lang w:val="vi-VN"/>
        </w:rPr>
        <w:t xml:space="preserve">of goods </w:t>
      </w:r>
      <w:r w:rsidRPr="00473E4F">
        <w:rPr>
          <w:rFonts w:ascii="Times New Roman" w:hAnsi="Times New Roman" w:cs="Times New Roman"/>
        </w:rPr>
        <w:t>in 2020 reached 545.32 billion USD, up 5.3% over last year, of which exports reached 282.63 billion USD, increased by 6.9%; import reached 262.69 billion USD, went up by 3.7%.</w:t>
      </w:r>
    </w:p>
  </w:footnote>
  <w:footnote w:id="8">
    <w:p w14:paraId="7BD6DD87" w14:textId="77777777" w:rsidR="00881288" w:rsidRPr="00473E4F" w:rsidRDefault="00881288" w:rsidP="00881288">
      <w:pPr>
        <w:spacing w:before="20" w:after="20" w:line="240" w:lineRule="auto"/>
        <w:ind w:left="198" w:right="119" w:hanging="198"/>
        <w:jc w:val="both"/>
        <w:rPr>
          <w:rFonts w:ascii="Times New Roman" w:hAnsi="Times New Roman" w:cs="Times New Roman"/>
          <w:sz w:val="20"/>
          <w:szCs w:val="20"/>
          <w:lang w:val="vi-VN"/>
        </w:rPr>
      </w:pPr>
      <w:r w:rsidRPr="00473E4F">
        <w:rPr>
          <w:rStyle w:val="FootnoteReference"/>
          <w:rFonts w:ascii="Times New Roman" w:hAnsi="Times New Roman"/>
          <w:sz w:val="20"/>
          <w:szCs w:val="20"/>
        </w:rPr>
        <w:footnoteRef/>
      </w:r>
      <w:r w:rsidRPr="00473E4F">
        <w:rPr>
          <w:rFonts w:ascii="Times New Roman" w:hAnsi="Times New Roman" w:cs="Times New Roman"/>
          <w:sz w:val="20"/>
          <w:szCs w:val="20"/>
          <w:lang w:val="vi-VN"/>
        </w:rPr>
        <w:t xml:space="preserve"> </w:t>
      </w:r>
      <w:r w:rsidRPr="00473E4F">
        <w:rPr>
          <w:rFonts w:ascii="Times New Roman" w:hAnsi="Times New Roman" w:cs="Times New Roman"/>
          <w:sz w:val="20"/>
          <w:szCs w:val="20"/>
        </w:rPr>
        <w:t>Data for December 2021 provided by the General Department of Customs on December 28, 2021</w:t>
      </w:r>
    </w:p>
  </w:footnote>
  <w:footnote w:id="9">
    <w:p w14:paraId="3761DB5E" w14:textId="77777777" w:rsidR="005E15B3" w:rsidRPr="00747288" w:rsidRDefault="005E15B3" w:rsidP="005E15B3">
      <w:pPr>
        <w:pStyle w:val="FootnoteText"/>
        <w:spacing w:before="60" w:after="60"/>
        <w:ind w:left="198" w:hanging="198"/>
        <w:rPr>
          <w:rFonts w:ascii="Times New Roman" w:hAnsi="Times New Roman" w:cs="Times New Roman"/>
          <w:lang w:val="vi-VN"/>
        </w:rPr>
      </w:pPr>
      <w:r w:rsidRPr="00747288">
        <w:rPr>
          <w:rStyle w:val="FootnoteReference"/>
        </w:rPr>
        <w:footnoteRef/>
      </w:r>
      <w:r w:rsidRPr="00747288">
        <w:rPr>
          <w:rFonts w:ascii="Times New Roman" w:hAnsi="Times New Roman" w:cs="Times New Roman"/>
          <w:lang w:val="vi-VN"/>
        </w:rPr>
        <w:t xml:space="preserve"> </w:t>
      </w:r>
      <w:r w:rsidRPr="006D7720">
        <w:rPr>
          <w:rFonts w:ascii="Times New Roman" w:hAnsi="Times New Roman" w:cs="Times New Roman"/>
          <w:lang w:val="vi-VN"/>
        </w:rPr>
        <w:t>Merchandise export price index/ Merchandise import price index</w:t>
      </w:r>
      <w:r w:rsidRPr="00747288">
        <w:rPr>
          <w:rFonts w:ascii="Times New Roman" w:hAnsi="Times New Roman" w:cs="Times New Roman"/>
          <w:lang w:val="vi-V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EC1B" w14:textId="77777777" w:rsidR="003A6F56" w:rsidRPr="00464862" w:rsidRDefault="003A6F56" w:rsidP="006B1758">
    <w:pPr>
      <w:pStyle w:val="Header"/>
      <w:framePr w:wrap="auto" w:vAnchor="text" w:hAnchor="margin" w:xAlign="center" w:y="1"/>
      <w:rPr>
        <w:rStyle w:val="PageNumber"/>
        <w:rFonts w:ascii="Times New Roman" w:hAnsi="Times New Roman"/>
        <w:sz w:val="24"/>
        <w:szCs w:val="24"/>
      </w:rPr>
    </w:pPr>
    <w:r w:rsidRPr="00464862">
      <w:rPr>
        <w:rStyle w:val="PageNumber"/>
        <w:rFonts w:ascii="Times New Roman" w:hAnsi="Times New Roman"/>
        <w:sz w:val="24"/>
        <w:szCs w:val="24"/>
      </w:rPr>
      <w:fldChar w:fldCharType="begin"/>
    </w:r>
    <w:r w:rsidRPr="00464862">
      <w:rPr>
        <w:rStyle w:val="PageNumber"/>
        <w:rFonts w:ascii="Times New Roman" w:hAnsi="Times New Roman"/>
        <w:sz w:val="24"/>
        <w:szCs w:val="24"/>
      </w:rPr>
      <w:instrText xml:space="preserve">PAGE  </w:instrText>
    </w:r>
    <w:r w:rsidRPr="00464862">
      <w:rPr>
        <w:rStyle w:val="PageNumber"/>
        <w:rFonts w:ascii="Times New Roman" w:hAnsi="Times New Roman"/>
        <w:sz w:val="24"/>
        <w:szCs w:val="24"/>
      </w:rPr>
      <w:fldChar w:fldCharType="separate"/>
    </w:r>
    <w:r w:rsidR="00CB697E">
      <w:rPr>
        <w:rStyle w:val="PageNumber"/>
        <w:rFonts w:ascii="Times New Roman" w:hAnsi="Times New Roman"/>
        <w:noProof/>
        <w:sz w:val="24"/>
        <w:szCs w:val="24"/>
      </w:rPr>
      <w:t>2</w:t>
    </w:r>
    <w:r w:rsidRPr="00464862">
      <w:rPr>
        <w:rStyle w:val="PageNumber"/>
        <w:rFonts w:ascii="Times New Roman" w:hAnsi="Times New Roman"/>
        <w:sz w:val="24"/>
        <w:szCs w:val="24"/>
      </w:rPr>
      <w:fldChar w:fldCharType="end"/>
    </w:r>
  </w:p>
  <w:p w14:paraId="114B8122" w14:textId="77777777" w:rsidR="003A6F56" w:rsidRDefault="003A6F56">
    <w:pPr>
      <w:pStyle w:val="Head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051"/>
    <w:multiLevelType w:val="hybridMultilevel"/>
    <w:tmpl w:val="4B5A0F92"/>
    <w:lvl w:ilvl="0" w:tplc="252C844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A12131F"/>
    <w:multiLevelType w:val="hybridMultilevel"/>
    <w:tmpl w:val="36F01BEA"/>
    <w:lvl w:ilvl="0" w:tplc="9024439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15:restartNumberingAfterBreak="0">
    <w:nsid w:val="12E75460"/>
    <w:multiLevelType w:val="hybridMultilevel"/>
    <w:tmpl w:val="0B04F692"/>
    <w:lvl w:ilvl="0" w:tplc="D74298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4CC1B56"/>
    <w:multiLevelType w:val="hybridMultilevel"/>
    <w:tmpl w:val="618E1002"/>
    <w:lvl w:ilvl="0" w:tplc="43E057E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1D07515E"/>
    <w:multiLevelType w:val="hybridMultilevel"/>
    <w:tmpl w:val="8F90243C"/>
    <w:lvl w:ilvl="0" w:tplc="821E3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56A16D8"/>
    <w:multiLevelType w:val="hybridMultilevel"/>
    <w:tmpl w:val="B7A84F3A"/>
    <w:lvl w:ilvl="0" w:tplc="B84A98C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DAA09C2"/>
    <w:multiLevelType w:val="hybridMultilevel"/>
    <w:tmpl w:val="55EEE8B0"/>
    <w:lvl w:ilvl="0" w:tplc="9A44918C">
      <w:start w:val="5"/>
      <w:numFmt w:val="decimal"/>
      <w:lvlText w:val="%1."/>
      <w:lvlJc w:val="left"/>
      <w:pPr>
        <w:ind w:left="1260" w:hanging="360"/>
      </w:pPr>
      <w:rPr>
        <w:rFonts w:cs="Times New Roman" w:hint="default"/>
      </w:rPr>
    </w:lvl>
    <w:lvl w:ilvl="1" w:tplc="08090019">
      <w:start w:val="1"/>
      <w:numFmt w:val="lowerLetter"/>
      <w:lvlText w:val="%2."/>
      <w:lvlJc w:val="left"/>
      <w:pPr>
        <w:ind w:left="1980" w:hanging="360"/>
      </w:pPr>
      <w:rPr>
        <w:rFonts w:cs="Times New Roman"/>
      </w:rPr>
    </w:lvl>
    <w:lvl w:ilvl="2" w:tplc="0809001B">
      <w:start w:val="1"/>
      <w:numFmt w:val="lowerRoman"/>
      <w:lvlText w:val="%3."/>
      <w:lvlJc w:val="right"/>
      <w:pPr>
        <w:ind w:left="2700" w:hanging="180"/>
      </w:pPr>
      <w:rPr>
        <w:rFonts w:cs="Times New Roman"/>
      </w:rPr>
    </w:lvl>
    <w:lvl w:ilvl="3" w:tplc="0809000F">
      <w:start w:val="1"/>
      <w:numFmt w:val="decimal"/>
      <w:lvlText w:val="%4."/>
      <w:lvlJc w:val="left"/>
      <w:pPr>
        <w:ind w:left="3420" w:hanging="360"/>
      </w:pPr>
      <w:rPr>
        <w:rFonts w:cs="Times New Roman"/>
      </w:rPr>
    </w:lvl>
    <w:lvl w:ilvl="4" w:tplc="08090019">
      <w:start w:val="1"/>
      <w:numFmt w:val="lowerLetter"/>
      <w:lvlText w:val="%5."/>
      <w:lvlJc w:val="left"/>
      <w:pPr>
        <w:ind w:left="4140" w:hanging="360"/>
      </w:pPr>
      <w:rPr>
        <w:rFonts w:cs="Times New Roman"/>
      </w:rPr>
    </w:lvl>
    <w:lvl w:ilvl="5" w:tplc="0809001B">
      <w:start w:val="1"/>
      <w:numFmt w:val="lowerRoman"/>
      <w:lvlText w:val="%6."/>
      <w:lvlJc w:val="right"/>
      <w:pPr>
        <w:ind w:left="4860" w:hanging="180"/>
      </w:pPr>
      <w:rPr>
        <w:rFonts w:cs="Times New Roman"/>
      </w:rPr>
    </w:lvl>
    <w:lvl w:ilvl="6" w:tplc="0809000F">
      <w:start w:val="1"/>
      <w:numFmt w:val="decimal"/>
      <w:lvlText w:val="%7."/>
      <w:lvlJc w:val="left"/>
      <w:pPr>
        <w:ind w:left="5580" w:hanging="360"/>
      </w:pPr>
      <w:rPr>
        <w:rFonts w:cs="Times New Roman"/>
      </w:rPr>
    </w:lvl>
    <w:lvl w:ilvl="7" w:tplc="08090019">
      <w:start w:val="1"/>
      <w:numFmt w:val="lowerLetter"/>
      <w:lvlText w:val="%8."/>
      <w:lvlJc w:val="left"/>
      <w:pPr>
        <w:ind w:left="6300" w:hanging="360"/>
      </w:pPr>
      <w:rPr>
        <w:rFonts w:cs="Times New Roman"/>
      </w:rPr>
    </w:lvl>
    <w:lvl w:ilvl="8" w:tplc="0809001B">
      <w:start w:val="1"/>
      <w:numFmt w:val="lowerRoman"/>
      <w:lvlText w:val="%9."/>
      <w:lvlJc w:val="right"/>
      <w:pPr>
        <w:ind w:left="7020" w:hanging="180"/>
      </w:pPr>
      <w:rPr>
        <w:rFonts w:cs="Times New Roman"/>
      </w:rPr>
    </w:lvl>
  </w:abstractNum>
  <w:abstractNum w:abstractNumId="7" w15:restartNumberingAfterBreak="0">
    <w:nsid w:val="38F82FAE"/>
    <w:multiLevelType w:val="hybridMultilevel"/>
    <w:tmpl w:val="1D000F7E"/>
    <w:lvl w:ilvl="0" w:tplc="AF6C5DF0">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8" w15:restartNumberingAfterBreak="0">
    <w:nsid w:val="41FD3FB4"/>
    <w:multiLevelType w:val="hybridMultilevel"/>
    <w:tmpl w:val="73C257D0"/>
    <w:lvl w:ilvl="0" w:tplc="DB02797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4624251A"/>
    <w:multiLevelType w:val="hybridMultilevel"/>
    <w:tmpl w:val="AB068842"/>
    <w:lvl w:ilvl="0" w:tplc="AC6C39D2">
      <w:start w:val="3"/>
      <w:numFmt w:val="lowerLetter"/>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10" w15:restartNumberingAfterBreak="0">
    <w:nsid w:val="4F2B5A09"/>
    <w:multiLevelType w:val="hybridMultilevel"/>
    <w:tmpl w:val="E242A0A0"/>
    <w:lvl w:ilvl="0" w:tplc="DEFAB62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512A117B"/>
    <w:multiLevelType w:val="hybridMultilevel"/>
    <w:tmpl w:val="6070FD3A"/>
    <w:lvl w:ilvl="0" w:tplc="0E9CD92E">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2" w15:restartNumberingAfterBreak="0">
    <w:nsid w:val="53CD2314"/>
    <w:multiLevelType w:val="hybridMultilevel"/>
    <w:tmpl w:val="FB663550"/>
    <w:lvl w:ilvl="0" w:tplc="329280EA">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5AED1215"/>
    <w:multiLevelType w:val="hybridMultilevel"/>
    <w:tmpl w:val="E82436B2"/>
    <w:lvl w:ilvl="0" w:tplc="AED80B46">
      <w:start w:val="4"/>
      <w:numFmt w:val="decimal"/>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4" w15:restartNumberingAfterBreak="0">
    <w:nsid w:val="5C53311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15" w15:restartNumberingAfterBreak="0">
    <w:nsid w:val="5F5473F2"/>
    <w:multiLevelType w:val="hybridMultilevel"/>
    <w:tmpl w:val="39C232F8"/>
    <w:lvl w:ilvl="0" w:tplc="B59E1BFE">
      <w:start w:val="1"/>
      <w:numFmt w:val="bullet"/>
      <w:lvlText w:val="-"/>
      <w:lvlJc w:val="left"/>
      <w:pPr>
        <w:ind w:left="1080" w:hanging="360"/>
      </w:pPr>
      <w:rPr>
        <w:rFonts w:ascii="Times New Roman" w:eastAsia="Times New Roman" w:hAnsi="Times New Roman" w:hint="default"/>
        <w:color w:val="00000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67573F32"/>
    <w:multiLevelType w:val="hybridMultilevel"/>
    <w:tmpl w:val="C380B84C"/>
    <w:lvl w:ilvl="0" w:tplc="5AE812C8">
      <w:start w:val="1"/>
      <w:numFmt w:val="lowerLetter"/>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7" w15:restartNumberingAfterBreak="0">
    <w:nsid w:val="6894367B"/>
    <w:multiLevelType w:val="hybridMultilevel"/>
    <w:tmpl w:val="21C4A79A"/>
    <w:lvl w:ilvl="0" w:tplc="EB5829AC">
      <w:start w:val="3"/>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36654E2"/>
    <w:multiLevelType w:val="hybridMultilevel"/>
    <w:tmpl w:val="0E72959C"/>
    <w:lvl w:ilvl="0" w:tplc="BE44F066">
      <w:numFmt w:val="bullet"/>
      <w:lvlText w:val="-"/>
      <w:lvlJc w:val="left"/>
      <w:pPr>
        <w:ind w:left="1080" w:hanging="360"/>
      </w:pPr>
      <w:rPr>
        <w:rFonts w:ascii="Times New Roman" w:eastAsia="Times New Roman"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39036E5"/>
    <w:multiLevelType w:val="hybridMultilevel"/>
    <w:tmpl w:val="C64CED18"/>
    <w:lvl w:ilvl="0" w:tplc="3AC607A2">
      <w:start w:val="1"/>
      <w:numFmt w:val="decimal"/>
      <w:lvlText w:val="%1."/>
      <w:lvlJc w:val="left"/>
      <w:pPr>
        <w:ind w:left="1080" w:hanging="360"/>
      </w:pPr>
      <w:rPr>
        <w:rFonts w:cs="Times New Roman" w:hint="default"/>
        <w:b/>
        <w:bC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15:restartNumberingAfterBreak="0">
    <w:nsid w:val="743A17E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21" w15:restartNumberingAfterBreak="0">
    <w:nsid w:val="79CF4DCC"/>
    <w:multiLevelType w:val="hybridMultilevel"/>
    <w:tmpl w:val="56021A22"/>
    <w:lvl w:ilvl="0" w:tplc="883276EA">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2" w15:restartNumberingAfterBreak="0">
    <w:nsid w:val="7C5175F3"/>
    <w:multiLevelType w:val="hybridMultilevel"/>
    <w:tmpl w:val="7FE4C1E4"/>
    <w:lvl w:ilvl="0" w:tplc="E2E8A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19"/>
  </w:num>
  <w:num w:numId="3">
    <w:abstractNumId w:val="15"/>
  </w:num>
  <w:num w:numId="4">
    <w:abstractNumId w:val="3"/>
  </w:num>
  <w:num w:numId="5">
    <w:abstractNumId w:val="20"/>
  </w:num>
  <w:num w:numId="6">
    <w:abstractNumId w:val="14"/>
  </w:num>
  <w:num w:numId="7">
    <w:abstractNumId w:val="17"/>
  </w:num>
  <w:num w:numId="8">
    <w:abstractNumId w:val="7"/>
  </w:num>
  <w:num w:numId="9">
    <w:abstractNumId w:val="13"/>
  </w:num>
  <w:num w:numId="10">
    <w:abstractNumId w:val="16"/>
  </w:num>
  <w:num w:numId="11">
    <w:abstractNumId w:val="6"/>
  </w:num>
  <w:num w:numId="12">
    <w:abstractNumId w:val="18"/>
  </w:num>
  <w:num w:numId="13">
    <w:abstractNumId w:val="12"/>
  </w:num>
  <w:num w:numId="14">
    <w:abstractNumId w:val="0"/>
  </w:num>
  <w:num w:numId="15">
    <w:abstractNumId w:val="1"/>
  </w:num>
  <w:num w:numId="16">
    <w:abstractNumId w:val="4"/>
  </w:num>
  <w:num w:numId="17">
    <w:abstractNumId w:val="21"/>
  </w:num>
  <w:num w:numId="18">
    <w:abstractNumId w:val="22"/>
  </w:num>
  <w:num w:numId="19">
    <w:abstractNumId w:val="8"/>
  </w:num>
  <w:num w:numId="20">
    <w:abstractNumId w:val="10"/>
  </w:num>
  <w:num w:numId="21">
    <w:abstractNumId w:val="9"/>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defaultTabStop w:val="720"/>
  <w:doNotHyphenateCaps/>
  <w:drawingGridHorizontalSpacing w:val="110"/>
  <w:displayHorizontalDrawingGridEvery w:val="2"/>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84C"/>
    <w:rsid w:val="0000008B"/>
    <w:rsid w:val="00000FB2"/>
    <w:rsid w:val="00002626"/>
    <w:rsid w:val="0000274B"/>
    <w:rsid w:val="0000550B"/>
    <w:rsid w:val="00005AE0"/>
    <w:rsid w:val="00005E0C"/>
    <w:rsid w:val="0000637E"/>
    <w:rsid w:val="00007290"/>
    <w:rsid w:val="000072FC"/>
    <w:rsid w:val="00007591"/>
    <w:rsid w:val="000076AF"/>
    <w:rsid w:val="000079ED"/>
    <w:rsid w:val="000104CA"/>
    <w:rsid w:val="0001081E"/>
    <w:rsid w:val="00010F94"/>
    <w:rsid w:val="0001209D"/>
    <w:rsid w:val="00012302"/>
    <w:rsid w:val="00012D5D"/>
    <w:rsid w:val="00014131"/>
    <w:rsid w:val="0001431E"/>
    <w:rsid w:val="000150DF"/>
    <w:rsid w:val="000205E1"/>
    <w:rsid w:val="00020BA6"/>
    <w:rsid w:val="0002230C"/>
    <w:rsid w:val="00023730"/>
    <w:rsid w:val="0002377A"/>
    <w:rsid w:val="00024928"/>
    <w:rsid w:val="000313AD"/>
    <w:rsid w:val="00033536"/>
    <w:rsid w:val="00033ACE"/>
    <w:rsid w:val="00033F17"/>
    <w:rsid w:val="00034D85"/>
    <w:rsid w:val="00034F2D"/>
    <w:rsid w:val="000350ED"/>
    <w:rsid w:val="00035B10"/>
    <w:rsid w:val="00036172"/>
    <w:rsid w:val="000376EB"/>
    <w:rsid w:val="00037EBF"/>
    <w:rsid w:val="00040201"/>
    <w:rsid w:val="00040D5E"/>
    <w:rsid w:val="00044564"/>
    <w:rsid w:val="00050199"/>
    <w:rsid w:val="0005026A"/>
    <w:rsid w:val="00050A78"/>
    <w:rsid w:val="00051CE8"/>
    <w:rsid w:val="0005236F"/>
    <w:rsid w:val="00053265"/>
    <w:rsid w:val="00053528"/>
    <w:rsid w:val="000538B3"/>
    <w:rsid w:val="00054E88"/>
    <w:rsid w:val="0005564F"/>
    <w:rsid w:val="0005584C"/>
    <w:rsid w:val="000563F2"/>
    <w:rsid w:val="00056670"/>
    <w:rsid w:val="00056B62"/>
    <w:rsid w:val="00060D9D"/>
    <w:rsid w:val="00060E5E"/>
    <w:rsid w:val="000613AC"/>
    <w:rsid w:val="00061C5E"/>
    <w:rsid w:val="00061E98"/>
    <w:rsid w:val="000632D1"/>
    <w:rsid w:val="00063FD9"/>
    <w:rsid w:val="00066342"/>
    <w:rsid w:val="000678B2"/>
    <w:rsid w:val="00067E46"/>
    <w:rsid w:val="00070093"/>
    <w:rsid w:val="00070AB9"/>
    <w:rsid w:val="00071ED2"/>
    <w:rsid w:val="0007337D"/>
    <w:rsid w:val="00073A43"/>
    <w:rsid w:val="00074BD1"/>
    <w:rsid w:val="00074F91"/>
    <w:rsid w:val="00075C8F"/>
    <w:rsid w:val="00075D36"/>
    <w:rsid w:val="00076A0D"/>
    <w:rsid w:val="00077440"/>
    <w:rsid w:val="00077FBC"/>
    <w:rsid w:val="0008122E"/>
    <w:rsid w:val="000829FF"/>
    <w:rsid w:val="000832C3"/>
    <w:rsid w:val="000842F6"/>
    <w:rsid w:val="00084521"/>
    <w:rsid w:val="00090301"/>
    <w:rsid w:val="00091B4A"/>
    <w:rsid w:val="00091DFB"/>
    <w:rsid w:val="0009272E"/>
    <w:rsid w:val="00092D7F"/>
    <w:rsid w:val="00093258"/>
    <w:rsid w:val="00093B2F"/>
    <w:rsid w:val="00095D3B"/>
    <w:rsid w:val="0009696D"/>
    <w:rsid w:val="000976AE"/>
    <w:rsid w:val="00097926"/>
    <w:rsid w:val="000A089F"/>
    <w:rsid w:val="000A0C71"/>
    <w:rsid w:val="000A1588"/>
    <w:rsid w:val="000A19BF"/>
    <w:rsid w:val="000A1DE1"/>
    <w:rsid w:val="000A2028"/>
    <w:rsid w:val="000A2C73"/>
    <w:rsid w:val="000A4BFE"/>
    <w:rsid w:val="000A50F3"/>
    <w:rsid w:val="000A59CE"/>
    <w:rsid w:val="000A5FFB"/>
    <w:rsid w:val="000A7907"/>
    <w:rsid w:val="000A79C2"/>
    <w:rsid w:val="000B173B"/>
    <w:rsid w:val="000B2A22"/>
    <w:rsid w:val="000B33F6"/>
    <w:rsid w:val="000B6457"/>
    <w:rsid w:val="000B7B53"/>
    <w:rsid w:val="000C016B"/>
    <w:rsid w:val="000C19C2"/>
    <w:rsid w:val="000C1AFC"/>
    <w:rsid w:val="000C3A72"/>
    <w:rsid w:val="000C41F7"/>
    <w:rsid w:val="000C4E1B"/>
    <w:rsid w:val="000C5E1D"/>
    <w:rsid w:val="000D2ED4"/>
    <w:rsid w:val="000D3A28"/>
    <w:rsid w:val="000D48EC"/>
    <w:rsid w:val="000D592B"/>
    <w:rsid w:val="000D7358"/>
    <w:rsid w:val="000D74CC"/>
    <w:rsid w:val="000E1208"/>
    <w:rsid w:val="000E1825"/>
    <w:rsid w:val="000E23CE"/>
    <w:rsid w:val="000E2CF1"/>
    <w:rsid w:val="000E3272"/>
    <w:rsid w:val="000E35F7"/>
    <w:rsid w:val="000E382A"/>
    <w:rsid w:val="000E509D"/>
    <w:rsid w:val="000E6764"/>
    <w:rsid w:val="000E6F85"/>
    <w:rsid w:val="000E703D"/>
    <w:rsid w:val="000E74CF"/>
    <w:rsid w:val="000E760C"/>
    <w:rsid w:val="000F0798"/>
    <w:rsid w:val="000F090D"/>
    <w:rsid w:val="000F0A1C"/>
    <w:rsid w:val="000F0A38"/>
    <w:rsid w:val="000F1187"/>
    <w:rsid w:val="000F2094"/>
    <w:rsid w:val="000F27A0"/>
    <w:rsid w:val="000F2892"/>
    <w:rsid w:val="000F29A3"/>
    <w:rsid w:val="000F29C4"/>
    <w:rsid w:val="000F2D3B"/>
    <w:rsid w:val="000F3A9C"/>
    <w:rsid w:val="000F46C4"/>
    <w:rsid w:val="000F46EF"/>
    <w:rsid w:val="000F5205"/>
    <w:rsid w:val="000F655B"/>
    <w:rsid w:val="000F6D48"/>
    <w:rsid w:val="000F6FF6"/>
    <w:rsid w:val="000F737C"/>
    <w:rsid w:val="000F775A"/>
    <w:rsid w:val="0010001A"/>
    <w:rsid w:val="00101D1B"/>
    <w:rsid w:val="001023CE"/>
    <w:rsid w:val="001032C3"/>
    <w:rsid w:val="001039EE"/>
    <w:rsid w:val="00103C01"/>
    <w:rsid w:val="00103CD9"/>
    <w:rsid w:val="00104246"/>
    <w:rsid w:val="001057E3"/>
    <w:rsid w:val="00106B2D"/>
    <w:rsid w:val="00107863"/>
    <w:rsid w:val="00107FB1"/>
    <w:rsid w:val="001105C0"/>
    <w:rsid w:val="00110D27"/>
    <w:rsid w:val="001113E2"/>
    <w:rsid w:val="0011141A"/>
    <w:rsid w:val="00111BD7"/>
    <w:rsid w:val="00113FA6"/>
    <w:rsid w:val="00116254"/>
    <w:rsid w:val="001164E7"/>
    <w:rsid w:val="001164E8"/>
    <w:rsid w:val="001168A8"/>
    <w:rsid w:val="00116ABF"/>
    <w:rsid w:val="00116D01"/>
    <w:rsid w:val="001201D7"/>
    <w:rsid w:val="0012075E"/>
    <w:rsid w:val="00120BA6"/>
    <w:rsid w:val="00120BB0"/>
    <w:rsid w:val="00121AB4"/>
    <w:rsid w:val="00124FC1"/>
    <w:rsid w:val="001255E1"/>
    <w:rsid w:val="00127194"/>
    <w:rsid w:val="0013094D"/>
    <w:rsid w:val="00131D2B"/>
    <w:rsid w:val="001343D3"/>
    <w:rsid w:val="00134B4A"/>
    <w:rsid w:val="001378E0"/>
    <w:rsid w:val="00137C9A"/>
    <w:rsid w:val="0014036D"/>
    <w:rsid w:val="00140B38"/>
    <w:rsid w:val="00140E07"/>
    <w:rsid w:val="00140F6C"/>
    <w:rsid w:val="001412EC"/>
    <w:rsid w:val="00141B87"/>
    <w:rsid w:val="001425FD"/>
    <w:rsid w:val="00142BE0"/>
    <w:rsid w:val="00142DA8"/>
    <w:rsid w:val="00142F62"/>
    <w:rsid w:val="001430E1"/>
    <w:rsid w:val="0014459C"/>
    <w:rsid w:val="00144A29"/>
    <w:rsid w:val="00145054"/>
    <w:rsid w:val="00150B92"/>
    <w:rsid w:val="001518AA"/>
    <w:rsid w:val="00151E23"/>
    <w:rsid w:val="00152F6B"/>
    <w:rsid w:val="001538FC"/>
    <w:rsid w:val="00154D42"/>
    <w:rsid w:val="00155C21"/>
    <w:rsid w:val="001602EC"/>
    <w:rsid w:val="00160712"/>
    <w:rsid w:val="001608BD"/>
    <w:rsid w:val="001614AF"/>
    <w:rsid w:val="001615F9"/>
    <w:rsid w:val="00162B6E"/>
    <w:rsid w:val="00164EC6"/>
    <w:rsid w:val="0016501B"/>
    <w:rsid w:val="001651D1"/>
    <w:rsid w:val="00166DDB"/>
    <w:rsid w:val="00170081"/>
    <w:rsid w:val="00170BCE"/>
    <w:rsid w:val="00172979"/>
    <w:rsid w:val="00174075"/>
    <w:rsid w:val="001745F2"/>
    <w:rsid w:val="00174BC9"/>
    <w:rsid w:val="001772E0"/>
    <w:rsid w:val="001779CC"/>
    <w:rsid w:val="00180553"/>
    <w:rsid w:val="00183934"/>
    <w:rsid w:val="00183A90"/>
    <w:rsid w:val="00183C10"/>
    <w:rsid w:val="00185E3C"/>
    <w:rsid w:val="00185EB2"/>
    <w:rsid w:val="0018650F"/>
    <w:rsid w:val="00186DFF"/>
    <w:rsid w:val="00191876"/>
    <w:rsid w:val="00191953"/>
    <w:rsid w:val="001919F1"/>
    <w:rsid w:val="00191D87"/>
    <w:rsid w:val="00193457"/>
    <w:rsid w:val="0019386E"/>
    <w:rsid w:val="00193CE8"/>
    <w:rsid w:val="001950AD"/>
    <w:rsid w:val="001968F8"/>
    <w:rsid w:val="001A0220"/>
    <w:rsid w:val="001A0A8F"/>
    <w:rsid w:val="001A1F70"/>
    <w:rsid w:val="001A26D2"/>
    <w:rsid w:val="001A2C20"/>
    <w:rsid w:val="001A3D02"/>
    <w:rsid w:val="001A51B7"/>
    <w:rsid w:val="001A53A1"/>
    <w:rsid w:val="001A68A9"/>
    <w:rsid w:val="001A719F"/>
    <w:rsid w:val="001B02AB"/>
    <w:rsid w:val="001B09F2"/>
    <w:rsid w:val="001B6FE4"/>
    <w:rsid w:val="001C06C8"/>
    <w:rsid w:val="001C09CE"/>
    <w:rsid w:val="001C0C42"/>
    <w:rsid w:val="001C1087"/>
    <w:rsid w:val="001C216B"/>
    <w:rsid w:val="001C243B"/>
    <w:rsid w:val="001C2B9A"/>
    <w:rsid w:val="001C2BB2"/>
    <w:rsid w:val="001C3C0F"/>
    <w:rsid w:val="001C5B2B"/>
    <w:rsid w:val="001C6A86"/>
    <w:rsid w:val="001C6EC2"/>
    <w:rsid w:val="001D14BE"/>
    <w:rsid w:val="001D1B1E"/>
    <w:rsid w:val="001D2307"/>
    <w:rsid w:val="001D2840"/>
    <w:rsid w:val="001D2B7E"/>
    <w:rsid w:val="001D33B3"/>
    <w:rsid w:val="001D45A7"/>
    <w:rsid w:val="001D6F9B"/>
    <w:rsid w:val="001E1534"/>
    <w:rsid w:val="001E191A"/>
    <w:rsid w:val="001E1C5F"/>
    <w:rsid w:val="001E22AF"/>
    <w:rsid w:val="001E314D"/>
    <w:rsid w:val="001E3339"/>
    <w:rsid w:val="001E3FF7"/>
    <w:rsid w:val="001E4D83"/>
    <w:rsid w:val="001E5422"/>
    <w:rsid w:val="001E544B"/>
    <w:rsid w:val="001E55EC"/>
    <w:rsid w:val="001E68FB"/>
    <w:rsid w:val="001F032E"/>
    <w:rsid w:val="001F1910"/>
    <w:rsid w:val="001F4B3F"/>
    <w:rsid w:val="001F528D"/>
    <w:rsid w:val="001F74FF"/>
    <w:rsid w:val="001F7F04"/>
    <w:rsid w:val="002028A1"/>
    <w:rsid w:val="002028AC"/>
    <w:rsid w:val="00202DC8"/>
    <w:rsid w:val="002030A7"/>
    <w:rsid w:val="002032BA"/>
    <w:rsid w:val="0020358C"/>
    <w:rsid w:val="00203D6D"/>
    <w:rsid w:val="00204518"/>
    <w:rsid w:val="002050D7"/>
    <w:rsid w:val="0020531B"/>
    <w:rsid w:val="00205EBD"/>
    <w:rsid w:val="002062C3"/>
    <w:rsid w:val="0020670B"/>
    <w:rsid w:val="002069AC"/>
    <w:rsid w:val="00207A9A"/>
    <w:rsid w:val="002108BC"/>
    <w:rsid w:val="0021194F"/>
    <w:rsid w:val="00211AE6"/>
    <w:rsid w:val="002124FC"/>
    <w:rsid w:val="00212A13"/>
    <w:rsid w:val="002179B9"/>
    <w:rsid w:val="0022074F"/>
    <w:rsid w:val="0022078F"/>
    <w:rsid w:val="00220919"/>
    <w:rsid w:val="00220C11"/>
    <w:rsid w:val="00220ED7"/>
    <w:rsid w:val="00223B69"/>
    <w:rsid w:val="00224D01"/>
    <w:rsid w:val="002252DC"/>
    <w:rsid w:val="0022589D"/>
    <w:rsid w:val="002267D6"/>
    <w:rsid w:val="00226E92"/>
    <w:rsid w:val="0022774A"/>
    <w:rsid w:val="00227769"/>
    <w:rsid w:val="00232376"/>
    <w:rsid w:val="00232B1F"/>
    <w:rsid w:val="00233DC8"/>
    <w:rsid w:val="00233DED"/>
    <w:rsid w:val="002344E5"/>
    <w:rsid w:val="00234CEB"/>
    <w:rsid w:val="00234E46"/>
    <w:rsid w:val="00235CFB"/>
    <w:rsid w:val="00236D06"/>
    <w:rsid w:val="00237683"/>
    <w:rsid w:val="002378B0"/>
    <w:rsid w:val="002402AA"/>
    <w:rsid w:val="002406A9"/>
    <w:rsid w:val="00240FD6"/>
    <w:rsid w:val="00241A89"/>
    <w:rsid w:val="00241CFF"/>
    <w:rsid w:val="002422ED"/>
    <w:rsid w:val="002430E6"/>
    <w:rsid w:val="00243A47"/>
    <w:rsid w:val="002456CF"/>
    <w:rsid w:val="00246669"/>
    <w:rsid w:val="00246AD1"/>
    <w:rsid w:val="00246D94"/>
    <w:rsid w:val="00247504"/>
    <w:rsid w:val="00247F17"/>
    <w:rsid w:val="00250AD3"/>
    <w:rsid w:val="00252D93"/>
    <w:rsid w:val="00253A8E"/>
    <w:rsid w:val="0025403A"/>
    <w:rsid w:val="00254FD8"/>
    <w:rsid w:val="00255187"/>
    <w:rsid w:val="0025628E"/>
    <w:rsid w:val="0025668B"/>
    <w:rsid w:val="00256D83"/>
    <w:rsid w:val="00257358"/>
    <w:rsid w:val="002577CA"/>
    <w:rsid w:val="002603EC"/>
    <w:rsid w:val="0026137E"/>
    <w:rsid w:val="00263303"/>
    <w:rsid w:val="002633DB"/>
    <w:rsid w:val="00263487"/>
    <w:rsid w:val="00267A45"/>
    <w:rsid w:val="00271AF4"/>
    <w:rsid w:val="002736DB"/>
    <w:rsid w:val="00273771"/>
    <w:rsid w:val="002747EE"/>
    <w:rsid w:val="00275D7D"/>
    <w:rsid w:val="00275DED"/>
    <w:rsid w:val="00277A16"/>
    <w:rsid w:val="00277DAB"/>
    <w:rsid w:val="00280BBD"/>
    <w:rsid w:val="002813C4"/>
    <w:rsid w:val="00282017"/>
    <w:rsid w:val="002845EE"/>
    <w:rsid w:val="002850E5"/>
    <w:rsid w:val="002852AA"/>
    <w:rsid w:val="0028604A"/>
    <w:rsid w:val="00286420"/>
    <w:rsid w:val="002868CD"/>
    <w:rsid w:val="00286F0D"/>
    <w:rsid w:val="002877C3"/>
    <w:rsid w:val="00291188"/>
    <w:rsid w:val="00292003"/>
    <w:rsid w:val="00293AA2"/>
    <w:rsid w:val="00294C32"/>
    <w:rsid w:val="00294E99"/>
    <w:rsid w:val="00296388"/>
    <w:rsid w:val="00296EF7"/>
    <w:rsid w:val="0029761B"/>
    <w:rsid w:val="00297837"/>
    <w:rsid w:val="00297912"/>
    <w:rsid w:val="002A0CED"/>
    <w:rsid w:val="002A19A5"/>
    <w:rsid w:val="002A1B42"/>
    <w:rsid w:val="002A2332"/>
    <w:rsid w:val="002A2A91"/>
    <w:rsid w:val="002A2CE9"/>
    <w:rsid w:val="002A3EEB"/>
    <w:rsid w:val="002A41DD"/>
    <w:rsid w:val="002A4466"/>
    <w:rsid w:val="002A4B27"/>
    <w:rsid w:val="002A5175"/>
    <w:rsid w:val="002A5706"/>
    <w:rsid w:val="002A5855"/>
    <w:rsid w:val="002A5A90"/>
    <w:rsid w:val="002A60AC"/>
    <w:rsid w:val="002A6EE4"/>
    <w:rsid w:val="002A77AF"/>
    <w:rsid w:val="002B0DB7"/>
    <w:rsid w:val="002B19CA"/>
    <w:rsid w:val="002B1FED"/>
    <w:rsid w:val="002B21D7"/>
    <w:rsid w:val="002B2B7C"/>
    <w:rsid w:val="002B3609"/>
    <w:rsid w:val="002B4673"/>
    <w:rsid w:val="002B46B3"/>
    <w:rsid w:val="002B4DDB"/>
    <w:rsid w:val="002B4F83"/>
    <w:rsid w:val="002B50D6"/>
    <w:rsid w:val="002B5AFB"/>
    <w:rsid w:val="002B7477"/>
    <w:rsid w:val="002C2E4C"/>
    <w:rsid w:val="002C30BD"/>
    <w:rsid w:val="002C3155"/>
    <w:rsid w:val="002C3DF8"/>
    <w:rsid w:val="002C419A"/>
    <w:rsid w:val="002C42AE"/>
    <w:rsid w:val="002C4CA1"/>
    <w:rsid w:val="002C501E"/>
    <w:rsid w:val="002C5898"/>
    <w:rsid w:val="002C666B"/>
    <w:rsid w:val="002C6688"/>
    <w:rsid w:val="002D08B5"/>
    <w:rsid w:val="002D0A16"/>
    <w:rsid w:val="002D0E70"/>
    <w:rsid w:val="002D1F22"/>
    <w:rsid w:val="002D37A8"/>
    <w:rsid w:val="002D504D"/>
    <w:rsid w:val="002D5153"/>
    <w:rsid w:val="002D533D"/>
    <w:rsid w:val="002D5745"/>
    <w:rsid w:val="002E129A"/>
    <w:rsid w:val="002E20C9"/>
    <w:rsid w:val="002E2175"/>
    <w:rsid w:val="002E2F81"/>
    <w:rsid w:val="002E45A4"/>
    <w:rsid w:val="002E48A6"/>
    <w:rsid w:val="002E5381"/>
    <w:rsid w:val="002E5B74"/>
    <w:rsid w:val="002E5C45"/>
    <w:rsid w:val="002E6195"/>
    <w:rsid w:val="002E69A9"/>
    <w:rsid w:val="002E6D32"/>
    <w:rsid w:val="002E718B"/>
    <w:rsid w:val="002E752D"/>
    <w:rsid w:val="002E7799"/>
    <w:rsid w:val="002F0938"/>
    <w:rsid w:val="002F1496"/>
    <w:rsid w:val="002F1C71"/>
    <w:rsid w:val="002F1DF2"/>
    <w:rsid w:val="002F2049"/>
    <w:rsid w:val="002F20B9"/>
    <w:rsid w:val="002F2E88"/>
    <w:rsid w:val="002F3218"/>
    <w:rsid w:val="002F4133"/>
    <w:rsid w:val="002F71EF"/>
    <w:rsid w:val="00300297"/>
    <w:rsid w:val="00300469"/>
    <w:rsid w:val="00301147"/>
    <w:rsid w:val="00301177"/>
    <w:rsid w:val="00302530"/>
    <w:rsid w:val="00303782"/>
    <w:rsid w:val="00303F1B"/>
    <w:rsid w:val="0030543B"/>
    <w:rsid w:val="003114DC"/>
    <w:rsid w:val="003124EC"/>
    <w:rsid w:val="00312DAD"/>
    <w:rsid w:val="00312FC1"/>
    <w:rsid w:val="0031346C"/>
    <w:rsid w:val="00313CF7"/>
    <w:rsid w:val="00313FA0"/>
    <w:rsid w:val="003159B7"/>
    <w:rsid w:val="00315C2D"/>
    <w:rsid w:val="00316637"/>
    <w:rsid w:val="00317105"/>
    <w:rsid w:val="00320F0F"/>
    <w:rsid w:val="00321481"/>
    <w:rsid w:val="00321EDE"/>
    <w:rsid w:val="00322D42"/>
    <w:rsid w:val="003239D7"/>
    <w:rsid w:val="00325643"/>
    <w:rsid w:val="003271B9"/>
    <w:rsid w:val="003273C3"/>
    <w:rsid w:val="00327535"/>
    <w:rsid w:val="00327C75"/>
    <w:rsid w:val="0033007C"/>
    <w:rsid w:val="00330373"/>
    <w:rsid w:val="00330A5F"/>
    <w:rsid w:val="00330EC3"/>
    <w:rsid w:val="0033103D"/>
    <w:rsid w:val="003310DD"/>
    <w:rsid w:val="00331DEC"/>
    <w:rsid w:val="00331F74"/>
    <w:rsid w:val="00332170"/>
    <w:rsid w:val="00332523"/>
    <w:rsid w:val="00332B08"/>
    <w:rsid w:val="00333188"/>
    <w:rsid w:val="0033360E"/>
    <w:rsid w:val="003343AA"/>
    <w:rsid w:val="003349C9"/>
    <w:rsid w:val="00334CD3"/>
    <w:rsid w:val="003354DC"/>
    <w:rsid w:val="0033565D"/>
    <w:rsid w:val="00335D7A"/>
    <w:rsid w:val="003360E9"/>
    <w:rsid w:val="003372AE"/>
    <w:rsid w:val="003377B4"/>
    <w:rsid w:val="00340450"/>
    <w:rsid w:val="00344836"/>
    <w:rsid w:val="003448D5"/>
    <w:rsid w:val="00345CCB"/>
    <w:rsid w:val="00345F52"/>
    <w:rsid w:val="00347624"/>
    <w:rsid w:val="00351BC5"/>
    <w:rsid w:val="00352E2F"/>
    <w:rsid w:val="00353124"/>
    <w:rsid w:val="003552B0"/>
    <w:rsid w:val="00356693"/>
    <w:rsid w:val="00357ACC"/>
    <w:rsid w:val="00357E6A"/>
    <w:rsid w:val="003606D9"/>
    <w:rsid w:val="00361F1B"/>
    <w:rsid w:val="00362AD6"/>
    <w:rsid w:val="00363077"/>
    <w:rsid w:val="00363201"/>
    <w:rsid w:val="0036386F"/>
    <w:rsid w:val="00364B0C"/>
    <w:rsid w:val="00366D46"/>
    <w:rsid w:val="003673E4"/>
    <w:rsid w:val="00367790"/>
    <w:rsid w:val="00370026"/>
    <w:rsid w:val="00370621"/>
    <w:rsid w:val="00370980"/>
    <w:rsid w:val="00372565"/>
    <w:rsid w:val="00373FBD"/>
    <w:rsid w:val="00374730"/>
    <w:rsid w:val="00375B27"/>
    <w:rsid w:val="003760C3"/>
    <w:rsid w:val="0037744A"/>
    <w:rsid w:val="003807CF"/>
    <w:rsid w:val="00381713"/>
    <w:rsid w:val="00381CA2"/>
    <w:rsid w:val="00381D0F"/>
    <w:rsid w:val="0038256B"/>
    <w:rsid w:val="003825CE"/>
    <w:rsid w:val="00383816"/>
    <w:rsid w:val="00383ACA"/>
    <w:rsid w:val="00383EE5"/>
    <w:rsid w:val="003865C6"/>
    <w:rsid w:val="00386BB1"/>
    <w:rsid w:val="00391BA8"/>
    <w:rsid w:val="00391BF6"/>
    <w:rsid w:val="00391E3A"/>
    <w:rsid w:val="003923E9"/>
    <w:rsid w:val="0039281C"/>
    <w:rsid w:val="003936D4"/>
    <w:rsid w:val="00393E5A"/>
    <w:rsid w:val="0039728A"/>
    <w:rsid w:val="0039793D"/>
    <w:rsid w:val="00397A54"/>
    <w:rsid w:val="00397AAE"/>
    <w:rsid w:val="003A062B"/>
    <w:rsid w:val="003A184C"/>
    <w:rsid w:val="003A271D"/>
    <w:rsid w:val="003A297B"/>
    <w:rsid w:val="003A41CB"/>
    <w:rsid w:val="003A457F"/>
    <w:rsid w:val="003A6675"/>
    <w:rsid w:val="003A6A9B"/>
    <w:rsid w:val="003A6B62"/>
    <w:rsid w:val="003A6F56"/>
    <w:rsid w:val="003A7335"/>
    <w:rsid w:val="003A7FB7"/>
    <w:rsid w:val="003B16F3"/>
    <w:rsid w:val="003B1A1A"/>
    <w:rsid w:val="003B5858"/>
    <w:rsid w:val="003B5B87"/>
    <w:rsid w:val="003B60B9"/>
    <w:rsid w:val="003B6968"/>
    <w:rsid w:val="003B73B8"/>
    <w:rsid w:val="003C028C"/>
    <w:rsid w:val="003C1136"/>
    <w:rsid w:val="003C11AE"/>
    <w:rsid w:val="003C1325"/>
    <w:rsid w:val="003C22F6"/>
    <w:rsid w:val="003C2C12"/>
    <w:rsid w:val="003C2ECF"/>
    <w:rsid w:val="003C392E"/>
    <w:rsid w:val="003C4279"/>
    <w:rsid w:val="003C5407"/>
    <w:rsid w:val="003C5909"/>
    <w:rsid w:val="003C6199"/>
    <w:rsid w:val="003C6F35"/>
    <w:rsid w:val="003D050E"/>
    <w:rsid w:val="003D10D0"/>
    <w:rsid w:val="003D1C02"/>
    <w:rsid w:val="003D21A2"/>
    <w:rsid w:val="003D2349"/>
    <w:rsid w:val="003D2E54"/>
    <w:rsid w:val="003D381C"/>
    <w:rsid w:val="003D49B5"/>
    <w:rsid w:val="003D50BB"/>
    <w:rsid w:val="003D7A6E"/>
    <w:rsid w:val="003D7E35"/>
    <w:rsid w:val="003E09AF"/>
    <w:rsid w:val="003E11CA"/>
    <w:rsid w:val="003E1D22"/>
    <w:rsid w:val="003E4D52"/>
    <w:rsid w:val="003E4D75"/>
    <w:rsid w:val="003E4FEA"/>
    <w:rsid w:val="003E58C5"/>
    <w:rsid w:val="003E5CE7"/>
    <w:rsid w:val="003E68AB"/>
    <w:rsid w:val="003E6AB1"/>
    <w:rsid w:val="003E6B3E"/>
    <w:rsid w:val="003F08E5"/>
    <w:rsid w:val="003F2301"/>
    <w:rsid w:val="003F4F87"/>
    <w:rsid w:val="003F53F9"/>
    <w:rsid w:val="003F63C2"/>
    <w:rsid w:val="004001B0"/>
    <w:rsid w:val="00400F16"/>
    <w:rsid w:val="00401492"/>
    <w:rsid w:val="0040229B"/>
    <w:rsid w:val="0040242E"/>
    <w:rsid w:val="00402EDE"/>
    <w:rsid w:val="00403267"/>
    <w:rsid w:val="00406BFC"/>
    <w:rsid w:val="00406E64"/>
    <w:rsid w:val="00406F4B"/>
    <w:rsid w:val="00410381"/>
    <w:rsid w:val="004115BC"/>
    <w:rsid w:val="00411690"/>
    <w:rsid w:val="004122C7"/>
    <w:rsid w:val="00412A8F"/>
    <w:rsid w:val="0041654A"/>
    <w:rsid w:val="00417B11"/>
    <w:rsid w:val="00417D8F"/>
    <w:rsid w:val="00420112"/>
    <w:rsid w:val="004225BE"/>
    <w:rsid w:val="00422C9A"/>
    <w:rsid w:val="0042459C"/>
    <w:rsid w:val="00424A87"/>
    <w:rsid w:val="00426213"/>
    <w:rsid w:val="004263DF"/>
    <w:rsid w:val="004269C9"/>
    <w:rsid w:val="00426B31"/>
    <w:rsid w:val="0042766E"/>
    <w:rsid w:val="00427702"/>
    <w:rsid w:val="004301BB"/>
    <w:rsid w:val="0043069F"/>
    <w:rsid w:val="00432CB4"/>
    <w:rsid w:val="0043458B"/>
    <w:rsid w:val="0043609A"/>
    <w:rsid w:val="004371D1"/>
    <w:rsid w:val="0043770D"/>
    <w:rsid w:val="004379DE"/>
    <w:rsid w:val="00437DEC"/>
    <w:rsid w:val="00437E71"/>
    <w:rsid w:val="004418BA"/>
    <w:rsid w:val="00441AF5"/>
    <w:rsid w:val="0044232C"/>
    <w:rsid w:val="00442702"/>
    <w:rsid w:val="00442FDE"/>
    <w:rsid w:val="004436C8"/>
    <w:rsid w:val="00445864"/>
    <w:rsid w:val="00450A4A"/>
    <w:rsid w:val="00450E36"/>
    <w:rsid w:val="0045140F"/>
    <w:rsid w:val="004540DB"/>
    <w:rsid w:val="00454832"/>
    <w:rsid w:val="00455893"/>
    <w:rsid w:val="00455A8D"/>
    <w:rsid w:val="00455FF4"/>
    <w:rsid w:val="00456DAE"/>
    <w:rsid w:val="00457056"/>
    <w:rsid w:val="0045761B"/>
    <w:rsid w:val="004613E2"/>
    <w:rsid w:val="0046349F"/>
    <w:rsid w:val="00463982"/>
    <w:rsid w:val="00464828"/>
    <w:rsid w:val="00464862"/>
    <w:rsid w:val="00464F98"/>
    <w:rsid w:val="0046587D"/>
    <w:rsid w:val="00465CF4"/>
    <w:rsid w:val="00466ACA"/>
    <w:rsid w:val="00467751"/>
    <w:rsid w:val="00470E6F"/>
    <w:rsid w:val="00471061"/>
    <w:rsid w:val="004712E0"/>
    <w:rsid w:val="00471C76"/>
    <w:rsid w:val="00473292"/>
    <w:rsid w:val="00474CFF"/>
    <w:rsid w:val="004753A2"/>
    <w:rsid w:val="00475D94"/>
    <w:rsid w:val="00476FB5"/>
    <w:rsid w:val="00477311"/>
    <w:rsid w:val="00481C3F"/>
    <w:rsid w:val="00482205"/>
    <w:rsid w:val="00482599"/>
    <w:rsid w:val="00482E4D"/>
    <w:rsid w:val="0048323B"/>
    <w:rsid w:val="004844D2"/>
    <w:rsid w:val="004846C1"/>
    <w:rsid w:val="00485466"/>
    <w:rsid w:val="00485752"/>
    <w:rsid w:val="0048670C"/>
    <w:rsid w:val="00487E5B"/>
    <w:rsid w:val="00490568"/>
    <w:rsid w:val="00490C73"/>
    <w:rsid w:val="004924E8"/>
    <w:rsid w:val="00495EAD"/>
    <w:rsid w:val="00496453"/>
    <w:rsid w:val="00496795"/>
    <w:rsid w:val="00496E85"/>
    <w:rsid w:val="0049734B"/>
    <w:rsid w:val="00497C67"/>
    <w:rsid w:val="004A3B5D"/>
    <w:rsid w:val="004A3D11"/>
    <w:rsid w:val="004A5473"/>
    <w:rsid w:val="004A58D7"/>
    <w:rsid w:val="004A6EDF"/>
    <w:rsid w:val="004A777D"/>
    <w:rsid w:val="004A7D52"/>
    <w:rsid w:val="004B0853"/>
    <w:rsid w:val="004B0F0D"/>
    <w:rsid w:val="004B1EAF"/>
    <w:rsid w:val="004B21AF"/>
    <w:rsid w:val="004B2B0F"/>
    <w:rsid w:val="004B3490"/>
    <w:rsid w:val="004B3A84"/>
    <w:rsid w:val="004B495B"/>
    <w:rsid w:val="004B4E41"/>
    <w:rsid w:val="004B5D43"/>
    <w:rsid w:val="004B662A"/>
    <w:rsid w:val="004B7345"/>
    <w:rsid w:val="004B75ED"/>
    <w:rsid w:val="004B7FE3"/>
    <w:rsid w:val="004C0B3B"/>
    <w:rsid w:val="004C1076"/>
    <w:rsid w:val="004C1199"/>
    <w:rsid w:val="004C2BA1"/>
    <w:rsid w:val="004C2C36"/>
    <w:rsid w:val="004C2CFF"/>
    <w:rsid w:val="004C3C4B"/>
    <w:rsid w:val="004C44E0"/>
    <w:rsid w:val="004C4CA7"/>
    <w:rsid w:val="004C50A2"/>
    <w:rsid w:val="004C5684"/>
    <w:rsid w:val="004C6372"/>
    <w:rsid w:val="004C678F"/>
    <w:rsid w:val="004C7697"/>
    <w:rsid w:val="004D10AF"/>
    <w:rsid w:val="004D1EA5"/>
    <w:rsid w:val="004D28C5"/>
    <w:rsid w:val="004D2FBF"/>
    <w:rsid w:val="004D3346"/>
    <w:rsid w:val="004D40C4"/>
    <w:rsid w:val="004D5300"/>
    <w:rsid w:val="004D71A3"/>
    <w:rsid w:val="004D7252"/>
    <w:rsid w:val="004D7BFE"/>
    <w:rsid w:val="004E0412"/>
    <w:rsid w:val="004E1ABA"/>
    <w:rsid w:val="004E2405"/>
    <w:rsid w:val="004E2963"/>
    <w:rsid w:val="004E30C7"/>
    <w:rsid w:val="004E3221"/>
    <w:rsid w:val="004E3A9B"/>
    <w:rsid w:val="004E3E8C"/>
    <w:rsid w:val="004E4BDB"/>
    <w:rsid w:val="004E4F2D"/>
    <w:rsid w:val="004E574D"/>
    <w:rsid w:val="004E59DA"/>
    <w:rsid w:val="004E61AB"/>
    <w:rsid w:val="004E6905"/>
    <w:rsid w:val="004E75C9"/>
    <w:rsid w:val="004E79D8"/>
    <w:rsid w:val="004F0CC7"/>
    <w:rsid w:val="004F243E"/>
    <w:rsid w:val="004F2CEA"/>
    <w:rsid w:val="004F46B1"/>
    <w:rsid w:val="004F50E6"/>
    <w:rsid w:val="004F5E09"/>
    <w:rsid w:val="004F7350"/>
    <w:rsid w:val="004F7B40"/>
    <w:rsid w:val="0050019F"/>
    <w:rsid w:val="0050194C"/>
    <w:rsid w:val="00501DB8"/>
    <w:rsid w:val="0050248A"/>
    <w:rsid w:val="00502EBF"/>
    <w:rsid w:val="005040FE"/>
    <w:rsid w:val="00506153"/>
    <w:rsid w:val="0050633F"/>
    <w:rsid w:val="00506367"/>
    <w:rsid w:val="0050760A"/>
    <w:rsid w:val="005079A4"/>
    <w:rsid w:val="00510430"/>
    <w:rsid w:val="00510851"/>
    <w:rsid w:val="00511CD2"/>
    <w:rsid w:val="005125D4"/>
    <w:rsid w:val="00514379"/>
    <w:rsid w:val="005172EF"/>
    <w:rsid w:val="005174A2"/>
    <w:rsid w:val="00517DEA"/>
    <w:rsid w:val="005200E1"/>
    <w:rsid w:val="005204DB"/>
    <w:rsid w:val="00520665"/>
    <w:rsid w:val="00521404"/>
    <w:rsid w:val="00521621"/>
    <w:rsid w:val="0052283A"/>
    <w:rsid w:val="00523BFC"/>
    <w:rsid w:val="00524384"/>
    <w:rsid w:val="00525285"/>
    <w:rsid w:val="005257A4"/>
    <w:rsid w:val="005258EE"/>
    <w:rsid w:val="00527154"/>
    <w:rsid w:val="005271A6"/>
    <w:rsid w:val="00527635"/>
    <w:rsid w:val="00527DF5"/>
    <w:rsid w:val="00527F6A"/>
    <w:rsid w:val="0053020D"/>
    <w:rsid w:val="005302D7"/>
    <w:rsid w:val="00530497"/>
    <w:rsid w:val="00531018"/>
    <w:rsid w:val="00531918"/>
    <w:rsid w:val="00531D07"/>
    <w:rsid w:val="00532E07"/>
    <w:rsid w:val="005330B1"/>
    <w:rsid w:val="005333C9"/>
    <w:rsid w:val="005334AD"/>
    <w:rsid w:val="005334DE"/>
    <w:rsid w:val="00533CBD"/>
    <w:rsid w:val="00535575"/>
    <w:rsid w:val="00536AC3"/>
    <w:rsid w:val="0053766B"/>
    <w:rsid w:val="00541797"/>
    <w:rsid w:val="00541F90"/>
    <w:rsid w:val="00542DF0"/>
    <w:rsid w:val="0054341C"/>
    <w:rsid w:val="00543B52"/>
    <w:rsid w:val="00545A79"/>
    <w:rsid w:val="00545DE6"/>
    <w:rsid w:val="00545E9E"/>
    <w:rsid w:val="00546C12"/>
    <w:rsid w:val="00546F06"/>
    <w:rsid w:val="0054734B"/>
    <w:rsid w:val="00550EF1"/>
    <w:rsid w:val="00551B4E"/>
    <w:rsid w:val="00555AB6"/>
    <w:rsid w:val="00556F3B"/>
    <w:rsid w:val="0055715A"/>
    <w:rsid w:val="00557AD3"/>
    <w:rsid w:val="00562420"/>
    <w:rsid w:val="00562B9A"/>
    <w:rsid w:val="00563489"/>
    <w:rsid w:val="00563A3E"/>
    <w:rsid w:val="00563D1D"/>
    <w:rsid w:val="0056412D"/>
    <w:rsid w:val="00565C33"/>
    <w:rsid w:val="00565D10"/>
    <w:rsid w:val="005660E5"/>
    <w:rsid w:val="00567534"/>
    <w:rsid w:val="005679DD"/>
    <w:rsid w:val="00570522"/>
    <w:rsid w:val="00570B35"/>
    <w:rsid w:val="00571AD7"/>
    <w:rsid w:val="00571CD4"/>
    <w:rsid w:val="005739A5"/>
    <w:rsid w:val="00574113"/>
    <w:rsid w:val="00574475"/>
    <w:rsid w:val="00574D3B"/>
    <w:rsid w:val="00575098"/>
    <w:rsid w:val="00575D99"/>
    <w:rsid w:val="0057730E"/>
    <w:rsid w:val="00577D5F"/>
    <w:rsid w:val="00580E19"/>
    <w:rsid w:val="0058125E"/>
    <w:rsid w:val="00583C0E"/>
    <w:rsid w:val="00583D32"/>
    <w:rsid w:val="0058414F"/>
    <w:rsid w:val="00585C12"/>
    <w:rsid w:val="00587411"/>
    <w:rsid w:val="0058764F"/>
    <w:rsid w:val="005878AA"/>
    <w:rsid w:val="00587B1F"/>
    <w:rsid w:val="00587D11"/>
    <w:rsid w:val="0059026E"/>
    <w:rsid w:val="00590671"/>
    <w:rsid w:val="00591719"/>
    <w:rsid w:val="005917EE"/>
    <w:rsid w:val="00593D48"/>
    <w:rsid w:val="005978F2"/>
    <w:rsid w:val="00597E4D"/>
    <w:rsid w:val="005A0A34"/>
    <w:rsid w:val="005A1BBD"/>
    <w:rsid w:val="005A35E2"/>
    <w:rsid w:val="005A3829"/>
    <w:rsid w:val="005A38D9"/>
    <w:rsid w:val="005A4E46"/>
    <w:rsid w:val="005A6387"/>
    <w:rsid w:val="005A708B"/>
    <w:rsid w:val="005A79FB"/>
    <w:rsid w:val="005A7CAD"/>
    <w:rsid w:val="005A7FF0"/>
    <w:rsid w:val="005B11FA"/>
    <w:rsid w:val="005B23C7"/>
    <w:rsid w:val="005B24B5"/>
    <w:rsid w:val="005B4899"/>
    <w:rsid w:val="005B4A69"/>
    <w:rsid w:val="005B609E"/>
    <w:rsid w:val="005B641F"/>
    <w:rsid w:val="005B6655"/>
    <w:rsid w:val="005B6DD9"/>
    <w:rsid w:val="005B7235"/>
    <w:rsid w:val="005B7846"/>
    <w:rsid w:val="005B7943"/>
    <w:rsid w:val="005C0A9F"/>
    <w:rsid w:val="005C1B35"/>
    <w:rsid w:val="005C1EA0"/>
    <w:rsid w:val="005C2F8B"/>
    <w:rsid w:val="005C5CD6"/>
    <w:rsid w:val="005D0E49"/>
    <w:rsid w:val="005D19E6"/>
    <w:rsid w:val="005D224D"/>
    <w:rsid w:val="005D2267"/>
    <w:rsid w:val="005D3E4F"/>
    <w:rsid w:val="005D4338"/>
    <w:rsid w:val="005D4363"/>
    <w:rsid w:val="005D5593"/>
    <w:rsid w:val="005D5AD6"/>
    <w:rsid w:val="005D5EAA"/>
    <w:rsid w:val="005D60EA"/>
    <w:rsid w:val="005D6653"/>
    <w:rsid w:val="005D68EA"/>
    <w:rsid w:val="005D6B29"/>
    <w:rsid w:val="005D7270"/>
    <w:rsid w:val="005D743D"/>
    <w:rsid w:val="005E15B3"/>
    <w:rsid w:val="005E1FA8"/>
    <w:rsid w:val="005E32EB"/>
    <w:rsid w:val="005E37EF"/>
    <w:rsid w:val="005E4294"/>
    <w:rsid w:val="005E45D4"/>
    <w:rsid w:val="005E538A"/>
    <w:rsid w:val="005E6FBE"/>
    <w:rsid w:val="005F0A17"/>
    <w:rsid w:val="005F3780"/>
    <w:rsid w:val="005F3CF7"/>
    <w:rsid w:val="005F46AF"/>
    <w:rsid w:val="005F4733"/>
    <w:rsid w:val="005F4778"/>
    <w:rsid w:val="005F5AD9"/>
    <w:rsid w:val="00600AD5"/>
    <w:rsid w:val="006015D4"/>
    <w:rsid w:val="00604206"/>
    <w:rsid w:val="00604944"/>
    <w:rsid w:val="00610805"/>
    <w:rsid w:val="00610880"/>
    <w:rsid w:val="00611B39"/>
    <w:rsid w:val="00612121"/>
    <w:rsid w:val="00612477"/>
    <w:rsid w:val="006141B1"/>
    <w:rsid w:val="0061498B"/>
    <w:rsid w:val="00615E21"/>
    <w:rsid w:val="00616E9F"/>
    <w:rsid w:val="00621483"/>
    <w:rsid w:val="0062238E"/>
    <w:rsid w:val="0062258A"/>
    <w:rsid w:val="0062288F"/>
    <w:rsid w:val="006228DC"/>
    <w:rsid w:val="00623549"/>
    <w:rsid w:val="00624E91"/>
    <w:rsid w:val="00625841"/>
    <w:rsid w:val="00625920"/>
    <w:rsid w:val="00627BDE"/>
    <w:rsid w:val="00631E25"/>
    <w:rsid w:val="00632206"/>
    <w:rsid w:val="00632378"/>
    <w:rsid w:val="006333A8"/>
    <w:rsid w:val="006334F2"/>
    <w:rsid w:val="00634283"/>
    <w:rsid w:val="00634CDA"/>
    <w:rsid w:val="00634FF8"/>
    <w:rsid w:val="006353F5"/>
    <w:rsid w:val="00635853"/>
    <w:rsid w:val="00637786"/>
    <w:rsid w:val="006425B0"/>
    <w:rsid w:val="00642684"/>
    <w:rsid w:val="00642696"/>
    <w:rsid w:val="00643BC1"/>
    <w:rsid w:val="006441D5"/>
    <w:rsid w:val="006442C3"/>
    <w:rsid w:val="00645D91"/>
    <w:rsid w:val="00646643"/>
    <w:rsid w:val="00646CE7"/>
    <w:rsid w:val="00647301"/>
    <w:rsid w:val="00650583"/>
    <w:rsid w:val="00650782"/>
    <w:rsid w:val="00650D80"/>
    <w:rsid w:val="00651431"/>
    <w:rsid w:val="00652BE2"/>
    <w:rsid w:val="00652E90"/>
    <w:rsid w:val="00653C11"/>
    <w:rsid w:val="00654691"/>
    <w:rsid w:val="006568D7"/>
    <w:rsid w:val="00661386"/>
    <w:rsid w:val="00661F5E"/>
    <w:rsid w:val="00662CD1"/>
    <w:rsid w:val="006637D5"/>
    <w:rsid w:val="006637ED"/>
    <w:rsid w:val="006645A9"/>
    <w:rsid w:val="00665BBA"/>
    <w:rsid w:val="006670FB"/>
    <w:rsid w:val="00667764"/>
    <w:rsid w:val="006708BC"/>
    <w:rsid w:val="00670BC6"/>
    <w:rsid w:val="00670C13"/>
    <w:rsid w:val="00671016"/>
    <w:rsid w:val="00671304"/>
    <w:rsid w:val="006717AC"/>
    <w:rsid w:val="00671AA7"/>
    <w:rsid w:val="0067223C"/>
    <w:rsid w:val="00672A48"/>
    <w:rsid w:val="00673B33"/>
    <w:rsid w:val="00673DC9"/>
    <w:rsid w:val="00675255"/>
    <w:rsid w:val="00675EF5"/>
    <w:rsid w:val="00676031"/>
    <w:rsid w:val="006767AC"/>
    <w:rsid w:val="006775A1"/>
    <w:rsid w:val="006802F1"/>
    <w:rsid w:val="00680317"/>
    <w:rsid w:val="00680DD1"/>
    <w:rsid w:val="00681CB7"/>
    <w:rsid w:val="00683E39"/>
    <w:rsid w:val="00683F03"/>
    <w:rsid w:val="00685025"/>
    <w:rsid w:val="006859B0"/>
    <w:rsid w:val="00686A99"/>
    <w:rsid w:val="00690043"/>
    <w:rsid w:val="00690CB6"/>
    <w:rsid w:val="0069101D"/>
    <w:rsid w:val="00691FC7"/>
    <w:rsid w:val="00692155"/>
    <w:rsid w:val="006923B0"/>
    <w:rsid w:val="006935C9"/>
    <w:rsid w:val="00697962"/>
    <w:rsid w:val="006A1D39"/>
    <w:rsid w:val="006A2342"/>
    <w:rsid w:val="006A3555"/>
    <w:rsid w:val="006A38CB"/>
    <w:rsid w:val="006A3B90"/>
    <w:rsid w:val="006A50C0"/>
    <w:rsid w:val="006A62FC"/>
    <w:rsid w:val="006B0E96"/>
    <w:rsid w:val="006B152F"/>
    <w:rsid w:val="006B1758"/>
    <w:rsid w:val="006B2B1E"/>
    <w:rsid w:val="006B2C2A"/>
    <w:rsid w:val="006B3162"/>
    <w:rsid w:val="006B3FCE"/>
    <w:rsid w:val="006B4A4C"/>
    <w:rsid w:val="006B52B5"/>
    <w:rsid w:val="006B5A5D"/>
    <w:rsid w:val="006B6BA4"/>
    <w:rsid w:val="006C030C"/>
    <w:rsid w:val="006C167B"/>
    <w:rsid w:val="006C21AD"/>
    <w:rsid w:val="006C3F5F"/>
    <w:rsid w:val="006C42AB"/>
    <w:rsid w:val="006C62D0"/>
    <w:rsid w:val="006C6E3C"/>
    <w:rsid w:val="006D0927"/>
    <w:rsid w:val="006D1B29"/>
    <w:rsid w:val="006D1C28"/>
    <w:rsid w:val="006D20E9"/>
    <w:rsid w:val="006D3523"/>
    <w:rsid w:val="006D3736"/>
    <w:rsid w:val="006D4843"/>
    <w:rsid w:val="006D588C"/>
    <w:rsid w:val="006E0ACA"/>
    <w:rsid w:val="006E2F2C"/>
    <w:rsid w:val="006E378F"/>
    <w:rsid w:val="006E4D41"/>
    <w:rsid w:val="006E57A7"/>
    <w:rsid w:val="006E5850"/>
    <w:rsid w:val="006E586F"/>
    <w:rsid w:val="006E6327"/>
    <w:rsid w:val="006E744E"/>
    <w:rsid w:val="006E7D38"/>
    <w:rsid w:val="006E7DC3"/>
    <w:rsid w:val="006F0E4C"/>
    <w:rsid w:val="006F1003"/>
    <w:rsid w:val="006F2DD5"/>
    <w:rsid w:val="006F5FAD"/>
    <w:rsid w:val="006F6553"/>
    <w:rsid w:val="006F6F4C"/>
    <w:rsid w:val="006F7311"/>
    <w:rsid w:val="00700976"/>
    <w:rsid w:val="007036F9"/>
    <w:rsid w:val="007039AF"/>
    <w:rsid w:val="0070463F"/>
    <w:rsid w:val="00710750"/>
    <w:rsid w:val="00710834"/>
    <w:rsid w:val="0071166C"/>
    <w:rsid w:val="0071219D"/>
    <w:rsid w:val="00712A42"/>
    <w:rsid w:val="00712CDD"/>
    <w:rsid w:val="00714197"/>
    <w:rsid w:val="0071599B"/>
    <w:rsid w:val="007171C9"/>
    <w:rsid w:val="00720D87"/>
    <w:rsid w:val="0072148F"/>
    <w:rsid w:val="00721C78"/>
    <w:rsid w:val="00722264"/>
    <w:rsid w:val="00724996"/>
    <w:rsid w:val="00724A1D"/>
    <w:rsid w:val="0072522C"/>
    <w:rsid w:val="007266CC"/>
    <w:rsid w:val="0072678B"/>
    <w:rsid w:val="00726F7F"/>
    <w:rsid w:val="007303FC"/>
    <w:rsid w:val="007307A1"/>
    <w:rsid w:val="00730C23"/>
    <w:rsid w:val="00730EB4"/>
    <w:rsid w:val="00732C43"/>
    <w:rsid w:val="007339F7"/>
    <w:rsid w:val="00733BCF"/>
    <w:rsid w:val="00735025"/>
    <w:rsid w:val="00735F33"/>
    <w:rsid w:val="00736D12"/>
    <w:rsid w:val="007373BF"/>
    <w:rsid w:val="007433CC"/>
    <w:rsid w:val="00744207"/>
    <w:rsid w:val="0074450C"/>
    <w:rsid w:val="00744AAB"/>
    <w:rsid w:val="0074721B"/>
    <w:rsid w:val="00747614"/>
    <w:rsid w:val="007509A3"/>
    <w:rsid w:val="00750A13"/>
    <w:rsid w:val="00750D99"/>
    <w:rsid w:val="00751971"/>
    <w:rsid w:val="007529AD"/>
    <w:rsid w:val="007534BE"/>
    <w:rsid w:val="00753DAC"/>
    <w:rsid w:val="00754BEF"/>
    <w:rsid w:val="00754C15"/>
    <w:rsid w:val="007553BB"/>
    <w:rsid w:val="0075599F"/>
    <w:rsid w:val="00755C76"/>
    <w:rsid w:val="007566D1"/>
    <w:rsid w:val="00756D3F"/>
    <w:rsid w:val="0075731C"/>
    <w:rsid w:val="0075734F"/>
    <w:rsid w:val="00757D5C"/>
    <w:rsid w:val="00760E91"/>
    <w:rsid w:val="0076102E"/>
    <w:rsid w:val="007616FE"/>
    <w:rsid w:val="00762133"/>
    <w:rsid w:val="0076304F"/>
    <w:rsid w:val="00763066"/>
    <w:rsid w:val="00764CF9"/>
    <w:rsid w:val="00765D6A"/>
    <w:rsid w:val="007662E5"/>
    <w:rsid w:val="00766773"/>
    <w:rsid w:val="007672A3"/>
    <w:rsid w:val="007673E0"/>
    <w:rsid w:val="00767400"/>
    <w:rsid w:val="00767D94"/>
    <w:rsid w:val="00770547"/>
    <w:rsid w:val="00771E50"/>
    <w:rsid w:val="00772374"/>
    <w:rsid w:val="00773AD0"/>
    <w:rsid w:val="00774EB9"/>
    <w:rsid w:val="00776811"/>
    <w:rsid w:val="007773CB"/>
    <w:rsid w:val="00780FF0"/>
    <w:rsid w:val="00781AB5"/>
    <w:rsid w:val="00781DA4"/>
    <w:rsid w:val="00782084"/>
    <w:rsid w:val="007834DA"/>
    <w:rsid w:val="0078360C"/>
    <w:rsid w:val="00785201"/>
    <w:rsid w:val="0078531A"/>
    <w:rsid w:val="00786755"/>
    <w:rsid w:val="00787600"/>
    <w:rsid w:val="00791870"/>
    <w:rsid w:val="00791EFE"/>
    <w:rsid w:val="00791FF1"/>
    <w:rsid w:val="00792287"/>
    <w:rsid w:val="00793A1C"/>
    <w:rsid w:val="00794242"/>
    <w:rsid w:val="00794F5B"/>
    <w:rsid w:val="007951AE"/>
    <w:rsid w:val="00795264"/>
    <w:rsid w:val="007957B1"/>
    <w:rsid w:val="00797071"/>
    <w:rsid w:val="007A01BB"/>
    <w:rsid w:val="007A08C0"/>
    <w:rsid w:val="007A0EB4"/>
    <w:rsid w:val="007A1443"/>
    <w:rsid w:val="007A300F"/>
    <w:rsid w:val="007A3579"/>
    <w:rsid w:val="007A3718"/>
    <w:rsid w:val="007A3D78"/>
    <w:rsid w:val="007A4371"/>
    <w:rsid w:val="007A4625"/>
    <w:rsid w:val="007A4D7F"/>
    <w:rsid w:val="007A50F0"/>
    <w:rsid w:val="007A5FB1"/>
    <w:rsid w:val="007A6BF0"/>
    <w:rsid w:val="007B00C6"/>
    <w:rsid w:val="007B09B4"/>
    <w:rsid w:val="007B0B12"/>
    <w:rsid w:val="007B1161"/>
    <w:rsid w:val="007B229F"/>
    <w:rsid w:val="007B3A8F"/>
    <w:rsid w:val="007B42B9"/>
    <w:rsid w:val="007B595F"/>
    <w:rsid w:val="007B7CAC"/>
    <w:rsid w:val="007C0DF3"/>
    <w:rsid w:val="007C12F6"/>
    <w:rsid w:val="007C15EC"/>
    <w:rsid w:val="007C1C54"/>
    <w:rsid w:val="007C2AE7"/>
    <w:rsid w:val="007C3D14"/>
    <w:rsid w:val="007C3F13"/>
    <w:rsid w:val="007C433C"/>
    <w:rsid w:val="007C4773"/>
    <w:rsid w:val="007C6D55"/>
    <w:rsid w:val="007C6F63"/>
    <w:rsid w:val="007C7513"/>
    <w:rsid w:val="007C78CA"/>
    <w:rsid w:val="007D09F8"/>
    <w:rsid w:val="007D144D"/>
    <w:rsid w:val="007D1DA8"/>
    <w:rsid w:val="007D22AE"/>
    <w:rsid w:val="007D27C5"/>
    <w:rsid w:val="007D2AE8"/>
    <w:rsid w:val="007D3569"/>
    <w:rsid w:val="007D3AFD"/>
    <w:rsid w:val="007D52A5"/>
    <w:rsid w:val="007D7987"/>
    <w:rsid w:val="007E1357"/>
    <w:rsid w:val="007E28D4"/>
    <w:rsid w:val="007E3099"/>
    <w:rsid w:val="007E319E"/>
    <w:rsid w:val="007F13A9"/>
    <w:rsid w:val="007F1D19"/>
    <w:rsid w:val="007F1DD3"/>
    <w:rsid w:val="007F20E1"/>
    <w:rsid w:val="007F2480"/>
    <w:rsid w:val="007F3F3B"/>
    <w:rsid w:val="007F41E4"/>
    <w:rsid w:val="007F4B2A"/>
    <w:rsid w:val="007F4F9E"/>
    <w:rsid w:val="007F66D7"/>
    <w:rsid w:val="007F6811"/>
    <w:rsid w:val="007F744E"/>
    <w:rsid w:val="007F756D"/>
    <w:rsid w:val="007F7CB8"/>
    <w:rsid w:val="007F7ED8"/>
    <w:rsid w:val="008014FE"/>
    <w:rsid w:val="00801862"/>
    <w:rsid w:val="00801A68"/>
    <w:rsid w:val="00801EEE"/>
    <w:rsid w:val="0080253F"/>
    <w:rsid w:val="0080272C"/>
    <w:rsid w:val="00802B6E"/>
    <w:rsid w:val="0080388D"/>
    <w:rsid w:val="008038D4"/>
    <w:rsid w:val="00803A1B"/>
    <w:rsid w:val="00803B61"/>
    <w:rsid w:val="008040BD"/>
    <w:rsid w:val="008057B7"/>
    <w:rsid w:val="008059D6"/>
    <w:rsid w:val="00805B4D"/>
    <w:rsid w:val="00806FA6"/>
    <w:rsid w:val="00807A57"/>
    <w:rsid w:val="00807DCE"/>
    <w:rsid w:val="0081073E"/>
    <w:rsid w:val="008118BD"/>
    <w:rsid w:val="0081389D"/>
    <w:rsid w:val="00813D21"/>
    <w:rsid w:val="00814DBF"/>
    <w:rsid w:val="0081616E"/>
    <w:rsid w:val="008163C4"/>
    <w:rsid w:val="0081700E"/>
    <w:rsid w:val="0081752A"/>
    <w:rsid w:val="00820494"/>
    <w:rsid w:val="00820DF5"/>
    <w:rsid w:val="0082166E"/>
    <w:rsid w:val="0082299E"/>
    <w:rsid w:val="0082368B"/>
    <w:rsid w:val="008237A0"/>
    <w:rsid w:val="00823946"/>
    <w:rsid w:val="008240F3"/>
    <w:rsid w:val="00824B1A"/>
    <w:rsid w:val="00824DC9"/>
    <w:rsid w:val="00826690"/>
    <w:rsid w:val="00826C4F"/>
    <w:rsid w:val="00830068"/>
    <w:rsid w:val="00830B82"/>
    <w:rsid w:val="00830BA4"/>
    <w:rsid w:val="00831EB3"/>
    <w:rsid w:val="0083270B"/>
    <w:rsid w:val="00832A4A"/>
    <w:rsid w:val="00832DCA"/>
    <w:rsid w:val="00833CF8"/>
    <w:rsid w:val="00833D3B"/>
    <w:rsid w:val="00834D68"/>
    <w:rsid w:val="00835D6D"/>
    <w:rsid w:val="008363F4"/>
    <w:rsid w:val="0083656D"/>
    <w:rsid w:val="00836A6C"/>
    <w:rsid w:val="00837590"/>
    <w:rsid w:val="00837831"/>
    <w:rsid w:val="00840503"/>
    <w:rsid w:val="008417A6"/>
    <w:rsid w:val="00843F12"/>
    <w:rsid w:val="00843FF0"/>
    <w:rsid w:val="008443AC"/>
    <w:rsid w:val="00844CDC"/>
    <w:rsid w:val="00846C2A"/>
    <w:rsid w:val="008479D2"/>
    <w:rsid w:val="00847FCE"/>
    <w:rsid w:val="00850077"/>
    <w:rsid w:val="00850124"/>
    <w:rsid w:val="00851429"/>
    <w:rsid w:val="0085167E"/>
    <w:rsid w:val="00854849"/>
    <w:rsid w:val="00856D2E"/>
    <w:rsid w:val="008619A5"/>
    <w:rsid w:val="00863537"/>
    <w:rsid w:val="00864242"/>
    <w:rsid w:val="008643C1"/>
    <w:rsid w:val="0086462F"/>
    <w:rsid w:val="00864A1C"/>
    <w:rsid w:val="0086505A"/>
    <w:rsid w:val="0086678B"/>
    <w:rsid w:val="00866B4A"/>
    <w:rsid w:val="00866C5D"/>
    <w:rsid w:val="008677E4"/>
    <w:rsid w:val="00867F50"/>
    <w:rsid w:val="00867F76"/>
    <w:rsid w:val="00870978"/>
    <w:rsid w:val="00870C00"/>
    <w:rsid w:val="00871430"/>
    <w:rsid w:val="00871BB8"/>
    <w:rsid w:val="00872038"/>
    <w:rsid w:val="00872460"/>
    <w:rsid w:val="00873680"/>
    <w:rsid w:val="0087434E"/>
    <w:rsid w:val="008745F5"/>
    <w:rsid w:val="00874CCC"/>
    <w:rsid w:val="00875BB8"/>
    <w:rsid w:val="00876E93"/>
    <w:rsid w:val="00881288"/>
    <w:rsid w:val="00881F8E"/>
    <w:rsid w:val="00882389"/>
    <w:rsid w:val="00882FCA"/>
    <w:rsid w:val="008830EB"/>
    <w:rsid w:val="00883B8B"/>
    <w:rsid w:val="0088469A"/>
    <w:rsid w:val="00884A53"/>
    <w:rsid w:val="00884F7B"/>
    <w:rsid w:val="00885041"/>
    <w:rsid w:val="00885544"/>
    <w:rsid w:val="00887E45"/>
    <w:rsid w:val="00890590"/>
    <w:rsid w:val="008913DC"/>
    <w:rsid w:val="008929E1"/>
    <w:rsid w:val="0089615A"/>
    <w:rsid w:val="008963C6"/>
    <w:rsid w:val="008964F0"/>
    <w:rsid w:val="008966C4"/>
    <w:rsid w:val="008967B7"/>
    <w:rsid w:val="0089690A"/>
    <w:rsid w:val="008A0545"/>
    <w:rsid w:val="008A0A05"/>
    <w:rsid w:val="008A18EA"/>
    <w:rsid w:val="008A2835"/>
    <w:rsid w:val="008A30AF"/>
    <w:rsid w:val="008A3305"/>
    <w:rsid w:val="008A6928"/>
    <w:rsid w:val="008A6A00"/>
    <w:rsid w:val="008A6C08"/>
    <w:rsid w:val="008A7AEA"/>
    <w:rsid w:val="008B065E"/>
    <w:rsid w:val="008B07FE"/>
    <w:rsid w:val="008B1ABA"/>
    <w:rsid w:val="008B1D2F"/>
    <w:rsid w:val="008B2AAE"/>
    <w:rsid w:val="008B4062"/>
    <w:rsid w:val="008B4A92"/>
    <w:rsid w:val="008B4AA3"/>
    <w:rsid w:val="008B7987"/>
    <w:rsid w:val="008B7CBA"/>
    <w:rsid w:val="008C1BCA"/>
    <w:rsid w:val="008C1E97"/>
    <w:rsid w:val="008C2297"/>
    <w:rsid w:val="008C253F"/>
    <w:rsid w:val="008C286B"/>
    <w:rsid w:val="008C3011"/>
    <w:rsid w:val="008C34AB"/>
    <w:rsid w:val="008C38F9"/>
    <w:rsid w:val="008C47CA"/>
    <w:rsid w:val="008C540D"/>
    <w:rsid w:val="008C55AE"/>
    <w:rsid w:val="008C57F6"/>
    <w:rsid w:val="008C5EA0"/>
    <w:rsid w:val="008C60FA"/>
    <w:rsid w:val="008C6924"/>
    <w:rsid w:val="008C71BB"/>
    <w:rsid w:val="008C7DDE"/>
    <w:rsid w:val="008C7E18"/>
    <w:rsid w:val="008C7F14"/>
    <w:rsid w:val="008D0DC9"/>
    <w:rsid w:val="008D33EB"/>
    <w:rsid w:val="008D3D31"/>
    <w:rsid w:val="008D3E7A"/>
    <w:rsid w:val="008D4B96"/>
    <w:rsid w:val="008D4F7B"/>
    <w:rsid w:val="008D4F94"/>
    <w:rsid w:val="008D6B75"/>
    <w:rsid w:val="008E0393"/>
    <w:rsid w:val="008E0F4D"/>
    <w:rsid w:val="008E22E3"/>
    <w:rsid w:val="008E25D6"/>
    <w:rsid w:val="008E5021"/>
    <w:rsid w:val="008E5B0F"/>
    <w:rsid w:val="008E5E48"/>
    <w:rsid w:val="008E63AD"/>
    <w:rsid w:val="008E756A"/>
    <w:rsid w:val="008E7781"/>
    <w:rsid w:val="008F0EC2"/>
    <w:rsid w:val="008F10A1"/>
    <w:rsid w:val="008F22EC"/>
    <w:rsid w:val="008F262E"/>
    <w:rsid w:val="008F28DB"/>
    <w:rsid w:val="008F36B2"/>
    <w:rsid w:val="008F698A"/>
    <w:rsid w:val="008F74EE"/>
    <w:rsid w:val="00900430"/>
    <w:rsid w:val="00900543"/>
    <w:rsid w:val="0090098E"/>
    <w:rsid w:val="0090253A"/>
    <w:rsid w:val="009034B4"/>
    <w:rsid w:val="00905044"/>
    <w:rsid w:val="0090588D"/>
    <w:rsid w:val="00906B80"/>
    <w:rsid w:val="00906BCB"/>
    <w:rsid w:val="00907F8A"/>
    <w:rsid w:val="00913266"/>
    <w:rsid w:val="009138BF"/>
    <w:rsid w:val="00913972"/>
    <w:rsid w:val="0091472C"/>
    <w:rsid w:val="00914CEC"/>
    <w:rsid w:val="00914DE8"/>
    <w:rsid w:val="00915920"/>
    <w:rsid w:val="00915A6A"/>
    <w:rsid w:val="00915D10"/>
    <w:rsid w:val="00916943"/>
    <w:rsid w:val="00921727"/>
    <w:rsid w:val="00921E62"/>
    <w:rsid w:val="00922BCF"/>
    <w:rsid w:val="009237F5"/>
    <w:rsid w:val="00923BFE"/>
    <w:rsid w:val="00923D64"/>
    <w:rsid w:val="009244AF"/>
    <w:rsid w:val="00924884"/>
    <w:rsid w:val="00924CFD"/>
    <w:rsid w:val="009258C2"/>
    <w:rsid w:val="00925B20"/>
    <w:rsid w:val="00925C30"/>
    <w:rsid w:val="00926C65"/>
    <w:rsid w:val="009276E1"/>
    <w:rsid w:val="00927787"/>
    <w:rsid w:val="0092794E"/>
    <w:rsid w:val="00930619"/>
    <w:rsid w:val="009306D9"/>
    <w:rsid w:val="00930D5B"/>
    <w:rsid w:val="00930E42"/>
    <w:rsid w:val="00932BBE"/>
    <w:rsid w:val="0093326C"/>
    <w:rsid w:val="009335C2"/>
    <w:rsid w:val="00933E8C"/>
    <w:rsid w:val="00934E95"/>
    <w:rsid w:val="00936819"/>
    <w:rsid w:val="00936DEE"/>
    <w:rsid w:val="0094026B"/>
    <w:rsid w:val="00941112"/>
    <w:rsid w:val="00941753"/>
    <w:rsid w:val="00942996"/>
    <w:rsid w:val="0094309D"/>
    <w:rsid w:val="0094314B"/>
    <w:rsid w:val="0094383D"/>
    <w:rsid w:val="00943B28"/>
    <w:rsid w:val="0094559D"/>
    <w:rsid w:val="009455A4"/>
    <w:rsid w:val="0094674C"/>
    <w:rsid w:val="00951FFE"/>
    <w:rsid w:val="009525F7"/>
    <w:rsid w:val="00953DF7"/>
    <w:rsid w:val="00954580"/>
    <w:rsid w:val="00954DE6"/>
    <w:rsid w:val="0095555A"/>
    <w:rsid w:val="0095590D"/>
    <w:rsid w:val="00955DCA"/>
    <w:rsid w:val="00956848"/>
    <w:rsid w:val="009601FD"/>
    <w:rsid w:val="00960D6D"/>
    <w:rsid w:val="00960E83"/>
    <w:rsid w:val="0096213A"/>
    <w:rsid w:val="009622EA"/>
    <w:rsid w:val="009626E4"/>
    <w:rsid w:val="00962AB2"/>
    <w:rsid w:val="00962D33"/>
    <w:rsid w:val="009632E7"/>
    <w:rsid w:val="0096372C"/>
    <w:rsid w:val="009638B7"/>
    <w:rsid w:val="00963D81"/>
    <w:rsid w:val="00964064"/>
    <w:rsid w:val="009644D5"/>
    <w:rsid w:val="00964831"/>
    <w:rsid w:val="009656F9"/>
    <w:rsid w:val="00965F68"/>
    <w:rsid w:val="0097152A"/>
    <w:rsid w:val="00971660"/>
    <w:rsid w:val="0097167A"/>
    <w:rsid w:val="00971884"/>
    <w:rsid w:val="00971894"/>
    <w:rsid w:val="0097201D"/>
    <w:rsid w:val="00974D6B"/>
    <w:rsid w:val="00976563"/>
    <w:rsid w:val="00976890"/>
    <w:rsid w:val="00976D60"/>
    <w:rsid w:val="009771C3"/>
    <w:rsid w:val="00977820"/>
    <w:rsid w:val="00977CFE"/>
    <w:rsid w:val="00977EC2"/>
    <w:rsid w:val="00980BFD"/>
    <w:rsid w:val="00981B36"/>
    <w:rsid w:val="00982124"/>
    <w:rsid w:val="00982911"/>
    <w:rsid w:val="00982A98"/>
    <w:rsid w:val="00982B12"/>
    <w:rsid w:val="00983AC7"/>
    <w:rsid w:val="00983BDC"/>
    <w:rsid w:val="00983CA4"/>
    <w:rsid w:val="009845FB"/>
    <w:rsid w:val="009854C1"/>
    <w:rsid w:val="00986AA2"/>
    <w:rsid w:val="00987AA7"/>
    <w:rsid w:val="00991050"/>
    <w:rsid w:val="009910CB"/>
    <w:rsid w:val="00991E22"/>
    <w:rsid w:val="00991EB3"/>
    <w:rsid w:val="0099376A"/>
    <w:rsid w:val="00995214"/>
    <w:rsid w:val="00995644"/>
    <w:rsid w:val="009957EA"/>
    <w:rsid w:val="0099583A"/>
    <w:rsid w:val="0099586E"/>
    <w:rsid w:val="009A02E3"/>
    <w:rsid w:val="009A0432"/>
    <w:rsid w:val="009A2104"/>
    <w:rsid w:val="009A2B2F"/>
    <w:rsid w:val="009A4D85"/>
    <w:rsid w:val="009A7676"/>
    <w:rsid w:val="009A7960"/>
    <w:rsid w:val="009B0220"/>
    <w:rsid w:val="009B04B7"/>
    <w:rsid w:val="009B1A0B"/>
    <w:rsid w:val="009B2E06"/>
    <w:rsid w:val="009B321C"/>
    <w:rsid w:val="009B3D73"/>
    <w:rsid w:val="009B5066"/>
    <w:rsid w:val="009B5631"/>
    <w:rsid w:val="009B6CC2"/>
    <w:rsid w:val="009B6F24"/>
    <w:rsid w:val="009B79CF"/>
    <w:rsid w:val="009C0641"/>
    <w:rsid w:val="009C0B5D"/>
    <w:rsid w:val="009C1CDB"/>
    <w:rsid w:val="009C222E"/>
    <w:rsid w:val="009C2E1F"/>
    <w:rsid w:val="009C2E77"/>
    <w:rsid w:val="009C2FF0"/>
    <w:rsid w:val="009C36D2"/>
    <w:rsid w:val="009C42AE"/>
    <w:rsid w:val="009C4385"/>
    <w:rsid w:val="009C4984"/>
    <w:rsid w:val="009C7A32"/>
    <w:rsid w:val="009D0F4E"/>
    <w:rsid w:val="009D3A32"/>
    <w:rsid w:val="009D4054"/>
    <w:rsid w:val="009D4EAC"/>
    <w:rsid w:val="009D524D"/>
    <w:rsid w:val="009D649B"/>
    <w:rsid w:val="009D6A59"/>
    <w:rsid w:val="009D6C39"/>
    <w:rsid w:val="009D6C86"/>
    <w:rsid w:val="009D72B4"/>
    <w:rsid w:val="009D750E"/>
    <w:rsid w:val="009D7B60"/>
    <w:rsid w:val="009E25D6"/>
    <w:rsid w:val="009E2C9D"/>
    <w:rsid w:val="009E3CC1"/>
    <w:rsid w:val="009E4470"/>
    <w:rsid w:val="009E4DEF"/>
    <w:rsid w:val="009E58B2"/>
    <w:rsid w:val="009E7230"/>
    <w:rsid w:val="009E7532"/>
    <w:rsid w:val="009E7C81"/>
    <w:rsid w:val="009F0A31"/>
    <w:rsid w:val="009F0B27"/>
    <w:rsid w:val="009F1CE7"/>
    <w:rsid w:val="009F26B1"/>
    <w:rsid w:val="009F3071"/>
    <w:rsid w:val="009F326B"/>
    <w:rsid w:val="009F45A4"/>
    <w:rsid w:val="009F47FF"/>
    <w:rsid w:val="009F49D5"/>
    <w:rsid w:val="009F4FE1"/>
    <w:rsid w:val="009F5410"/>
    <w:rsid w:val="009F686F"/>
    <w:rsid w:val="009F6FC1"/>
    <w:rsid w:val="00A00C58"/>
    <w:rsid w:val="00A01098"/>
    <w:rsid w:val="00A02041"/>
    <w:rsid w:val="00A02A5E"/>
    <w:rsid w:val="00A02C79"/>
    <w:rsid w:val="00A02E42"/>
    <w:rsid w:val="00A02F73"/>
    <w:rsid w:val="00A03912"/>
    <w:rsid w:val="00A042B0"/>
    <w:rsid w:val="00A05A3D"/>
    <w:rsid w:val="00A0636E"/>
    <w:rsid w:val="00A063B4"/>
    <w:rsid w:val="00A06E58"/>
    <w:rsid w:val="00A0716E"/>
    <w:rsid w:val="00A11310"/>
    <w:rsid w:val="00A11978"/>
    <w:rsid w:val="00A128DE"/>
    <w:rsid w:val="00A13209"/>
    <w:rsid w:val="00A13E43"/>
    <w:rsid w:val="00A150D1"/>
    <w:rsid w:val="00A15F8A"/>
    <w:rsid w:val="00A164FD"/>
    <w:rsid w:val="00A1671A"/>
    <w:rsid w:val="00A2027E"/>
    <w:rsid w:val="00A21AB0"/>
    <w:rsid w:val="00A21C66"/>
    <w:rsid w:val="00A22AA7"/>
    <w:rsid w:val="00A239C3"/>
    <w:rsid w:val="00A23A23"/>
    <w:rsid w:val="00A23B28"/>
    <w:rsid w:val="00A23B30"/>
    <w:rsid w:val="00A24D42"/>
    <w:rsid w:val="00A256E7"/>
    <w:rsid w:val="00A2625C"/>
    <w:rsid w:val="00A27B5C"/>
    <w:rsid w:val="00A31DB2"/>
    <w:rsid w:val="00A33BCD"/>
    <w:rsid w:val="00A341C7"/>
    <w:rsid w:val="00A34A99"/>
    <w:rsid w:val="00A36864"/>
    <w:rsid w:val="00A37119"/>
    <w:rsid w:val="00A3788A"/>
    <w:rsid w:val="00A40119"/>
    <w:rsid w:val="00A41188"/>
    <w:rsid w:val="00A421D2"/>
    <w:rsid w:val="00A42283"/>
    <w:rsid w:val="00A4355A"/>
    <w:rsid w:val="00A44184"/>
    <w:rsid w:val="00A44DEC"/>
    <w:rsid w:val="00A44FBC"/>
    <w:rsid w:val="00A50426"/>
    <w:rsid w:val="00A511AE"/>
    <w:rsid w:val="00A52503"/>
    <w:rsid w:val="00A52ECD"/>
    <w:rsid w:val="00A548AF"/>
    <w:rsid w:val="00A55B0F"/>
    <w:rsid w:val="00A56B3B"/>
    <w:rsid w:val="00A575CD"/>
    <w:rsid w:val="00A57FD0"/>
    <w:rsid w:val="00A627BC"/>
    <w:rsid w:val="00A62F7B"/>
    <w:rsid w:val="00A636F8"/>
    <w:rsid w:val="00A6375E"/>
    <w:rsid w:val="00A63D01"/>
    <w:rsid w:val="00A648FB"/>
    <w:rsid w:val="00A64A68"/>
    <w:rsid w:val="00A64DB3"/>
    <w:rsid w:val="00A6545C"/>
    <w:rsid w:val="00A6574D"/>
    <w:rsid w:val="00A65E52"/>
    <w:rsid w:val="00A66435"/>
    <w:rsid w:val="00A66679"/>
    <w:rsid w:val="00A6679E"/>
    <w:rsid w:val="00A748B9"/>
    <w:rsid w:val="00A74978"/>
    <w:rsid w:val="00A754D4"/>
    <w:rsid w:val="00A8223A"/>
    <w:rsid w:val="00A82372"/>
    <w:rsid w:val="00A8373A"/>
    <w:rsid w:val="00A85177"/>
    <w:rsid w:val="00A85424"/>
    <w:rsid w:val="00A86E04"/>
    <w:rsid w:val="00A913DD"/>
    <w:rsid w:val="00A9207E"/>
    <w:rsid w:val="00A92E1E"/>
    <w:rsid w:val="00A93CF8"/>
    <w:rsid w:val="00A95473"/>
    <w:rsid w:val="00A95706"/>
    <w:rsid w:val="00A962A7"/>
    <w:rsid w:val="00A97449"/>
    <w:rsid w:val="00AA1E2B"/>
    <w:rsid w:val="00AA39C8"/>
    <w:rsid w:val="00AA5AD0"/>
    <w:rsid w:val="00AA5F9E"/>
    <w:rsid w:val="00AA6DB1"/>
    <w:rsid w:val="00AA7EA1"/>
    <w:rsid w:val="00AB07FD"/>
    <w:rsid w:val="00AB2BAD"/>
    <w:rsid w:val="00AB4130"/>
    <w:rsid w:val="00AB5E8D"/>
    <w:rsid w:val="00AB6CDF"/>
    <w:rsid w:val="00AB766E"/>
    <w:rsid w:val="00AC0616"/>
    <w:rsid w:val="00AC2167"/>
    <w:rsid w:val="00AC250C"/>
    <w:rsid w:val="00AC37B2"/>
    <w:rsid w:val="00AC51BC"/>
    <w:rsid w:val="00AC5E75"/>
    <w:rsid w:val="00AC6634"/>
    <w:rsid w:val="00AC70F2"/>
    <w:rsid w:val="00AC7190"/>
    <w:rsid w:val="00AC7BF7"/>
    <w:rsid w:val="00AD015E"/>
    <w:rsid w:val="00AD0D1C"/>
    <w:rsid w:val="00AD1B18"/>
    <w:rsid w:val="00AD1E7A"/>
    <w:rsid w:val="00AD1ED2"/>
    <w:rsid w:val="00AD21C7"/>
    <w:rsid w:val="00AD2DFC"/>
    <w:rsid w:val="00AD2EEC"/>
    <w:rsid w:val="00AD3B37"/>
    <w:rsid w:val="00AD3FE1"/>
    <w:rsid w:val="00AD57FF"/>
    <w:rsid w:val="00AD76F3"/>
    <w:rsid w:val="00AD78BD"/>
    <w:rsid w:val="00AE19CA"/>
    <w:rsid w:val="00AE2736"/>
    <w:rsid w:val="00AE363A"/>
    <w:rsid w:val="00AE3C36"/>
    <w:rsid w:val="00AE5D13"/>
    <w:rsid w:val="00AE60E4"/>
    <w:rsid w:val="00AE645E"/>
    <w:rsid w:val="00AF034B"/>
    <w:rsid w:val="00AF0410"/>
    <w:rsid w:val="00AF0BC6"/>
    <w:rsid w:val="00AF0D2A"/>
    <w:rsid w:val="00AF289B"/>
    <w:rsid w:val="00AF2F99"/>
    <w:rsid w:val="00AF3E7F"/>
    <w:rsid w:val="00AF3FBD"/>
    <w:rsid w:val="00AF4FC1"/>
    <w:rsid w:val="00AF716C"/>
    <w:rsid w:val="00AF7A25"/>
    <w:rsid w:val="00B00998"/>
    <w:rsid w:val="00B00BBF"/>
    <w:rsid w:val="00B01F78"/>
    <w:rsid w:val="00B0398C"/>
    <w:rsid w:val="00B03DDC"/>
    <w:rsid w:val="00B0451C"/>
    <w:rsid w:val="00B04A5E"/>
    <w:rsid w:val="00B10267"/>
    <w:rsid w:val="00B10BD6"/>
    <w:rsid w:val="00B10C54"/>
    <w:rsid w:val="00B11778"/>
    <w:rsid w:val="00B117AD"/>
    <w:rsid w:val="00B11A7F"/>
    <w:rsid w:val="00B1333B"/>
    <w:rsid w:val="00B135BE"/>
    <w:rsid w:val="00B1418D"/>
    <w:rsid w:val="00B15D2F"/>
    <w:rsid w:val="00B16396"/>
    <w:rsid w:val="00B1779D"/>
    <w:rsid w:val="00B17ECE"/>
    <w:rsid w:val="00B20378"/>
    <w:rsid w:val="00B207A4"/>
    <w:rsid w:val="00B2146A"/>
    <w:rsid w:val="00B2164C"/>
    <w:rsid w:val="00B21F8C"/>
    <w:rsid w:val="00B228DE"/>
    <w:rsid w:val="00B23AA2"/>
    <w:rsid w:val="00B23D64"/>
    <w:rsid w:val="00B244DD"/>
    <w:rsid w:val="00B24B48"/>
    <w:rsid w:val="00B25F59"/>
    <w:rsid w:val="00B269D7"/>
    <w:rsid w:val="00B26FFA"/>
    <w:rsid w:val="00B27E06"/>
    <w:rsid w:val="00B3044E"/>
    <w:rsid w:val="00B30DCB"/>
    <w:rsid w:val="00B315C7"/>
    <w:rsid w:val="00B347F7"/>
    <w:rsid w:val="00B351D1"/>
    <w:rsid w:val="00B35E71"/>
    <w:rsid w:val="00B362E7"/>
    <w:rsid w:val="00B36B28"/>
    <w:rsid w:val="00B37F20"/>
    <w:rsid w:val="00B4388C"/>
    <w:rsid w:val="00B43BE5"/>
    <w:rsid w:val="00B454DC"/>
    <w:rsid w:val="00B45880"/>
    <w:rsid w:val="00B4669C"/>
    <w:rsid w:val="00B46889"/>
    <w:rsid w:val="00B50557"/>
    <w:rsid w:val="00B50C81"/>
    <w:rsid w:val="00B5233A"/>
    <w:rsid w:val="00B528AA"/>
    <w:rsid w:val="00B52FA9"/>
    <w:rsid w:val="00B53429"/>
    <w:rsid w:val="00B5410D"/>
    <w:rsid w:val="00B54309"/>
    <w:rsid w:val="00B5671A"/>
    <w:rsid w:val="00B5743F"/>
    <w:rsid w:val="00B62040"/>
    <w:rsid w:val="00B62E5E"/>
    <w:rsid w:val="00B6505D"/>
    <w:rsid w:val="00B66B49"/>
    <w:rsid w:val="00B67503"/>
    <w:rsid w:val="00B710D0"/>
    <w:rsid w:val="00B71476"/>
    <w:rsid w:val="00B71F4F"/>
    <w:rsid w:val="00B72B83"/>
    <w:rsid w:val="00B72BA3"/>
    <w:rsid w:val="00B73F36"/>
    <w:rsid w:val="00B7489F"/>
    <w:rsid w:val="00B74B81"/>
    <w:rsid w:val="00B76015"/>
    <w:rsid w:val="00B80B45"/>
    <w:rsid w:val="00B81632"/>
    <w:rsid w:val="00B82087"/>
    <w:rsid w:val="00B8225E"/>
    <w:rsid w:val="00B830C7"/>
    <w:rsid w:val="00B8460D"/>
    <w:rsid w:val="00B850A2"/>
    <w:rsid w:val="00B85206"/>
    <w:rsid w:val="00B85EE6"/>
    <w:rsid w:val="00B87C9D"/>
    <w:rsid w:val="00B9073C"/>
    <w:rsid w:val="00B917C4"/>
    <w:rsid w:val="00B92FA5"/>
    <w:rsid w:val="00B9315C"/>
    <w:rsid w:val="00B96C1D"/>
    <w:rsid w:val="00B96E42"/>
    <w:rsid w:val="00B96EAF"/>
    <w:rsid w:val="00B96ECE"/>
    <w:rsid w:val="00B97941"/>
    <w:rsid w:val="00B979B2"/>
    <w:rsid w:val="00BA0E57"/>
    <w:rsid w:val="00BA131A"/>
    <w:rsid w:val="00BA474C"/>
    <w:rsid w:val="00BA619B"/>
    <w:rsid w:val="00BA79B1"/>
    <w:rsid w:val="00BB148D"/>
    <w:rsid w:val="00BB2EA7"/>
    <w:rsid w:val="00BB3C10"/>
    <w:rsid w:val="00BB3C6C"/>
    <w:rsid w:val="00BB4065"/>
    <w:rsid w:val="00BB407F"/>
    <w:rsid w:val="00BB4B11"/>
    <w:rsid w:val="00BB67D7"/>
    <w:rsid w:val="00BB7166"/>
    <w:rsid w:val="00BB743C"/>
    <w:rsid w:val="00BB7F61"/>
    <w:rsid w:val="00BC10DE"/>
    <w:rsid w:val="00BC14E5"/>
    <w:rsid w:val="00BC2098"/>
    <w:rsid w:val="00BC20E0"/>
    <w:rsid w:val="00BC3045"/>
    <w:rsid w:val="00BC4981"/>
    <w:rsid w:val="00BC4B5F"/>
    <w:rsid w:val="00BC51D5"/>
    <w:rsid w:val="00BC5438"/>
    <w:rsid w:val="00BC672C"/>
    <w:rsid w:val="00BC6BA0"/>
    <w:rsid w:val="00BC70AB"/>
    <w:rsid w:val="00BC71FD"/>
    <w:rsid w:val="00BD09BB"/>
    <w:rsid w:val="00BD3BC2"/>
    <w:rsid w:val="00BD56C7"/>
    <w:rsid w:val="00BD5CF0"/>
    <w:rsid w:val="00BD6651"/>
    <w:rsid w:val="00BE0067"/>
    <w:rsid w:val="00BE0608"/>
    <w:rsid w:val="00BE0E5A"/>
    <w:rsid w:val="00BE2280"/>
    <w:rsid w:val="00BE408D"/>
    <w:rsid w:val="00BE4FEC"/>
    <w:rsid w:val="00BE785B"/>
    <w:rsid w:val="00BF01B1"/>
    <w:rsid w:val="00BF08BE"/>
    <w:rsid w:val="00BF119B"/>
    <w:rsid w:val="00BF138D"/>
    <w:rsid w:val="00BF197F"/>
    <w:rsid w:val="00BF1B76"/>
    <w:rsid w:val="00BF2336"/>
    <w:rsid w:val="00BF4140"/>
    <w:rsid w:val="00BF423E"/>
    <w:rsid w:val="00BF49A7"/>
    <w:rsid w:val="00BF4ED0"/>
    <w:rsid w:val="00BF4F43"/>
    <w:rsid w:val="00BF6353"/>
    <w:rsid w:val="00BF689F"/>
    <w:rsid w:val="00BF68D6"/>
    <w:rsid w:val="00C00101"/>
    <w:rsid w:val="00C007E5"/>
    <w:rsid w:val="00C00E05"/>
    <w:rsid w:val="00C013FB"/>
    <w:rsid w:val="00C041F4"/>
    <w:rsid w:val="00C0469C"/>
    <w:rsid w:val="00C05013"/>
    <w:rsid w:val="00C05110"/>
    <w:rsid w:val="00C07B24"/>
    <w:rsid w:val="00C07B8A"/>
    <w:rsid w:val="00C11564"/>
    <w:rsid w:val="00C12DE5"/>
    <w:rsid w:val="00C12F06"/>
    <w:rsid w:val="00C1409E"/>
    <w:rsid w:val="00C14767"/>
    <w:rsid w:val="00C163CD"/>
    <w:rsid w:val="00C16721"/>
    <w:rsid w:val="00C16A84"/>
    <w:rsid w:val="00C17057"/>
    <w:rsid w:val="00C219C7"/>
    <w:rsid w:val="00C22D3A"/>
    <w:rsid w:val="00C23740"/>
    <w:rsid w:val="00C23F2D"/>
    <w:rsid w:val="00C241C5"/>
    <w:rsid w:val="00C26166"/>
    <w:rsid w:val="00C26690"/>
    <w:rsid w:val="00C27CE9"/>
    <w:rsid w:val="00C304E0"/>
    <w:rsid w:val="00C308D5"/>
    <w:rsid w:val="00C30E50"/>
    <w:rsid w:val="00C31F07"/>
    <w:rsid w:val="00C321FC"/>
    <w:rsid w:val="00C32AA2"/>
    <w:rsid w:val="00C34939"/>
    <w:rsid w:val="00C35192"/>
    <w:rsid w:val="00C36D37"/>
    <w:rsid w:val="00C40577"/>
    <w:rsid w:val="00C4060A"/>
    <w:rsid w:val="00C40EAD"/>
    <w:rsid w:val="00C40F07"/>
    <w:rsid w:val="00C42E1F"/>
    <w:rsid w:val="00C43A91"/>
    <w:rsid w:val="00C444DF"/>
    <w:rsid w:val="00C44E0D"/>
    <w:rsid w:val="00C4537D"/>
    <w:rsid w:val="00C4594F"/>
    <w:rsid w:val="00C46C29"/>
    <w:rsid w:val="00C47117"/>
    <w:rsid w:val="00C47326"/>
    <w:rsid w:val="00C473CE"/>
    <w:rsid w:val="00C47465"/>
    <w:rsid w:val="00C47714"/>
    <w:rsid w:val="00C47C23"/>
    <w:rsid w:val="00C50119"/>
    <w:rsid w:val="00C513E8"/>
    <w:rsid w:val="00C51492"/>
    <w:rsid w:val="00C51627"/>
    <w:rsid w:val="00C520A6"/>
    <w:rsid w:val="00C5261D"/>
    <w:rsid w:val="00C54332"/>
    <w:rsid w:val="00C54414"/>
    <w:rsid w:val="00C54CD4"/>
    <w:rsid w:val="00C5595C"/>
    <w:rsid w:val="00C5615F"/>
    <w:rsid w:val="00C57E1E"/>
    <w:rsid w:val="00C60DE6"/>
    <w:rsid w:val="00C616A7"/>
    <w:rsid w:val="00C616B4"/>
    <w:rsid w:val="00C617B4"/>
    <w:rsid w:val="00C62AF3"/>
    <w:rsid w:val="00C6309C"/>
    <w:rsid w:val="00C63888"/>
    <w:rsid w:val="00C64E09"/>
    <w:rsid w:val="00C6725A"/>
    <w:rsid w:val="00C70303"/>
    <w:rsid w:val="00C709A5"/>
    <w:rsid w:val="00C712D9"/>
    <w:rsid w:val="00C72825"/>
    <w:rsid w:val="00C7479A"/>
    <w:rsid w:val="00C747F4"/>
    <w:rsid w:val="00C74A39"/>
    <w:rsid w:val="00C75CCE"/>
    <w:rsid w:val="00C76139"/>
    <w:rsid w:val="00C77DF4"/>
    <w:rsid w:val="00C77E95"/>
    <w:rsid w:val="00C80835"/>
    <w:rsid w:val="00C815B2"/>
    <w:rsid w:val="00C8232F"/>
    <w:rsid w:val="00C846D0"/>
    <w:rsid w:val="00C85D72"/>
    <w:rsid w:val="00C86C30"/>
    <w:rsid w:val="00C86E0C"/>
    <w:rsid w:val="00C86F1F"/>
    <w:rsid w:val="00C87093"/>
    <w:rsid w:val="00C87B94"/>
    <w:rsid w:val="00C909CB"/>
    <w:rsid w:val="00C91151"/>
    <w:rsid w:val="00C913DB"/>
    <w:rsid w:val="00C91481"/>
    <w:rsid w:val="00C9286F"/>
    <w:rsid w:val="00C936C0"/>
    <w:rsid w:val="00C94BAB"/>
    <w:rsid w:val="00C95B73"/>
    <w:rsid w:val="00C9632E"/>
    <w:rsid w:val="00C96DEE"/>
    <w:rsid w:val="00C9727A"/>
    <w:rsid w:val="00CA0D34"/>
    <w:rsid w:val="00CA1699"/>
    <w:rsid w:val="00CA3107"/>
    <w:rsid w:val="00CA3586"/>
    <w:rsid w:val="00CA59D0"/>
    <w:rsid w:val="00CA6A0D"/>
    <w:rsid w:val="00CA74BF"/>
    <w:rsid w:val="00CA76EB"/>
    <w:rsid w:val="00CB0A0F"/>
    <w:rsid w:val="00CB12AD"/>
    <w:rsid w:val="00CB3BF8"/>
    <w:rsid w:val="00CB4184"/>
    <w:rsid w:val="00CB4542"/>
    <w:rsid w:val="00CB4A70"/>
    <w:rsid w:val="00CB552F"/>
    <w:rsid w:val="00CB5FC8"/>
    <w:rsid w:val="00CB697E"/>
    <w:rsid w:val="00CB7D66"/>
    <w:rsid w:val="00CC0B76"/>
    <w:rsid w:val="00CC0FEC"/>
    <w:rsid w:val="00CC1492"/>
    <w:rsid w:val="00CC1C35"/>
    <w:rsid w:val="00CC1D1A"/>
    <w:rsid w:val="00CC35CD"/>
    <w:rsid w:val="00CC429F"/>
    <w:rsid w:val="00CC500F"/>
    <w:rsid w:val="00CC66F1"/>
    <w:rsid w:val="00CC6F25"/>
    <w:rsid w:val="00CC7A6C"/>
    <w:rsid w:val="00CD0990"/>
    <w:rsid w:val="00CD1832"/>
    <w:rsid w:val="00CD425F"/>
    <w:rsid w:val="00CD482B"/>
    <w:rsid w:val="00CD650B"/>
    <w:rsid w:val="00CD763C"/>
    <w:rsid w:val="00CD7901"/>
    <w:rsid w:val="00CE01D5"/>
    <w:rsid w:val="00CE3C6E"/>
    <w:rsid w:val="00CE520B"/>
    <w:rsid w:val="00CE5915"/>
    <w:rsid w:val="00CE69CA"/>
    <w:rsid w:val="00CE7AE2"/>
    <w:rsid w:val="00CE7E51"/>
    <w:rsid w:val="00CF0FE8"/>
    <w:rsid w:val="00CF158C"/>
    <w:rsid w:val="00CF20F4"/>
    <w:rsid w:val="00CF2F79"/>
    <w:rsid w:val="00CF4DD3"/>
    <w:rsid w:val="00CF5E12"/>
    <w:rsid w:val="00CF63C0"/>
    <w:rsid w:val="00CF6708"/>
    <w:rsid w:val="00CF6F39"/>
    <w:rsid w:val="00CF7C19"/>
    <w:rsid w:val="00CF7D47"/>
    <w:rsid w:val="00D0041C"/>
    <w:rsid w:val="00D005DF"/>
    <w:rsid w:val="00D01238"/>
    <w:rsid w:val="00D01563"/>
    <w:rsid w:val="00D01E43"/>
    <w:rsid w:val="00D0214D"/>
    <w:rsid w:val="00D0245E"/>
    <w:rsid w:val="00D04C90"/>
    <w:rsid w:val="00D05B7E"/>
    <w:rsid w:val="00D06B6F"/>
    <w:rsid w:val="00D07C4B"/>
    <w:rsid w:val="00D1117B"/>
    <w:rsid w:val="00D1141E"/>
    <w:rsid w:val="00D11743"/>
    <w:rsid w:val="00D13754"/>
    <w:rsid w:val="00D13F66"/>
    <w:rsid w:val="00D1429E"/>
    <w:rsid w:val="00D145F6"/>
    <w:rsid w:val="00D14E61"/>
    <w:rsid w:val="00D15BB4"/>
    <w:rsid w:val="00D16BBD"/>
    <w:rsid w:val="00D173F0"/>
    <w:rsid w:val="00D2130E"/>
    <w:rsid w:val="00D22425"/>
    <w:rsid w:val="00D23375"/>
    <w:rsid w:val="00D23C45"/>
    <w:rsid w:val="00D24764"/>
    <w:rsid w:val="00D24B34"/>
    <w:rsid w:val="00D25385"/>
    <w:rsid w:val="00D2573C"/>
    <w:rsid w:val="00D25764"/>
    <w:rsid w:val="00D25F07"/>
    <w:rsid w:val="00D26100"/>
    <w:rsid w:val="00D26B80"/>
    <w:rsid w:val="00D27F80"/>
    <w:rsid w:val="00D31481"/>
    <w:rsid w:val="00D320CF"/>
    <w:rsid w:val="00D33311"/>
    <w:rsid w:val="00D34BC9"/>
    <w:rsid w:val="00D34EC7"/>
    <w:rsid w:val="00D3533F"/>
    <w:rsid w:val="00D36799"/>
    <w:rsid w:val="00D36E6F"/>
    <w:rsid w:val="00D37DE2"/>
    <w:rsid w:val="00D41E4C"/>
    <w:rsid w:val="00D42924"/>
    <w:rsid w:val="00D42CBF"/>
    <w:rsid w:val="00D43AC8"/>
    <w:rsid w:val="00D44260"/>
    <w:rsid w:val="00D4510E"/>
    <w:rsid w:val="00D505A5"/>
    <w:rsid w:val="00D508EA"/>
    <w:rsid w:val="00D50AC3"/>
    <w:rsid w:val="00D50C3E"/>
    <w:rsid w:val="00D51D0C"/>
    <w:rsid w:val="00D52AB9"/>
    <w:rsid w:val="00D541CE"/>
    <w:rsid w:val="00D54874"/>
    <w:rsid w:val="00D54C61"/>
    <w:rsid w:val="00D554E2"/>
    <w:rsid w:val="00D55D29"/>
    <w:rsid w:val="00D572E1"/>
    <w:rsid w:val="00D5746B"/>
    <w:rsid w:val="00D57975"/>
    <w:rsid w:val="00D57DDB"/>
    <w:rsid w:val="00D600BF"/>
    <w:rsid w:val="00D6016A"/>
    <w:rsid w:val="00D61FF0"/>
    <w:rsid w:val="00D63245"/>
    <w:rsid w:val="00D64211"/>
    <w:rsid w:val="00D650F5"/>
    <w:rsid w:val="00D673C1"/>
    <w:rsid w:val="00D675EC"/>
    <w:rsid w:val="00D70F83"/>
    <w:rsid w:val="00D71817"/>
    <w:rsid w:val="00D720AB"/>
    <w:rsid w:val="00D72B0E"/>
    <w:rsid w:val="00D77105"/>
    <w:rsid w:val="00D809B5"/>
    <w:rsid w:val="00D819A9"/>
    <w:rsid w:val="00D819E7"/>
    <w:rsid w:val="00D81C20"/>
    <w:rsid w:val="00D824C0"/>
    <w:rsid w:val="00D82700"/>
    <w:rsid w:val="00D82A9F"/>
    <w:rsid w:val="00D83BD7"/>
    <w:rsid w:val="00D83D19"/>
    <w:rsid w:val="00D84837"/>
    <w:rsid w:val="00D85221"/>
    <w:rsid w:val="00D8622D"/>
    <w:rsid w:val="00D87192"/>
    <w:rsid w:val="00D87296"/>
    <w:rsid w:val="00D905BA"/>
    <w:rsid w:val="00D919CC"/>
    <w:rsid w:val="00D91A1F"/>
    <w:rsid w:val="00D938C8"/>
    <w:rsid w:val="00D9424C"/>
    <w:rsid w:val="00D94BE9"/>
    <w:rsid w:val="00D94DE4"/>
    <w:rsid w:val="00D95064"/>
    <w:rsid w:val="00DA03A4"/>
    <w:rsid w:val="00DA0731"/>
    <w:rsid w:val="00DA1640"/>
    <w:rsid w:val="00DA2059"/>
    <w:rsid w:val="00DA3688"/>
    <w:rsid w:val="00DA3AFE"/>
    <w:rsid w:val="00DA4444"/>
    <w:rsid w:val="00DA566D"/>
    <w:rsid w:val="00DA57A7"/>
    <w:rsid w:val="00DA5A4C"/>
    <w:rsid w:val="00DA68CF"/>
    <w:rsid w:val="00DB00A0"/>
    <w:rsid w:val="00DB157F"/>
    <w:rsid w:val="00DB23E0"/>
    <w:rsid w:val="00DB4E2F"/>
    <w:rsid w:val="00DC0CA9"/>
    <w:rsid w:val="00DC1905"/>
    <w:rsid w:val="00DC1BFE"/>
    <w:rsid w:val="00DC2629"/>
    <w:rsid w:val="00DC475A"/>
    <w:rsid w:val="00DC515F"/>
    <w:rsid w:val="00DC5189"/>
    <w:rsid w:val="00DC5483"/>
    <w:rsid w:val="00DC753A"/>
    <w:rsid w:val="00DC772C"/>
    <w:rsid w:val="00DD0A79"/>
    <w:rsid w:val="00DD0BF6"/>
    <w:rsid w:val="00DD187C"/>
    <w:rsid w:val="00DD2CA0"/>
    <w:rsid w:val="00DD3031"/>
    <w:rsid w:val="00DD3877"/>
    <w:rsid w:val="00DD4DEE"/>
    <w:rsid w:val="00DD4E49"/>
    <w:rsid w:val="00DD50D4"/>
    <w:rsid w:val="00DD5D6D"/>
    <w:rsid w:val="00DD6281"/>
    <w:rsid w:val="00DD7902"/>
    <w:rsid w:val="00DD7A2E"/>
    <w:rsid w:val="00DD7B86"/>
    <w:rsid w:val="00DD7D25"/>
    <w:rsid w:val="00DE0FAA"/>
    <w:rsid w:val="00DE1804"/>
    <w:rsid w:val="00DE1BBE"/>
    <w:rsid w:val="00DE2030"/>
    <w:rsid w:val="00DE2717"/>
    <w:rsid w:val="00DE29CD"/>
    <w:rsid w:val="00DE3D5F"/>
    <w:rsid w:val="00DE3F1D"/>
    <w:rsid w:val="00DE453F"/>
    <w:rsid w:val="00DE589B"/>
    <w:rsid w:val="00DE61D0"/>
    <w:rsid w:val="00DF0CD1"/>
    <w:rsid w:val="00DF13A6"/>
    <w:rsid w:val="00DF2618"/>
    <w:rsid w:val="00DF2FA6"/>
    <w:rsid w:val="00DF4455"/>
    <w:rsid w:val="00DF449C"/>
    <w:rsid w:val="00DF6C92"/>
    <w:rsid w:val="00DF7733"/>
    <w:rsid w:val="00E005BB"/>
    <w:rsid w:val="00E01855"/>
    <w:rsid w:val="00E0194E"/>
    <w:rsid w:val="00E031DE"/>
    <w:rsid w:val="00E03B88"/>
    <w:rsid w:val="00E03E50"/>
    <w:rsid w:val="00E05840"/>
    <w:rsid w:val="00E0650A"/>
    <w:rsid w:val="00E06EAB"/>
    <w:rsid w:val="00E06F80"/>
    <w:rsid w:val="00E0732F"/>
    <w:rsid w:val="00E07359"/>
    <w:rsid w:val="00E07A80"/>
    <w:rsid w:val="00E1188C"/>
    <w:rsid w:val="00E11E59"/>
    <w:rsid w:val="00E1285B"/>
    <w:rsid w:val="00E12CFD"/>
    <w:rsid w:val="00E151E6"/>
    <w:rsid w:val="00E156AD"/>
    <w:rsid w:val="00E16B52"/>
    <w:rsid w:val="00E16E90"/>
    <w:rsid w:val="00E17165"/>
    <w:rsid w:val="00E174D1"/>
    <w:rsid w:val="00E174F2"/>
    <w:rsid w:val="00E17916"/>
    <w:rsid w:val="00E206CD"/>
    <w:rsid w:val="00E20758"/>
    <w:rsid w:val="00E21843"/>
    <w:rsid w:val="00E2278D"/>
    <w:rsid w:val="00E22A71"/>
    <w:rsid w:val="00E26394"/>
    <w:rsid w:val="00E264B3"/>
    <w:rsid w:val="00E26B91"/>
    <w:rsid w:val="00E27D7E"/>
    <w:rsid w:val="00E3088C"/>
    <w:rsid w:val="00E32B63"/>
    <w:rsid w:val="00E33A4C"/>
    <w:rsid w:val="00E33AFE"/>
    <w:rsid w:val="00E3450A"/>
    <w:rsid w:val="00E3737A"/>
    <w:rsid w:val="00E4085C"/>
    <w:rsid w:val="00E426FF"/>
    <w:rsid w:val="00E4326C"/>
    <w:rsid w:val="00E437A2"/>
    <w:rsid w:val="00E4426D"/>
    <w:rsid w:val="00E45DAC"/>
    <w:rsid w:val="00E47E31"/>
    <w:rsid w:val="00E529E7"/>
    <w:rsid w:val="00E52A00"/>
    <w:rsid w:val="00E53127"/>
    <w:rsid w:val="00E54E55"/>
    <w:rsid w:val="00E54E63"/>
    <w:rsid w:val="00E5535A"/>
    <w:rsid w:val="00E5579E"/>
    <w:rsid w:val="00E564E5"/>
    <w:rsid w:val="00E5668B"/>
    <w:rsid w:val="00E56CD7"/>
    <w:rsid w:val="00E5779A"/>
    <w:rsid w:val="00E57897"/>
    <w:rsid w:val="00E614FC"/>
    <w:rsid w:val="00E61A87"/>
    <w:rsid w:val="00E61E7F"/>
    <w:rsid w:val="00E623D5"/>
    <w:rsid w:val="00E63CAB"/>
    <w:rsid w:val="00E6459D"/>
    <w:rsid w:val="00E64BC0"/>
    <w:rsid w:val="00E6544E"/>
    <w:rsid w:val="00E65C20"/>
    <w:rsid w:val="00E66471"/>
    <w:rsid w:val="00E667F4"/>
    <w:rsid w:val="00E67C0C"/>
    <w:rsid w:val="00E67DCE"/>
    <w:rsid w:val="00E70D3C"/>
    <w:rsid w:val="00E714EE"/>
    <w:rsid w:val="00E71F0D"/>
    <w:rsid w:val="00E73CE5"/>
    <w:rsid w:val="00E73EA2"/>
    <w:rsid w:val="00E754B3"/>
    <w:rsid w:val="00E775C9"/>
    <w:rsid w:val="00E77C74"/>
    <w:rsid w:val="00E806CA"/>
    <w:rsid w:val="00E8112D"/>
    <w:rsid w:val="00E81B0C"/>
    <w:rsid w:val="00E82EFD"/>
    <w:rsid w:val="00E84095"/>
    <w:rsid w:val="00E841CC"/>
    <w:rsid w:val="00E85B32"/>
    <w:rsid w:val="00E860C2"/>
    <w:rsid w:val="00E86F0F"/>
    <w:rsid w:val="00E86F41"/>
    <w:rsid w:val="00E87089"/>
    <w:rsid w:val="00E91865"/>
    <w:rsid w:val="00E91B79"/>
    <w:rsid w:val="00E92E45"/>
    <w:rsid w:val="00E92F6D"/>
    <w:rsid w:val="00E93513"/>
    <w:rsid w:val="00E95AEC"/>
    <w:rsid w:val="00E95E48"/>
    <w:rsid w:val="00E967C1"/>
    <w:rsid w:val="00E96946"/>
    <w:rsid w:val="00E96BAA"/>
    <w:rsid w:val="00E96F49"/>
    <w:rsid w:val="00E970F6"/>
    <w:rsid w:val="00E97343"/>
    <w:rsid w:val="00E97DE0"/>
    <w:rsid w:val="00EA00D0"/>
    <w:rsid w:val="00EA0DB7"/>
    <w:rsid w:val="00EA0E42"/>
    <w:rsid w:val="00EA1276"/>
    <w:rsid w:val="00EA235C"/>
    <w:rsid w:val="00EA656D"/>
    <w:rsid w:val="00EA6583"/>
    <w:rsid w:val="00EA6653"/>
    <w:rsid w:val="00EA6789"/>
    <w:rsid w:val="00EA6C1F"/>
    <w:rsid w:val="00EB129D"/>
    <w:rsid w:val="00EB1910"/>
    <w:rsid w:val="00EB4694"/>
    <w:rsid w:val="00EB7896"/>
    <w:rsid w:val="00EC0C10"/>
    <w:rsid w:val="00EC1415"/>
    <w:rsid w:val="00EC1A96"/>
    <w:rsid w:val="00EC1C96"/>
    <w:rsid w:val="00EC3A4F"/>
    <w:rsid w:val="00EC4449"/>
    <w:rsid w:val="00EC526D"/>
    <w:rsid w:val="00EC54DF"/>
    <w:rsid w:val="00EC55EB"/>
    <w:rsid w:val="00EC5C50"/>
    <w:rsid w:val="00EC6F2B"/>
    <w:rsid w:val="00EC7D6B"/>
    <w:rsid w:val="00ED00B3"/>
    <w:rsid w:val="00ED2F59"/>
    <w:rsid w:val="00ED3320"/>
    <w:rsid w:val="00ED463D"/>
    <w:rsid w:val="00ED74B5"/>
    <w:rsid w:val="00EE0158"/>
    <w:rsid w:val="00EE1230"/>
    <w:rsid w:val="00EE1C46"/>
    <w:rsid w:val="00EE5A93"/>
    <w:rsid w:val="00EE6AD5"/>
    <w:rsid w:val="00EE6C8D"/>
    <w:rsid w:val="00EE70FA"/>
    <w:rsid w:val="00EE7F0C"/>
    <w:rsid w:val="00EF0081"/>
    <w:rsid w:val="00EF054D"/>
    <w:rsid w:val="00EF0B27"/>
    <w:rsid w:val="00EF1946"/>
    <w:rsid w:val="00EF28EA"/>
    <w:rsid w:val="00EF2D7B"/>
    <w:rsid w:val="00EF3553"/>
    <w:rsid w:val="00EF408A"/>
    <w:rsid w:val="00EF40C9"/>
    <w:rsid w:val="00EF4FA2"/>
    <w:rsid w:val="00EF581E"/>
    <w:rsid w:val="00EF5CD1"/>
    <w:rsid w:val="00EF5F7D"/>
    <w:rsid w:val="00EF72A7"/>
    <w:rsid w:val="00F0002D"/>
    <w:rsid w:val="00F00055"/>
    <w:rsid w:val="00F00619"/>
    <w:rsid w:val="00F0118B"/>
    <w:rsid w:val="00F01DD7"/>
    <w:rsid w:val="00F022C6"/>
    <w:rsid w:val="00F0332A"/>
    <w:rsid w:val="00F03BC2"/>
    <w:rsid w:val="00F047C9"/>
    <w:rsid w:val="00F0566E"/>
    <w:rsid w:val="00F05F43"/>
    <w:rsid w:val="00F06494"/>
    <w:rsid w:val="00F06624"/>
    <w:rsid w:val="00F07769"/>
    <w:rsid w:val="00F07D5D"/>
    <w:rsid w:val="00F115F3"/>
    <w:rsid w:val="00F125AC"/>
    <w:rsid w:val="00F136AC"/>
    <w:rsid w:val="00F140A6"/>
    <w:rsid w:val="00F14494"/>
    <w:rsid w:val="00F14DD9"/>
    <w:rsid w:val="00F15000"/>
    <w:rsid w:val="00F15582"/>
    <w:rsid w:val="00F158AC"/>
    <w:rsid w:val="00F16CD4"/>
    <w:rsid w:val="00F17B7A"/>
    <w:rsid w:val="00F21D8A"/>
    <w:rsid w:val="00F252F8"/>
    <w:rsid w:val="00F25CE7"/>
    <w:rsid w:val="00F2639B"/>
    <w:rsid w:val="00F27893"/>
    <w:rsid w:val="00F30AB4"/>
    <w:rsid w:val="00F3155E"/>
    <w:rsid w:val="00F327EA"/>
    <w:rsid w:val="00F32B6E"/>
    <w:rsid w:val="00F33FC1"/>
    <w:rsid w:val="00F3430A"/>
    <w:rsid w:val="00F35AC4"/>
    <w:rsid w:val="00F35BD0"/>
    <w:rsid w:val="00F368DB"/>
    <w:rsid w:val="00F40690"/>
    <w:rsid w:val="00F44324"/>
    <w:rsid w:val="00F451C1"/>
    <w:rsid w:val="00F4661E"/>
    <w:rsid w:val="00F46E89"/>
    <w:rsid w:val="00F46FCC"/>
    <w:rsid w:val="00F509EE"/>
    <w:rsid w:val="00F50B1D"/>
    <w:rsid w:val="00F50E3D"/>
    <w:rsid w:val="00F512B3"/>
    <w:rsid w:val="00F515C5"/>
    <w:rsid w:val="00F518EF"/>
    <w:rsid w:val="00F52E4A"/>
    <w:rsid w:val="00F52EA2"/>
    <w:rsid w:val="00F5363F"/>
    <w:rsid w:val="00F53B41"/>
    <w:rsid w:val="00F53FE3"/>
    <w:rsid w:val="00F543A5"/>
    <w:rsid w:val="00F55450"/>
    <w:rsid w:val="00F56165"/>
    <w:rsid w:val="00F561A1"/>
    <w:rsid w:val="00F568ED"/>
    <w:rsid w:val="00F57D5C"/>
    <w:rsid w:val="00F57F0E"/>
    <w:rsid w:val="00F61A75"/>
    <w:rsid w:val="00F61EE1"/>
    <w:rsid w:val="00F620D7"/>
    <w:rsid w:val="00F62172"/>
    <w:rsid w:val="00F64BDD"/>
    <w:rsid w:val="00F658E5"/>
    <w:rsid w:val="00F666BF"/>
    <w:rsid w:val="00F66FB8"/>
    <w:rsid w:val="00F673A6"/>
    <w:rsid w:val="00F676B6"/>
    <w:rsid w:val="00F67D13"/>
    <w:rsid w:val="00F705F8"/>
    <w:rsid w:val="00F70A8F"/>
    <w:rsid w:val="00F716D5"/>
    <w:rsid w:val="00F734CC"/>
    <w:rsid w:val="00F734ED"/>
    <w:rsid w:val="00F76179"/>
    <w:rsid w:val="00F76AB9"/>
    <w:rsid w:val="00F82437"/>
    <w:rsid w:val="00F84398"/>
    <w:rsid w:val="00F84E39"/>
    <w:rsid w:val="00F84FCD"/>
    <w:rsid w:val="00F85844"/>
    <w:rsid w:val="00F87498"/>
    <w:rsid w:val="00F87675"/>
    <w:rsid w:val="00F877BF"/>
    <w:rsid w:val="00F878E8"/>
    <w:rsid w:val="00F9002B"/>
    <w:rsid w:val="00F9015F"/>
    <w:rsid w:val="00F918B4"/>
    <w:rsid w:val="00F92D7A"/>
    <w:rsid w:val="00F95920"/>
    <w:rsid w:val="00F969A2"/>
    <w:rsid w:val="00F96A2C"/>
    <w:rsid w:val="00FA1162"/>
    <w:rsid w:val="00FA2F86"/>
    <w:rsid w:val="00FA528F"/>
    <w:rsid w:val="00FA5D69"/>
    <w:rsid w:val="00FA7DF6"/>
    <w:rsid w:val="00FB062C"/>
    <w:rsid w:val="00FB08ED"/>
    <w:rsid w:val="00FB0E04"/>
    <w:rsid w:val="00FB1713"/>
    <w:rsid w:val="00FB1D18"/>
    <w:rsid w:val="00FB39F4"/>
    <w:rsid w:val="00FB423D"/>
    <w:rsid w:val="00FB50BD"/>
    <w:rsid w:val="00FB5587"/>
    <w:rsid w:val="00FB6389"/>
    <w:rsid w:val="00FB6906"/>
    <w:rsid w:val="00FB6A9B"/>
    <w:rsid w:val="00FB74E4"/>
    <w:rsid w:val="00FC0D54"/>
    <w:rsid w:val="00FC127C"/>
    <w:rsid w:val="00FC2C82"/>
    <w:rsid w:val="00FC2CB6"/>
    <w:rsid w:val="00FC4288"/>
    <w:rsid w:val="00FC48D2"/>
    <w:rsid w:val="00FC4B08"/>
    <w:rsid w:val="00FC4FB1"/>
    <w:rsid w:val="00FC5EF2"/>
    <w:rsid w:val="00FC5F0A"/>
    <w:rsid w:val="00FC61B7"/>
    <w:rsid w:val="00FC70D9"/>
    <w:rsid w:val="00FC73DB"/>
    <w:rsid w:val="00FC7E33"/>
    <w:rsid w:val="00FD0259"/>
    <w:rsid w:val="00FD1438"/>
    <w:rsid w:val="00FD40E1"/>
    <w:rsid w:val="00FD5777"/>
    <w:rsid w:val="00FD5E21"/>
    <w:rsid w:val="00FD76AE"/>
    <w:rsid w:val="00FD76DD"/>
    <w:rsid w:val="00FD7E60"/>
    <w:rsid w:val="00FE05DE"/>
    <w:rsid w:val="00FE1B2E"/>
    <w:rsid w:val="00FE4BC2"/>
    <w:rsid w:val="00FE4BC6"/>
    <w:rsid w:val="00FE63B0"/>
    <w:rsid w:val="00FE6426"/>
    <w:rsid w:val="00FE6567"/>
    <w:rsid w:val="00FF04F4"/>
    <w:rsid w:val="00FF128C"/>
    <w:rsid w:val="00FF3095"/>
    <w:rsid w:val="00FF41B3"/>
    <w:rsid w:val="00FF4EC4"/>
    <w:rsid w:val="00FF6B98"/>
    <w:rsid w:val="00FF6C25"/>
    <w:rsid w:val="00FF705E"/>
    <w:rsid w:val="00FF70B0"/>
    <w:rsid w:val="00FF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E7869DE"/>
  <w15:docId w15:val="{A32BBFBA-3B38-4DE5-94D8-EA5E04D7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9B0"/>
    <w:rPr>
      <w:lang w:val="en-GB"/>
    </w:rPr>
  </w:style>
  <w:style w:type="paragraph" w:styleId="Heading1">
    <w:name w:val="heading 1"/>
    <w:basedOn w:val="Normal"/>
    <w:link w:val="Heading1Char"/>
    <w:uiPriority w:val="9"/>
    <w:qFormat/>
    <w:locked/>
    <w:rsid w:val="00B54309"/>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9"/>
    <w:qFormat/>
    <w:rsid w:val="00034F2D"/>
    <w:pPr>
      <w:spacing w:before="100" w:beforeAutospacing="1" w:after="100" w:afterAutospacing="1" w:line="240" w:lineRule="auto"/>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34F2D"/>
    <w:rPr>
      <w:rFonts w:ascii="Times New Roman" w:hAnsi="Times New Roman" w:cs="Times New Roman"/>
      <w:b/>
      <w:bCs/>
      <w:sz w:val="36"/>
      <w:szCs w:val="36"/>
      <w:lang w:eastAsia="en-GB"/>
    </w:rPr>
  </w:style>
  <w:style w:type="paragraph" w:styleId="BodyTextIndent">
    <w:name w:val="Body Text Indent"/>
    <w:basedOn w:val="Normal"/>
    <w:link w:val="BodyTextIndentChar"/>
    <w:uiPriority w:val="99"/>
    <w:rsid w:val="0005584C"/>
    <w:pPr>
      <w:spacing w:after="0" w:line="240" w:lineRule="auto"/>
      <w:ind w:firstLine="851"/>
      <w:jc w:val="both"/>
    </w:pPr>
    <w:rPr>
      <w:sz w:val="28"/>
      <w:szCs w:val="28"/>
      <w:lang w:val="en-US"/>
    </w:rPr>
  </w:style>
  <w:style w:type="character" w:customStyle="1" w:styleId="BodyTextIndentChar">
    <w:name w:val="Body Text Indent Char"/>
    <w:basedOn w:val="DefaultParagraphFont"/>
    <w:link w:val="BodyTextIndent"/>
    <w:uiPriority w:val="99"/>
    <w:locked/>
    <w:rsid w:val="0005584C"/>
    <w:rPr>
      <w:rFonts w:ascii="Times New Roman" w:hAnsi="Times New Roman" w:cs="Times New Roman"/>
      <w:sz w:val="20"/>
      <w:szCs w:val="20"/>
      <w:lang w:val="en-US"/>
    </w:rPr>
  </w:style>
  <w:style w:type="paragraph" w:customStyle="1" w:styleId="Normal1">
    <w:name w:val="Normal1"/>
    <w:basedOn w:val="Normal"/>
    <w:uiPriority w:val="99"/>
    <w:rsid w:val="00E5779A"/>
    <w:pPr>
      <w:spacing w:before="100" w:beforeAutospacing="1" w:after="100" w:afterAutospacing="1" w:line="240" w:lineRule="auto"/>
    </w:pPr>
    <w:rPr>
      <w:sz w:val="24"/>
      <w:szCs w:val="24"/>
      <w:lang w:val="en-US"/>
    </w:rPr>
  </w:style>
  <w:style w:type="character" w:customStyle="1" w:styleId="normalchar">
    <w:name w:val="normal__char"/>
    <w:basedOn w:val="DefaultParagraphFont"/>
    <w:rsid w:val="004C2C36"/>
    <w:rPr>
      <w:rFonts w:cs="Times New Roman"/>
    </w:rPr>
  </w:style>
  <w:style w:type="paragraph" w:styleId="NormalWeb">
    <w:name w:val="Normal (Web)"/>
    <w:aliases w:val="Обычный (веб)1,Обычный (веб) Знак,Обычный (веб) Знак1,Обычный (веб) Знак Знак, Char Char Char,Char Char Char, Char Char,Char Char Char Char Char Char Char Char Char Char Char Char Char Char Char,Char Cha,Char Char"/>
    <w:basedOn w:val="Normal"/>
    <w:link w:val="NormalWebChar"/>
    <w:uiPriority w:val="99"/>
    <w:qFormat/>
    <w:rsid w:val="00872460"/>
    <w:pPr>
      <w:spacing w:before="100" w:beforeAutospacing="1" w:after="100" w:afterAutospacing="1" w:line="240" w:lineRule="auto"/>
    </w:pPr>
    <w:rPr>
      <w:sz w:val="24"/>
      <w:szCs w:val="24"/>
      <w:lang w:val="en-US"/>
    </w:rPr>
  </w:style>
  <w:style w:type="character" w:customStyle="1" w:styleId="a21">
    <w:name w:val="a21"/>
    <w:basedOn w:val="DefaultParagraphFont"/>
    <w:rsid w:val="00872460"/>
    <w:rPr>
      <w:rFonts w:ascii="Arial" w:hAnsi="Arial" w:cs="Arial"/>
      <w:sz w:val="20"/>
      <w:szCs w:val="20"/>
      <w:u w:val="none"/>
      <w:effect w:val="none"/>
    </w:rPr>
  </w:style>
  <w:style w:type="paragraph" w:styleId="ListParagraph">
    <w:name w:val="List Paragraph"/>
    <w:aliases w:val="bullet,bullet 1,List Paragraph11,Bullets,List Bullet-OpsManual,References,Title Style 1,List Paragraph nowy,List Paragraph (numbered (a)),Liste 1,ANNEX,List Paragraph1,List Paragraph2,Aufzählung Spiegelstrich,EASPR13-01 normal"/>
    <w:basedOn w:val="Normal"/>
    <w:link w:val="ListParagraphChar"/>
    <w:uiPriority w:val="34"/>
    <w:qFormat/>
    <w:rsid w:val="00872460"/>
    <w:pPr>
      <w:ind w:left="720"/>
    </w:pPr>
  </w:style>
  <w:style w:type="paragraph" w:styleId="EndnoteText">
    <w:name w:val="endnote text"/>
    <w:basedOn w:val="Normal"/>
    <w:link w:val="EndnoteTextChar"/>
    <w:uiPriority w:val="99"/>
    <w:semiHidden/>
    <w:rsid w:val="00140F6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40F6C"/>
    <w:rPr>
      <w:rFonts w:cs="Times New Roman"/>
      <w:sz w:val="20"/>
      <w:szCs w:val="20"/>
    </w:rPr>
  </w:style>
  <w:style w:type="character" w:styleId="EndnoteReference">
    <w:name w:val="endnote reference"/>
    <w:basedOn w:val="DefaultParagraphFont"/>
    <w:uiPriority w:val="99"/>
    <w:semiHidden/>
    <w:rsid w:val="00140F6C"/>
    <w:rPr>
      <w:rFonts w:cs="Times New Roman"/>
      <w:vertAlign w:val="superscript"/>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Geneva 9"/>
    <w:basedOn w:val="Normal"/>
    <w:link w:val="FootnoteTextChar"/>
    <w:uiPriority w:val="99"/>
    <w:qFormat/>
    <w:rsid w:val="00140F6C"/>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qFormat/>
    <w:locked/>
    <w:rsid w:val="00140F6C"/>
    <w:rPr>
      <w:rFonts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R"/>
    <w:basedOn w:val="DefaultParagraphFont"/>
    <w:link w:val="CharChar1CharCharCharChar1CharCharCharCharCharCharCharChar"/>
    <w:uiPriority w:val="99"/>
    <w:qFormat/>
    <w:rsid w:val="00140F6C"/>
    <w:rPr>
      <w:rFonts w:cs="Times New Roman"/>
      <w:vertAlign w:val="superscript"/>
    </w:rPr>
  </w:style>
  <w:style w:type="character" w:customStyle="1" w:styleId="fftimenewsromanfs12pt1">
    <w:name w:val="ff_time_news_roman_fs_12pt1"/>
    <w:basedOn w:val="DefaultParagraphFont"/>
    <w:uiPriority w:val="99"/>
    <w:rsid w:val="00140F6C"/>
    <w:rPr>
      <w:rFonts w:ascii="Times New Roman" w:hAnsi="Times New Roman" w:cs="Times New Roman"/>
      <w:sz w:val="24"/>
      <w:szCs w:val="24"/>
      <w:shd w:val="clear" w:color="auto" w:fill="FFFFFF"/>
    </w:rPr>
  </w:style>
  <w:style w:type="paragraph" w:styleId="BodyTextIndent2">
    <w:name w:val="Body Text Indent 2"/>
    <w:basedOn w:val="Normal"/>
    <w:link w:val="BodyTextIndent2Char"/>
    <w:uiPriority w:val="99"/>
    <w:semiHidden/>
    <w:rsid w:val="00B30DCB"/>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30DCB"/>
    <w:rPr>
      <w:rFonts w:cs="Times New Roman"/>
    </w:rPr>
  </w:style>
  <w:style w:type="character" w:customStyle="1" w:styleId="body0020text0020indentchar">
    <w:name w:val="body_0020text_0020indent__char"/>
    <w:basedOn w:val="DefaultParagraphFont"/>
    <w:uiPriority w:val="99"/>
    <w:rsid w:val="00417B11"/>
    <w:rPr>
      <w:rFonts w:cs="Times New Roman"/>
    </w:rPr>
  </w:style>
  <w:style w:type="paragraph" w:customStyle="1" w:styleId="body0020text0020indent">
    <w:name w:val="body_0020text_0020indent"/>
    <w:basedOn w:val="Normal"/>
    <w:uiPriority w:val="99"/>
    <w:rsid w:val="00417B11"/>
    <w:pPr>
      <w:spacing w:before="100" w:beforeAutospacing="1" w:after="100" w:afterAutospacing="1" w:line="240" w:lineRule="auto"/>
    </w:pPr>
    <w:rPr>
      <w:sz w:val="24"/>
      <w:szCs w:val="24"/>
      <w:lang w:val="en-US"/>
    </w:rPr>
  </w:style>
  <w:style w:type="paragraph" w:customStyle="1" w:styleId="BodyTextTimesNewRoman">
    <w:name w:val="Body Text + Times New Roman"/>
    <w:aliases w:val="14 pt,Bold,First line:  1,27 cm,Before:  4,5 ...,5 ... ...,Normal + Justified,First line:  0,99 cm,Right:  0,2 cm,Before:  2 pt,Afte...,Normal + Times New Roman,Justified,First line:  1 cm,..."/>
    <w:next w:val="Normal"/>
    <w:link w:val="BodyTextTimesNewRomanChar"/>
    <w:uiPriority w:val="99"/>
    <w:rsid w:val="00A6679E"/>
    <w:pPr>
      <w:spacing w:before="90" w:after="90" w:line="300" w:lineRule="exact"/>
      <w:ind w:firstLine="720"/>
      <w:jc w:val="both"/>
    </w:pPr>
    <w:rPr>
      <w:b/>
      <w:bCs/>
      <w:sz w:val="28"/>
      <w:szCs w:val="28"/>
      <w:lang w:val="nl-NL"/>
    </w:rPr>
  </w:style>
  <w:style w:type="character" w:customStyle="1" w:styleId="BodyTextTimesNewRomanChar">
    <w:name w:val="Body Text + Times New Roman Char"/>
    <w:aliases w:val="14 pt Char,Bold Char,First line:  1 Char,27 cm Char,Before:  4 Char,5 ... Char,5 ... ... Char"/>
    <w:basedOn w:val="DefaultParagraphFont"/>
    <w:link w:val="BodyTextTimesNewRoman"/>
    <w:uiPriority w:val="99"/>
    <w:locked/>
    <w:rsid w:val="00A6679E"/>
    <w:rPr>
      <w:rFonts w:ascii="Times New Roman" w:hAnsi="Times New Roman" w:cs="Times New Roman"/>
      <w:b/>
      <w:bCs/>
      <w:sz w:val="28"/>
      <w:szCs w:val="28"/>
      <w:lang w:val="nl-NL" w:eastAsia="en-US"/>
    </w:rPr>
  </w:style>
  <w:style w:type="paragraph" w:styleId="BodyText2">
    <w:name w:val="Body Text 2"/>
    <w:basedOn w:val="Normal"/>
    <w:link w:val="BodyText2Char"/>
    <w:uiPriority w:val="99"/>
    <w:rsid w:val="00A6679E"/>
    <w:pPr>
      <w:spacing w:after="120" w:line="480" w:lineRule="auto"/>
    </w:pPr>
    <w:rPr>
      <w:sz w:val="24"/>
      <w:szCs w:val="24"/>
      <w:lang w:val="en-US"/>
    </w:rPr>
  </w:style>
  <w:style w:type="character" w:customStyle="1" w:styleId="BodyText2Char">
    <w:name w:val="Body Text 2 Char"/>
    <w:basedOn w:val="DefaultParagraphFont"/>
    <w:link w:val="BodyText2"/>
    <w:uiPriority w:val="99"/>
    <w:locked/>
    <w:rsid w:val="00A6679E"/>
    <w:rPr>
      <w:rFonts w:ascii="Times New Roman" w:hAnsi="Times New Roman" w:cs="Times New Roman"/>
      <w:sz w:val="24"/>
      <w:szCs w:val="24"/>
      <w:lang w:val="en-US"/>
    </w:rPr>
  </w:style>
  <w:style w:type="character" w:styleId="Strong">
    <w:name w:val="Strong"/>
    <w:basedOn w:val="DefaultParagraphFont"/>
    <w:qFormat/>
    <w:rsid w:val="00A6679E"/>
    <w:rPr>
      <w:rFonts w:cs="Times New Roman"/>
      <w:b/>
      <w:bCs/>
    </w:rPr>
  </w:style>
  <w:style w:type="character" w:customStyle="1" w:styleId="normal0020tablechar">
    <w:name w:val="normal_0020table__char"/>
    <w:basedOn w:val="DefaultParagraphFont"/>
    <w:uiPriority w:val="99"/>
    <w:rsid w:val="00FC61B7"/>
    <w:rPr>
      <w:rFonts w:cs="Times New Roman"/>
    </w:rPr>
  </w:style>
  <w:style w:type="paragraph" w:customStyle="1" w:styleId="normal0020table">
    <w:name w:val="normal_0020table"/>
    <w:basedOn w:val="Normal"/>
    <w:uiPriority w:val="99"/>
    <w:rsid w:val="00FC61B7"/>
    <w:pPr>
      <w:spacing w:before="100" w:beforeAutospacing="1" w:after="100" w:afterAutospacing="1" w:line="240" w:lineRule="auto"/>
    </w:pPr>
    <w:rPr>
      <w:sz w:val="24"/>
      <w:szCs w:val="24"/>
      <w:lang w:val="en-US"/>
    </w:rPr>
  </w:style>
  <w:style w:type="character" w:customStyle="1" w:styleId="body0020textchar">
    <w:name w:val="body_0020text__char"/>
    <w:basedOn w:val="DefaultParagraphFont"/>
    <w:rsid w:val="002E5381"/>
    <w:rPr>
      <w:rFonts w:cs="Times New Roman"/>
    </w:rPr>
  </w:style>
  <w:style w:type="paragraph" w:customStyle="1" w:styleId="body0020text">
    <w:name w:val="body_0020text"/>
    <w:basedOn w:val="Normal"/>
    <w:rsid w:val="002E5381"/>
    <w:pPr>
      <w:spacing w:before="100" w:beforeAutospacing="1" w:after="100" w:afterAutospacing="1" w:line="240" w:lineRule="auto"/>
    </w:pPr>
    <w:rPr>
      <w:sz w:val="24"/>
      <w:szCs w:val="24"/>
      <w:lang w:val="en-US"/>
    </w:rPr>
  </w:style>
  <w:style w:type="paragraph" w:styleId="Header">
    <w:name w:val="header"/>
    <w:basedOn w:val="Normal"/>
    <w:link w:val="HeaderChar"/>
    <w:uiPriority w:val="99"/>
    <w:rsid w:val="00D7181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1817"/>
    <w:rPr>
      <w:rFonts w:cs="Times New Roman"/>
    </w:rPr>
  </w:style>
  <w:style w:type="paragraph" w:styleId="BodyText">
    <w:name w:val="Body Text"/>
    <w:basedOn w:val="Normal"/>
    <w:link w:val="BodyTextChar"/>
    <w:uiPriority w:val="99"/>
    <w:rsid w:val="00142BE0"/>
    <w:pPr>
      <w:spacing w:after="120" w:line="240" w:lineRule="auto"/>
    </w:pPr>
    <w:rPr>
      <w:sz w:val="24"/>
      <w:szCs w:val="24"/>
    </w:rPr>
  </w:style>
  <w:style w:type="character" w:customStyle="1" w:styleId="BodyTextChar">
    <w:name w:val="Body Text Char"/>
    <w:basedOn w:val="DefaultParagraphFont"/>
    <w:link w:val="BodyText"/>
    <w:uiPriority w:val="99"/>
    <w:locked/>
    <w:rsid w:val="00142BE0"/>
    <w:rPr>
      <w:rFonts w:cs="Times New Roman"/>
    </w:rPr>
  </w:style>
  <w:style w:type="paragraph" w:styleId="Footer">
    <w:name w:val="footer"/>
    <w:basedOn w:val="Normal"/>
    <w:link w:val="FooterChar"/>
    <w:uiPriority w:val="99"/>
    <w:semiHidden/>
    <w:rsid w:val="00D7181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D71817"/>
    <w:rPr>
      <w:rFonts w:cs="Times New Roman"/>
    </w:rPr>
  </w:style>
  <w:style w:type="character" w:styleId="PageNumber">
    <w:name w:val="page number"/>
    <w:basedOn w:val="DefaultParagraphFont"/>
    <w:uiPriority w:val="99"/>
    <w:rsid w:val="006B1758"/>
    <w:rPr>
      <w:rFonts w:cs="Times New Roman"/>
    </w:rPr>
  </w:style>
  <w:style w:type="paragraph" w:styleId="BalloonText">
    <w:name w:val="Balloon Text"/>
    <w:basedOn w:val="Normal"/>
    <w:link w:val="BalloonTextChar"/>
    <w:uiPriority w:val="99"/>
    <w:semiHidden/>
    <w:rsid w:val="00B37F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0834"/>
    <w:rPr>
      <w:rFonts w:ascii="Times New Roman" w:hAnsi="Times New Roman" w:cs="Times New Roman"/>
      <w:sz w:val="2"/>
      <w:szCs w:val="2"/>
      <w:lang w:val="en-GB"/>
    </w:rPr>
  </w:style>
  <w:style w:type="character" w:customStyle="1" w:styleId="apple-converted-space">
    <w:name w:val="apple-converted-space"/>
    <w:basedOn w:val="DefaultParagraphFont"/>
    <w:rsid w:val="00356693"/>
    <w:rPr>
      <w:rFonts w:cs="Times New Roman"/>
    </w:rPr>
  </w:style>
  <w:style w:type="character" w:customStyle="1" w:styleId="HeaderChar1">
    <w:name w:val="Header Char1"/>
    <w:basedOn w:val="DefaultParagraphFont"/>
    <w:rsid w:val="005D6653"/>
    <w:rPr>
      <w:rFonts w:cs="Times New Roman"/>
      <w:sz w:val="24"/>
      <w:szCs w:val="24"/>
      <w:lang w:val="en-US" w:eastAsia="en-US" w:bidi="ar-SA"/>
    </w:rPr>
  </w:style>
  <w:style w:type="character" w:customStyle="1" w:styleId="BodyTextChar1">
    <w:name w:val="Body Text Char1"/>
    <w:basedOn w:val="DefaultParagraphFont"/>
    <w:uiPriority w:val="99"/>
    <w:rsid w:val="00782084"/>
    <w:rPr>
      <w:rFonts w:ascii="Calibri" w:hAnsi="Calibri" w:cs="Calibri"/>
      <w:sz w:val="24"/>
      <w:szCs w:val="24"/>
      <w:lang w:val="en-GB"/>
    </w:rPr>
  </w:style>
  <w:style w:type="paragraph" w:customStyle="1" w:styleId="msotitlecxspmiddle">
    <w:name w:val="msotitlecxspmiddle"/>
    <w:basedOn w:val="Normal"/>
    <w:rsid w:val="00583D32"/>
    <w:pPr>
      <w:spacing w:before="100" w:beforeAutospacing="1" w:after="100" w:afterAutospacing="1" w:line="240" w:lineRule="auto"/>
    </w:pPr>
    <w:rPr>
      <w:rFonts w:ascii="Times New Roman" w:hAnsi="Times New Roman" w:cs="Times New Roman"/>
      <w:sz w:val="24"/>
      <w:szCs w:val="24"/>
      <w:lang w:val="en-US"/>
    </w:rPr>
  </w:style>
  <w:style w:type="paragraph" w:customStyle="1" w:styleId="Normal10">
    <w:name w:val="Normal1"/>
    <w:basedOn w:val="Normal"/>
    <w:uiPriority w:val="99"/>
    <w:rsid w:val="00F3155E"/>
    <w:pPr>
      <w:spacing w:before="100" w:beforeAutospacing="1" w:after="100" w:afterAutospacing="1" w:line="240" w:lineRule="auto"/>
    </w:pPr>
    <w:rPr>
      <w:sz w:val="24"/>
      <w:szCs w:val="24"/>
      <w:lang w:val="en-US"/>
    </w:rPr>
  </w:style>
  <w:style w:type="character" w:customStyle="1" w:styleId="Heading1Char">
    <w:name w:val="Heading 1 Char"/>
    <w:basedOn w:val="DefaultParagraphFont"/>
    <w:link w:val="Heading1"/>
    <w:uiPriority w:val="9"/>
    <w:rsid w:val="00B54309"/>
    <w:rPr>
      <w:rFonts w:ascii="Times New Roman" w:hAnsi="Times New Roman" w:cs="Times New Roman"/>
      <w:b/>
      <w:bCs/>
      <w:kern w:val="36"/>
      <w:sz w:val="48"/>
      <w:szCs w:val="48"/>
      <w:lang w:val="en-GB" w:eastAsia="en-GB"/>
    </w:rPr>
  </w:style>
  <w:style w:type="character" w:customStyle="1" w:styleId="normalchar0">
    <w:name w:val="normalchar"/>
    <w:basedOn w:val="DefaultParagraphFont"/>
    <w:rsid w:val="00496453"/>
  </w:style>
  <w:style w:type="paragraph" w:customStyle="1" w:styleId="Normal2">
    <w:name w:val="Normal2"/>
    <w:basedOn w:val="Normal"/>
    <w:uiPriority w:val="99"/>
    <w:rsid w:val="00527154"/>
    <w:pPr>
      <w:spacing w:before="100" w:beforeAutospacing="1" w:after="100" w:afterAutospacing="1" w:line="240" w:lineRule="auto"/>
    </w:pPr>
    <w:rPr>
      <w:sz w:val="24"/>
      <w:szCs w:val="24"/>
      <w:lang w:val="en-US"/>
    </w:rPr>
  </w:style>
  <w:style w:type="character" w:customStyle="1" w:styleId="Bodytext0">
    <w:name w:val="Body text_"/>
    <w:link w:val="Bodytext1"/>
    <w:rsid w:val="00B81632"/>
    <w:rPr>
      <w:sz w:val="23"/>
      <w:szCs w:val="23"/>
      <w:shd w:val="clear" w:color="auto" w:fill="FFFFFF"/>
    </w:rPr>
  </w:style>
  <w:style w:type="paragraph" w:customStyle="1" w:styleId="Bodytext1">
    <w:name w:val="Body text1"/>
    <w:basedOn w:val="Normal"/>
    <w:link w:val="Bodytext0"/>
    <w:rsid w:val="00B81632"/>
    <w:pPr>
      <w:widowControl w:val="0"/>
      <w:shd w:val="clear" w:color="auto" w:fill="FFFFFF"/>
      <w:spacing w:before="60" w:after="60" w:line="240" w:lineRule="atLeast"/>
      <w:jc w:val="both"/>
    </w:pPr>
    <w:rPr>
      <w:sz w:val="23"/>
      <w:szCs w:val="23"/>
      <w:shd w:val="clear" w:color="auto" w:fill="FFFFFF"/>
      <w:lang w:val="en-US"/>
    </w:rPr>
  </w:style>
  <w:style w:type="character" w:styleId="Emphasis">
    <w:name w:val="Emphasis"/>
    <w:basedOn w:val="DefaultParagraphFont"/>
    <w:uiPriority w:val="20"/>
    <w:qFormat/>
    <w:locked/>
    <w:rsid w:val="00E12CFD"/>
    <w:rPr>
      <w:i/>
      <w:iCs/>
    </w:rPr>
  </w:style>
  <w:style w:type="paragraph" w:styleId="BodyTextIndent3">
    <w:name w:val="Body Text Indent 3"/>
    <w:basedOn w:val="Normal"/>
    <w:link w:val="BodyTextIndent3Char"/>
    <w:uiPriority w:val="99"/>
    <w:semiHidden/>
    <w:unhideWhenUsed/>
    <w:rsid w:val="00DF6C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F6C92"/>
    <w:rPr>
      <w:sz w:val="16"/>
      <w:szCs w:val="16"/>
      <w:lang w:val="en-GB"/>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 Char Char Char1,Char Char Char Char Char Char Char Char Char Char Char Char Char Char Char Char"/>
    <w:link w:val="NormalWeb"/>
    <w:uiPriority w:val="99"/>
    <w:rsid w:val="00A74978"/>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EF408A"/>
    <w:pPr>
      <w:spacing w:after="160" w:line="240" w:lineRule="exact"/>
    </w:pPr>
    <w:rPr>
      <w:rFonts w:cs="Times New Roman"/>
      <w:vertAlign w:val="superscript"/>
      <w:lang w:val="en-US"/>
    </w:rPr>
  </w:style>
  <w:style w:type="character" w:customStyle="1" w:styleId="ListParagraphChar">
    <w:name w:val="List Paragraph Char"/>
    <w:aliases w:val="bullet Char,bullet 1 Char,List Paragraph11 Char,Bullets Char,List Bullet-OpsManual Char,References Char,Title Style 1 Char,List Paragraph nowy Char,List Paragraph (numbered (a)) Char,Liste 1 Char,ANNEX Char,List Paragraph1 Char"/>
    <w:link w:val="ListParagraph"/>
    <w:uiPriority w:val="34"/>
    <w:rsid w:val="00EF408A"/>
    <w:rPr>
      <w:lang w:val="en-GB"/>
    </w:rPr>
  </w:style>
  <w:style w:type="character" w:customStyle="1" w:styleId="FootnoteTextChar1">
    <w:name w:val="Footnote Text Char1"/>
    <w:uiPriority w:val="99"/>
    <w:locked/>
    <w:rsid w:val="00332523"/>
    <w:rPr>
      <w:rFonts w:eastAsia="Calibri"/>
    </w:rPr>
  </w:style>
  <w:style w:type="table" w:styleId="TableGrid">
    <w:name w:val="Table Grid"/>
    <w:basedOn w:val="TableNormal"/>
    <w:uiPriority w:val="39"/>
    <w:locked/>
    <w:rsid w:val="009A0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D7987"/>
    <w:rPr>
      <w:color w:val="0000FF"/>
      <w:u w:val="single"/>
    </w:rPr>
  </w:style>
  <w:style w:type="paragraph" w:customStyle="1" w:styleId="list00203">
    <w:name w:val="list_00203"/>
    <w:basedOn w:val="Normal"/>
    <w:rsid w:val="001E22AF"/>
    <w:pPr>
      <w:spacing w:before="100" w:beforeAutospacing="1" w:after="100" w:afterAutospacing="1" w:line="240" w:lineRule="auto"/>
    </w:pPr>
    <w:rPr>
      <w:rFonts w:ascii="Times New Roman" w:hAnsi="Times New Roman" w:cs="Times New Roman"/>
      <w:sz w:val="24"/>
      <w:szCs w:val="24"/>
      <w:lang w:val="en-US"/>
    </w:rPr>
  </w:style>
  <w:style w:type="paragraph" w:customStyle="1" w:styleId="colorblack">
    <w:name w:val="colorblack"/>
    <w:basedOn w:val="Normal"/>
    <w:rsid w:val="00357E6A"/>
    <w:pPr>
      <w:spacing w:before="100" w:beforeAutospacing="1" w:after="100" w:afterAutospacing="1" w:line="240" w:lineRule="auto"/>
    </w:pPr>
    <w:rPr>
      <w:rFonts w:ascii="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56D2E"/>
    <w:rPr>
      <w:sz w:val="16"/>
      <w:szCs w:val="16"/>
    </w:rPr>
  </w:style>
  <w:style w:type="paragraph" w:styleId="CommentText">
    <w:name w:val="annotation text"/>
    <w:basedOn w:val="Normal"/>
    <w:link w:val="CommentTextChar"/>
    <w:uiPriority w:val="99"/>
    <w:semiHidden/>
    <w:unhideWhenUsed/>
    <w:rsid w:val="00856D2E"/>
    <w:pPr>
      <w:spacing w:after="16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856D2E"/>
    <w:rPr>
      <w:rFonts w:asciiTheme="minorHAnsi" w:eastAsiaTheme="minorHAnsi" w:hAnsiTheme="minorHAnsi" w:cstheme="minorBidi"/>
      <w:sz w:val="20"/>
      <w:szCs w:val="20"/>
    </w:rPr>
  </w:style>
  <w:style w:type="character" w:customStyle="1" w:styleId="fontstyle01">
    <w:name w:val="fontstyle01"/>
    <w:rsid w:val="007A300F"/>
    <w:rPr>
      <w:rFonts w:ascii="Times New Roman" w:hAnsi="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053">
      <w:bodyDiv w:val="1"/>
      <w:marLeft w:val="0"/>
      <w:marRight w:val="0"/>
      <w:marTop w:val="0"/>
      <w:marBottom w:val="0"/>
      <w:divBdr>
        <w:top w:val="none" w:sz="0" w:space="0" w:color="auto"/>
        <w:left w:val="none" w:sz="0" w:space="0" w:color="auto"/>
        <w:bottom w:val="none" w:sz="0" w:space="0" w:color="auto"/>
        <w:right w:val="none" w:sz="0" w:space="0" w:color="auto"/>
      </w:divBdr>
      <w:divsChild>
        <w:div w:id="761798856">
          <w:marLeft w:val="0"/>
          <w:marRight w:val="0"/>
          <w:marTop w:val="0"/>
          <w:marBottom w:val="0"/>
          <w:divBdr>
            <w:top w:val="none" w:sz="0" w:space="0" w:color="auto"/>
            <w:left w:val="none" w:sz="0" w:space="0" w:color="auto"/>
            <w:bottom w:val="none" w:sz="0" w:space="0" w:color="auto"/>
            <w:right w:val="none" w:sz="0" w:space="0" w:color="auto"/>
          </w:divBdr>
        </w:div>
      </w:divsChild>
    </w:div>
    <w:div w:id="879778084">
      <w:bodyDiv w:val="1"/>
      <w:marLeft w:val="0"/>
      <w:marRight w:val="0"/>
      <w:marTop w:val="0"/>
      <w:marBottom w:val="0"/>
      <w:divBdr>
        <w:top w:val="none" w:sz="0" w:space="0" w:color="auto"/>
        <w:left w:val="none" w:sz="0" w:space="0" w:color="auto"/>
        <w:bottom w:val="none" w:sz="0" w:space="0" w:color="auto"/>
        <w:right w:val="none" w:sz="0" w:space="0" w:color="auto"/>
      </w:divBdr>
    </w:div>
    <w:div w:id="1506626063">
      <w:bodyDiv w:val="1"/>
      <w:marLeft w:val="0"/>
      <w:marRight w:val="0"/>
      <w:marTop w:val="0"/>
      <w:marBottom w:val="0"/>
      <w:divBdr>
        <w:top w:val="none" w:sz="0" w:space="0" w:color="auto"/>
        <w:left w:val="none" w:sz="0" w:space="0" w:color="auto"/>
        <w:bottom w:val="none" w:sz="0" w:space="0" w:color="auto"/>
        <w:right w:val="none" w:sz="0" w:space="0" w:color="auto"/>
      </w:divBdr>
    </w:div>
    <w:div w:id="1518275169">
      <w:bodyDiv w:val="1"/>
      <w:marLeft w:val="0"/>
      <w:marRight w:val="0"/>
      <w:marTop w:val="0"/>
      <w:marBottom w:val="0"/>
      <w:divBdr>
        <w:top w:val="none" w:sz="0" w:space="0" w:color="auto"/>
        <w:left w:val="none" w:sz="0" w:space="0" w:color="auto"/>
        <w:bottom w:val="none" w:sz="0" w:space="0" w:color="auto"/>
        <w:right w:val="none" w:sz="0" w:space="0" w:color="auto"/>
      </w:divBdr>
    </w:div>
    <w:div w:id="1901481468">
      <w:marLeft w:val="0"/>
      <w:marRight w:val="0"/>
      <w:marTop w:val="0"/>
      <w:marBottom w:val="0"/>
      <w:divBdr>
        <w:top w:val="none" w:sz="0" w:space="0" w:color="auto"/>
        <w:left w:val="none" w:sz="0" w:space="0" w:color="auto"/>
        <w:bottom w:val="none" w:sz="0" w:space="0" w:color="auto"/>
        <w:right w:val="none" w:sz="0" w:space="0" w:color="auto"/>
      </w:divBdr>
    </w:div>
    <w:div w:id="1901481471">
      <w:marLeft w:val="0"/>
      <w:marRight w:val="0"/>
      <w:marTop w:val="0"/>
      <w:marBottom w:val="0"/>
      <w:divBdr>
        <w:top w:val="none" w:sz="0" w:space="0" w:color="auto"/>
        <w:left w:val="none" w:sz="0" w:space="0" w:color="auto"/>
        <w:bottom w:val="none" w:sz="0" w:space="0" w:color="auto"/>
        <w:right w:val="none" w:sz="0" w:space="0" w:color="auto"/>
      </w:divBdr>
      <w:divsChild>
        <w:div w:id="1901481469">
          <w:marLeft w:val="0"/>
          <w:marRight w:val="0"/>
          <w:marTop w:val="0"/>
          <w:marBottom w:val="0"/>
          <w:divBdr>
            <w:top w:val="none" w:sz="0" w:space="0" w:color="auto"/>
            <w:left w:val="none" w:sz="0" w:space="0" w:color="auto"/>
            <w:bottom w:val="none" w:sz="0" w:space="0" w:color="auto"/>
            <w:right w:val="none" w:sz="0" w:space="0" w:color="auto"/>
          </w:divBdr>
        </w:div>
        <w:div w:id="1901481470">
          <w:marLeft w:val="0"/>
          <w:marRight w:val="0"/>
          <w:marTop w:val="0"/>
          <w:marBottom w:val="0"/>
          <w:divBdr>
            <w:top w:val="none" w:sz="0" w:space="0" w:color="auto"/>
            <w:left w:val="none" w:sz="0" w:space="0" w:color="auto"/>
            <w:bottom w:val="none" w:sz="0" w:space="0" w:color="auto"/>
            <w:right w:val="none" w:sz="0" w:space="0" w:color="auto"/>
          </w:divBdr>
        </w:div>
        <w:div w:id="1901481472">
          <w:marLeft w:val="0"/>
          <w:marRight w:val="0"/>
          <w:marTop w:val="120"/>
          <w:marBottom w:val="120"/>
          <w:divBdr>
            <w:top w:val="none" w:sz="0" w:space="0" w:color="auto"/>
            <w:left w:val="none" w:sz="0" w:space="0" w:color="auto"/>
            <w:bottom w:val="none" w:sz="0" w:space="0" w:color="auto"/>
            <w:right w:val="none" w:sz="0" w:space="0" w:color="auto"/>
          </w:divBdr>
        </w:div>
      </w:divsChild>
    </w:div>
    <w:div w:id="1901481483">
      <w:marLeft w:val="0"/>
      <w:marRight w:val="0"/>
      <w:marTop w:val="0"/>
      <w:marBottom w:val="0"/>
      <w:divBdr>
        <w:top w:val="none" w:sz="0" w:space="0" w:color="auto"/>
        <w:left w:val="none" w:sz="0" w:space="0" w:color="auto"/>
        <w:bottom w:val="none" w:sz="0" w:space="0" w:color="auto"/>
        <w:right w:val="none" w:sz="0" w:space="0" w:color="auto"/>
      </w:divBdr>
    </w:div>
    <w:div w:id="1901481484">
      <w:marLeft w:val="0"/>
      <w:marRight w:val="0"/>
      <w:marTop w:val="0"/>
      <w:marBottom w:val="0"/>
      <w:divBdr>
        <w:top w:val="none" w:sz="0" w:space="0" w:color="auto"/>
        <w:left w:val="none" w:sz="0" w:space="0" w:color="auto"/>
        <w:bottom w:val="none" w:sz="0" w:space="0" w:color="auto"/>
        <w:right w:val="none" w:sz="0" w:space="0" w:color="auto"/>
      </w:divBdr>
      <w:divsChild>
        <w:div w:id="1901481467">
          <w:marLeft w:val="0"/>
          <w:marRight w:val="0"/>
          <w:marTop w:val="0"/>
          <w:marBottom w:val="0"/>
          <w:divBdr>
            <w:top w:val="none" w:sz="0" w:space="0" w:color="auto"/>
            <w:left w:val="none" w:sz="0" w:space="0" w:color="auto"/>
            <w:bottom w:val="none" w:sz="0" w:space="0" w:color="auto"/>
            <w:right w:val="none" w:sz="0" w:space="0" w:color="auto"/>
          </w:divBdr>
          <w:divsChild>
            <w:div w:id="1901481477">
              <w:marLeft w:val="0"/>
              <w:marRight w:val="0"/>
              <w:marTop w:val="0"/>
              <w:marBottom w:val="0"/>
              <w:divBdr>
                <w:top w:val="none" w:sz="0" w:space="0" w:color="auto"/>
                <w:left w:val="none" w:sz="0" w:space="0" w:color="auto"/>
                <w:bottom w:val="none" w:sz="0" w:space="0" w:color="auto"/>
                <w:right w:val="none" w:sz="0" w:space="0" w:color="auto"/>
              </w:divBdr>
              <w:divsChild>
                <w:div w:id="1901481480">
                  <w:marLeft w:val="0"/>
                  <w:marRight w:val="0"/>
                  <w:marTop w:val="0"/>
                  <w:marBottom w:val="300"/>
                  <w:divBdr>
                    <w:top w:val="none" w:sz="0" w:space="0" w:color="auto"/>
                    <w:left w:val="single" w:sz="6" w:space="0" w:color="CCCCCC"/>
                    <w:bottom w:val="single" w:sz="6" w:space="0" w:color="CCCCCC"/>
                    <w:right w:val="single" w:sz="6" w:space="0" w:color="CCCCCC"/>
                  </w:divBdr>
                </w:div>
              </w:divsChild>
            </w:div>
          </w:divsChild>
        </w:div>
        <w:div w:id="1901481475">
          <w:marLeft w:val="0"/>
          <w:marRight w:val="0"/>
          <w:marTop w:val="0"/>
          <w:marBottom w:val="0"/>
          <w:divBdr>
            <w:top w:val="none" w:sz="0" w:space="0" w:color="auto"/>
            <w:left w:val="none" w:sz="0" w:space="0" w:color="auto"/>
            <w:bottom w:val="none" w:sz="0" w:space="0" w:color="auto"/>
            <w:right w:val="none" w:sz="0" w:space="0" w:color="auto"/>
          </w:divBdr>
          <w:divsChild>
            <w:div w:id="1901481466">
              <w:marLeft w:val="0"/>
              <w:marRight w:val="0"/>
              <w:marTop w:val="0"/>
              <w:marBottom w:val="225"/>
              <w:divBdr>
                <w:top w:val="none" w:sz="0" w:space="0" w:color="auto"/>
                <w:left w:val="none" w:sz="0" w:space="0" w:color="auto"/>
                <w:bottom w:val="none" w:sz="0" w:space="0" w:color="auto"/>
                <w:right w:val="none" w:sz="0" w:space="0" w:color="auto"/>
              </w:divBdr>
              <w:divsChild>
                <w:div w:id="1901481478">
                  <w:marLeft w:val="0"/>
                  <w:marRight w:val="0"/>
                  <w:marTop w:val="0"/>
                  <w:marBottom w:val="225"/>
                  <w:divBdr>
                    <w:top w:val="none" w:sz="0" w:space="0" w:color="auto"/>
                    <w:left w:val="none" w:sz="0" w:space="0" w:color="auto"/>
                    <w:bottom w:val="none" w:sz="0" w:space="0" w:color="auto"/>
                    <w:right w:val="none" w:sz="0" w:space="0" w:color="auto"/>
                  </w:divBdr>
                </w:div>
                <w:div w:id="1901481479">
                  <w:marLeft w:val="0"/>
                  <w:marRight w:val="0"/>
                  <w:marTop w:val="0"/>
                  <w:marBottom w:val="225"/>
                  <w:divBdr>
                    <w:top w:val="none" w:sz="0" w:space="0" w:color="auto"/>
                    <w:left w:val="none" w:sz="0" w:space="0" w:color="auto"/>
                    <w:bottom w:val="none" w:sz="0" w:space="0" w:color="auto"/>
                    <w:right w:val="none" w:sz="0" w:space="0" w:color="auto"/>
                  </w:divBdr>
                  <w:divsChild>
                    <w:div w:id="19014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1474">
              <w:marLeft w:val="0"/>
              <w:marRight w:val="0"/>
              <w:marTop w:val="0"/>
              <w:marBottom w:val="225"/>
              <w:divBdr>
                <w:top w:val="none" w:sz="0" w:space="0" w:color="auto"/>
                <w:left w:val="none" w:sz="0" w:space="0" w:color="auto"/>
                <w:bottom w:val="none" w:sz="0" w:space="0" w:color="auto"/>
                <w:right w:val="none" w:sz="0" w:space="0" w:color="auto"/>
              </w:divBdr>
            </w:div>
            <w:div w:id="1901481476">
              <w:marLeft w:val="0"/>
              <w:marRight w:val="0"/>
              <w:marTop w:val="0"/>
              <w:marBottom w:val="225"/>
              <w:divBdr>
                <w:top w:val="none" w:sz="0" w:space="0" w:color="auto"/>
                <w:left w:val="none" w:sz="0" w:space="0" w:color="auto"/>
                <w:bottom w:val="none" w:sz="0" w:space="0" w:color="auto"/>
                <w:right w:val="none" w:sz="0" w:space="0" w:color="auto"/>
              </w:divBdr>
              <w:divsChild>
                <w:div w:id="1901481485">
                  <w:marLeft w:val="0"/>
                  <w:marRight w:val="0"/>
                  <w:marTop w:val="0"/>
                  <w:marBottom w:val="0"/>
                  <w:divBdr>
                    <w:top w:val="none" w:sz="0" w:space="0" w:color="auto"/>
                    <w:left w:val="none" w:sz="0" w:space="0" w:color="auto"/>
                    <w:bottom w:val="none" w:sz="0" w:space="0" w:color="auto"/>
                    <w:right w:val="none" w:sz="0" w:space="0" w:color="auto"/>
                  </w:divBdr>
                  <w:divsChild>
                    <w:div w:id="1901481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1481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so.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1BD8F-C941-4A92-A39C-91E491DCB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4294937200</TotalTime>
  <Pages>19</Pages>
  <Words>7702</Words>
  <Characters>41539</Characters>
  <Application>Microsoft Office Word</Application>
  <DocSecurity>0</DocSecurity>
  <Lines>346</Lines>
  <Paragraphs>98</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TCTK</Company>
  <LinksUpToDate>false</LinksUpToDate>
  <CharactersWithSpaces>49143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creator>ltanh</dc:creator>
  <cp:lastModifiedBy>Dương Thùy</cp:lastModifiedBy>
  <cp:revision>320</cp:revision>
  <cp:lastPrinted>2021-12-28T13:48:00Z</cp:lastPrinted>
  <dcterms:created xsi:type="dcterms:W3CDTF">2021-12-29T01:15:00Z</dcterms:created>
  <dcterms:modified xsi:type="dcterms:W3CDTF">2022-01-05T01:37:00Z</dcterms:modified>
</cp:coreProperties>
</file>