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7" w:type="dxa"/>
        <w:tblInd w:w="-567" w:type="dxa"/>
        <w:tblLayout w:type="fixed"/>
        <w:tblLook w:val="0000" w:firstRow="0" w:lastRow="0" w:firstColumn="0" w:lastColumn="0" w:noHBand="0" w:noVBand="0"/>
      </w:tblPr>
      <w:tblGrid>
        <w:gridCol w:w="3828"/>
        <w:gridCol w:w="6409"/>
      </w:tblGrid>
      <w:tr w:rsidR="00DB7AA7" w:rsidRPr="00456D0C" w14:paraId="4BA15736" w14:textId="77777777" w:rsidTr="001F1B45">
        <w:trPr>
          <w:trHeight w:val="718"/>
        </w:trPr>
        <w:tc>
          <w:tcPr>
            <w:tcW w:w="3828" w:type="dxa"/>
          </w:tcPr>
          <w:p w14:paraId="7A5D828B" w14:textId="77777777" w:rsidR="00DB7AA7" w:rsidRPr="00456D0C" w:rsidRDefault="00DB7AA7" w:rsidP="00A726D4">
            <w:pPr>
              <w:spacing w:after="0" w:line="264" w:lineRule="auto"/>
              <w:jc w:val="center"/>
              <w:rPr>
                <w:rFonts w:ascii="Times New Roman" w:hAnsi="Times New Roman" w:cs="Times New Roman"/>
                <w:sz w:val="28"/>
                <w:szCs w:val="28"/>
              </w:rPr>
            </w:pPr>
            <w:r w:rsidRPr="00456D0C">
              <w:rPr>
                <w:rFonts w:ascii="Times New Roman" w:hAnsi="Times New Roman" w:cs="Times New Roman"/>
                <w:sz w:val="28"/>
                <w:szCs w:val="28"/>
              </w:rPr>
              <w:t>BỘ KẾ HOẠCH VÀ ĐẦU TƯ</w:t>
            </w:r>
          </w:p>
          <w:p w14:paraId="70661165" w14:textId="77777777" w:rsidR="00DB7AA7" w:rsidRPr="00456D0C" w:rsidRDefault="00DB7AA7" w:rsidP="00F46A2D">
            <w:pPr>
              <w:spacing w:line="264" w:lineRule="auto"/>
              <w:jc w:val="center"/>
              <w:rPr>
                <w:rFonts w:ascii="Times New Roman" w:hAnsi="Times New Roman" w:cs="Times New Roman"/>
                <w:b/>
                <w:sz w:val="28"/>
                <w:szCs w:val="28"/>
              </w:rPr>
            </w:pPr>
            <w:r w:rsidRPr="00456D0C">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FC25973" wp14:editId="20618BE9">
                      <wp:simplePos x="0" y="0"/>
                      <wp:positionH relativeFrom="column">
                        <wp:posOffset>585734</wp:posOffset>
                      </wp:positionH>
                      <wp:positionV relativeFrom="paragraph">
                        <wp:posOffset>212090</wp:posOffset>
                      </wp:positionV>
                      <wp:extent cx="11176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C8045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6.7pt" to="134.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" strokecolor="black [3213]"/>
                  </w:pict>
                </mc:Fallback>
              </mc:AlternateContent>
            </w:r>
            <w:r w:rsidRPr="00456D0C">
              <w:rPr>
                <w:rFonts w:ascii="Times New Roman" w:hAnsi="Times New Roman" w:cs="Times New Roman"/>
                <w:b/>
                <w:sz w:val="28"/>
                <w:szCs w:val="28"/>
              </w:rPr>
              <w:t>TỔNG CỤC THỐNG KÊ</w:t>
            </w:r>
          </w:p>
        </w:tc>
        <w:tc>
          <w:tcPr>
            <w:tcW w:w="6409" w:type="dxa"/>
          </w:tcPr>
          <w:p w14:paraId="16B6361F" w14:textId="77777777" w:rsidR="00DB7AA7" w:rsidRPr="00456D0C" w:rsidRDefault="00DB7AA7" w:rsidP="00A726D4">
            <w:pPr>
              <w:spacing w:after="0" w:line="264" w:lineRule="auto"/>
              <w:jc w:val="center"/>
              <w:rPr>
                <w:rFonts w:ascii="Times New Roman" w:hAnsi="Times New Roman" w:cs="Times New Roman"/>
                <w:b/>
                <w:sz w:val="28"/>
                <w:szCs w:val="28"/>
              </w:rPr>
            </w:pPr>
            <w:r w:rsidRPr="00456D0C">
              <w:rPr>
                <w:rFonts w:ascii="Times New Roman" w:hAnsi="Times New Roman" w:cs="Times New Roman"/>
                <w:b/>
                <w:sz w:val="28"/>
                <w:szCs w:val="28"/>
              </w:rPr>
              <w:t>CỘNG HÒA XÃ HỘI CHỦ NGHĨA VIỆT NAM</w:t>
            </w:r>
          </w:p>
          <w:p w14:paraId="6747026D" w14:textId="77777777" w:rsidR="00DB7AA7" w:rsidRPr="00456D0C" w:rsidRDefault="00A726D4" w:rsidP="00F46A2D">
            <w:pPr>
              <w:spacing w:line="264" w:lineRule="auto"/>
              <w:jc w:val="center"/>
              <w:rPr>
                <w:rFonts w:ascii="Times New Roman" w:hAnsi="Times New Roman" w:cs="Times New Roman"/>
                <w:b/>
                <w:sz w:val="28"/>
                <w:szCs w:val="28"/>
              </w:rPr>
            </w:pPr>
            <w:r w:rsidRPr="00456D0C">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10518C25" wp14:editId="61A65902">
                      <wp:simplePos x="0" y="0"/>
                      <wp:positionH relativeFrom="column">
                        <wp:posOffset>979967</wp:posOffset>
                      </wp:positionH>
                      <wp:positionV relativeFrom="paragraph">
                        <wp:posOffset>226695</wp:posOffset>
                      </wp:positionV>
                      <wp:extent cx="2120900" cy="0"/>
                      <wp:effectExtent l="0" t="0" r="317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E819DD"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7.85pt" to="244.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gn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"/>
                  </w:pict>
                </mc:Fallback>
              </mc:AlternateContent>
            </w:r>
            <w:r w:rsidR="00DB7AA7" w:rsidRPr="00456D0C">
              <w:rPr>
                <w:rFonts w:ascii="Times New Roman" w:hAnsi="Times New Roman" w:cs="Times New Roman"/>
                <w:b/>
                <w:sz w:val="28"/>
                <w:szCs w:val="28"/>
              </w:rPr>
              <w:t xml:space="preserve">   Độc lập - Tự do - Hạnh phúc</w:t>
            </w:r>
          </w:p>
          <w:p w14:paraId="2A34EE29" w14:textId="70330AC3" w:rsidR="00DB7AA7" w:rsidRPr="00456D0C" w:rsidRDefault="00DB7AA7" w:rsidP="00145DF0">
            <w:pPr>
              <w:spacing w:before="240" w:line="264" w:lineRule="auto"/>
              <w:jc w:val="center"/>
              <w:rPr>
                <w:rFonts w:ascii="Times New Roman" w:hAnsi="Times New Roman" w:cs="Times New Roman"/>
                <w:i/>
                <w:sz w:val="28"/>
                <w:szCs w:val="28"/>
              </w:rPr>
            </w:pPr>
            <w:r w:rsidRPr="00456D0C">
              <w:rPr>
                <w:rFonts w:ascii="Times New Roman" w:hAnsi="Times New Roman" w:cs="Times New Roman"/>
                <w:b/>
                <w:i/>
                <w:sz w:val="28"/>
                <w:szCs w:val="28"/>
              </w:rPr>
              <w:t xml:space="preserve">    </w:t>
            </w:r>
            <w:r w:rsidRPr="00456D0C">
              <w:rPr>
                <w:rFonts w:ascii="Times New Roman" w:hAnsi="Times New Roman" w:cs="Times New Roman"/>
                <w:i/>
                <w:sz w:val="28"/>
                <w:szCs w:val="28"/>
                <w:lang w:val="vi-VN"/>
              </w:rPr>
              <w:t xml:space="preserve">Hà Nội, ngày </w:t>
            </w:r>
            <w:r w:rsidRPr="00456D0C">
              <w:rPr>
                <w:rFonts w:ascii="Times New Roman" w:hAnsi="Times New Roman" w:cs="Times New Roman"/>
                <w:i/>
                <w:sz w:val="28"/>
                <w:szCs w:val="28"/>
              </w:rPr>
              <w:t>1</w:t>
            </w:r>
            <w:r w:rsidR="00145DF0" w:rsidRPr="00456D0C">
              <w:rPr>
                <w:rFonts w:ascii="Times New Roman" w:hAnsi="Times New Roman" w:cs="Times New Roman"/>
                <w:i/>
                <w:sz w:val="28"/>
                <w:szCs w:val="28"/>
              </w:rPr>
              <w:t>8</w:t>
            </w:r>
            <w:r w:rsidRPr="00456D0C">
              <w:rPr>
                <w:rFonts w:ascii="Times New Roman" w:hAnsi="Times New Roman" w:cs="Times New Roman"/>
                <w:i/>
                <w:sz w:val="28"/>
                <w:szCs w:val="28"/>
              </w:rPr>
              <w:t xml:space="preserve"> </w:t>
            </w:r>
            <w:r w:rsidRPr="00456D0C">
              <w:rPr>
                <w:rFonts w:ascii="Times New Roman" w:hAnsi="Times New Roman" w:cs="Times New Roman"/>
                <w:i/>
                <w:sz w:val="28"/>
                <w:szCs w:val="28"/>
                <w:lang w:val="vi-VN"/>
              </w:rPr>
              <w:t xml:space="preserve">tháng </w:t>
            </w:r>
            <w:r w:rsidRPr="00456D0C">
              <w:rPr>
                <w:rFonts w:ascii="Times New Roman" w:hAnsi="Times New Roman" w:cs="Times New Roman"/>
                <w:i/>
                <w:sz w:val="28"/>
                <w:szCs w:val="28"/>
              </w:rPr>
              <w:t>12</w:t>
            </w:r>
            <w:r w:rsidRPr="00456D0C">
              <w:rPr>
                <w:rFonts w:ascii="Times New Roman" w:hAnsi="Times New Roman" w:cs="Times New Roman"/>
                <w:i/>
                <w:sz w:val="28"/>
                <w:szCs w:val="28"/>
                <w:lang w:val="vi-VN"/>
              </w:rPr>
              <w:t xml:space="preserve"> năm 20</w:t>
            </w:r>
            <w:r w:rsidRPr="00456D0C">
              <w:rPr>
                <w:rFonts w:ascii="Times New Roman" w:hAnsi="Times New Roman" w:cs="Times New Roman"/>
                <w:i/>
                <w:sz w:val="28"/>
                <w:szCs w:val="28"/>
              </w:rPr>
              <w:t>20</w:t>
            </w:r>
          </w:p>
        </w:tc>
      </w:tr>
    </w:tbl>
    <w:p w14:paraId="079B94ED" w14:textId="77777777" w:rsidR="00DB7AA7" w:rsidRPr="00456D0C" w:rsidRDefault="00DB7AA7" w:rsidP="00DB7AA7">
      <w:pPr>
        <w:spacing w:before="240" w:line="264" w:lineRule="auto"/>
        <w:jc w:val="center"/>
        <w:rPr>
          <w:rFonts w:ascii="Times New Roman" w:hAnsi="Times New Roman" w:cs="Times New Roman"/>
          <w:b/>
          <w:sz w:val="28"/>
          <w:szCs w:val="28"/>
        </w:rPr>
      </w:pPr>
      <w:r w:rsidRPr="00456D0C">
        <w:rPr>
          <w:rFonts w:ascii="Times New Roman" w:hAnsi="Times New Roman" w:cs="Times New Roman"/>
          <w:b/>
          <w:sz w:val="28"/>
          <w:szCs w:val="28"/>
        </w:rPr>
        <w:t>THÔNG CÁO BÁO CHÍ</w:t>
      </w:r>
    </w:p>
    <w:p w14:paraId="76AD078F" w14:textId="12329A79" w:rsidR="00A726D4" w:rsidRPr="00456D0C" w:rsidRDefault="00DB7AA7" w:rsidP="00A726D4">
      <w:pPr>
        <w:spacing w:before="120" w:after="0" w:line="264" w:lineRule="auto"/>
        <w:jc w:val="center"/>
        <w:rPr>
          <w:rFonts w:ascii="Times New Roman" w:hAnsi="Times New Roman" w:cs="Times New Roman"/>
          <w:b/>
          <w:sz w:val="28"/>
          <w:szCs w:val="28"/>
        </w:rPr>
      </w:pPr>
      <w:r w:rsidRPr="00456D0C">
        <w:rPr>
          <w:rFonts w:ascii="Times New Roman" w:hAnsi="Times New Roman" w:cs="Times New Roman"/>
          <w:b/>
          <w:sz w:val="28"/>
          <w:szCs w:val="28"/>
        </w:rPr>
        <w:t xml:space="preserve">KẾT QUẢ NGHIÊN CỨU CHUYÊN SÂU </w:t>
      </w:r>
    </w:p>
    <w:p w14:paraId="6707F361" w14:textId="77777777" w:rsidR="00DB7AA7" w:rsidRPr="00456D0C" w:rsidRDefault="00DB7AA7" w:rsidP="00A726D4">
      <w:pPr>
        <w:spacing w:line="264" w:lineRule="auto"/>
        <w:jc w:val="center"/>
        <w:rPr>
          <w:rFonts w:ascii="Times New Roman" w:hAnsi="Times New Roman" w:cs="Times New Roman"/>
          <w:b/>
          <w:sz w:val="28"/>
          <w:szCs w:val="28"/>
        </w:rPr>
      </w:pPr>
      <w:r w:rsidRPr="00456D0C">
        <w:rPr>
          <w:rFonts w:ascii="Times New Roman" w:hAnsi="Times New Roman" w:cs="Times New Roman"/>
          <w:b/>
          <w:sz w:val="28"/>
          <w:szCs w:val="28"/>
        </w:rPr>
        <w:t xml:space="preserve">TỔNG ĐIỀU TRA DÂN SỐ VÀ NHÀ Ở NĂM 2019 </w:t>
      </w:r>
    </w:p>
    <w:p w14:paraId="1F5C55A8" w14:textId="77777777" w:rsidR="008455C8" w:rsidRPr="00456D0C" w:rsidRDefault="00DB7AA7" w:rsidP="001F1B45">
      <w:pPr>
        <w:spacing w:before="120" w:after="120" w:line="340" w:lineRule="exact"/>
        <w:ind w:firstLine="720"/>
        <w:jc w:val="both"/>
        <w:rPr>
          <w:rFonts w:ascii="Times New Roman" w:hAnsi="Times New Roman" w:cs="Times New Roman"/>
          <w:sz w:val="28"/>
          <w:szCs w:val="28"/>
        </w:rPr>
      </w:pPr>
      <w:r w:rsidRPr="00456D0C">
        <w:rPr>
          <w:rFonts w:ascii="Times New Roman" w:hAnsi="Times New Roman" w:cs="Times New Roman"/>
          <w:spacing w:val="-2"/>
          <w:sz w:val="28"/>
          <w:szCs w:val="28"/>
        </w:rPr>
        <w:t xml:space="preserve">Tổng điều tra dân số và nhà ở năm 2019 được tiến hành vào thời điểm 0 giờ </w:t>
      </w:r>
      <w:r w:rsidRPr="00456D0C">
        <w:rPr>
          <w:rFonts w:ascii="Times New Roman" w:hAnsi="Times New Roman" w:cs="Times New Roman"/>
          <w:sz w:val="28"/>
          <w:szCs w:val="28"/>
        </w:rPr>
        <w:t xml:space="preserve">ngày 01/4/2019 theo Quyết định số 772/QĐ-TTg ngày 26/6/2018 của Thủ tướng Chính phủ. Đây là cuộc Tổng điều tra dân số và nhà ở lần thứ năm ở Việt Nam kể từ khi đất nước thống nhất vào năm 1975. Tổng điều tra dân số và nhà ở năm 2019 thu thập thông tin cơ bản về dân số và nhà ở trên toàn bộ lãnh thổ nước Cộng hòa xã hội chủ nghĩa Việt Nam phục vụ hoạch định các chính sách phát triển kinh tế - xã hội của đất nước và giám sát các Mục tiêu phát triển bền vững mà Chính phủ Việt Nam đã cam kết thực hiện. </w:t>
      </w:r>
    </w:p>
    <w:p w14:paraId="22234FBC" w14:textId="670A0D9F" w:rsidR="004C236E" w:rsidRPr="00456D0C" w:rsidRDefault="00DB7AA7" w:rsidP="001F1B45">
      <w:pPr>
        <w:spacing w:before="120" w:after="120" w:line="340" w:lineRule="exact"/>
        <w:ind w:firstLine="720"/>
        <w:jc w:val="both"/>
        <w:rPr>
          <w:rFonts w:ascii="Times New Roman" w:hAnsi="Times New Roman" w:cs="Times New Roman"/>
          <w:sz w:val="28"/>
          <w:szCs w:val="28"/>
        </w:rPr>
      </w:pPr>
      <w:r w:rsidRPr="00456D0C">
        <w:rPr>
          <w:rFonts w:ascii="Times New Roman" w:hAnsi="Times New Roman" w:cs="Times New Roman"/>
          <w:sz w:val="28"/>
          <w:szCs w:val="28"/>
        </w:rPr>
        <w:t xml:space="preserve">Kết quả của Tổng điều tra </w:t>
      </w:r>
      <w:r w:rsidR="00F275A2" w:rsidRPr="00456D0C">
        <w:rPr>
          <w:rFonts w:ascii="Times New Roman" w:hAnsi="Times New Roman" w:cs="Times New Roman"/>
          <w:sz w:val="28"/>
          <w:szCs w:val="28"/>
        </w:rPr>
        <w:t xml:space="preserve">dân số và nhà ở năm 2019 </w:t>
      </w:r>
      <w:r w:rsidRPr="00456D0C">
        <w:rPr>
          <w:rFonts w:ascii="Times New Roman" w:hAnsi="Times New Roman" w:cs="Times New Roman"/>
          <w:sz w:val="28"/>
          <w:szCs w:val="28"/>
        </w:rPr>
        <w:t xml:space="preserve">đã được công bố vào ngày 19/12/2019. Tiếp theo các kết quả </w:t>
      </w:r>
      <w:r w:rsidR="008455C8" w:rsidRPr="00456D0C">
        <w:rPr>
          <w:rFonts w:ascii="Times New Roman" w:hAnsi="Times New Roman" w:cs="Times New Roman"/>
          <w:sz w:val="28"/>
          <w:szCs w:val="28"/>
        </w:rPr>
        <w:t>này</w:t>
      </w:r>
      <w:r w:rsidRPr="00456D0C">
        <w:rPr>
          <w:rFonts w:ascii="Times New Roman" w:hAnsi="Times New Roman" w:cs="Times New Roman"/>
          <w:sz w:val="28"/>
          <w:szCs w:val="28"/>
        </w:rPr>
        <w:t xml:space="preserve">, Tổng cục Thống kê </w:t>
      </w:r>
      <w:r w:rsidR="008455C8" w:rsidRPr="00456D0C">
        <w:rPr>
          <w:rFonts w:ascii="Times New Roman" w:hAnsi="Times New Roman" w:cs="Times New Roman"/>
          <w:sz w:val="28"/>
          <w:szCs w:val="28"/>
        </w:rPr>
        <w:t>thực hiện</w:t>
      </w:r>
      <w:r w:rsidRPr="00456D0C">
        <w:rPr>
          <w:rFonts w:ascii="Times New Roman" w:hAnsi="Times New Roman" w:cs="Times New Roman"/>
          <w:sz w:val="28"/>
          <w:szCs w:val="28"/>
        </w:rPr>
        <w:t xml:space="preserve"> nghiên cứu phân tích </w:t>
      </w:r>
      <w:r w:rsidR="008455C8" w:rsidRPr="00456D0C">
        <w:rPr>
          <w:rFonts w:ascii="Times New Roman" w:hAnsi="Times New Roman" w:cs="Times New Roman"/>
          <w:sz w:val="28"/>
          <w:szCs w:val="28"/>
        </w:rPr>
        <w:t xml:space="preserve">chuyên </w:t>
      </w:r>
      <w:r w:rsidRPr="00456D0C">
        <w:rPr>
          <w:rFonts w:ascii="Times New Roman" w:hAnsi="Times New Roman" w:cs="Times New Roman"/>
          <w:sz w:val="28"/>
          <w:szCs w:val="28"/>
        </w:rPr>
        <w:t xml:space="preserve">sâu một số chủ đề </w:t>
      </w:r>
      <w:r w:rsidR="003636EB" w:rsidRPr="00456D0C">
        <w:rPr>
          <w:rFonts w:ascii="Times New Roman" w:hAnsi="Times New Roman" w:cs="Times New Roman"/>
          <w:sz w:val="28"/>
          <w:szCs w:val="28"/>
        </w:rPr>
        <w:t>dân số</w:t>
      </w:r>
      <w:r w:rsidR="008455C8" w:rsidRPr="00456D0C">
        <w:rPr>
          <w:rFonts w:ascii="Times New Roman" w:hAnsi="Times New Roman" w:cs="Times New Roman"/>
          <w:sz w:val="28"/>
          <w:szCs w:val="28"/>
        </w:rPr>
        <w:t xml:space="preserve">, gồm: </w:t>
      </w:r>
      <w:r w:rsidR="007504A3" w:rsidRPr="00456D0C">
        <w:rPr>
          <w:rFonts w:ascii="Times New Roman" w:hAnsi="Times New Roman" w:cs="Times New Roman"/>
          <w:sz w:val="28"/>
          <w:szCs w:val="28"/>
        </w:rPr>
        <w:t xml:space="preserve">mức sinh, </w:t>
      </w:r>
      <w:r w:rsidRPr="00456D0C">
        <w:rPr>
          <w:rFonts w:ascii="Times New Roman" w:hAnsi="Times New Roman" w:cs="Times New Roman"/>
          <w:sz w:val="28"/>
          <w:szCs w:val="28"/>
        </w:rPr>
        <w:t xml:space="preserve">mất cân bằng giới tính khi sinh, di cư và đô thị hoá, già hóa dân số, </w:t>
      </w:r>
      <w:r w:rsidR="008455C8" w:rsidRPr="00456D0C">
        <w:rPr>
          <w:rFonts w:ascii="Times New Roman" w:hAnsi="Times New Roman" w:cs="Times New Roman"/>
          <w:sz w:val="28"/>
          <w:szCs w:val="28"/>
        </w:rPr>
        <w:t>đồng thời</w:t>
      </w:r>
      <w:r w:rsidR="003636EB" w:rsidRPr="00456D0C">
        <w:rPr>
          <w:rFonts w:ascii="Times New Roman" w:hAnsi="Times New Roman" w:cs="Times New Roman"/>
          <w:sz w:val="28"/>
          <w:szCs w:val="28"/>
        </w:rPr>
        <w:t xml:space="preserve"> </w:t>
      </w:r>
      <w:r w:rsidRPr="00456D0C">
        <w:rPr>
          <w:rFonts w:ascii="Times New Roman" w:hAnsi="Times New Roman" w:cs="Times New Roman"/>
          <w:sz w:val="28"/>
          <w:szCs w:val="28"/>
        </w:rPr>
        <w:t>dự báo dân số Việt Nam giai đoạn 2019-2069</w:t>
      </w:r>
      <w:r w:rsidR="002E2524" w:rsidRPr="00456D0C">
        <w:rPr>
          <w:rFonts w:ascii="Times New Roman" w:hAnsi="Times New Roman" w:cs="Times New Roman"/>
          <w:sz w:val="28"/>
          <w:szCs w:val="28"/>
        </w:rPr>
        <w:t>. Những phát hiện chính từ nghiên cứu này</w:t>
      </w:r>
      <w:r w:rsidRPr="00456D0C">
        <w:rPr>
          <w:rFonts w:ascii="Times New Roman" w:hAnsi="Times New Roman" w:cs="Times New Roman"/>
          <w:sz w:val="28"/>
          <w:szCs w:val="28"/>
        </w:rPr>
        <w:t xml:space="preserve"> nhằm </w:t>
      </w:r>
      <w:r w:rsidR="003636EB" w:rsidRPr="00456D0C">
        <w:rPr>
          <w:rFonts w:ascii="Times New Roman" w:hAnsi="Times New Roman" w:cs="Times New Roman"/>
          <w:sz w:val="28"/>
          <w:szCs w:val="28"/>
        </w:rPr>
        <w:t xml:space="preserve">tiếp tục </w:t>
      </w:r>
      <w:r w:rsidRPr="00456D0C">
        <w:rPr>
          <w:rFonts w:ascii="Times New Roman" w:hAnsi="Times New Roman" w:cs="Times New Roman"/>
          <w:sz w:val="28"/>
          <w:szCs w:val="28"/>
        </w:rPr>
        <w:t>cung cấp bằng chứng về thực trạng</w:t>
      </w:r>
      <w:r w:rsidR="003636EB" w:rsidRPr="00456D0C">
        <w:rPr>
          <w:rFonts w:ascii="Times New Roman" w:hAnsi="Times New Roman" w:cs="Times New Roman"/>
          <w:sz w:val="28"/>
          <w:szCs w:val="28"/>
        </w:rPr>
        <w:t>, xu hướng, các nhân tố ảnh hưởng tới dân số</w:t>
      </w:r>
      <w:r w:rsidR="008455C8" w:rsidRPr="00456D0C">
        <w:rPr>
          <w:rFonts w:ascii="Times New Roman" w:hAnsi="Times New Roman" w:cs="Times New Roman"/>
          <w:sz w:val="28"/>
          <w:szCs w:val="28"/>
        </w:rPr>
        <w:t xml:space="preserve"> </w:t>
      </w:r>
      <w:r w:rsidR="002E2524" w:rsidRPr="00456D0C">
        <w:rPr>
          <w:rFonts w:ascii="Times New Roman" w:hAnsi="Times New Roman" w:cs="Times New Roman"/>
          <w:sz w:val="28"/>
          <w:szCs w:val="28"/>
        </w:rPr>
        <w:t>và</w:t>
      </w:r>
      <w:r w:rsidR="003636EB" w:rsidRPr="00456D0C">
        <w:rPr>
          <w:rFonts w:ascii="Times New Roman" w:hAnsi="Times New Roman" w:cs="Times New Roman"/>
          <w:sz w:val="28"/>
          <w:szCs w:val="28"/>
        </w:rPr>
        <w:t xml:space="preserve"> đề xuất</w:t>
      </w:r>
      <w:r w:rsidRPr="00456D0C">
        <w:rPr>
          <w:rFonts w:ascii="Times New Roman" w:hAnsi="Times New Roman" w:cs="Times New Roman"/>
          <w:sz w:val="28"/>
          <w:szCs w:val="28"/>
        </w:rPr>
        <w:t xml:space="preserve"> những khuyến nghị </w:t>
      </w:r>
      <w:r w:rsidR="002E2524" w:rsidRPr="00456D0C">
        <w:rPr>
          <w:rFonts w:ascii="Times New Roman" w:hAnsi="Times New Roman" w:cs="Times New Roman"/>
          <w:sz w:val="28"/>
          <w:szCs w:val="28"/>
        </w:rPr>
        <w:t>nhằm đạt các mục tiêu</w:t>
      </w:r>
      <w:r w:rsidRPr="00456D0C">
        <w:rPr>
          <w:rFonts w:ascii="Times New Roman" w:hAnsi="Times New Roman" w:cs="Times New Roman"/>
          <w:sz w:val="28"/>
          <w:szCs w:val="28"/>
        </w:rPr>
        <w:t xml:space="preserve"> phát triển bền vững. </w:t>
      </w:r>
    </w:p>
    <w:p w14:paraId="617C6FB5" w14:textId="6FAD4796" w:rsidR="00714202" w:rsidRPr="00456D0C" w:rsidRDefault="004C236E" w:rsidP="001F1B45">
      <w:pPr>
        <w:spacing w:before="120" w:after="120" w:line="340" w:lineRule="exact"/>
        <w:ind w:firstLine="720"/>
        <w:jc w:val="both"/>
        <w:rPr>
          <w:rFonts w:ascii="Times New Roman" w:hAnsi="Times New Roman" w:cs="Times New Roman"/>
          <w:sz w:val="28"/>
          <w:szCs w:val="28"/>
        </w:rPr>
      </w:pPr>
      <w:r w:rsidRPr="00456D0C">
        <w:rPr>
          <w:rFonts w:ascii="Times New Roman" w:hAnsi="Times New Roman" w:cs="Times New Roman"/>
          <w:sz w:val="28"/>
          <w:szCs w:val="28"/>
        </w:rPr>
        <w:t>M</w:t>
      </w:r>
      <w:r w:rsidR="00DB7AA7" w:rsidRPr="00456D0C">
        <w:rPr>
          <w:rFonts w:ascii="Times New Roman" w:hAnsi="Times New Roman" w:cs="Times New Roman"/>
          <w:sz w:val="28"/>
          <w:szCs w:val="28"/>
        </w:rPr>
        <w:t>ột số phát hiện chính dựa trên các nghiên cứu này:</w:t>
      </w:r>
    </w:p>
    <w:p w14:paraId="3D4F4E9F" w14:textId="5FECF4A8" w:rsidR="004A0AEA" w:rsidRPr="00456D0C" w:rsidRDefault="0046731D" w:rsidP="001F1B45">
      <w:pPr>
        <w:tabs>
          <w:tab w:val="left" w:pos="567"/>
        </w:tabs>
        <w:spacing w:before="120" w:after="120" w:line="340" w:lineRule="exact"/>
        <w:ind w:firstLine="709"/>
        <w:jc w:val="both"/>
        <w:rPr>
          <w:rFonts w:ascii="Times New Roman" w:hAnsi="Times New Roman" w:cs="Times New Roman"/>
          <w:sz w:val="28"/>
          <w:szCs w:val="28"/>
          <w:u w:val="single"/>
        </w:rPr>
      </w:pPr>
      <w:r w:rsidRPr="00456D0C">
        <w:rPr>
          <w:rFonts w:ascii="Times New Roman" w:hAnsi="Times New Roman" w:cs="Times New Roman"/>
          <w:b/>
          <w:sz w:val="28"/>
          <w:szCs w:val="28"/>
          <w:u w:val="single"/>
        </w:rPr>
        <w:t>M</w:t>
      </w:r>
      <w:r w:rsidR="00765BE4" w:rsidRPr="00456D0C">
        <w:rPr>
          <w:rFonts w:ascii="Times New Roman" w:hAnsi="Times New Roman" w:cs="Times New Roman"/>
          <w:b/>
          <w:sz w:val="28"/>
          <w:szCs w:val="28"/>
          <w:u w:val="single"/>
        </w:rPr>
        <w:t xml:space="preserve">ức sinh </w:t>
      </w:r>
    </w:p>
    <w:p w14:paraId="555F8308" w14:textId="630C4E9A" w:rsidR="00D93D85" w:rsidRPr="00456D0C" w:rsidRDefault="00765BE4" w:rsidP="001F1B45">
      <w:pPr>
        <w:pStyle w:val="Para"/>
        <w:numPr>
          <w:ilvl w:val="0"/>
          <w:numId w:val="15"/>
        </w:numPr>
        <w:spacing w:before="120" w:after="120" w:line="340" w:lineRule="exact"/>
        <w:ind w:left="0" w:firstLine="709"/>
        <w:rPr>
          <w:rFonts w:ascii="Times New Roman" w:hAnsi="Times New Roman" w:cs="Times New Roman"/>
          <w:sz w:val="28"/>
          <w:szCs w:val="28"/>
        </w:rPr>
      </w:pPr>
      <w:r w:rsidRPr="00456D0C">
        <w:rPr>
          <w:rFonts w:ascii="Times New Roman" w:hAnsi="Times New Roman" w:cs="Times New Roman"/>
          <w:sz w:val="28"/>
          <w:szCs w:val="28"/>
        </w:rPr>
        <w:t>Trong vòng 30 năm qua, mức sinh của Việt Nam đã giảm gần một nửa</w:t>
      </w:r>
      <w:r w:rsidR="00EB2F83" w:rsidRPr="00456D0C">
        <w:rPr>
          <w:rFonts w:ascii="Times New Roman" w:hAnsi="Times New Roman" w:cs="Times New Roman"/>
          <w:sz w:val="28"/>
          <w:szCs w:val="28"/>
        </w:rPr>
        <w:t>:</w:t>
      </w:r>
      <w:r w:rsidR="002E2524" w:rsidRPr="00456D0C">
        <w:rPr>
          <w:rFonts w:ascii="Times New Roman" w:hAnsi="Times New Roman" w:cs="Times New Roman"/>
          <w:sz w:val="28"/>
          <w:szCs w:val="28"/>
        </w:rPr>
        <w:t xml:space="preserve"> t</w:t>
      </w:r>
      <w:r w:rsidR="00A8202E" w:rsidRPr="00456D0C">
        <w:rPr>
          <w:rFonts w:ascii="Times New Roman" w:hAnsi="Times New Roman" w:cs="Times New Roman"/>
          <w:sz w:val="28"/>
          <w:szCs w:val="28"/>
        </w:rPr>
        <w:t xml:space="preserve">ổng tỷ suất </w:t>
      </w:r>
      <w:r w:rsidRPr="00456D0C">
        <w:rPr>
          <w:rFonts w:ascii="Times New Roman" w:hAnsi="Times New Roman" w:cs="Times New Roman"/>
          <w:sz w:val="28"/>
          <w:szCs w:val="28"/>
        </w:rPr>
        <w:t xml:space="preserve">sinh </w:t>
      </w:r>
      <w:r w:rsidR="00EB2F83" w:rsidRPr="00456D0C">
        <w:rPr>
          <w:rFonts w:ascii="Times New Roman" w:hAnsi="Times New Roman" w:cs="Times New Roman"/>
          <w:sz w:val="28"/>
          <w:szCs w:val="28"/>
        </w:rPr>
        <w:t xml:space="preserve">(TFR) </w:t>
      </w:r>
      <w:r w:rsidR="002646C1" w:rsidRPr="00456D0C">
        <w:rPr>
          <w:rFonts w:ascii="Times New Roman" w:hAnsi="Times New Roman" w:cs="Times New Roman"/>
          <w:sz w:val="28"/>
          <w:szCs w:val="28"/>
        </w:rPr>
        <w:t xml:space="preserve">giảm </w:t>
      </w:r>
      <w:r w:rsidR="00A8202E" w:rsidRPr="00456D0C">
        <w:rPr>
          <w:rFonts w:ascii="Times New Roman" w:hAnsi="Times New Roman" w:cs="Times New Roman"/>
          <w:sz w:val="28"/>
          <w:szCs w:val="28"/>
        </w:rPr>
        <w:t xml:space="preserve">từ </w:t>
      </w:r>
      <w:r w:rsidRPr="00456D0C">
        <w:rPr>
          <w:rFonts w:ascii="Times New Roman" w:hAnsi="Times New Roman" w:cs="Times New Roman"/>
          <w:sz w:val="28"/>
          <w:szCs w:val="28"/>
        </w:rPr>
        <w:t>3,80 con/phụ nữ vào năm 1989 xuống còn 2,09 con/phụ nữ vào năm 2019</w:t>
      </w:r>
      <w:r w:rsidR="008E7171" w:rsidRPr="00456D0C">
        <w:rPr>
          <w:rFonts w:ascii="Times New Roman" w:hAnsi="Times New Roman" w:cs="Times New Roman"/>
          <w:sz w:val="28"/>
          <w:szCs w:val="28"/>
        </w:rPr>
        <w:t>.</w:t>
      </w:r>
      <w:r w:rsidR="002646C1" w:rsidRPr="00456D0C">
        <w:rPr>
          <w:rFonts w:ascii="Times New Roman" w:hAnsi="Times New Roman" w:cs="Times New Roman"/>
          <w:sz w:val="28"/>
          <w:szCs w:val="28"/>
        </w:rPr>
        <w:t xml:space="preserve"> </w:t>
      </w:r>
      <w:r w:rsidR="00A8202E" w:rsidRPr="00456D0C">
        <w:rPr>
          <w:rFonts w:ascii="Times New Roman" w:hAnsi="Times New Roman" w:cs="Times New Roman"/>
          <w:sz w:val="28"/>
          <w:szCs w:val="28"/>
        </w:rPr>
        <w:t xml:space="preserve">Việt Nam vẫn duy trì mức sinh ổn định ở mức thay thế trong hơn một thập kỷ qua, xu hướng sinh hai con vẫn là phổ biến. </w:t>
      </w:r>
      <w:r w:rsidR="002B46E2" w:rsidRPr="00456D0C">
        <w:rPr>
          <w:rFonts w:ascii="Times New Roman" w:hAnsi="Times New Roman" w:cs="Times New Roman"/>
          <w:sz w:val="28"/>
          <w:szCs w:val="28"/>
        </w:rPr>
        <w:t xml:space="preserve">Kết quả này </w:t>
      </w:r>
      <w:r w:rsidRPr="00456D0C">
        <w:rPr>
          <w:rFonts w:ascii="Times New Roman" w:hAnsi="Times New Roman" w:cs="Times New Roman"/>
          <w:sz w:val="28"/>
          <w:szCs w:val="28"/>
        </w:rPr>
        <w:t xml:space="preserve">tiếp tục khẳng định, Việt Nam đã thực hiện thành công chương trình Dân số kế hoạch hóa gia đình </w:t>
      </w:r>
      <w:r w:rsidR="008E7171" w:rsidRPr="00456D0C">
        <w:rPr>
          <w:rFonts w:ascii="Times New Roman" w:hAnsi="Times New Roman" w:cs="Times New Roman"/>
          <w:sz w:val="28"/>
          <w:szCs w:val="28"/>
        </w:rPr>
        <w:t>đối với mục tiêu</w:t>
      </w:r>
      <w:r w:rsidRPr="00456D0C">
        <w:rPr>
          <w:rFonts w:ascii="Times New Roman" w:hAnsi="Times New Roman" w:cs="Times New Roman"/>
          <w:sz w:val="28"/>
          <w:szCs w:val="28"/>
        </w:rPr>
        <w:t xml:space="preserve"> giảm sinh</w:t>
      </w:r>
      <w:r w:rsidR="00010DBF" w:rsidRPr="00456D0C">
        <w:rPr>
          <w:rFonts w:ascii="Times New Roman" w:hAnsi="Times New Roman" w:cs="Times New Roman"/>
          <w:sz w:val="28"/>
          <w:szCs w:val="28"/>
        </w:rPr>
        <w:t>.</w:t>
      </w:r>
      <w:r w:rsidR="002B46E2" w:rsidRPr="00456D0C" w:rsidDel="002B46E2">
        <w:rPr>
          <w:rFonts w:ascii="Times New Roman" w:hAnsi="Times New Roman" w:cs="Times New Roman"/>
          <w:sz w:val="28"/>
          <w:szCs w:val="28"/>
        </w:rPr>
        <w:t xml:space="preserve"> </w:t>
      </w:r>
    </w:p>
    <w:p w14:paraId="0780AB00" w14:textId="7B89579E" w:rsidR="006B7BE7" w:rsidRPr="00456D0C" w:rsidRDefault="002E2524" w:rsidP="001F1B45">
      <w:pPr>
        <w:pStyle w:val="ListParagraph"/>
        <w:numPr>
          <w:ilvl w:val="0"/>
          <w:numId w:val="15"/>
        </w:numPr>
        <w:spacing w:before="120" w:after="120" w:line="340" w:lineRule="exact"/>
        <w:ind w:left="0" w:firstLine="709"/>
        <w:contextualSpacing w:val="0"/>
        <w:jc w:val="both"/>
        <w:rPr>
          <w:rFonts w:eastAsiaTheme="minorHAnsi"/>
          <w:sz w:val="28"/>
          <w:szCs w:val="28"/>
          <w:lang w:val="vi-VN"/>
        </w:rPr>
        <w:sectPr w:rsidR="006B7BE7" w:rsidRPr="00456D0C" w:rsidSect="001F1B45">
          <w:headerReference w:type="default" r:id="rId9"/>
          <w:headerReference w:type="first" r:id="rId10"/>
          <w:pgSz w:w="11907" w:h="16840" w:code="9"/>
          <w:pgMar w:top="1134" w:right="1134" w:bottom="1134" w:left="1701" w:header="720" w:footer="720" w:gutter="0"/>
          <w:cols w:space="720"/>
          <w:docGrid w:linePitch="360"/>
        </w:sectPr>
      </w:pPr>
      <w:r w:rsidRPr="00456D0C">
        <w:rPr>
          <w:sz w:val="28"/>
          <w:szCs w:val="28"/>
        </w:rPr>
        <w:t>Hiện nay,</w:t>
      </w:r>
      <w:r w:rsidR="002646C1" w:rsidRPr="00456D0C">
        <w:rPr>
          <w:sz w:val="28"/>
          <w:szCs w:val="28"/>
        </w:rPr>
        <w:t xml:space="preserve"> </w:t>
      </w:r>
      <w:r w:rsidR="00783FA1" w:rsidRPr="00456D0C">
        <w:rPr>
          <w:sz w:val="28"/>
          <w:szCs w:val="28"/>
        </w:rPr>
        <w:t>mức sinh</w:t>
      </w:r>
      <w:r w:rsidR="00765BE4" w:rsidRPr="00456D0C">
        <w:rPr>
          <w:rFonts w:eastAsiaTheme="minorHAnsi"/>
          <w:sz w:val="28"/>
          <w:szCs w:val="28"/>
        </w:rPr>
        <w:t xml:space="preserve"> của khu vực nông thôn </w:t>
      </w:r>
      <w:r w:rsidR="004F45F7" w:rsidRPr="00456D0C">
        <w:rPr>
          <w:rFonts w:eastAsiaTheme="minorHAnsi"/>
          <w:sz w:val="28"/>
          <w:szCs w:val="28"/>
        </w:rPr>
        <w:t xml:space="preserve">cao hơn của khu vực thành thị và </w:t>
      </w:r>
      <w:r w:rsidR="00765BE4" w:rsidRPr="00456D0C">
        <w:rPr>
          <w:rFonts w:eastAsiaTheme="minorHAnsi"/>
          <w:sz w:val="28"/>
          <w:szCs w:val="28"/>
        </w:rPr>
        <w:t>cao hơn mức sinh thay thế</w:t>
      </w:r>
      <w:r w:rsidR="00783FA1" w:rsidRPr="00456D0C">
        <w:rPr>
          <w:rFonts w:eastAsiaTheme="minorHAnsi"/>
          <w:sz w:val="28"/>
          <w:szCs w:val="28"/>
        </w:rPr>
        <w:t xml:space="preserve">, TFR </w:t>
      </w:r>
      <w:r w:rsidR="00765BE4" w:rsidRPr="00456D0C">
        <w:rPr>
          <w:rFonts w:eastAsiaTheme="minorHAnsi"/>
          <w:sz w:val="28"/>
          <w:szCs w:val="28"/>
        </w:rPr>
        <w:t xml:space="preserve">tương ứng là 2,26 con/phụ nữ và 1,83 con/phụ nữ. Trung du và miền núi phía Bắc và Tây Nguyên là các vùng có </w:t>
      </w:r>
      <w:r w:rsidR="00783FA1" w:rsidRPr="00456D0C">
        <w:rPr>
          <w:sz w:val="28"/>
          <w:szCs w:val="28"/>
        </w:rPr>
        <w:t>mức sinh</w:t>
      </w:r>
      <w:r w:rsidR="00765BE4" w:rsidRPr="00456D0C">
        <w:rPr>
          <w:rFonts w:eastAsiaTheme="minorHAnsi"/>
          <w:sz w:val="28"/>
          <w:szCs w:val="28"/>
        </w:rPr>
        <w:t xml:space="preserve"> cao nhất </w:t>
      </w:r>
      <w:r w:rsidR="004A0AEA" w:rsidRPr="00456D0C">
        <w:rPr>
          <w:rFonts w:eastAsiaTheme="minorHAnsi"/>
          <w:sz w:val="28"/>
          <w:szCs w:val="28"/>
        </w:rPr>
        <w:t>cả nước</w:t>
      </w:r>
      <w:r w:rsidRPr="00456D0C">
        <w:rPr>
          <w:rFonts w:eastAsiaTheme="minorHAnsi"/>
          <w:sz w:val="28"/>
          <w:szCs w:val="28"/>
        </w:rPr>
        <w:t xml:space="preserve">, </w:t>
      </w:r>
      <w:r w:rsidR="002646C1" w:rsidRPr="00456D0C">
        <w:rPr>
          <w:sz w:val="28"/>
          <w:szCs w:val="28"/>
        </w:rPr>
        <w:t xml:space="preserve">với </w:t>
      </w:r>
      <w:r w:rsidR="00783FA1" w:rsidRPr="00456D0C">
        <w:rPr>
          <w:sz w:val="28"/>
          <w:szCs w:val="28"/>
        </w:rPr>
        <w:t xml:space="preserve">TFR </w:t>
      </w:r>
      <w:r w:rsidR="00765BE4" w:rsidRPr="00456D0C">
        <w:rPr>
          <w:rFonts w:eastAsiaTheme="minorHAnsi"/>
          <w:sz w:val="28"/>
          <w:szCs w:val="28"/>
        </w:rPr>
        <w:t>mỗi vùng là 2,43 con/phụ nữ</w:t>
      </w:r>
      <w:r w:rsidR="00EB2F83" w:rsidRPr="00456D0C">
        <w:rPr>
          <w:rFonts w:eastAsiaTheme="minorHAnsi"/>
          <w:sz w:val="28"/>
          <w:szCs w:val="28"/>
        </w:rPr>
        <w:t xml:space="preserve">. </w:t>
      </w:r>
      <w:r w:rsidR="00765BE4" w:rsidRPr="00456D0C">
        <w:rPr>
          <w:rFonts w:eastAsiaTheme="minorHAnsi"/>
          <w:sz w:val="28"/>
          <w:szCs w:val="28"/>
          <w:lang w:val="vi-VN"/>
        </w:rPr>
        <w:t xml:space="preserve">Đông Nam Bộ và Đồng bằng sông Cửu Long là hai vùng có </w:t>
      </w:r>
      <w:r w:rsidR="00783FA1" w:rsidRPr="00456D0C">
        <w:rPr>
          <w:rFonts w:eastAsiaTheme="minorHAnsi"/>
          <w:sz w:val="28"/>
          <w:szCs w:val="28"/>
        </w:rPr>
        <w:t>mức sinh</w:t>
      </w:r>
      <w:r w:rsidR="00765BE4" w:rsidRPr="00456D0C">
        <w:rPr>
          <w:rFonts w:eastAsiaTheme="minorHAnsi"/>
          <w:sz w:val="28"/>
          <w:szCs w:val="28"/>
          <w:lang w:val="vi-VN"/>
        </w:rPr>
        <w:t xml:space="preserve"> thấp nhất cả nước</w:t>
      </w:r>
      <w:r w:rsidRPr="00456D0C">
        <w:rPr>
          <w:rFonts w:eastAsiaTheme="minorHAnsi"/>
          <w:sz w:val="28"/>
          <w:szCs w:val="28"/>
        </w:rPr>
        <w:t xml:space="preserve">, </w:t>
      </w:r>
      <w:r w:rsidR="00783FA1" w:rsidRPr="00456D0C">
        <w:rPr>
          <w:rFonts w:eastAsiaTheme="minorHAnsi"/>
          <w:sz w:val="28"/>
          <w:szCs w:val="28"/>
        </w:rPr>
        <w:t xml:space="preserve">TFR </w:t>
      </w:r>
      <w:r w:rsidRPr="00456D0C">
        <w:rPr>
          <w:rFonts w:eastAsiaTheme="minorHAnsi"/>
          <w:sz w:val="28"/>
          <w:szCs w:val="28"/>
        </w:rPr>
        <w:t>t</w:t>
      </w:r>
      <w:r w:rsidR="00765BE4" w:rsidRPr="00456D0C">
        <w:rPr>
          <w:rFonts w:eastAsiaTheme="minorHAnsi"/>
          <w:sz w:val="28"/>
          <w:szCs w:val="28"/>
          <w:lang w:val="vi-VN"/>
        </w:rPr>
        <w:t>ương ứng là 1,56 con/phụ nữ và 1,8 con/phụ nữ</w:t>
      </w:r>
      <w:r w:rsidR="006B7BE7" w:rsidRPr="00456D0C">
        <w:rPr>
          <w:rFonts w:eastAsiaTheme="minorHAnsi"/>
          <w:sz w:val="28"/>
          <w:szCs w:val="28"/>
          <w:lang w:val="vi-VN"/>
        </w:rPr>
        <w:t>.</w:t>
      </w:r>
    </w:p>
    <w:p w14:paraId="0AEE2A5F" w14:textId="5D53F1C3" w:rsidR="00765BE4" w:rsidRPr="00456D0C" w:rsidRDefault="004A0AEA" w:rsidP="006B7BE7">
      <w:pPr>
        <w:pStyle w:val="ListParagraph"/>
        <w:numPr>
          <w:ilvl w:val="0"/>
          <w:numId w:val="15"/>
        </w:numPr>
        <w:spacing w:before="100" w:after="100" w:line="340" w:lineRule="exact"/>
        <w:ind w:left="0" w:firstLine="709"/>
        <w:contextualSpacing w:val="0"/>
        <w:jc w:val="both"/>
        <w:rPr>
          <w:sz w:val="28"/>
          <w:szCs w:val="28"/>
        </w:rPr>
      </w:pPr>
      <w:r w:rsidRPr="00456D0C">
        <w:rPr>
          <w:spacing w:val="-6"/>
          <w:sz w:val="28"/>
          <w:szCs w:val="28"/>
        </w:rPr>
        <w:lastRenderedPageBreak/>
        <w:t>Năm 2019, t</w:t>
      </w:r>
      <w:r w:rsidR="004F45F7" w:rsidRPr="00456D0C">
        <w:rPr>
          <w:spacing w:val="-6"/>
          <w:sz w:val="28"/>
          <w:szCs w:val="28"/>
        </w:rPr>
        <w:t xml:space="preserve">rong số 63 tỉnh, thành phố trực thuộc Trung ương, </w:t>
      </w:r>
      <w:r w:rsidR="00783FA1" w:rsidRPr="00456D0C">
        <w:rPr>
          <w:spacing w:val="-6"/>
          <w:sz w:val="28"/>
          <w:szCs w:val="28"/>
        </w:rPr>
        <w:t xml:space="preserve">tỉnh </w:t>
      </w:r>
      <w:r w:rsidR="00765BE4" w:rsidRPr="00456D0C">
        <w:rPr>
          <w:spacing w:val="-6"/>
          <w:sz w:val="28"/>
          <w:szCs w:val="28"/>
        </w:rPr>
        <w:t>Hà Tĩnh</w:t>
      </w:r>
      <w:r w:rsidR="00765BE4" w:rsidRPr="00456D0C">
        <w:rPr>
          <w:spacing w:val="-2"/>
          <w:sz w:val="28"/>
          <w:szCs w:val="28"/>
        </w:rPr>
        <w:t xml:space="preserve"> </w:t>
      </w:r>
      <w:r w:rsidR="00783FA1" w:rsidRPr="00456D0C">
        <w:rPr>
          <w:spacing w:val="-2"/>
          <w:sz w:val="28"/>
          <w:szCs w:val="28"/>
        </w:rPr>
        <w:t>có mức sinh</w:t>
      </w:r>
      <w:r w:rsidR="004F45F7" w:rsidRPr="00456D0C">
        <w:rPr>
          <w:spacing w:val="-2"/>
          <w:sz w:val="28"/>
          <w:szCs w:val="28"/>
        </w:rPr>
        <w:t xml:space="preserve"> </w:t>
      </w:r>
      <w:r w:rsidR="00765BE4" w:rsidRPr="00456D0C">
        <w:rPr>
          <w:spacing w:val="-2"/>
          <w:sz w:val="28"/>
          <w:szCs w:val="28"/>
        </w:rPr>
        <w:t>cao nhất (2,83 con/phụ nữ)</w:t>
      </w:r>
      <w:r w:rsidR="004F45F7" w:rsidRPr="00456D0C">
        <w:rPr>
          <w:spacing w:val="-2"/>
          <w:sz w:val="28"/>
          <w:szCs w:val="28"/>
        </w:rPr>
        <w:t>,</w:t>
      </w:r>
      <w:r w:rsidR="00765BE4" w:rsidRPr="00456D0C">
        <w:rPr>
          <w:spacing w:val="-2"/>
          <w:sz w:val="28"/>
          <w:szCs w:val="28"/>
        </w:rPr>
        <w:t xml:space="preserve"> cao hơn gấp hai lần so với địa phương có mức sinh thấp nhất là </w:t>
      </w:r>
      <w:r w:rsidR="005D7821" w:rsidRPr="00456D0C">
        <w:rPr>
          <w:spacing w:val="-2"/>
          <w:sz w:val="28"/>
          <w:szCs w:val="28"/>
        </w:rPr>
        <w:t>T</w:t>
      </w:r>
      <w:r w:rsidR="00765BE4" w:rsidRPr="00456D0C">
        <w:rPr>
          <w:spacing w:val="-2"/>
          <w:sz w:val="28"/>
          <w:szCs w:val="28"/>
        </w:rPr>
        <w:t>hành phố Hồ</w:t>
      </w:r>
      <w:r w:rsidR="004F45F7" w:rsidRPr="00456D0C">
        <w:rPr>
          <w:spacing w:val="-2"/>
          <w:sz w:val="28"/>
          <w:szCs w:val="28"/>
        </w:rPr>
        <w:t xml:space="preserve"> Chí Minh (</w:t>
      </w:r>
      <w:r w:rsidR="00765BE4" w:rsidRPr="00456D0C">
        <w:rPr>
          <w:spacing w:val="-2"/>
          <w:sz w:val="28"/>
          <w:szCs w:val="28"/>
        </w:rPr>
        <w:t>1,39 con/phụ nữ). Trong vòng</w:t>
      </w:r>
      <w:r w:rsidR="00ED76F0" w:rsidRPr="00456D0C">
        <w:rPr>
          <w:spacing w:val="-2"/>
          <w:sz w:val="28"/>
          <w:szCs w:val="28"/>
        </w:rPr>
        <w:t xml:space="preserve"> </w:t>
      </w:r>
      <w:r w:rsidR="00765BE4" w:rsidRPr="00456D0C">
        <w:rPr>
          <w:sz w:val="28"/>
          <w:szCs w:val="28"/>
        </w:rPr>
        <w:t xml:space="preserve">10 năm qua, </w:t>
      </w:r>
      <w:r w:rsidR="004F45F7" w:rsidRPr="00456D0C">
        <w:rPr>
          <w:sz w:val="28"/>
          <w:szCs w:val="28"/>
        </w:rPr>
        <w:t xml:space="preserve">toàn quốc có </w:t>
      </w:r>
      <w:r w:rsidR="00765BE4" w:rsidRPr="00456D0C">
        <w:rPr>
          <w:sz w:val="28"/>
          <w:szCs w:val="28"/>
        </w:rPr>
        <w:t xml:space="preserve">29 tỉnh </w:t>
      </w:r>
      <w:r w:rsidR="004F45F7" w:rsidRPr="00456D0C">
        <w:rPr>
          <w:sz w:val="28"/>
          <w:szCs w:val="28"/>
        </w:rPr>
        <w:t xml:space="preserve">ghi nhận </w:t>
      </w:r>
      <w:r w:rsidR="00765BE4" w:rsidRPr="00456D0C">
        <w:rPr>
          <w:sz w:val="28"/>
          <w:szCs w:val="28"/>
        </w:rPr>
        <w:t xml:space="preserve">mức sinh giảm và 33 tỉnh </w:t>
      </w:r>
      <w:r w:rsidR="004F45F7" w:rsidRPr="00456D0C">
        <w:rPr>
          <w:sz w:val="28"/>
          <w:szCs w:val="28"/>
        </w:rPr>
        <w:t>ghi nhận</w:t>
      </w:r>
      <w:r w:rsidR="00765BE4" w:rsidRPr="00456D0C">
        <w:rPr>
          <w:sz w:val="28"/>
          <w:szCs w:val="28"/>
        </w:rPr>
        <w:t xml:space="preserve"> mức sinh tăng, Sóc Trăng là địa phương </w:t>
      </w:r>
      <w:r w:rsidR="004F45F7" w:rsidRPr="00456D0C">
        <w:rPr>
          <w:sz w:val="28"/>
          <w:szCs w:val="28"/>
        </w:rPr>
        <w:t xml:space="preserve">duy nhất </w:t>
      </w:r>
      <w:r w:rsidR="00765BE4" w:rsidRPr="00456D0C">
        <w:rPr>
          <w:sz w:val="28"/>
          <w:szCs w:val="28"/>
        </w:rPr>
        <w:t>có mức sinh không thay đổi.</w:t>
      </w:r>
    </w:p>
    <w:p w14:paraId="2A42ECDD" w14:textId="57EA8A31" w:rsidR="00765BE4" w:rsidRPr="00456D0C" w:rsidRDefault="00131BD8" w:rsidP="006B7BE7">
      <w:pPr>
        <w:pStyle w:val="ListParagraph"/>
        <w:numPr>
          <w:ilvl w:val="0"/>
          <w:numId w:val="15"/>
        </w:numPr>
        <w:spacing w:before="100" w:after="100" w:line="340" w:lineRule="exact"/>
        <w:ind w:left="0" w:firstLine="709"/>
        <w:contextualSpacing w:val="0"/>
        <w:jc w:val="both"/>
        <w:rPr>
          <w:sz w:val="28"/>
          <w:szCs w:val="28"/>
        </w:rPr>
      </w:pPr>
      <w:r w:rsidRPr="00456D0C">
        <w:rPr>
          <w:sz w:val="28"/>
          <w:szCs w:val="28"/>
        </w:rPr>
        <w:t>Trong số các dân tộc có quy</w:t>
      </w:r>
      <w:r w:rsidR="00765BE4" w:rsidRPr="00456D0C">
        <w:rPr>
          <w:sz w:val="28"/>
          <w:szCs w:val="28"/>
        </w:rPr>
        <w:t xml:space="preserve"> mô dân số trên 1 triệu người</w:t>
      </w:r>
      <w:r w:rsidR="009061DB" w:rsidRPr="00456D0C">
        <w:rPr>
          <w:sz w:val="28"/>
          <w:szCs w:val="28"/>
        </w:rPr>
        <w:t xml:space="preserve"> (Kinh, Tày, Thái, Khmer, Mường</w:t>
      </w:r>
      <w:r w:rsidR="00765BE4" w:rsidRPr="00456D0C">
        <w:rPr>
          <w:sz w:val="28"/>
          <w:szCs w:val="28"/>
        </w:rPr>
        <w:t xml:space="preserve">, </w:t>
      </w:r>
      <w:r w:rsidR="003A5340" w:rsidRPr="00456D0C">
        <w:rPr>
          <w:sz w:val="28"/>
          <w:szCs w:val="28"/>
        </w:rPr>
        <w:t>M</w:t>
      </w:r>
      <w:r w:rsidR="00594B9D" w:rsidRPr="00456D0C">
        <w:rPr>
          <w:sz w:val="28"/>
          <w:szCs w:val="28"/>
        </w:rPr>
        <w:t>ô</w:t>
      </w:r>
      <w:r w:rsidR="003A5340" w:rsidRPr="00456D0C">
        <w:rPr>
          <w:sz w:val="28"/>
          <w:szCs w:val="28"/>
        </w:rPr>
        <w:t>ng, Nùng)</w:t>
      </w:r>
      <w:r w:rsidR="00783FA1" w:rsidRPr="00456D0C">
        <w:rPr>
          <w:sz w:val="28"/>
          <w:szCs w:val="28"/>
        </w:rPr>
        <w:t>,</w:t>
      </w:r>
      <w:r w:rsidR="003A5340" w:rsidRPr="00456D0C">
        <w:rPr>
          <w:sz w:val="28"/>
          <w:szCs w:val="28"/>
        </w:rPr>
        <w:t xml:space="preserve"> </w:t>
      </w:r>
      <w:r w:rsidR="00765BE4" w:rsidRPr="00456D0C">
        <w:rPr>
          <w:sz w:val="28"/>
          <w:szCs w:val="28"/>
        </w:rPr>
        <w:t>d</w:t>
      </w:r>
      <w:r w:rsidR="00765BE4" w:rsidRPr="00456D0C">
        <w:rPr>
          <w:sz w:val="28"/>
          <w:szCs w:val="28"/>
          <w:lang w:val="vi-VN"/>
        </w:rPr>
        <w:t>ân tộc Mông có mức sinh cao nhất</w:t>
      </w:r>
      <w:r w:rsidR="003A5340" w:rsidRPr="00456D0C">
        <w:rPr>
          <w:sz w:val="28"/>
          <w:szCs w:val="28"/>
        </w:rPr>
        <w:t>. Trải qua ba thập kỷ, mức sinh của các dân tộc này đều giảm, trong đó dân tộc Mông có mức sinh giảm nhiều nhất (</w:t>
      </w:r>
      <w:r w:rsidR="00CA7A61" w:rsidRPr="00456D0C">
        <w:rPr>
          <w:sz w:val="28"/>
          <w:szCs w:val="28"/>
        </w:rPr>
        <w:t xml:space="preserve">năm </w:t>
      </w:r>
      <w:r w:rsidR="003A5340" w:rsidRPr="00456D0C">
        <w:rPr>
          <w:sz w:val="28"/>
          <w:szCs w:val="28"/>
        </w:rPr>
        <w:t xml:space="preserve">1989: 9,30 con/phụ nữ; </w:t>
      </w:r>
      <w:r w:rsidR="00CA7A61" w:rsidRPr="00456D0C">
        <w:rPr>
          <w:sz w:val="28"/>
          <w:szCs w:val="28"/>
        </w:rPr>
        <w:t xml:space="preserve">năm </w:t>
      </w:r>
      <w:r w:rsidR="003A5340" w:rsidRPr="00456D0C">
        <w:rPr>
          <w:sz w:val="28"/>
          <w:szCs w:val="28"/>
        </w:rPr>
        <w:t xml:space="preserve">2009: 4,96 con/phụ nữ; </w:t>
      </w:r>
      <w:r w:rsidR="00CA7A61" w:rsidRPr="00456D0C">
        <w:rPr>
          <w:sz w:val="28"/>
          <w:szCs w:val="28"/>
        </w:rPr>
        <w:t xml:space="preserve">năm </w:t>
      </w:r>
      <w:r w:rsidR="003A5340" w:rsidRPr="00456D0C">
        <w:rPr>
          <w:sz w:val="28"/>
          <w:szCs w:val="28"/>
        </w:rPr>
        <w:t>2019: 3,59 con/phụ nữ</w:t>
      </w:r>
      <w:r w:rsidR="002E2524" w:rsidRPr="00456D0C">
        <w:rPr>
          <w:sz w:val="28"/>
          <w:szCs w:val="28"/>
        </w:rPr>
        <w:t>)</w:t>
      </w:r>
      <w:r w:rsidR="00765BE4" w:rsidRPr="00456D0C">
        <w:rPr>
          <w:sz w:val="28"/>
          <w:szCs w:val="28"/>
        </w:rPr>
        <w:t xml:space="preserve">. Hiện nay, chênh lệch về mức sinh giữa các nhóm dân tộc đang có xu hướng thu hẹp dần. </w:t>
      </w:r>
    </w:p>
    <w:p w14:paraId="77D87BE8" w14:textId="480D3B14" w:rsidR="002E2524" w:rsidRPr="00456D0C" w:rsidRDefault="002E2524" w:rsidP="006B7BE7">
      <w:pPr>
        <w:pStyle w:val="ListParagraph"/>
        <w:numPr>
          <w:ilvl w:val="0"/>
          <w:numId w:val="15"/>
        </w:numPr>
        <w:tabs>
          <w:tab w:val="left" w:pos="567"/>
        </w:tabs>
        <w:spacing w:before="100" w:after="100" w:line="340" w:lineRule="exact"/>
        <w:ind w:left="0" w:firstLine="709"/>
        <w:contextualSpacing w:val="0"/>
        <w:jc w:val="both"/>
        <w:rPr>
          <w:sz w:val="28"/>
          <w:szCs w:val="28"/>
        </w:rPr>
      </w:pPr>
      <w:r w:rsidRPr="00456D0C">
        <w:rPr>
          <w:sz w:val="28"/>
          <w:szCs w:val="28"/>
        </w:rPr>
        <w:t>Năm 2019, phụ nữ di cư có mức sinh thấp hơn phụ nữ không di cư</w:t>
      </w:r>
      <w:r w:rsidR="00ED76F0" w:rsidRPr="00456D0C">
        <w:rPr>
          <w:sz w:val="28"/>
          <w:szCs w:val="28"/>
        </w:rPr>
        <w:t xml:space="preserve"> với</w:t>
      </w:r>
      <w:r w:rsidR="00783FA1" w:rsidRPr="00456D0C">
        <w:rPr>
          <w:sz w:val="28"/>
          <w:szCs w:val="28"/>
        </w:rPr>
        <w:t xml:space="preserve"> TFR</w:t>
      </w:r>
      <w:r w:rsidRPr="00456D0C">
        <w:rPr>
          <w:sz w:val="28"/>
          <w:szCs w:val="28"/>
        </w:rPr>
        <w:t xml:space="preserve"> tương ứng là 1,54 con/phụ nữ so với 2,13 con/phụ nữ; phụ nữ có trình độ học vấn càng cao thì mức sinh càng thấp</w:t>
      </w:r>
      <w:r w:rsidR="00ED76F0" w:rsidRPr="00456D0C">
        <w:rPr>
          <w:sz w:val="28"/>
          <w:szCs w:val="28"/>
        </w:rPr>
        <w:t>, TFR</w:t>
      </w:r>
      <w:r w:rsidRPr="00456D0C">
        <w:rPr>
          <w:sz w:val="28"/>
          <w:szCs w:val="28"/>
        </w:rPr>
        <w:t xml:space="preserve"> </w:t>
      </w:r>
      <w:r w:rsidR="00ED76F0" w:rsidRPr="00456D0C">
        <w:rPr>
          <w:sz w:val="28"/>
          <w:szCs w:val="28"/>
        </w:rPr>
        <w:t xml:space="preserve">của </w:t>
      </w:r>
      <w:r w:rsidRPr="00456D0C">
        <w:rPr>
          <w:sz w:val="28"/>
          <w:szCs w:val="28"/>
        </w:rPr>
        <w:t xml:space="preserve">nhóm </w:t>
      </w:r>
      <w:r w:rsidR="00783FA1" w:rsidRPr="00456D0C">
        <w:rPr>
          <w:sz w:val="28"/>
          <w:szCs w:val="28"/>
        </w:rPr>
        <w:t xml:space="preserve">phụ nữ </w:t>
      </w:r>
      <w:r w:rsidRPr="00456D0C">
        <w:rPr>
          <w:sz w:val="28"/>
          <w:szCs w:val="28"/>
        </w:rPr>
        <w:t xml:space="preserve">có trình độ trên trung học phổ thông là thấp nhất (1,98 con/phụ nữ) và của nhóm </w:t>
      </w:r>
      <w:r w:rsidR="00ED76F0" w:rsidRPr="00456D0C">
        <w:rPr>
          <w:sz w:val="28"/>
          <w:szCs w:val="28"/>
        </w:rPr>
        <w:t xml:space="preserve">có trình độ </w:t>
      </w:r>
      <w:r w:rsidRPr="00456D0C">
        <w:rPr>
          <w:sz w:val="28"/>
          <w:szCs w:val="28"/>
        </w:rPr>
        <w:t>dưới tiểu học là cao nhất (2,35 con/phụ nữ</w:t>
      </w:r>
      <w:r w:rsidR="00ED76F0" w:rsidRPr="00456D0C">
        <w:rPr>
          <w:sz w:val="28"/>
          <w:szCs w:val="28"/>
        </w:rPr>
        <w:t>)</w:t>
      </w:r>
      <w:r w:rsidRPr="00456D0C">
        <w:rPr>
          <w:sz w:val="28"/>
          <w:szCs w:val="28"/>
        </w:rPr>
        <w:t>;</w:t>
      </w:r>
      <w:r w:rsidRPr="00456D0C" w:rsidDel="00EF1F3E">
        <w:rPr>
          <w:sz w:val="28"/>
          <w:szCs w:val="28"/>
        </w:rPr>
        <w:t xml:space="preserve"> </w:t>
      </w:r>
      <w:r w:rsidRPr="00456D0C">
        <w:rPr>
          <w:sz w:val="28"/>
          <w:szCs w:val="28"/>
        </w:rPr>
        <w:t>phụ nữ sống trong các hộ nghèo nhất có mức sinh cao nhất trong 5 nhóm mức sống (2,4 con/phụ nữ</w:t>
      </w:r>
      <w:r w:rsidR="00783FA1" w:rsidRPr="00456D0C">
        <w:rPr>
          <w:sz w:val="28"/>
          <w:szCs w:val="28"/>
        </w:rPr>
        <w:t>)</w:t>
      </w:r>
      <w:r w:rsidRPr="00456D0C">
        <w:rPr>
          <w:sz w:val="28"/>
          <w:szCs w:val="28"/>
        </w:rPr>
        <w:t>, phụ nữ sống trong các hộ giàu nhất có mức sinh thấp nhất (2 con/phụ nữ).</w:t>
      </w:r>
    </w:p>
    <w:p w14:paraId="1EA3E289" w14:textId="3EA055BE" w:rsidR="00EF1F3E" w:rsidRPr="00456D0C" w:rsidRDefault="00765BE4" w:rsidP="006B7BE7">
      <w:pPr>
        <w:pStyle w:val="ListParagraph"/>
        <w:numPr>
          <w:ilvl w:val="0"/>
          <w:numId w:val="15"/>
        </w:numPr>
        <w:spacing w:before="100" w:after="100" w:line="340" w:lineRule="exact"/>
        <w:ind w:left="0" w:firstLine="709"/>
        <w:contextualSpacing w:val="0"/>
        <w:jc w:val="both"/>
        <w:rPr>
          <w:sz w:val="28"/>
          <w:szCs w:val="28"/>
        </w:rPr>
      </w:pPr>
      <w:r w:rsidRPr="00456D0C">
        <w:rPr>
          <w:sz w:val="28"/>
          <w:szCs w:val="28"/>
        </w:rPr>
        <w:t xml:space="preserve">Kết quả Tổng điều tra </w:t>
      </w:r>
      <w:r w:rsidR="00783FA1" w:rsidRPr="00456D0C">
        <w:rPr>
          <w:sz w:val="28"/>
          <w:szCs w:val="28"/>
        </w:rPr>
        <w:t xml:space="preserve">dân số và nhà ở </w:t>
      </w:r>
      <w:r w:rsidRPr="00456D0C">
        <w:rPr>
          <w:sz w:val="28"/>
          <w:szCs w:val="28"/>
        </w:rPr>
        <w:t>năm 2019 cho thấy</w:t>
      </w:r>
      <w:r w:rsidR="002E2524" w:rsidRPr="00456D0C">
        <w:rPr>
          <w:sz w:val="28"/>
          <w:szCs w:val="28"/>
        </w:rPr>
        <w:t>,</w:t>
      </w:r>
      <w:r w:rsidR="00EF1F3E" w:rsidRPr="00456D0C">
        <w:rPr>
          <w:sz w:val="28"/>
          <w:szCs w:val="28"/>
        </w:rPr>
        <w:t xml:space="preserve"> </w:t>
      </w:r>
      <w:r w:rsidR="009C654A" w:rsidRPr="00456D0C">
        <w:rPr>
          <w:sz w:val="28"/>
          <w:szCs w:val="28"/>
        </w:rPr>
        <w:t>t</w:t>
      </w:r>
      <w:r w:rsidR="00EF1F3E" w:rsidRPr="00456D0C">
        <w:rPr>
          <w:bCs/>
          <w:sz w:val="28"/>
          <w:szCs w:val="28"/>
          <w:lang w:val="vi-VN"/>
        </w:rPr>
        <w:t xml:space="preserve">ỷ suất sinh </w:t>
      </w:r>
      <w:r w:rsidR="00783FA1" w:rsidRPr="00456D0C">
        <w:rPr>
          <w:bCs/>
          <w:sz w:val="28"/>
          <w:szCs w:val="28"/>
        </w:rPr>
        <w:t xml:space="preserve">đặc trưng theo tuổi </w:t>
      </w:r>
      <w:r w:rsidR="00EF1F3E" w:rsidRPr="00456D0C">
        <w:rPr>
          <w:bCs/>
          <w:sz w:val="28"/>
          <w:szCs w:val="28"/>
          <w:lang w:val="vi-VN"/>
        </w:rPr>
        <w:t>của phụ nữ từ 10-19</w:t>
      </w:r>
      <w:r w:rsidR="00EF1F3E" w:rsidRPr="00456D0C">
        <w:rPr>
          <w:bCs/>
          <w:sz w:val="28"/>
          <w:szCs w:val="28"/>
        </w:rPr>
        <w:t xml:space="preserve"> tuổi </w:t>
      </w:r>
      <w:r w:rsidR="00783FA1" w:rsidRPr="00456D0C">
        <w:rPr>
          <w:bCs/>
          <w:sz w:val="28"/>
          <w:szCs w:val="28"/>
        </w:rPr>
        <w:t>(ASFR10)</w:t>
      </w:r>
      <w:r w:rsidR="00EF1F3E" w:rsidRPr="00456D0C">
        <w:rPr>
          <w:sz w:val="28"/>
          <w:szCs w:val="28"/>
        </w:rPr>
        <w:t xml:space="preserve"> là 11 con/1000 phụ nữ. </w:t>
      </w:r>
      <w:r w:rsidR="00783FA1" w:rsidRPr="00456D0C">
        <w:rPr>
          <w:sz w:val="28"/>
          <w:szCs w:val="28"/>
        </w:rPr>
        <w:t>Trong đó,</w:t>
      </w:r>
      <w:r w:rsidR="00EF1F3E" w:rsidRPr="00456D0C">
        <w:rPr>
          <w:sz w:val="28"/>
          <w:szCs w:val="28"/>
        </w:rPr>
        <w:t xml:space="preserve"> khu vực nông thôn cao hơn thành thị, tương ứng là 15 con/1000 phụ nữ và 5 con/1000 phụ nữ. Trung du và miền núi phía Bắc và Tây Nguyên là hai vùng có </w:t>
      </w:r>
      <w:r w:rsidR="00783FA1" w:rsidRPr="00456D0C">
        <w:rPr>
          <w:sz w:val="28"/>
          <w:szCs w:val="28"/>
        </w:rPr>
        <w:t>ASFR10</w:t>
      </w:r>
      <w:r w:rsidR="00EF1F3E" w:rsidRPr="00456D0C">
        <w:rPr>
          <w:sz w:val="28"/>
          <w:szCs w:val="28"/>
        </w:rPr>
        <w:t xml:space="preserve"> là cao nhất, tương ứng là 28 con/1000 phụ nữ và 21 con/1000 phụ nữ. </w:t>
      </w:r>
      <w:r w:rsidR="009C654A" w:rsidRPr="00456D0C">
        <w:rPr>
          <w:sz w:val="28"/>
          <w:szCs w:val="28"/>
        </w:rPr>
        <w:t>T</w:t>
      </w:r>
      <w:r w:rsidR="00EF1F3E" w:rsidRPr="00456D0C">
        <w:rPr>
          <w:sz w:val="28"/>
          <w:szCs w:val="28"/>
        </w:rPr>
        <w:t>rong số các dân tộc có quy mô dân số trên 1 triệu người,</w:t>
      </w:r>
      <w:r w:rsidR="009C654A" w:rsidRPr="00456D0C">
        <w:rPr>
          <w:sz w:val="28"/>
          <w:szCs w:val="28"/>
        </w:rPr>
        <w:t xml:space="preserve"> </w:t>
      </w:r>
      <w:r w:rsidR="00783FA1" w:rsidRPr="00456D0C">
        <w:rPr>
          <w:sz w:val="28"/>
          <w:szCs w:val="28"/>
        </w:rPr>
        <w:t>ASFR10</w:t>
      </w:r>
      <w:r w:rsidR="00EF1F3E" w:rsidRPr="00456D0C">
        <w:rPr>
          <w:sz w:val="28"/>
          <w:szCs w:val="28"/>
        </w:rPr>
        <w:t xml:space="preserve"> của dân tộc Mông cao nhất, 65 con/1000 phụ nữ, cao hơn khoảng 9 lần so với dân tộc Kinh và hơn 6 lần so với mức bình quân chung của cả nước.</w:t>
      </w:r>
    </w:p>
    <w:p w14:paraId="7DF86B2A" w14:textId="1DA2026D" w:rsidR="00C86487" w:rsidRPr="00456D0C" w:rsidRDefault="00C86487" w:rsidP="006B7BE7">
      <w:pPr>
        <w:spacing w:before="100" w:after="100" w:line="340" w:lineRule="exact"/>
        <w:ind w:firstLine="709"/>
        <w:jc w:val="both"/>
        <w:rPr>
          <w:rFonts w:ascii="Times New Roman" w:hAnsi="Times New Roman" w:cs="Times New Roman"/>
          <w:b/>
          <w:sz w:val="28"/>
          <w:szCs w:val="28"/>
          <w:u w:val="single"/>
        </w:rPr>
      </w:pPr>
      <w:r w:rsidRPr="00456D0C">
        <w:rPr>
          <w:rFonts w:ascii="Times New Roman" w:hAnsi="Times New Roman" w:cs="Times New Roman"/>
          <w:b/>
          <w:sz w:val="28"/>
          <w:szCs w:val="28"/>
          <w:u w:val="single"/>
        </w:rPr>
        <w:t xml:space="preserve">Mất cân bằng giới tính khi sinh </w:t>
      </w:r>
    </w:p>
    <w:p w14:paraId="0004EF23" w14:textId="6CEB5CB5" w:rsidR="001D6456" w:rsidRPr="00456D0C" w:rsidRDefault="00783FA1" w:rsidP="006B7BE7">
      <w:pPr>
        <w:pStyle w:val="Para"/>
        <w:numPr>
          <w:ilvl w:val="0"/>
          <w:numId w:val="15"/>
        </w:numPr>
        <w:spacing w:before="100" w:after="100" w:line="340" w:lineRule="exact"/>
        <w:ind w:left="0" w:firstLine="709"/>
        <w:rPr>
          <w:rFonts w:ascii="Times New Roman" w:eastAsia="Times New Roman" w:hAnsi="Times New Roman" w:cs="Times New Roman"/>
          <w:noProof/>
          <w:sz w:val="28"/>
          <w:szCs w:val="28"/>
          <w:lang w:val="fr-FR" w:eastAsia="fr-FR"/>
        </w:rPr>
      </w:pPr>
      <w:r w:rsidRPr="00456D0C">
        <w:rPr>
          <w:rFonts w:ascii="Times New Roman" w:hAnsi="Times New Roman" w:cs="Times New Roman"/>
          <w:sz w:val="28"/>
          <w:szCs w:val="28"/>
          <w:lang w:val="en-US"/>
        </w:rPr>
        <w:t>T</w:t>
      </w:r>
      <w:r w:rsidR="00C86487" w:rsidRPr="00456D0C">
        <w:rPr>
          <w:rFonts w:ascii="Times New Roman" w:hAnsi="Times New Roman" w:cs="Times New Roman"/>
          <w:sz w:val="28"/>
          <w:szCs w:val="28"/>
          <w:lang w:val="en-US"/>
        </w:rPr>
        <w:t>ỷ số giới tính khi sinh (TSGTKS)</w:t>
      </w:r>
      <w:r w:rsidR="00C86487" w:rsidRPr="00456D0C">
        <w:rPr>
          <w:rFonts w:ascii="Times New Roman" w:hAnsi="Times New Roman" w:cs="Times New Roman"/>
          <w:sz w:val="28"/>
          <w:szCs w:val="28"/>
        </w:rPr>
        <w:t xml:space="preserve"> </w:t>
      </w:r>
      <w:r w:rsidRPr="00456D0C">
        <w:rPr>
          <w:rFonts w:ascii="Times New Roman" w:hAnsi="Times New Roman" w:cs="Times New Roman"/>
          <w:sz w:val="28"/>
          <w:szCs w:val="28"/>
          <w:lang w:val="en-US"/>
        </w:rPr>
        <w:t>năm 2019</w:t>
      </w:r>
      <w:r w:rsidR="00C86487" w:rsidRPr="00456D0C">
        <w:rPr>
          <w:rFonts w:ascii="Times New Roman" w:hAnsi="Times New Roman" w:cs="Times New Roman"/>
          <w:sz w:val="28"/>
          <w:szCs w:val="28"/>
          <w:lang w:val="en-US"/>
        </w:rPr>
        <w:t xml:space="preserve"> là </w:t>
      </w:r>
      <w:r w:rsidR="00C86487" w:rsidRPr="00456D0C">
        <w:rPr>
          <w:rFonts w:ascii="Times New Roman" w:hAnsi="Times New Roman" w:cs="Times New Roman"/>
          <w:sz w:val="28"/>
          <w:szCs w:val="28"/>
        </w:rPr>
        <w:t xml:space="preserve">111,5 </w:t>
      </w:r>
      <w:r w:rsidR="00C86487" w:rsidRPr="00456D0C">
        <w:rPr>
          <w:rFonts w:ascii="Times New Roman" w:hAnsi="Times New Roman" w:cs="Times New Roman"/>
          <w:sz w:val="28"/>
          <w:szCs w:val="28"/>
          <w:lang w:val="en-US"/>
        </w:rPr>
        <w:t xml:space="preserve">bé </w:t>
      </w:r>
      <w:r w:rsidR="00C86487" w:rsidRPr="00456D0C">
        <w:rPr>
          <w:rFonts w:ascii="Times New Roman" w:hAnsi="Times New Roman" w:cs="Times New Roman"/>
          <w:sz w:val="28"/>
          <w:szCs w:val="28"/>
        </w:rPr>
        <w:t>trai</w:t>
      </w:r>
      <w:r w:rsidR="001D6456" w:rsidRPr="00456D0C">
        <w:rPr>
          <w:rFonts w:ascii="Times New Roman" w:hAnsi="Times New Roman" w:cs="Times New Roman"/>
          <w:sz w:val="28"/>
          <w:szCs w:val="28"/>
          <w:lang w:val="en-US"/>
        </w:rPr>
        <w:t>/</w:t>
      </w:r>
      <w:r w:rsidR="00C86487" w:rsidRPr="00456D0C">
        <w:rPr>
          <w:rFonts w:ascii="Times New Roman" w:hAnsi="Times New Roman" w:cs="Times New Roman"/>
          <w:sz w:val="28"/>
          <w:szCs w:val="28"/>
        </w:rPr>
        <w:t xml:space="preserve">100 </w:t>
      </w:r>
      <w:r w:rsidR="00C86487" w:rsidRPr="00456D0C">
        <w:rPr>
          <w:rFonts w:ascii="Times New Roman" w:hAnsi="Times New Roman" w:cs="Times New Roman"/>
          <w:sz w:val="28"/>
          <w:szCs w:val="28"/>
          <w:lang w:val="en-US"/>
        </w:rPr>
        <w:t xml:space="preserve">bé </w:t>
      </w:r>
      <w:r w:rsidR="00C86487" w:rsidRPr="00456D0C">
        <w:rPr>
          <w:rFonts w:ascii="Times New Roman" w:hAnsi="Times New Roman" w:cs="Times New Roman"/>
          <w:sz w:val="28"/>
          <w:szCs w:val="28"/>
        </w:rPr>
        <w:t>gái</w:t>
      </w:r>
      <w:r w:rsidR="00C86487" w:rsidRPr="00456D0C">
        <w:rPr>
          <w:rFonts w:ascii="Times New Roman" w:hAnsi="Times New Roman" w:cs="Times New Roman"/>
          <w:sz w:val="28"/>
          <w:szCs w:val="28"/>
          <w:lang w:val="en-US"/>
        </w:rPr>
        <w:t xml:space="preserve">, </w:t>
      </w:r>
      <w:r w:rsidR="00C86487" w:rsidRPr="00456D0C">
        <w:rPr>
          <w:rFonts w:ascii="Times New Roman" w:hAnsi="Times New Roman" w:cs="Times New Roman"/>
          <w:sz w:val="28"/>
          <w:szCs w:val="28"/>
        </w:rPr>
        <w:t xml:space="preserve">cho thấy mất cân bằng giới tính khi sinh </w:t>
      </w:r>
      <w:r w:rsidRPr="00456D0C">
        <w:rPr>
          <w:rFonts w:ascii="Times New Roman" w:hAnsi="Times New Roman" w:cs="Times New Roman"/>
          <w:sz w:val="28"/>
          <w:szCs w:val="28"/>
          <w:lang w:val="en-US"/>
        </w:rPr>
        <w:t>đang</w:t>
      </w:r>
      <w:r w:rsidRPr="00456D0C">
        <w:rPr>
          <w:rFonts w:ascii="Times New Roman" w:hAnsi="Times New Roman" w:cs="Times New Roman"/>
          <w:sz w:val="28"/>
          <w:szCs w:val="28"/>
        </w:rPr>
        <w:t xml:space="preserve"> </w:t>
      </w:r>
      <w:r w:rsidR="00C86487" w:rsidRPr="00456D0C">
        <w:rPr>
          <w:rFonts w:ascii="Times New Roman" w:hAnsi="Times New Roman" w:cs="Times New Roman"/>
          <w:sz w:val="28"/>
          <w:szCs w:val="28"/>
        </w:rPr>
        <w:t>ở mức rất cao</w:t>
      </w:r>
      <w:r w:rsidR="001D6456" w:rsidRPr="00456D0C">
        <w:rPr>
          <w:rFonts w:ascii="Times New Roman" w:hAnsi="Times New Roman" w:cs="Times New Roman"/>
          <w:sz w:val="28"/>
          <w:szCs w:val="28"/>
          <w:lang w:val="en-US"/>
        </w:rPr>
        <w:t xml:space="preserve">. </w:t>
      </w:r>
      <w:r w:rsidR="001D6456" w:rsidRPr="00456D0C">
        <w:rPr>
          <w:rFonts w:ascii="Times New Roman" w:eastAsia="Times New Roman" w:hAnsi="Times New Roman" w:cs="Times New Roman"/>
          <w:noProof/>
          <w:sz w:val="28"/>
          <w:szCs w:val="28"/>
          <w:lang w:val="fr-FR" w:eastAsia="fr-FR"/>
        </w:rPr>
        <w:t>TSGTKS bắt đầu tăng tại Việt Nam vào khoảng năm 2004, đã đạt mức 112 bé trai/100 bé gái sau năm 2010 và chững lại từ đó đến nay.</w:t>
      </w:r>
    </w:p>
    <w:p w14:paraId="42BEA1FA" w14:textId="77777777" w:rsidR="006B7BE7" w:rsidRPr="00456D0C" w:rsidRDefault="00C86487" w:rsidP="006B7BE7">
      <w:pPr>
        <w:pStyle w:val="BodyText"/>
        <w:widowControl w:val="0"/>
        <w:numPr>
          <w:ilvl w:val="0"/>
          <w:numId w:val="15"/>
        </w:numPr>
        <w:spacing w:before="100" w:after="100" w:line="340" w:lineRule="exact"/>
        <w:ind w:left="0" w:firstLine="709"/>
        <w:jc w:val="both"/>
        <w:rPr>
          <w:sz w:val="28"/>
          <w:szCs w:val="28"/>
        </w:rPr>
      </w:pPr>
      <w:r w:rsidRPr="00456D0C">
        <w:rPr>
          <w:b w:val="0"/>
          <w:sz w:val="28"/>
          <w:szCs w:val="28"/>
        </w:rPr>
        <w:t xml:space="preserve">TSGTKS </w:t>
      </w:r>
      <w:r w:rsidR="001D6456" w:rsidRPr="00456D0C">
        <w:rPr>
          <w:b w:val="0"/>
          <w:sz w:val="28"/>
          <w:szCs w:val="28"/>
        </w:rPr>
        <w:t xml:space="preserve">ở Việt Nam cao hơn mức sinh học tự nhiên (104-106 </w:t>
      </w:r>
      <w:r w:rsidRPr="00456D0C">
        <w:rPr>
          <w:b w:val="0"/>
          <w:sz w:val="28"/>
          <w:szCs w:val="28"/>
        </w:rPr>
        <w:t>trai</w:t>
      </w:r>
      <w:r w:rsidR="001D6456" w:rsidRPr="00456D0C">
        <w:rPr>
          <w:b w:val="0"/>
          <w:sz w:val="28"/>
          <w:szCs w:val="28"/>
        </w:rPr>
        <w:t>/</w:t>
      </w:r>
      <w:r w:rsidRPr="00456D0C">
        <w:rPr>
          <w:b w:val="0"/>
          <w:sz w:val="28"/>
          <w:szCs w:val="28"/>
        </w:rPr>
        <w:t xml:space="preserve">100 bé gái) cho thấy </w:t>
      </w:r>
      <w:r w:rsidR="001D6456" w:rsidRPr="00456D0C">
        <w:rPr>
          <w:b w:val="0"/>
          <w:sz w:val="28"/>
          <w:szCs w:val="28"/>
        </w:rPr>
        <w:t xml:space="preserve">có </w:t>
      </w:r>
      <w:r w:rsidR="00A91FFA" w:rsidRPr="00456D0C">
        <w:rPr>
          <w:b w:val="0"/>
          <w:sz w:val="28"/>
          <w:szCs w:val="28"/>
        </w:rPr>
        <w:t xml:space="preserve">khoảng </w:t>
      </w:r>
      <w:r w:rsidRPr="00456D0C">
        <w:rPr>
          <w:b w:val="0"/>
          <w:sz w:val="28"/>
          <w:szCs w:val="28"/>
        </w:rPr>
        <w:t>4</w:t>
      </w:r>
      <w:r w:rsidRPr="00456D0C">
        <w:rPr>
          <w:b w:val="0"/>
          <w:sz w:val="28"/>
          <w:szCs w:val="28"/>
          <w:lang w:val="en-US"/>
        </w:rPr>
        <w:t>5</w:t>
      </w:r>
      <w:r w:rsidRPr="00456D0C">
        <w:rPr>
          <w:b w:val="0"/>
          <w:sz w:val="28"/>
          <w:szCs w:val="28"/>
        </w:rPr>
        <w:t>.</w:t>
      </w:r>
      <w:r w:rsidRPr="00456D0C">
        <w:rPr>
          <w:b w:val="0"/>
          <w:sz w:val="28"/>
          <w:szCs w:val="28"/>
          <w:lang w:val="en-US"/>
        </w:rPr>
        <w:t>900</w:t>
      </w:r>
      <w:r w:rsidRPr="00456D0C">
        <w:rPr>
          <w:b w:val="0"/>
          <w:sz w:val="28"/>
          <w:szCs w:val="28"/>
        </w:rPr>
        <w:t xml:space="preserve"> trẻ em gái bị thiếu </w:t>
      </w:r>
      <w:r w:rsidR="00A91FFA" w:rsidRPr="00456D0C">
        <w:rPr>
          <w:b w:val="0"/>
          <w:sz w:val="28"/>
          <w:szCs w:val="28"/>
        </w:rPr>
        <w:t xml:space="preserve">hụt </w:t>
      </w:r>
      <w:r w:rsidRPr="00456D0C">
        <w:rPr>
          <w:b w:val="0"/>
          <w:sz w:val="28"/>
          <w:szCs w:val="28"/>
        </w:rPr>
        <w:t>năm 2019. Số lượng trẻ em gái thiếu hụt chiếm 6,2% số lượng trẻ em gái sinh ra</w:t>
      </w:r>
      <w:r w:rsidR="001D6456" w:rsidRPr="00456D0C">
        <w:rPr>
          <w:b w:val="0"/>
          <w:sz w:val="28"/>
          <w:szCs w:val="28"/>
        </w:rPr>
        <w:t>.</w:t>
      </w:r>
    </w:p>
    <w:p w14:paraId="2CAC55D2" w14:textId="2658CF16" w:rsidR="00C86487" w:rsidRPr="00456D0C" w:rsidRDefault="00C86487" w:rsidP="006B7BE7">
      <w:pPr>
        <w:pStyle w:val="BodyText"/>
        <w:widowControl w:val="0"/>
        <w:numPr>
          <w:ilvl w:val="0"/>
          <w:numId w:val="15"/>
        </w:numPr>
        <w:spacing w:before="100" w:after="100" w:line="340" w:lineRule="exact"/>
        <w:ind w:left="0" w:firstLine="709"/>
        <w:jc w:val="both"/>
        <w:rPr>
          <w:b w:val="0"/>
          <w:sz w:val="28"/>
          <w:szCs w:val="28"/>
        </w:rPr>
      </w:pPr>
      <w:r w:rsidRPr="00456D0C">
        <w:rPr>
          <w:b w:val="0"/>
          <w:sz w:val="28"/>
          <w:szCs w:val="28"/>
        </w:rPr>
        <w:t>TSGTKS cao</w:t>
      </w:r>
      <w:r w:rsidRPr="00456D0C">
        <w:rPr>
          <w:b w:val="0"/>
          <w:sz w:val="28"/>
          <w:szCs w:val="28"/>
          <w:lang w:val="en-US"/>
        </w:rPr>
        <w:t xml:space="preserve"> nhất ở </w:t>
      </w:r>
      <w:r w:rsidR="001D6456" w:rsidRPr="00456D0C">
        <w:rPr>
          <w:b w:val="0"/>
          <w:sz w:val="28"/>
          <w:szCs w:val="28"/>
          <w:lang w:val="en-US"/>
        </w:rPr>
        <w:t>Đ</w:t>
      </w:r>
      <w:r w:rsidRPr="00456D0C">
        <w:rPr>
          <w:b w:val="0"/>
          <w:sz w:val="28"/>
          <w:szCs w:val="28"/>
          <w:lang w:val="en-US"/>
        </w:rPr>
        <w:t>ồng bằng sông Hồng</w:t>
      </w:r>
      <w:r w:rsidR="00BD442E" w:rsidRPr="00456D0C">
        <w:rPr>
          <w:b w:val="0"/>
          <w:sz w:val="28"/>
          <w:szCs w:val="28"/>
          <w:lang w:val="en-US"/>
        </w:rPr>
        <w:t xml:space="preserve">, trong đó TSGTKS tại khu vực nông thôn của Đồng bằng sông Hồng cao hơn ở khu vực thành thị của khu </w:t>
      </w:r>
      <w:r w:rsidR="00BD442E" w:rsidRPr="00456D0C">
        <w:rPr>
          <w:b w:val="0"/>
          <w:sz w:val="28"/>
          <w:szCs w:val="28"/>
          <w:lang w:val="en-US"/>
        </w:rPr>
        <w:lastRenderedPageBreak/>
        <w:t xml:space="preserve">vực này, tương ứng là </w:t>
      </w:r>
      <w:r w:rsidRPr="00456D0C">
        <w:rPr>
          <w:b w:val="0"/>
          <w:sz w:val="28"/>
          <w:szCs w:val="28"/>
        </w:rPr>
        <w:t xml:space="preserve">115,2 </w:t>
      </w:r>
      <w:r w:rsidRPr="00456D0C">
        <w:rPr>
          <w:b w:val="0"/>
          <w:sz w:val="28"/>
          <w:szCs w:val="28"/>
          <w:lang w:val="en-US"/>
        </w:rPr>
        <w:t>bé trai/100 bé gái</w:t>
      </w:r>
      <w:r w:rsidR="00BD442E" w:rsidRPr="00456D0C">
        <w:rPr>
          <w:b w:val="0"/>
          <w:sz w:val="28"/>
          <w:szCs w:val="28"/>
          <w:lang w:val="en-US"/>
        </w:rPr>
        <w:t xml:space="preserve"> và </w:t>
      </w:r>
      <w:r w:rsidRPr="00456D0C">
        <w:rPr>
          <w:b w:val="0"/>
          <w:sz w:val="28"/>
          <w:szCs w:val="28"/>
          <w:lang w:val="en-US"/>
        </w:rPr>
        <w:t>112,8 bé trai/</w:t>
      </w:r>
      <w:r w:rsidR="00BF7DD5" w:rsidRPr="00456D0C">
        <w:rPr>
          <w:b w:val="0"/>
          <w:sz w:val="28"/>
          <w:szCs w:val="28"/>
          <w:lang w:val="en-US"/>
        </w:rPr>
        <w:t>100 bé gái</w:t>
      </w:r>
      <w:r w:rsidRPr="00456D0C">
        <w:rPr>
          <w:rStyle w:val="FootnoteReference"/>
          <w:b w:val="0"/>
          <w:sz w:val="28"/>
          <w:szCs w:val="28"/>
        </w:rPr>
        <w:footnoteReference w:id="1"/>
      </w:r>
      <w:r w:rsidR="00FF3947" w:rsidRPr="00456D0C">
        <w:rPr>
          <w:b w:val="0"/>
          <w:sz w:val="28"/>
          <w:szCs w:val="28"/>
          <w:lang w:val="en-US"/>
        </w:rPr>
        <w:t>.</w:t>
      </w:r>
      <w:r w:rsidRPr="00456D0C">
        <w:rPr>
          <w:b w:val="0"/>
          <w:sz w:val="28"/>
          <w:szCs w:val="28"/>
        </w:rPr>
        <w:t xml:space="preserve"> </w:t>
      </w:r>
    </w:p>
    <w:p w14:paraId="6A653539" w14:textId="75C0CCCC" w:rsidR="00C86487" w:rsidRPr="00456D0C" w:rsidRDefault="00C86487" w:rsidP="001F1B45">
      <w:pPr>
        <w:pStyle w:val="BodyText"/>
        <w:numPr>
          <w:ilvl w:val="0"/>
          <w:numId w:val="15"/>
        </w:numPr>
        <w:spacing w:before="120" w:after="120" w:line="340" w:lineRule="exact"/>
        <w:ind w:left="0" w:firstLine="709"/>
        <w:jc w:val="both"/>
        <w:rPr>
          <w:b w:val="0"/>
          <w:sz w:val="28"/>
          <w:szCs w:val="28"/>
        </w:rPr>
      </w:pPr>
      <w:r w:rsidRPr="00456D0C">
        <w:rPr>
          <w:b w:val="0"/>
          <w:sz w:val="28"/>
          <w:szCs w:val="28"/>
        </w:rPr>
        <w:t xml:space="preserve">Mất cân bằng giới tính khi sinh xảy ra ở tất cả các nhóm </w:t>
      </w:r>
      <w:r w:rsidR="00FF3947" w:rsidRPr="00456D0C">
        <w:rPr>
          <w:b w:val="0"/>
          <w:sz w:val="28"/>
          <w:szCs w:val="28"/>
        </w:rPr>
        <w:t>mức sống</w:t>
      </w:r>
      <w:r w:rsidRPr="00456D0C">
        <w:rPr>
          <w:b w:val="0"/>
          <w:sz w:val="28"/>
          <w:szCs w:val="28"/>
        </w:rPr>
        <w:t xml:space="preserve">. Trong 10 năm qua, </w:t>
      </w:r>
      <w:r w:rsidR="00FF3947" w:rsidRPr="00456D0C">
        <w:rPr>
          <w:b w:val="0"/>
          <w:sz w:val="28"/>
          <w:szCs w:val="28"/>
        </w:rPr>
        <w:t>TSGTKS của</w:t>
      </w:r>
      <w:r w:rsidRPr="00456D0C">
        <w:rPr>
          <w:b w:val="0"/>
          <w:sz w:val="28"/>
          <w:szCs w:val="28"/>
        </w:rPr>
        <w:t xml:space="preserve"> nhóm nghèo nhất tăng từ 105,2 lên 108,2 bé trai/100 bé gái</w:t>
      </w:r>
      <w:r w:rsidR="00FF3947" w:rsidRPr="00456D0C">
        <w:rPr>
          <w:b w:val="0"/>
          <w:sz w:val="28"/>
          <w:szCs w:val="28"/>
        </w:rPr>
        <w:t>; t</w:t>
      </w:r>
      <w:r w:rsidRPr="00456D0C">
        <w:rPr>
          <w:b w:val="0"/>
          <w:sz w:val="28"/>
          <w:szCs w:val="28"/>
        </w:rPr>
        <w:t xml:space="preserve">rong khi đó, TSGTKS </w:t>
      </w:r>
      <w:r w:rsidR="00FF3947" w:rsidRPr="00456D0C">
        <w:rPr>
          <w:b w:val="0"/>
          <w:sz w:val="28"/>
          <w:szCs w:val="28"/>
        </w:rPr>
        <w:t xml:space="preserve">của </w:t>
      </w:r>
      <w:r w:rsidRPr="00456D0C">
        <w:rPr>
          <w:b w:val="0"/>
          <w:sz w:val="28"/>
          <w:szCs w:val="28"/>
        </w:rPr>
        <w:t xml:space="preserve">nhóm giàu nhất vẫn ở </w:t>
      </w:r>
      <w:r w:rsidR="00FF3947" w:rsidRPr="00456D0C">
        <w:rPr>
          <w:b w:val="0"/>
          <w:sz w:val="28"/>
          <w:szCs w:val="28"/>
        </w:rPr>
        <w:t xml:space="preserve">giữ </w:t>
      </w:r>
      <w:r w:rsidRPr="00456D0C">
        <w:rPr>
          <w:b w:val="0"/>
          <w:sz w:val="28"/>
          <w:szCs w:val="28"/>
        </w:rPr>
        <w:t xml:space="preserve">mức cao </w:t>
      </w:r>
      <w:r w:rsidR="00FF3947" w:rsidRPr="00456D0C">
        <w:rPr>
          <w:b w:val="0"/>
          <w:sz w:val="28"/>
          <w:szCs w:val="28"/>
        </w:rPr>
        <w:t xml:space="preserve">(năm 2019: </w:t>
      </w:r>
      <w:r w:rsidRPr="00456D0C">
        <w:rPr>
          <w:b w:val="0"/>
          <w:sz w:val="28"/>
          <w:szCs w:val="28"/>
        </w:rPr>
        <w:t>112,9 bé trai/100 bé gái).</w:t>
      </w:r>
    </w:p>
    <w:p w14:paraId="47B7C70A" w14:textId="2DB1D82F" w:rsidR="00C86487" w:rsidRPr="00456D0C" w:rsidRDefault="00C86487" w:rsidP="001F1B45">
      <w:pPr>
        <w:pStyle w:val="Para"/>
        <w:numPr>
          <w:ilvl w:val="0"/>
          <w:numId w:val="15"/>
        </w:numPr>
        <w:spacing w:before="120" w:after="120" w:line="340" w:lineRule="exact"/>
        <w:ind w:left="0" w:firstLine="709"/>
        <w:rPr>
          <w:rFonts w:ascii="Times New Roman" w:hAnsi="Times New Roman" w:cs="Times New Roman"/>
          <w:sz w:val="28"/>
          <w:szCs w:val="28"/>
        </w:rPr>
      </w:pPr>
      <w:r w:rsidRPr="00456D0C">
        <w:rPr>
          <w:rFonts w:ascii="Times New Roman" w:hAnsi="Times New Roman" w:cs="Times New Roman"/>
          <w:sz w:val="28"/>
          <w:szCs w:val="28"/>
        </w:rPr>
        <w:t>Tâm lý ưa thích con trai và nhu cầu cần có con trai tác động tới việc sinh thêm con của các cặp vợ chồng</w:t>
      </w:r>
      <w:r w:rsidRPr="00456D0C">
        <w:rPr>
          <w:rFonts w:ascii="Times New Roman" w:hAnsi="Times New Roman" w:cs="Times New Roman"/>
          <w:sz w:val="28"/>
          <w:szCs w:val="28"/>
          <w:lang w:val="en-US"/>
        </w:rPr>
        <w:t>. N</w:t>
      </w:r>
      <w:r w:rsidRPr="00456D0C">
        <w:rPr>
          <w:rFonts w:ascii="Times New Roman" w:hAnsi="Times New Roman" w:cs="Times New Roman"/>
          <w:sz w:val="28"/>
          <w:szCs w:val="28"/>
        </w:rPr>
        <w:t xml:space="preserve">hững </w:t>
      </w:r>
      <w:r w:rsidRPr="00456D0C">
        <w:rPr>
          <w:rFonts w:ascii="Times New Roman" w:hAnsi="Times New Roman" w:cs="Times New Roman"/>
          <w:sz w:val="28"/>
          <w:szCs w:val="28"/>
          <w:lang w:val="en-US"/>
        </w:rPr>
        <w:t xml:space="preserve">cặp vợ chồng đã </w:t>
      </w:r>
      <w:r w:rsidRPr="00456D0C">
        <w:rPr>
          <w:rFonts w:ascii="Times New Roman" w:hAnsi="Times New Roman" w:cs="Times New Roman"/>
          <w:sz w:val="28"/>
          <w:szCs w:val="28"/>
        </w:rPr>
        <w:t xml:space="preserve">có hai con nhưng </w:t>
      </w:r>
      <w:r w:rsidRPr="00456D0C">
        <w:rPr>
          <w:rFonts w:ascii="Times New Roman" w:hAnsi="Times New Roman" w:cs="Times New Roman"/>
          <w:sz w:val="28"/>
          <w:szCs w:val="28"/>
          <w:lang w:val="en-US"/>
        </w:rPr>
        <w:t xml:space="preserve">chưa có </w:t>
      </w:r>
      <w:r w:rsidRPr="00456D0C">
        <w:rPr>
          <w:rFonts w:ascii="Times New Roman" w:hAnsi="Times New Roman" w:cs="Times New Roman"/>
          <w:sz w:val="28"/>
          <w:szCs w:val="28"/>
        </w:rPr>
        <w:t xml:space="preserve">con trai, khả năng sinh thêm con cao gấp đôi so với </w:t>
      </w:r>
      <w:r w:rsidRPr="00456D0C">
        <w:rPr>
          <w:rFonts w:ascii="Times New Roman" w:hAnsi="Times New Roman" w:cs="Times New Roman"/>
          <w:sz w:val="28"/>
          <w:szCs w:val="28"/>
          <w:lang w:val="en-US"/>
        </w:rPr>
        <w:t xml:space="preserve">những cặp vợ chồng đã có ít nhất một </w:t>
      </w:r>
      <w:r w:rsidRPr="00456D0C">
        <w:rPr>
          <w:rFonts w:ascii="Times New Roman" w:hAnsi="Times New Roman" w:cs="Times New Roman"/>
          <w:sz w:val="28"/>
          <w:szCs w:val="28"/>
        </w:rPr>
        <w:t>con trai</w:t>
      </w:r>
      <w:r w:rsidRPr="00456D0C">
        <w:rPr>
          <w:rFonts w:ascii="Times New Roman" w:hAnsi="Times New Roman" w:cs="Times New Roman"/>
          <w:sz w:val="28"/>
          <w:szCs w:val="28"/>
          <w:lang w:val="en-US"/>
        </w:rPr>
        <w:t>.</w:t>
      </w:r>
      <w:r w:rsidRPr="00456D0C">
        <w:rPr>
          <w:rFonts w:ascii="Times New Roman" w:hAnsi="Times New Roman" w:cs="Times New Roman"/>
          <w:sz w:val="28"/>
          <w:szCs w:val="28"/>
        </w:rPr>
        <w:t xml:space="preserve"> </w:t>
      </w:r>
      <w:r w:rsidRPr="00456D0C">
        <w:rPr>
          <w:rFonts w:ascii="Times New Roman" w:hAnsi="Times New Roman" w:cs="Times New Roman"/>
          <w:sz w:val="28"/>
          <w:szCs w:val="28"/>
          <w:lang w:val="en-US"/>
        </w:rPr>
        <w:t xml:space="preserve"> Việc </w:t>
      </w:r>
      <w:r w:rsidRPr="00456D0C">
        <w:rPr>
          <w:rFonts w:ascii="Times New Roman" w:hAnsi="Times New Roman" w:cs="Times New Roman"/>
          <w:sz w:val="28"/>
          <w:szCs w:val="28"/>
        </w:rPr>
        <w:t xml:space="preserve">sinh thêm con để có con trai đặc biệt rõ rệt ở nhóm dân số có trình độ học vấn </w:t>
      </w:r>
      <w:r w:rsidRPr="00456D0C">
        <w:rPr>
          <w:rFonts w:ascii="Times New Roman" w:hAnsi="Times New Roman" w:cs="Times New Roman"/>
          <w:sz w:val="28"/>
          <w:szCs w:val="28"/>
          <w:lang w:val="en-US"/>
        </w:rPr>
        <w:t xml:space="preserve">cao </w:t>
      </w:r>
      <w:r w:rsidRPr="00456D0C">
        <w:rPr>
          <w:rFonts w:ascii="Times New Roman" w:hAnsi="Times New Roman" w:cs="Times New Roman"/>
          <w:sz w:val="28"/>
          <w:szCs w:val="28"/>
        </w:rPr>
        <w:t xml:space="preserve">và </w:t>
      </w:r>
      <w:r w:rsidRPr="00456D0C">
        <w:rPr>
          <w:rFonts w:ascii="Times New Roman" w:hAnsi="Times New Roman" w:cs="Times New Roman"/>
          <w:sz w:val="28"/>
          <w:szCs w:val="28"/>
          <w:lang w:val="en-US"/>
        </w:rPr>
        <w:t>mức sống tốt</w:t>
      </w:r>
      <w:r w:rsidRPr="00456D0C">
        <w:rPr>
          <w:rFonts w:ascii="Times New Roman" w:hAnsi="Times New Roman" w:cs="Times New Roman"/>
          <w:sz w:val="28"/>
          <w:szCs w:val="28"/>
        </w:rPr>
        <w:t xml:space="preserve"> hơn. </w:t>
      </w:r>
    </w:p>
    <w:p w14:paraId="705BA3B8" w14:textId="101D612D" w:rsidR="00C86487" w:rsidRPr="00456D0C" w:rsidRDefault="00C86487" w:rsidP="001F1B45">
      <w:pPr>
        <w:pStyle w:val="Para"/>
        <w:numPr>
          <w:ilvl w:val="0"/>
          <w:numId w:val="15"/>
        </w:numPr>
        <w:spacing w:before="120" w:after="120" w:line="340" w:lineRule="exact"/>
        <w:ind w:left="0" w:firstLine="709"/>
        <w:rPr>
          <w:rFonts w:ascii="Times New Roman" w:hAnsi="Times New Roman" w:cs="Times New Roman"/>
          <w:sz w:val="28"/>
          <w:szCs w:val="28"/>
          <w:lang w:val="en-US"/>
        </w:rPr>
      </w:pPr>
      <w:r w:rsidRPr="00456D0C">
        <w:rPr>
          <w:rFonts w:ascii="Times New Roman" w:hAnsi="Times New Roman" w:cs="Times New Roman"/>
          <w:sz w:val="28"/>
          <w:szCs w:val="28"/>
          <w:lang w:val="en-US"/>
        </w:rPr>
        <w:t xml:space="preserve">Sự ưa thích con trai còn được thể hiện qua </w:t>
      </w:r>
      <w:r w:rsidR="00A8033B" w:rsidRPr="00456D0C">
        <w:rPr>
          <w:rFonts w:ascii="Times New Roman" w:hAnsi="Times New Roman" w:cs="Times New Roman"/>
          <w:sz w:val="28"/>
          <w:szCs w:val="28"/>
          <w:lang w:val="en-US"/>
        </w:rPr>
        <w:t>việc</w:t>
      </w:r>
      <w:r w:rsidRPr="00456D0C">
        <w:rPr>
          <w:rFonts w:ascii="Times New Roman" w:hAnsi="Times New Roman" w:cs="Times New Roman"/>
          <w:sz w:val="28"/>
          <w:szCs w:val="28"/>
          <w:lang w:val="en-US"/>
        </w:rPr>
        <w:t xml:space="preserve"> lựa chọn giới tính trước sinh ngay từ lần sinh đầu, với TSGTKS </w:t>
      </w:r>
      <w:r w:rsidR="00A8033B" w:rsidRPr="00456D0C">
        <w:rPr>
          <w:rFonts w:ascii="Times New Roman" w:hAnsi="Times New Roman" w:cs="Times New Roman"/>
          <w:sz w:val="28"/>
          <w:szCs w:val="28"/>
          <w:lang w:val="en-US"/>
        </w:rPr>
        <w:t xml:space="preserve">là </w:t>
      </w:r>
      <w:r w:rsidRPr="00456D0C">
        <w:rPr>
          <w:rFonts w:ascii="Times New Roman" w:hAnsi="Times New Roman" w:cs="Times New Roman"/>
          <w:sz w:val="28"/>
          <w:szCs w:val="28"/>
          <w:lang w:val="en-US"/>
        </w:rPr>
        <w:t>109,5 bé trai/100 bé gái</w:t>
      </w:r>
      <w:r w:rsidR="00A8033B" w:rsidRPr="00456D0C">
        <w:rPr>
          <w:rFonts w:ascii="Times New Roman" w:hAnsi="Times New Roman" w:cs="Times New Roman"/>
          <w:sz w:val="28"/>
          <w:szCs w:val="28"/>
          <w:lang w:val="en-US"/>
        </w:rPr>
        <w:t xml:space="preserve"> đối với lần sinh đầu tiên; </w:t>
      </w:r>
      <w:r w:rsidRPr="00456D0C">
        <w:rPr>
          <w:rFonts w:ascii="Times New Roman" w:hAnsi="Times New Roman" w:cs="Times New Roman"/>
          <w:sz w:val="28"/>
          <w:szCs w:val="28"/>
        </w:rPr>
        <w:t xml:space="preserve">TSGTKS tiếp tục tăng </w:t>
      </w:r>
      <w:r w:rsidR="001E3268" w:rsidRPr="00456D0C">
        <w:rPr>
          <w:rFonts w:ascii="Times New Roman" w:hAnsi="Times New Roman" w:cs="Times New Roman"/>
          <w:sz w:val="28"/>
          <w:szCs w:val="28"/>
          <w:lang w:val="en-US"/>
        </w:rPr>
        <w:t xml:space="preserve">ở lần sinh từ </w:t>
      </w:r>
      <w:r w:rsidRPr="00456D0C">
        <w:rPr>
          <w:rFonts w:ascii="Times New Roman" w:hAnsi="Times New Roman" w:cs="Times New Roman"/>
          <w:sz w:val="28"/>
          <w:szCs w:val="28"/>
        </w:rPr>
        <w:t>thứ ba trở lên (1</w:t>
      </w:r>
      <w:r w:rsidRPr="00456D0C">
        <w:rPr>
          <w:rFonts w:ascii="Times New Roman" w:hAnsi="Times New Roman" w:cs="Times New Roman"/>
          <w:sz w:val="28"/>
          <w:szCs w:val="28"/>
          <w:lang w:val="en-US"/>
        </w:rPr>
        <w:t>19,8  bé trai/100 bé gái</w:t>
      </w:r>
      <w:r w:rsidRPr="00456D0C">
        <w:rPr>
          <w:rFonts w:ascii="Times New Roman" w:hAnsi="Times New Roman" w:cs="Times New Roman"/>
          <w:sz w:val="28"/>
          <w:szCs w:val="28"/>
        </w:rPr>
        <w:t>)</w:t>
      </w:r>
      <w:r w:rsidRPr="00456D0C">
        <w:rPr>
          <w:rFonts w:ascii="Times New Roman" w:hAnsi="Times New Roman" w:cs="Times New Roman"/>
          <w:sz w:val="28"/>
          <w:szCs w:val="28"/>
          <w:lang w:val="en-US"/>
        </w:rPr>
        <w:t xml:space="preserve">. Đối với các cặp vợ chồng sinh liên tiếp 2 con gái, </w:t>
      </w:r>
      <w:r w:rsidR="00A8033B" w:rsidRPr="00456D0C">
        <w:rPr>
          <w:rFonts w:ascii="Times New Roman" w:hAnsi="Times New Roman" w:cs="Times New Roman"/>
          <w:sz w:val="28"/>
          <w:szCs w:val="28"/>
          <w:lang w:val="en-US"/>
        </w:rPr>
        <w:t>TSGTKS của lần sinh thứ ba là</w:t>
      </w:r>
      <w:r w:rsidRPr="00456D0C">
        <w:rPr>
          <w:rFonts w:ascii="Times New Roman" w:hAnsi="Times New Roman" w:cs="Times New Roman"/>
          <w:sz w:val="28"/>
          <w:szCs w:val="28"/>
        </w:rPr>
        <w:t xml:space="preserve"> 14</w:t>
      </w:r>
      <w:r w:rsidRPr="00456D0C">
        <w:rPr>
          <w:rFonts w:ascii="Times New Roman" w:hAnsi="Times New Roman" w:cs="Times New Roman"/>
          <w:sz w:val="28"/>
          <w:szCs w:val="28"/>
          <w:lang w:val="en-US"/>
        </w:rPr>
        <w:t>3,8</w:t>
      </w:r>
      <w:r w:rsidRPr="00456D0C">
        <w:rPr>
          <w:rFonts w:ascii="Times New Roman" w:hAnsi="Times New Roman" w:cs="Times New Roman"/>
          <w:sz w:val="28"/>
          <w:szCs w:val="28"/>
        </w:rPr>
        <w:t xml:space="preserve"> </w:t>
      </w:r>
      <w:r w:rsidRPr="00456D0C">
        <w:rPr>
          <w:rFonts w:ascii="Times New Roman" w:hAnsi="Times New Roman" w:cs="Times New Roman"/>
          <w:sz w:val="28"/>
          <w:szCs w:val="28"/>
          <w:lang w:val="en-US"/>
        </w:rPr>
        <w:t xml:space="preserve">bé trai/100 bé gái. </w:t>
      </w:r>
    </w:p>
    <w:p w14:paraId="6FA4861F" w14:textId="2F263977" w:rsidR="00246D4A" w:rsidRPr="00456D0C" w:rsidRDefault="00C86487" w:rsidP="001F1B45">
      <w:pPr>
        <w:pStyle w:val="Para"/>
        <w:numPr>
          <w:ilvl w:val="0"/>
          <w:numId w:val="15"/>
        </w:numPr>
        <w:spacing w:before="120" w:after="120" w:line="340" w:lineRule="exact"/>
        <w:ind w:left="0" w:firstLine="709"/>
        <w:rPr>
          <w:rFonts w:ascii="Times New Roman" w:hAnsi="Times New Roman" w:cs="Times New Roman"/>
          <w:sz w:val="28"/>
          <w:szCs w:val="28"/>
        </w:rPr>
      </w:pPr>
      <w:r w:rsidRPr="00456D0C">
        <w:rPr>
          <w:rFonts w:ascii="Times New Roman" w:hAnsi="Times New Roman" w:cs="Times New Roman"/>
          <w:sz w:val="28"/>
          <w:szCs w:val="28"/>
        </w:rPr>
        <w:t xml:space="preserve">Mức độ mất cân bằng giới tính </w:t>
      </w:r>
      <w:r w:rsidR="00BD5AC0" w:rsidRPr="00456D0C">
        <w:rPr>
          <w:rFonts w:ascii="Times New Roman" w:hAnsi="Times New Roman" w:cs="Times New Roman"/>
          <w:sz w:val="28"/>
          <w:szCs w:val="28"/>
          <w:lang w:val="en-US"/>
        </w:rPr>
        <w:t xml:space="preserve">khi sinh </w:t>
      </w:r>
      <w:r w:rsidRPr="00456D0C">
        <w:rPr>
          <w:rFonts w:ascii="Times New Roman" w:hAnsi="Times New Roman" w:cs="Times New Roman"/>
          <w:sz w:val="28"/>
          <w:szCs w:val="28"/>
        </w:rPr>
        <w:t xml:space="preserve">hiện tại sẽ ảnh hưởng đến cơ cấu dân số </w:t>
      </w:r>
      <w:r w:rsidR="00A8033B" w:rsidRPr="00456D0C">
        <w:rPr>
          <w:rFonts w:ascii="Times New Roman" w:hAnsi="Times New Roman" w:cs="Times New Roman"/>
          <w:sz w:val="28"/>
          <w:szCs w:val="28"/>
          <w:lang w:val="en-US"/>
        </w:rPr>
        <w:t xml:space="preserve">trong tương lai như </w:t>
      </w:r>
      <w:r w:rsidRPr="00456D0C">
        <w:rPr>
          <w:rFonts w:ascii="Times New Roman" w:hAnsi="Times New Roman" w:cs="Times New Roman"/>
          <w:sz w:val="28"/>
          <w:szCs w:val="28"/>
        </w:rPr>
        <w:t xml:space="preserve">dư thừa số lượng nam thanh niên. </w:t>
      </w:r>
      <w:r w:rsidRPr="00456D0C">
        <w:rPr>
          <w:rFonts w:ascii="Times New Roman" w:hAnsi="Times New Roman" w:cs="Times New Roman"/>
          <w:sz w:val="28"/>
          <w:szCs w:val="28"/>
          <w:lang w:val="en-US"/>
        </w:rPr>
        <w:t>Dự báo cho thấy</w:t>
      </w:r>
      <w:r w:rsidR="00A8033B" w:rsidRPr="00456D0C">
        <w:rPr>
          <w:rFonts w:ascii="Times New Roman" w:hAnsi="Times New Roman" w:cs="Times New Roman"/>
          <w:sz w:val="28"/>
          <w:szCs w:val="28"/>
          <w:lang w:val="en-US"/>
        </w:rPr>
        <w:t>,</w:t>
      </w:r>
      <w:r w:rsidRPr="00456D0C">
        <w:rPr>
          <w:rFonts w:ascii="Times New Roman" w:hAnsi="Times New Roman" w:cs="Times New Roman"/>
          <w:sz w:val="28"/>
          <w:szCs w:val="28"/>
          <w:lang w:val="en-US"/>
        </w:rPr>
        <w:t xml:space="preserve"> nếu TSGTKS vẫn giữ nguyên như hiện nay, số nam giới </w:t>
      </w:r>
      <w:r w:rsidR="00A8033B" w:rsidRPr="00456D0C">
        <w:rPr>
          <w:rFonts w:ascii="Times New Roman" w:hAnsi="Times New Roman" w:cs="Times New Roman"/>
          <w:sz w:val="28"/>
          <w:szCs w:val="28"/>
          <w:lang w:val="en-US"/>
        </w:rPr>
        <w:t xml:space="preserve">từ </w:t>
      </w:r>
      <w:r w:rsidRPr="00456D0C">
        <w:rPr>
          <w:rFonts w:ascii="Times New Roman" w:hAnsi="Times New Roman" w:cs="Times New Roman"/>
          <w:sz w:val="28"/>
          <w:szCs w:val="28"/>
          <w:lang w:val="en-US"/>
        </w:rPr>
        <w:t>1</w:t>
      </w:r>
      <w:r w:rsidRPr="00456D0C">
        <w:rPr>
          <w:rFonts w:ascii="Times New Roman" w:hAnsi="Times New Roman" w:cs="Times New Roman"/>
          <w:sz w:val="28"/>
          <w:szCs w:val="28"/>
        </w:rPr>
        <w:t>5-49 tuổi</w:t>
      </w:r>
      <w:r w:rsidRPr="00456D0C">
        <w:rPr>
          <w:rFonts w:ascii="Times New Roman" w:hAnsi="Times New Roman" w:cs="Times New Roman"/>
          <w:sz w:val="28"/>
          <w:szCs w:val="28"/>
          <w:lang w:val="en-US"/>
        </w:rPr>
        <w:t xml:space="preserve"> </w:t>
      </w:r>
      <w:r w:rsidR="00A8033B" w:rsidRPr="00456D0C">
        <w:rPr>
          <w:rFonts w:ascii="Times New Roman" w:hAnsi="Times New Roman" w:cs="Times New Roman"/>
          <w:sz w:val="28"/>
          <w:szCs w:val="28"/>
          <w:lang w:val="en-US"/>
        </w:rPr>
        <w:t>sẽ dư thừa năm 2034</w:t>
      </w:r>
      <w:r w:rsidRPr="00456D0C">
        <w:rPr>
          <w:rFonts w:ascii="Times New Roman" w:hAnsi="Times New Roman" w:cs="Times New Roman"/>
          <w:sz w:val="28"/>
          <w:szCs w:val="28"/>
        </w:rPr>
        <w:t xml:space="preserve"> </w:t>
      </w:r>
      <w:r w:rsidRPr="00456D0C">
        <w:rPr>
          <w:rFonts w:ascii="Times New Roman" w:hAnsi="Times New Roman" w:cs="Times New Roman"/>
          <w:sz w:val="28"/>
          <w:szCs w:val="28"/>
          <w:lang w:val="en-US"/>
        </w:rPr>
        <w:t xml:space="preserve">là </w:t>
      </w:r>
      <w:r w:rsidRPr="00456D0C">
        <w:rPr>
          <w:rFonts w:ascii="Times New Roman" w:hAnsi="Times New Roman" w:cs="Times New Roman"/>
          <w:sz w:val="28"/>
          <w:szCs w:val="28"/>
        </w:rPr>
        <w:t>1,5 triệu</w:t>
      </w:r>
      <w:r w:rsidR="00A8033B" w:rsidRPr="00456D0C">
        <w:rPr>
          <w:rFonts w:ascii="Times New Roman" w:hAnsi="Times New Roman" w:cs="Times New Roman"/>
          <w:sz w:val="28"/>
          <w:szCs w:val="28"/>
          <w:lang w:val="en-US"/>
        </w:rPr>
        <w:t xml:space="preserve"> người, năm 2059 là </w:t>
      </w:r>
      <w:r w:rsidRPr="00456D0C">
        <w:rPr>
          <w:rFonts w:ascii="Times New Roman" w:hAnsi="Times New Roman" w:cs="Times New Roman"/>
          <w:sz w:val="28"/>
          <w:szCs w:val="28"/>
        </w:rPr>
        <w:t>2,5 triệu</w:t>
      </w:r>
      <w:r w:rsidR="00A8033B" w:rsidRPr="00456D0C">
        <w:rPr>
          <w:rFonts w:ascii="Times New Roman" w:hAnsi="Times New Roman" w:cs="Times New Roman"/>
          <w:sz w:val="28"/>
          <w:szCs w:val="28"/>
          <w:lang w:val="en-US"/>
        </w:rPr>
        <w:t xml:space="preserve"> người; n</w:t>
      </w:r>
      <w:r w:rsidRPr="00456D0C">
        <w:rPr>
          <w:rFonts w:ascii="Times New Roman" w:hAnsi="Times New Roman" w:cs="Times New Roman"/>
          <w:sz w:val="28"/>
          <w:szCs w:val="28"/>
          <w:lang w:val="en-US"/>
        </w:rPr>
        <w:t xml:space="preserve">ếu TSGTKS giảm nhanh và đạt mức bình thường vào năm 2039 thì số nam giới </w:t>
      </w:r>
      <w:r w:rsidR="00A8033B" w:rsidRPr="00456D0C">
        <w:rPr>
          <w:rFonts w:ascii="Times New Roman" w:hAnsi="Times New Roman" w:cs="Times New Roman"/>
          <w:sz w:val="28"/>
          <w:szCs w:val="28"/>
          <w:lang w:val="en-US"/>
        </w:rPr>
        <w:t xml:space="preserve">từ </w:t>
      </w:r>
      <w:r w:rsidRPr="00456D0C">
        <w:rPr>
          <w:rFonts w:ascii="Times New Roman" w:hAnsi="Times New Roman" w:cs="Times New Roman"/>
          <w:sz w:val="28"/>
          <w:szCs w:val="28"/>
          <w:lang w:val="en-US"/>
        </w:rPr>
        <w:t>15-49</w:t>
      </w:r>
      <w:r w:rsidR="00BD5AC0" w:rsidRPr="00456D0C">
        <w:rPr>
          <w:rFonts w:ascii="Times New Roman" w:hAnsi="Times New Roman" w:cs="Times New Roman"/>
          <w:sz w:val="28"/>
          <w:szCs w:val="28"/>
          <w:lang w:val="en-US"/>
        </w:rPr>
        <w:t xml:space="preserve"> tuổi</w:t>
      </w:r>
      <w:r w:rsidRPr="00456D0C">
        <w:rPr>
          <w:rFonts w:ascii="Times New Roman" w:hAnsi="Times New Roman" w:cs="Times New Roman"/>
          <w:sz w:val="28"/>
          <w:szCs w:val="28"/>
          <w:lang w:val="en-US"/>
        </w:rPr>
        <w:t xml:space="preserve"> sẽ </w:t>
      </w:r>
      <w:r w:rsidR="00A8033B" w:rsidRPr="00456D0C">
        <w:rPr>
          <w:rFonts w:ascii="Times New Roman" w:hAnsi="Times New Roman" w:cs="Times New Roman"/>
          <w:sz w:val="28"/>
          <w:szCs w:val="28"/>
          <w:lang w:val="en-US"/>
        </w:rPr>
        <w:t xml:space="preserve">dư thừa vào năm 2034 </w:t>
      </w:r>
      <w:r w:rsidRPr="00456D0C">
        <w:rPr>
          <w:rFonts w:ascii="Times New Roman" w:hAnsi="Times New Roman" w:cs="Times New Roman"/>
          <w:sz w:val="28"/>
          <w:szCs w:val="28"/>
          <w:lang w:val="en-US"/>
        </w:rPr>
        <w:t>là 1,5 triệu</w:t>
      </w:r>
      <w:r w:rsidR="00A8033B" w:rsidRPr="00456D0C">
        <w:rPr>
          <w:rFonts w:ascii="Times New Roman" w:hAnsi="Times New Roman" w:cs="Times New Roman"/>
          <w:sz w:val="28"/>
          <w:szCs w:val="28"/>
          <w:lang w:val="en-US"/>
        </w:rPr>
        <w:t xml:space="preserve"> người</w:t>
      </w:r>
      <w:r w:rsidR="00BD5AC0" w:rsidRPr="00456D0C">
        <w:rPr>
          <w:rFonts w:ascii="Times New Roman" w:hAnsi="Times New Roman" w:cs="Times New Roman"/>
          <w:sz w:val="28"/>
          <w:szCs w:val="28"/>
          <w:lang w:val="en-US"/>
        </w:rPr>
        <w:t>,</w:t>
      </w:r>
      <w:r w:rsidR="00A8033B" w:rsidRPr="00456D0C">
        <w:rPr>
          <w:rFonts w:ascii="Times New Roman" w:hAnsi="Times New Roman" w:cs="Times New Roman"/>
          <w:sz w:val="28"/>
          <w:szCs w:val="28"/>
          <w:lang w:val="en-US"/>
        </w:rPr>
        <w:t xml:space="preserve"> năm 2059 là </w:t>
      </w:r>
      <w:r w:rsidRPr="00456D0C">
        <w:rPr>
          <w:rFonts w:ascii="Times New Roman" w:hAnsi="Times New Roman" w:cs="Times New Roman"/>
          <w:sz w:val="28"/>
          <w:szCs w:val="28"/>
        </w:rPr>
        <w:t>1,</w:t>
      </w:r>
      <w:r w:rsidRPr="00456D0C">
        <w:rPr>
          <w:rFonts w:ascii="Times New Roman" w:hAnsi="Times New Roman" w:cs="Times New Roman"/>
          <w:sz w:val="28"/>
          <w:szCs w:val="28"/>
          <w:lang w:val="en-US"/>
        </w:rPr>
        <w:t>8</w:t>
      </w:r>
      <w:r w:rsidRPr="00456D0C">
        <w:rPr>
          <w:rFonts w:ascii="Times New Roman" w:hAnsi="Times New Roman" w:cs="Times New Roman"/>
          <w:sz w:val="28"/>
          <w:szCs w:val="28"/>
        </w:rPr>
        <w:t xml:space="preserve"> triệu người.</w:t>
      </w:r>
      <w:r w:rsidR="00765BE4" w:rsidRPr="00456D0C">
        <w:rPr>
          <w:rFonts w:ascii="Times New Roman" w:hAnsi="Times New Roman" w:cs="Times New Roman"/>
          <w:sz w:val="28"/>
          <w:szCs w:val="28"/>
        </w:rPr>
        <w:t xml:space="preserve"> </w:t>
      </w:r>
    </w:p>
    <w:p w14:paraId="70DB8024" w14:textId="7DB062B1" w:rsidR="00DA1B67" w:rsidRPr="00456D0C" w:rsidRDefault="0046731D" w:rsidP="001F1B45">
      <w:pPr>
        <w:spacing w:before="120" w:after="120" w:line="340" w:lineRule="exact"/>
        <w:ind w:firstLine="709"/>
        <w:rPr>
          <w:rFonts w:ascii="Times New Roman" w:hAnsi="Times New Roman" w:cs="Times New Roman"/>
          <w:b/>
          <w:sz w:val="28"/>
          <w:szCs w:val="28"/>
          <w:u w:val="single"/>
        </w:rPr>
      </w:pPr>
      <w:r w:rsidRPr="00456D0C">
        <w:rPr>
          <w:rFonts w:ascii="Times New Roman" w:hAnsi="Times New Roman" w:cs="Times New Roman"/>
          <w:b/>
          <w:sz w:val="28"/>
          <w:szCs w:val="28"/>
          <w:u w:val="single"/>
        </w:rPr>
        <w:t>D</w:t>
      </w:r>
      <w:r w:rsidR="00413C54" w:rsidRPr="00456D0C">
        <w:rPr>
          <w:rFonts w:ascii="Times New Roman" w:hAnsi="Times New Roman" w:cs="Times New Roman"/>
          <w:b/>
          <w:sz w:val="28"/>
          <w:szCs w:val="28"/>
          <w:u w:val="single"/>
        </w:rPr>
        <w:t>i cư và đô thị hóa</w:t>
      </w:r>
    </w:p>
    <w:p w14:paraId="2FCFDDCA" w14:textId="5225C108" w:rsidR="00A535BA" w:rsidRPr="00456D0C" w:rsidRDefault="00A535BA"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 xml:space="preserve">Cả nước có 6,4 triệu người từ 5 tuổi trở lên là người di cư, chiếm 7,3% tổng dân số, thấp hơn so với năm 2009 (6,7 triệu người di cư, chiếm 8,5% dân số). </w:t>
      </w:r>
      <w:r w:rsidR="001D6B22" w:rsidRPr="00456D0C">
        <w:rPr>
          <w:sz w:val="28"/>
          <w:szCs w:val="28"/>
        </w:rPr>
        <w:t xml:space="preserve">Nữ giới vẫn chiếm tỷ lệ cao hơn nam giới trong tổng dân số di cư nhưng sự khác biệt này đang dần thay đổi theo hướng cân bằng. </w:t>
      </w:r>
      <w:r w:rsidR="00A87F51" w:rsidRPr="00456D0C">
        <w:rPr>
          <w:sz w:val="28"/>
          <w:szCs w:val="28"/>
        </w:rPr>
        <w:t xml:space="preserve">Phần lớn người di cư </w:t>
      </w:r>
      <w:r w:rsidR="00F902A0" w:rsidRPr="00456D0C">
        <w:rPr>
          <w:sz w:val="28"/>
          <w:szCs w:val="28"/>
        </w:rPr>
        <w:t>thuộc nhóm tuổi trẻ</w:t>
      </w:r>
      <w:r w:rsidR="00A87F51" w:rsidRPr="00456D0C">
        <w:rPr>
          <w:sz w:val="28"/>
          <w:szCs w:val="28"/>
        </w:rPr>
        <w:t xml:space="preserve"> từ 20-39 tuổi (chiếm 61,8% tổng số người di cư).</w:t>
      </w:r>
    </w:p>
    <w:p w14:paraId="547C59D6" w14:textId="62C01AF9" w:rsidR="00A535BA" w:rsidRPr="00456D0C" w:rsidRDefault="00A535BA"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Tây Nguyên chuyển từ vùng nhập cư trở thành vùng xuất cư</w:t>
      </w:r>
      <w:r w:rsidR="006A3068" w:rsidRPr="00456D0C">
        <w:rPr>
          <w:sz w:val="28"/>
          <w:szCs w:val="28"/>
        </w:rPr>
        <w:t xml:space="preserve"> (với tỷ suất di cư thuần là -12</w:t>
      </w:r>
      <w:r w:rsidR="001E3268" w:rsidRPr="00456D0C">
        <w:rPr>
          <w:sz w:val="28"/>
          <w:szCs w:val="28"/>
        </w:rPr>
        <w:t>‰</w:t>
      </w:r>
      <w:r w:rsidR="006A3068" w:rsidRPr="00456D0C">
        <w:rPr>
          <w:sz w:val="28"/>
          <w:szCs w:val="28"/>
        </w:rPr>
        <w:t>)</w:t>
      </w:r>
      <w:r w:rsidRPr="00456D0C">
        <w:rPr>
          <w:sz w:val="28"/>
          <w:szCs w:val="28"/>
        </w:rPr>
        <w:t xml:space="preserve">. Đồng bằng sông Hồng và Đông Nam Bộ là hai vùng </w:t>
      </w:r>
      <w:r w:rsidR="00D44C4F" w:rsidRPr="00456D0C">
        <w:rPr>
          <w:sz w:val="28"/>
          <w:szCs w:val="28"/>
        </w:rPr>
        <w:t>nhập</w:t>
      </w:r>
      <w:r w:rsidR="007276CC" w:rsidRPr="00456D0C">
        <w:rPr>
          <w:sz w:val="28"/>
          <w:szCs w:val="28"/>
        </w:rPr>
        <w:t xml:space="preserve"> cư lớn nhất </w:t>
      </w:r>
      <w:r w:rsidRPr="00456D0C">
        <w:rPr>
          <w:sz w:val="28"/>
          <w:szCs w:val="28"/>
        </w:rPr>
        <w:t>cả nước. Đặc biệt</w:t>
      </w:r>
      <w:r w:rsidR="009C654A" w:rsidRPr="00456D0C">
        <w:rPr>
          <w:sz w:val="28"/>
          <w:szCs w:val="28"/>
        </w:rPr>
        <w:t>,</w:t>
      </w:r>
      <w:r w:rsidRPr="00456D0C">
        <w:rPr>
          <w:sz w:val="28"/>
          <w:szCs w:val="28"/>
        </w:rPr>
        <w:t xml:space="preserve"> Đông Nam Bộ, vùng kinh tế phát triển với các khu công nghiệp lớn, tiếp tục là điểm đến thu hút nhất đối với người di cư với 1,3 triệu người nhập cư. </w:t>
      </w:r>
      <w:r w:rsidR="001D6B22" w:rsidRPr="00456D0C">
        <w:rPr>
          <w:sz w:val="28"/>
          <w:szCs w:val="28"/>
        </w:rPr>
        <w:t>T</w:t>
      </w:r>
      <w:r w:rsidR="0046731D" w:rsidRPr="00456D0C">
        <w:rPr>
          <w:sz w:val="28"/>
          <w:szCs w:val="28"/>
        </w:rPr>
        <w:t xml:space="preserve">ỉnh </w:t>
      </w:r>
      <w:r w:rsidRPr="00456D0C">
        <w:rPr>
          <w:sz w:val="28"/>
          <w:szCs w:val="28"/>
        </w:rPr>
        <w:t>Bình Dương có tỷ suất di cư thuần dương cao nhất (200,4‰)</w:t>
      </w:r>
      <w:r w:rsidR="001D6B22" w:rsidRPr="00456D0C">
        <w:rPr>
          <w:sz w:val="28"/>
          <w:szCs w:val="28"/>
        </w:rPr>
        <w:t xml:space="preserve"> trong số 12 tỉnh, thành phố trực thuộc Trung ương có tỷ suất di cư thuần dương</w:t>
      </w:r>
      <w:r w:rsidR="00A87F51" w:rsidRPr="00456D0C">
        <w:rPr>
          <w:sz w:val="28"/>
          <w:szCs w:val="28"/>
        </w:rPr>
        <w:t>;</w:t>
      </w:r>
      <w:r w:rsidR="0046731D" w:rsidRPr="00456D0C">
        <w:rPr>
          <w:sz w:val="28"/>
          <w:szCs w:val="28"/>
        </w:rPr>
        <w:t xml:space="preserve"> tỉnh </w:t>
      </w:r>
      <w:r w:rsidRPr="00456D0C">
        <w:rPr>
          <w:sz w:val="28"/>
          <w:szCs w:val="28"/>
        </w:rPr>
        <w:t>Sóc Trăng có tỷ suất di cư thuần âm cao nhất (-75,0‰).</w:t>
      </w:r>
    </w:p>
    <w:p w14:paraId="47C6A5C8" w14:textId="30FB5CA0" w:rsidR="00A535BA" w:rsidRPr="00456D0C" w:rsidRDefault="00A535BA"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 xml:space="preserve">Trẻ em di cư thiệt thòi hơn trẻ em không di cư trong việc tiếp cận giáo dục cấp trung học cơ sở và trung học phổ thông; đặc biệt, trẻ em trong nhóm di cư ngoại tỉnh chịu thiệt thòi hơn so với trẻ em ở các nhóm di cư khác </w:t>
      </w:r>
      <w:r w:rsidRPr="00456D0C">
        <w:rPr>
          <w:sz w:val="28"/>
          <w:szCs w:val="28"/>
        </w:rPr>
        <w:lastRenderedPageBreak/>
        <w:t xml:space="preserve">trong việc tiếp cận giáo dục ở tất cả các cấp. Năm 2019, có tới 83,9% trẻ em không di cư trong độ tuổi 11-18 đang đi học nhưng chỉ có 55,7% trẻ em di cư ngoại tỉnh trong nhóm </w:t>
      </w:r>
      <w:r w:rsidR="00F902A0" w:rsidRPr="00456D0C">
        <w:rPr>
          <w:sz w:val="28"/>
          <w:szCs w:val="28"/>
        </w:rPr>
        <w:t xml:space="preserve">nhóm </w:t>
      </w:r>
      <w:r w:rsidRPr="00456D0C">
        <w:rPr>
          <w:sz w:val="28"/>
          <w:szCs w:val="28"/>
        </w:rPr>
        <w:t xml:space="preserve">tuổi này đang đi học.  </w:t>
      </w:r>
    </w:p>
    <w:p w14:paraId="2AD2CD63" w14:textId="361D44C3" w:rsidR="00A535BA" w:rsidRPr="00456D0C" w:rsidRDefault="00A535BA" w:rsidP="001F1B45">
      <w:pPr>
        <w:pStyle w:val="ListParagraph"/>
        <w:numPr>
          <w:ilvl w:val="0"/>
          <w:numId w:val="15"/>
        </w:numPr>
        <w:spacing w:before="120" w:after="120" w:line="340" w:lineRule="exact"/>
        <w:ind w:left="0" w:firstLine="709"/>
        <w:contextualSpacing w:val="0"/>
        <w:jc w:val="both"/>
        <w:rPr>
          <w:spacing w:val="-4"/>
          <w:sz w:val="28"/>
          <w:szCs w:val="28"/>
        </w:rPr>
      </w:pPr>
      <w:r w:rsidRPr="00456D0C">
        <w:rPr>
          <w:spacing w:val="-4"/>
          <w:sz w:val="28"/>
          <w:szCs w:val="28"/>
        </w:rPr>
        <w:t>Trình độ chuyên môn kỹ thuật (CMKT) của người di cư đã cải thiện so với 10 năm trước, tăng từ 22,9% năm 2009 lên 37,2% năm 2019</w:t>
      </w:r>
      <w:r w:rsidR="007276CC" w:rsidRPr="00456D0C">
        <w:rPr>
          <w:spacing w:val="-4"/>
          <w:sz w:val="28"/>
          <w:szCs w:val="28"/>
        </w:rPr>
        <w:t xml:space="preserve"> và cao hơn so với người không di cư</w:t>
      </w:r>
      <w:r w:rsidRPr="00456D0C">
        <w:rPr>
          <w:spacing w:val="-4"/>
          <w:sz w:val="28"/>
          <w:szCs w:val="28"/>
        </w:rPr>
        <w:t>. Năm 2019, tỷ lệ người di cư có trình độ CMKT cao hơn 17</w:t>
      </w:r>
      <w:r w:rsidR="0046731D" w:rsidRPr="00456D0C">
        <w:rPr>
          <w:spacing w:val="-4"/>
          <w:sz w:val="28"/>
          <w:szCs w:val="28"/>
        </w:rPr>
        <w:t>,</w:t>
      </w:r>
      <w:r w:rsidRPr="00456D0C">
        <w:rPr>
          <w:spacing w:val="-4"/>
          <w:sz w:val="28"/>
          <w:szCs w:val="28"/>
        </w:rPr>
        <w:t xml:space="preserve">5 điểm phần trăm so với người không di cư. </w:t>
      </w:r>
    </w:p>
    <w:p w14:paraId="42B46828" w14:textId="1BE3B021" w:rsidR="00A535BA" w:rsidRPr="00456D0C" w:rsidRDefault="00A535BA"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Trong tổng số lao động di cư đang làm việc trong nền kinh tế, có tới 91,</w:t>
      </w:r>
      <w:r w:rsidR="00F902A0" w:rsidRPr="00456D0C">
        <w:rPr>
          <w:sz w:val="28"/>
          <w:szCs w:val="28"/>
        </w:rPr>
        <w:t>4</w:t>
      </w:r>
      <w:r w:rsidRPr="00456D0C">
        <w:rPr>
          <w:sz w:val="28"/>
          <w:szCs w:val="28"/>
        </w:rPr>
        <w:t xml:space="preserve">% người di cư làm ở khu vực dịch vụ, công nghiệp và xây dựng. Tỷ lệ này ở người di cư cao hơn so với người không di cư, đặc biệt tỷ trọng người di cư làm trong khu vực công nghiệp và xây dựng cao gần gấp đôi tỷ trọng người không di cư làm trong cùng khu vực (44,9% so với 27,7%). </w:t>
      </w:r>
    </w:p>
    <w:p w14:paraId="1E0C9FEC" w14:textId="666F9F91" w:rsidR="009A46E7" w:rsidRPr="00456D0C" w:rsidRDefault="00A535BA"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 xml:space="preserve">Tỷ lệ thất nghiệp của người di cư cao hơn người không di cư (2,53% so với 2,01%). Nữ giới di cư có tỷ lệ thất nghiệp cao hơn nam giới di cư, lần lượt là 2,82% và 2,20%. Trong số những người di cư đang thất nghiệp, hơn hai phần ba (69,7%) là những người di cư tới thành thị và chỉ có một phần ba là những người di cư tới nông thôn.  </w:t>
      </w:r>
    </w:p>
    <w:p w14:paraId="655FEEF5" w14:textId="3B7653CE" w:rsidR="00A535BA" w:rsidRPr="00456D0C" w:rsidRDefault="00F70181"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Đ</w:t>
      </w:r>
      <w:r w:rsidR="00A535BA" w:rsidRPr="00456D0C">
        <w:rPr>
          <w:sz w:val="28"/>
          <w:szCs w:val="28"/>
        </w:rPr>
        <w:t>iều kiện về nhà ở của người di cư tốt hơn người không di cư</w:t>
      </w:r>
      <w:r w:rsidRPr="00456D0C">
        <w:rPr>
          <w:sz w:val="28"/>
          <w:szCs w:val="28"/>
        </w:rPr>
        <w:t xml:space="preserve"> với tỷ lệ người sống trong nhà thiếu kiên cố hoặc đơn sơ của hai nhóm này tương ứng </w:t>
      </w:r>
      <w:r w:rsidR="00F902A0" w:rsidRPr="00456D0C">
        <w:rPr>
          <w:sz w:val="28"/>
          <w:szCs w:val="28"/>
        </w:rPr>
        <w:t xml:space="preserve">là </w:t>
      </w:r>
      <w:r w:rsidR="009C654A" w:rsidRPr="00456D0C">
        <w:rPr>
          <w:sz w:val="28"/>
          <w:szCs w:val="28"/>
        </w:rPr>
        <w:t>2</w:t>
      </w:r>
      <w:r w:rsidRPr="00456D0C">
        <w:rPr>
          <w:sz w:val="28"/>
          <w:szCs w:val="28"/>
        </w:rPr>
        <w:t>,</w:t>
      </w:r>
      <w:r w:rsidR="009C654A" w:rsidRPr="00456D0C">
        <w:rPr>
          <w:sz w:val="28"/>
          <w:szCs w:val="28"/>
        </w:rPr>
        <w:t xml:space="preserve">8% </w:t>
      </w:r>
      <w:r w:rsidRPr="00456D0C">
        <w:rPr>
          <w:sz w:val="28"/>
          <w:szCs w:val="28"/>
        </w:rPr>
        <w:t>và</w:t>
      </w:r>
      <w:r w:rsidR="00A535BA" w:rsidRPr="00456D0C">
        <w:rPr>
          <w:sz w:val="28"/>
          <w:szCs w:val="28"/>
        </w:rPr>
        <w:t xml:space="preserve"> 7,3%. Tuy nhiên, diện tích nhà ở bình quân đầu người của người di cư lại thấp hơn của người không di cư (tương ứng là 21,9m</w:t>
      </w:r>
      <w:r w:rsidR="00A535BA" w:rsidRPr="00456D0C">
        <w:rPr>
          <w:sz w:val="28"/>
          <w:szCs w:val="28"/>
          <w:vertAlign w:val="superscript"/>
        </w:rPr>
        <w:t>2</w:t>
      </w:r>
      <w:r w:rsidR="00A535BA" w:rsidRPr="00456D0C">
        <w:rPr>
          <w:sz w:val="28"/>
          <w:szCs w:val="28"/>
        </w:rPr>
        <w:t>/người và 25,4m</w:t>
      </w:r>
      <w:r w:rsidR="00A535BA" w:rsidRPr="00456D0C">
        <w:rPr>
          <w:sz w:val="28"/>
          <w:szCs w:val="28"/>
          <w:vertAlign w:val="superscript"/>
        </w:rPr>
        <w:t>2</w:t>
      </w:r>
      <w:r w:rsidR="00A535BA" w:rsidRPr="00456D0C">
        <w:rPr>
          <w:sz w:val="28"/>
          <w:szCs w:val="28"/>
        </w:rPr>
        <w:t>/người)</w:t>
      </w:r>
      <w:r w:rsidRPr="00456D0C">
        <w:rPr>
          <w:sz w:val="28"/>
          <w:szCs w:val="28"/>
        </w:rPr>
        <w:t xml:space="preserve"> với </w:t>
      </w:r>
      <w:r w:rsidR="00A535BA" w:rsidRPr="00456D0C">
        <w:rPr>
          <w:sz w:val="28"/>
          <w:szCs w:val="28"/>
        </w:rPr>
        <w:t>gần một nửa người di cư phải đi thuê/mượn nhà để ở.</w:t>
      </w:r>
    </w:p>
    <w:p w14:paraId="5839B43D" w14:textId="6F2505EA" w:rsidR="00A535BA" w:rsidRPr="00456D0C" w:rsidRDefault="007C035D" w:rsidP="001F1B45">
      <w:pPr>
        <w:pStyle w:val="ListParagraph"/>
        <w:numPr>
          <w:ilvl w:val="0"/>
          <w:numId w:val="15"/>
        </w:numPr>
        <w:spacing w:before="120" w:after="120" w:line="340" w:lineRule="exact"/>
        <w:ind w:left="0" w:firstLine="709"/>
        <w:contextualSpacing w:val="0"/>
        <w:jc w:val="both"/>
        <w:rPr>
          <w:spacing w:val="-4"/>
          <w:sz w:val="28"/>
          <w:szCs w:val="28"/>
        </w:rPr>
      </w:pPr>
      <w:r w:rsidRPr="00456D0C">
        <w:rPr>
          <w:spacing w:val="-4"/>
          <w:sz w:val="28"/>
          <w:szCs w:val="28"/>
        </w:rPr>
        <w:t>C</w:t>
      </w:r>
      <w:r w:rsidR="00A535BA" w:rsidRPr="00456D0C">
        <w:rPr>
          <w:spacing w:val="-4"/>
          <w:sz w:val="28"/>
          <w:szCs w:val="28"/>
        </w:rPr>
        <w:t xml:space="preserve">ó mối quan hệ chặt chẽ giữa di cư và đô thị hóa. </w:t>
      </w:r>
      <w:r w:rsidR="00DC169C" w:rsidRPr="00456D0C">
        <w:rPr>
          <w:spacing w:val="-4"/>
          <w:sz w:val="28"/>
          <w:szCs w:val="28"/>
        </w:rPr>
        <w:t xml:space="preserve">Người nhập cư </w:t>
      </w:r>
      <w:r w:rsidR="00333194" w:rsidRPr="00456D0C">
        <w:rPr>
          <w:spacing w:val="-4"/>
          <w:sz w:val="28"/>
          <w:szCs w:val="28"/>
        </w:rPr>
        <w:t>từ 5 tuổi trở lên chiếm</w:t>
      </w:r>
      <w:r w:rsidR="00DC169C" w:rsidRPr="00456D0C">
        <w:rPr>
          <w:spacing w:val="-4"/>
          <w:sz w:val="28"/>
          <w:szCs w:val="28"/>
        </w:rPr>
        <w:t xml:space="preserve"> 12,3% dân số của các đô thị</w:t>
      </w:r>
      <w:r w:rsidR="00A535BA" w:rsidRPr="00456D0C">
        <w:rPr>
          <w:spacing w:val="-4"/>
          <w:sz w:val="28"/>
          <w:szCs w:val="28"/>
        </w:rPr>
        <w:t>.</w:t>
      </w:r>
      <w:r w:rsidR="00DC169C" w:rsidRPr="00456D0C">
        <w:rPr>
          <w:spacing w:val="-4"/>
          <w:sz w:val="28"/>
          <w:szCs w:val="28"/>
        </w:rPr>
        <w:t xml:space="preserve"> </w:t>
      </w:r>
      <w:r w:rsidR="00AD6F63" w:rsidRPr="00456D0C">
        <w:rPr>
          <w:spacing w:val="-4"/>
          <w:sz w:val="28"/>
          <w:szCs w:val="28"/>
        </w:rPr>
        <w:t>Áp lực nhập cư đối với đô thị đặc biệt là lớn nhất</w:t>
      </w:r>
      <w:r w:rsidR="00333194" w:rsidRPr="00456D0C">
        <w:rPr>
          <w:spacing w:val="-4"/>
          <w:sz w:val="28"/>
          <w:szCs w:val="28"/>
        </w:rPr>
        <w:t>, c</w:t>
      </w:r>
      <w:r w:rsidR="00DC169C" w:rsidRPr="00456D0C">
        <w:rPr>
          <w:spacing w:val="-4"/>
          <w:sz w:val="28"/>
          <w:szCs w:val="28"/>
        </w:rPr>
        <w:t xml:space="preserve">ứ 1000 </w:t>
      </w:r>
      <w:r w:rsidR="00333194" w:rsidRPr="00456D0C">
        <w:rPr>
          <w:spacing w:val="-4"/>
          <w:sz w:val="28"/>
          <w:szCs w:val="28"/>
        </w:rPr>
        <w:t xml:space="preserve">người </w:t>
      </w:r>
      <w:r w:rsidR="00DC169C" w:rsidRPr="00456D0C">
        <w:rPr>
          <w:spacing w:val="-4"/>
          <w:sz w:val="28"/>
          <w:szCs w:val="28"/>
        </w:rPr>
        <w:t xml:space="preserve">sống tại </w:t>
      </w:r>
      <w:r w:rsidR="00AD6F63" w:rsidRPr="00456D0C">
        <w:rPr>
          <w:spacing w:val="-4"/>
          <w:sz w:val="28"/>
          <w:szCs w:val="28"/>
        </w:rPr>
        <w:t>các đô thị</w:t>
      </w:r>
      <w:r w:rsidR="00DC169C" w:rsidRPr="00456D0C">
        <w:rPr>
          <w:spacing w:val="-4"/>
          <w:sz w:val="28"/>
          <w:szCs w:val="28"/>
        </w:rPr>
        <w:t xml:space="preserve"> </w:t>
      </w:r>
      <w:r w:rsidR="00333194" w:rsidRPr="00456D0C">
        <w:rPr>
          <w:spacing w:val="-4"/>
          <w:sz w:val="28"/>
          <w:szCs w:val="28"/>
        </w:rPr>
        <w:t>đặc biệt</w:t>
      </w:r>
      <w:r w:rsidR="00DC169C" w:rsidRPr="00456D0C">
        <w:rPr>
          <w:spacing w:val="-4"/>
          <w:sz w:val="28"/>
          <w:szCs w:val="28"/>
        </w:rPr>
        <w:t xml:space="preserve"> thì c</w:t>
      </w:r>
      <w:r w:rsidR="00333194" w:rsidRPr="00456D0C">
        <w:rPr>
          <w:spacing w:val="-4"/>
          <w:sz w:val="28"/>
          <w:szCs w:val="28"/>
        </w:rPr>
        <w:t>ó</w:t>
      </w:r>
      <w:r w:rsidR="00DC169C" w:rsidRPr="00456D0C">
        <w:rPr>
          <w:spacing w:val="-4"/>
          <w:sz w:val="28"/>
          <w:szCs w:val="28"/>
        </w:rPr>
        <w:t xml:space="preserve"> tới </w:t>
      </w:r>
      <w:r w:rsidR="00F902A0" w:rsidRPr="00456D0C">
        <w:rPr>
          <w:spacing w:val="-4"/>
          <w:sz w:val="28"/>
          <w:szCs w:val="28"/>
        </w:rPr>
        <w:t xml:space="preserve">gần </w:t>
      </w:r>
      <w:r w:rsidR="00DC169C" w:rsidRPr="00456D0C">
        <w:rPr>
          <w:spacing w:val="-4"/>
          <w:sz w:val="28"/>
          <w:szCs w:val="28"/>
        </w:rPr>
        <w:t xml:space="preserve">200 người </w:t>
      </w:r>
      <w:r w:rsidR="00F902A0" w:rsidRPr="00456D0C">
        <w:rPr>
          <w:spacing w:val="-4"/>
          <w:sz w:val="28"/>
          <w:szCs w:val="28"/>
        </w:rPr>
        <w:t xml:space="preserve">là người </w:t>
      </w:r>
      <w:r w:rsidR="00AD6F63" w:rsidRPr="00456D0C">
        <w:rPr>
          <w:spacing w:val="-4"/>
          <w:sz w:val="28"/>
          <w:szCs w:val="28"/>
        </w:rPr>
        <w:t xml:space="preserve">nhập cư, cao gấp 2,7 lần mức chung của cả nước. </w:t>
      </w:r>
    </w:p>
    <w:p w14:paraId="61FE9F83" w14:textId="5E618066" w:rsidR="00A535BA" w:rsidRPr="00456D0C" w:rsidRDefault="00A91FFA"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Có sự khác biệt về tỷ lệ thất nghiệp giữa các loại hình đô thị</w:t>
      </w:r>
      <w:r w:rsidR="00A535BA" w:rsidRPr="00456D0C">
        <w:rPr>
          <w:sz w:val="28"/>
          <w:szCs w:val="28"/>
        </w:rPr>
        <w:t xml:space="preserve">: Tỷ lệ thất nghiệp của dân số từ 15 tuổi trở lên ở đô thị đặc biệt cao nhất (3,17%), tiếp đến là đô thị loại I (3,03%), đô thị loại III có tỷ lệ thất nghiệp thấp nhất trong </w:t>
      </w:r>
      <w:r w:rsidR="00F902A0" w:rsidRPr="00456D0C">
        <w:rPr>
          <w:sz w:val="28"/>
          <w:szCs w:val="28"/>
        </w:rPr>
        <w:t xml:space="preserve">các </w:t>
      </w:r>
      <w:r w:rsidR="00A535BA" w:rsidRPr="00456D0C">
        <w:rPr>
          <w:sz w:val="28"/>
          <w:szCs w:val="28"/>
        </w:rPr>
        <w:t xml:space="preserve">nhóm đô thị (2,11%). Tỷ lệ thất nghiệp của nữ cao hơn nam ở tất cả các loại hình đô thị. </w:t>
      </w:r>
    </w:p>
    <w:p w14:paraId="003A609A" w14:textId="2D39491A" w:rsidR="00413C54" w:rsidRPr="00456D0C" w:rsidRDefault="00B82FD9" w:rsidP="001F1B45">
      <w:pPr>
        <w:spacing w:before="120" w:after="120" w:line="340" w:lineRule="exact"/>
        <w:ind w:firstLine="709"/>
        <w:rPr>
          <w:rFonts w:ascii="Times New Roman" w:hAnsi="Times New Roman" w:cs="Times New Roman"/>
          <w:b/>
          <w:sz w:val="28"/>
          <w:szCs w:val="28"/>
          <w:u w:val="single"/>
        </w:rPr>
      </w:pPr>
      <w:r w:rsidRPr="00456D0C">
        <w:rPr>
          <w:rFonts w:ascii="Times New Roman" w:hAnsi="Times New Roman" w:cs="Times New Roman"/>
          <w:b/>
          <w:sz w:val="28"/>
          <w:szCs w:val="28"/>
          <w:u w:val="single"/>
        </w:rPr>
        <w:t>Dự báo dân số giai đoạn 2019-2069</w:t>
      </w:r>
    </w:p>
    <w:p w14:paraId="5A9898A9" w14:textId="19BCFDBB" w:rsidR="002217D4" w:rsidRPr="00456D0C" w:rsidRDefault="00074EF6"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T</w:t>
      </w:r>
      <w:r w:rsidR="008865E0" w:rsidRPr="00456D0C">
        <w:rPr>
          <w:sz w:val="28"/>
          <w:szCs w:val="28"/>
        </w:rPr>
        <w:t xml:space="preserve">heo phương án trung bình, </w:t>
      </w:r>
      <w:r w:rsidRPr="00456D0C">
        <w:rPr>
          <w:sz w:val="28"/>
          <w:szCs w:val="28"/>
        </w:rPr>
        <w:t xml:space="preserve">dự báo </w:t>
      </w:r>
      <w:r w:rsidR="008865E0" w:rsidRPr="00456D0C">
        <w:rPr>
          <w:sz w:val="28"/>
          <w:szCs w:val="28"/>
        </w:rPr>
        <w:t xml:space="preserve">dân số Việt Nam </w:t>
      </w:r>
      <w:r w:rsidR="002217D4" w:rsidRPr="00456D0C">
        <w:rPr>
          <w:sz w:val="28"/>
          <w:szCs w:val="28"/>
        </w:rPr>
        <w:t xml:space="preserve">năm </w:t>
      </w:r>
      <w:r w:rsidR="00D7604B" w:rsidRPr="00456D0C">
        <w:rPr>
          <w:sz w:val="28"/>
          <w:szCs w:val="28"/>
        </w:rPr>
        <w:t xml:space="preserve">2029 là </w:t>
      </w:r>
      <w:r w:rsidR="00D7604B" w:rsidRPr="00456D0C">
        <w:rPr>
          <w:spacing w:val="-6"/>
          <w:sz w:val="28"/>
          <w:szCs w:val="28"/>
        </w:rPr>
        <w:t>104,5 triệu</w:t>
      </w:r>
      <w:r w:rsidR="008865E0" w:rsidRPr="00456D0C">
        <w:rPr>
          <w:spacing w:val="-6"/>
          <w:sz w:val="28"/>
          <w:szCs w:val="28"/>
        </w:rPr>
        <w:t xml:space="preserve"> người</w:t>
      </w:r>
      <w:r w:rsidR="00D7604B" w:rsidRPr="00456D0C">
        <w:rPr>
          <w:spacing w:val="-6"/>
          <w:sz w:val="28"/>
          <w:szCs w:val="28"/>
        </w:rPr>
        <w:t>, năm 2039 là 110,8 triệu</w:t>
      </w:r>
      <w:r w:rsidR="008865E0" w:rsidRPr="00456D0C">
        <w:rPr>
          <w:spacing w:val="-6"/>
          <w:sz w:val="28"/>
          <w:szCs w:val="28"/>
        </w:rPr>
        <w:t xml:space="preserve"> người</w:t>
      </w:r>
      <w:r w:rsidR="00D7604B" w:rsidRPr="00456D0C">
        <w:rPr>
          <w:spacing w:val="-6"/>
          <w:sz w:val="28"/>
          <w:szCs w:val="28"/>
        </w:rPr>
        <w:t xml:space="preserve"> và đến năm </w:t>
      </w:r>
      <w:r w:rsidR="002217D4" w:rsidRPr="00456D0C">
        <w:rPr>
          <w:spacing w:val="-6"/>
          <w:sz w:val="28"/>
          <w:szCs w:val="28"/>
        </w:rPr>
        <w:t>2069 là 116,9 triệu người.</w:t>
      </w:r>
      <w:r w:rsidR="002217D4" w:rsidRPr="00456D0C">
        <w:rPr>
          <w:sz w:val="28"/>
          <w:szCs w:val="28"/>
        </w:rPr>
        <w:t xml:space="preserve"> Trong 5 năm đầu của thời kỳ dự báo, 2019-2024, tỷ lệ tăng dân số hàng năm của nước ta là 0,93%. Trong tương lai, dự báo tỷ lệ tăng dân số sẽ tiếp tục giảm và đạt trạng thái “dừng” vào cuối thời kỳ dự báo, giai đoạn 2064-2069. </w:t>
      </w:r>
    </w:p>
    <w:p w14:paraId="2B256563" w14:textId="50FC2693" w:rsidR="002217D4" w:rsidRPr="00456D0C" w:rsidRDefault="002217D4"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 xml:space="preserve">Tỷ số giới tính </w:t>
      </w:r>
      <w:r w:rsidR="001C20CD" w:rsidRPr="00456D0C">
        <w:rPr>
          <w:sz w:val="28"/>
          <w:szCs w:val="28"/>
        </w:rPr>
        <w:t>sẽ</w:t>
      </w:r>
      <w:r w:rsidR="007A224F" w:rsidRPr="00456D0C">
        <w:rPr>
          <w:sz w:val="28"/>
          <w:szCs w:val="28"/>
        </w:rPr>
        <w:t xml:space="preserve"> </w:t>
      </w:r>
      <w:r w:rsidRPr="00456D0C">
        <w:rPr>
          <w:sz w:val="28"/>
          <w:szCs w:val="28"/>
        </w:rPr>
        <w:t xml:space="preserve">tăng nhanh trong giai đoạn </w:t>
      </w:r>
      <w:r w:rsidR="001C20CD" w:rsidRPr="00456D0C">
        <w:rPr>
          <w:sz w:val="28"/>
          <w:szCs w:val="28"/>
        </w:rPr>
        <w:t>2019-2029</w:t>
      </w:r>
      <w:r w:rsidRPr="00456D0C">
        <w:rPr>
          <w:sz w:val="28"/>
          <w:szCs w:val="28"/>
        </w:rPr>
        <w:t xml:space="preserve">. </w:t>
      </w:r>
      <w:r w:rsidR="00074EF6" w:rsidRPr="00456D0C">
        <w:rPr>
          <w:sz w:val="28"/>
          <w:szCs w:val="28"/>
        </w:rPr>
        <w:t>Theo phương án trung bình, d</w:t>
      </w:r>
      <w:r w:rsidRPr="00456D0C">
        <w:rPr>
          <w:sz w:val="28"/>
          <w:szCs w:val="28"/>
        </w:rPr>
        <w:t>ự báo đến năm 2026 dân số nam bằng dân số n</w:t>
      </w:r>
      <w:r w:rsidR="006B7BE7" w:rsidRPr="00456D0C">
        <w:rPr>
          <w:sz w:val="28"/>
          <w:szCs w:val="28"/>
        </w:rPr>
        <w:t xml:space="preserve">ữ (tỷ số </w:t>
      </w:r>
      <w:r w:rsidR="006B7BE7" w:rsidRPr="00456D0C">
        <w:rPr>
          <w:sz w:val="28"/>
          <w:szCs w:val="28"/>
        </w:rPr>
        <w:lastRenderedPageBreak/>
        <w:t xml:space="preserve">giới tính đạt mức 100 </w:t>
      </w:r>
      <w:r w:rsidRPr="00456D0C">
        <w:rPr>
          <w:sz w:val="28"/>
          <w:szCs w:val="28"/>
        </w:rPr>
        <w:t>nam/100 nữ</w:t>
      </w:r>
      <w:r w:rsidR="00074EF6" w:rsidRPr="00456D0C">
        <w:rPr>
          <w:sz w:val="28"/>
          <w:szCs w:val="28"/>
        </w:rPr>
        <w:t xml:space="preserve">); đến </w:t>
      </w:r>
      <w:r w:rsidRPr="00456D0C">
        <w:rPr>
          <w:sz w:val="28"/>
          <w:szCs w:val="28"/>
        </w:rPr>
        <w:t xml:space="preserve">năm 2069, tỷ số giới tính </w:t>
      </w:r>
      <w:r w:rsidR="00987DB6" w:rsidRPr="00456D0C">
        <w:rPr>
          <w:sz w:val="28"/>
          <w:szCs w:val="28"/>
        </w:rPr>
        <w:t xml:space="preserve">của Việt Nam </w:t>
      </w:r>
      <w:r w:rsidRPr="00456D0C">
        <w:rPr>
          <w:sz w:val="28"/>
          <w:szCs w:val="28"/>
        </w:rPr>
        <w:t xml:space="preserve">là 101,4 nam/100 nữ. </w:t>
      </w:r>
    </w:p>
    <w:p w14:paraId="11A75124" w14:textId="1F24AF5B" w:rsidR="00AC05AF" w:rsidRPr="00456D0C" w:rsidRDefault="00AC05AF" w:rsidP="001F1B45">
      <w:pPr>
        <w:numPr>
          <w:ilvl w:val="0"/>
          <w:numId w:val="15"/>
        </w:numPr>
        <w:spacing w:before="120" w:after="120" w:line="340" w:lineRule="exact"/>
        <w:ind w:left="0" w:firstLine="709"/>
        <w:jc w:val="both"/>
        <w:rPr>
          <w:rFonts w:ascii="Times New Roman" w:hAnsi="Times New Roman" w:cs="Times New Roman"/>
          <w:sz w:val="28"/>
          <w:szCs w:val="28"/>
        </w:rPr>
      </w:pPr>
      <w:r w:rsidRPr="00456D0C">
        <w:rPr>
          <w:rFonts w:ascii="Times New Roman" w:eastAsia="Times New Roman" w:hAnsi="Times New Roman" w:cs="Times New Roman"/>
          <w:sz w:val="28"/>
          <w:szCs w:val="28"/>
        </w:rPr>
        <w:t xml:space="preserve">Theo phương án trung bình, dự báo dân số từ 65 tuổi trở lên sẽ vượt 15% tổng dân số vào năm 2039. Dự báo đây là thời điểm chấm dứt thời kỳ cơ cấu </w:t>
      </w:r>
      <w:r w:rsidR="009B4A54" w:rsidRPr="00456D0C">
        <w:rPr>
          <w:rFonts w:ascii="Times New Roman" w:eastAsia="Times New Roman" w:hAnsi="Times New Roman" w:cs="Times New Roman"/>
          <w:sz w:val="28"/>
          <w:szCs w:val="28"/>
        </w:rPr>
        <w:t xml:space="preserve">dân số vàng </w:t>
      </w:r>
      <w:r w:rsidRPr="00456D0C">
        <w:rPr>
          <w:rFonts w:ascii="Times New Roman" w:eastAsia="Times New Roman" w:hAnsi="Times New Roman" w:cs="Times New Roman"/>
          <w:sz w:val="28"/>
          <w:szCs w:val="28"/>
        </w:rPr>
        <w:t xml:space="preserve">đã xuất hiện và tồn tại ở Việt Nam </w:t>
      </w:r>
      <w:r w:rsidR="009B4A54" w:rsidRPr="00456D0C">
        <w:rPr>
          <w:rFonts w:ascii="Times New Roman" w:eastAsia="Times New Roman" w:hAnsi="Times New Roman" w:cs="Times New Roman"/>
          <w:sz w:val="28"/>
          <w:szCs w:val="28"/>
        </w:rPr>
        <w:t>từ năm 2007</w:t>
      </w:r>
      <w:r w:rsidRPr="00456D0C">
        <w:rPr>
          <w:rStyle w:val="FootnoteReference"/>
          <w:rFonts w:ascii="Times New Roman" w:hAnsi="Times New Roman" w:cs="Times New Roman"/>
          <w:sz w:val="28"/>
          <w:szCs w:val="28"/>
        </w:rPr>
        <w:footnoteReference w:id="2"/>
      </w:r>
      <w:r w:rsidRPr="00456D0C">
        <w:rPr>
          <w:rFonts w:ascii="Times New Roman" w:hAnsi="Times New Roman" w:cs="Times New Roman"/>
          <w:sz w:val="28"/>
          <w:szCs w:val="28"/>
        </w:rPr>
        <w:t>.</w:t>
      </w:r>
    </w:p>
    <w:p w14:paraId="60DB212F" w14:textId="18EC4EDB" w:rsidR="0055476E" w:rsidRPr="00456D0C" w:rsidRDefault="0055476E" w:rsidP="001F1B45">
      <w:pPr>
        <w:numPr>
          <w:ilvl w:val="0"/>
          <w:numId w:val="15"/>
        </w:numPr>
        <w:spacing w:before="120" w:after="120" w:line="340" w:lineRule="exact"/>
        <w:ind w:left="0" w:firstLine="709"/>
        <w:jc w:val="both"/>
        <w:rPr>
          <w:rFonts w:ascii="Times New Roman" w:eastAsia="Times New Roman" w:hAnsi="Times New Roman" w:cs="Times New Roman"/>
          <w:sz w:val="28"/>
          <w:szCs w:val="28"/>
        </w:rPr>
      </w:pPr>
      <w:r w:rsidRPr="00456D0C">
        <w:rPr>
          <w:rFonts w:ascii="Times New Roman" w:eastAsia="Times New Roman" w:hAnsi="Times New Roman" w:cs="Times New Roman"/>
          <w:sz w:val="28"/>
          <w:szCs w:val="28"/>
        </w:rPr>
        <w:t>Giai đoạn 2026</w:t>
      </w:r>
      <w:r w:rsidR="009C5573" w:rsidRPr="00456D0C">
        <w:rPr>
          <w:rFonts w:ascii="Times New Roman" w:eastAsia="Times New Roman" w:hAnsi="Times New Roman" w:cs="Times New Roman"/>
          <w:sz w:val="28"/>
          <w:szCs w:val="28"/>
        </w:rPr>
        <w:t>-</w:t>
      </w:r>
      <w:r w:rsidRPr="00456D0C">
        <w:rPr>
          <w:rFonts w:ascii="Times New Roman" w:eastAsia="Times New Roman" w:hAnsi="Times New Roman" w:cs="Times New Roman"/>
          <w:sz w:val="28"/>
          <w:szCs w:val="28"/>
        </w:rPr>
        <w:t xml:space="preserve">2039, Việt Nam </w:t>
      </w:r>
      <w:r w:rsidR="009C5573" w:rsidRPr="00456D0C">
        <w:rPr>
          <w:rFonts w:ascii="Times New Roman" w:eastAsia="Times New Roman" w:hAnsi="Times New Roman" w:cs="Times New Roman"/>
          <w:sz w:val="28"/>
          <w:szCs w:val="28"/>
        </w:rPr>
        <w:t xml:space="preserve">vẫn trong thời kỳ </w:t>
      </w:r>
      <w:r w:rsidRPr="00456D0C">
        <w:rPr>
          <w:rFonts w:ascii="Times New Roman" w:eastAsia="Times New Roman" w:hAnsi="Times New Roman" w:cs="Times New Roman"/>
          <w:sz w:val="28"/>
          <w:szCs w:val="28"/>
        </w:rPr>
        <w:t xml:space="preserve">cơ cấu dân số vàng </w:t>
      </w:r>
      <w:r w:rsidR="009C5573" w:rsidRPr="00456D0C">
        <w:rPr>
          <w:rFonts w:ascii="Times New Roman" w:eastAsia="Times New Roman" w:hAnsi="Times New Roman" w:cs="Times New Roman"/>
          <w:sz w:val="28"/>
          <w:szCs w:val="28"/>
        </w:rPr>
        <w:t xml:space="preserve">nhưng </w:t>
      </w:r>
      <w:r w:rsidR="0052321F" w:rsidRPr="00456D0C">
        <w:rPr>
          <w:rFonts w:ascii="Times New Roman" w:eastAsia="Times New Roman" w:hAnsi="Times New Roman" w:cs="Times New Roman"/>
          <w:sz w:val="28"/>
          <w:szCs w:val="28"/>
        </w:rPr>
        <w:t>tỷ trọng dân s</w:t>
      </w:r>
      <w:r w:rsidR="006B7BE7" w:rsidRPr="00456D0C">
        <w:rPr>
          <w:rFonts w:ascii="Times New Roman" w:eastAsia="Times New Roman" w:hAnsi="Times New Roman" w:cs="Times New Roman"/>
          <w:sz w:val="28"/>
          <w:szCs w:val="28"/>
        </w:rPr>
        <w:t>ố từ 65 tuổi trở lên đã tăng</w:t>
      </w:r>
      <w:r w:rsidR="0052321F" w:rsidRPr="00456D0C">
        <w:rPr>
          <w:rFonts w:ascii="Times New Roman" w:eastAsia="Times New Roman" w:hAnsi="Times New Roman" w:cs="Times New Roman"/>
          <w:sz w:val="28"/>
          <w:szCs w:val="28"/>
        </w:rPr>
        <w:t xml:space="preserve"> và đạt </w:t>
      </w:r>
      <w:r w:rsidR="009757A3" w:rsidRPr="00456D0C">
        <w:rPr>
          <w:rFonts w:ascii="Times New Roman" w:eastAsia="Times New Roman" w:hAnsi="Times New Roman" w:cs="Times New Roman"/>
          <w:sz w:val="28"/>
          <w:szCs w:val="28"/>
        </w:rPr>
        <w:t xml:space="preserve">trên </w:t>
      </w:r>
      <w:r w:rsidR="0052321F" w:rsidRPr="00456D0C">
        <w:rPr>
          <w:rFonts w:ascii="Times New Roman" w:eastAsia="Times New Roman" w:hAnsi="Times New Roman" w:cs="Times New Roman"/>
          <w:sz w:val="28"/>
          <w:szCs w:val="28"/>
        </w:rPr>
        <w:t>10%</w:t>
      </w:r>
      <w:r w:rsidR="00456D0C" w:rsidRPr="00456D0C">
        <w:rPr>
          <w:rFonts w:ascii="Times New Roman" w:eastAsia="Times New Roman" w:hAnsi="Times New Roman" w:cs="Times New Roman"/>
          <w:sz w:val="28"/>
          <w:szCs w:val="28"/>
        </w:rPr>
        <w:t>.</w:t>
      </w:r>
      <w:r w:rsidR="00A127FA" w:rsidRPr="00456D0C">
        <w:rPr>
          <w:rFonts w:ascii="Times New Roman" w:eastAsia="Times New Roman" w:hAnsi="Times New Roman" w:cs="Times New Roman"/>
          <w:sz w:val="28"/>
          <w:szCs w:val="28"/>
        </w:rPr>
        <w:t xml:space="preserve"> </w:t>
      </w:r>
      <w:r w:rsidR="00456D0C" w:rsidRPr="00456D0C">
        <w:rPr>
          <w:rFonts w:ascii="Times New Roman" w:eastAsia="Times New Roman" w:hAnsi="Times New Roman" w:cs="Times New Roman"/>
          <w:sz w:val="28"/>
          <w:szCs w:val="28"/>
        </w:rPr>
        <w:t>N</w:t>
      </w:r>
      <w:r w:rsidR="00A127FA" w:rsidRPr="00456D0C">
        <w:rPr>
          <w:rFonts w:ascii="Times New Roman" w:eastAsia="Times New Roman" w:hAnsi="Times New Roman" w:cs="Times New Roman"/>
          <w:sz w:val="28"/>
          <w:szCs w:val="28"/>
        </w:rPr>
        <w:t xml:space="preserve">ăm </w:t>
      </w:r>
      <w:r w:rsidR="009757A3" w:rsidRPr="00456D0C">
        <w:rPr>
          <w:rFonts w:ascii="Times New Roman" w:eastAsia="Times New Roman" w:hAnsi="Times New Roman" w:cs="Times New Roman"/>
          <w:sz w:val="28"/>
          <w:szCs w:val="28"/>
        </w:rPr>
        <w:t xml:space="preserve"> 2026</w:t>
      </w:r>
      <w:r w:rsidR="00456D0C" w:rsidRPr="00456D0C">
        <w:rPr>
          <w:rFonts w:ascii="Times New Roman" w:eastAsia="Times New Roman" w:hAnsi="Times New Roman" w:cs="Times New Roman"/>
          <w:sz w:val="28"/>
          <w:szCs w:val="28"/>
        </w:rPr>
        <w:t xml:space="preserve">, Việt Nam sẽ </w:t>
      </w:r>
      <w:r w:rsidR="00592808" w:rsidRPr="00456D0C">
        <w:rPr>
          <w:rFonts w:ascii="Times New Roman" w:eastAsia="Times New Roman" w:hAnsi="Times New Roman" w:cs="Times New Roman"/>
          <w:sz w:val="28"/>
          <w:szCs w:val="28"/>
        </w:rPr>
        <w:t>bước vào</w:t>
      </w:r>
      <w:r w:rsidR="00456D0C" w:rsidRPr="00456D0C">
        <w:rPr>
          <w:rFonts w:ascii="Times New Roman" w:eastAsia="Times New Roman" w:hAnsi="Times New Roman" w:cs="Times New Roman"/>
          <w:sz w:val="28"/>
          <w:szCs w:val="28"/>
        </w:rPr>
        <w:t xml:space="preserve"> </w:t>
      </w:r>
      <w:r w:rsidR="009757A3" w:rsidRPr="00456D0C">
        <w:rPr>
          <w:rFonts w:ascii="Times New Roman" w:eastAsia="Times New Roman" w:hAnsi="Times New Roman" w:cs="Times New Roman"/>
          <w:sz w:val="28"/>
          <w:szCs w:val="28"/>
        </w:rPr>
        <w:t>thời kỳ dân số già</w:t>
      </w:r>
      <w:r w:rsidR="009757A3" w:rsidRPr="00456D0C">
        <w:rPr>
          <w:rFonts w:ascii="Times New Roman" w:eastAsia="Times New Roman" w:hAnsi="Times New Roman" w:cs="Times New Roman"/>
          <w:color w:val="FF0000"/>
          <w:sz w:val="28"/>
          <w:szCs w:val="28"/>
        </w:rPr>
        <w:t>.</w:t>
      </w:r>
      <w:r w:rsidR="009757A3" w:rsidRPr="00456D0C">
        <w:rPr>
          <w:rFonts w:ascii="Times New Roman" w:eastAsia="Times New Roman" w:hAnsi="Times New Roman" w:cs="Times New Roman"/>
          <w:sz w:val="28"/>
          <w:szCs w:val="28"/>
        </w:rPr>
        <w:t xml:space="preserve"> Dự báo, thời kỳ dân số già sẽ kéo dài trong 28 năm (giai đoạn 2026-2054), tương ứng với tỷ trọng dân số từ 65 tuổi trở lên chiếm từ 10,2% đến 19,9%. S</w:t>
      </w:r>
      <w:r w:rsidRPr="00456D0C">
        <w:rPr>
          <w:rFonts w:ascii="Times New Roman" w:eastAsia="Times New Roman" w:hAnsi="Times New Roman" w:cs="Times New Roman"/>
          <w:sz w:val="28"/>
          <w:szCs w:val="28"/>
        </w:rPr>
        <w:t xml:space="preserve">au </w:t>
      </w:r>
      <w:r w:rsidR="0052321F" w:rsidRPr="00456D0C">
        <w:rPr>
          <w:rFonts w:ascii="Times New Roman" w:eastAsia="Times New Roman" w:hAnsi="Times New Roman" w:cs="Times New Roman"/>
          <w:sz w:val="28"/>
          <w:szCs w:val="28"/>
        </w:rPr>
        <w:t xml:space="preserve">đó là </w:t>
      </w:r>
      <w:r w:rsidR="009C5573" w:rsidRPr="00456D0C">
        <w:rPr>
          <w:rFonts w:ascii="Times New Roman" w:eastAsia="Times New Roman" w:hAnsi="Times New Roman" w:cs="Times New Roman"/>
          <w:sz w:val="28"/>
          <w:szCs w:val="28"/>
        </w:rPr>
        <w:t xml:space="preserve">thời kỳ </w:t>
      </w:r>
      <w:r w:rsidRPr="00456D0C">
        <w:rPr>
          <w:rFonts w:ascii="Times New Roman" w:eastAsia="Times New Roman" w:hAnsi="Times New Roman" w:cs="Times New Roman"/>
          <w:sz w:val="28"/>
          <w:szCs w:val="28"/>
        </w:rPr>
        <w:t xml:space="preserve">cơ cấu dân số rất già </w:t>
      </w:r>
      <w:r w:rsidR="0052321F" w:rsidRPr="00456D0C">
        <w:rPr>
          <w:rFonts w:ascii="Times New Roman" w:eastAsia="Times New Roman" w:hAnsi="Times New Roman" w:cs="Times New Roman"/>
          <w:sz w:val="28"/>
          <w:szCs w:val="28"/>
        </w:rPr>
        <w:t>(</w:t>
      </w:r>
      <w:r w:rsidR="00326AC4" w:rsidRPr="00456D0C">
        <w:rPr>
          <w:rFonts w:ascii="Times New Roman" w:eastAsia="Times New Roman" w:hAnsi="Times New Roman" w:cs="Times New Roman"/>
          <w:sz w:val="28"/>
          <w:szCs w:val="28"/>
        </w:rPr>
        <w:t>giai đoạn</w:t>
      </w:r>
      <w:r w:rsidR="0052321F" w:rsidRPr="00456D0C">
        <w:rPr>
          <w:rFonts w:ascii="Times New Roman" w:eastAsia="Times New Roman" w:hAnsi="Times New Roman" w:cs="Times New Roman"/>
          <w:sz w:val="28"/>
          <w:szCs w:val="28"/>
        </w:rPr>
        <w:t xml:space="preserve"> 2055</w:t>
      </w:r>
      <w:r w:rsidR="00326AC4" w:rsidRPr="00456D0C">
        <w:rPr>
          <w:rFonts w:ascii="Times New Roman" w:eastAsia="Times New Roman" w:hAnsi="Times New Roman" w:cs="Times New Roman"/>
          <w:sz w:val="28"/>
          <w:szCs w:val="28"/>
        </w:rPr>
        <w:t>-</w:t>
      </w:r>
      <w:r w:rsidR="0052321F" w:rsidRPr="00456D0C">
        <w:rPr>
          <w:rFonts w:ascii="Times New Roman" w:eastAsia="Times New Roman" w:hAnsi="Times New Roman" w:cs="Times New Roman"/>
          <w:sz w:val="28"/>
          <w:szCs w:val="28"/>
        </w:rPr>
        <w:t xml:space="preserve">2069) </w:t>
      </w:r>
      <w:r w:rsidRPr="00456D0C">
        <w:rPr>
          <w:rFonts w:ascii="Times New Roman" w:eastAsia="Times New Roman" w:hAnsi="Times New Roman" w:cs="Times New Roman"/>
          <w:sz w:val="28"/>
          <w:szCs w:val="28"/>
        </w:rPr>
        <w:t xml:space="preserve">tương ứng với tỷ trọng dân số từ 65 tuổi trở lên chiếm từ 20% đến dưới </w:t>
      </w:r>
      <w:r w:rsidR="00456D0C" w:rsidRPr="00456D0C">
        <w:rPr>
          <w:rFonts w:ascii="Times New Roman" w:eastAsia="Times New Roman" w:hAnsi="Times New Roman" w:cs="Times New Roman"/>
          <w:sz w:val="28"/>
          <w:szCs w:val="28"/>
        </w:rPr>
        <w:t>29,9</w:t>
      </w:r>
      <w:r w:rsidRPr="00456D0C">
        <w:rPr>
          <w:rFonts w:ascii="Times New Roman" w:eastAsia="Times New Roman" w:hAnsi="Times New Roman" w:cs="Times New Roman"/>
          <w:sz w:val="28"/>
          <w:szCs w:val="28"/>
        </w:rPr>
        <w:t xml:space="preserve">%. </w:t>
      </w:r>
    </w:p>
    <w:p w14:paraId="5194EE5A" w14:textId="64ACC6AA" w:rsidR="00A726D4" w:rsidRPr="00456D0C" w:rsidRDefault="00E64C46" w:rsidP="001F1B45">
      <w:pPr>
        <w:pStyle w:val="ListParagraph"/>
        <w:numPr>
          <w:ilvl w:val="0"/>
          <w:numId w:val="15"/>
        </w:numPr>
        <w:spacing w:before="120" w:after="120" w:line="340" w:lineRule="exact"/>
        <w:ind w:left="0" w:firstLine="709"/>
        <w:contextualSpacing w:val="0"/>
        <w:jc w:val="both"/>
        <w:rPr>
          <w:sz w:val="28"/>
          <w:szCs w:val="28"/>
        </w:rPr>
      </w:pPr>
      <w:r w:rsidRPr="00456D0C">
        <w:rPr>
          <w:sz w:val="28"/>
          <w:szCs w:val="28"/>
        </w:rPr>
        <w:t>Theo phương án trung bình, đ</w:t>
      </w:r>
      <w:r w:rsidR="00A726D4" w:rsidRPr="00456D0C">
        <w:rPr>
          <w:sz w:val="28"/>
          <w:szCs w:val="28"/>
        </w:rPr>
        <w:t xml:space="preserve">ến năm 2030, Việt Nam sẽ có </w:t>
      </w:r>
      <w:r w:rsidRPr="00456D0C">
        <w:rPr>
          <w:sz w:val="28"/>
          <w:szCs w:val="28"/>
        </w:rPr>
        <w:t xml:space="preserve">khoảng </w:t>
      </w:r>
      <w:r w:rsidR="00A726D4" w:rsidRPr="00456D0C">
        <w:rPr>
          <w:sz w:val="28"/>
          <w:szCs w:val="28"/>
        </w:rPr>
        <w:t>50% dân số sống ở khu vực thành thị</w:t>
      </w:r>
      <w:r w:rsidRPr="00456D0C">
        <w:rPr>
          <w:sz w:val="28"/>
          <w:szCs w:val="28"/>
        </w:rPr>
        <w:t>; đến n</w:t>
      </w:r>
      <w:r w:rsidR="00A726D4" w:rsidRPr="00456D0C">
        <w:rPr>
          <w:sz w:val="28"/>
          <w:szCs w:val="28"/>
        </w:rPr>
        <w:t xml:space="preserve">ăm 2069, tỷ lệ dân số sống ở khu vực thành thị chiếm 64,8%. </w:t>
      </w:r>
    </w:p>
    <w:p w14:paraId="5988CA36" w14:textId="3C99F6E8" w:rsidR="0055476E" w:rsidRPr="00A726D4" w:rsidRDefault="00884F86" w:rsidP="001F1B45">
      <w:pPr>
        <w:spacing w:before="120" w:after="120" w:line="340" w:lineRule="exact"/>
        <w:ind w:firstLine="709"/>
        <w:jc w:val="both"/>
        <w:rPr>
          <w:rFonts w:ascii="Times New Roman" w:hAnsi="Times New Roman" w:cs="Times New Roman"/>
          <w:sz w:val="28"/>
          <w:szCs w:val="28"/>
        </w:rPr>
      </w:pPr>
      <w:r w:rsidRPr="00456D0C">
        <w:rPr>
          <w:rFonts w:ascii="Times New Roman" w:hAnsi="Times New Roman" w:cs="Times New Roman"/>
          <w:sz w:val="28"/>
          <w:szCs w:val="28"/>
        </w:rPr>
        <w:t xml:space="preserve">Kết quả nghiên cứu chuyên sâu từ số liệu của </w:t>
      </w:r>
      <w:r w:rsidR="00D560D1" w:rsidRPr="00456D0C">
        <w:rPr>
          <w:rFonts w:ascii="Times New Roman" w:hAnsi="Times New Roman" w:cs="Times New Roman"/>
          <w:sz w:val="28"/>
          <w:szCs w:val="28"/>
        </w:rPr>
        <w:t xml:space="preserve">Tổng điều tra dân số và nhà ở năm 2019 </w:t>
      </w:r>
      <w:r w:rsidRPr="00456D0C">
        <w:rPr>
          <w:rFonts w:ascii="Times New Roman" w:hAnsi="Times New Roman" w:cs="Times New Roman"/>
          <w:sz w:val="28"/>
          <w:szCs w:val="28"/>
        </w:rPr>
        <w:t xml:space="preserve">cho thấy, mức sinh của Việt Nam hiện nay duy trì </w:t>
      </w:r>
      <w:r w:rsidR="00F8546F" w:rsidRPr="00456D0C">
        <w:rPr>
          <w:rFonts w:ascii="Times New Roman" w:hAnsi="Times New Roman" w:cs="Times New Roman"/>
          <w:sz w:val="28"/>
          <w:szCs w:val="28"/>
        </w:rPr>
        <w:t>quanh</w:t>
      </w:r>
      <w:r w:rsidRPr="00456D0C">
        <w:rPr>
          <w:rFonts w:ascii="Times New Roman" w:hAnsi="Times New Roman" w:cs="Times New Roman"/>
          <w:sz w:val="28"/>
          <w:szCs w:val="28"/>
        </w:rPr>
        <w:t xml:space="preserve"> mức sinh thay thế</w:t>
      </w:r>
      <w:r w:rsidR="00A028C2" w:rsidRPr="00456D0C">
        <w:rPr>
          <w:rFonts w:ascii="Times New Roman" w:hAnsi="Times New Roman" w:cs="Times New Roman"/>
          <w:sz w:val="28"/>
          <w:szCs w:val="28"/>
        </w:rPr>
        <w:t xml:space="preserve"> sẽ</w:t>
      </w:r>
      <w:r w:rsidRPr="00456D0C">
        <w:rPr>
          <w:rFonts w:ascii="Times New Roman" w:hAnsi="Times New Roman" w:cs="Times New Roman"/>
          <w:sz w:val="28"/>
          <w:szCs w:val="28"/>
        </w:rPr>
        <w:t xml:space="preserve"> </w:t>
      </w:r>
      <w:r w:rsidR="00F8546F" w:rsidRPr="00456D0C">
        <w:rPr>
          <w:rFonts w:ascii="Times New Roman" w:hAnsi="Times New Roman" w:cs="Times New Roman"/>
          <w:sz w:val="28"/>
          <w:szCs w:val="28"/>
        </w:rPr>
        <w:t>tác động làm giảm tốc độ tăng dân số trong tương lai. Theo đó, dự báo tốc độ tăng dân số trong vòng 10 năm tới sẽ thấp hơn 1%/năm. Với thực trạng về mức sinh, cơ cấu dân số cũng như TSGTKS cao như hiện nay, cơ cấu dân số trong lai sẽ có sự thay đổi theo hướng</w:t>
      </w:r>
      <w:r w:rsidR="009757A3" w:rsidRPr="00456D0C">
        <w:rPr>
          <w:rFonts w:ascii="Times New Roman" w:hAnsi="Times New Roman" w:cs="Times New Roman"/>
          <w:sz w:val="28"/>
          <w:szCs w:val="28"/>
        </w:rPr>
        <w:t xml:space="preserve"> dân số</w:t>
      </w:r>
      <w:r w:rsidR="00F8546F" w:rsidRPr="00456D0C">
        <w:rPr>
          <w:rFonts w:ascii="Times New Roman" w:hAnsi="Times New Roman" w:cs="Times New Roman"/>
          <w:sz w:val="28"/>
          <w:szCs w:val="28"/>
        </w:rPr>
        <w:t xml:space="preserve"> </w:t>
      </w:r>
      <w:r w:rsidR="009757A3" w:rsidRPr="00456D0C">
        <w:rPr>
          <w:rFonts w:ascii="Times New Roman" w:hAnsi="Times New Roman" w:cs="Times New Roman"/>
          <w:sz w:val="28"/>
          <w:szCs w:val="28"/>
        </w:rPr>
        <w:t>“</w:t>
      </w:r>
      <w:r w:rsidR="00F8546F" w:rsidRPr="00456D0C">
        <w:rPr>
          <w:rFonts w:ascii="Times New Roman" w:hAnsi="Times New Roman" w:cs="Times New Roman"/>
          <w:sz w:val="28"/>
          <w:szCs w:val="28"/>
        </w:rPr>
        <w:t>già</w:t>
      </w:r>
      <w:r w:rsidR="009757A3" w:rsidRPr="00456D0C">
        <w:rPr>
          <w:rFonts w:ascii="Times New Roman" w:hAnsi="Times New Roman" w:cs="Times New Roman"/>
          <w:sz w:val="28"/>
          <w:szCs w:val="28"/>
        </w:rPr>
        <w:t>”</w:t>
      </w:r>
      <w:r w:rsidR="00F8546F" w:rsidRPr="00456D0C">
        <w:rPr>
          <w:rFonts w:ascii="Times New Roman" w:hAnsi="Times New Roman" w:cs="Times New Roman"/>
          <w:sz w:val="28"/>
          <w:szCs w:val="28"/>
        </w:rPr>
        <w:t xml:space="preserve"> và thiếu hụt nam giới </w:t>
      </w:r>
      <w:r w:rsidR="00F902A0" w:rsidRPr="00456D0C">
        <w:rPr>
          <w:rFonts w:ascii="Times New Roman" w:hAnsi="Times New Roman" w:cs="Times New Roman"/>
          <w:sz w:val="28"/>
          <w:szCs w:val="28"/>
        </w:rPr>
        <w:t xml:space="preserve">ở </w:t>
      </w:r>
      <w:r w:rsidR="00F8546F" w:rsidRPr="00456D0C">
        <w:rPr>
          <w:rFonts w:ascii="Times New Roman" w:hAnsi="Times New Roman" w:cs="Times New Roman"/>
          <w:sz w:val="28"/>
          <w:szCs w:val="28"/>
        </w:rPr>
        <w:t>một số nhóm tuổi.</w:t>
      </w:r>
      <w:r w:rsidR="00F85C1F" w:rsidRPr="00456D0C">
        <w:rPr>
          <w:rFonts w:ascii="Times New Roman" w:hAnsi="Times New Roman" w:cs="Times New Roman"/>
          <w:sz w:val="28"/>
          <w:szCs w:val="28"/>
        </w:rPr>
        <w:t xml:space="preserve"> Điều này sẽ tác đ</w:t>
      </w:r>
      <w:bookmarkStart w:id="0" w:name="_GoBack"/>
      <w:bookmarkEnd w:id="0"/>
      <w:r w:rsidR="00F85C1F" w:rsidRPr="00456D0C">
        <w:rPr>
          <w:rFonts w:ascii="Times New Roman" w:hAnsi="Times New Roman" w:cs="Times New Roman"/>
          <w:sz w:val="28"/>
          <w:szCs w:val="28"/>
        </w:rPr>
        <w:t xml:space="preserve">ộng lớn đến nguồn lực lao động cũng như các vấn đề xã hội mới nảy sinh. Ngoài ra, xu hướng di cư và tác động của di cư đến </w:t>
      </w:r>
      <w:r w:rsidR="00A028C2" w:rsidRPr="00456D0C">
        <w:rPr>
          <w:rFonts w:ascii="Times New Roman" w:hAnsi="Times New Roman" w:cs="Times New Roman"/>
          <w:sz w:val="28"/>
          <w:szCs w:val="28"/>
        </w:rPr>
        <w:t xml:space="preserve">đô thị hóa và phát triển </w:t>
      </w:r>
      <w:r w:rsidR="00F85C1F" w:rsidRPr="00456D0C">
        <w:rPr>
          <w:rFonts w:ascii="Times New Roman" w:hAnsi="Times New Roman" w:cs="Times New Roman"/>
          <w:sz w:val="28"/>
          <w:szCs w:val="28"/>
        </w:rPr>
        <w:t>kinh tế - xã hội cũng sẽ là những vấn đề nổi lên trong thời gian tới</w:t>
      </w:r>
      <w:r w:rsidR="00A028C2" w:rsidRPr="00456D0C">
        <w:rPr>
          <w:rFonts w:ascii="Times New Roman" w:hAnsi="Times New Roman" w:cs="Times New Roman"/>
          <w:sz w:val="28"/>
          <w:szCs w:val="28"/>
        </w:rPr>
        <w:t>. Những thông tin này c</w:t>
      </w:r>
      <w:r w:rsidR="00AA4F2E" w:rsidRPr="00456D0C">
        <w:rPr>
          <w:rFonts w:ascii="Times New Roman" w:hAnsi="Times New Roman" w:cs="Times New Roman"/>
          <w:sz w:val="28"/>
          <w:szCs w:val="28"/>
        </w:rPr>
        <w:t>ung cấp thêm bằng chứng</w:t>
      </w:r>
      <w:r w:rsidR="00962F21" w:rsidRPr="00456D0C">
        <w:rPr>
          <w:rFonts w:ascii="Times New Roman" w:hAnsi="Times New Roman" w:cs="Times New Roman"/>
          <w:sz w:val="28"/>
          <w:szCs w:val="28"/>
        </w:rPr>
        <w:t xml:space="preserve"> </w:t>
      </w:r>
      <w:r w:rsidR="00A028C2" w:rsidRPr="00456D0C">
        <w:rPr>
          <w:rFonts w:ascii="Times New Roman" w:hAnsi="Times New Roman" w:cs="Times New Roman"/>
          <w:sz w:val="28"/>
          <w:szCs w:val="28"/>
        </w:rPr>
        <w:t xml:space="preserve">làm </w:t>
      </w:r>
      <w:r w:rsidR="00962F21" w:rsidRPr="00456D0C">
        <w:rPr>
          <w:rFonts w:ascii="Times New Roman" w:hAnsi="Times New Roman" w:cs="Times New Roman"/>
          <w:sz w:val="28"/>
          <w:szCs w:val="28"/>
        </w:rPr>
        <w:t xml:space="preserve">cơ sở cho việc </w:t>
      </w:r>
      <w:r w:rsidR="00726C1C" w:rsidRPr="00456D0C">
        <w:rPr>
          <w:rFonts w:ascii="Times New Roman" w:hAnsi="Times New Roman" w:cs="Times New Roman"/>
          <w:sz w:val="28"/>
          <w:szCs w:val="28"/>
        </w:rPr>
        <w:t>x</w:t>
      </w:r>
      <w:r w:rsidR="003D5EB2" w:rsidRPr="00456D0C">
        <w:rPr>
          <w:rFonts w:ascii="Times New Roman" w:hAnsi="Times New Roman" w:cs="Times New Roman"/>
          <w:sz w:val="28"/>
          <w:szCs w:val="28"/>
        </w:rPr>
        <w:t xml:space="preserve">ây dựng và hoạch định chính sách phát triển </w:t>
      </w:r>
      <w:r w:rsidR="000E46A6" w:rsidRPr="00456D0C">
        <w:rPr>
          <w:rFonts w:ascii="Times New Roman" w:hAnsi="Times New Roman" w:cs="Times New Roman"/>
          <w:sz w:val="28"/>
          <w:szCs w:val="28"/>
        </w:rPr>
        <w:t>kinh tế</w:t>
      </w:r>
      <w:r w:rsidR="00A028C2" w:rsidRPr="00456D0C">
        <w:rPr>
          <w:rFonts w:ascii="Times New Roman" w:hAnsi="Times New Roman" w:cs="Times New Roman"/>
          <w:sz w:val="28"/>
          <w:szCs w:val="28"/>
        </w:rPr>
        <w:t xml:space="preserve"> -</w:t>
      </w:r>
      <w:r w:rsidR="000E46A6" w:rsidRPr="00456D0C">
        <w:rPr>
          <w:rFonts w:ascii="Times New Roman" w:hAnsi="Times New Roman" w:cs="Times New Roman"/>
          <w:sz w:val="28"/>
          <w:szCs w:val="28"/>
        </w:rPr>
        <w:t xml:space="preserve"> xã hội </w:t>
      </w:r>
      <w:r w:rsidR="003D5EB2" w:rsidRPr="00456D0C">
        <w:rPr>
          <w:rFonts w:ascii="Times New Roman" w:hAnsi="Times New Roman" w:cs="Times New Roman"/>
          <w:sz w:val="28"/>
          <w:szCs w:val="28"/>
        </w:rPr>
        <w:t>của đất nước</w:t>
      </w:r>
      <w:r w:rsidR="000E46A6" w:rsidRPr="00456D0C">
        <w:rPr>
          <w:rFonts w:ascii="Times New Roman" w:hAnsi="Times New Roman" w:cs="Times New Roman"/>
          <w:sz w:val="28"/>
          <w:szCs w:val="28"/>
        </w:rPr>
        <w:t xml:space="preserve"> trong thời gian tới</w:t>
      </w:r>
      <w:r w:rsidR="003D5EB2" w:rsidRPr="00456D0C">
        <w:rPr>
          <w:rFonts w:ascii="Times New Roman" w:hAnsi="Times New Roman" w:cs="Times New Roman"/>
          <w:sz w:val="28"/>
          <w:szCs w:val="28"/>
        </w:rPr>
        <w:t>.</w:t>
      </w:r>
      <w:r w:rsidR="003D5EB2" w:rsidRPr="00726C1C">
        <w:rPr>
          <w:rFonts w:ascii="Times New Roman" w:hAnsi="Times New Roman" w:cs="Times New Roman"/>
          <w:sz w:val="28"/>
          <w:szCs w:val="28"/>
        </w:rPr>
        <w:t xml:space="preserve"> </w:t>
      </w:r>
    </w:p>
    <w:sectPr w:rsidR="0055476E" w:rsidRPr="00A726D4" w:rsidSect="001F1B45">
      <w:head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368A7" w14:textId="77777777" w:rsidR="00B213D6" w:rsidRDefault="00B213D6" w:rsidP="00DB7AA7">
      <w:pPr>
        <w:spacing w:after="0" w:line="240" w:lineRule="auto"/>
      </w:pPr>
      <w:r>
        <w:separator/>
      </w:r>
    </w:p>
  </w:endnote>
  <w:endnote w:type="continuationSeparator" w:id="0">
    <w:p w14:paraId="16C036BA" w14:textId="77777777" w:rsidR="00B213D6" w:rsidRDefault="00B213D6" w:rsidP="00DB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fvjgkWarnockPro-Regular">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21253" w14:textId="77777777" w:rsidR="00B213D6" w:rsidRDefault="00B213D6" w:rsidP="00DB7AA7">
      <w:pPr>
        <w:spacing w:after="0" w:line="240" w:lineRule="auto"/>
      </w:pPr>
      <w:r>
        <w:separator/>
      </w:r>
    </w:p>
  </w:footnote>
  <w:footnote w:type="continuationSeparator" w:id="0">
    <w:p w14:paraId="7D2DB78E" w14:textId="77777777" w:rsidR="00B213D6" w:rsidRDefault="00B213D6" w:rsidP="00DB7AA7">
      <w:pPr>
        <w:spacing w:after="0" w:line="240" w:lineRule="auto"/>
      </w:pPr>
      <w:r>
        <w:continuationSeparator/>
      </w:r>
    </w:p>
  </w:footnote>
  <w:footnote w:id="1">
    <w:p w14:paraId="1BA9DAF2" w14:textId="6FE00844" w:rsidR="00C86487" w:rsidRPr="006B7BE7" w:rsidRDefault="00C86487" w:rsidP="006B7BE7">
      <w:pPr>
        <w:pStyle w:val="FootnoteText"/>
        <w:jc w:val="both"/>
      </w:pPr>
      <w:r w:rsidRPr="006B7BE7">
        <w:rPr>
          <w:rStyle w:val="FootnoteReference"/>
          <w:rFonts w:eastAsiaTheme="minorEastAsia"/>
        </w:rPr>
        <w:footnoteRef/>
      </w:r>
      <w:r w:rsidRPr="006B7BE7">
        <w:t xml:space="preserve"> Số liệu ước tính cho các vùng và tỉnh được xây dựng dựa trên tỷ số giới tính của trẻ em dưới 1 tuổi và do đó các ước tính này </w:t>
      </w:r>
      <w:r w:rsidR="00FF3947" w:rsidRPr="006B7BE7">
        <w:t xml:space="preserve">cho kết quả </w:t>
      </w:r>
      <w:r w:rsidRPr="006B7BE7">
        <w:t xml:space="preserve">khác so với các ước tính dựa trên số ca sinh trong </w:t>
      </w:r>
      <w:r w:rsidR="00BD442E" w:rsidRPr="006B7BE7">
        <w:t>12 tháng</w:t>
      </w:r>
      <w:r w:rsidRPr="006B7BE7">
        <w:t xml:space="preserve"> trước thời điểm điều tra.</w:t>
      </w:r>
    </w:p>
  </w:footnote>
  <w:footnote w:id="2">
    <w:p w14:paraId="42047EDA" w14:textId="49508822" w:rsidR="009757A3" w:rsidRDefault="00AC05AF" w:rsidP="006B7BE7">
      <w:pPr>
        <w:pStyle w:val="FootnoteText"/>
        <w:jc w:val="both"/>
      </w:pPr>
      <w:r>
        <w:rPr>
          <w:rStyle w:val="FootnoteReference"/>
        </w:rPr>
        <w:footnoteRef/>
      </w:r>
      <w:r>
        <w:t xml:space="preserve"> </w:t>
      </w:r>
      <w:r w:rsidR="009757A3">
        <w:t xml:space="preserve">Cơ cấu dân số “vàng” là </w:t>
      </w:r>
      <w:r w:rsidR="009757A3" w:rsidRPr="00726C1C">
        <w:t>khi tỷ trọng dân số trẻ em (từ 0-14 tuổi) nhỏ hơn 30%, tỷ trọng dân số người cao tuổi (từ 65 tuổi trở lên) nhỏ hơn 15%</w:t>
      </w:r>
      <w:r w:rsidR="009757A3">
        <w:t>. Cơ cấu dân số “già” có tỷ trọng dân số từ 65 tuổi trở lên lớn hơn 10% và nhỏ hơn 20%. Cơ cấu dân số “rất già” có tỷ trọng dân số</w:t>
      </w:r>
      <w:r w:rsidR="006B7BE7">
        <w:t xml:space="preserve"> từ 65 tuổi trở lên chiếm từ 20,</w:t>
      </w:r>
      <w:r w:rsidR="009757A3">
        <w:t>0% đến 29,9%. Cơ cấu dân số “siêu già” có tỷ trọng dân số từ 65 tuổi trở lên đạt trên 30% tổng dân số.</w:t>
      </w:r>
    </w:p>
    <w:p w14:paraId="370BD6EA" w14:textId="0C6962EB" w:rsidR="00AC05AF" w:rsidRDefault="00AC05A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7D2A" w14:textId="5FFB13A6" w:rsidR="005D7821" w:rsidRPr="001F1B45" w:rsidRDefault="005D7821">
    <w:pPr>
      <w:pStyle w:val="Header"/>
      <w:jc w:val="center"/>
      <w:rPr>
        <w:rFonts w:ascii="Times New Roman" w:hAnsi="Times New Roman" w:cs="Times New Roman"/>
        <w:sz w:val="26"/>
        <w:szCs w:val="26"/>
      </w:rPr>
    </w:pPr>
  </w:p>
  <w:p w14:paraId="610A916F" w14:textId="77777777" w:rsidR="005D7821" w:rsidRDefault="005D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2229"/>
      <w:docPartObj>
        <w:docPartGallery w:val="Page Numbers (Top of Page)"/>
        <w:docPartUnique/>
      </w:docPartObj>
    </w:sdtPr>
    <w:sdtEndPr>
      <w:rPr>
        <w:rFonts w:ascii="Times New Roman" w:hAnsi="Times New Roman" w:cs="Times New Roman"/>
        <w:noProof/>
        <w:sz w:val="26"/>
        <w:szCs w:val="26"/>
      </w:rPr>
    </w:sdtEndPr>
    <w:sdtContent>
      <w:p w14:paraId="112B8608" w14:textId="17A2828D" w:rsidR="005D7821" w:rsidRPr="001F1B45" w:rsidRDefault="005D7821">
        <w:pPr>
          <w:pStyle w:val="Header"/>
          <w:jc w:val="center"/>
          <w:rPr>
            <w:rFonts w:ascii="Times New Roman" w:hAnsi="Times New Roman" w:cs="Times New Roman"/>
            <w:sz w:val="26"/>
            <w:szCs w:val="26"/>
          </w:rPr>
        </w:pPr>
        <w:r w:rsidRPr="001F1B45">
          <w:rPr>
            <w:rFonts w:ascii="Times New Roman" w:hAnsi="Times New Roman" w:cs="Times New Roman"/>
            <w:sz w:val="26"/>
            <w:szCs w:val="26"/>
          </w:rPr>
          <w:fldChar w:fldCharType="begin"/>
        </w:r>
        <w:r w:rsidRPr="001F1B45">
          <w:rPr>
            <w:rFonts w:ascii="Times New Roman" w:hAnsi="Times New Roman" w:cs="Times New Roman"/>
            <w:sz w:val="26"/>
            <w:szCs w:val="26"/>
          </w:rPr>
          <w:instrText xml:space="preserve"> PAGE   \* MERGEFORMAT </w:instrText>
        </w:r>
        <w:r w:rsidRPr="001F1B45">
          <w:rPr>
            <w:rFonts w:ascii="Times New Roman" w:hAnsi="Times New Roman" w:cs="Times New Roman"/>
            <w:sz w:val="26"/>
            <w:szCs w:val="26"/>
          </w:rPr>
          <w:fldChar w:fldCharType="separate"/>
        </w:r>
        <w:r>
          <w:rPr>
            <w:rFonts w:ascii="Times New Roman" w:hAnsi="Times New Roman" w:cs="Times New Roman"/>
            <w:noProof/>
            <w:sz w:val="26"/>
            <w:szCs w:val="26"/>
          </w:rPr>
          <w:t>2</w:t>
        </w:r>
        <w:r w:rsidRPr="001F1B45">
          <w:rPr>
            <w:rFonts w:ascii="Times New Roman" w:hAnsi="Times New Roman" w:cs="Times New Roman"/>
            <w:noProof/>
            <w:sz w:val="26"/>
            <w:szCs w:val="26"/>
          </w:rPr>
          <w:fldChar w:fldCharType="end"/>
        </w:r>
      </w:p>
    </w:sdtContent>
  </w:sdt>
  <w:p w14:paraId="75109E83" w14:textId="77777777" w:rsidR="005D7821" w:rsidRDefault="005D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23319"/>
      <w:docPartObj>
        <w:docPartGallery w:val="Page Numbers (Top of Page)"/>
        <w:docPartUnique/>
      </w:docPartObj>
    </w:sdtPr>
    <w:sdtEndPr>
      <w:rPr>
        <w:rFonts w:ascii="Times New Roman" w:hAnsi="Times New Roman" w:cs="Times New Roman"/>
        <w:noProof/>
        <w:sz w:val="26"/>
        <w:szCs w:val="26"/>
      </w:rPr>
    </w:sdtEndPr>
    <w:sdtContent>
      <w:p w14:paraId="679B73EA" w14:textId="6071C98D" w:rsidR="006B7BE7" w:rsidRPr="001F1B45" w:rsidRDefault="006B7BE7">
        <w:pPr>
          <w:pStyle w:val="Header"/>
          <w:jc w:val="center"/>
          <w:rPr>
            <w:rFonts w:ascii="Times New Roman" w:hAnsi="Times New Roman" w:cs="Times New Roman"/>
            <w:sz w:val="26"/>
            <w:szCs w:val="26"/>
          </w:rPr>
        </w:pPr>
        <w:r w:rsidRPr="001F1B45">
          <w:rPr>
            <w:rFonts w:ascii="Times New Roman" w:hAnsi="Times New Roman" w:cs="Times New Roman"/>
            <w:sz w:val="26"/>
            <w:szCs w:val="26"/>
          </w:rPr>
          <w:fldChar w:fldCharType="begin"/>
        </w:r>
        <w:r w:rsidRPr="001F1B45">
          <w:rPr>
            <w:rFonts w:ascii="Times New Roman" w:hAnsi="Times New Roman" w:cs="Times New Roman"/>
            <w:sz w:val="26"/>
            <w:szCs w:val="26"/>
          </w:rPr>
          <w:instrText xml:space="preserve"> PAGE   \* MERGEFORMAT </w:instrText>
        </w:r>
        <w:r w:rsidRPr="001F1B45">
          <w:rPr>
            <w:rFonts w:ascii="Times New Roman" w:hAnsi="Times New Roman" w:cs="Times New Roman"/>
            <w:sz w:val="26"/>
            <w:szCs w:val="26"/>
          </w:rPr>
          <w:fldChar w:fldCharType="separate"/>
        </w:r>
        <w:r w:rsidR="00456D0C">
          <w:rPr>
            <w:rFonts w:ascii="Times New Roman" w:hAnsi="Times New Roman" w:cs="Times New Roman"/>
            <w:noProof/>
            <w:sz w:val="26"/>
            <w:szCs w:val="26"/>
          </w:rPr>
          <w:t>5</w:t>
        </w:r>
        <w:r w:rsidRPr="001F1B45">
          <w:rPr>
            <w:rFonts w:ascii="Times New Roman" w:hAnsi="Times New Roman" w:cs="Times New Roman"/>
            <w:noProof/>
            <w:sz w:val="26"/>
            <w:szCs w:val="26"/>
          </w:rPr>
          <w:fldChar w:fldCharType="end"/>
        </w:r>
      </w:p>
    </w:sdtContent>
  </w:sdt>
  <w:p w14:paraId="51BACFAB" w14:textId="77777777" w:rsidR="006B7BE7" w:rsidRDefault="006B7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5B5"/>
    <w:multiLevelType w:val="hybridMultilevel"/>
    <w:tmpl w:val="DE9A37CE"/>
    <w:lvl w:ilvl="0" w:tplc="32CC1D52">
      <w:start w:val="1"/>
      <w:numFmt w:val="decimal"/>
      <w:lvlText w:val="%1."/>
      <w:lvlJc w:val="left"/>
      <w:pPr>
        <w:ind w:left="1170" w:hanging="360"/>
      </w:pPr>
      <w:rPr>
        <w:rFonts w:ascii="Cambria" w:eastAsia="Calibri" w:hAnsi="Cambria"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602471"/>
    <w:multiLevelType w:val="hybridMultilevel"/>
    <w:tmpl w:val="58A8AEB6"/>
    <w:lvl w:ilvl="0" w:tplc="0CD22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56F05"/>
    <w:multiLevelType w:val="hybridMultilevel"/>
    <w:tmpl w:val="B48043A2"/>
    <w:lvl w:ilvl="0" w:tplc="2ABEFEE2">
      <w:start w:val="17"/>
      <w:numFmt w:val="decimal"/>
      <w:suff w:val="space"/>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014B5"/>
    <w:multiLevelType w:val="hybridMultilevel"/>
    <w:tmpl w:val="53A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96A02"/>
    <w:multiLevelType w:val="hybridMultilevel"/>
    <w:tmpl w:val="445276F6"/>
    <w:lvl w:ilvl="0" w:tplc="46884F5E">
      <w:numFmt w:val="bullet"/>
      <w:lvlText w:val=""/>
      <w:lvlJc w:val="left"/>
      <w:pPr>
        <w:ind w:left="1066" w:hanging="360"/>
      </w:pPr>
      <w:rPr>
        <w:rFonts w:ascii="Wingdings" w:eastAsiaTheme="minorEastAsia" w:hAnsi="Wingdings" w:cstheme="majorHAns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nsid w:val="16D93B8A"/>
    <w:multiLevelType w:val="hybridMultilevel"/>
    <w:tmpl w:val="7018DD66"/>
    <w:lvl w:ilvl="0" w:tplc="47121246">
      <w:start w:val="1"/>
      <w:numFmt w:val="decimal"/>
      <w:suff w:val="space"/>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D5567"/>
    <w:multiLevelType w:val="hybridMultilevel"/>
    <w:tmpl w:val="3E40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179EC"/>
    <w:multiLevelType w:val="hybridMultilevel"/>
    <w:tmpl w:val="2A3A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B6224"/>
    <w:multiLevelType w:val="hybridMultilevel"/>
    <w:tmpl w:val="9136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F3544"/>
    <w:multiLevelType w:val="hybridMultilevel"/>
    <w:tmpl w:val="2A7087E0"/>
    <w:lvl w:ilvl="0" w:tplc="1D7A31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94BE5"/>
    <w:multiLevelType w:val="hybridMultilevel"/>
    <w:tmpl w:val="76F4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834F7"/>
    <w:multiLevelType w:val="hybridMultilevel"/>
    <w:tmpl w:val="273EDE5C"/>
    <w:lvl w:ilvl="0" w:tplc="0CD22F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B275A"/>
    <w:multiLevelType w:val="hybridMultilevel"/>
    <w:tmpl w:val="57921862"/>
    <w:lvl w:ilvl="0" w:tplc="E1E81D3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D87D87"/>
    <w:multiLevelType w:val="hybridMultilevel"/>
    <w:tmpl w:val="F1F85D04"/>
    <w:lvl w:ilvl="0" w:tplc="BA84017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A14D5"/>
    <w:multiLevelType w:val="hybridMultilevel"/>
    <w:tmpl w:val="DF846684"/>
    <w:lvl w:ilvl="0" w:tplc="98707D6A">
      <w:start w:val="1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nsid w:val="501624BB"/>
    <w:multiLevelType w:val="hybridMultilevel"/>
    <w:tmpl w:val="C6AAE3C4"/>
    <w:lvl w:ilvl="0" w:tplc="BA84017C">
      <w:start w:val="1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FD00E1"/>
    <w:multiLevelType w:val="hybridMultilevel"/>
    <w:tmpl w:val="C6E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A07536"/>
    <w:multiLevelType w:val="hybridMultilevel"/>
    <w:tmpl w:val="2ED85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738A0"/>
    <w:multiLevelType w:val="hybridMultilevel"/>
    <w:tmpl w:val="5D72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2596B"/>
    <w:multiLevelType w:val="hybridMultilevel"/>
    <w:tmpl w:val="04709278"/>
    <w:lvl w:ilvl="0" w:tplc="00566034">
      <w:start w:val="3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81010"/>
    <w:multiLevelType w:val="hybridMultilevel"/>
    <w:tmpl w:val="EAA43AC8"/>
    <w:lvl w:ilvl="0" w:tplc="0CD22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6"/>
  </w:num>
  <w:num w:numId="7">
    <w:abstractNumId w:val="17"/>
  </w:num>
  <w:num w:numId="8">
    <w:abstractNumId w:val="10"/>
  </w:num>
  <w:num w:numId="9">
    <w:abstractNumId w:val="8"/>
  </w:num>
  <w:num w:numId="10">
    <w:abstractNumId w:val="18"/>
  </w:num>
  <w:num w:numId="11">
    <w:abstractNumId w:val="16"/>
  </w:num>
  <w:num w:numId="12">
    <w:abstractNumId w:val="0"/>
  </w:num>
  <w:num w:numId="13">
    <w:abstractNumId w:val="3"/>
  </w:num>
  <w:num w:numId="14">
    <w:abstractNumId w:val="9"/>
  </w:num>
  <w:num w:numId="15">
    <w:abstractNumId w:val="5"/>
  </w:num>
  <w:num w:numId="16">
    <w:abstractNumId w:val="11"/>
  </w:num>
  <w:num w:numId="17">
    <w:abstractNumId w:val="20"/>
  </w:num>
  <w:num w:numId="18">
    <w:abstractNumId w:val="2"/>
  </w:num>
  <w:num w:numId="19">
    <w:abstractNumId w:val="1"/>
  </w:num>
  <w:num w:numId="20">
    <w:abstractNumId w:val="19"/>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A7"/>
    <w:rsid w:val="00010DBF"/>
    <w:rsid w:val="0001489B"/>
    <w:rsid w:val="00074EF6"/>
    <w:rsid w:val="000C68E3"/>
    <w:rsid w:val="000D066C"/>
    <w:rsid w:val="000E46A6"/>
    <w:rsid w:val="00104A30"/>
    <w:rsid w:val="00131BD8"/>
    <w:rsid w:val="00145DF0"/>
    <w:rsid w:val="00155947"/>
    <w:rsid w:val="001811D9"/>
    <w:rsid w:val="001C20CD"/>
    <w:rsid w:val="001D6456"/>
    <w:rsid w:val="001D6B22"/>
    <w:rsid w:val="001E3268"/>
    <w:rsid w:val="001F1B45"/>
    <w:rsid w:val="001F5E2C"/>
    <w:rsid w:val="002217D4"/>
    <w:rsid w:val="002346F8"/>
    <w:rsid w:val="00246D4A"/>
    <w:rsid w:val="002646C1"/>
    <w:rsid w:val="002B46E2"/>
    <w:rsid w:val="002D076F"/>
    <w:rsid w:val="002E2524"/>
    <w:rsid w:val="002F7AA2"/>
    <w:rsid w:val="0030666F"/>
    <w:rsid w:val="00317378"/>
    <w:rsid w:val="00326AC4"/>
    <w:rsid w:val="00333194"/>
    <w:rsid w:val="00334B6F"/>
    <w:rsid w:val="00343651"/>
    <w:rsid w:val="003636EB"/>
    <w:rsid w:val="003701CF"/>
    <w:rsid w:val="003A5340"/>
    <w:rsid w:val="003D5EB2"/>
    <w:rsid w:val="003E4907"/>
    <w:rsid w:val="003F0F90"/>
    <w:rsid w:val="00405345"/>
    <w:rsid w:val="00413C54"/>
    <w:rsid w:val="00422EDF"/>
    <w:rsid w:val="004260E6"/>
    <w:rsid w:val="004371ED"/>
    <w:rsid w:val="00456D0C"/>
    <w:rsid w:val="0046731D"/>
    <w:rsid w:val="004A0AEA"/>
    <w:rsid w:val="004C236E"/>
    <w:rsid w:val="004D039F"/>
    <w:rsid w:val="004E57C6"/>
    <w:rsid w:val="004F45F7"/>
    <w:rsid w:val="004F58AE"/>
    <w:rsid w:val="0052321F"/>
    <w:rsid w:val="00537AF7"/>
    <w:rsid w:val="0055476E"/>
    <w:rsid w:val="00565211"/>
    <w:rsid w:val="005662E2"/>
    <w:rsid w:val="00592808"/>
    <w:rsid w:val="00594B9D"/>
    <w:rsid w:val="005C6F73"/>
    <w:rsid w:val="005D7821"/>
    <w:rsid w:val="00637A8B"/>
    <w:rsid w:val="00644FD3"/>
    <w:rsid w:val="0066425D"/>
    <w:rsid w:val="006941CD"/>
    <w:rsid w:val="006A3068"/>
    <w:rsid w:val="006B7BE7"/>
    <w:rsid w:val="006D031B"/>
    <w:rsid w:val="00706654"/>
    <w:rsid w:val="00714202"/>
    <w:rsid w:val="00726C1C"/>
    <w:rsid w:val="007276CC"/>
    <w:rsid w:val="007504A3"/>
    <w:rsid w:val="0075341B"/>
    <w:rsid w:val="00755DDE"/>
    <w:rsid w:val="00765BE4"/>
    <w:rsid w:val="00783FA1"/>
    <w:rsid w:val="007A130A"/>
    <w:rsid w:val="007A224F"/>
    <w:rsid w:val="007C02CB"/>
    <w:rsid w:val="007C035D"/>
    <w:rsid w:val="007E63BC"/>
    <w:rsid w:val="008455C8"/>
    <w:rsid w:val="00864E83"/>
    <w:rsid w:val="0088219A"/>
    <w:rsid w:val="00884F86"/>
    <w:rsid w:val="008865E0"/>
    <w:rsid w:val="008D6327"/>
    <w:rsid w:val="008E7171"/>
    <w:rsid w:val="008F5983"/>
    <w:rsid w:val="008F792E"/>
    <w:rsid w:val="009061DB"/>
    <w:rsid w:val="00947A1B"/>
    <w:rsid w:val="00962F21"/>
    <w:rsid w:val="00973204"/>
    <w:rsid w:val="009757A3"/>
    <w:rsid w:val="00987DB6"/>
    <w:rsid w:val="009A46E7"/>
    <w:rsid w:val="009B4A54"/>
    <w:rsid w:val="009C1D61"/>
    <w:rsid w:val="009C2EC6"/>
    <w:rsid w:val="009C5573"/>
    <w:rsid w:val="009C654A"/>
    <w:rsid w:val="009D0785"/>
    <w:rsid w:val="00A028C2"/>
    <w:rsid w:val="00A07A4A"/>
    <w:rsid w:val="00A127FA"/>
    <w:rsid w:val="00A23948"/>
    <w:rsid w:val="00A535BA"/>
    <w:rsid w:val="00A657C4"/>
    <w:rsid w:val="00A726D4"/>
    <w:rsid w:val="00A8033B"/>
    <w:rsid w:val="00A8202E"/>
    <w:rsid w:val="00A87F51"/>
    <w:rsid w:val="00A91FFA"/>
    <w:rsid w:val="00AA4B10"/>
    <w:rsid w:val="00AA4F2E"/>
    <w:rsid w:val="00AC05AF"/>
    <w:rsid w:val="00AD6F63"/>
    <w:rsid w:val="00AE3556"/>
    <w:rsid w:val="00B213D6"/>
    <w:rsid w:val="00B600F5"/>
    <w:rsid w:val="00B82FD9"/>
    <w:rsid w:val="00BA24E6"/>
    <w:rsid w:val="00BA5F56"/>
    <w:rsid w:val="00BD442E"/>
    <w:rsid w:val="00BD5AC0"/>
    <w:rsid w:val="00BF7DD5"/>
    <w:rsid w:val="00C11B50"/>
    <w:rsid w:val="00C52CD5"/>
    <w:rsid w:val="00C53863"/>
    <w:rsid w:val="00C75864"/>
    <w:rsid w:val="00C86487"/>
    <w:rsid w:val="00CA7A61"/>
    <w:rsid w:val="00D24B0F"/>
    <w:rsid w:val="00D44C4F"/>
    <w:rsid w:val="00D5069F"/>
    <w:rsid w:val="00D554B3"/>
    <w:rsid w:val="00D560D1"/>
    <w:rsid w:val="00D63AD3"/>
    <w:rsid w:val="00D7604B"/>
    <w:rsid w:val="00D93D85"/>
    <w:rsid w:val="00DA1B67"/>
    <w:rsid w:val="00DB71AF"/>
    <w:rsid w:val="00DB7AA7"/>
    <w:rsid w:val="00DC169C"/>
    <w:rsid w:val="00E11D56"/>
    <w:rsid w:val="00E41BDA"/>
    <w:rsid w:val="00E443ED"/>
    <w:rsid w:val="00E64C46"/>
    <w:rsid w:val="00EA7A78"/>
    <w:rsid w:val="00EB2F83"/>
    <w:rsid w:val="00EC6AFC"/>
    <w:rsid w:val="00ED6CE4"/>
    <w:rsid w:val="00ED76F0"/>
    <w:rsid w:val="00EF1F3E"/>
    <w:rsid w:val="00F10F37"/>
    <w:rsid w:val="00F11B67"/>
    <w:rsid w:val="00F214A4"/>
    <w:rsid w:val="00F275A2"/>
    <w:rsid w:val="00F50848"/>
    <w:rsid w:val="00F521D4"/>
    <w:rsid w:val="00F70181"/>
    <w:rsid w:val="00F8546F"/>
    <w:rsid w:val="00F85C1F"/>
    <w:rsid w:val="00F9009F"/>
    <w:rsid w:val="00F902A0"/>
    <w:rsid w:val="00FA6870"/>
    <w:rsid w:val="00FB11A3"/>
    <w:rsid w:val="00FB2CB6"/>
    <w:rsid w:val="00FD21E5"/>
    <w:rsid w:val="00FE2666"/>
    <w:rsid w:val="00F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6870"/>
    <w:pPr>
      <w:keepNext/>
      <w:keepLines/>
      <w:spacing w:before="240" w:after="120" w:line="240" w:lineRule="auto"/>
      <w:ind w:left="360"/>
      <w:outlineLvl w:val="1"/>
    </w:pPr>
    <w:rPr>
      <w:rFonts w:asciiTheme="majorHAnsi" w:eastAsiaTheme="majorEastAsia" w:hAnsiTheme="majorHAnsi" w:cstheme="majorBidi"/>
      <w:b/>
      <w:bCs/>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7AA7"/>
    <w:pPr>
      <w:spacing w:after="0" w:line="240" w:lineRule="auto"/>
    </w:pPr>
    <w:rPr>
      <w:rFonts w:ascii="Times New Roman" w:eastAsia="Times New Roman" w:hAnsi="Times New Roman" w:cs="Times New Roman"/>
      <w:b/>
      <w:noProof/>
      <w:sz w:val="20"/>
      <w:szCs w:val="20"/>
      <w:lang w:val="fr-FR" w:eastAsia="fr-FR"/>
    </w:rPr>
  </w:style>
  <w:style w:type="character" w:customStyle="1" w:styleId="BodyTextChar">
    <w:name w:val="Body Text Char"/>
    <w:basedOn w:val="DefaultParagraphFont"/>
    <w:link w:val="BodyText"/>
    <w:rsid w:val="00DB7AA7"/>
    <w:rPr>
      <w:rFonts w:ascii="Times New Roman" w:eastAsia="Times New Roman" w:hAnsi="Times New Roman" w:cs="Times New Roman"/>
      <w:b/>
      <w:noProof/>
      <w:sz w:val="20"/>
      <w:szCs w:val="20"/>
      <w:lang w:val="fr-FR" w:eastAsia="fr-FR"/>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iPriority w:val="99"/>
    <w:qFormat/>
    <w:rsid w:val="00DB7A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DB7AA7"/>
    <w:rPr>
      <w:rFonts w:ascii="Times New Roman" w:eastAsia="Times New Roman" w:hAnsi="Times New Roman" w:cs="Times New Roman"/>
      <w:sz w:val="20"/>
      <w:szCs w:val="20"/>
    </w:rPr>
  </w:style>
  <w:style w:type="character" w:styleId="FootnoteReference">
    <w:name w:val="footnote reference"/>
    <w:aliases w:val="Footnotes refss,16 Point,Superscript 6 Point,ftref,Footnote,Footnote text,BVI fnr,BearingPoint,fr,(NECG) Footnote Reference,Footnote + Arial,10 pt,Black,SUPERS,Footnote dich,footnote ref,Footnote Reference Number,Знак сноски 1,Ref"/>
    <w:uiPriority w:val="99"/>
    <w:rsid w:val="00DB7AA7"/>
    <w:rPr>
      <w:vertAlign w:val="superscript"/>
    </w:rPr>
  </w:style>
  <w:style w:type="paragraph" w:customStyle="1" w:styleId="Para">
    <w:name w:val="Para"/>
    <w:basedOn w:val="Normal"/>
    <w:link w:val="ParaCar"/>
    <w:qFormat/>
    <w:rsid w:val="00DB7AA7"/>
    <w:pPr>
      <w:jc w:val="both"/>
    </w:pPr>
    <w:rPr>
      <w:rFonts w:ascii="Arial" w:eastAsiaTheme="minorEastAsia" w:hAnsi="Calibri"/>
      <w:lang w:val="vi-VN"/>
    </w:rPr>
  </w:style>
  <w:style w:type="character" w:customStyle="1" w:styleId="ParaCar">
    <w:name w:val="Para Car"/>
    <w:basedOn w:val="DefaultParagraphFont"/>
    <w:link w:val="Para"/>
    <w:rsid w:val="00DB7AA7"/>
    <w:rPr>
      <w:rFonts w:ascii="Arial" w:eastAsiaTheme="minorEastAsia" w:hAnsi="Calibri"/>
      <w:lang w:val="vi-VN"/>
    </w:rPr>
  </w:style>
  <w:style w:type="paragraph" w:styleId="ListParagraph">
    <w:name w:val="List Paragraph"/>
    <w:basedOn w:val="Normal"/>
    <w:link w:val="ListParagraphChar"/>
    <w:uiPriority w:val="34"/>
    <w:qFormat/>
    <w:rsid w:val="00DB7AA7"/>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DefaultParagraphFont"/>
    <w:rsid w:val="00DA1B67"/>
    <w:rPr>
      <w:rFonts w:ascii="XfvjgkWarnockPro-Regular" w:hAnsi="XfvjgkWarnockPro-Regular" w:hint="default"/>
      <w:b w:val="0"/>
      <w:bCs w:val="0"/>
      <w:i w:val="0"/>
      <w:iCs w:val="0"/>
      <w:color w:val="000000"/>
      <w:sz w:val="20"/>
      <w:szCs w:val="20"/>
    </w:rPr>
  </w:style>
  <w:style w:type="character" w:styleId="CommentReference">
    <w:name w:val="annotation reference"/>
    <w:basedOn w:val="DefaultParagraphFont"/>
    <w:rsid w:val="002217D4"/>
    <w:rPr>
      <w:sz w:val="16"/>
      <w:szCs w:val="16"/>
    </w:rPr>
  </w:style>
  <w:style w:type="paragraph" w:styleId="CommentText">
    <w:name w:val="annotation text"/>
    <w:basedOn w:val="Normal"/>
    <w:link w:val="CommentTextChar"/>
    <w:uiPriority w:val="99"/>
    <w:rsid w:val="002217D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217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2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D4"/>
    <w:rPr>
      <w:rFonts w:ascii="Tahoma" w:hAnsi="Tahoma" w:cs="Tahoma"/>
      <w:sz w:val="16"/>
      <w:szCs w:val="16"/>
    </w:rPr>
  </w:style>
  <w:style w:type="character" w:customStyle="1" w:styleId="hgkelc">
    <w:name w:val="hgkelc"/>
    <w:basedOn w:val="DefaultParagraphFont"/>
    <w:rsid w:val="0055476E"/>
  </w:style>
  <w:style w:type="paragraph" w:styleId="CommentSubject">
    <w:name w:val="annotation subject"/>
    <w:basedOn w:val="CommentText"/>
    <w:next w:val="CommentText"/>
    <w:link w:val="CommentSubjectChar"/>
    <w:uiPriority w:val="99"/>
    <w:semiHidden/>
    <w:unhideWhenUsed/>
    <w:rsid w:val="007A130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130A"/>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0D066C"/>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D066C"/>
    <w:pPr>
      <w:spacing w:line="240" w:lineRule="auto"/>
    </w:pPr>
    <w:rPr>
      <w:i/>
      <w:iCs/>
      <w:color w:val="1F497D" w:themeColor="text2"/>
      <w:sz w:val="18"/>
      <w:szCs w:val="18"/>
      <w:lang w:val="vi-VN"/>
    </w:rPr>
  </w:style>
  <w:style w:type="character" w:customStyle="1" w:styleId="Heading2Char">
    <w:name w:val="Heading 2 Char"/>
    <w:basedOn w:val="DefaultParagraphFont"/>
    <w:link w:val="Heading2"/>
    <w:uiPriority w:val="9"/>
    <w:rsid w:val="00FA6870"/>
    <w:rPr>
      <w:rFonts w:asciiTheme="majorHAnsi" w:eastAsiaTheme="majorEastAsia" w:hAnsiTheme="majorHAnsi" w:cstheme="majorBidi"/>
      <w:b/>
      <w:bCs/>
      <w:color w:val="000000" w:themeColor="text1"/>
      <w:lang w:val="vi-VN"/>
    </w:rPr>
  </w:style>
  <w:style w:type="paragraph" w:styleId="Header">
    <w:name w:val="header"/>
    <w:basedOn w:val="Normal"/>
    <w:link w:val="HeaderChar"/>
    <w:uiPriority w:val="99"/>
    <w:unhideWhenUsed/>
    <w:rsid w:val="005D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21"/>
  </w:style>
  <w:style w:type="paragraph" w:styleId="Footer">
    <w:name w:val="footer"/>
    <w:basedOn w:val="Normal"/>
    <w:link w:val="FooterChar"/>
    <w:uiPriority w:val="99"/>
    <w:unhideWhenUsed/>
    <w:rsid w:val="005D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6870"/>
    <w:pPr>
      <w:keepNext/>
      <w:keepLines/>
      <w:spacing w:before="240" w:after="120" w:line="240" w:lineRule="auto"/>
      <w:ind w:left="360"/>
      <w:outlineLvl w:val="1"/>
    </w:pPr>
    <w:rPr>
      <w:rFonts w:asciiTheme="majorHAnsi" w:eastAsiaTheme="majorEastAsia" w:hAnsiTheme="majorHAnsi" w:cstheme="majorBidi"/>
      <w:b/>
      <w:bCs/>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7AA7"/>
    <w:pPr>
      <w:spacing w:after="0" w:line="240" w:lineRule="auto"/>
    </w:pPr>
    <w:rPr>
      <w:rFonts w:ascii="Times New Roman" w:eastAsia="Times New Roman" w:hAnsi="Times New Roman" w:cs="Times New Roman"/>
      <w:b/>
      <w:noProof/>
      <w:sz w:val="20"/>
      <w:szCs w:val="20"/>
      <w:lang w:val="fr-FR" w:eastAsia="fr-FR"/>
    </w:rPr>
  </w:style>
  <w:style w:type="character" w:customStyle="1" w:styleId="BodyTextChar">
    <w:name w:val="Body Text Char"/>
    <w:basedOn w:val="DefaultParagraphFont"/>
    <w:link w:val="BodyText"/>
    <w:rsid w:val="00DB7AA7"/>
    <w:rPr>
      <w:rFonts w:ascii="Times New Roman" w:eastAsia="Times New Roman" w:hAnsi="Times New Roman" w:cs="Times New Roman"/>
      <w:b/>
      <w:noProof/>
      <w:sz w:val="20"/>
      <w:szCs w:val="20"/>
      <w:lang w:val="fr-FR" w:eastAsia="fr-FR"/>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iPriority w:val="99"/>
    <w:qFormat/>
    <w:rsid w:val="00DB7A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DB7AA7"/>
    <w:rPr>
      <w:rFonts w:ascii="Times New Roman" w:eastAsia="Times New Roman" w:hAnsi="Times New Roman" w:cs="Times New Roman"/>
      <w:sz w:val="20"/>
      <w:szCs w:val="20"/>
    </w:rPr>
  </w:style>
  <w:style w:type="character" w:styleId="FootnoteReference">
    <w:name w:val="footnote reference"/>
    <w:aliases w:val="Footnotes refss,16 Point,Superscript 6 Point,ftref,Footnote,Footnote text,BVI fnr,BearingPoint,fr,(NECG) Footnote Reference,Footnote + Arial,10 pt,Black,SUPERS,Footnote dich,footnote ref,Footnote Reference Number,Знак сноски 1,Ref"/>
    <w:uiPriority w:val="99"/>
    <w:rsid w:val="00DB7AA7"/>
    <w:rPr>
      <w:vertAlign w:val="superscript"/>
    </w:rPr>
  </w:style>
  <w:style w:type="paragraph" w:customStyle="1" w:styleId="Para">
    <w:name w:val="Para"/>
    <w:basedOn w:val="Normal"/>
    <w:link w:val="ParaCar"/>
    <w:qFormat/>
    <w:rsid w:val="00DB7AA7"/>
    <w:pPr>
      <w:jc w:val="both"/>
    </w:pPr>
    <w:rPr>
      <w:rFonts w:ascii="Arial" w:eastAsiaTheme="minorEastAsia" w:hAnsi="Calibri"/>
      <w:lang w:val="vi-VN"/>
    </w:rPr>
  </w:style>
  <w:style w:type="character" w:customStyle="1" w:styleId="ParaCar">
    <w:name w:val="Para Car"/>
    <w:basedOn w:val="DefaultParagraphFont"/>
    <w:link w:val="Para"/>
    <w:rsid w:val="00DB7AA7"/>
    <w:rPr>
      <w:rFonts w:ascii="Arial" w:eastAsiaTheme="minorEastAsia" w:hAnsi="Calibri"/>
      <w:lang w:val="vi-VN"/>
    </w:rPr>
  </w:style>
  <w:style w:type="paragraph" w:styleId="ListParagraph">
    <w:name w:val="List Paragraph"/>
    <w:basedOn w:val="Normal"/>
    <w:link w:val="ListParagraphChar"/>
    <w:uiPriority w:val="34"/>
    <w:qFormat/>
    <w:rsid w:val="00DB7AA7"/>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DefaultParagraphFont"/>
    <w:rsid w:val="00DA1B67"/>
    <w:rPr>
      <w:rFonts w:ascii="XfvjgkWarnockPro-Regular" w:hAnsi="XfvjgkWarnockPro-Regular" w:hint="default"/>
      <w:b w:val="0"/>
      <w:bCs w:val="0"/>
      <w:i w:val="0"/>
      <w:iCs w:val="0"/>
      <w:color w:val="000000"/>
      <w:sz w:val="20"/>
      <w:szCs w:val="20"/>
    </w:rPr>
  </w:style>
  <w:style w:type="character" w:styleId="CommentReference">
    <w:name w:val="annotation reference"/>
    <w:basedOn w:val="DefaultParagraphFont"/>
    <w:rsid w:val="002217D4"/>
    <w:rPr>
      <w:sz w:val="16"/>
      <w:szCs w:val="16"/>
    </w:rPr>
  </w:style>
  <w:style w:type="paragraph" w:styleId="CommentText">
    <w:name w:val="annotation text"/>
    <w:basedOn w:val="Normal"/>
    <w:link w:val="CommentTextChar"/>
    <w:uiPriority w:val="99"/>
    <w:rsid w:val="002217D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217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2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D4"/>
    <w:rPr>
      <w:rFonts w:ascii="Tahoma" w:hAnsi="Tahoma" w:cs="Tahoma"/>
      <w:sz w:val="16"/>
      <w:szCs w:val="16"/>
    </w:rPr>
  </w:style>
  <w:style w:type="character" w:customStyle="1" w:styleId="hgkelc">
    <w:name w:val="hgkelc"/>
    <w:basedOn w:val="DefaultParagraphFont"/>
    <w:rsid w:val="0055476E"/>
  </w:style>
  <w:style w:type="paragraph" w:styleId="CommentSubject">
    <w:name w:val="annotation subject"/>
    <w:basedOn w:val="CommentText"/>
    <w:next w:val="CommentText"/>
    <w:link w:val="CommentSubjectChar"/>
    <w:uiPriority w:val="99"/>
    <w:semiHidden/>
    <w:unhideWhenUsed/>
    <w:rsid w:val="007A130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130A"/>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0D066C"/>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D066C"/>
    <w:pPr>
      <w:spacing w:line="240" w:lineRule="auto"/>
    </w:pPr>
    <w:rPr>
      <w:i/>
      <w:iCs/>
      <w:color w:val="1F497D" w:themeColor="text2"/>
      <w:sz w:val="18"/>
      <w:szCs w:val="18"/>
      <w:lang w:val="vi-VN"/>
    </w:rPr>
  </w:style>
  <w:style w:type="character" w:customStyle="1" w:styleId="Heading2Char">
    <w:name w:val="Heading 2 Char"/>
    <w:basedOn w:val="DefaultParagraphFont"/>
    <w:link w:val="Heading2"/>
    <w:uiPriority w:val="9"/>
    <w:rsid w:val="00FA6870"/>
    <w:rPr>
      <w:rFonts w:asciiTheme="majorHAnsi" w:eastAsiaTheme="majorEastAsia" w:hAnsiTheme="majorHAnsi" w:cstheme="majorBidi"/>
      <w:b/>
      <w:bCs/>
      <w:color w:val="000000" w:themeColor="text1"/>
      <w:lang w:val="vi-VN"/>
    </w:rPr>
  </w:style>
  <w:style w:type="paragraph" w:styleId="Header">
    <w:name w:val="header"/>
    <w:basedOn w:val="Normal"/>
    <w:link w:val="HeaderChar"/>
    <w:uiPriority w:val="99"/>
    <w:unhideWhenUsed/>
    <w:rsid w:val="005D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21"/>
  </w:style>
  <w:style w:type="paragraph" w:styleId="Footer">
    <w:name w:val="footer"/>
    <w:basedOn w:val="Normal"/>
    <w:link w:val="FooterChar"/>
    <w:uiPriority w:val="99"/>
    <w:unhideWhenUsed/>
    <w:rsid w:val="005D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385">
      <w:bodyDiv w:val="1"/>
      <w:marLeft w:val="0"/>
      <w:marRight w:val="0"/>
      <w:marTop w:val="0"/>
      <w:marBottom w:val="0"/>
      <w:divBdr>
        <w:top w:val="none" w:sz="0" w:space="0" w:color="auto"/>
        <w:left w:val="none" w:sz="0" w:space="0" w:color="auto"/>
        <w:bottom w:val="none" w:sz="0" w:space="0" w:color="auto"/>
        <w:right w:val="none" w:sz="0" w:space="0" w:color="auto"/>
      </w:divBdr>
    </w:div>
    <w:div w:id="862596829">
      <w:bodyDiv w:val="1"/>
      <w:marLeft w:val="0"/>
      <w:marRight w:val="0"/>
      <w:marTop w:val="0"/>
      <w:marBottom w:val="0"/>
      <w:divBdr>
        <w:top w:val="none" w:sz="0" w:space="0" w:color="auto"/>
        <w:left w:val="none" w:sz="0" w:space="0" w:color="auto"/>
        <w:bottom w:val="none" w:sz="0" w:space="0" w:color="auto"/>
        <w:right w:val="none" w:sz="0" w:space="0" w:color="auto"/>
      </w:divBdr>
    </w:div>
    <w:div w:id="974606929">
      <w:bodyDiv w:val="1"/>
      <w:marLeft w:val="0"/>
      <w:marRight w:val="0"/>
      <w:marTop w:val="0"/>
      <w:marBottom w:val="0"/>
      <w:divBdr>
        <w:top w:val="none" w:sz="0" w:space="0" w:color="auto"/>
        <w:left w:val="none" w:sz="0" w:space="0" w:color="auto"/>
        <w:bottom w:val="none" w:sz="0" w:space="0" w:color="auto"/>
        <w:right w:val="none" w:sz="0" w:space="0" w:color="auto"/>
      </w:divBdr>
    </w:div>
    <w:div w:id="1228220953">
      <w:bodyDiv w:val="1"/>
      <w:marLeft w:val="0"/>
      <w:marRight w:val="0"/>
      <w:marTop w:val="0"/>
      <w:marBottom w:val="0"/>
      <w:divBdr>
        <w:top w:val="none" w:sz="0" w:space="0" w:color="auto"/>
        <w:left w:val="none" w:sz="0" w:space="0" w:color="auto"/>
        <w:bottom w:val="none" w:sz="0" w:space="0" w:color="auto"/>
        <w:right w:val="none" w:sz="0" w:space="0" w:color="auto"/>
      </w:divBdr>
    </w:div>
    <w:div w:id="1455444522">
      <w:bodyDiv w:val="1"/>
      <w:marLeft w:val="0"/>
      <w:marRight w:val="0"/>
      <w:marTop w:val="0"/>
      <w:marBottom w:val="0"/>
      <w:divBdr>
        <w:top w:val="none" w:sz="0" w:space="0" w:color="auto"/>
        <w:left w:val="none" w:sz="0" w:space="0" w:color="auto"/>
        <w:bottom w:val="none" w:sz="0" w:space="0" w:color="auto"/>
        <w:right w:val="none" w:sz="0" w:space="0" w:color="auto"/>
      </w:divBdr>
    </w:div>
    <w:div w:id="1648708684">
      <w:bodyDiv w:val="1"/>
      <w:marLeft w:val="0"/>
      <w:marRight w:val="0"/>
      <w:marTop w:val="0"/>
      <w:marBottom w:val="0"/>
      <w:divBdr>
        <w:top w:val="none" w:sz="0" w:space="0" w:color="auto"/>
        <w:left w:val="none" w:sz="0" w:space="0" w:color="auto"/>
        <w:bottom w:val="none" w:sz="0" w:space="0" w:color="auto"/>
        <w:right w:val="none" w:sz="0" w:space="0" w:color="auto"/>
      </w:divBdr>
    </w:div>
    <w:div w:id="1672021797">
      <w:bodyDiv w:val="1"/>
      <w:marLeft w:val="0"/>
      <w:marRight w:val="0"/>
      <w:marTop w:val="0"/>
      <w:marBottom w:val="0"/>
      <w:divBdr>
        <w:top w:val="none" w:sz="0" w:space="0" w:color="auto"/>
        <w:left w:val="none" w:sz="0" w:space="0" w:color="auto"/>
        <w:bottom w:val="none" w:sz="0" w:space="0" w:color="auto"/>
        <w:right w:val="none" w:sz="0" w:space="0" w:color="auto"/>
      </w:divBdr>
    </w:div>
    <w:div w:id="17353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C31F-3100-4C5A-B629-7D675E77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nthgiang</cp:lastModifiedBy>
  <cp:revision>3</cp:revision>
  <dcterms:created xsi:type="dcterms:W3CDTF">2020-12-17T10:46:00Z</dcterms:created>
  <dcterms:modified xsi:type="dcterms:W3CDTF">2020-12-18T08:02:00Z</dcterms:modified>
</cp:coreProperties>
</file>